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451B" w:rsidP="006F451B">
      <w:pPr>
        <w:bidi w:val="0"/>
        <w:ind w:left="7079"/>
        <w:rPr>
          <w:b/>
        </w:rPr>
      </w:pPr>
      <w:r w:rsidRPr="009439EA">
        <w:rPr>
          <w:rFonts w:hint="default"/>
          <w:b/>
        </w:rPr>
        <w:t>Prí</w:t>
      </w:r>
      <w:r w:rsidRPr="009439EA">
        <w:rPr>
          <w:rFonts w:hint="default"/>
          <w:b/>
        </w:rPr>
        <w:t>loha č.</w:t>
      </w:r>
      <w:r>
        <w:rPr>
          <w:b/>
        </w:rPr>
        <w:t xml:space="preserve"> 3</w:t>
      </w:r>
    </w:p>
    <w:p w:rsidR="006F451B" w:rsidRPr="009439EA" w:rsidP="006F451B">
      <w:pPr>
        <w:bidi w:val="0"/>
        <w:ind w:left="7079"/>
        <w:rPr>
          <w:b/>
        </w:rPr>
      </w:pPr>
    </w:p>
    <w:p w:rsidR="006F451B" w:rsidRPr="00C141AF" w:rsidP="006F451B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výdavky rozpočtovej kapitoly MPRV SR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>
        <w:rPr>
          <w:rFonts w:hint="default"/>
        </w:rPr>
        <w:t>Rozpoč</w:t>
      </w:r>
      <w:r>
        <w:rPr>
          <w:rFonts w:hint="default"/>
        </w:rPr>
        <w:t>et kapitoly MPRV SR bol v </w:t>
      </w:r>
      <w:r>
        <w:rPr>
          <w:rFonts w:hint="default"/>
        </w:rPr>
        <w:t>roku 2010 rozpracovaný</w:t>
      </w:r>
      <w:r>
        <w:rPr>
          <w:rFonts w:hint="default"/>
        </w:rPr>
        <w:t xml:space="preserve"> do piatich programov: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>
        <w:rPr>
          <w:rFonts w:hint="default"/>
        </w:rPr>
        <w:t xml:space="preserve">Program </w:t>
      </w:r>
      <w:r>
        <w:rPr>
          <w:rFonts w:hint="default"/>
          <w:b/>
          <w:bCs/>
        </w:rPr>
        <w:t>„</w:t>
      </w:r>
      <w:r>
        <w:rPr>
          <w:rFonts w:hint="default"/>
          <w:b/>
          <w:bCs/>
        </w:rPr>
        <w:t>Udrž</w:t>
      </w:r>
      <w:r>
        <w:rPr>
          <w:rFonts w:hint="default"/>
          <w:b/>
          <w:bCs/>
        </w:rPr>
        <w:t>ateľ</w:t>
      </w:r>
      <w:r>
        <w:rPr>
          <w:rFonts w:hint="default"/>
          <w:b/>
          <w:bCs/>
        </w:rPr>
        <w:t>né</w:t>
      </w:r>
      <w:r>
        <w:rPr>
          <w:rFonts w:hint="default"/>
          <w:b/>
          <w:bCs/>
        </w:rPr>
        <w:t xml:space="preserve"> lesné</w:t>
      </w:r>
      <w:r>
        <w:rPr>
          <w:rFonts w:hint="default"/>
          <w:b/>
          <w:bCs/>
        </w:rPr>
        <w:t xml:space="preserve"> hospodá</w:t>
      </w:r>
      <w:r>
        <w:rPr>
          <w:rFonts w:hint="default"/>
          <w:b/>
          <w:bCs/>
        </w:rPr>
        <w:t>rstvo“</w:t>
      </w:r>
      <w:r>
        <w:rPr>
          <w:rFonts w:hint="default"/>
        </w:rPr>
        <w:t xml:space="preserve"> je rozdelený</w:t>
      </w:r>
      <w:r>
        <w:rPr>
          <w:rFonts w:hint="default"/>
        </w:rPr>
        <w:t xml:space="preserve"> do dvoch podprogramov: Obnova a </w:t>
      </w:r>
      <w:r>
        <w:rPr>
          <w:rFonts w:hint="default"/>
        </w:rPr>
        <w:t>rozvoj lesné</w:t>
      </w:r>
      <w:r>
        <w:rPr>
          <w:rFonts w:hint="default"/>
        </w:rPr>
        <w:t>ho hospodá</w:t>
      </w:r>
      <w:r>
        <w:rPr>
          <w:rFonts w:hint="default"/>
        </w:rPr>
        <w:t>rstva a </w:t>
      </w:r>
      <w:r>
        <w:rPr>
          <w:rFonts w:hint="default"/>
        </w:rPr>
        <w:t>Vý</w:t>
      </w:r>
      <w:r>
        <w:rPr>
          <w:rFonts w:hint="default"/>
        </w:rPr>
        <w:t>skum a odbo</w:t>
      </w:r>
      <w:r>
        <w:rPr>
          <w:rFonts w:hint="default"/>
        </w:rPr>
        <w:t>rná</w:t>
      </w:r>
      <w:r>
        <w:rPr>
          <w:rFonts w:hint="default"/>
        </w:rPr>
        <w:t xml:space="preserve"> pomoc pre udrž</w:t>
      </w:r>
      <w:r>
        <w:rPr>
          <w:rFonts w:hint="default"/>
        </w:rPr>
        <w:t>ateľ</w:t>
      </w:r>
      <w:r>
        <w:rPr>
          <w:rFonts w:hint="default"/>
        </w:rPr>
        <w:t>né</w:t>
      </w:r>
      <w:r>
        <w:rPr>
          <w:rFonts w:hint="default"/>
        </w:rPr>
        <w:t xml:space="preserve"> lesné</w:t>
      </w:r>
      <w:r>
        <w:rPr>
          <w:rFonts w:hint="default"/>
        </w:rPr>
        <w:t xml:space="preserve"> hospodá</w:t>
      </w:r>
      <w:r>
        <w:rPr>
          <w:rFonts w:hint="default"/>
        </w:rPr>
        <w:t>rstvo. Ú</w:t>
      </w:r>
      <w:r>
        <w:rPr>
          <w:rFonts w:hint="default"/>
        </w:rPr>
        <w:t>lohou programu je funkč</w:t>
      </w:r>
      <w:r>
        <w:rPr>
          <w:rFonts w:hint="default"/>
        </w:rPr>
        <w:t>ne integrované</w:t>
      </w:r>
      <w:r>
        <w:rPr>
          <w:rFonts w:hint="default"/>
        </w:rPr>
        <w:t xml:space="preserve"> lesné</w:t>
      </w:r>
      <w:r>
        <w:rPr>
          <w:rFonts w:hint="default"/>
        </w:rPr>
        <w:t xml:space="preserve"> hospodá</w:t>
      </w:r>
      <w:r>
        <w:rPr>
          <w:rFonts w:hint="default"/>
        </w:rPr>
        <w:t>rstvo, zabezpeč</w:t>
      </w:r>
      <w:r>
        <w:rPr>
          <w:rFonts w:hint="default"/>
        </w:rPr>
        <w:t>ujú</w:t>
      </w:r>
      <w:r>
        <w:rPr>
          <w:rFonts w:hint="default"/>
        </w:rPr>
        <w:t>ce ekologickú</w:t>
      </w:r>
      <w:r>
        <w:rPr>
          <w:rFonts w:hint="default"/>
        </w:rPr>
        <w:t xml:space="preserve"> stabilitu krajiny a </w:t>
      </w:r>
      <w:r>
        <w:rPr>
          <w:rFonts w:hint="default"/>
        </w:rPr>
        <w:t>posilň</w:t>
      </w:r>
      <w:r>
        <w:rPr>
          <w:rFonts w:hint="default"/>
        </w:rPr>
        <w:t>ujú</w:t>
      </w:r>
      <w:r>
        <w:rPr>
          <w:rFonts w:hint="default"/>
        </w:rPr>
        <w:t>ce hospodá</w:t>
      </w:r>
      <w:r>
        <w:rPr>
          <w:rFonts w:hint="default"/>
        </w:rPr>
        <w:t>rsky a </w:t>
      </w:r>
      <w:r>
        <w:rPr>
          <w:rFonts w:hint="default"/>
        </w:rPr>
        <w:t>sociá</w:t>
      </w:r>
      <w:r>
        <w:rPr>
          <w:rFonts w:hint="default"/>
        </w:rPr>
        <w:t>lny rozvoj regió</w:t>
      </w:r>
      <w:r>
        <w:rPr>
          <w:rFonts w:hint="default"/>
        </w:rPr>
        <w:t>nov a vidieka.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 xml:space="preserve">merom programu </w:t>
      </w:r>
      <w:r>
        <w:rPr>
          <w:rFonts w:hint="default"/>
          <w:b/>
          <w:bCs/>
        </w:rPr>
        <w:t>„</w:t>
      </w:r>
      <w:r>
        <w:rPr>
          <w:rFonts w:hint="default"/>
          <w:b/>
          <w:bCs/>
        </w:rPr>
        <w:t>Potravinová</w:t>
      </w:r>
      <w:r>
        <w:rPr>
          <w:rFonts w:hint="default"/>
          <w:b/>
          <w:bCs/>
        </w:rPr>
        <w:t xml:space="preserve"> bezpeč</w:t>
      </w:r>
      <w:r>
        <w:rPr>
          <w:rFonts w:hint="default"/>
          <w:b/>
          <w:bCs/>
        </w:rPr>
        <w:t>nosť</w:t>
      </w:r>
      <w:r>
        <w:rPr>
          <w:rFonts w:hint="default"/>
          <w:b/>
          <w:bCs/>
        </w:rPr>
        <w:t>, zdr</w:t>
      </w:r>
      <w:r>
        <w:rPr>
          <w:rFonts w:hint="default"/>
          <w:b/>
          <w:bCs/>
        </w:rPr>
        <w:t>avie a ochrana zvierat a </w:t>
      </w:r>
      <w:r>
        <w:rPr>
          <w:rFonts w:hint="default"/>
          <w:b/>
          <w:bCs/>
        </w:rPr>
        <w:t>rastlí</w:t>
      </w:r>
      <w:r>
        <w:rPr>
          <w:rFonts w:hint="default"/>
          <w:b/>
          <w:bCs/>
        </w:rPr>
        <w:t>n“</w:t>
      </w:r>
      <w:r>
        <w:rPr>
          <w:rFonts w:hint="default"/>
        </w:rPr>
        <w:t xml:space="preserve"> je zá</w:t>
      </w:r>
      <w:r>
        <w:rPr>
          <w:rFonts w:hint="default"/>
        </w:rPr>
        <w:t>sobovanie obyvateľ</w:t>
      </w:r>
      <w:r>
        <w:rPr>
          <w:rFonts w:hint="default"/>
        </w:rPr>
        <w:t>stva kvalitný</w:t>
      </w:r>
      <w:r>
        <w:rPr>
          <w:rFonts w:hint="default"/>
        </w:rPr>
        <w:t>mi potravinami a</w:t>
      </w:r>
      <w:r w:rsidR="00F21281">
        <w:t xml:space="preserve"> </w:t>
      </w:r>
      <w:r>
        <w:rPr>
          <w:rFonts w:hint="default"/>
        </w:rPr>
        <w:t>zabezpeč</w:t>
      </w:r>
      <w:r>
        <w:rPr>
          <w:rFonts w:hint="default"/>
        </w:rPr>
        <w:t>ovanie vysokej ú</w:t>
      </w:r>
      <w:r>
        <w:rPr>
          <w:rFonts w:hint="default"/>
        </w:rPr>
        <w:t>rovne zdravia a ochrany zvierat a </w:t>
      </w:r>
      <w:r>
        <w:rPr>
          <w:rFonts w:hint="default"/>
        </w:rPr>
        <w:t>rastlí</w:t>
      </w:r>
      <w:r>
        <w:rPr>
          <w:rFonts w:hint="default"/>
        </w:rPr>
        <w:t>n. Program tvoria š</w:t>
      </w:r>
      <w:r>
        <w:rPr>
          <w:rFonts w:hint="default"/>
        </w:rPr>
        <w:t>tyri podprogramy: Regulá</w:t>
      </w:r>
      <w:r>
        <w:rPr>
          <w:rFonts w:hint="default"/>
        </w:rPr>
        <w:t>cia, formulá</w:t>
      </w:r>
      <w:r>
        <w:rPr>
          <w:rFonts w:hint="default"/>
        </w:rPr>
        <w:t>cia a </w:t>
      </w:r>
      <w:r>
        <w:rPr>
          <w:rFonts w:hint="default"/>
        </w:rPr>
        <w:t>vý</w:t>
      </w:r>
      <w:r>
        <w:rPr>
          <w:rFonts w:hint="default"/>
        </w:rPr>
        <w:t>kon veteriná</w:t>
      </w:r>
      <w:r>
        <w:rPr>
          <w:rFonts w:hint="default"/>
        </w:rPr>
        <w:t>rnej a </w:t>
      </w:r>
      <w:r>
        <w:rPr>
          <w:rFonts w:hint="default"/>
        </w:rPr>
        <w:t>potravinovej služ</w:t>
      </w:r>
      <w:r>
        <w:rPr>
          <w:rFonts w:hint="default"/>
        </w:rPr>
        <w:t>by, Zd</w:t>
      </w:r>
      <w:r>
        <w:rPr>
          <w:rFonts w:hint="default"/>
        </w:rPr>
        <w:t>ravotná</w:t>
      </w:r>
      <w:r>
        <w:rPr>
          <w:rFonts w:hint="default"/>
        </w:rPr>
        <w:t xml:space="preserve"> neš</w:t>
      </w:r>
      <w:r>
        <w:rPr>
          <w:rFonts w:hint="default"/>
        </w:rPr>
        <w:t>kodnosť</w:t>
      </w:r>
      <w:r>
        <w:rPr>
          <w:rFonts w:hint="default"/>
        </w:rPr>
        <w:t xml:space="preserve"> potraví</w:t>
      </w:r>
      <w:r>
        <w:rPr>
          <w:rFonts w:hint="default"/>
        </w:rPr>
        <w:t>n, Poznatková</w:t>
      </w:r>
      <w:r>
        <w:rPr>
          <w:rFonts w:hint="default"/>
        </w:rPr>
        <w:t xml:space="preserve"> bá</w:t>
      </w:r>
      <w:r>
        <w:rPr>
          <w:rFonts w:hint="default"/>
        </w:rPr>
        <w:t>za na zabezpeč</w:t>
      </w:r>
      <w:r>
        <w:rPr>
          <w:rFonts w:hint="default"/>
        </w:rPr>
        <w:t>enie kvality a </w:t>
      </w:r>
      <w:r>
        <w:rPr>
          <w:rFonts w:hint="default"/>
        </w:rPr>
        <w:t>bezpeč</w:t>
      </w:r>
      <w:r>
        <w:rPr>
          <w:rFonts w:hint="default"/>
        </w:rPr>
        <w:t>nosti potraví</w:t>
      </w:r>
      <w:r>
        <w:rPr>
          <w:rFonts w:hint="default"/>
        </w:rPr>
        <w:t>n, Regulá</w:t>
      </w:r>
      <w:r>
        <w:rPr>
          <w:rFonts w:hint="default"/>
        </w:rPr>
        <w:t>cia vstupov, zdravie a </w:t>
      </w:r>
      <w:r>
        <w:rPr>
          <w:rFonts w:hint="default"/>
        </w:rPr>
        <w:t>kvalita rastlí</w:t>
      </w:r>
      <w:r>
        <w:rPr>
          <w:rFonts w:hint="default"/>
        </w:rPr>
        <w:t>n.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>
        <w:rPr>
          <w:rFonts w:hint="default"/>
        </w:rPr>
        <w:t xml:space="preserve">Program </w:t>
      </w:r>
      <w:r>
        <w:rPr>
          <w:rFonts w:hint="default"/>
          <w:b/>
          <w:bCs/>
        </w:rPr>
        <w:t>„</w:t>
      </w:r>
      <w:r>
        <w:rPr>
          <w:rFonts w:hint="default"/>
          <w:b/>
          <w:bCs/>
        </w:rPr>
        <w:t>Tvorba, regulá</w:t>
      </w:r>
      <w:r>
        <w:rPr>
          <w:rFonts w:hint="default"/>
          <w:b/>
          <w:bCs/>
        </w:rPr>
        <w:t>cia a</w:t>
      </w:r>
      <w:r w:rsidR="00F21281">
        <w:rPr>
          <w:b/>
          <w:bCs/>
        </w:rPr>
        <w:t xml:space="preserve"> </w:t>
      </w:r>
      <w:r>
        <w:rPr>
          <w:rFonts w:hint="default"/>
          <w:b/>
          <w:bCs/>
        </w:rPr>
        <w:t>implementá</w:t>
      </w:r>
      <w:r>
        <w:rPr>
          <w:rFonts w:hint="default"/>
          <w:b/>
          <w:bCs/>
        </w:rPr>
        <w:t>cia polití</w:t>
      </w:r>
      <w:r>
        <w:rPr>
          <w:rFonts w:hint="default"/>
          <w:b/>
          <w:bCs/>
        </w:rPr>
        <w:t>k“</w:t>
      </w:r>
      <w:r>
        <w:rPr>
          <w:rFonts w:hint="default"/>
        </w:rPr>
        <w:t xml:space="preserve"> je č</w:t>
      </w:r>
      <w:r>
        <w:rPr>
          <w:rFonts w:hint="default"/>
        </w:rPr>
        <w:t>lenený</w:t>
      </w:r>
      <w:r>
        <w:rPr>
          <w:rFonts w:hint="default"/>
        </w:rPr>
        <w:t xml:space="preserve"> na š</w:t>
      </w:r>
      <w:r>
        <w:rPr>
          <w:rFonts w:hint="default"/>
        </w:rPr>
        <w:t>esť</w:t>
      </w:r>
      <w:r>
        <w:rPr>
          <w:rFonts w:hint="default"/>
        </w:rPr>
        <w:t xml:space="preserve"> podprogramov: Podpora programov, Realizá</w:t>
      </w:r>
      <w:r>
        <w:rPr>
          <w:rFonts w:hint="default"/>
        </w:rPr>
        <w:t>cia a </w:t>
      </w:r>
      <w:r>
        <w:rPr>
          <w:rFonts w:hint="default"/>
        </w:rPr>
        <w:t>administrá</w:t>
      </w:r>
      <w:r>
        <w:rPr>
          <w:rFonts w:hint="default"/>
        </w:rPr>
        <w:t>cia finanč</w:t>
      </w:r>
      <w:r>
        <w:rPr>
          <w:rFonts w:hint="default"/>
        </w:rPr>
        <w:t>ný</w:t>
      </w:r>
      <w:r>
        <w:rPr>
          <w:rFonts w:hint="default"/>
        </w:rPr>
        <w:t>ch sché</w:t>
      </w:r>
      <w:r>
        <w:rPr>
          <w:rFonts w:hint="default"/>
        </w:rPr>
        <w:t>m, Poznatková</w:t>
      </w:r>
      <w:r>
        <w:rPr>
          <w:rFonts w:hint="default"/>
        </w:rPr>
        <w:t xml:space="preserve"> podpora tvorby polití</w:t>
      </w:r>
      <w:r>
        <w:rPr>
          <w:rFonts w:hint="default"/>
        </w:rPr>
        <w:t>k, Pô</w:t>
      </w:r>
      <w:r>
        <w:rPr>
          <w:rFonts w:hint="default"/>
        </w:rPr>
        <w:t>dohospodá</w:t>
      </w:r>
      <w:r>
        <w:rPr>
          <w:rFonts w:hint="default"/>
        </w:rPr>
        <w:t>rsky informač</w:t>
      </w:r>
      <w:r>
        <w:rPr>
          <w:rFonts w:hint="default"/>
        </w:rPr>
        <w:t>ný</w:t>
      </w:r>
      <w:r>
        <w:rPr>
          <w:rFonts w:hint="default"/>
        </w:rPr>
        <w:t xml:space="preserve"> systé</w:t>
      </w:r>
      <w:r>
        <w:rPr>
          <w:rFonts w:hint="default"/>
        </w:rPr>
        <w:t>m, Š</w:t>
      </w:r>
      <w:r>
        <w:rPr>
          <w:rFonts w:hint="default"/>
        </w:rPr>
        <w:t>tatistický</w:t>
      </w:r>
      <w:r>
        <w:rPr>
          <w:rFonts w:hint="default"/>
        </w:rPr>
        <w:t xml:space="preserve"> informač</w:t>
      </w:r>
      <w:r>
        <w:rPr>
          <w:rFonts w:hint="default"/>
        </w:rPr>
        <w:t>ný</w:t>
      </w:r>
      <w:r>
        <w:rPr>
          <w:rFonts w:hint="default"/>
        </w:rPr>
        <w:t xml:space="preserve"> systé</w:t>
      </w:r>
      <w:r>
        <w:rPr>
          <w:rFonts w:hint="default"/>
        </w:rPr>
        <w:t>m, Pozemkové</w:t>
      </w:r>
      <w:r>
        <w:rPr>
          <w:rFonts w:hint="default"/>
        </w:rPr>
        <w:t xml:space="preserve"> ú</w:t>
      </w:r>
      <w:r>
        <w:rPr>
          <w:rFonts w:hint="default"/>
        </w:rPr>
        <w:t>pravy. Cieľ</w:t>
      </w:r>
      <w:r>
        <w:rPr>
          <w:rFonts w:hint="default"/>
        </w:rPr>
        <w:t>om programu je vysoký</w:t>
      </w:r>
      <w:r>
        <w:rPr>
          <w:rFonts w:hint="default"/>
        </w:rPr>
        <w:t xml:space="preserve"> š</w:t>
      </w:r>
      <w:r>
        <w:rPr>
          <w:rFonts w:hint="default"/>
        </w:rPr>
        <w:t>tandard tvorby polití</w:t>
      </w:r>
      <w:r>
        <w:rPr>
          <w:rFonts w:hint="default"/>
        </w:rPr>
        <w:t>k a </w:t>
      </w:r>
      <w:r>
        <w:rPr>
          <w:rFonts w:hint="default"/>
        </w:rPr>
        <w:t>poskytovania služ</w:t>
      </w:r>
      <w:r>
        <w:rPr>
          <w:rFonts w:hint="default"/>
        </w:rPr>
        <w:t>ieb vš</w:t>
      </w:r>
      <w:r>
        <w:rPr>
          <w:rFonts w:hint="default"/>
        </w:rPr>
        <w:t>etký</w:t>
      </w:r>
      <w:r>
        <w:rPr>
          <w:rFonts w:hint="default"/>
        </w:rPr>
        <w:t>m farmá</w:t>
      </w:r>
      <w:r>
        <w:rPr>
          <w:rFonts w:hint="default"/>
        </w:rPr>
        <w:t>rom, obyvateľ</w:t>
      </w:r>
      <w:r>
        <w:rPr>
          <w:rFonts w:hint="default"/>
        </w:rPr>
        <w:t>om vi</w:t>
      </w:r>
      <w:r>
        <w:rPr>
          <w:rFonts w:hint="default"/>
        </w:rPr>
        <w:t>d</w:t>
      </w:r>
      <w:r>
        <w:rPr>
          <w:rFonts w:hint="default"/>
        </w:rPr>
        <w:t>ieka, agropotraviná</w:t>
      </w:r>
      <w:r>
        <w:rPr>
          <w:rFonts w:hint="default"/>
        </w:rPr>
        <w:t>rskemu priemyslu, spotrebiteľ</w:t>
      </w:r>
      <w:r>
        <w:rPr>
          <w:rFonts w:hint="default"/>
        </w:rPr>
        <w:t>om, verejnosti a </w:t>
      </w:r>
      <w:r>
        <w:rPr>
          <w:rFonts w:hint="default"/>
        </w:rPr>
        <w:t>inš</w:t>
      </w:r>
      <w:r>
        <w:rPr>
          <w:rFonts w:hint="default"/>
        </w:rPr>
        <w:t>titú</w:t>
      </w:r>
      <w:r>
        <w:rPr>
          <w:rFonts w:hint="default"/>
        </w:rPr>
        <w:t>ciá</w:t>
      </w:r>
      <w:r>
        <w:rPr>
          <w:rFonts w:hint="default"/>
        </w:rPr>
        <w:t>m verejnej sprá</w:t>
      </w:r>
      <w:r>
        <w:rPr>
          <w:rFonts w:hint="default"/>
        </w:rPr>
        <w:t>vy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princí</w:t>
      </w:r>
      <w:r>
        <w:rPr>
          <w:rFonts w:hint="default"/>
        </w:rPr>
        <w:t>pmi SPP.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>
        <w:rPr>
          <w:rFonts w:hint="default"/>
        </w:rPr>
        <w:t>Cieľ</w:t>
      </w:r>
      <w:r>
        <w:rPr>
          <w:rFonts w:hint="default"/>
        </w:rPr>
        <w:t xml:space="preserve">om programu </w:t>
      </w:r>
      <w:r>
        <w:rPr>
          <w:rFonts w:hint="default"/>
          <w:b/>
          <w:bCs/>
        </w:rPr>
        <w:t>„</w:t>
      </w:r>
      <w:r>
        <w:rPr>
          <w:rFonts w:hint="default"/>
          <w:b/>
          <w:bCs/>
        </w:rPr>
        <w:t>Podpora konkurencieschopnosti poľ</w:t>
      </w:r>
      <w:r>
        <w:rPr>
          <w:rFonts w:hint="default"/>
          <w:b/>
          <w:bCs/>
        </w:rPr>
        <w:t>nohospodá</w:t>
      </w:r>
      <w:r>
        <w:rPr>
          <w:rFonts w:hint="default"/>
          <w:b/>
          <w:bCs/>
        </w:rPr>
        <w:t>rstva</w:t>
      </w:r>
      <w:r>
        <w:t xml:space="preserve"> </w:t>
      </w:r>
      <w:r>
        <w:rPr>
          <w:b/>
          <w:bCs/>
        </w:rPr>
        <w:t>a </w:t>
      </w:r>
      <w:r>
        <w:rPr>
          <w:rFonts w:hint="default"/>
          <w:b/>
          <w:bCs/>
        </w:rPr>
        <w:t>potraviná</w:t>
      </w:r>
      <w:r>
        <w:rPr>
          <w:rFonts w:hint="default"/>
          <w:b/>
          <w:bCs/>
        </w:rPr>
        <w:t>rstva“</w:t>
      </w:r>
      <w:r>
        <w:rPr>
          <w:rFonts w:hint="default"/>
          <w:b/>
          <w:bCs/>
        </w:rPr>
        <w:t xml:space="preserve"> </w:t>
      </w:r>
      <w:r>
        <w:rPr>
          <w:rFonts w:hint="default"/>
        </w:rPr>
        <w:t>je medziná</w:t>
      </w:r>
      <w:r>
        <w:rPr>
          <w:rFonts w:hint="default"/>
        </w:rPr>
        <w:t>rodne konkurencieschopný</w:t>
      </w:r>
      <w:r>
        <w:rPr>
          <w:rFonts w:hint="default"/>
        </w:rPr>
        <w:t>, na spotrebiteľ</w:t>
      </w:r>
      <w:r>
        <w:rPr>
          <w:rFonts w:hint="default"/>
        </w:rPr>
        <w:t>a</w:t>
      </w:r>
      <w:r>
        <w:rPr>
          <w:b/>
          <w:bCs/>
        </w:rPr>
        <w:t xml:space="preserve"> </w:t>
      </w:r>
      <w:r>
        <w:t>or</w:t>
      </w:r>
      <w:r>
        <w:rPr>
          <w:rFonts w:hint="default"/>
        </w:rPr>
        <w:t>ientovaný</w:t>
      </w:r>
      <w:r>
        <w:rPr>
          <w:rFonts w:hint="default"/>
        </w:rPr>
        <w:t xml:space="preserve"> agropotraviná</w:t>
      </w:r>
      <w:r>
        <w:rPr>
          <w:rFonts w:hint="default"/>
        </w:rPr>
        <w:t>rsky sektor, vytvá</w:t>
      </w:r>
      <w:r>
        <w:rPr>
          <w:rFonts w:hint="default"/>
        </w:rPr>
        <w:t>rajú</w:t>
      </w:r>
      <w:r>
        <w:rPr>
          <w:rFonts w:hint="default"/>
        </w:rPr>
        <w:t>ci environmentá</w:t>
      </w:r>
      <w:r>
        <w:rPr>
          <w:rFonts w:hint="default"/>
        </w:rPr>
        <w:t>lne udrž</w:t>
      </w:r>
      <w:r>
        <w:rPr>
          <w:rFonts w:hint="default"/>
        </w:rPr>
        <w:t>ateľ</w:t>
      </w:r>
      <w:r>
        <w:rPr>
          <w:rFonts w:hint="default"/>
        </w:rPr>
        <w:t>ný</w:t>
      </w:r>
      <w:r>
        <w:rPr>
          <w:rFonts w:hint="default"/>
        </w:rPr>
        <w:t xml:space="preserve"> vidiecky rá</w:t>
      </w:r>
      <w:r>
        <w:rPr>
          <w:rFonts w:hint="default"/>
        </w:rPr>
        <w:t>z. Aktivity programu sú</w:t>
      </w:r>
      <w:r>
        <w:rPr>
          <w:rFonts w:hint="default"/>
        </w:rPr>
        <w:t xml:space="preserve"> rozdelené</w:t>
      </w:r>
      <w:r>
        <w:rPr>
          <w:rFonts w:hint="default"/>
        </w:rPr>
        <w:t xml:space="preserve"> do piatich podprogramov: Podpora poľ</w:t>
      </w:r>
      <w:r>
        <w:rPr>
          <w:rFonts w:hint="default"/>
        </w:rPr>
        <w:t>nohospodá</w:t>
      </w:r>
      <w:r>
        <w:rPr>
          <w:rFonts w:hint="default"/>
        </w:rPr>
        <w:t>rs</w:t>
      </w:r>
      <w:r w:rsidR="00F21281">
        <w:rPr>
          <w:rFonts w:hint="default"/>
        </w:rPr>
        <w:t>kych č</w:t>
      </w:r>
      <w:r w:rsidR="00F21281">
        <w:rPr>
          <w:rFonts w:hint="default"/>
        </w:rPr>
        <w:t>inností –</w:t>
      </w:r>
      <w:r>
        <w:rPr>
          <w:rFonts w:hint="default"/>
        </w:rPr>
        <w:t>priame platby, Rybné</w:t>
      </w:r>
      <w:r>
        <w:rPr>
          <w:rFonts w:hint="default"/>
        </w:rPr>
        <w:t xml:space="preserve"> hospodá</w:t>
      </w:r>
      <w:r>
        <w:rPr>
          <w:rFonts w:hint="default"/>
        </w:rPr>
        <w:t>rstvo EFT (operač</w:t>
      </w:r>
      <w:r>
        <w:rPr>
          <w:rFonts w:hint="default"/>
        </w:rPr>
        <w:t>ný</w:t>
      </w:r>
      <w:r>
        <w:rPr>
          <w:rFonts w:hint="default"/>
        </w:rPr>
        <w:t xml:space="preserve"> pro</w:t>
      </w:r>
      <w:r w:rsidR="00F21281">
        <w:rPr>
          <w:rFonts w:hint="default"/>
        </w:rPr>
        <w:t>gram Rybné</w:t>
      </w:r>
      <w:r w:rsidR="00F21281">
        <w:rPr>
          <w:rFonts w:hint="default"/>
        </w:rPr>
        <w:t xml:space="preserve"> hospodá</w:t>
      </w:r>
      <w:r w:rsidR="00F21281">
        <w:rPr>
          <w:rFonts w:hint="default"/>
        </w:rPr>
        <w:t>rstvo</w:t>
      </w:r>
      <w:r w:rsidR="00F21281">
        <w:rPr>
          <w:rFonts w:hint="default"/>
        </w:rPr>
        <w:t xml:space="preserve"> SR 2007 </w:t>
      </w:r>
      <w:r w:rsidR="00F21281">
        <w:rPr>
          <w:rFonts w:hint="default"/>
        </w:rPr>
        <w:noBreakHyphen/>
        <w:t> </w:t>
      </w:r>
      <w:r>
        <w:rPr>
          <w:rFonts w:hint="default"/>
        </w:rPr>
        <w:t>2013), Stabilizá</w:t>
      </w:r>
      <w:r>
        <w:rPr>
          <w:rFonts w:hint="default"/>
        </w:rPr>
        <w:t>cia trhu poľ</w:t>
      </w:r>
      <w:r>
        <w:rPr>
          <w:rFonts w:hint="default"/>
        </w:rPr>
        <w:t>nohospodá</w:t>
      </w:r>
      <w:r>
        <w:rPr>
          <w:rFonts w:hint="default"/>
        </w:rPr>
        <w:t>rskej produkcie (TOV), Poznatková</w:t>
      </w:r>
      <w:r>
        <w:rPr>
          <w:rFonts w:hint="default"/>
        </w:rPr>
        <w:t xml:space="preserve"> podpora konkurencieschopnosti poľ</w:t>
      </w:r>
      <w:r>
        <w:rPr>
          <w:rFonts w:hint="default"/>
        </w:rPr>
        <w:t>nohospodá</w:t>
      </w:r>
      <w:r>
        <w:rPr>
          <w:rFonts w:hint="default"/>
        </w:rPr>
        <w:t>rstva, Plemená</w:t>
      </w:r>
      <w:r>
        <w:rPr>
          <w:rFonts w:hint="default"/>
        </w:rPr>
        <w:t>rska a </w:t>
      </w:r>
      <w:r>
        <w:rPr>
          <w:rFonts w:hint="default"/>
        </w:rPr>
        <w:t>kontrolná</w:t>
      </w:r>
      <w:r>
        <w:rPr>
          <w:rFonts w:hint="default"/>
        </w:rPr>
        <w:t xml:space="preserve"> č</w:t>
      </w:r>
      <w:r>
        <w:rPr>
          <w:rFonts w:hint="default"/>
        </w:rPr>
        <w:t>innosť.</w:t>
      </w:r>
    </w:p>
    <w:p w:rsidR="00237B7B" w:rsidP="00B7154C">
      <w:pPr>
        <w:tabs>
          <w:tab w:val="left" w:pos="709"/>
        </w:tabs>
        <w:bidi w:val="0"/>
      </w:pPr>
      <w:r w:rsidR="00B7154C">
        <w:rPr>
          <w:rFonts w:hint="default"/>
        </w:rPr>
        <w:t xml:space="preserve">Program </w:t>
      </w:r>
      <w:r w:rsidR="00B7154C">
        <w:rPr>
          <w:rFonts w:hint="default"/>
          <w:b/>
          <w:bCs/>
        </w:rPr>
        <w:t>„</w:t>
      </w:r>
      <w:r w:rsidR="00B7154C">
        <w:rPr>
          <w:rFonts w:hint="default"/>
          <w:b/>
          <w:bCs/>
        </w:rPr>
        <w:t>Rozvoj vidieka“</w:t>
      </w:r>
      <w:r w:rsidR="00B7154C">
        <w:rPr>
          <w:rFonts w:hint="default"/>
          <w:b/>
          <w:bCs/>
        </w:rPr>
        <w:t xml:space="preserve"> </w:t>
      </w:r>
      <w:r w:rsidR="00B7154C">
        <w:rPr>
          <w:rFonts w:hint="default"/>
        </w:rPr>
        <w:t>obsahuje š</w:t>
      </w:r>
      <w:r w:rsidR="00B7154C">
        <w:rPr>
          <w:rFonts w:hint="default"/>
        </w:rPr>
        <w:t>esť</w:t>
      </w:r>
      <w:r w:rsidR="00B7154C">
        <w:rPr>
          <w:rFonts w:hint="default"/>
        </w:rPr>
        <w:t xml:space="preserve"> podprogramov: Implementá</w:t>
      </w:r>
      <w:r w:rsidR="00B7154C">
        <w:rPr>
          <w:rFonts w:hint="default"/>
        </w:rPr>
        <w:t>cia rá</w:t>
      </w:r>
      <w:r w:rsidR="00B7154C">
        <w:rPr>
          <w:rFonts w:hint="default"/>
        </w:rPr>
        <w:t>mca podpory, Zveľ</w:t>
      </w:r>
      <w:r w:rsidR="00B7154C">
        <w:rPr>
          <w:rFonts w:hint="default"/>
        </w:rPr>
        <w:t>aď</w:t>
      </w:r>
      <w:r w:rsidR="00B7154C">
        <w:rPr>
          <w:rFonts w:hint="default"/>
        </w:rPr>
        <w:t>ovan</w:t>
      </w:r>
      <w:r w:rsidR="00B7154C">
        <w:rPr>
          <w:rFonts w:hint="default"/>
        </w:rPr>
        <w:t>ie krajiny, Zvýš</w:t>
      </w:r>
      <w:r w:rsidR="00B7154C">
        <w:rPr>
          <w:rFonts w:hint="default"/>
        </w:rPr>
        <w:t>enie konkurencieschopnosti sektora poľ</w:t>
      </w:r>
      <w:r w:rsidR="00B7154C">
        <w:rPr>
          <w:rFonts w:hint="default"/>
        </w:rPr>
        <w:t>nohospodá</w:t>
      </w:r>
      <w:r w:rsidR="00B7154C">
        <w:rPr>
          <w:rFonts w:hint="default"/>
        </w:rPr>
        <w:t>rstva a </w:t>
      </w:r>
      <w:r w:rsidR="00B7154C">
        <w:rPr>
          <w:rFonts w:hint="default"/>
        </w:rPr>
        <w:t>lesné</w:t>
      </w:r>
      <w:r w:rsidR="00B7154C">
        <w:rPr>
          <w:rFonts w:hint="default"/>
        </w:rPr>
        <w:t>ho hospodá</w:t>
      </w:r>
      <w:r w:rsidR="00B7154C">
        <w:rPr>
          <w:rFonts w:hint="default"/>
        </w:rPr>
        <w:t>rstva, Z</w:t>
      </w:r>
      <w:r w:rsidR="00C8698D">
        <w:rPr>
          <w:rFonts w:hint="default"/>
        </w:rPr>
        <w:t>lepš</w:t>
      </w:r>
      <w:r w:rsidR="00C8698D">
        <w:rPr>
          <w:rFonts w:hint="default"/>
        </w:rPr>
        <w:t>enie ž</w:t>
      </w:r>
      <w:r w:rsidR="00C8698D">
        <w:rPr>
          <w:rFonts w:hint="default"/>
        </w:rPr>
        <w:t>ivotné</w:t>
      </w:r>
      <w:r w:rsidR="00C8698D">
        <w:rPr>
          <w:rFonts w:hint="default"/>
        </w:rPr>
        <w:t xml:space="preserve">ho prostredia a </w:t>
      </w:r>
      <w:r w:rsidR="00B7154C">
        <w:rPr>
          <w:rFonts w:hint="default"/>
        </w:rPr>
        <w:t>krajiny, Kvalita ž</w:t>
      </w:r>
      <w:r w:rsidR="00B7154C">
        <w:rPr>
          <w:rFonts w:hint="default"/>
        </w:rPr>
        <w:t>ivota vo vidieckych oblastiach a diverzi</w:t>
      </w:r>
      <w:r w:rsidR="00C8698D">
        <w:rPr>
          <w:rFonts w:hint="default"/>
        </w:rPr>
        <w:t>fiká</w:t>
      </w:r>
      <w:r w:rsidR="00C8698D">
        <w:rPr>
          <w:rFonts w:hint="default"/>
        </w:rPr>
        <w:t>cia vidieckeho hospodá</w:t>
      </w:r>
      <w:r w:rsidR="00C8698D">
        <w:rPr>
          <w:rFonts w:hint="default"/>
        </w:rPr>
        <w:t>rstva;</w:t>
      </w:r>
      <w:r w:rsidR="00B7154C">
        <w:t xml:space="preserve"> Leader. </w:t>
      </w:r>
      <w:r w:rsidRPr="00237B7B">
        <w:rPr>
          <w:rFonts w:hint="default"/>
        </w:rPr>
        <w:t>Zá</w:t>
      </w:r>
      <w:r w:rsidRPr="00237B7B">
        <w:rPr>
          <w:rFonts w:hint="default"/>
        </w:rPr>
        <w:t>merom programu „</w:t>
      </w:r>
      <w:r w:rsidRPr="00237B7B">
        <w:rPr>
          <w:rFonts w:hint="default"/>
        </w:rPr>
        <w:t>Rozvoj vidiek</w:t>
      </w:r>
      <w:r w:rsidRPr="00237B7B">
        <w:rPr>
          <w:rFonts w:hint="default"/>
        </w:rPr>
        <w:t>a“</w:t>
      </w:r>
      <w:r w:rsidRPr="00237B7B">
        <w:rPr>
          <w:rFonts w:hint="default"/>
        </w:rPr>
        <w:t xml:space="preserve"> je ž</w:t>
      </w:r>
      <w:r w:rsidRPr="00237B7B">
        <w:rPr>
          <w:rFonts w:hint="default"/>
        </w:rPr>
        <w:t>ivotaschopné</w:t>
      </w:r>
      <w:r w:rsidRPr="00237B7B">
        <w:rPr>
          <w:rFonts w:hint="default"/>
        </w:rPr>
        <w:t xml:space="preserve"> a </w:t>
      </w:r>
      <w:r w:rsidRPr="00237B7B">
        <w:rPr>
          <w:rFonts w:hint="default"/>
        </w:rPr>
        <w:t>ekologicky udrž</w:t>
      </w:r>
      <w:r w:rsidRPr="00237B7B">
        <w:rPr>
          <w:rFonts w:hint="default"/>
        </w:rPr>
        <w:t>ateľ</w:t>
      </w:r>
      <w:r w:rsidRPr="00237B7B">
        <w:rPr>
          <w:rFonts w:hint="default"/>
        </w:rPr>
        <w:t>né</w:t>
      </w:r>
      <w:r w:rsidRPr="00237B7B">
        <w:rPr>
          <w:rFonts w:hint="default"/>
        </w:rPr>
        <w:t xml:space="preserve"> vidiecke prostredie, stabilizujú</w:t>
      </w:r>
      <w:r w:rsidRPr="00237B7B">
        <w:rPr>
          <w:rFonts w:hint="default"/>
        </w:rPr>
        <w:t>ce existujú</w:t>
      </w:r>
      <w:r w:rsidRPr="00237B7B">
        <w:rPr>
          <w:rFonts w:hint="default"/>
        </w:rPr>
        <w:t>cu populá</w:t>
      </w:r>
      <w:r w:rsidRPr="00237B7B">
        <w:rPr>
          <w:rFonts w:hint="default"/>
        </w:rPr>
        <w:t>ciu na vidieku prostrední</w:t>
      </w:r>
      <w:r w:rsidRPr="00237B7B">
        <w:rPr>
          <w:rFonts w:hint="default"/>
        </w:rPr>
        <w:t>ctvom generovania pracovný</w:t>
      </w:r>
      <w:r w:rsidRPr="00237B7B">
        <w:rPr>
          <w:rFonts w:hint="default"/>
        </w:rPr>
        <w:t>ch prí</w:t>
      </w:r>
      <w:r w:rsidRPr="00237B7B">
        <w:rPr>
          <w:rFonts w:hint="default"/>
        </w:rPr>
        <w:t>lež</w:t>
      </w:r>
      <w:r w:rsidRPr="00237B7B">
        <w:rPr>
          <w:rFonts w:hint="default"/>
        </w:rPr>
        <w:t>itostí</w:t>
      </w:r>
      <w:r w:rsidRPr="00237B7B">
        <w:rPr>
          <w:rFonts w:hint="default"/>
        </w:rPr>
        <w:t xml:space="preserve"> a </w:t>
      </w:r>
      <w:r w:rsidRPr="00237B7B">
        <w:rPr>
          <w:rFonts w:hint="default"/>
        </w:rPr>
        <w:t>vyšš</w:t>
      </w:r>
      <w:r w:rsidRPr="00237B7B">
        <w:rPr>
          <w:rFonts w:hint="default"/>
        </w:rPr>
        <w:t>ej</w:t>
      </w:r>
      <w:r w:rsidRPr="00DA4910">
        <w:rPr>
          <w:rFonts w:ascii="Arial" w:hAnsi="Arial" w:cs="Arial"/>
          <w:i/>
          <w:sz w:val="22"/>
          <w:szCs w:val="22"/>
        </w:rPr>
        <w:t xml:space="preserve"> </w:t>
      </w:r>
      <w:r w:rsidRPr="00237B7B">
        <w:rPr>
          <w:rFonts w:hint="default"/>
        </w:rPr>
        <w:t>ž</w:t>
      </w:r>
      <w:r w:rsidRPr="00237B7B">
        <w:rPr>
          <w:rFonts w:hint="default"/>
        </w:rPr>
        <w:t>ivotnej ú</w:t>
      </w:r>
      <w:r w:rsidRPr="00237B7B">
        <w:rPr>
          <w:rFonts w:hint="default"/>
        </w:rPr>
        <w:t>rovne</w:t>
      </w:r>
      <w:r>
        <w:t>.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>
        <w:rPr>
          <w:rFonts w:hint="default"/>
        </w:rPr>
        <w:t>Po delimitá</w:t>
      </w:r>
      <w:r>
        <w:rPr>
          <w:rFonts w:hint="default"/>
        </w:rPr>
        <w:t>cii Ministerstva ž</w:t>
      </w:r>
      <w:r>
        <w:rPr>
          <w:rFonts w:hint="default"/>
        </w:rPr>
        <w:t>ivotné</w:t>
      </w:r>
      <w:r>
        <w:rPr>
          <w:rFonts w:hint="default"/>
        </w:rPr>
        <w:t>ho prostredia SR a </w:t>
      </w:r>
      <w:r>
        <w:rPr>
          <w:rFonts w:hint="default"/>
        </w:rPr>
        <w:t>č</w:t>
      </w:r>
      <w:r>
        <w:rPr>
          <w:rFonts w:hint="default"/>
        </w:rPr>
        <w:t>asti Ministe</w:t>
      </w:r>
      <w:r>
        <w:rPr>
          <w:rFonts w:hint="default"/>
        </w:rPr>
        <w:t>rstva vý</w:t>
      </w:r>
      <w:r>
        <w:rPr>
          <w:rFonts w:hint="default"/>
        </w:rPr>
        <w:t>stavby a </w:t>
      </w:r>
      <w:r>
        <w:rPr>
          <w:rFonts w:hint="default"/>
        </w:rPr>
        <w:t>regioná</w:t>
      </w:r>
      <w:r>
        <w:rPr>
          <w:rFonts w:hint="default"/>
        </w:rPr>
        <w:t>lneho rozvoja SR k </w:t>
      </w:r>
      <w:r>
        <w:rPr>
          <w:rFonts w:hint="default"/>
        </w:rPr>
        <w:t>1. 7. 2010 sa do programovej š</w:t>
      </w:r>
      <w:r>
        <w:rPr>
          <w:rFonts w:hint="default"/>
        </w:rPr>
        <w:t>truktú</w:t>
      </w:r>
      <w:r>
        <w:rPr>
          <w:rFonts w:hint="default"/>
        </w:rPr>
        <w:t xml:space="preserve">ry MPRV SR zaradili aj programy: </w:t>
      </w:r>
      <w:r w:rsidRPr="00907745">
        <w:rPr>
          <w:rFonts w:hint="default"/>
          <w:b/>
        </w:rPr>
        <w:t>„</w:t>
      </w:r>
      <w:r w:rsidRPr="00907745">
        <w:rPr>
          <w:rFonts w:hint="default"/>
          <w:b/>
        </w:rPr>
        <w:t>Starostlivosť</w:t>
      </w:r>
      <w:r w:rsidRPr="00907745">
        <w:rPr>
          <w:rFonts w:hint="default"/>
          <w:b/>
        </w:rPr>
        <w:t xml:space="preserve"> o </w:t>
      </w:r>
      <w:r w:rsidRPr="00907745">
        <w:rPr>
          <w:rFonts w:hint="default"/>
          <w:b/>
        </w:rPr>
        <w:t>ž</w:t>
      </w:r>
      <w:r w:rsidRPr="00907745">
        <w:rPr>
          <w:rFonts w:hint="default"/>
          <w:b/>
        </w:rPr>
        <w:t>ivotné</w:t>
      </w:r>
      <w:r w:rsidRPr="00907745">
        <w:rPr>
          <w:rFonts w:hint="default"/>
          <w:b/>
        </w:rPr>
        <w:t xml:space="preserve"> prostredie“</w:t>
      </w:r>
      <w:r>
        <w:rPr>
          <w:b/>
        </w:rPr>
        <w:t xml:space="preserve"> </w:t>
      </w:r>
      <w:r w:rsidRPr="009D7576">
        <w:rPr>
          <w:rFonts w:hint="default"/>
        </w:rPr>
        <w:t>(za MŽ</w:t>
      </w:r>
      <w:r w:rsidRPr="009D7576">
        <w:rPr>
          <w:rFonts w:hint="default"/>
        </w:rPr>
        <w:t>P SR),</w:t>
      </w:r>
      <w:r>
        <w:rPr>
          <w:rFonts w:hint="default"/>
        </w:rPr>
        <w:t xml:space="preserve"> ktoré</w:t>
      </w:r>
      <w:r>
        <w:rPr>
          <w:rFonts w:hint="default"/>
        </w:rPr>
        <w:t>ho zá</w:t>
      </w:r>
      <w:r>
        <w:rPr>
          <w:rFonts w:hint="default"/>
        </w:rPr>
        <w:t>merom je zníž</w:t>
      </w:r>
      <w:r>
        <w:rPr>
          <w:rFonts w:hint="default"/>
        </w:rPr>
        <w:t>iť</w:t>
      </w:r>
      <w:r>
        <w:rPr>
          <w:rFonts w:hint="default"/>
        </w:rPr>
        <w:t xml:space="preserve"> zať</w:t>
      </w:r>
      <w:r>
        <w:rPr>
          <w:rFonts w:hint="default"/>
        </w:rPr>
        <w:t>až</w:t>
      </w:r>
      <w:r>
        <w:rPr>
          <w:rFonts w:hint="default"/>
        </w:rPr>
        <w:t>enie ž</w:t>
      </w:r>
      <w:r>
        <w:rPr>
          <w:rFonts w:hint="default"/>
        </w:rPr>
        <w:t>ivotné</w:t>
      </w:r>
      <w:r>
        <w:rPr>
          <w:rFonts w:hint="default"/>
        </w:rPr>
        <w:t>ho prostredia, chrá</w:t>
      </w:r>
      <w:r>
        <w:rPr>
          <w:rFonts w:hint="default"/>
        </w:rPr>
        <w:t>niť</w:t>
      </w:r>
      <w:r>
        <w:rPr>
          <w:rFonts w:hint="default"/>
        </w:rPr>
        <w:t xml:space="preserve"> prí</w:t>
      </w:r>
      <w:r>
        <w:rPr>
          <w:rFonts w:hint="default"/>
        </w:rPr>
        <w:t>rodné</w:t>
      </w:r>
      <w:r>
        <w:rPr>
          <w:rFonts w:hint="default"/>
        </w:rPr>
        <w:t xml:space="preserve"> dedič</w:t>
      </w:r>
      <w:r>
        <w:rPr>
          <w:rFonts w:hint="default"/>
        </w:rPr>
        <w:t>stvo, ekologic</w:t>
      </w:r>
      <w:r>
        <w:rPr>
          <w:rFonts w:hint="default"/>
        </w:rPr>
        <w:t>kú</w:t>
      </w:r>
      <w:r>
        <w:rPr>
          <w:rFonts w:hint="default"/>
        </w:rPr>
        <w:t xml:space="preserve"> stabilitu a </w:t>
      </w:r>
      <w:r>
        <w:rPr>
          <w:rFonts w:hint="default"/>
        </w:rPr>
        <w:t>krajinnú</w:t>
      </w:r>
      <w:r>
        <w:rPr>
          <w:rFonts w:hint="default"/>
        </w:rPr>
        <w:t xml:space="preserve"> diverzitu. Aktivity tohto programu sú</w:t>
      </w:r>
      <w:r>
        <w:rPr>
          <w:rFonts w:hint="default"/>
        </w:rPr>
        <w:t xml:space="preserve"> rozde</w:t>
      </w:r>
      <w:r w:rsidR="00C8698D">
        <w:rPr>
          <w:rFonts w:hint="default"/>
        </w:rPr>
        <w:t>lené</w:t>
      </w:r>
      <w:r w:rsidR="00C8698D">
        <w:rPr>
          <w:rFonts w:hint="default"/>
        </w:rPr>
        <w:t xml:space="preserve"> do š</w:t>
      </w:r>
      <w:r w:rsidR="00C8698D">
        <w:rPr>
          <w:rFonts w:hint="default"/>
        </w:rPr>
        <w:t xml:space="preserve">iestich podprogramov: </w:t>
      </w:r>
      <w:r>
        <w:t>Ochrana a </w:t>
      </w:r>
      <w:r>
        <w:rPr>
          <w:rFonts w:hint="default"/>
        </w:rPr>
        <w:t>racioná</w:t>
      </w:r>
      <w:r>
        <w:rPr>
          <w:rFonts w:hint="default"/>
        </w:rPr>
        <w:t>lne využí</w:t>
      </w:r>
      <w:r>
        <w:rPr>
          <w:rFonts w:hint="default"/>
        </w:rPr>
        <w:t>vanie vô</w:t>
      </w:r>
      <w:r>
        <w:rPr>
          <w:rFonts w:hint="default"/>
        </w:rPr>
        <w:t>d, Ochrana ovzduš</w:t>
      </w:r>
      <w:r>
        <w:rPr>
          <w:rFonts w:hint="default"/>
        </w:rPr>
        <w:t>ia, Odpadové</w:t>
      </w:r>
      <w:r>
        <w:rPr>
          <w:rFonts w:hint="default"/>
        </w:rPr>
        <w:t xml:space="preserve"> hospodá</w:t>
      </w:r>
      <w:r>
        <w:rPr>
          <w:rFonts w:hint="default"/>
        </w:rPr>
        <w:t>rstvo a </w:t>
      </w:r>
      <w:r>
        <w:rPr>
          <w:rFonts w:hint="default"/>
        </w:rPr>
        <w:t>environmentá</w:t>
      </w:r>
      <w:r>
        <w:rPr>
          <w:rFonts w:hint="default"/>
        </w:rPr>
        <w:t>lne rizikové</w:t>
      </w:r>
      <w:r>
        <w:rPr>
          <w:rFonts w:hint="default"/>
        </w:rPr>
        <w:t xml:space="preserve"> faktory, geologický</w:t>
      </w:r>
      <w:r>
        <w:rPr>
          <w:rFonts w:hint="default"/>
        </w:rPr>
        <w:t xml:space="preserve"> vý</w:t>
      </w:r>
      <w:r>
        <w:rPr>
          <w:rFonts w:hint="default"/>
        </w:rPr>
        <w:t>skum a </w:t>
      </w:r>
      <w:r>
        <w:rPr>
          <w:rFonts w:hint="default"/>
        </w:rPr>
        <w:t>prieskum, Ochrana prí</w:t>
      </w:r>
      <w:r>
        <w:rPr>
          <w:rFonts w:hint="default"/>
        </w:rPr>
        <w:t>rody</w:t>
      </w:r>
      <w:r>
        <w:rPr>
          <w:rFonts w:hint="default"/>
        </w:rPr>
        <w:t xml:space="preserve"> a </w:t>
      </w:r>
      <w:r>
        <w:rPr>
          <w:rFonts w:hint="default"/>
        </w:rPr>
        <w:t>krajiny, Ú</w:t>
      </w:r>
      <w:r>
        <w:rPr>
          <w:rFonts w:hint="default"/>
        </w:rPr>
        <w:t>zemný</w:t>
      </w:r>
      <w:r>
        <w:rPr>
          <w:rFonts w:hint="default"/>
        </w:rPr>
        <w:t xml:space="preserve"> rozvoj a tvorba krajiny.</w:t>
      </w:r>
    </w:p>
    <w:p w:rsidR="00B7154C" w:rsidRPr="009D7576" w:rsidP="00B7154C">
      <w:pPr>
        <w:tabs>
          <w:tab w:val="left" w:pos="709"/>
        </w:tabs>
        <w:bidi w:val="0"/>
        <w:ind w:firstLine="0"/>
        <w:rPr>
          <w:b/>
        </w:rPr>
      </w:pPr>
      <w:r>
        <w:tab/>
      </w:r>
      <w:r w:rsidRPr="009D7576">
        <w:rPr>
          <w:rFonts w:hint="default"/>
        </w:rPr>
        <w:t>Ď</w:t>
      </w:r>
      <w:r w:rsidRPr="009D7576">
        <w:rPr>
          <w:rFonts w:hint="default"/>
        </w:rPr>
        <w:t>alší</w:t>
      </w:r>
      <w:r w:rsidRPr="009D7576">
        <w:rPr>
          <w:rFonts w:hint="default"/>
        </w:rPr>
        <w:t>m programom je</w:t>
      </w:r>
      <w:r>
        <w:rPr>
          <w:b/>
        </w:rPr>
        <w:t xml:space="preserve"> </w:t>
      </w:r>
      <w:r w:rsidRPr="009D7576">
        <w:rPr>
          <w:rFonts w:hint="default"/>
          <w:b/>
        </w:rPr>
        <w:t>„</w:t>
      </w:r>
      <w:r w:rsidRPr="009D7576">
        <w:rPr>
          <w:rFonts w:hint="default"/>
          <w:b/>
        </w:rPr>
        <w:t>Tvorba a </w:t>
      </w:r>
      <w:r w:rsidRPr="009D7576">
        <w:rPr>
          <w:rFonts w:hint="default"/>
          <w:b/>
        </w:rPr>
        <w:t>implementá</w:t>
      </w:r>
      <w:r w:rsidRPr="009D7576">
        <w:rPr>
          <w:rFonts w:hint="default"/>
          <w:b/>
        </w:rPr>
        <w:t>cia polití</w:t>
      </w:r>
      <w:r w:rsidRPr="009D7576">
        <w:rPr>
          <w:rFonts w:hint="default"/>
          <w:b/>
        </w:rPr>
        <w:t>k“</w:t>
      </w:r>
      <w:r>
        <w:rPr>
          <w:b/>
        </w:rPr>
        <w:t xml:space="preserve"> </w:t>
      </w:r>
      <w:r w:rsidRPr="009D7576">
        <w:rPr>
          <w:rFonts w:hint="default"/>
        </w:rPr>
        <w:t>(za MŽ</w:t>
      </w:r>
      <w:r w:rsidRPr="009D7576">
        <w:rPr>
          <w:rFonts w:hint="default"/>
        </w:rPr>
        <w:t>P SR)</w:t>
      </w:r>
      <w:r>
        <w:t xml:space="preserve"> s </w:t>
      </w:r>
      <w:r>
        <w:rPr>
          <w:rFonts w:hint="default"/>
        </w:rPr>
        <w:t>cieľ</w:t>
      </w:r>
      <w:r>
        <w:rPr>
          <w:rFonts w:hint="default"/>
        </w:rPr>
        <w:t>mi koncipovať</w:t>
      </w:r>
      <w:r>
        <w:rPr>
          <w:rFonts w:hint="default"/>
        </w:rPr>
        <w:t xml:space="preserve"> a </w:t>
      </w:r>
      <w:r>
        <w:rPr>
          <w:rFonts w:hint="default"/>
        </w:rPr>
        <w:t>uplatň</w:t>
      </w:r>
      <w:r>
        <w:rPr>
          <w:rFonts w:hint="default"/>
        </w:rPr>
        <w:t>ovať</w:t>
      </w:r>
      <w:r>
        <w:rPr>
          <w:rFonts w:hint="default"/>
        </w:rPr>
        <w:t xml:space="preserve"> environmentá</w:t>
      </w:r>
      <w:r>
        <w:rPr>
          <w:rFonts w:hint="default"/>
        </w:rPr>
        <w:t>lnu politiku a </w:t>
      </w:r>
      <w:r>
        <w:rPr>
          <w:rFonts w:hint="default"/>
        </w:rPr>
        <w:t>prá</w:t>
      </w:r>
      <w:r>
        <w:rPr>
          <w:rFonts w:hint="default"/>
        </w:rPr>
        <w:t>vo, vykoná</w:t>
      </w:r>
      <w:r>
        <w:rPr>
          <w:rFonts w:hint="default"/>
        </w:rPr>
        <w:t>vať</w:t>
      </w:r>
      <w:r>
        <w:rPr>
          <w:rFonts w:hint="default"/>
        </w:rPr>
        <w:t xml:space="preserve"> inš</w:t>
      </w:r>
      <w:r>
        <w:rPr>
          <w:rFonts w:hint="default"/>
        </w:rPr>
        <w:t>pekciu ž</w:t>
      </w:r>
      <w:r>
        <w:rPr>
          <w:rFonts w:hint="default"/>
        </w:rPr>
        <w:t>ivotné</w:t>
      </w:r>
      <w:r>
        <w:rPr>
          <w:rFonts w:hint="default"/>
        </w:rPr>
        <w:t>ho prostredia a </w:t>
      </w:r>
      <w:r>
        <w:rPr>
          <w:rFonts w:hint="default"/>
        </w:rPr>
        <w:t>zabezpeč</w:t>
      </w:r>
      <w:r>
        <w:rPr>
          <w:rFonts w:hint="default"/>
        </w:rPr>
        <w:t>ovať</w:t>
      </w:r>
      <w:r>
        <w:rPr>
          <w:rFonts w:hint="default"/>
        </w:rPr>
        <w:t xml:space="preserve"> integrovanú</w:t>
      </w:r>
      <w:r>
        <w:rPr>
          <w:rFonts w:hint="default"/>
        </w:rPr>
        <w:t xml:space="preserve"> starostlivo</w:t>
      </w:r>
      <w:r>
        <w:rPr>
          <w:rFonts w:hint="default"/>
        </w:rPr>
        <w:t>sť</w:t>
      </w:r>
      <w:r>
        <w:rPr>
          <w:rFonts w:hint="default"/>
        </w:rPr>
        <w:t xml:space="preserve"> o </w:t>
      </w:r>
      <w:r>
        <w:rPr>
          <w:rFonts w:hint="default"/>
        </w:rPr>
        <w:t>ž</w:t>
      </w:r>
      <w:r>
        <w:rPr>
          <w:rFonts w:hint="default"/>
        </w:rPr>
        <w:t>ivotné</w:t>
      </w:r>
      <w:r>
        <w:rPr>
          <w:rFonts w:hint="default"/>
        </w:rPr>
        <w:t xml:space="preserve"> prostredie. Program je delený</w:t>
      </w:r>
      <w:r>
        <w:rPr>
          <w:rFonts w:hint="default"/>
        </w:rPr>
        <w:t xml:space="preserve"> do š</w:t>
      </w:r>
      <w:r>
        <w:rPr>
          <w:rFonts w:hint="default"/>
        </w:rPr>
        <w:t>iestich podprogramov: Koncipovanie a </w:t>
      </w:r>
      <w:r>
        <w:rPr>
          <w:rFonts w:hint="default"/>
        </w:rPr>
        <w:t>riadenie environmentá</w:t>
      </w:r>
      <w:r>
        <w:rPr>
          <w:rFonts w:hint="default"/>
        </w:rPr>
        <w:t>lnej politiky, koordiná</w:t>
      </w:r>
      <w:r>
        <w:rPr>
          <w:rFonts w:hint="default"/>
        </w:rPr>
        <w:t>cia programov, Inš</w:t>
      </w:r>
      <w:r>
        <w:rPr>
          <w:rFonts w:hint="default"/>
        </w:rPr>
        <w:t>pekč</w:t>
      </w:r>
      <w:r>
        <w:rPr>
          <w:rFonts w:hint="default"/>
        </w:rPr>
        <w:t>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>, Technická</w:t>
      </w:r>
      <w:r>
        <w:rPr>
          <w:rFonts w:hint="default"/>
        </w:rPr>
        <w:t xml:space="preserve"> pomoc, posilnenie inš</w:t>
      </w:r>
      <w:r>
        <w:rPr>
          <w:rFonts w:hint="default"/>
        </w:rPr>
        <w:t>titucioná</w:t>
      </w:r>
      <w:r>
        <w:rPr>
          <w:rFonts w:hint="default"/>
        </w:rPr>
        <w:t>lnych kapací</w:t>
      </w:r>
      <w:r>
        <w:rPr>
          <w:rFonts w:hint="default"/>
        </w:rPr>
        <w:t>t, Integrovaná</w:t>
      </w:r>
      <w:r>
        <w:rPr>
          <w:rFonts w:hint="default"/>
        </w:rPr>
        <w:t xml:space="preserve"> starostlivosť</w:t>
      </w:r>
      <w:r>
        <w:rPr>
          <w:rFonts w:hint="default"/>
        </w:rPr>
        <w:t xml:space="preserve"> o </w:t>
      </w:r>
      <w:r>
        <w:rPr>
          <w:rFonts w:hint="default"/>
        </w:rPr>
        <w:t>ž</w:t>
      </w:r>
      <w:r>
        <w:rPr>
          <w:rFonts w:hint="default"/>
        </w:rPr>
        <w:t>ivotné</w:t>
      </w:r>
      <w:r>
        <w:rPr>
          <w:rFonts w:hint="default"/>
        </w:rPr>
        <w:t xml:space="preserve"> pr</w:t>
      </w:r>
      <w:r>
        <w:rPr>
          <w:rFonts w:hint="default"/>
        </w:rPr>
        <w:t>o</w:t>
      </w:r>
      <w:r>
        <w:rPr>
          <w:rFonts w:hint="default"/>
        </w:rPr>
        <w:t>stredie, Ú</w:t>
      </w:r>
      <w:r>
        <w:rPr>
          <w:rFonts w:hint="default"/>
        </w:rPr>
        <w:t>rady ž</w:t>
      </w:r>
      <w:r>
        <w:rPr>
          <w:rFonts w:hint="default"/>
        </w:rPr>
        <w:t>ivotné</w:t>
      </w:r>
      <w:r>
        <w:rPr>
          <w:rFonts w:hint="default"/>
        </w:rPr>
        <w:t>ho prostredia, Plnenie medziná</w:t>
      </w:r>
      <w:r>
        <w:rPr>
          <w:rFonts w:hint="default"/>
        </w:rPr>
        <w:t>rodný</w:t>
      </w:r>
      <w:r>
        <w:rPr>
          <w:rFonts w:hint="default"/>
        </w:rPr>
        <w:t>ch zmlú</w:t>
      </w:r>
      <w:r>
        <w:rPr>
          <w:rFonts w:hint="default"/>
        </w:rPr>
        <w:t>v v </w:t>
      </w:r>
      <w:r>
        <w:rPr>
          <w:rFonts w:hint="default"/>
        </w:rPr>
        <w:t>sú</w:t>
      </w:r>
      <w:r>
        <w:rPr>
          <w:rFonts w:hint="default"/>
        </w:rPr>
        <w:t>vislosti s </w:t>
      </w:r>
      <w:r>
        <w:rPr>
          <w:rFonts w:hint="default"/>
        </w:rPr>
        <w:t>vý</w:t>
      </w:r>
      <w:r>
        <w:rPr>
          <w:rFonts w:hint="default"/>
        </w:rPr>
        <w:t>stavou vodný</w:t>
      </w:r>
      <w:r>
        <w:rPr>
          <w:rFonts w:hint="default"/>
        </w:rPr>
        <w:t>ch diel Gabčí</w:t>
      </w:r>
      <w:r>
        <w:rPr>
          <w:rFonts w:hint="default"/>
        </w:rPr>
        <w:t>kovo</w:t>
      </w:r>
      <w:r w:rsidR="00C0319B">
        <w:t> </w:t>
      </w:r>
      <w:r>
        <w:t>-</w:t>
      </w:r>
      <w:r w:rsidR="00C0319B">
        <w:t> </w:t>
      </w:r>
      <w:r>
        <w:t>Nagymaros.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>
        <w:t xml:space="preserve">Program </w:t>
      </w:r>
      <w:r w:rsidRPr="009D7576">
        <w:rPr>
          <w:rFonts w:hint="default"/>
          <w:b/>
        </w:rPr>
        <w:t>„</w:t>
      </w:r>
      <w:r w:rsidRPr="009D7576">
        <w:rPr>
          <w:rFonts w:hint="default"/>
          <w:b/>
        </w:rPr>
        <w:t>Regioná</w:t>
      </w:r>
      <w:r w:rsidRPr="009D7576">
        <w:rPr>
          <w:rFonts w:hint="default"/>
          <w:b/>
        </w:rPr>
        <w:t>lny rozvoj“</w:t>
      </w:r>
      <w:r>
        <w:rPr>
          <w:rFonts w:hint="default"/>
        </w:rPr>
        <w:t xml:space="preserve"> je č</w:t>
      </w:r>
      <w:r>
        <w:rPr>
          <w:rFonts w:hint="default"/>
        </w:rPr>
        <w:t>lenený</w:t>
      </w:r>
      <w:r>
        <w:rPr>
          <w:rFonts w:hint="default"/>
        </w:rPr>
        <w:t xml:space="preserve"> do desiatich podprogramov: Podpora rozvoja regioná</w:t>
      </w:r>
      <w:r>
        <w:rPr>
          <w:rFonts w:hint="default"/>
        </w:rPr>
        <w:t>lnych aktiví</w:t>
      </w:r>
      <w:r>
        <w:rPr>
          <w:rFonts w:hint="default"/>
        </w:rPr>
        <w:t>t, Program iniciatí</w:t>
      </w:r>
      <w:r>
        <w:rPr>
          <w:rFonts w:hint="default"/>
        </w:rPr>
        <w:t>vy Spoloč</w:t>
      </w:r>
      <w:r>
        <w:rPr>
          <w:rFonts w:hint="default"/>
        </w:rPr>
        <w:t>e</w:t>
      </w:r>
      <w:r>
        <w:rPr>
          <w:rFonts w:hint="default"/>
        </w:rPr>
        <w:t>nstva INTERREG IIIA, Loká</w:t>
      </w:r>
      <w:r>
        <w:rPr>
          <w:rFonts w:hint="default"/>
        </w:rPr>
        <w:t>lna infraš</w:t>
      </w:r>
      <w:r>
        <w:rPr>
          <w:rFonts w:hint="default"/>
        </w:rPr>
        <w:t>truktú</w:t>
      </w:r>
      <w:r>
        <w:rPr>
          <w:rFonts w:hint="default"/>
        </w:rPr>
        <w:t>ra, Jednotný</w:t>
      </w:r>
      <w:r>
        <w:rPr>
          <w:rFonts w:hint="default"/>
        </w:rPr>
        <w:t xml:space="preserve"> programový</w:t>
      </w:r>
      <w:r>
        <w:rPr>
          <w:rFonts w:hint="default"/>
        </w:rPr>
        <w:t xml:space="preserve"> dokumen</w:t>
      </w:r>
      <w:r w:rsidR="002669F9">
        <w:t xml:space="preserve">t NUTS II </w:t>
      </w:r>
      <w:r w:rsidR="002669F9">
        <w:rPr>
          <w:rFonts w:hint="default"/>
        </w:rPr>
        <w:t>–</w:t>
      </w:r>
      <w:r w:rsidR="002669F9">
        <w:rPr>
          <w:rFonts w:hint="default"/>
        </w:rPr>
        <w:t xml:space="preserve"> Bratislava Cieľ</w:t>
      </w:r>
      <w:r w:rsidR="002669F9">
        <w:rPr>
          <w:rFonts w:hint="default"/>
        </w:rPr>
        <w:t xml:space="preserve"> 2, o</w:t>
      </w:r>
      <w:r>
        <w:rPr>
          <w:rFonts w:hint="default"/>
        </w:rPr>
        <w:t>perač</w:t>
      </w:r>
      <w:r>
        <w:rPr>
          <w:rFonts w:hint="default"/>
        </w:rPr>
        <w:t>ný</w:t>
      </w:r>
      <w:r>
        <w:rPr>
          <w:rFonts w:hint="default"/>
        </w:rPr>
        <w:t xml:space="preserve"> program Bratislavský</w:t>
      </w:r>
      <w:r>
        <w:rPr>
          <w:rFonts w:hint="default"/>
        </w:rPr>
        <w:t xml:space="preserve"> kraj, Regioná</w:t>
      </w:r>
      <w:r>
        <w:rPr>
          <w:rFonts w:hint="default"/>
        </w:rPr>
        <w:t>lny operač</w:t>
      </w:r>
      <w:r>
        <w:rPr>
          <w:rFonts w:hint="default"/>
        </w:rPr>
        <w:t>ný</w:t>
      </w:r>
      <w:r>
        <w:rPr>
          <w:rFonts w:hint="default"/>
        </w:rPr>
        <w:t xml:space="preserve"> program, Cezhranič</w:t>
      </w:r>
      <w:r>
        <w:rPr>
          <w:rFonts w:hint="default"/>
        </w:rPr>
        <w:t>ná</w:t>
      </w:r>
      <w:r>
        <w:rPr>
          <w:rFonts w:hint="default"/>
        </w:rPr>
        <w:t xml:space="preserve"> spoluprá</w:t>
      </w:r>
      <w:r>
        <w:rPr>
          <w:rFonts w:hint="default"/>
        </w:rPr>
        <w:t xml:space="preserve">ca SR </w:t>
      </w:r>
      <w:r>
        <w:rPr>
          <w:rFonts w:hint="default"/>
        </w:rPr>
        <w:t>–</w:t>
      </w:r>
      <w:r>
        <w:rPr>
          <w:rFonts w:hint="default"/>
        </w:rPr>
        <w:t xml:space="preserve"> Č</w:t>
      </w:r>
      <w:r>
        <w:rPr>
          <w:rFonts w:hint="default"/>
        </w:rPr>
        <w:t>R, Cezhranič</w:t>
      </w:r>
      <w:r>
        <w:rPr>
          <w:rFonts w:hint="default"/>
        </w:rPr>
        <w:t>ná</w:t>
      </w:r>
      <w:r>
        <w:rPr>
          <w:rFonts w:hint="default"/>
        </w:rPr>
        <w:t xml:space="preserve"> spoluprá</w:t>
      </w:r>
      <w:r>
        <w:rPr>
          <w:rFonts w:hint="default"/>
        </w:rPr>
        <w:t xml:space="preserve">ca HU </w:t>
      </w:r>
      <w:r>
        <w:rPr>
          <w:rFonts w:hint="default"/>
        </w:rPr>
        <w:t>–</w:t>
      </w:r>
      <w:r>
        <w:rPr>
          <w:rFonts w:hint="default"/>
        </w:rPr>
        <w:t xml:space="preserve"> SR, Cezhranič</w:t>
      </w:r>
      <w:r>
        <w:rPr>
          <w:rFonts w:hint="default"/>
        </w:rPr>
        <w:t>ná</w:t>
      </w:r>
      <w:r>
        <w:rPr>
          <w:rFonts w:hint="default"/>
        </w:rPr>
        <w:t xml:space="preserve"> spoluprá</w:t>
      </w:r>
      <w:r>
        <w:rPr>
          <w:rFonts w:hint="default"/>
        </w:rPr>
        <w:t>ca A</w:t>
      </w:r>
      <w:r>
        <w:rPr>
          <w:rFonts w:hint="default"/>
        </w:rPr>
        <w:t xml:space="preserve">T </w:t>
      </w:r>
      <w:r>
        <w:rPr>
          <w:rFonts w:hint="default"/>
        </w:rPr>
        <w:t>–</w:t>
      </w:r>
      <w:r>
        <w:rPr>
          <w:rFonts w:hint="default"/>
        </w:rPr>
        <w:t xml:space="preserve"> SK, Cezhranič</w:t>
      </w:r>
      <w:r>
        <w:rPr>
          <w:rFonts w:hint="default"/>
        </w:rPr>
        <w:t>ná</w:t>
      </w:r>
      <w:r>
        <w:rPr>
          <w:rFonts w:hint="default"/>
        </w:rPr>
        <w:t xml:space="preserve"> spoluprá</w:t>
      </w:r>
      <w:r>
        <w:rPr>
          <w:rFonts w:hint="default"/>
        </w:rPr>
        <w:t xml:space="preserve">ca PL </w:t>
      </w:r>
      <w:r>
        <w:rPr>
          <w:rFonts w:hint="default"/>
        </w:rPr>
        <w:t>–</w:t>
      </w:r>
      <w:r>
        <w:rPr>
          <w:rFonts w:hint="default"/>
        </w:rPr>
        <w:t xml:space="preserve"> SK. Zá</w:t>
      </w:r>
      <w:r>
        <w:rPr>
          <w:rFonts w:hint="default"/>
        </w:rPr>
        <w:t>merom programu je sociá</w:t>
      </w:r>
      <w:r>
        <w:rPr>
          <w:rFonts w:hint="default"/>
        </w:rPr>
        <w:t>lno</w:t>
      </w:r>
      <w:r w:rsidR="00C0319B">
        <w:t xml:space="preserve"> </w:t>
      </w:r>
      <w:r>
        <w:t>-</w:t>
      </w:r>
      <w:r w:rsidR="00C0319B">
        <w:t xml:space="preserve"> </w:t>
      </w:r>
      <w:r>
        <w:rPr>
          <w:rFonts w:hint="default"/>
        </w:rPr>
        <w:t>ekonomická</w:t>
      </w:r>
      <w:r>
        <w:rPr>
          <w:rFonts w:hint="default"/>
        </w:rPr>
        <w:t xml:space="preserve"> vyrovnanosť</w:t>
      </w:r>
      <w:r>
        <w:rPr>
          <w:rFonts w:hint="default"/>
        </w:rPr>
        <w:t xml:space="preserve"> regió</w:t>
      </w:r>
      <w:r>
        <w:rPr>
          <w:rFonts w:hint="default"/>
        </w:rPr>
        <w:t>nov.</w:t>
      </w:r>
    </w:p>
    <w:p w:rsidR="00B7154C" w:rsidP="00B7154C">
      <w:pPr>
        <w:tabs>
          <w:tab w:val="left" w:pos="709"/>
        </w:tabs>
        <w:bidi w:val="0"/>
        <w:rPr>
          <w:rFonts w:hint="default"/>
        </w:rPr>
      </w:pPr>
      <w:r w:rsidR="008037B0">
        <w:t>Ciele za</w:t>
      </w:r>
      <w:r>
        <w:rPr>
          <w:rFonts w:hint="default"/>
        </w:rPr>
        <w:t>definované</w:t>
      </w:r>
      <w:r>
        <w:rPr>
          <w:rFonts w:hint="default"/>
        </w:rPr>
        <w:t xml:space="preserve"> v </w:t>
      </w:r>
      <w:r>
        <w:rPr>
          <w:rFonts w:hint="default"/>
        </w:rPr>
        <w:t>programovej š</w:t>
      </w:r>
      <w:r>
        <w:rPr>
          <w:rFonts w:hint="default"/>
        </w:rPr>
        <w:t>trukt</w:t>
      </w:r>
      <w:r w:rsidR="00485B11">
        <w:rPr>
          <w:rFonts w:hint="default"/>
        </w:rPr>
        <w:t>ú</w:t>
      </w:r>
      <w:r w:rsidR="00485B11">
        <w:rPr>
          <w:rFonts w:hint="default"/>
        </w:rPr>
        <w:t>re kapitoly MPRV SR na rok 201</w:t>
      </w:r>
      <w:r>
        <w:rPr>
          <w:rFonts w:hint="default"/>
        </w:rPr>
        <w:t>0 boli so zreteľ</w:t>
      </w:r>
      <w:r>
        <w:rPr>
          <w:rFonts w:hint="default"/>
        </w:rPr>
        <w:t xml:space="preserve">om na </w:t>
      </w:r>
      <w:r w:rsidR="00485B11">
        <w:rPr>
          <w:rFonts w:hint="default"/>
        </w:rPr>
        <w:t>stanovené</w:t>
      </w:r>
      <w:r w:rsidR="00485B11">
        <w:rPr>
          <w:rFonts w:hint="default"/>
        </w:rPr>
        <w:t xml:space="preserve"> zá</w:t>
      </w:r>
      <w:r w:rsidR="00485B11">
        <w:rPr>
          <w:rFonts w:hint="default"/>
        </w:rPr>
        <w:t>mery</w:t>
      </w:r>
      <w:r>
        <w:rPr>
          <w:rFonts w:hint="default"/>
        </w:rPr>
        <w:t xml:space="preserve"> programov dosiahnuté</w:t>
      </w:r>
      <w:r>
        <w:rPr>
          <w:rFonts w:hint="default"/>
        </w:rPr>
        <w:t>. Pri niektorý</w:t>
      </w:r>
      <w:r>
        <w:rPr>
          <w:rFonts w:hint="default"/>
        </w:rPr>
        <w:t>ch cieľ</w:t>
      </w:r>
      <w:r>
        <w:rPr>
          <w:rFonts w:hint="default"/>
        </w:rPr>
        <w:t>oc</w:t>
      </w:r>
      <w:r>
        <w:rPr>
          <w:rFonts w:hint="default"/>
        </w:rPr>
        <w:t xml:space="preserve">h </w:t>
      </w:r>
      <w:r w:rsidR="00485B11">
        <w:t>vznikli</w:t>
      </w:r>
      <w:r>
        <w:rPr>
          <w:rFonts w:hint="default"/>
        </w:rPr>
        <w:t xml:space="preserve"> problé</w:t>
      </w:r>
      <w:r>
        <w:rPr>
          <w:rFonts w:hint="default"/>
        </w:rPr>
        <w:t>my s </w:t>
      </w:r>
      <w:r>
        <w:rPr>
          <w:rFonts w:hint="default"/>
        </w:rPr>
        <w:t>plnení</w:t>
      </w:r>
      <w:r>
        <w:rPr>
          <w:rFonts w:hint="default"/>
        </w:rPr>
        <w:t>m a </w:t>
      </w:r>
      <w:r>
        <w:rPr>
          <w:rFonts w:hint="default"/>
        </w:rPr>
        <w:t>to najmä</w:t>
      </w:r>
      <w:r>
        <w:rPr>
          <w:rFonts w:hint="default"/>
        </w:rPr>
        <w:t xml:space="preserve"> v </w:t>
      </w:r>
      <w:r>
        <w:rPr>
          <w:rFonts w:hint="default"/>
        </w:rPr>
        <w:t>sú</w:t>
      </w:r>
      <w:r>
        <w:rPr>
          <w:rFonts w:hint="default"/>
        </w:rPr>
        <w:t>vislosti s </w:t>
      </w:r>
      <w:r>
        <w:rPr>
          <w:rFonts w:hint="default"/>
        </w:rPr>
        <w:t>krá</w:t>
      </w:r>
      <w:r>
        <w:rPr>
          <w:rFonts w:hint="default"/>
        </w:rPr>
        <w:t>tení</w:t>
      </w:r>
      <w:r>
        <w:rPr>
          <w:rFonts w:hint="default"/>
        </w:rPr>
        <w:t>m rozpoč</w:t>
      </w:r>
      <w:r>
        <w:rPr>
          <w:rFonts w:hint="default"/>
        </w:rPr>
        <w:t>tu vý</w:t>
      </w:r>
      <w:r>
        <w:rPr>
          <w:rFonts w:hint="default"/>
        </w:rPr>
        <w:t>davkov na ich realizá</w:t>
      </w:r>
      <w:r>
        <w:rPr>
          <w:rFonts w:hint="default"/>
        </w:rPr>
        <w:t>ciu.</w:t>
      </w:r>
    </w:p>
    <w:p w:rsidR="00B7154C" w:rsidRPr="0071068A" w:rsidP="00B7154C">
      <w:pPr>
        <w:tabs>
          <w:tab w:val="left" w:pos="709"/>
        </w:tabs>
        <w:bidi w:val="0"/>
      </w:pPr>
      <w:r w:rsidRPr="0071068A">
        <w:rPr>
          <w:rFonts w:hint="default"/>
          <w:bCs/>
        </w:rPr>
        <w:t>Zá</w:t>
      </w:r>
      <w:r w:rsidRPr="0071068A">
        <w:rPr>
          <w:rFonts w:hint="default"/>
          <w:bCs/>
        </w:rPr>
        <w:t>vä</w:t>
      </w:r>
      <w:r w:rsidRPr="0071068A">
        <w:rPr>
          <w:rFonts w:hint="default"/>
          <w:bCs/>
        </w:rPr>
        <w:t>zné</w:t>
      </w:r>
      <w:r w:rsidRPr="0071068A">
        <w:rPr>
          <w:rFonts w:hint="default"/>
          <w:bCs/>
        </w:rPr>
        <w:t xml:space="preserve"> ukazovatele kapitoly vo vý</w:t>
      </w:r>
      <w:r w:rsidRPr="0071068A">
        <w:rPr>
          <w:rFonts w:hint="default"/>
          <w:bCs/>
        </w:rPr>
        <w:t>davkoch boli v </w:t>
      </w:r>
      <w:r w:rsidRPr="0071068A">
        <w:rPr>
          <w:rFonts w:hint="default"/>
          <w:bCs/>
        </w:rPr>
        <w:t>roku 2010 splnené</w:t>
      </w:r>
      <w:r w:rsidRPr="0071068A">
        <w:rPr>
          <w:rFonts w:hint="default"/>
          <w:bCs/>
        </w:rPr>
        <w:t xml:space="preserve"> na</w:t>
      </w:r>
      <w:r>
        <w:rPr>
          <w:bCs/>
        </w:rPr>
        <w:t xml:space="preserve"> 98,1</w:t>
      </w:r>
      <w:r w:rsidR="00440106">
        <w:rPr>
          <w:bCs/>
        </w:rPr>
        <w:t> </w:t>
      </w:r>
      <w:r w:rsidR="00440106">
        <w:rPr>
          <w:bCs/>
        </w:rPr>
        <w:t>%</w:t>
      </w:r>
      <w:r>
        <w:rPr>
          <w:bCs/>
        </w:rPr>
        <w:t>.</w:t>
      </w:r>
    </w:p>
    <w:p w:rsidR="00B7154C" w:rsidP="001262F0">
      <w:pPr>
        <w:keepNext/>
        <w:tabs>
          <w:tab w:val="left" w:pos="709"/>
        </w:tabs>
        <w:bidi w:val="0"/>
        <w:ind w:firstLine="0"/>
        <w:rPr>
          <w:rFonts w:eastAsia="Times New Roman"/>
          <w:b/>
          <w:bCs/>
          <w:color w:val="000000"/>
          <w:sz w:val="22"/>
          <w:szCs w:val="22"/>
          <w:lang w:eastAsia="sk-SK"/>
        </w:rPr>
      </w:pPr>
      <w:r w:rsidRPr="00752E55" w:rsidR="001262F0">
        <w:rPr>
          <w:rFonts w:eastAsia="Times New Roman"/>
          <w:b/>
          <w:bCs/>
          <w:color w:val="000000"/>
          <w:sz w:val="22"/>
          <w:szCs w:val="22"/>
          <w:lang w:eastAsia="sk-SK"/>
        </w:rPr>
        <w:t>Rozpočtové výdavky na podporu poľnohospodárstva v roku 2010</w:t>
      </w:r>
    </w:p>
    <w:p w:rsidR="001262F0" w:rsidRPr="003D5230" w:rsidP="001262F0">
      <w:pPr>
        <w:keepNext/>
        <w:tabs>
          <w:tab w:val="left" w:pos="709"/>
        </w:tabs>
        <w:bidi w:val="0"/>
        <w:ind w:firstLine="0"/>
      </w:pPr>
      <w:r w:rsidRPr="006F3490">
        <w:rPr>
          <w:rFonts w:eastAsia="Times New Roman"/>
          <w:bCs/>
          <w:sz w:val="22"/>
          <w:szCs w:val="22"/>
          <w:lang w:eastAsia="sk-SK"/>
        </w:rPr>
        <w:t>v €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                                                                                                               </w:t>
      </w:r>
      <w:r w:rsidR="003D5230">
        <w:rPr>
          <w:rFonts w:eastAsia="Times New Roman"/>
          <w:b/>
          <w:bCs/>
          <w:sz w:val="22"/>
          <w:szCs w:val="22"/>
          <w:lang w:eastAsia="sk-SK"/>
        </w:rPr>
        <w:t xml:space="preserve">  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            </w:t>
      </w:r>
      <w:r w:rsidRPr="001262F0">
        <w:rPr>
          <w:rFonts w:eastAsia="Times New Roman"/>
          <w:bCs/>
          <w:sz w:val="22"/>
          <w:szCs w:val="22"/>
          <w:lang w:eastAsia="sk-SK"/>
        </w:rPr>
        <w:t>Tabuľka č.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Pr="003D5230" w:rsidR="003D5230">
        <w:rPr>
          <w:rFonts w:eastAsia="Times New Roman"/>
          <w:bCs/>
          <w:sz w:val="22"/>
          <w:szCs w:val="22"/>
          <w:lang w:eastAsia="sk-SK"/>
        </w:rPr>
        <w:t>1</w:t>
      </w:r>
    </w:p>
    <w:tbl>
      <w:tblPr>
        <w:tblStyle w:val="TableNormal"/>
        <w:tblW w:w="9275" w:type="dxa"/>
        <w:tblInd w:w="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17"/>
        <w:gridCol w:w="1418"/>
        <w:gridCol w:w="1276"/>
        <w:gridCol w:w="1275"/>
        <w:gridCol w:w="993"/>
        <w:gridCol w:w="896"/>
      </w:tblGrid>
      <w:tr>
        <w:tblPrEx>
          <w:tblW w:w="9275" w:type="dxa"/>
          <w:tblInd w:w="55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17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  <w:p w:rsidR="00A669C9" w:rsidRPr="00A669C9" w:rsidP="001262F0">
            <w:pPr>
              <w:keepNext/>
              <w:bidi w:val="0"/>
              <w:spacing w:after="0" w:line="240" w:lineRule="auto"/>
              <w:jc w:val="center"/>
              <w:rPr>
                <w:rFonts w:eastAsia="Times New Roman"/>
                <w:color w:val="FFFFFF"/>
                <w:lang w:eastAsia="sk-SK"/>
              </w:rPr>
            </w:pPr>
            <w:r w:rsidR="00440106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Ukazovateľ</w:t>
            </w: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Pôvodný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Upravený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Skutočné</w:t>
            </w:r>
          </w:p>
        </w:tc>
        <w:tc>
          <w:tcPr>
            <w:tcW w:w="993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Index</w:t>
            </w:r>
          </w:p>
        </w:tc>
        <w:tc>
          <w:tcPr>
            <w:tcW w:w="896" w:type="dxa"/>
            <w:tcBorders>
              <w:top w:val="single" w:sz="12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008000"/>
            <w:textDirection w:val="lrTb"/>
            <w:vAlign w:val="bottom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Index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rozpočet</w:t>
            </w:r>
          </w:p>
        </w:tc>
        <w:tc>
          <w:tcPr>
            <w:tcW w:w="12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čerpanie</w:t>
            </w:r>
          </w:p>
        </w:tc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skut./pôv.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1262F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sz w:val="20"/>
                <w:szCs w:val="20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0"/>
                <w:szCs w:val="20"/>
                <w:lang w:eastAsia="sk-SK"/>
              </w:rPr>
              <w:t>skut./upr.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Trhovo orientované výdavky celkom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35 547 593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35 526 802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13 637 537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38,4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38,4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z toho: výdavky EÚ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32 807 310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32 807 310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10 918 045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33,3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33,3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          predfinancovanie zo ŠR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2 740 283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2 719 492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2 719 492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99,2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Priame platby celkom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360 397 960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337 645 238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337 645 238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93,7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2B014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="002B0146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SAPS – jednotná platba na plochu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260 050 000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E40F7A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259 849 129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259 849 129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6F4893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6F4893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99,9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C36EF" w:rsidP="00CC36EF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C36EF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        z toho prostriedky EÚ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219 700 000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E40F7A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230 544 937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230 544 937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6F4893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6F4893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104,9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C36EF" w:rsidP="00CC36EF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C36EF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        pohľadávka ŠR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40 350 000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E40F7A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29 304 192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29 304 192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6F4893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6F4893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72,6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C36EF" w:rsidP="00CC36EF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C36EF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Ostatné priame platby*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21 613 800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E40F7A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13 197 391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13 197 391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6F4893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6F4893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61,1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C36EF" w:rsidP="00CC36EF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C36EF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        z toho prostriedky EÚ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21 428 100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E40F7A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13 197 391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13 197 391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6F4893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6F4893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61,1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C36EF" w:rsidP="00CC36EF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C36EF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       pohľadávka ŠR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185 700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E40F7A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0,0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C36EF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C36EF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Národné vyrovnávacie platby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78 734 160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E40F7A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64 598 718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C36EF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64 598 718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82,1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CC36EF" w:rsidRPr="00CC36EF" w:rsidP="00CC36EF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C36EF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Rozvoj vidieka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651 154 167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481 077 683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481 077 683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73,9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Program rozvoja vidieka (2007</w:t>
            </w:r>
            <w:r w:rsidR="00C0319B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-</w:t>
            </w:r>
            <w:r w:rsidR="00C0319B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2013)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651 154 167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481 077 683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481 077 683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73,9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 tom: výdavky EÚ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489 708 793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367 768 970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367 768 970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75,1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spolufinancovanie zo ŠR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161 445 374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113 308 713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113 308 713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70,2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Európsky fond pre rybné  hospodárstvo (2007 - 2013)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B7154C" w:rsidRPr="00B7154C" w:rsidP="00C2259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3 186 776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B7154C" w:rsidRPr="00B7154C" w:rsidP="00C2259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1 970 879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B7154C" w:rsidRPr="00B7154C" w:rsidP="00C2259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1 970 879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B7154C" w:rsidRPr="00C22595" w:rsidP="00C2259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61,8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B7154C" w:rsidRPr="00C22595" w:rsidP="00C2259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 tom: výdavky EÚ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2 299 436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1 466 458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1 466 458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63,8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spolufinancovanie zo ŠR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887 340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504 421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504 421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56,8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100,0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Štátna pomoc+ost.</w:t>
            </w:r>
            <w:r w:rsidR="00F037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národné podpory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8 237 931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12 051 947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B7154C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="008055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8 931 849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2</w:t>
            </w:r>
            <w:r w:rsidR="008055F2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29</w:t>
            </w: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,</w:t>
            </w:r>
            <w:r w:rsidR="008055F2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</w:t>
            </w:r>
            <w:r w:rsidR="008055F2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57</w:t>
            </w: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,</w:t>
            </w:r>
            <w:r w:rsidR="008055F2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>
        <w:tblPrEx>
          <w:tblW w:w="92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7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SPOLU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1 058 524 427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1262F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26F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868 272 549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B7154C" w:rsidRPr="00B7154C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15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85</w:t>
            </w:r>
            <w:r w:rsidR="008055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3 263 186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C22595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80,</w:t>
            </w:r>
            <w:r w:rsidR="008055F2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B7154C" w:rsidRPr="00C22595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</w:pPr>
            <w:r w:rsidRPr="00826FFC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98,</w:t>
            </w:r>
            <w:r w:rsidRPr="00826FFC" w:rsidR="008055F2">
              <w:rPr>
                <w:rFonts w:eastAsia="Times New Roman"/>
                <w:iCs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</w:tbl>
    <w:p w:rsidR="00EB458E" w:rsidP="00EB458E">
      <w:pPr>
        <w:keepNext/>
        <w:bidi w:val="0"/>
        <w:spacing w:after="0" w:line="240" w:lineRule="auto"/>
        <w:ind w:firstLine="0"/>
        <w:rPr>
          <w:rFonts w:hint="default"/>
          <w:sz w:val="20"/>
          <w:szCs w:val="20"/>
        </w:rPr>
      </w:pPr>
      <w:r w:rsidRPr="001262F0" w:rsidR="00B7154C">
        <w:rPr>
          <w:rFonts w:hint="default"/>
          <w:sz w:val="20"/>
          <w:szCs w:val="20"/>
        </w:rPr>
        <w:t>Prameň</w:t>
      </w:r>
      <w:r w:rsidRPr="001262F0" w:rsidR="00B7154C">
        <w:rPr>
          <w:rFonts w:hint="default"/>
          <w:sz w:val="20"/>
          <w:szCs w:val="20"/>
        </w:rPr>
        <w:t>: MPRV SR</w:t>
      </w:r>
      <w:r>
        <w:rPr>
          <w:rFonts w:hint="default"/>
          <w:sz w:val="20"/>
          <w:szCs w:val="20"/>
        </w:rPr>
        <w:t>,  Ná</w:t>
      </w:r>
      <w:r>
        <w:rPr>
          <w:rFonts w:hint="default"/>
          <w:sz w:val="20"/>
          <w:szCs w:val="20"/>
        </w:rPr>
        <w:t>vrh zá</w:t>
      </w:r>
      <w:r>
        <w:rPr>
          <w:rFonts w:hint="default"/>
          <w:sz w:val="20"/>
          <w:szCs w:val="20"/>
        </w:rPr>
        <w:t>vereč</w:t>
      </w:r>
      <w:r>
        <w:rPr>
          <w:rFonts w:hint="default"/>
          <w:sz w:val="20"/>
          <w:szCs w:val="20"/>
        </w:rPr>
        <w:t>né</w:t>
      </w:r>
      <w:r>
        <w:rPr>
          <w:rFonts w:hint="default"/>
          <w:sz w:val="20"/>
          <w:szCs w:val="20"/>
        </w:rPr>
        <w:t>ho úč</w:t>
      </w:r>
      <w:r>
        <w:rPr>
          <w:rFonts w:hint="default"/>
          <w:sz w:val="20"/>
          <w:szCs w:val="20"/>
        </w:rPr>
        <w:t>tu za rok 2010</w:t>
      </w:r>
    </w:p>
    <w:tbl>
      <w:tblPr>
        <w:tblStyle w:val="TableNormal"/>
        <w:tblW w:w="9467" w:type="dxa"/>
        <w:tblLayout w:type="fixed"/>
        <w:tblCellMar>
          <w:left w:w="0" w:type="dxa"/>
          <w:right w:w="0" w:type="dxa"/>
        </w:tblCellMar>
      </w:tblPr>
      <w:tblGrid>
        <w:gridCol w:w="9467"/>
      </w:tblGrid>
      <w:tr>
        <w:tblPrEx>
          <w:tblW w:w="9467" w:type="dxa"/>
          <w:tblLayout w:type="fixed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B7154C" w:rsidRPr="004D2A7F" w:rsidP="001262F0">
            <w:pPr>
              <w:keepNext/>
              <w:tabs>
                <w:tab w:val="left" w:pos="709"/>
              </w:tabs>
              <w:bidi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D2A7F">
              <w:rPr>
                <w:sz w:val="20"/>
                <w:szCs w:val="20"/>
              </w:rPr>
              <w:t>*Ostatn</w:t>
            </w:r>
            <w:r w:rsidRPr="004D2A7F">
              <w:rPr>
                <w:rFonts w:hint="default"/>
                <w:sz w:val="20"/>
                <w:szCs w:val="20"/>
              </w:rPr>
              <w:t>é</w:t>
            </w:r>
            <w:r w:rsidRPr="004D2A7F">
              <w:rPr>
                <w:rFonts w:hint="default"/>
                <w:sz w:val="20"/>
                <w:szCs w:val="20"/>
              </w:rPr>
              <w:t xml:space="preserve"> priame platby: Osobitná</w:t>
            </w:r>
            <w:r w:rsidRPr="004D2A7F">
              <w:rPr>
                <w:rFonts w:hint="default"/>
                <w:sz w:val="20"/>
                <w:szCs w:val="20"/>
              </w:rPr>
              <w:t xml:space="preserve"> platba na cukor, energetické</w:t>
            </w:r>
            <w:r w:rsidRPr="004D2A7F">
              <w:rPr>
                <w:rFonts w:hint="default"/>
                <w:sz w:val="20"/>
                <w:szCs w:val="20"/>
              </w:rPr>
              <w:t xml:space="preserve"> plodiny, ovocie a</w:t>
            </w:r>
            <w:r w:rsidRPr="004D2A7F" w:rsidR="00440106">
              <w:rPr>
                <w:sz w:val="20"/>
                <w:szCs w:val="20"/>
              </w:rPr>
              <w:t> </w:t>
            </w:r>
            <w:r w:rsidRPr="004D2A7F">
              <w:rPr>
                <w:sz w:val="20"/>
                <w:szCs w:val="20"/>
              </w:rPr>
              <w:t>zelenina</w:t>
            </w:r>
          </w:p>
          <w:p w:rsidR="00440106" w:rsidRPr="004D2A7F" w:rsidP="001262F0">
            <w:pPr>
              <w:keepNext/>
              <w:tabs>
                <w:tab w:val="left" w:pos="709"/>
              </w:tabs>
              <w:bidi w:val="0"/>
              <w:spacing w:after="0" w:line="240" w:lineRule="auto"/>
              <w:ind w:firstLine="0"/>
              <w:rPr>
                <w:rFonts w:hint="default"/>
                <w:sz w:val="20"/>
                <w:szCs w:val="20"/>
              </w:rPr>
            </w:pPr>
            <w:r w:rsidRPr="004D2A7F">
              <w:rPr>
                <w:rFonts w:hint="default"/>
                <w:sz w:val="20"/>
                <w:szCs w:val="20"/>
              </w:rPr>
              <w:t>Š</w:t>
            </w:r>
            <w:r w:rsidRPr="004D2A7F">
              <w:rPr>
                <w:rFonts w:hint="default"/>
                <w:sz w:val="20"/>
                <w:szCs w:val="20"/>
              </w:rPr>
              <w:t>R = š</w:t>
            </w:r>
            <w:r w:rsidRPr="004D2A7F">
              <w:rPr>
                <w:rFonts w:hint="default"/>
                <w:sz w:val="20"/>
                <w:szCs w:val="20"/>
              </w:rPr>
              <w:t>tá</w:t>
            </w:r>
            <w:r w:rsidRPr="004D2A7F">
              <w:rPr>
                <w:rFonts w:hint="default"/>
                <w:sz w:val="20"/>
                <w:szCs w:val="20"/>
              </w:rPr>
              <w:t>tny rozpoč</w:t>
            </w:r>
            <w:r w:rsidRPr="004D2A7F">
              <w:rPr>
                <w:rFonts w:hint="default"/>
                <w:sz w:val="20"/>
                <w:szCs w:val="20"/>
              </w:rPr>
              <w:t>et</w:t>
            </w:r>
          </w:p>
        </w:tc>
      </w:tr>
      <w:tr>
        <w:tblPrEx>
          <w:tblW w:w="9467" w:type="dxa"/>
          <w:tblLayout w:type="fixed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B7154C" w:rsidP="001262F0">
            <w:pPr>
              <w:keepNext/>
              <w:tabs>
                <w:tab w:val="left" w:pos="709"/>
              </w:tabs>
              <w:bidi w:val="0"/>
              <w:spacing w:after="0" w:line="240" w:lineRule="auto"/>
              <w:ind w:firstLine="0"/>
              <w:rPr>
                <w:rFonts w:eastAsia="Arial Unicode MS" w:hint="default"/>
                <w:sz w:val="20"/>
                <w:szCs w:val="20"/>
              </w:rPr>
            </w:pPr>
            <w:r>
              <w:rPr>
                <w:rFonts w:eastAsia="Arial Unicode MS" w:hint="default"/>
                <w:sz w:val="20"/>
                <w:szCs w:val="20"/>
              </w:rPr>
              <w:t>Vypracoval: VÚ</w:t>
            </w:r>
            <w:r>
              <w:rPr>
                <w:rFonts w:eastAsia="Arial Unicode MS" w:hint="default"/>
                <w:sz w:val="20"/>
                <w:szCs w:val="20"/>
              </w:rPr>
              <w:t>EPP</w:t>
            </w:r>
          </w:p>
        </w:tc>
      </w:tr>
      <w:tr>
        <w:tblPrEx>
          <w:tblW w:w="9467" w:type="dxa"/>
          <w:tblLayout w:type="fixed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8055F2" w:rsidRPr="008055F2" w:rsidP="008055F2">
            <w:pPr>
              <w:keepNext/>
              <w:tabs>
                <w:tab w:val="left" w:pos="709"/>
              </w:tabs>
              <w:bidi w:val="0"/>
              <w:spacing w:after="0" w:line="240" w:lineRule="auto"/>
              <w:ind w:firstLine="0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F451B" w:rsidP="006F451B">
      <w:pPr>
        <w:bidi w:val="0"/>
      </w:pPr>
    </w:p>
    <w:p w:rsidR="006F451B" w:rsidP="006F451B">
      <w:pPr>
        <w:pStyle w:val="Heading2"/>
        <w:numPr>
          <w:numId w:val="10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Organizácia trhu s agrárnymi komoditami</w:t>
      </w:r>
    </w:p>
    <w:p w:rsidR="002B4982" w:rsidRPr="00AE4DE6" w:rsidP="00440106">
      <w:pPr>
        <w:bidi w:val="0"/>
        <w:rPr>
          <w:rFonts w:hint="default"/>
        </w:rPr>
      </w:pPr>
      <w:r w:rsidRPr="00AE4DE6">
        <w:t xml:space="preserve">Opatrenia </w:t>
      </w:r>
      <w:r w:rsidR="007C47CE">
        <w:t>na organizovanie</w:t>
      </w:r>
      <w:r w:rsidRPr="00AE4DE6">
        <w:rPr>
          <w:rFonts w:hint="default"/>
        </w:rPr>
        <w:t xml:space="preserve"> trhu realizuje Pô</w:t>
      </w:r>
      <w:r w:rsidRPr="00AE4DE6">
        <w:rPr>
          <w:rFonts w:hint="default"/>
        </w:rPr>
        <w:t>dohospodá</w:t>
      </w:r>
      <w:r w:rsidR="00440106">
        <w:rPr>
          <w:rFonts w:hint="default"/>
        </w:rPr>
        <w:t>rska platobná</w:t>
      </w:r>
      <w:r w:rsidR="00440106">
        <w:rPr>
          <w:rFonts w:hint="default"/>
        </w:rPr>
        <w:t xml:space="preserve"> agentú</w:t>
      </w:r>
      <w:r w:rsidR="00440106">
        <w:rPr>
          <w:rFonts w:hint="default"/>
        </w:rPr>
        <w:t>ra (PPA) </w:t>
      </w:r>
      <w:r w:rsidR="00440106">
        <w:rPr>
          <w:rFonts w:hint="default"/>
        </w:rPr>
        <w:noBreakHyphen/>
        <w:t> </w:t>
      </w:r>
      <w:r w:rsidR="002669F9">
        <w:t>s</w:t>
      </w:r>
      <w:r w:rsidRPr="00AE4DE6">
        <w:t>ekcia</w:t>
      </w:r>
      <w:r w:rsidRPr="00AE4DE6">
        <w:t xml:space="preserve"> organi</w:t>
      </w:r>
      <w:r w:rsidR="00443477">
        <w:rPr>
          <w:rFonts w:hint="default"/>
        </w:rPr>
        <w:t>zá</w:t>
      </w:r>
      <w:r w:rsidR="00443477">
        <w:rPr>
          <w:rFonts w:hint="default"/>
        </w:rPr>
        <w:t xml:space="preserve">cie trhu. </w:t>
      </w:r>
      <w:r w:rsidRPr="00AE4DE6">
        <w:rPr>
          <w:rFonts w:hint="default"/>
        </w:rPr>
        <w:t>Organizá</w:t>
      </w:r>
      <w:r w:rsidRPr="00AE4DE6">
        <w:rPr>
          <w:rFonts w:hint="default"/>
        </w:rPr>
        <w:t>cia trhu s komoditami sa postupne zač</w:t>
      </w:r>
      <w:r w:rsidRPr="00AE4DE6">
        <w:rPr>
          <w:rFonts w:hint="default"/>
        </w:rPr>
        <w:t>leň</w:t>
      </w:r>
      <w:r w:rsidRPr="00AE4DE6">
        <w:rPr>
          <w:rFonts w:hint="default"/>
        </w:rPr>
        <w:t>ovala pod jednotnú</w:t>
      </w:r>
      <w:r w:rsidRPr="00AE4DE6">
        <w:rPr>
          <w:rFonts w:hint="default"/>
        </w:rPr>
        <w:t xml:space="preserve"> organizá</w:t>
      </w:r>
      <w:r w:rsidRPr="00AE4DE6">
        <w:rPr>
          <w:rFonts w:hint="default"/>
        </w:rPr>
        <w:t>ciu poľ</w:t>
      </w:r>
      <w:r w:rsidRPr="00AE4DE6">
        <w:rPr>
          <w:rFonts w:hint="default"/>
        </w:rPr>
        <w:t>nohospodá</w:t>
      </w:r>
      <w:r w:rsidRPr="00AE4DE6">
        <w:rPr>
          <w:rFonts w:hint="default"/>
        </w:rPr>
        <w:t>rskych trhov podľ</w:t>
      </w:r>
      <w:r w:rsidRPr="00AE4DE6">
        <w:rPr>
          <w:rFonts w:hint="default"/>
        </w:rPr>
        <w:t xml:space="preserve">a </w:t>
      </w:r>
      <w:r w:rsidR="00F70B7E">
        <w:t>n</w:t>
      </w:r>
      <w:r w:rsidRPr="00AE4DE6">
        <w:rPr>
          <w:rFonts w:hint="default"/>
        </w:rPr>
        <w:t>ariadenia Rady (ES) č</w:t>
      </w:r>
      <w:r w:rsidRPr="00AE4DE6">
        <w:rPr>
          <w:rFonts w:hint="default"/>
        </w:rPr>
        <w:t>. 1234/2007. Podpora spoloč</w:t>
      </w:r>
      <w:r w:rsidRPr="00AE4DE6">
        <w:rPr>
          <w:rFonts w:hint="default"/>
        </w:rPr>
        <w:t>nej organizá</w:t>
      </w:r>
      <w:r w:rsidRPr="00AE4DE6">
        <w:rPr>
          <w:rFonts w:hint="default"/>
        </w:rPr>
        <w:t>cie trhu predstavovala nasledovné</w:t>
      </w:r>
      <w:r w:rsidRPr="00AE4DE6">
        <w:rPr>
          <w:rFonts w:hint="default"/>
        </w:rPr>
        <w:t xml:space="preserve"> formy:</w:t>
      </w:r>
    </w:p>
    <w:p w:rsidR="002B4982" w:rsidRPr="00AE4DE6" w:rsidP="00C22595">
      <w:pPr>
        <w:bidi w:val="0"/>
        <w:ind w:firstLine="0"/>
      </w:pPr>
      <w:r w:rsidRPr="00AE4DE6">
        <w:rPr>
          <w:rStyle w:val="Strong"/>
          <w:rFonts w:hint="default"/>
        </w:rPr>
        <w:t>a) Obchodné</w:t>
      </w:r>
      <w:r w:rsidRPr="00AE4DE6">
        <w:rPr>
          <w:rStyle w:val="Strong"/>
          <w:rFonts w:hint="default"/>
        </w:rPr>
        <w:t xml:space="preserve"> mechanizmy</w:t>
      </w:r>
      <w:r w:rsidRPr="00AE4DE6">
        <w:t xml:space="preserve"> </w:t>
      </w:r>
      <w:r w:rsidRPr="00AE4DE6">
        <w:rPr>
          <w:rFonts w:hint="default"/>
        </w:rPr>
        <w:t>–</w:t>
      </w:r>
      <w:r w:rsidRPr="00AE4DE6">
        <w:rPr>
          <w:rFonts w:hint="default"/>
        </w:rPr>
        <w:t xml:space="preserve"> </w:t>
      </w:r>
      <w:r w:rsidRPr="00AE4DE6">
        <w:rPr>
          <w:rFonts w:hint="default"/>
        </w:rPr>
        <w:t>dovozné</w:t>
      </w:r>
      <w:r w:rsidRPr="00AE4DE6">
        <w:rPr>
          <w:rFonts w:hint="default"/>
        </w:rPr>
        <w:t xml:space="preserve"> a vý</w:t>
      </w:r>
      <w:r w:rsidRPr="00AE4DE6">
        <w:rPr>
          <w:rFonts w:hint="default"/>
        </w:rPr>
        <w:t>vozné</w:t>
      </w:r>
      <w:r w:rsidRPr="00AE4DE6">
        <w:rPr>
          <w:rFonts w:hint="default"/>
        </w:rPr>
        <w:t xml:space="preserve"> licencie, vý</w:t>
      </w:r>
      <w:r w:rsidRPr="00AE4DE6">
        <w:rPr>
          <w:rFonts w:hint="default"/>
        </w:rPr>
        <w:t>vozné</w:t>
      </w:r>
      <w:r w:rsidRPr="00AE4DE6">
        <w:rPr>
          <w:rFonts w:hint="default"/>
        </w:rPr>
        <w:t xml:space="preserve"> licencie, s vopred stanovenou sadzbou ná</w:t>
      </w:r>
      <w:r w:rsidRPr="00AE4DE6">
        <w:rPr>
          <w:rFonts w:hint="default"/>
        </w:rPr>
        <w:t xml:space="preserve">hrady </w:t>
      </w:r>
      <w:r w:rsidRPr="00586191">
        <w:t>(NON ANNEX I.)</w:t>
      </w:r>
    </w:p>
    <w:p w:rsidR="002B4982" w:rsidRPr="00AE4DE6" w:rsidP="00C22595">
      <w:pPr>
        <w:bidi w:val="0"/>
        <w:ind w:firstLine="0"/>
        <w:rPr>
          <w:rFonts w:hint="default"/>
        </w:rPr>
      </w:pPr>
      <w:r w:rsidRPr="00AE4DE6">
        <w:rPr>
          <w:rStyle w:val="Strong"/>
          <w:rFonts w:hint="default"/>
        </w:rPr>
        <w:t>b) Rastlinné</w:t>
      </w:r>
      <w:r w:rsidRPr="00AE4DE6">
        <w:rPr>
          <w:rStyle w:val="Strong"/>
          <w:rFonts w:hint="default"/>
        </w:rPr>
        <w:t xml:space="preserve"> komodity </w:t>
      </w:r>
      <w:r w:rsidRPr="00AE4DE6">
        <w:rPr>
          <w:rFonts w:hint="default"/>
        </w:rPr>
        <w:t>- organizá</w:t>
      </w:r>
      <w:r w:rsidRPr="00AE4DE6">
        <w:rPr>
          <w:rFonts w:hint="default"/>
        </w:rPr>
        <w:t>cia trhu s rastlinný</w:t>
      </w:r>
      <w:r w:rsidRPr="00AE4DE6">
        <w:rPr>
          <w:rFonts w:hint="default"/>
        </w:rPr>
        <w:t>mi komoditami</w:t>
      </w:r>
    </w:p>
    <w:p w:rsidR="002B4982" w:rsidRPr="00AE4DE6" w:rsidP="00C22595">
      <w:pPr>
        <w:bidi w:val="0"/>
        <w:ind w:firstLine="0"/>
        <w:rPr>
          <w:rFonts w:hint="default"/>
        </w:rPr>
      </w:pPr>
      <w:r w:rsidRPr="00AE4DE6">
        <w:rPr>
          <w:rStyle w:val="Strong"/>
          <w:rFonts w:hint="default"/>
        </w:rPr>
        <w:t>c) Ž</w:t>
      </w:r>
      <w:r w:rsidRPr="00AE4DE6">
        <w:rPr>
          <w:rStyle w:val="Strong"/>
          <w:rFonts w:hint="default"/>
        </w:rPr>
        <w:t>ivočíš</w:t>
      </w:r>
      <w:r w:rsidRPr="00AE4DE6">
        <w:rPr>
          <w:rStyle w:val="Strong"/>
          <w:rFonts w:hint="default"/>
        </w:rPr>
        <w:t>ne komodity</w:t>
      </w:r>
      <w:r w:rsidRPr="00AE4DE6">
        <w:rPr>
          <w:rFonts w:hint="default"/>
        </w:rPr>
        <w:t xml:space="preserve"> - organizá</w:t>
      </w:r>
      <w:r w:rsidRPr="00AE4DE6">
        <w:rPr>
          <w:rFonts w:hint="default"/>
        </w:rPr>
        <w:t>cia trhu so ž</w:t>
      </w:r>
      <w:r w:rsidRPr="00AE4DE6">
        <w:rPr>
          <w:rFonts w:hint="default"/>
        </w:rPr>
        <w:t>ivočíš</w:t>
      </w:r>
      <w:r w:rsidRPr="00AE4DE6">
        <w:rPr>
          <w:rFonts w:hint="default"/>
        </w:rPr>
        <w:t>nymi komoditami</w:t>
      </w:r>
    </w:p>
    <w:p w:rsidR="002B4982" w:rsidRPr="00C22595" w:rsidP="00C22595">
      <w:pPr>
        <w:pStyle w:val="Nadpis4H4"/>
        <w:keepNext w:val="0"/>
        <w:tabs>
          <w:tab w:val="left" w:pos="709"/>
        </w:tabs>
        <w:bidi w:val="0"/>
        <w:spacing w:before="120"/>
        <w:outlineLvl w:val="9"/>
        <w:rPr>
          <w:rStyle w:val="Strong"/>
          <w:rFonts w:ascii="Times New Roman" w:hAnsi="Times New Roman"/>
          <w:bCs w:val="0"/>
        </w:rPr>
      </w:pPr>
      <w:bookmarkStart w:id="0" w:name="_Toc231806198"/>
      <w:r w:rsidR="00C22595">
        <w:rPr>
          <w:rStyle w:val="Strong"/>
          <w:rFonts w:ascii="Times New Roman" w:hAnsi="Times New Roman"/>
        </w:rPr>
        <w:t>a</w:t>
      </w:r>
      <w:r w:rsidRPr="00C22595">
        <w:rPr>
          <w:rStyle w:val="Strong"/>
          <w:rFonts w:ascii="Times New Roman" w:hAnsi="Times New Roman"/>
        </w:rPr>
        <w:t>) Obchodné mechanizmy:</w:t>
      </w:r>
      <w:bookmarkEnd w:id="0"/>
      <w:r w:rsidRPr="00C22595">
        <w:rPr>
          <w:rStyle w:val="Strong"/>
          <w:rFonts w:ascii="Times New Roman" w:hAnsi="Times New Roman"/>
        </w:rPr>
        <w:t xml:space="preserve"> </w:t>
      </w:r>
    </w:p>
    <w:p w:rsidR="002B4982" w:rsidRPr="002B4982" w:rsidP="00C22595">
      <w:pPr>
        <w:bidi w:val="0"/>
        <w:rPr>
          <w:rStyle w:val="Strong"/>
          <w:b w:val="0"/>
          <w:i/>
        </w:rPr>
      </w:pPr>
      <w:r w:rsidRPr="00CC36EF">
        <w:rPr>
          <w:rStyle w:val="Strong"/>
          <w:iCs/>
        </w:rPr>
        <w:t>V</w:t>
      </w:r>
      <w:r w:rsidRPr="00CC36EF">
        <w:rPr>
          <w:rStyle w:val="Strong"/>
          <w:rFonts w:hint="default"/>
          <w:iCs/>
        </w:rPr>
        <w:t>ý</w:t>
      </w:r>
      <w:r w:rsidRPr="00CC36EF">
        <w:rPr>
          <w:rStyle w:val="Strong"/>
          <w:rFonts w:hint="default"/>
          <w:iCs/>
        </w:rPr>
        <w:t>vozné</w:t>
      </w:r>
      <w:r w:rsidRPr="00CC36EF">
        <w:rPr>
          <w:rStyle w:val="Strong"/>
          <w:rFonts w:hint="default"/>
          <w:iCs/>
        </w:rPr>
        <w:t xml:space="preserve"> ná</w:t>
      </w:r>
      <w:r w:rsidRPr="00CC36EF">
        <w:rPr>
          <w:rStyle w:val="Strong"/>
          <w:rFonts w:hint="default"/>
          <w:iCs/>
        </w:rPr>
        <w:t>hrady pre zá</w:t>
      </w:r>
      <w:r w:rsidRPr="00CC36EF">
        <w:rPr>
          <w:rStyle w:val="Strong"/>
          <w:rFonts w:hint="default"/>
          <w:iCs/>
        </w:rPr>
        <w:t>kladné</w:t>
      </w:r>
      <w:r w:rsidRPr="00CC36EF">
        <w:rPr>
          <w:rStyle w:val="Strong"/>
          <w:rFonts w:hint="default"/>
          <w:iCs/>
        </w:rPr>
        <w:t xml:space="preserve"> poľ</w:t>
      </w:r>
      <w:r w:rsidRPr="00CC36EF">
        <w:rPr>
          <w:rStyle w:val="Strong"/>
          <w:rFonts w:hint="default"/>
          <w:iCs/>
        </w:rPr>
        <w:t>nohospodá</w:t>
      </w:r>
      <w:r w:rsidRPr="00CC36EF">
        <w:rPr>
          <w:rStyle w:val="Strong"/>
          <w:rFonts w:hint="default"/>
          <w:iCs/>
        </w:rPr>
        <w:t>rske vý</w:t>
      </w:r>
      <w:r w:rsidRPr="00CC36EF">
        <w:rPr>
          <w:rStyle w:val="Strong"/>
          <w:rFonts w:hint="default"/>
          <w:iCs/>
        </w:rPr>
        <w:t>robky</w:t>
      </w:r>
      <w:r w:rsidRPr="00714BFA">
        <w:rPr>
          <w:rStyle w:val="Strong"/>
        </w:rPr>
        <w:t xml:space="preserve"> </w:t>
      </w:r>
      <w:r w:rsidRPr="00C22595">
        <w:rPr>
          <w:rStyle w:val="Strong"/>
          <w:rFonts w:hint="default"/>
          <w:b w:val="0"/>
        </w:rPr>
        <w:t>vyrovná</w:t>
      </w:r>
      <w:r w:rsidRPr="00C22595">
        <w:rPr>
          <w:rStyle w:val="Strong"/>
          <w:rFonts w:hint="default"/>
          <w:b w:val="0"/>
        </w:rPr>
        <w:t>vajú</w:t>
      </w:r>
      <w:r w:rsidRPr="00C22595">
        <w:rPr>
          <w:rStyle w:val="Strong"/>
          <w:rFonts w:hint="default"/>
          <w:b w:val="0"/>
        </w:rPr>
        <w:t xml:space="preserve"> rozdiel medzi </w:t>
      </w:r>
      <w:r w:rsidRPr="00C22595">
        <w:rPr>
          <w:rFonts w:hint="default"/>
          <w:bCs/>
        </w:rPr>
        <w:t>svetový</w:t>
      </w:r>
      <w:r w:rsidRPr="00C22595">
        <w:rPr>
          <w:rFonts w:hint="default"/>
          <w:bCs/>
        </w:rPr>
        <w:t>mi</w:t>
      </w:r>
      <w:r w:rsidRPr="00C22595">
        <w:rPr>
          <w:rStyle w:val="Strong"/>
          <w:b w:val="0"/>
        </w:rPr>
        <w:t xml:space="preserve"> cenami a </w:t>
      </w:r>
      <w:r w:rsidRPr="00C22595">
        <w:rPr>
          <w:rStyle w:val="Strong"/>
          <w:rFonts w:hint="default"/>
          <w:b w:val="0"/>
        </w:rPr>
        <w:t>cenami na domá</w:t>
      </w:r>
      <w:r w:rsidRPr="00C22595">
        <w:rPr>
          <w:rStyle w:val="Strong"/>
          <w:rFonts w:hint="default"/>
          <w:b w:val="0"/>
        </w:rPr>
        <w:t>com trhu. Vyplá</w:t>
      </w:r>
      <w:r w:rsidRPr="00C22595">
        <w:rPr>
          <w:rStyle w:val="Strong"/>
          <w:rFonts w:hint="default"/>
          <w:b w:val="0"/>
        </w:rPr>
        <w:t>cali sa z EPZF.</w:t>
      </w:r>
    </w:p>
    <w:p w:rsidR="002B4982" w:rsidRPr="002B4982" w:rsidP="00CC36EF">
      <w:pPr>
        <w:bidi w:val="0"/>
        <w:ind w:left="709" w:firstLine="0"/>
        <w:rPr>
          <w:rStyle w:val="Strong"/>
          <w:b w:val="0"/>
          <w:i/>
        </w:rPr>
      </w:pPr>
      <w:r w:rsidRPr="00CC36EF">
        <w:rPr>
          <w:rStyle w:val="Strong"/>
          <w:rFonts w:hint="default"/>
        </w:rPr>
        <w:t>Vý</w:t>
      </w:r>
      <w:r w:rsidRPr="00CC36EF">
        <w:rPr>
          <w:rStyle w:val="Strong"/>
          <w:rFonts w:hint="default"/>
        </w:rPr>
        <w:t>vozné</w:t>
      </w:r>
      <w:r w:rsidRPr="00CC36EF">
        <w:rPr>
          <w:rStyle w:val="Strong"/>
          <w:rFonts w:hint="default"/>
        </w:rPr>
        <w:t xml:space="preserve"> ná</w:t>
      </w:r>
      <w:r w:rsidRPr="00CC36EF">
        <w:rPr>
          <w:rStyle w:val="Strong"/>
          <w:rFonts w:hint="default"/>
        </w:rPr>
        <w:t>hrady pre spracované</w:t>
      </w:r>
      <w:r w:rsidRPr="00CC36EF">
        <w:rPr>
          <w:rStyle w:val="Strong"/>
          <w:rFonts w:hint="default"/>
        </w:rPr>
        <w:t xml:space="preserve"> poľ</w:t>
      </w:r>
      <w:r w:rsidRPr="00CC36EF">
        <w:rPr>
          <w:rStyle w:val="Strong"/>
          <w:rFonts w:hint="default"/>
        </w:rPr>
        <w:t>nohospodá</w:t>
      </w:r>
      <w:r w:rsidRPr="00CC36EF">
        <w:rPr>
          <w:rStyle w:val="Strong"/>
          <w:rFonts w:hint="default"/>
        </w:rPr>
        <w:t>rske vý</w:t>
      </w:r>
      <w:r w:rsidRPr="00CC36EF">
        <w:rPr>
          <w:rStyle w:val="Strong"/>
          <w:rFonts w:hint="default"/>
        </w:rPr>
        <w:t>robky</w:t>
      </w:r>
      <w:r w:rsidRPr="002B4982">
        <w:rPr>
          <w:rStyle w:val="Strong"/>
          <w:i/>
        </w:rPr>
        <w:t xml:space="preserve"> </w:t>
      </w:r>
      <w:r w:rsidRPr="00CC36EF">
        <w:rPr>
          <w:rStyle w:val="Strong"/>
          <w:b w:val="0"/>
        </w:rPr>
        <w:t>(Non Annex I.)</w:t>
      </w:r>
      <w:r w:rsidRPr="002B4982">
        <w:rPr>
          <w:rStyle w:val="Strong"/>
          <w:i/>
        </w:rPr>
        <w:t xml:space="preserve"> </w:t>
      </w:r>
    </w:p>
    <w:p w:rsidR="002B4982" w:rsidRPr="00714BFA" w:rsidP="00C22595">
      <w:pPr>
        <w:bidi w:val="0"/>
        <w:rPr>
          <w:rFonts w:hint="default"/>
        </w:rPr>
      </w:pPr>
      <w:r w:rsidRPr="00714BFA">
        <w:rPr>
          <w:rFonts w:hint="default"/>
        </w:rPr>
        <w:t>Predstavujú</w:t>
      </w:r>
      <w:r w:rsidRPr="00714BFA">
        <w:rPr>
          <w:rFonts w:hint="default"/>
        </w:rPr>
        <w:t xml:space="preserve"> vý</w:t>
      </w:r>
      <w:r w:rsidRPr="00714BFA">
        <w:rPr>
          <w:rFonts w:hint="default"/>
        </w:rPr>
        <w:t>vozné</w:t>
      </w:r>
      <w:r w:rsidRPr="00714BFA">
        <w:rPr>
          <w:rFonts w:hint="default"/>
        </w:rPr>
        <w:t xml:space="preserve"> ná</w:t>
      </w:r>
      <w:r w:rsidRPr="00714BFA">
        <w:rPr>
          <w:rFonts w:hint="default"/>
        </w:rPr>
        <w:t>hrady na zá</w:t>
      </w:r>
      <w:r w:rsidRPr="00714BFA">
        <w:rPr>
          <w:rFonts w:hint="default"/>
        </w:rPr>
        <w:t>kladné</w:t>
      </w:r>
      <w:r w:rsidRPr="00714BFA">
        <w:rPr>
          <w:rFonts w:hint="default"/>
        </w:rPr>
        <w:t xml:space="preserve"> v</w:t>
      </w:r>
      <w:r w:rsidRPr="00714BFA">
        <w:rPr>
          <w:rFonts w:hint="default"/>
        </w:rPr>
        <w:t>ý</w:t>
      </w:r>
      <w:r w:rsidRPr="00714BFA">
        <w:rPr>
          <w:rFonts w:hint="default"/>
        </w:rPr>
        <w:t>robky a ich zlož</w:t>
      </w:r>
      <w:r w:rsidRPr="00714BFA">
        <w:rPr>
          <w:rFonts w:hint="default"/>
        </w:rPr>
        <w:t>ky odvodené</w:t>
      </w:r>
      <w:r w:rsidRPr="00714BFA">
        <w:rPr>
          <w:rFonts w:hint="default"/>
        </w:rPr>
        <w:t xml:space="preserve"> od </w:t>
      </w:r>
      <w:r w:rsidRPr="00C22595">
        <w:rPr>
          <w:rFonts w:hint="default"/>
          <w:bCs/>
        </w:rPr>
        <w:t>zá</w:t>
      </w:r>
      <w:r w:rsidRPr="00C22595">
        <w:rPr>
          <w:rFonts w:hint="default"/>
          <w:bCs/>
        </w:rPr>
        <w:t>kladný</w:t>
      </w:r>
      <w:r w:rsidRPr="00C22595">
        <w:rPr>
          <w:rFonts w:hint="default"/>
          <w:bCs/>
        </w:rPr>
        <w:t>ch</w:t>
      </w:r>
      <w:r w:rsidRPr="00714BFA">
        <w:rPr>
          <w:rFonts w:hint="default"/>
        </w:rPr>
        <w:t xml:space="preserve"> zlož</w:t>
      </w:r>
      <w:r w:rsidRPr="00714BFA">
        <w:rPr>
          <w:rFonts w:hint="default"/>
        </w:rPr>
        <w:t>iek poľ</w:t>
      </w:r>
      <w:r w:rsidRPr="00714BFA">
        <w:rPr>
          <w:rFonts w:hint="default"/>
        </w:rPr>
        <w:t>nohospodá</w:t>
      </w:r>
      <w:r w:rsidRPr="00714BFA">
        <w:rPr>
          <w:rFonts w:hint="default"/>
        </w:rPr>
        <w:t>rskych vý</w:t>
      </w:r>
      <w:r w:rsidRPr="00714BFA">
        <w:rPr>
          <w:rFonts w:hint="default"/>
        </w:rPr>
        <w:t>robkov, na ktoré</w:t>
      </w:r>
      <w:r w:rsidRPr="00714BFA">
        <w:rPr>
          <w:rFonts w:hint="default"/>
        </w:rPr>
        <w:t xml:space="preserve"> sa nevzť</w:t>
      </w:r>
      <w:r w:rsidRPr="00714BFA">
        <w:rPr>
          <w:rFonts w:hint="default"/>
        </w:rPr>
        <w:t>ahujú</w:t>
      </w:r>
      <w:r w:rsidRPr="00714BFA">
        <w:rPr>
          <w:rFonts w:hint="default"/>
        </w:rPr>
        <w:t xml:space="preserve"> opatrenia SPP a obsahujú</w:t>
      </w:r>
      <w:r w:rsidRPr="00714BFA">
        <w:rPr>
          <w:rFonts w:hint="default"/>
        </w:rPr>
        <w:t xml:space="preserve"> vý</w:t>
      </w:r>
      <w:r w:rsidRPr="00714BFA">
        <w:rPr>
          <w:rFonts w:hint="default"/>
        </w:rPr>
        <w:t>znamné</w:t>
      </w:r>
      <w:r w:rsidRPr="00714BFA">
        <w:rPr>
          <w:rFonts w:hint="default"/>
        </w:rPr>
        <w:t xml:space="preserve"> množ</w:t>
      </w:r>
      <w:r w:rsidRPr="00714BFA">
        <w:rPr>
          <w:rFonts w:hint="default"/>
        </w:rPr>
        <w:t>stvá</w:t>
      </w:r>
      <w:r w:rsidRPr="00714BFA">
        <w:rPr>
          <w:rFonts w:hint="default"/>
        </w:rPr>
        <w:t xml:space="preserve"> poľ</w:t>
      </w:r>
      <w:r w:rsidRPr="00714BFA">
        <w:rPr>
          <w:rFonts w:hint="default"/>
        </w:rPr>
        <w:t>nohospodá</w:t>
      </w:r>
      <w:r w:rsidRPr="00714BFA">
        <w:rPr>
          <w:rFonts w:hint="default"/>
        </w:rPr>
        <w:t>rskych zlož</w:t>
      </w:r>
      <w:r w:rsidRPr="00714BFA">
        <w:rPr>
          <w:rFonts w:hint="default"/>
        </w:rPr>
        <w:t>iek (tzv. zá</w:t>
      </w:r>
      <w:r w:rsidRPr="00714BFA">
        <w:rPr>
          <w:rFonts w:hint="default"/>
        </w:rPr>
        <w:t>kladný</w:t>
      </w:r>
      <w:r w:rsidRPr="00714BFA">
        <w:rPr>
          <w:rFonts w:hint="default"/>
        </w:rPr>
        <w:t>ch vý</w:t>
      </w:r>
      <w:r w:rsidRPr="00714BFA">
        <w:rPr>
          <w:rFonts w:hint="default"/>
        </w:rPr>
        <w:t>robkov). V skupine spracovaný</w:t>
      </w:r>
      <w:r w:rsidRPr="00714BFA">
        <w:rPr>
          <w:rFonts w:hint="default"/>
        </w:rPr>
        <w:t>ch poľ</w:t>
      </w:r>
      <w:r w:rsidRPr="00714BFA">
        <w:rPr>
          <w:rFonts w:hint="default"/>
        </w:rPr>
        <w:t>nohospodá</w:t>
      </w:r>
      <w:r w:rsidRPr="00714BFA">
        <w:rPr>
          <w:rFonts w:hint="default"/>
        </w:rPr>
        <w:t>rskych vý</w:t>
      </w:r>
      <w:r w:rsidRPr="00714BFA">
        <w:rPr>
          <w:rFonts w:hint="default"/>
        </w:rPr>
        <w:t>robkov je z</w:t>
      </w:r>
      <w:r w:rsidRPr="00714BFA">
        <w:rPr>
          <w:rFonts w:hint="default"/>
        </w:rPr>
        <w:t>ahrnutá</w:t>
      </w:r>
      <w:r w:rsidRPr="00714BFA">
        <w:rPr>
          <w:rFonts w:hint="default"/>
        </w:rPr>
        <w:t xml:space="preserve"> š</w:t>
      </w:r>
      <w:r w:rsidRPr="00714BFA">
        <w:rPr>
          <w:rFonts w:hint="default"/>
        </w:rPr>
        <w:t>iroká</w:t>
      </w:r>
      <w:r w:rsidRPr="00714BFA">
        <w:rPr>
          <w:rFonts w:hint="default"/>
        </w:rPr>
        <w:t xml:space="preserve"> š</w:t>
      </w:r>
      <w:r w:rsidRPr="00714BFA">
        <w:rPr>
          <w:rFonts w:hint="default"/>
        </w:rPr>
        <w:t>ká</w:t>
      </w:r>
      <w:r w:rsidRPr="00714BFA">
        <w:rPr>
          <w:rFonts w:hint="default"/>
        </w:rPr>
        <w:t>la tovarov od č</w:t>
      </w:r>
      <w:r w:rsidRPr="00714BFA">
        <w:rPr>
          <w:rFonts w:hint="default"/>
        </w:rPr>
        <w:t>okolá</w:t>
      </w:r>
      <w:r w:rsidRPr="00714BFA">
        <w:rPr>
          <w:rFonts w:hint="default"/>
        </w:rPr>
        <w:t>dy, detský</w:t>
      </w:r>
      <w:r w:rsidRPr="00714BFA">
        <w:rPr>
          <w:rFonts w:hint="default"/>
        </w:rPr>
        <w:t>ch výž</w:t>
      </w:r>
      <w:r w:rsidRPr="00714BFA">
        <w:rPr>
          <w:rFonts w:hint="default"/>
        </w:rPr>
        <w:t>iv, peč</w:t>
      </w:r>
      <w:r w:rsidRPr="00714BFA">
        <w:rPr>
          <w:rFonts w:hint="default"/>
        </w:rPr>
        <w:t>iva, cukroviniek, cestoví</w:t>
      </w:r>
      <w:r w:rsidRPr="00714BFA">
        <w:rPr>
          <w:rFonts w:hint="default"/>
        </w:rPr>
        <w:t>n, nealkoholický</w:t>
      </w:r>
      <w:r w:rsidRPr="00714BFA">
        <w:rPr>
          <w:rFonts w:hint="default"/>
        </w:rPr>
        <w:t>ch ná</w:t>
      </w:r>
      <w:r w:rsidRPr="00714BFA">
        <w:rPr>
          <w:rFonts w:hint="default"/>
        </w:rPr>
        <w:t>pojov, až</w:t>
      </w:r>
      <w:r w:rsidRPr="00714BFA">
        <w:rPr>
          <w:rFonts w:hint="default"/>
        </w:rPr>
        <w:t xml:space="preserve"> po niektoré</w:t>
      </w:r>
      <w:r w:rsidRPr="00714BFA">
        <w:rPr>
          <w:rFonts w:hint="default"/>
        </w:rPr>
        <w:t xml:space="preserve"> alkoholické</w:t>
      </w:r>
      <w:r w:rsidRPr="00714BFA">
        <w:rPr>
          <w:rFonts w:hint="default"/>
        </w:rPr>
        <w:t xml:space="preserve"> ná</w:t>
      </w:r>
      <w:r w:rsidRPr="00714BFA">
        <w:rPr>
          <w:rFonts w:hint="default"/>
        </w:rPr>
        <w:t>poje a modifikovaný</w:t>
      </w:r>
      <w:r w:rsidRPr="00714BFA">
        <w:rPr>
          <w:rFonts w:hint="default"/>
        </w:rPr>
        <w:t xml:space="preserve"> š</w:t>
      </w:r>
      <w:r w:rsidRPr="00714BFA">
        <w:rPr>
          <w:rFonts w:hint="default"/>
        </w:rPr>
        <w:t xml:space="preserve">krob. </w:t>
      </w:r>
    </w:p>
    <w:p w:rsidR="002B4982" w:rsidRPr="00C22595" w:rsidP="00C22595">
      <w:pPr>
        <w:pStyle w:val="Nadpis4H4"/>
        <w:keepNext w:val="0"/>
        <w:tabs>
          <w:tab w:val="left" w:pos="709"/>
        </w:tabs>
        <w:bidi w:val="0"/>
        <w:spacing w:before="120"/>
        <w:outlineLvl w:val="9"/>
        <w:rPr>
          <w:rStyle w:val="Strong"/>
          <w:rFonts w:ascii="Times New Roman" w:hAnsi="Times New Roman"/>
          <w:bCs w:val="0"/>
        </w:rPr>
      </w:pPr>
      <w:bookmarkStart w:id="1" w:name="_Toc231806199"/>
      <w:r w:rsidRPr="00C22595">
        <w:rPr>
          <w:rStyle w:val="Strong"/>
          <w:rFonts w:ascii="Times New Roman" w:hAnsi="Times New Roman"/>
        </w:rPr>
        <w:t>b) Rastlinné komodity:</w:t>
      </w:r>
      <w:bookmarkEnd w:id="1"/>
    </w:p>
    <w:p w:rsidR="002B4982" w:rsidRPr="00714BFA" w:rsidP="00C22595">
      <w:pPr>
        <w:bidi w:val="0"/>
      </w:pPr>
      <w:r w:rsidRPr="00CC36EF">
        <w:rPr>
          <w:rStyle w:val="Strong"/>
        </w:rPr>
        <w:t>Intervencie</w:t>
      </w:r>
      <w:r w:rsidRPr="00CC36EF" w:rsidR="00C0319B">
        <w:rPr>
          <w:rStyle w:val="Strong"/>
        </w:rPr>
        <w:t xml:space="preserve"> </w:t>
      </w:r>
      <w:r w:rsidRPr="00CC36EF">
        <w:rPr>
          <w:rStyle w:val="Strong"/>
          <w:rFonts w:hint="default"/>
        </w:rPr>
        <w:t>- ná</w:t>
      </w:r>
      <w:r w:rsidRPr="00CC36EF">
        <w:rPr>
          <w:rStyle w:val="Strong"/>
          <w:rFonts w:hint="default"/>
        </w:rPr>
        <w:t>kup, skladovanie, predaj (obilniny, cukor</w:t>
      </w:r>
      <w:r w:rsidRPr="002B4982">
        <w:rPr>
          <w:rStyle w:val="Strong"/>
          <w:i/>
        </w:rPr>
        <w:t xml:space="preserve">). </w:t>
      </w:r>
      <w:r w:rsidRPr="00714BFA">
        <w:t>Je</w:t>
      </w:r>
      <w:r w:rsidRPr="00714BFA">
        <w:rPr>
          <w:rFonts w:hint="default"/>
        </w:rPr>
        <w:t xml:space="preserve"> to ná</w:t>
      </w:r>
      <w:r w:rsidRPr="00714BFA">
        <w:rPr>
          <w:rFonts w:hint="default"/>
        </w:rPr>
        <w:t>stroj regulá</w:t>
      </w:r>
      <w:r w:rsidRPr="00714BFA">
        <w:rPr>
          <w:rFonts w:hint="default"/>
        </w:rPr>
        <w:t>cie vnú</w:t>
      </w:r>
      <w:r w:rsidRPr="00714BFA">
        <w:rPr>
          <w:rFonts w:hint="default"/>
        </w:rPr>
        <w:t>torné</w:t>
      </w:r>
      <w:r w:rsidRPr="00714BFA">
        <w:rPr>
          <w:rFonts w:hint="default"/>
        </w:rPr>
        <w:t>ho trhu krají</w:t>
      </w:r>
      <w:r w:rsidRPr="00714BFA">
        <w:rPr>
          <w:rFonts w:hint="default"/>
        </w:rPr>
        <w:t>n Euró</w:t>
      </w:r>
      <w:r w:rsidRPr="00714BFA">
        <w:rPr>
          <w:rFonts w:hint="default"/>
        </w:rPr>
        <w:t>pskej ú</w:t>
      </w:r>
      <w:r w:rsidRPr="00714BFA">
        <w:rPr>
          <w:rFonts w:hint="default"/>
        </w:rPr>
        <w:t>nie u vybraný</w:t>
      </w:r>
      <w:r w:rsidRPr="00714BFA">
        <w:rPr>
          <w:rFonts w:hint="default"/>
        </w:rPr>
        <w:t>ch komodí</w:t>
      </w:r>
      <w:r w:rsidRPr="00714BFA">
        <w:rPr>
          <w:rFonts w:hint="default"/>
        </w:rPr>
        <w:t>t (obilní</w:t>
      </w:r>
      <w:r w:rsidRPr="00714BFA">
        <w:rPr>
          <w:rFonts w:hint="default"/>
        </w:rPr>
        <w:t>n, cukru) s pevne stanovenou intervenč</w:t>
      </w:r>
      <w:r w:rsidRPr="00714BFA">
        <w:rPr>
          <w:rFonts w:hint="default"/>
        </w:rPr>
        <w:t>nou cenou pre celú</w:t>
      </w:r>
      <w:r w:rsidRPr="00714BFA">
        <w:rPr>
          <w:rFonts w:hint="default"/>
        </w:rPr>
        <w:t xml:space="preserve"> EÚ</w:t>
      </w:r>
      <w:r w:rsidRPr="00714BFA">
        <w:rPr>
          <w:rFonts w:hint="default"/>
        </w:rPr>
        <w:t xml:space="preserve">. </w:t>
      </w:r>
      <w:r w:rsidRPr="00714BFA">
        <w:rPr>
          <w:noProof/>
        </w:rPr>
        <w:t>V </w:t>
      </w:r>
      <w:r w:rsidRPr="00714BFA">
        <w:rPr>
          <w:rFonts w:hint="default"/>
          <w:noProof/>
        </w:rPr>
        <w:t>hospodá</w:t>
      </w:r>
      <w:r w:rsidRPr="00714BFA">
        <w:rPr>
          <w:rFonts w:hint="default"/>
          <w:noProof/>
        </w:rPr>
        <w:t>rskom roku 2009/2010 sa nakú</w:t>
      </w:r>
      <w:r w:rsidRPr="00714BFA">
        <w:rPr>
          <w:rFonts w:hint="default"/>
          <w:noProof/>
        </w:rPr>
        <w:t>pilo spolu 182 </w:t>
      </w:r>
      <w:r w:rsidRPr="00714BFA">
        <w:rPr>
          <w:rFonts w:hint="default"/>
          <w:noProof/>
        </w:rPr>
        <w:t>743 ton obilní</w:t>
      </w:r>
      <w:r w:rsidRPr="00714BFA">
        <w:rPr>
          <w:rFonts w:hint="default"/>
          <w:noProof/>
        </w:rPr>
        <w:t>n (z toho 27 059 ton pš</w:t>
      </w:r>
      <w:r w:rsidRPr="00714BFA">
        <w:rPr>
          <w:rFonts w:hint="default"/>
          <w:noProof/>
        </w:rPr>
        <w:t>enice a 155 684 ton</w:t>
      </w:r>
      <w:r w:rsidRPr="00714BFA">
        <w:rPr>
          <w:rFonts w:hint="default"/>
          <w:noProof/>
        </w:rPr>
        <w:t xml:space="preserve"> jač</w:t>
      </w:r>
      <w:r w:rsidRPr="00714BFA">
        <w:rPr>
          <w:rFonts w:hint="default"/>
          <w:noProof/>
        </w:rPr>
        <w:t>meň</w:t>
      </w:r>
      <w:r w:rsidRPr="00714BFA">
        <w:rPr>
          <w:rFonts w:hint="default"/>
          <w:noProof/>
        </w:rPr>
        <w:t>a). Pri predkladaní</w:t>
      </w:r>
      <w:r w:rsidRPr="00714BFA">
        <w:rPr>
          <w:rFonts w:hint="default"/>
          <w:noProof/>
        </w:rPr>
        <w:t xml:space="preserve"> ponú</w:t>
      </w:r>
      <w:r w:rsidRPr="00714BFA">
        <w:rPr>
          <w:rFonts w:hint="default"/>
          <w:noProof/>
        </w:rPr>
        <w:t>k na ná</w:t>
      </w:r>
      <w:r w:rsidRPr="00714BFA">
        <w:rPr>
          <w:rFonts w:hint="default"/>
          <w:noProof/>
        </w:rPr>
        <w:t>kup obilní</w:t>
      </w:r>
      <w:r w:rsidRPr="00714BFA">
        <w:rPr>
          <w:rFonts w:hint="default"/>
          <w:noProof/>
        </w:rPr>
        <w:t>n v </w:t>
      </w:r>
      <w:r w:rsidRPr="00714BFA">
        <w:rPr>
          <w:rFonts w:hint="default"/>
          <w:noProof/>
        </w:rPr>
        <w:t>hospodá</w:t>
      </w:r>
      <w:r w:rsidRPr="00714BFA">
        <w:rPr>
          <w:rFonts w:hint="default"/>
          <w:noProof/>
        </w:rPr>
        <w:t>rskom roku 2009/</w:t>
      </w:r>
      <w:r w:rsidR="007C47CE">
        <w:rPr>
          <w:noProof/>
        </w:rPr>
        <w:t>20</w:t>
      </w:r>
      <w:r w:rsidRPr="00714BFA">
        <w:rPr>
          <w:rFonts w:hint="default"/>
          <w:noProof/>
        </w:rPr>
        <w:t>10 sa zá</w:t>
      </w:r>
      <w:r w:rsidRPr="00714BFA">
        <w:rPr>
          <w:rFonts w:hint="default"/>
          <w:noProof/>
        </w:rPr>
        <w:t xml:space="preserve">bezpeka neskladala. </w:t>
      </w:r>
    </w:p>
    <w:p w:rsidR="002B4982" w:rsidRPr="00714BFA" w:rsidP="00C22595">
      <w:pPr>
        <w:bidi w:val="0"/>
        <w:rPr>
          <w:rFonts w:hint="default"/>
          <w:noProof/>
        </w:rPr>
      </w:pPr>
      <w:r w:rsidRPr="00714BFA">
        <w:rPr>
          <w:noProof/>
        </w:rPr>
        <w:t>V </w:t>
      </w:r>
      <w:r w:rsidRPr="00714BFA">
        <w:rPr>
          <w:rFonts w:hint="default"/>
          <w:noProof/>
        </w:rPr>
        <w:t>hospodá</w:t>
      </w:r>
      <w:r w:rsidRPr="00714BFA">
        <w:rPr>
          <w:rFonts w:hint="default"/>
          <w:noProof/>
        </w:rPr>
        <w:t>rskom roku 2010/2011 je mož</w:t>
      </w:r>
      <w:r w:rsidRPr="00714BFA">
        <w:rPr>
          <w:rFonts w:hint="default"/>
          <w:noProof/>
        </w:rPr>
        <w:t>né</w:t>
      </w:r>
      <w:r w:rsidRPr="00714BFA">
        <w:rPr>
          <w:rFonts w:hint="default"/>
          <w:noProof/>
        </w:rPr>
        <w:t xml:space="preserve"> do intervenč</w:t>
      </w:r>
      <w:r w:rsidRPr="00714BFA">
        <w:rPr>
          <w:rFonts w:hint="default"/>
          <w:noProof/>
        </w:rPr>
        <w:t>né</w:t>
      </w:r>
      <w:r w:rsidRPr="00714BFA">
        <w:rPr>
          <w:rFonts w:hint="default"/>
          <w:noProof/>
        </w:rPr>
        <w:t>ho ná</w:t>
      </w:r>
      <w:r w:rsidRPr="00714BFA">
        <w:rPr>
          <w:rFonts w:hint="default"/>
          <w:noProof/>
        </w:rPr>
        <w:t>kupu ponú</w:t>
      </w:r>
      <w:r w:rsidRPr="00714BFA">
        <w:rPr>
          <w:rFonts w:hint="default"/>
          <w:noProof/>
        </w:rPr>
        <w:t>knuť</w:t>
      </w:r>
      <w:r w:rsidRPr="00714BFA">
        <w:rPr>
          <w:rFonts w:hint="default"/>
          <w:noProof/>
        </w:rPr>
        <w:t xml:space="preserve"> pš</w:t>
      </w:r>
      <w:r w:rsidRPr="00714BFA">
        <w:rPr>
          <w:rFonts w:hint="default"/>
          <w:noProof/>
        </w:rPr>
        <w:t>enicu obyč</w:t>
      </w:r>
      <w:r w:rsidRPr="00714BFA">
        <w:rPr>
          <w:rFonts w:hint="default"/>
          <w:noProof/>
        </w:rPr>
        <w:t>ajnú</w:t>
      </w:r>
      <w:r w:rsidRPr="00714BFA">
        <w:rPr>
          <w:rFonts w:hint="default"/>
          <w:noProof/>
        </w:rPr>
        <w:t>. Pri predkladaní</w:t>
      </w:r>
      <w:r w:rsidRPr="00714BFA">
        <w:rPr>
          <w:rFonts w:hint="default"/>
          <w:noProof/>
        </w:rPr>
        <w:t xml:space="preserve"> ponuky na ná</w:t>
      </w:r>
      <w:r w:rsidRPr="00714BFA">
        <w:rPr>
          <w:rFonts w:hint="default"/>
          <w:noProof/>
        </w:rPr>
        <w:t>kup obilní</w:t>
      </w:r>
      <w:r w:rsidRPr="00714BFA">
        <w:rPr>
          <w:rFonts w:hint="default"/>
          <w:noProof/>
        </w:rPr>
        <w:t>n sa skladá</w:t>
      </w:r>
      <w:r w:rsidRPr="00714BFA">
        <w:rPr>
          <w:rFonts w:hint="default"/>
          <w:noProof/>
        </w:rPr>
        <w:t xml:space="preserve"> zá</w:t>
      </w:r>
      <w:r w:rsidRPr="00714BFA">
        <w:rPr>
          <w:rFonts w:hint="default"/>
          <w:noProof/>
        </w:rPr>
        <w:t xml:space="preserve">bezpeka </w:t>
      </w:r>
      <w:r w:rsidRPr="00714BFA">
        <w:rPr>
          <w:rFonts w:hint="default"/>
          <w:noProof/>
        </w:rPr>
        <w:t>20 €</w:t>
      </w:r>
      <w:r w:rsidRPr="00714BFA">
        <w:rPr>
          <w:rFonts w:hint="default"/>
          <w:noProof/>
        </w:rPr>
        <w:t xml:space="preserve">/t. </w:t>
      </w:r>
    </w:p>
    <w:p w:rsidR="002B4982" w:rsidRPr="00714BFA" w:rsidP="00C22595">
      <w:pPr>
        <w:bidi w:val="0"/>
        <w:rPr>
          <w:rFonts w:hint="default"/>
        </w:rPr>
      </w:pPr>
      <w:r w:rsidRPr="00CC36EF">
        <w:rPr>
          <w:rFonts w:hint="default"/>
          <w:b/>
          <w:bCs/>
          <w:iCs/>
        </w:rPr>
        <w:t>Vý</w:t>
      </w:r>
      <w:r w:rsidRPr="00CC36EF">
        <w:rPr>
          <w:rFonts w:hint="default"/>
          <w:b/>
          <w:bCs/>
          <w:iCs/>
        </w:rPr>
        <w:t>robné</w:t>
      </w:r>
      <w:r w:rsidRPr="00CC36EF">
        <w:rPr>
          <w:rFonts w:hint="default"/>
          <w:b/>
          <w:bCs/>
          <w:iCs/>
        </w:rPr>
        <w:t xml:space="preserve"> ná</w:t>
      </w:r>
      <w:r w:rsidRPr="00CC36EF">
        <w:rPr>
          <w:rFonts w:hint="default"/>
          <w:b/>
          <w:bCs/>
          <w:iCs/>
        </w:rPr>
        <w:t>hrady</w:t>
      </w:r>
      <w:r w:rsidRPr="00714BFA">
        <w:rPr>
          <w:rFonts w:hint="default"/>
        </w:rPr>
        <w:t xml:space="preserve"> (za cukor použ</w:t>
      </w:r>
      <w:r w:rsidRPr="00714BFA">
        <w:rPr>
          <w:rFonts w:hint="default"/>
        </w:rPr>
        <w:t>itý</w:t>
      </w:r>
      <w:r w:rsidRPr="00714BFA">
        <w:rPr>
          <w:rFonts w:hint="default"/>
        </w:rPr>
        <w:t xml:space="preserve"> v chemickom priemysle, v odvetví</w:t>
      </w:r>
      <w:r w:rsidRPr="00714BFA">
        <w:rPr>
          <w:rFonts w:hint="default"/>
        </w:rPr>
        <w:t xml:space="preserve"> obilní</w:t>
      </w:r>
      <w:r w:rsidRPr="00714BFA">
        <w:rPr>
          <w:rFonts w:hint="default"/>
        </w:rPr>
        <w:t>n a ryž</w:t>
      </w:r>
      <w:r w:rsidRPr="00714BFA">
        <w:rPr>
          <w:rFonts w:hint="default"/>
        </w:rPr>
        <w:t>e)  sú</w:t>
      </w:r>
      <w:r w:rsidRPr="00714BFA">
        <w:rPr>
          <w:rFonts w:hint="default"/>
        </w:rPr>
        <w:t xml:space="preserve"> urč</w:t>
      </w:r>
      <w:r w:rsidRPr="00714BFA">
        <w:rPr>
          <w:rFonts w:hint="default"/>
        </w:rPr>
        <w:t>ené</w:t>
      </w:r>
      <w:r w:rsidRPr="00714BFA">
        <w:rPr>
          <w:rFonts w:hint="default"/>
        </w:rPr>
        <w:t xml:space="preserve"> na podporu nepotraviná</w:t>
      </w:r>
      <w:r w:rsidRPr="00714BFA">
        <w:rPr>
          <w:rFonts w:hint="default"/>
        </w:rPr>
        <w:t>rskeho využ</w:t>
      </w:r>
      <w:r w:rsidRPr="00714BFA">
        <w:rPr>
          <w:rFonts w:hint="default"/>
        </w:rPr>
        <w:t>itia cukru a ď</w:t>
      </w:r>
      <w:r w:rsidRPr="00714BFA">
        <w:rPr>
          <w:rFonts w:hint="default"/>
        </w:rPr>
        <w:t>alší</w:t>
      </w:r>
      <w:r w:rsidRPr="00714BFA">
        <w:rPr>
          <w:rFonts w:hint="default"/>
        </w:rPr>
        <w:t>ch produktov v sektore cukru, predovš</w:t>
      </w:r>
      <w:r w:rsidRPr="00714BFA">
        <w:rPr>
          <w:rFonts w:hint="default"/>
        </w:rPr>
        <w:t>etký</w:t>
      </w:r>
      <w:r w:rsidRPr="00714BFA">
        <w:rPr>
          <w:rFonts w:hint="default"/>
        </w:rPr>
        <w:t>m na jeho spracovanie v chemickom a farmaceutickom priemysle.</w:t>
      </w:r>
      <w:r w:rsidRPr="00714BFA">
        <w:rPr>
          <w:rFonts w:hint="default"/>
        </w:rPr>
        <w:t xml:space="preserve"> </w:t>
      </w:r>
    </w:p>
    <w:p w:rsidR="002B4982" w:rsidRPr="00714BFA" w:rsidP="00C22595">
      <w:pPr>
        <w:bidi w:val="0"/>
        <w:rPr>
          <w:rFonts w:hint="default"/>
        </w:rPr>
      </w:pPr>
      <w:r w:rsidRPr="00714BFA">
        <w:rPr>
          <w:rStyle w:val="Strong"/>
          <w:rFonts w:hint="default"/>
        </w:rPr>
        <w:t>Podpory sú</w:t>
      </w:r>
      <w:r w:rsidRPr="00714BFA">
        <w:rPr>
          <w:rStyle w:val="Strong"/>
          <w:rFonts w:hint="default"/>
        </w:rPr>
        <w:t xml:space="preserve"> poskytované</w:t>
      </w:r>
      <w:r w:rsidRPr="00714BFA">
        <w:rPr>
          <w:rStyle w:val="Strong"/>
          <w:rFonts w:hint="default"/>
        </w:rPr>
        <w:t xml:space="preserve"> aj pri reš</w:t>
      </w:r>
      <w:r w:rsidRPr="00714BFA">
        <w:rPr>
          <w:rStyle w:val="Strong"/>
          <w:rFonts w:hint="default"/>
        </w:rPr>
        <w:t>trukturalizá</w:t>
      </w:r>
      <w:r w:rsidRPr="00714BFA">
        <w:rPr>
          <w:rStyle w:val="Strong"/>
          <w:rFonts w:hint="default"/>
        </w:rPr>
        <w:t>cii cukrovarní</w:t>
      </w:r>
      <w:r w:rsidRPr="00714BFA">
        <w:rPr>
          <w:rStyle w:val="Strong"/>
          <w:rFonts w:hint="default"/>
        </w:rPr>
        <w:t>ckeho priemyslu</w:t>
      </w:r>
      <w:r w:rsidRPr="00714BFA">
        <w:rPr>
          <w:rFonts w:hint="default"/>
        </w:rPr>
        <w:t xml:space="preserve"> pre pestovateľ</w:t>
      </w:r>
      <w:r w:rsidRPr="00714BFA">
        <w:rPr>
          <w:rFonts w:hint="default"/>
        </w:rPr>
        <w:t>ov cukrovej repy a vý</w:t>
      </w:r>
      <w:r w:rsidRPr="00714BFA">
        <w:rPr>
          <w:rFonts w:hint="default"/>
        </w:rPr>
        <w:t>robcov cukru pri zníž</w:t>
      </w:r>
      <w:r w:rsidRPr="00714BFA">
        <w:rPr>
          <w:rFonts w:hint="default"/>
        </w:rPr>
        <w:t>ení</w:t>
      </w:r>
      <w:r w:rsidRPr="00714BFA">
        <w:rPr>
          <w:rFonts w:hint="default"/>
        </w:rPr>
        <w:t xml:space="preserve"> kvó</w:t>
      </w:r>
      <w:r w:rsidRPr="00714BFA">
        <w:rPr>
          <w:rFonts w:hint="default"/>
        </w:rPr>
        <w:t>ty, resp. uzatvorení</w:t>
      </w:r>
      <w:r w:rsidRPr="00714BFA">
        <w:rPr>
          <w:rFonts w:hint="default"/>
        </w:rPr>
        <w:t xml:space="preserve"> cukrovaru. </w:t>
      </w:r>
    </w:p>
    <w:p w:rsidR="000B0E74" w:rsidP="000B0E74">
      <w:pPr>
        <w:bidi w:val="0"/>
        <w:rPr>
          <w:rStyle w:val="Strong"/>
        </w:rPr>
      </w:pPr>
    </w:p>
    <w:p w:rsidR="002B4982" w:rsidRPr="00A17626" w:rsidP="000B0E74">
      <w:pPr>
        <w:keepNext/>
        <w:bidi w:val="0"/>
        <w:ind w:firstLine="0"/>
        <w:rPr>
          <w:rStyle w:val="Strong"/>
          <w:bCs w:val="0"/>
        </w:rPr>
      </w:pPr>
      <w:r w:rsidR="006F4893">
        <w:rPr>
          <w:rStyle w:val="Strong"/>
        </w:rPr>
        <w:t xml:space="preserve">      </w:t>
      </w:r>
      <w:r w:rsidRPr="00A17626">
        <w:rPr>
          <w:rStyle w:val="Strong"/>
          <w:rFonts w:hint="default"/>
        </w:rPr>
        <w:t>Podporné</w:t>
      </w:r>
      <w:r w:rsidRPr="00A17626">
        <w:rPr>
          <w:rStyle w:val="Strong"/>
          <w:rFonts w:hint="default"/>
        </w:rPr>
        <w:t xml:space="preserve"> ná</w:t>
      </w:r>
      <w:r w:rsidRPr="00A17626">
        <w:rPr>
          <w:rStyle w:val="Strong"/>
          <w:rFonts w:hint="default"/>
        </w:rPr>
        <w:t>stroje v sektore ovocia a zeleniny</w:t>
      </w:r>
    </w:p>
    <w:p w:rsidR="002B4982" w:rsidRPr="00CC36EF" w:rsidP="002B4982">
      <w:pPr>
        <w:pStyle w:val="Heading9"/>
        <w:bidi w:val="0"/>
        <w:ind w:left="360"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C36EF">
        <w:rPr>
          <w:rFonts w:ascii="Times New Roman" w:hAnsi="Times New Roman"/>
          <w:b/>
          <w:i w:val="0"/>
          <w:color w:val="auto"/>
          <w:sz w:val="24"/>
          <w:szCs w:val="24"/>
        </w:rPr>
        <w:t>Akčný plán a operačný program</w:t>
      </w:r>
    </w:p>
    <w:p w:rsidR="002B4982" w:rsidRPr="00CC36EF" w:rsidP="002B4982">
      <w:pPr>
        <w:bidi w:val="0"/>
        <w:ind w:left="360" w:firstLine="0"/>
        <w:rPr>
          <w:rFonts w:hint="default"/>
          <w:b/>
        </w:rPr>
      </w:pPr>
      <w:r w:rsidRPr="00CC36EF">
        <w:rPr>
          <w:rFonts w:hint="default"/>
          <w:b/>
        </w:rPr>
        <w:t>Š</w:t>
      </w:r>
      <w:r w:rsidRPr="00CC36EF">
        <w:rPr>
          <w:rFonts w:hint="default"/>
          <w:b/>
        </w:rPr>
        <w:t>kolské</w:t>
      </w:r>
      <w:r w:rsidRPr="00CC36EF">
        <w:rPr>
          <w:rFonts w:hint="default"/>
          <w:b/>
        </w:rPr>
        <w:t xml:space="preserve"> ovocie</w:t>
      </w:r>
    </w:p>
    <w:p w:rsidR="002B4982" w:rsidRPr="00052D47" w:rsidP="00C22595">
      <w:pPr>
        <w:bidi w:val="0"/>
        <w:rPr>
          <w:noProof/>
        </w:rPr>
      </w:pPr>
      <w:r w:rsidR="00440106">
        <w:rPr>
          <w:rFonts w:hint="default"/>
          <w:bCs/>
          <w:noProof/>
        </w:rPr>
        <w:t>Cieľ</w:t>
      </w:r>
      <w:r w:rsidR="00440106">
        <w:rPr>
          <w:rFonts w:hint="default"/>
          <w:bCs/>
          <w:noProof/>
        </w:rPr>
        <w:t xml:space="preserve"> podporný</w:t>
      </w:r>
      <w:r w:rsidR="00440106">
        <w:rPr>
          <w:rFonts w:hint="default"/>
          <w:bCs/>
          <w:noProof/>
        </w:rPr>
        <w:t>ch ná</w:t>
      </w:r>
      <w:r w:rsidR="00440106">
        <w:rPr>
          <w:rFonts w:hint="default"/>
          <w:bCs/>
          <w:noProof/>
        </w:rPr>
        <w:t xml:space="preserve">strojov v sektore ovocia a </w:t>
      </w:r>
      <w:r w:rsidRPr="002B4982">
        <w:rPr>
          <w:bCs/>
          <w:noProof/>
        </w:rPr>
        <w:t>zeleniny je</w:t>
      </w:r>
      <w:r w:rsidRPr="002B4982">
        <w:rPr>
          <w:b/>
          <w:noProof/>
        </w:rPr>
        <w:t xml:space="preserve"> </w:t>
      </w:r>
      <w:r w:rsidRPr="00052D47">
        <w:rPr>
          <w:rFonts w:hint="default"/>
          <w:noProof/>
        </w:rPr>
        <w:t>zvýš</w:t>
      </w:r>
      <w:r w:rsidRPr="00052D47">
        <w:rPr>
          <w:rFonts w:hint="default"/>
          <w:noProof/>
        </w:rPr>
        <w:t>enie konkurencieschopnosti pestovateľ</w:t>
      </w:r>
      <w:r w:rsidRPr="00052D47">
        <w:rPr>
          <w:rFonts w:hint="default"/>
          <w:noProof/>
        </w:rPr>
        <w:t>ov ovocia a zeleniny, prispô</w:t>
      </w:r>
      <w:r w:rsidRPr="00052D47">
        <w:rPr>
          <w:rFonts w:hint="default"/>
          <w:noProof/>
        </w:rPr>
        <w:t>sobenie sa produkcie trhový</w:t>
      </w:r>
      <w:r w:rsidRPr="00052D47">
        <w:rPr>
          <w:rFonts w:hint="default"/>
          <w:noProof/>
        </w:rPr>
        <w:t>m podmienkam a </w:t>
      </w:r>
      <w:r w:rsidRPr="00052D47">
        <w:rPr>
          <w:rFonts w:hint="default"/>
          <w:noProof/>
        </w:rPr>
        <w:t>skvalitnenie ovociná</w:t>
      </w:r>
      <w:r w:rsidRPr="00052D47">
        <w:rPr>
          <w:rFonts w:hint="default"/>
          <w:noProof/>
        </w:rPr>
        <w:t>rskej a zeleniná</w:t>
      </w:r>
      <w:r w:rsidRPr="00052D47">
        <w:rPr>
          <w:rFonts w:hint="default"/>
          <w:noProof/>
        </w:rPr>
        <w:t>rskej vý</w:t>
      </w:r>
      <w:r w:rsidRPr="00052D47">
        <w:rPr>
          <w:rFonts w:hint="default"/>
          <w:noProof/>
        </w:rPr>
        <w:t xml:space="preserve">roby v SR. </w:t>
      </w:r>
      <w:r w:rsidRPr="002B4982">
        <w:rPr>
          <w:rFonts w:hint="default"/>
          <w:bCs/>
          <w:noProof/>
        </w:rPr>
        <w:t>Podporu mož</w:t>
      </w:r>
      <w:r w:rsidRPr="002B4982">
        <w:rPr>
          <w:rFonts w:hint="default"/>
          <w:bCs/>
          <w:noProof/>
        </w:rPr>
        <w:t>no posk</w:t>
      </w:r>
      <w:r w:rsidRPr="002B4982">
        <w:rPr>
          <w:rFonts w:hint="default"/>
          <w:bCs/>
          <w:noProof/>
        </w:rPr>
        <w:t>ytnúť</w:t>
      </w:r>
      <w:r w:rsidRPr="002B4982">
        <w:rPr>
          <w:b/>
          <w:noProof/>
        </w:rPr>
        <w:t xml:space="preserve"> </w:t>
      </w:r>
      <w:r w:rsidRPr="00052D47">
        <w:rPr>
          <w:rFonts w:hint="default"/>
          <w:noProof/>
        </w:rPr>
        <w:t>uznaný</w:t>
      </w:r>
      <w:r w:rsidRPr="00052D47">
        <w:rPr>
          <w:rFonts w:hint="default"/>
          <w:noProof/>
        </w:rPr>
        <w:t>m skupiná</w:t>
      </w:r>
      <w:r w:rsidRPr="00052D47">
        <w:rPr>
          <w:rFonts w:hint="default"/>
          <w:noProof/>
        </w:rPr>
        <w:t>m alebo organizá</w:t>
      </w:r>
      <w:r w:rsidRPr="00052D47">
        <w:rPr>
          <w:rFonts w:hint="default"/>
          <w:noProof/>
        </w:rPr>
        <w:t>ciá</w:t>
      </w:r>
      <w:r w:rsidRPr="00052D47">
        <w:rPr>
          <w:rFonts w:hint="default"/>
          <w:noProof/>
        </w:rPr>
        <w:t>m vý</w:t>
      </w:r>
      <w:r w:rsidRPr="00052D47">
        <w:rPr>
          <w:rFonts w:hint="default"/>
          <w:noProof/>
        </w:rPr>
        <w:t>robcov, nie jednotlivý</w:t>
      </w:r>
      <w:r w:rsidRPr="00052D47">
        <w:rPr>
          <w:rFonts w:hint="default"/>
          <w:noProof/>
        </w:rPr>
        <w:t>m</w:t>
      </w:r>
      <w:r w:rsidR="008037B0">
        <w:rPr>
          <w:rFonts w:hint="default"/>
          <w:noProof/>
        </w:rPr>
        <w:t xml:space="preserve"> pestovateľ</w:t>
      </w:r>
      <w:r w:rsidR="008037B0">
        <w:rPr>
          <w:rFonts w:hint="default"/>
          <w:noProof/>
        </w:rPr>
        <w:t>om ovocia a zeleniny</w:t>
      </w:r>
      <w:r w:rsidRPr="00052D47">
        <w:rPr>
          <w:noProof/>
        </w:rPr>
        <w:t xml:space="preserve"> v </w:t>
      </w:r>
      <w:r w:rsidRPr="00052D47">
        <w:rPr>
          <w:rFonts w:hint="default"/>
          <w:noProof/>
        </w:rPr>
        <w:t>rá</w:t>
      </w:r>
      <w:r w:rsidRPr="00052D47">
        <w:rPr>
          <w:rFonts w:hint="default"/>
          <w:noProof/>
        </w:rPr>
        <w:t>mci opatrení</w:t>
      </w:r>
      <w:r w:rsidRPr="00052D47">
        <w:rPr>
          <w:rFonts w:hint="default"/>
          <w:noProof/>
        </w:rPr>
        <w:t xml:space="preserve">  financovanie akč</w:t>
      </w:r>
      <w:r w:rsidRPr="00052D47">
        <w:rPr>
          <w:rFonts w:hint="default"/>
          <w:noProof/>
        </w:rPr>
        <w:t>ný</w:t>
      </w:r>
      <w:r w:rsidRPr="00052D47">
        <w:rPr>
          <w:rFonts w:hint="default"/>
          <w:noProof/>
        </w:rPr>
        <w:t>ch plá</w:t>
      </w:r>
      <w:r w:rsidRPr="00052D47">
        <w:rPr>
          <w:rFonts w:hint="default"/>
          <w:noProof/>
        </w:rPr>
        <w:t>nov a</w:t>
      </w:r>
      <w:r w:rsidRPr="002B4982">
        <w:rPr>
          <w:rFonts w:eastAsia="Times New Roman"/>
          <w:noProof/>
        </w:rPr>
        <w:t xml:space="preserve"> financovanie operačných programov.</w:t>
      </w:r>
    </w:p>
    <w:p w:rsidR="002B4982" w:rsidRPr="00052D47" w:rsidP="002B4982">
      <w:pPr>
        <w:pStyle w:val="Heading5"/>
        <w:bidi w:val="0"/>
        <w:ind w:left="360" w:firstLine="0"/>
        <w:rPr>
          <w:rFonts w:ascii="Times New Roman" w:hAnsi="Times New Roman"/>
          <w:b/>
          <w:bCs/>
          <w:iCs/>
          <w:noProof/>
          <w:color w:val="auto"/>
        </w:rPr>
      </w:pPr>
      <w:r w:rsidRPr="00052D47">
        <w:rPr>
          <w:rFonts w:ascii="Times New Roman" w:hAnsi="Times New Roman"/>
          <w:b/>
          <w:bCs/>
          <w:iCs/>
          <w:noProof/>
          <w:color w:val="auto"/>
        </w:rPr>
        <w:t>Podporné nástroje v sektore cukru</w:t>
      </w:r>
    </w:p>
    <w:p w:rsidR="002B4982" w:rsidRPr="00052D47" w:rsidP="002B4982">
      <w:pPr>
        <w:pStyle w:val="Heading5"/>
        <w:bidi w:val="0"/>
        <w:ind w:left="360" w:firstLine="0"/>
        <w:rPr>
          <w:rFonts w:ascii="Times New Roman" w:hAnsi="Times New Roman"/>
          <w:b/>
          <w:bCs/>
          <w:iCs/>
          <w:noProof/>
          <w:color w:val="auto"/>
        </w:rPr>
      </w:pPr>
      <w:r w:rsidRPr="00052D47">
        <w:rPr>
          <w:rFonts w:ascii="Times New Roman" w:hAnsi="Times New Roman"/>
          <w:b/>
          <w:bCs/>
          <w:iCs/>
          <w:noProof/>
          <w:color w:val="auto"/>
        </w:rPr>
        <w:t>Reštrukturalizácia cukrovarníckeho priemyslu</w:t>
      </w:r>
    </w:p>
    <w:p w:rsidR="002B4982" w:rsidRPr="00CC36EF" w:rsidP="002B4982">
      <w:pPr>
        <w:pStyle w:val="Heading9"/>
        <w:bidi w:val="0"/>
        <w:ind w:left="360" w:firstLine="0"/>
        <w:rPr>
          <w:rFonts w:ascii="Times New Roman" w:hAnsi="Times New Roman"/>
          <w:bCs/>
          <w:i w:val="0"/>
          <w:caps/>
          <w:color w:val="auto"/>
          <w:sz w:val="24"/>
          <w:szCs w:val="24"/>
        </w:rPr>
      </w:pPr>
      <w:r w:rsidRPr="00CC36EF">
        <w:rPr>
          <w:rStyle w:val="Strong"/>
          <w:rFonts w:ascii="Times New Roman" w:hAnsi="Times New Roman"/>
          <w:i w:val="0"/>
          <w:iCs w:val="0"/>
          <w:color w:val="auto"/>
          <w:sz w:val="24"/>
          <w:szCs w:val="24"/>
        </w:rPr>
        <w:t>Sušené krmivá</w:t>
      </w:r>
    </w:p>
    <w:p w:rsidR="00832C96" w:rsidP="002B4982">
      <w:pPr>
        <w:bidi w:val="0"/>
        <w:ind w:left="360" w:firstLine="0"/>
        <w:rPr>
          <w:rStyle w:val="Strong"/>
        </w:rPr>
      </w:pPr>
    </w:p>
    <w:p w:rsidR="00CC36EF" w:rsidP="002B4982">
      <w:pPr>
        <w:bidi w:val="0"/>
        <w:ind w:left="360" w:firstLine="0"/>
        <w:rPr>
          <w:rStyle w:val="Strong"/>
        </w:rPr>
      </w:pPr>
    </w:p>
    <w:p w:rsidR="00CC36EF" w:rsidP="002B4982">
      <w:pPr>
        <w:bidi w:val="0"/>
        <w:ind w:left="360" w:firstLine="0"/>
        <w:rPr>
          <w:rStyle w:val="Strong"/>
        </w:rPr>
      </w:pPr>
    </w:p>
    <w:p w:rsidR="002B4982" w:rsidRPr="00832C96" w:rsidP="002B4982">
      <w:pPr>
        <w:bidi w:val="0"/>
        <w:ind w:left="360" w:firstLine="0"/>
        <w:rPr>
          <w:rStyle w:val="Strong"/>
          <w:b w:val="0"/>
          <w:bCs w:val="0"/>
          <w:noProof/>
        </w:rPr>
      </w:pPr>
      <w:r w:rsidRPr="00832C96">
        <w:rPr>
          <w:rStyle w:val="Strong"/>
        </w:rPr>
        <w:t>P</w:t>
      </w:r>
      <w:r w:rsidR="00832C96">
        <w:rPr>
          <w:rStyle w:val="Strong"/>
          <w:rFonts w:hint="default"/>
        </w:rPr>
        <w:t>odporné</w:t>
      </w:r>
      <w:r w:rsidR="00832C96">
        <w:rPr>
          <w:rStyle w:val="Strong"/>
          <w:rFonts w:hint="default"/>
        </w:rPr>
        <w:t xml:space="preserve"> ná</w:t>
      </w:r>
      <w:r w:rsidR="00832C96">
        <w:rPr>
          <w:rStyle w:val="Strong"/>
          <w:rFonts w:hint="default"/>
        </w:rPr>
        <w:t>stroje v </w:t>
      </w:r>
      <w:r w:rsidR="00832C96">
        <w:rPr>
          <w:rStyle w:val="Strong"/>
          <w:rFonts w:hint="default"/>
        </w:rPr>
        <w:t>sektore ví</w:t>
      </w:r>
      <w:r w:rsidR="00832C96">
        <w:rPr>
          <w:rStyle w:val="Strong"/>
          <w:rFonts w:hint="default"/>
        </w:rPr>
        <w:t>na</w:t>
      </w:r>
    </w:p>
    <w:p w:rsidR="002B4982" w:rsidRPr="00052D47" w:rsidP="00C22595">
      <w:pPr>
        <w:bidi w:val="0"/>
        <w:rPr>
          <w:rFonts w:hint="default"/>
        </w:rPr>
      </w:pPr>
      <w:r w:rsidRPr="00052D47">
        <w:t>V </w:t>
      </w:r>
      <w:r w:rsidRPr="00052D47">
        <w:rPr>
          <w:noProof/>
        </w:rPr>
        <w:t>SR</w:t>
      </w:r>
      <w:r w:rsidRPr="00052D47">
        <w:rPr>
          <w:rFonts w:hint="default"/>
        </w:rPr>
        <w:t xml:space="preserve"> sa uplatň</w:t>
      </w:r>
      <w:r w:rsidRPr="00052D47">
        <w:rPr>
          <w:rFonts w:hint="default"/>
        </w:rPr>
        <w:t>uje v </w:t>
      </w:r>
      <w:r w:rsidRPr="00052D47">
        <w:rPr>
          <w:rFonts w:hint="default"/>
        </w:rPr>
        <w:t>zmysle Ná</w:t>
      </w:r>
      <w:r w:rsidRPr="00052D47">
        <w:rPr>
          <w:rFonts w:hint="default"/>
        </w:rPr>
        <w:t>rodné</w:t>
      </w:r>
      <w:r w:rsidRPr="00052D47">
        <w:rPr>
          <w:rFonts w:hint="default"/>
        </w:rPr>
        <w:t>ho podporné</w:t>
      </w:r>
      <w:r w:rsidRPr="00052D47">
        <w:rPr>
          <w:rFonts w:hint="default"/>
        </w:rPr>
        <w:t>ho programu SR v </w:t>
      </w:r>
      <w:r w:rsidRPr="00052D47">
        <w:rPr>
          <w:rFonts w:hint="default"/>
        </w:rPr>
        <w:t>rá</w:t>
      </w:r>
      <w:r w:rsidRPr="00052D47">
        <w:rPr>
          <w:rFonts w:hint="default"/>
        </w:rPr>
        <w:t>mci spoloč</w:t>
      </w:r>
      <w:r w:rsidRPr="00052D47">
        <w:rPr>
          <w:rFonts w:hint="default"/>
        </w:rPr>
        <w:t>nej organizá</w:t>
      </w:r>
      <w:r w:rsidRPr="00052D47">
        <w:rPr>
          <w:rFonts w:hint="default"/>
        </w:rPr>
        <w:t>cie trhu s </w:t>
      </w:r>
      <w:r w:rsidRPr="00052D47">
        <w:rPr>
          <w:rFonts w:hint="default"/>
        </w:rPr>
        <w:t>ví</w:t>
      </w:r>
      <w:r w:rsidRPr="00052D47">
        <w:rPr>
          <w:rFonts w:hint="default"/>
        </w:rPr>
        <w:t>nom pre roky 2008 - 2013  5 opatrení</w:t>
      </w:r>
      <w:r w:rsidRPr="00052D47">
        <w:rPr>
          <w:rFonts w:hint="default"/>
        </w:rPr>
        <w:t>:</w:t>
      </w:r>
    </w:p>
    <w:p w:rsidR="002B4982" w:rsidRPr="00440106" w:rsidP="0019597F">
      <w:pPr>
        <w:pStyle w:val="ListParagraph"/>
        <w:numPr>
          <w:numId w:val="30"/>
        </w:numPr>
        <w:bidi w:val="0"/>
        <w:ind w:left="397" w:hanging="397"/>
        <w:rPr>
          <w:rFonts w:hint="default"/>
        </w:rPr>
      </w:pPr>
      <w:r w:rsidRPr="00440106">
        <w:rPr>
          <w:rFonts w:hint="default"/>
        </w:rPr>
        <w:t>Propagá</w:t>
      </w:r>
      <w:r w:rsidRPr="00440106">
        <w:rPr>
          <w:rFonts w:hint="default"/>
        </w:rPr>
        <w:t>cia na trhoch tretí</w:t>
      </w:r>
      <w:r w:rsidRPr="00440106">
        <w:rPr>
          <w:rFonts w:hint="default"/>
        </w:rPr>
        <w:t>ch krají</w:t>
      </w:r>
      <w:r w:rsidRPr="00440106">
        <w:rPr>
          <w:rFonts w:hint="default"/>
        </w:rPr>
        <w:t xml:space="preserve">n </w:t>
      </w:r>
    </w:p>
    <w:p w:rsidR="002B4982" w:rsidRPr="00440106" w:rsidP="0019597F">
      <w:pPr>
        <w:pStyle w:val="ListParagraph"/>
        <w:numPr>
          <w:numId w:val="30"/>
        </w:numPr>
        <w:bidi w:val="0"/>
        <w:ind w:left="397" w:hanging="397"/>
        <w:rPr>
          <w:rFonts w:hint="default"/>
        </w:rPr>
      </w:pPr>
      <w:r w:rsidRPr="00440106">
        <w:rPr>
          <w:rFonts w:hint="default"/>
        </w:rPr>
        <w:t>Reš</w:t>
      </w:r>
      <w:r w:rsidRPr="00440106">
        <w:rPr>
          <w:rFonts w:hint="default"/>
        </w:rPr>
        <w:t>trukturalizá</w:t>
      </w:r>
      <w:r w:rsidRPr="00440106">
        <w:rPr>
          <w:rFonts w:hint="default"/>
        </w:rPr>
        <w:t>cia vinohrad</w:t>
      </w:r>
      <w:r w:rsidRPr="00440106">
        <w:rPr>
          <w:rFonts w:hint="default"/>
        </w:rPr>
        <w:t xml:space="preserve">ov </w:t>
      </w:r>
    </w:p>
    <w:p w:rsidR="002B4982" w:rsidRPr="00440106" w:rsidP="0019597F">
      <w:pPr>
        <w:pStyle w:val="ListParagraph"/>
        <w:numPr>
          <w:numId w:val="30"/>
        </w:numPr>
        <w:bidi w:val="0"/>
        <w:ind w:left="397" w:hanging="397"/>
        <w:rPr>
          <w:rFonts w:hint="default"/>
        </w:rPr>
      </w:pPr>
      <w:r w:rsidRPr="00440106">
        <w:rPr>
          <w:rFonts w:hint="default"/>
        </w:rPr>
        <w:t>Poistenie ú</w:t>
      </w:r>
      <w:r w:rsidRPr="00440106">
        <w:rPr>
          <w:rFonts w:hint="default"/>
        </w:rPr>
        <w:t xml:space="preserve">rody </w:t>
      </w:r>
    </w:p>
    <w:p w:rsidR="002B4982" w:rsidRPr="00440106" w:rsidP="0019597F">
      <w:pPr>
        <w:pStyle w:val="ListParagraph"/>
        <w:numPr>
          <w:numId w:val="30"/>
        </w:numPr>
        <w:bidi w:val="0"/>
        <w:ind w:left="397" w:hanging="397"/>
        <w:rPr>
          <w:rFonts w:hint="default"/>
        </w:rPr>
      </w:pPr>
      <w:r w:rsidRPr="00440106">
        <w:rPr>
          <w:rFonts w:hint="default"/>
        </w:rPr>
        <w:t>Investí</w:t>
      </w:r>
      <w:r w:rsidRPr="00440106">
        <w:rPr>
          <w:rFonts w:hint="default"/>
        </w:rPr>
        <w:t xml:space="preserve">cie do podnikov </w:t>
      </w:r>
    </w:p>
    <w:p w:rsidR="002B4982" w:rsidRPr="00440106" w:rsidP="0019597F">
      <w:pPr>
        <w:pStyle w:val="ListParagraph"/>
        <w:numPr>
          <w:numId w:val="30"/>
        </w:numPr>
        <w:bidi w:val="0"/>
        <w:ind w:left="397" w:hanging="397"/>
        <w:rPr>
          <w:rFonts w:hint="default"/>
        </w:rPr>
      </w:pPr>
      <w:r w:rsidRPr="00440106">
        <w:rPr>
          <w:rFonts w:hint="default"/>
        </w:rPr>
        <w:t>Podpora za použ</w:t>
      </w:r>
      <w:r w:rsidRPr="00440106">
        <w:rPr>
          <w:rFonts w:hint="default"/>
        </w:rPr>
        <w:t>itie zahustené</w:t>
      </w:r>
      <w:r w:rsidRPr="00440106">
        <w:rPr>
          <w:rFonts w:hint="default"/>
        </w:rPr>
        <w:t>ho hroznové</w:t>
      </w:r>
      <w:r w:rsidRPr="00440106">
        <w:rPr>
          <w:rFonts w:hint="default"/>
        </w:rPr>
        <w:t>ho muš</w:t>
      </w:r>
      <w:r w:rsidRPr="00440106">
        <w:rPr>
          <w:rFonts w:hint="default"/>
        </w:rPr>
        <w:t xml:space="preserve">tu </w:t>
      </w:r>
    </w:p>
    <w:p w:rsidR="002B4982" w:rsidRPr="00052D47" w:rsidP="002B4982">
      <w:pPr>
        <w:pStyle w:val="Heading5"/>
        <w:bidi w:val="0"/>
        <w:ind w:left="360" w:firstLine="0"/>
        <w:rPr>
          <w:rFonts w:ascii="Times New Roman" w:hAnsi="Times New Roman"/>
          <w:b/>
          <w:bCs/>
          <w:iCs/>
          <w:noProof/>
          <w:color w:val="auto"/>
        </w:rPr>
      </w:pPr>
      <w:r w:rsidRPr="00052D47">
        <w:rPr>
          <w:rFonts w:ascii="Times New Roman" w:hAnsi="Times New Roman"/>
          <w:b/>
          <w:bCs/>
          <w:iCs/>
          <w:noProof/>
          <w:color w:val="auto"/>
        </w:rPr>
        <w:t>Trvalé ukončenie výsadby vinohradov</w:t>
      </w:r>
    </w:p>
    <w:p w:rsidR="002B4982" w:rsidRPr="00052D47" w:rsidP="00C22595">
      <w:pPr>
        <w:bidi w:val="0"/>
        <w:rPr>
          <w:rFonts w:hint="default"/>
          <w:noProof/>
        </w:rPr>
      </w:pPr>
      <w:r w:rsidRPr="002B4982">
        <w:rPr>
          <w:rFonts w:hint="default"/>
          <w:bCs/>
          <w:iCs/>
          <w:noProof/>
        </w:rPr>
        <w:t>Podporu je mož</w:t>
      </w:r>
      <w:r w:rsidRPr="002B4982">
        <w:rPr>
          <w:rFonts w:hint="default"/>
          <w:bCs/>
          <w:iCs/>
          <w:noProof/>
        </w:rPr>
        <w:t>né</w:t>
      </w:r>
      <w:r w:rsidRPr="002B4982">
        <w:rPr>
          <w:rFonts w:hint="default"/>
          <w:bCs/>
          <w:iCs/>
          <w:noProof/>
        </w:rPr>
        <w:t xml:space="preserve"> poskytnúť</w:t>
      </w:r>
      <w:r w:rsidRPr="00052D47">
        <w:rPr>
          <w:rFonts w:hint="default"/>
          <w:noProof/>
        </w:rPr>
        <w:t xml:space="preserve"> akejkoľ</w:t>
      </w:r>
      <w:r w:rsidRPr="00052D47">
        <w:rPr>
          <w:rFonts w:hint="default"/>
          <w:noProof/>
        </w:rPr>
        <w:t>vek fyzickej alebo prá</w:t>
      </w:r>
      <w:r w:rsidRPr="00052D47">
        <w:rPr>
          <w:rFonts w:hint="default"/>
          <w:noProof/>
        </w:rPr>
        <w:t>vnickej osobe, ktorá</w:t>
      </w:r>
      <w:r w:rsidRPr="00052D47">
        <w:rPr>
          <w:rFonts w:hint="default"/>
          <w:noProof/>
        </w:rPr>
        <w:t xml:space="preserve"> na ú</w:t>
      </w:r>
      <w:r w:rsidRPr="00052D47">
        <w:rPr>
          <w:rFonts w:hint="default"/>
          <w:noProof/>
        </w:rPr>
        <w:t>zemí</w:t>
      </w:r>
      <w:r w:rsidRPr="00052D47">
        <w:rPr>
          <w:rFonts w:hint="default"/>
          <w:noProof/>
        </w:rPr>
        <w:t xml:space="preserve"> SR uží</w:t>
      </w:r>
      <w:r w:rsidRPr="00052D47">
        <w:rPr>
          <w:rFonts w:hint="default"/>
          <w:noProof/>
        </w:rPr>
        <w:t xml:space="preserve">va </w:t>
      </w:r>
      <w:r w:rsidRPr="00052D47">
        <w:rPr>
          <w:rFonts w:hint="default"/>
        </w:rPr>
        <w:t>zaregistrovanú</w:t>
      </w:r>
      <w:r w:rsidRPr="00052D47">
        <w:rPr>
          <w:rFonts w:hint="default"/>
          <w:noProof/>
        </w:rPr>
        <w:t xml:space="preserve"> vinohradní</w:t>
      </w:r>
      <w:r w:rsidRPr="00052D47">
        <w:rPr>
          <w:rFonts w:hint="default"/>
          <w:noProof/>
        </w:rPr>
        <w:t>cku p</w:t>
      </w:r>
      <w:r w:rsidRPr="00052D47">
        <w:rPr>
          <w:rFonts w:hint="default"/>
          <w:noProof/>
        </w:rPr>
        <w:t>lochu a z </w:t>
      </w:r>
      <w:r w:rsidRPr="00052D47">
        <w:rPr>
          <w:rFonts w:hint="default"/>
          <w:noProof/>
        </w:rPr>
        <w:t>tejto plochy odstrá</w:t>
      </w:r>
      <w:r w:rsidRPr="00052D47">
        <w:rPr>
          <w:rFonts w:hint="default"/>
          <w:noProof/>
        </w:rPr>
        <w:t>ni vš</w:t>
      </w:r>
      <w:r w:rsidRPr="00052D47">
        <w:rPr>
          <w:rFonts w:hint="default"/>
          <w:noProof/>
        </w:rPr>
        <w:t>etky kry vinič</w:t>
      </w:r>
      <w:r w:rsidRPr="00052D47">
        <w:rPr>
          <w:rFonts w:hint="default"/>
          <w:noProof/>
        </w:rPr>
        <w:t>a a </w:t>
      </w:r>
      <w:r w:rsidRPr="00052D47">
        <w:rPr>
          <w:rFonts w:hint="default"/>
          <w:noProof/>
        </w:rPr>
        <w:t>opornú</w:t>
      </w:r>
      <w:r w:rsidRPr="00052D47">
        <w:rPr>
          <w:rFonts w:hint="default"/>
          <w:noProof/>
        </w:rPr>
        <w:t xml:space="preserve"> konš</w:t>
      </w:r>
      <w:r w:rsidRPr="00052D47">
        <w:rPr>
          <w:rFonts w:hint="default"/>
          <w:noProof/>
        </w:rPr>
        <w:t>trukciu.</w:t>
      </w:r>
    </w:p>
    <w:p w:rsidR="002B4982" w:rsidRPr="00052D47" w:rsidP="002B4982">
      <w:pPr>
        <w:pStyle w:val="Heading5"/>
        <w:bidi w:val="0"/>
        <w:ind w:left="360" w:firstLine="0"/>
        <w:rPr>
          <w:rFonts w:ascii="Times New Roman" w:hAnsi="Times New Roman"/>
          <w:b/>
          <w:color w:val="auto"/>
        </w:rPr>
      </w:pPr>
      <w:r w:rsidRPr="00052D47">
        <w:rPr>
          <w:rFonts w:ascii="Times New Roman" w:hAnsi="Times New Roman"/>
          <w:b/>
          <w:color w:val="auto"/>
        </w:rPr>
        <w:t>Školské ovocie</w:t>
      </w:r>
    </w:p>
    <w:p w:rsidR="002B4982" w:rsidRPr="00052D47" w:rsidP="00C22595">
      <w:pPr>
        <w:bidi w:val="0"/>
        <w:rPr>
          <w:rFonts w:hint="default"/>
        </w:rPr>
      </w:pPr>
      <w:r w:rsidRPr="00052D47">
        <w:t>V </w:t>
      </w:r>
      <w:r w:rsidRPr="00052D47">
        <w:rPr>
          <w:rFonts w:hint="default"/>
        </w:rPr>
        <w:t>roku 2009 sa zač</w:t>
      </w:r>
      <w:r w:rsidRPr="00052D47">
        <w:rPr>
          <w:rFonts w:hint="default"/>
        </w:rPr>
        <w:t>al uplatň</w:t>
      </w:r>
      <w:r w:rsidRPr="00052D47">
        <w:rPr>
          <w:rFonts w:hint="default"/>
        </w:rPr>
        <w:t>ovať</w:t>
      </w:r>
      <w:r w:rsidRPr="00052D47">
        <w:rPr>
          <w:rFonts w:hint="default"/>
        </w:rPr>
        <w:t xml:space="preserve"> program „Š</w:t>
      </w:r>
      <w:r w:rsidRPr="00052D47">
        <w:rPr>
          <w:rFonts w:hint="default"/>
        </w:rPr>
        <w:t>kolské</w:t>
      </w:r>
      <w:r w:rsidRPr="00052D47">
        <w:rPr>
          <w:rFonts w:hint="default"/>
        </w:rPr>
        <w:t xml:space="preserve"> ovocie“</w:t>
      </w:r>
      <w:r w:rsidRPr="00052D47">
        <w:rPr>
          <w:rFonts w:hint="default"/>
        </w:rPr>
        <w:t>, na zá</w:t>
      </w:r>
      <w:r w:rsidRPr="00052D47">
        <w:rPr>
          <w:rFonts w:hint="default"/>
        </w:rPr>
        <w:t>klade ktoré</w:t>
      </w:r>
      <w:r w:rsidRPr="00052D47">
        <w:rPr>
          <w:rFonts w:hint="default"/>
        </w:rPr>
        <w:t xml:space="preserve">ho je </w:t>
      </w:r>
      <w:r w:rsidRPr="00C22595">
        <w:rPr>
          <w:rFonts w:hint="default"/>
          <w:bCs/>
          <w:iCs/>
          <w:noProof/>
        </w:rPr>
        <w:t>zabezpeč</w:t>
      </w:r>
      <w:r w:rsidRPr="00C22595">
        <w:rPr>
          <w:rFonts w:hint="default"/>
          <w:bCs/>
          <w:iCs/>
          <w:noProof/>
        </w:rPr>
        <w:t>ené</w:t>
      </w:r>
      <w:r w:rsidRPr="00052D47">
        <w:rPr>
          <w:rFonts w:hint="default"/>
        </w:rPr>
        <w:t xml:space="preserve"> pravidelné</w:t>
      </w:r>
      <w:r w:rsidRPr="00052D47">
        <w:rPr>
          <w:rFonts w:hint="default"/>
        </w:rPr>
        <w:t xml:space="preserve"> dodá</w:t>
      </w:r>
      <w:r w:rsidRPr="00052D47">
        <w:rPr>
          <w:rFonts w:hint="default"/>
        </w:rPr>
        <w:t>vanie ovocia a </w:t>
      </w:r>
      <w:r w:rsidRPr="00052D47">
        <w:rPr>
          <w:rFonts w:hint="default"/>
        </w:rPr>
        <w:t>zeleniny alebo vý</w:t>
      </w:r>
      <w:r w:rsidRPr="00052D47">
        <w:rPr>
          <w:rFonts w:hint="default"/>
        </w:rPr>
        <w:t>robkov z </w:t>
      </w:r>
      <w:r w:rsidRPr="00052D47">
        <w:rPr>
          <w:rFonts w:hint="default"/>
        </w:rPr>
        <w:t>nich do vzdelá</w:t>
      </w:r>
      <w:r w:rsidRPr="00052D47">
        <w:rPr>
          <w:rFonts w:hint="default"/>
        </w:rPr>
        <w:t>vací</w:t>
      </w:r>
      <w:r w:rsidRPr="00052D47">
        <w:rPr>
          <w:rFonts w:hint="default"/>
        </w:rPr>
        <w:t xml:space="preserve">ch </w:t>
      </w:r>
      <w:r w:rsidRPr="00052D47">
        <w:rPr>
          <w:rFonts w:hint="default"/>
        </w:rPr>
        <w:t>inš</w:t>
      </w:r>
      <w:r w:rsidRPr="00052D47">
        <w:rPr>
          <w:rFonts w:hint="default"/>
        </w:rPr>
        <w:t>titú</w:t>
      </w:r>
      <w:r w:rsidRPr="00052D47">
        <w:rPr>
          <w:rFonts w:hint="default"/>
        </w:rPr>
        <w:t>cií</w:t>
      </w:r>
      <w:r w:rsidRPr="00052D47">
        <w:rPr>
          <w:rFonts w:hint="default"/>
        </w:rPr>
        <w:t>.  Pre 27 č</w:t>
      </w:r>
      <w:r w:rsidRPr="00052D47">
        <w:rPr>
          <w:rFonts w:hint="default"/>
        </w:rPr>
        <w:t>lenský</w:t>
      </w:r>
      <w:r w:rsidRPr="00052D47">
        <w:rPr>
          <w:rFonts w:hint="default"/>
        </w:rPr>
        <w:t>ch š</w:t>
      </w:r>
      <w:r w:rsidRPr="00052D47">
        <w:rPr>
          <w:rFonts w:hint="default"/>
        </w:rPr>
        <w:t>tá</w:t>
      </w:r>
      <w:r w:rsidRPr="00052D47">
        <w:rPr>
          <w:rFonts w:hint="default"/>
        </w:rPr>
        <w:t>tov vyč</w:t>
      </w:r>
      <w:r w:rsidRPr="00052D47">
        <w:rPr>
          <w:rFonts w:hint="default"/>
        </w:rPr>
        <w:t>lenila EÚ</w:t>
      </w:r>
      <w:r w:rsidRPr="00052D47">
        <w:rPr>
          <w:rFonts w:hint="default"/>
        </w:rPr>
        <w:t xml:space="preserve"> 90 mil. €</w:t>
      </w:r>
      <w:r w:rsidRPr="00052D47">
        <w:rPr>
          <w:rFonts w:hint="default"/>
        </w:rPr>
        <w:t>. SR sa zapojila od š</w:t>
      </w:r>
      <w:r w:rsidRPr="00052D47">
        <w:rPr>
          <w:rFonts w:hint="default"/>
        </w:rPr>
        <w:t>kolské</w:t>
      </w:r>
      <w:r w:rsidRPr="00052D47">
        <w:rPr>
          <w:rFonts w:hint="default"/>
        </w:rPr>
        <w:t>ho roku 2009/2010 s </w:t>
      </w:r>
      <w:r w:rsidRPr="00052D47">
        <w:rPr>
          <w:rFonts w:hint="default"/>
        </w:rPr>
        <w:t>finanč</w:t>
      </w:r>
      <w:r w:rsidRPr="00052D47">
        <w:rPr>
          <w:rFonts w:hint="default"/>
        </w:rPr>
        <w:t>nou podporou EÚ</w:t>
      </w:r>
      <w:r w:rsidRPr="00052D47">
        <w:rPr>
          <w:rFonts w:hint="default"/>
        </w:rPr>
        <w:t xml:space="preserve"> 1,27 mil. €</w:t>
      </w:r>
      <w:r w:rsidRPr="00052D47">
        <w:rPr>
          <w:rFonts w:hint="default"/>
        </w:rPr>
        <w:t>, ktorá</w:t>
      </w:r>
      <w:r w:rsidRPr="00052D47">
        <w:rPr>
          <w:rFonts w:hint="default"/>
        </w:rPr>
        <w:t xml:space="preserve"> bola vyč</w:t>
      </w:r>
      <w:r w:rsidRPr="00052D47">
        <w:rPr>
          <w:rFonts w:hint="default"/>
        </w:rPr>
        <w:t>lenená</w:t>
      </w:r>
      <w:r w:rsidRPr="00052D47">
        <w:rPr>
          <w:rFonts w:hint="default"/>
        </w:rPr>
        <w:t xml:space="preserve"> asi pre 300 000 detí</w:t>
      </w:r>
      <w:r w:rsidRPr="00052D47">
        <w:rPr>
          <w:rFonts w:hint="default"/>
        </w:rPr>
        <w:t>. Cena dodané</w:t>
      </w:r>
      <w:r w:rsidRPr="00052D47">
        <w:rPr>
          <w:rFonts w:hint="default"/>
        </w:rPr>
        <w:t>ho ovocia a </w:t>
      </w:r>
      <w:r w:rsidRPr="00052D47">
        <w:rPr>
          <w:rFonts w:hint="default"/>
        </w:rPr>
        <w:t>zeleniny je hradená</w:t>
      </w:r>
      <w:r w:rsidRPr="00052D47">
        <w:rPr>
          <w:rFonts w:hint="default"/>
        </w:rPr>
        <w:t xml:space="preserve"> </w:t>
      </w:r>
      <w:r w:rsidR="0019597F">
        <w:t xml:space="preserve">na </w:t>
      </w:r>
      <w:r w:rsidRPr="00052D47">
        <w:t>73</w:t>
      </w:r>
      <w:r w:rsidR="00440106">
        <w:t> </w:t>
      </w:r>
      <w:r w:rsidR="00440106">
        <w:t>%</w:t>
      </w:r>
      <w:r w:rsidRPr="00052D47">
        <w:t xml:space="preserve"> z </w:t>
      </w:r>
      <w:r w:rsidRPr="00052D47">
        <w:rPr>
          <w:rFonts w:hint="default"/>
        </w:rPr>
        <w:t>EÚ</w:t>
      </w:r>
      <w:r w:rsidRPr="00052D47">
        <w:rPr>
          <w:rFonts w:hint="default"/>
        </w:rPr>
        <w:t xml:space="preserve"> a</w:t>
      </w:r>
      <w:r w:rsidR="00C56058">
        <w:t> </w:t>
      </w:r>
      <w:r w:rsidRPr="00052D47">
        <w:t>27</w:t>
      </w:r>
      <w:r w:rsidR="00440106">
        <w:t> </w:t>
      </w:r>
      <w:r w:rsidR="00440106">
        <w:t>%</w:t>
      </w:r>
      <w:r w:rsidRPr="00052D47">
        <w:rPr>
          <w:rFonts w:hint="default"/>
        </w:rPr>
        <w:t xml:space="preserve"> hradí</w:t>
      </w:r>
      <w:r w:rsidRPr="00052D47">
        <w:rPr>
          <w:rFonts w:hint="default"/>
        </w:rPr>
        <w:t xml:space="preserve"> ž</w:t>
      </w:r>
      <w:r w:rsidRPr="00052D47">
        <w:rPr>
          <w:rFonts w:hint="default"/>
        </w:rPr>
        <w:t>ia</w:t>
      </w:r>
      <w:r w:rsidRPr="00052D47">
        <w:rPr>
          <w:rFonts w:hint="default"/>
        </w:rPr>
        <w:t>k. Na š</w:t>
      </w:r>
      <w:r w:rsidRPr="00052D47">
        <w:rPr>
          <w:rFonts w:hint="default"/>
        </w:rPr>
        <w:t>kolský</w:t>
      </w:r>
      <w:r w:rsidRPr="00052D47">
        <w:rPr>
          <w:rFonts w:hint="default"/>
        </w:rPr>
        <w:t xml:space="preserve"> rok 2009/2010 to predstavovalo sumu 1,75 mil. €</w:t>
      </w:r>
      <w:r w:rsidRPr="00052D47">
        <w:rPr>
          <w:rFonts w:hint="default"/>
        </w:rPr>
        <w:t>, na š</w:t>
      </w:r>
      <w:r w:rsidRPr="00052D47">
        <w:rPr>
          <w:rFonts w:hint="default"/>
        </w:rPr>
        <w:t>kolský</w:t>
      </w:r>
      <w:r w:rsidRPr="00052D47">
        <w:rPr>
          <w:rFonts w:hint="default"/>
        </w:rPr>
        <w:t xml:space="preserve"> rok 2010/2011 je suma zvýš</w:t>
      </w:r>
      <w:r w:rsidRPr="00052D47">
        <w:rPr>
          <w:rFonts w:hint="default"/>
        </w:rPr>
        <w:t>ená</w:t>
      </w:r>
      <w:r w:rsidRPr="00052D47">
        <w:rPr>
          <w:rFonts w:hint="default"/>
        </w:rPr>
        <w:t xml:space="preserve"> na 2,5 mil. €.</w:t>
      </w:r>
    </w:p>
    <w:p w:rsidR="002B4982" w:rsidRPr="00052D47" w:rsidP="002B4982">
      <w:pPr>
        <w:bidi w:val="0"/>
        <w:ind w:left="360" w:firstLine="0"/>
      </w:pPr>
    </w:p>
    <w:p w:rsidR="002B4982" w:rsidRPr="007917E8" w:rsidP="007917E8">
      <w:pPr>
        <w:pStyle w:val="Normln12"/>
        <w:bidi w:val="0"/>
        <w:ind w:firstLine="0"/>
        <w:rPr>
          <w:rStyle w:val="Strong"/>
          <w:rFonts w:ascii="Times New Roman" w:hAnsi="Times New Roman"/>
          <w:bCs w:val="0"/>
        </w:rPr>
      </w:pPr>
      <w:bookmarkStart w:id="2" w:name="_Toc231806200"/>
      <w:r w:rsidRPr="007917E8">
        <w:rPr>
          <w:rStyle w:val="Strong"/>
          <w:rFonts w:ascii="Times New Roman" w:hAnsi="Times New Roman"/>
        </w:rPr>
        <w:t>c) Živočíšne komodity:</w:t>
      </w:r>
      <w:bookmarkEnd w:id="2"/>
      <w:r w:rsidRPr="007917E8">
        <w:rPr>
          <w:rStyle w:val="Strong"/>
          <w:rFonts w:ascii="Times New Roman" w:hAnsi="Times New Roman"/>
        </w:rPr>
        <w:t xml:space="preserve"> </w:t>
      </w:r>
    </w:p>
    <w:p w:rsidR="002B4982" w:rsidRPr="007917E8" w:rsidP="002B4982">
      <w:pPr>
        <w:bidi w:val="0"/>
        <w:ind w:left="360" w:firstLine="0"/>
        <w:rPr>
          <w:rStyle w:val="Strong"/>
          <w:rFonts w:hint="default"/>
          <w:b w:val="0"/>
        </w:rPr>
      </w:pPr>
      <w:r w:rsidRPr="009A08CC">
        <w:rPr>
          <w:rStyle w:val="Strong"/>
        </w:rPr>
        <w:t>Intervencie</w:t>
      </w:r>
      <w:r w:rsidRPr="007917E8">
        <w:rPr>
          <w:rStyle w:val="Strong"/>
          <w:b w:val="0"/>
        </w:rPr>
        <w:t xml:space="preserve"> </w:t>
      </w:r>
      <w:r w:rsidRPr="007917E8">
        <w:rPr>
          <w:rStyle w:val="Strong"/>
          <w:rFonts w:hint="default"/>
          <w:b w:val="0"/>
        </w:rPr>
        <w:t>–</w:t>
      </w:r>
      <w:r w:rsidRPr="007917E8">
        <w:rPr>
          <w:rStyle w:val="Strong"/>
          <w:rFonts w:hint="default"/>
          <w:b w:val="0"/>
        </w:rPr>
        <w:t xml:space="preserve"> ná</w:t>
      </w:r>
      <w:r w:rsidRPr="007917E8">
        <w:rPr>
          <w:rStyle w:val="Strong"/>
          <w:rFonts w:hint="default"/>
          <w:b w:val="0"/>
        </w:rPr>
        <w:t>kup, skladovanie, predaj (maslo, suš</w:t>
      </w:r>
      <w:r w:rsidRPr="007917E8">
        <w:rPr>
          <w:rStyle w:val="Strong"/>
          <w:rFonts w:hint="default"/>
          <w:b w:val="0"/>
        </w:rPr>
        <w:t>ené</w:t>
      </w:r>
      <w:r w:rsidRPr="007917E8">
        <w:rPr>
          <w:rStyle w:val="Strong"/>
          <w:rFonts w:hint="default"/>
          <w:b w:val="0"/>
        </w:rPr>
        <w:t xml:space="preserve"> mlieko, hovä</w:t>
      </w:r>
      <w:r w:rsidRPr="007917E8">
        <w:rPr>
          <w:rStyle w:val="Strong"/>
          <w:rFonts w:hint="default"/>
          <w:b w:val="0"/>
        </w:rPr>
        <w:t>dzie mä</w:t>
      </w:r>
      <w:r w:rsidRPr="007917E8">
        <w:rPr>
          <w:rStyle w:val="Strong"/>
          <w:rFonts w:hint="default"/>
          <w:b w:val="0"/>
        </w:rPr>
        <w:t>so)</w:t>
      </w:r>
    </w:p>
    <w:p w:rsidR="002B4982" w:rsidRPr="002B4982" w:rsidP="002B4982">
      <w:pPr>
        <w:bidi w:val="0"/>
        <w:ind w:left="360" w:firstLine="0"/>
        <w:rPr>
          <w:rStyle w:val="Strong"/>
          <w:b w:val="0"/>
          <w:bCs w:val="0"/>
        </w:rPr>
      </w:pPr>
      <w:r w:rsidRPr="00052D47">
        <w:rPr>
          <w:rFonts w:hint="default"/>
        </w:rPr>
        <w:t>Slúž</w:t>
      </w:r>
      <w:r w:rsidRPr="00052D47">
        <w:rPr>
          <w:rFonts w:hint="default"/>
        </w:rPr>
        <w:t>i na stabilizá</w:t>
      </w:r>
      <w:r w:rsidRPr="00052D47">
        <w:rPr>
          <w:rFonts w:hint="default"/>
        </w:rPr>
        <w:t>ciu cien na vnú</w:t>
      </w:r>
      <w:r w:rsidRPr="00052D47">
        <w:rPr>
          <w:rFonts w:hint="default"/>
        </w:rPr>
        <w:t>tornom trhu č</w:t>
      </w:r>
      <w:r w:rsidRPr="00052D47">
        <w:rPr>
          <w:rFonts w:hint="default"/>
        </w:rPr>
        <w:t>lenské</w:t>
      </w:r>
      <w:r w:rsidRPr="00052D47">
        <w:rPr>
          <w:rFonts w:hint="default"/>
        </w:rPr>
        <w:t>ho š</w:t>
      </w:r>
      <w:r w:rsidRPr="00052D47">
        <w:rPr>
          <w:rFonts w:hint="default"/>
        </w:rPr>
        <w:t>tá</w:t>
      </w:r>
      <w:r w:rsidRPr="00052D47">
        <w:rPr>
          <w:rFonts w:hint="default"/>
        </w:rPr>
        <w:t xml:space="preserve">tu. </w:t>
      </w:r>
    </w:p>
    <w:p w:rsidR="002B4982" w:rsidRPr="009A08CC" w:rsidP="009A08CC">
      <w:pPr>
        <w:bidi w:val="0"/>
        <w:ind w:firstLine="426"/>
        <w:rPr>
          <w:rStyle w:val="Strong"/>
          <w:bCs w:val="0"/>
          <w:iCs/>
        </w:rPr>
      </w:pPr>
      <w:r w:rsidRPr="009A08CC">
        <w:rPr>
          <w:rStyle w:val="Strong"/>
          <w:rFonts w:hint="default"/>
        </w:rPr>
        <w:t>Podpory spotreby mlieka v š</w:t>
      </w:r>
      <w:r w:rsidRPr="009A08CC">
        <w:rPr>
          <w:rStyle w:val="Strong"/>
          <w:rFonts w:hint="default"/>
        </w:rPr>
        <w:t>kolský</w:t>
      </w:r>
      <w:r w:rsidRPr="009A08CC">
        <w:rPr>
          <w:rStyle w:val="Strong"/>
          <w:rFonts w:hint="default"/>
        </w:rPr>
        <w:t xml:space="preserve">ch zariadeniach </w:t>
      </w:r>
      <w:r w:rsidRPr="009A08CC">
        <w:rPr>
          <w:rStyle w:val="Strong"/>
          <w:rFonts w:hint="default"/>
        </w:rPr>
        <w:t>–</w:t>
      </w:r>
      <w:r w:rsidRPr="009A08CC">
        <w:rPr>
          <w:rStyle w:val="Strong"/>
          <w:rFonts w:hint="default"/>
        </w:rPr>
        <w:t xml:space="preserve"> š</w:t>
      </w:r>
      <w:r w:rsidRPr="009A08CC">
        <w:rPr>
          <w:rStyle w:val="Strong"/>
          <w:rFonts w:hint="default"/>
        </w:rPr>
        <w:t>kolské</w:t>
      </w:r>
      <w:r w:rsidRPr="009A08CC">
        <w:rPr>
          <w:rStyle w:val="Strong"/>
          <w:rFonts w:hint="default"/>
        </w:rPr>
        <w:t xml:space="preserve"> mlieko</w:t>
      </w:r>
    </w:p>
    <w:p w:rsidR="002B4982" w:rsidRPr="00052D47" w:rsidP="007917E8">
      <w:pPr>
        <w:bidi w:val="0"/>
        <w:rPr>
          <w:rFonts w:hint="default"/>
          <w:noProof/>
        </w:rPr>
      </w:pPr>
      <w:r w:rsidRPr="00052D47">
        <w:rPr>
          <w:rFonts w:hint="default"/>
          <w:noProof/>
        </w:rPr>
        <w:t>Podpora je urč</w:t>
      </w:r>
      <w:r w:rsidRPr="00052D47">
        <w:rPr>
          <w:rFonts w:hint="default"/>
          <w:noProof/>
        </w:rPr>
        <w:t>ená</w:t>
      </w:r>
      <w:r w:rsidRPr="00052D47">
        <w:rPr>
          <w:rFonts w:hint="default"/>
          <w:noProof/>
        </w:rPr>
        <w:t xml:space="preserve"> deť</w:t>
      </w:r>
      <w:r w:rsidRPr="00052D47">
        <w:rPr>
          <w:rFonts w:hint="default"/>
          <w:noProof/>
        </w:rPr>
        <w:t>om v materský</w:t>
      </w:r>
      <w:r w:rsidRPr="00052D47">
        <w:rPr>
          <w:rFonts w:hint="default"/>
          <w:noProof/>
        </w:rPr>
        <w:t>ch š</w:t>
      </w:r>
      <w:r w:rsidRPr="00052D47">
        <w:rPr>
          <w:rFonts w:hint="default"/>
          <w:noProof/>
        </w:rPr>
        <w:t>kolá</w:t>
      </w:r>
      <w:r w:rsidRPr="00052D47">
        <w:rPr>
          <w:rFonts w:hint="default"/>
          <w:noProof/>
        </w:rPr>
        <w:t>ch a ž</w:t>
      </w:r>
      <w:r w:rsidRPr="00052D47">
        <w:rPr>
          <w:rFonts w:hint="default"/>
          <w:noProof/>
        </w:rPr>
        <w:t>iakom na zá</w:t>
      </w:r>
      <w:r w:rsidRPr="00052D47">
        <w:rPr>
          <w:rFonts w:hint="default"/>
          <w:noProof/>
        </w:rPr>
        <w:t>kladný</w:t>
      </w:r>
      <w:r w:rsidRPr="00052D47">
        <w:rPr>
          <w:rFonts w:hint="default"/>
          <w:noProof/>
        </w:rPr>
        <w:t>ch a stredný</w:t>
      </w:r>
      <w:r w:rsidRPr="00052D47">
        <w:rPr>
          <w:rFonts w:hint="default"/>
          <w:noProof/>
        </w:rPr>
        <w:t>ch š</w:t>
      </w:r>
      <w:r w:rsidRPr="00052D47">
        <w:rPr>
          <w:rFonts w:hint="default"/>
          <w:noProof/>
        </w:rPr>
        <w:t>kolá</w:t>
      </w:r>
      <w:r w:rsidRPr="00052D47">
        <w:rPr>
          <w:rFonts w:hint="default"/>
          <w:noProof/>
        </w:rPr>
        <w:t>ch prostrední</w:t>
      </w:r>
      <w:r w:rsidRPr="00052D47">
        <w:rPr>
          <w:rFonts w:hint="default"/>
          <w:noProof/>
        </w:rPr>
        <w:t>ctvom schvá</w:t>
      </w:r>
      <w:r w:rsidRPr="00052D47">
        <w:rPr>
          <w:rFonts w:hint="default"/>
          <w:noProof/>
        </w:rPr>
        <w:t>lený</w:t>
      </w:r>
      <w:r w:rsidRPr="00052D47">
        <w:rPr>
          <w:rFonts w:hint="default"/>
          <w:noProof/>
        </w:rPr>
        <w:t>ch uchá</w:t>
      </w:r>
      <w:r w:rsidRPr="00052D47">
        <w:rPr>
          <w:rFonts w:hint="default"/>
          <w:noProof/>
        </w:rPr>
        <w:t>dzač</w:t>
      </w:r>
      <w:r w:rsidRPr="00052D47">
        <w:rPr>
          <w:rFonts w:hint="default"/>
          <w:noProof/>
        </w:rPr>
        <w:t>ov o zabezpeč</w:t>
      </w:r>
      <w:r w:rsidRPr="00052D47">
        <w:rPr>
          <w:rFonts w:hint="default"/>
          <w:noProof/>
        </w:rPr>
        <w:t>ovanie mlieč</w:t>
      </w:r>
      <w:r w:rsidRPr="00052D47">
        <w:rPr>
          <w:rFonts w:hint="default"/>
          <w:noProof/>
        </w:rPr>
        <w:t>nych vý</w:t>
      </w:r>
      <w:r w:rsidRPr="00052D47">
        <w:rPr>
          <w:rFonts w:hint="default"/>
          <w:noProof/>
        </w:rPr>
        <w:t>robk</w:t>
      </w:r>
      <w:r w:rsidRPr="00052D47">
        <w:rPr>
          <w:rFonts w:hint="default"/>
          <w:noProof/>
        </w:rPr>
        <w:t>ov, ktorý</w:t>
      </w:r>
      <w:r w:rsidRPr="00052D47">
        <w:rPr>
          <w:rFonts w:hint="default"/>
          <w:noProof/>
        </w:rPr>
        <w:t>mi môž</w:t>
      </w:r>
      <w:r w:rsidRPr="00052D47">
        <w:rPr>
          <w:rFonts w:hint="default"/>
          <w:noProof/>
        </w:rPr>
        <w:t>u byť</w:t>
      </w:r>
      <w:r w:rsidRPr="00052D47">
        <w:rPr>
          <w:rFonts w:hint="default"/>
          <w:noProof/>
        </w:rPr>
        <w:t>:</w:t>
      </w:r>
    </w:p>
    <w:p w:rsidR="002B4982" w:rsidRPr="00052D47" w:rsidP="0019597F">
      <w:pPr>
        <w:pStyle w:val="ListParagraph"/>
        <w:numPr>
          <w:numId w:val="28"/>
        </w:numPr>
        <w:bidi w:val="0"/>
        <w:ind w:left="397" w:hanging="397"/>
        <w:rPr>
          <w:rFonts w:hint="default"/>
          <w:noProof/>
        </w:rPr>
      </w:pPr>
      <w:r w:rsidRPr="00052D47">
        <w:rPr>
          <w:rFonts w:hint="default"/>
          <w:noProof/>
        </w:rPr>
        <w:t>vzdelá</w:t>
      </w:r>
      <w:r w:rsidRPr="00052D47">
        <w:rPr>
          <w:rFonts w:hint="default"/>
          <w:noProof/>
        </w:rPr>
        <w:t>vacia inš</w:t>
      </w:r>
      <w:r w:rsidRPr="00052D47">
        <w:rPr>
          <w:rFonts w:hint="default"/>
          <w:noProof/>
        </w:rPr>
        <w:t>titú</w:t>
      </w:r>
      <w:r w:rsidRPr="00052D47">
        <w:rPr>
          <w:rFonts w:hint="default"/>
          <w:noProof/>
        </w:rPr>
        <w:t>cia,</w:t>
      </w:r>
    </w:p>
    <w:p w:rsidR="002B4982" w:rsidRPr="00052D47" w:rsidP="0019597F">
      <w:pPr>
        <w:pStyle w:val="ListParagraph"/>
        <w:numPr>
          <w:numId w:val="28"/>
        </w:numPr>
        <w:bidi w:val="0"/>
        <w:ind w:left="397" w:hanging="397"/>
        <w:rPr>
          <w:rFonts w:hint="default"/>
          <w:noProof/>
        </w:rPr>
      </w:pPr>
      <w:r w:rsidRPr="00052D47">
        <w:rPr>
          <w:rFonts w:hint="default"/>
          <w:noProof/>
        </w:rPr>
        <w:t>orgá</w:t>
      </w:r>
      <w:r w:rsidRPr="00052D47">
        <w:rPr>
          <w:rFonts w:hint="default"/>
          <w:noProof/>
        </w:rPr>
        <w:t>n š</w:t>
      </w:r>
      <w:r w:rsidRPr="00052D47">
        <w:rPr>
          <w:rFonts w:hint="default"/>
          <w:noProof/>
        </w:rPr>
        <w:t>kolstva, pokiaľ</w:t>
      </w:r>
      <w:r w:rsidRPr="00052D47">
        <w:rPr>
          <w:rFonts w:hint="default"/>
          <w:noProof/>
        </w:rPr>
        <w:t xml:space="preserve"> ide o vý</w:t>
      </w:r>
      <w:r w:rsidRPr="00052D47">
        <w:rPr>
          <w:rFonts w:hint="default"/>
          <w:noProof/>
        </w:rPr>
        <w:t>robky distribuované</w:t>
      </w:r>
      <w:r w:rsidRPr="00052D47">
        <w:rPr>
          <w:rFonts w:hint="default"/>
          <w:noProof/>
        </w:rPr>
        <w:t xml:space="preserve"> ž</w:t>
      </w:r>
      <w:r w:rsidRPr="00052D47">
        <w:rPr>
          <w:rFonts w:hint="default"/>
          <w:noProof/>
        </w:rPr>
        <w:t>iakom v rá</w:t>
      </w:r>
      <w:r w:rsidRPr="00052D47">
        <w:rPr>
          <w:rFonts w:hint="default"/>
          <w:noProof/>
        </w:rPr>
        <w:t>mci jeho pô</w:t>
      </w:r>
      <w:r w:rsidRPr="00052D47">
        <w:rPr>
          <w:rFonts w:hint="default"/>
          <w:noProof/>
        </w:rPr>
        <w:t>sobnosti,</w:t>
      </w:r>
    </w:p>
    <w:p w:rsidR="002B4982" w:rsidRPr="00052D47" w:rsidP="0019597F">
      <w:pPr>
        <w:pStyle w:val="ListParagraph"/>
        <w:numPr>
          <w:numId w:val="28"/>
        </w:numPr>
        <w:bidi w:val="0"/>
        <w:ind w:left="397" w:hanging="397"/>
        <w:rPr>
          <w:rFonts w:hint="default"/>
          <w:noProof/>
        </w:rPr>
      </w:pPr>
      <w:r w:rsidRPr="00052D47">
        <w:rPr>
          <w:rFonts w:hint="default"/>
          <w:noProof/>
        </w:rPr>
        <w:t>dodá</w:t>
      </w:r>
      <w:r w:rsidRPr="00052D47">
        <w:rPr>
          <w:rFonts w:hint="default"/>
          <w:noProof/>
        </w:rPr>
        <w:t>vateľ</w:t>
      </w:r>
      <w:r w:rsidRPr="00052D47">
        <w:rPr>
          <w:rFonts w:hint="default"/>
          <w:noProof/>
        </w:rPr>
        <w:t xml:space="preserve"> vý</w:t>
      </w:r>
      <w:r w:rsidRPr="00052D47">
        <w:rPr>
          <w:rFonts w:hint="default"/>
          <w:noProof/>
        </w:rPr>
        <w:t>robkov,</w:t>
      </w:r>
    </w:p>
    <w:p w:rsidR="002B4982" w:rsidRPr="00052D47" w:rsidP="0019597F">
      <w:pPr>
        <w:pStyle w:val="ListParagraph"/>
        <w:numPr>
          <w:numId w:val="28"/>
        </w:numPr>
        <w:bidi w:val="0"/>
        <w:ind w:left="397" w:hanging="397"/>
        <w:rPr>
          <w:noProof/>
        </w:rPr>
      </w:pPr>
      <w:r w:rsidRPr="00052D47">
        <w:rPr>
          <w:rFonts w:hint="default"/>
          <w:noProof/>
        </w:rPr>
        <w:t>organizá</w:t>
      </w:r>
      <w:r w:rsidRPr="00052D47">
        <w:rPr>
          <w:rFonts w:hint="default"/>
          <w:noProof/>
        </w:rPr>
        <w:t>cia pô</w:t>
      </w:r>
      <w:r w:rsidRPr="00052D47">
        <w:rPr>
          <w:rFonts w:hint="default"/>
          <w:noProof/>
        </w:rPr>
        <w:t>sobiaca v mene jednej alebo viacerý</w:t>
      </w:r>
      <w:r w:rsidRPr="00052D47">
        <w:rPr>
          <w:rFonts w:hint="default"/>
          <w:noProof/>
        </w:rPr>
        <w:t>c</w:t>
      </w:r>
      <w:r w:rsidR="0019597F">
        <w:rPr>
          <w:rFonts w:hint="default"/>
          <w:noProof/>
        </w:rPr>
        <w:t>h vzdelá</w:t>
      </w:r>
      <w:r w:rsidR="0019597F">
        <w:rPr>
          <w:rFonts w:hint="default"/>
          <w:noProof/>
        </w:rPr>
        <w:t>vací</w:t>
      </w:r>
      <w:r w:rsidR="0019597F">
        <w:rPr>
          <w:rFonts w:hint="default"/>
          <w:noProof/>
        </w:rPr>
        <w:t>ch inš</w:t>
      </w:r>
      <w:r w:rsidR="0019597F">
        <w:rPr>
          <w:rFonts w:hint="default"/>
          <w:noProof/>
        </w:rPr>
        <w:t>titú</w:t>
      </w:r>
      <w:r w:rsidR="0019597F">
        <w:rPr>
          <w:rFonts w:hint="default"/>
          <w:noProof/>
        </w:rPr>
        <w:t>cií</w:t>
      </w:r>
      <w:r w:rsidR="0019597F">
        <w:rPr>
          <w:rFonts w:hint="default"/>
          <w:noProof/>
        </w:rPr>
        <w:t xml:space="preserve"> alebo </w:t>
      </w:r>
      <w:r w:rsidRPr="00052D47">
        <w:rPr>
          <w:rFonts w:hint="default"/>
          <w:noProof/>
        </w:rPr>
        <w:t>jedné</w:t>
      </w:r>
      <w:r w:rsidRPr="00052D47">
        <w:rPr>
          <w:rFonts w:hint="default"/>
          <w:noProof/>
        </w:rPr>
        <w:t xml:space="preserve">ho </w:t>
      </w:r>
      <w:r w:rsidR="0019597F">
        <w:rPr>
          <w:noProof/>
        </w:rPr>
        <w:t>resp.</w:t>
      </w:r>
      <w:r w:rsidRPr="00052D47">
        <w:rPr>
          <w:rFonts w:hint="default"/>
          <w:noProof/>
        </w:rPr>
        <w:t xml:space="preserve"> viacerý</w:t>
      </w:r>
      <w:r w:rsidRPr="00052D47">
        <w:rPr>
          <w:rFonts w:hint="default"/>
          <w:noProof/>
        </w:rPr>
        <w:t>ch o</w:t>
      </w:r>
      <w:r w:rsidRPr="00052D47">
        <w:rPr>
          <w:rFonts w:hint="default"/>
          <w:noProof/>
        </w:rPr>
        <w:t>rgá</w:t>
      </w:r>
      <w:r w:rsidRPr="00052D47">
        <w:rPr>
          <w:rFonts w:hint="default"/>
          <w:noProof/>
        </w:rPr>
        <w:t>nov š</w:t>
      </w:r>
      <w:r w:rsidRPr="00052D47">
        <w:rPr>
          <w:rFonts w:hint="default"/>
          <w:noProof/>
        </w:rPr>
        <w:t>kolstva a </w:t>
      </w:r>
      <w:r w:rsidRPr="00052D47">
        <w:rPr>
          <w:rFonts w:hint="default"/>
          <w:noProof/>
        </w:rPr>
        <w:t>osobitne zriadená</w:t>
      </w:r>
      <w:r w:rsidRPr="00052D47">
        <w:rPr>
          <w:rFonts w:hint="default"/>
          <w:noProof/>
        </w:rPr>
        <w:t xml:space="preserve"> na tento úč</w:t>
      </w:r>
      <w:r w:rsidRPr="00052D47">
        <w:rPr>
          <w:rFonts w:hint="default"/>
          <w:noProof/>
        </w:rPr>
        <w:t>el</w:t>
      </w:r>
      <w:r w:rsidR="007917E8">
        <w:rPr>
          <w:noProof/>
        </w:rPr>
        <w:t>.</w:t>
      </w:r>
    </w:p>
    <w:p w:rsidR="002B4982" w:rsidRPr="00052D47" w:rsidP="002B4982">
      <w:pPr>
        <w:bidi w:val="0"/>
        <w:ind w:left="360" w:firstLine="0"/>
        <w:rPr>
          <w:noProof/>
        </w:rPr>
      </w:pPr>
    </w:p>
    <w:p w:rsidR="002B4982" w:rsidRPr="002B4982" w:rsidP="002B4982">
      <w:pPr>
        <w:bidi w:val="0"/>
        <w:ind w:left="360" w:firstLine="0"/>
        <w:rPr>
          <w:rFonts w:hint="default"/>
          <w:b/>
          <w:noProof/>
        </w:rPr>
      </w:pPr>
      <w:r w:rsidRPr="002B4982">
        <w:rPr>
          <w:rFonts w:hint="default"/>
          <w:b/>
          <w:noProof/>
        </w:rPr>
        <w:t>Jednorazová</w:t>
      </w:r>
      <w:r w:rsidRPr="002B4982">
        <w:rPr>
          <w:rFonts w:hint="default"/>
          <w:b/>
          <w:noProof/>
        </w:rPr>
        <w:t xml:space="preserve"> podpora v sektore produkcie mlieka</w:t>
      </w:r>
    </w:p>
    <w:p w:rsidR="002B4982" w:rsidRPr="00052D47" w:rsidP="007917E8">
      <w:pPr>
        <w:bidi w:val="0"/>
        <w:rPr>
          <w:rFonts w:hint="default"/>
          <w:noProof/>
        </w:rPr>
      </w:pPr>
      <w:r w:rsidRPr="00052D47">
        <w:rPr>
          <w:rFonts w:hint="default"/>
          <w:noProof/>
        </w:rPr>
        <w:t>Jednorazová</w:t>
      </w:r>
      <w:r w:rsidRPr="00052D47">
        <w:rPr>
          <w:rFonts w:hint="default"/>
          <w:noProof/>
        </w:rPr>
        <w:t xml:space="preserve"> podpora bola urč</w:t>
      </w:r>
      <w:r w:rsidRPr="00052D47">
        <w:rPr>
          <w:rFonts w:hint="default"/>
          <w:noProof/>
        </w:rPr>
        <w:t>ená</w:t>
      </w:r>
      <w:r w:rsidRPr="00052D47">
        <w:rPr>
          <w:rFonts w:hint="default"/>
          <w:noProof/>
        </w:rPr>
        <w:t xml:space="preserve"> pre chovateľ</w:t>
      </w:r>
      <w:r w:rsidRPr="00052D47">
        <w:rPr>
          <w:rFonts w:hint="default"/>
          <w:noProof/>
        </w:rPr>
        <w:t>ov dojní</w:t>
      </w:r>
      <w:r w:rsidRPr="00052D47">
        <w:rPr>
          <w:rFonts w:hint="default"/>
          <w:noProof/>
        </w:rPr>
        <w:t>c s </w:t>
      </w:r>
      <w:r w:rsidRPr="00052D47">
        <w:rPr>
          <w:rFonts w:hint="default"/>
          <w:noProof/>
        </w:rPr>
        <w:t>pridelenou individuá</w:t>
      </w:r>
      <w:r w:rsidRPr="00052D47">
        <w:rPr>
          <w:rFonts w:hint="default"/>
          <w:noProof/>
        </w:rPr>
        <w:t>lnou kvó</w:t>
      </w:r>
      <w:r w:rsidRPr="00052D47">
        <w:rPr>
          <w:rFonts w:hint="default"/>
          <w:noProof/>
        </w:rPr>
        <w:t>tou mlieka k 31. 03. 2010.</w:t>
      </w:r>
    </w:p>
    <w:p w:rsidR="002B4982" w:rsidRPr="00052D47" w:rsidP="002B4982">
      <w:pPr>
        <w:bidi w:val="0"/>
        <w:ind w:left="360" w:firstLine="0"/>
        <w:rPr>
          <w:noProof/>
        </w:rPr>
      </w:pPr>
    </w:p>
    <w:p w:rsidR="002B4982" w:rsidRPr="002B4982" w:rsidP="007917E8">
      <w:pPr>
        <w:bidi w:val="0"/>
        <w:rPr>
          <w:rStyle w:val="Strong"/>
          <w:i/>
        </w:rPr>
      </w:pPr>
      <w:r w:rsidRPr="00CC36EF">
        <w:rPr>
          <w:rStyle w:val="Strong"/>
          <w:rFonts w:hint="default"/>
        </w:rPr>
        <w:t>Sú</w:t>
      </w:r>
      <w:r w:rsidRPr="00CC36EF">
        <w:rPr>
          <w:rStyle w:val="Strong"/>
          <w:rFonts w:hint="default"/>
        </w:rPr>
        <w:t>kromné</w:t>
      </w:r>
      <w:r w:rsidRPr="00CC36EF">
        <w:rPr>
          <w:rStyle w:val="Strong"/>
          <w:rFonts w:hint="default"/>
        </w:rPr>
        <w:t xml:space="preserve"> skladovanie mlieč</w:t>
      </w:r>
      <w:r w:rsidRPr="00CC36EF">
        <w:rPr>
          <w:rStyle w:val="Strong"/>
          <w:rFonts w:hint="default"/>
        </w:rPr>
        <w:t>nych vý</w:t>
      </w:r>
      <w:r w:rsidRPr="00CC36EF">
        <w:rPr>
          <w:rStyle w:val="Strong"/>
          <w:rFonts w:hint="default"/>
        </w:rPr>
        <w:t>robkov, masl</w:t>
      </w:r>
      <w:r w:rsidRPr="00CC36EF">
        <w:rPr>
          <w:rStyle w:val="Strong"/>
          <w:rFonts w:hint="default"/>
        </w:rPr>
        <w:t>a, smotany, syrov, bravč</w:t>
      </w:r>
      <w:r w:rsidRPr="00CC36EF">
        <w:rPr>
          <w:rStyle w:val="Strong"/>
          <w:rFonts w:hint="default"/>
        </w:rPr>
        <w:t>ové</w:t>
      </w:r>
      <w:r w:rsidRPr="00CC36EF">
        <w:rPr>
          <w:rStyle w:val="Strong"/>
          <w:rFonts w:hint="default"/>
        </w:rPr>
        <w:t xml:space="preserve">ho, </w:t>
      </w:r>
      <w:r w:rsidRPr="00CC36EF">
        <w:rPr>
          <w:rFonts w:hint="default"/>
          <w:b/>
          <w:bCs/>
          <w:noProof/>
        </w:rPr>
        <w:t>hovä</w:t>
      </w:r>
      <w:r w:rsidRPr="00CC36EF">
        <w:rPr>
          <w:rFonts w:hint="default"/>
          <w:b/>
          <w:bCs/>
          <w:noProof/>
        </w:rPr>
        <w:t>dzieho</w:t>
      </w:r>
      <w:r w:rsidRPr="00CC36EF">
        <w:rPr>
          <w:rStyle w:val="Strong"/>
          <w:rFonts w:hint="default"/>
        </w:rPr>
        <w:t>, ovč</w:t>
      </w:r>
      <w:r w:rsidRPr="00CC36EF">
        <w:rPr>
          <w:rStyle w:val="Strong"/>
          <w:rFonts w:hint="default"/>
        </w:rPr>
        <w:t>ieho a kozieho mä</w:t>
      </w:r>
      <w:r w:rsidRPr="00CC36EF">
        <w:rPr>
          <w:rStyle w:val="Strong"/>
          <w:rFonts w:hint="default"/>
        </w:rPr>
        <w:t>sa</w:t>
      </w:r>
      <w:r w:rsidRPr="002B4982">
        <w:rPr>
          <w:rStyle w:val="Strong"/>
          <w:i/>
        </w:rPr>
        <w:t>.</w:t>
      </w:r>
    </w:p>
    <w:p w:rsidR="002B4982" w:rsidRPr="00052D47" w:rsidP="007917E8">
      <w:pPr>
        <w:bidi w:val="0"/>
        <w:rPr>
          <w:rFonts w:hint="default"/>
        </w:rPr>
      </w:pPr>
      <w:r w:rsidRPr="00052D47">
        <w:rPr>
          <w:rFonts w:hint="default"/>
        </w:rPr>
        <w:t>Podpora urč</w:t>
      </w:r>
      <w:r w:rsidRPr="00052D47">
        <w:rPr>
          <w:rFonts w:hint="default"/>
        </w:rPr>
        <w:t>ená</w:t>
      </w:r>
      <w:r w:rsidRPr="00052D47">
        <w:rPr>
          <w:rFonts w:hint="default"/>
        </w:rPr>
        <w:t xml:space="preserve"> na skladovanie uvedený</w:t>
      </w:r>
      <w:r w:rsidRPr="00052D47">
        <w:rPr>
          <w:rFonts w:hint="default"/>
        </w:rPr>
        <w:t>ch komodí</w:t>
      </w:r>
      <w:r w:rsidRPr="00052D47">
        <w:rPr>
          <w:rFonts w:hint="default"/>
        </w:rPr>
        <w:t>t vo vlastnom, resp. prenajatom sklade (nie v sklade patriacom PPA).</w:t>
      </w:r>
    </w:p>
    <w:p w:rsidR="002B4982" w:rsidRPr="00052D47" w:rsidP="002B4982">
      <w:pPr>
        <w:bidi w:val="0"/>
        <w:ind w:left="360" w:firstLine="0"/>
      </w:pPr>
    </w:p>
    <w:p w:rsidR="002B4982" w:rsidRPr="00CC36EF" w:rsidP="0019597F">
      <w:pPr>
        <w:keepNext/>
        <w:bidi w:val="0"/>
        <w:rPr>
          <w:rFonts w:hint="default"/>
          <w:b/>
          <w:noProof/>
        </w:rPr>
      </w:pPr>
      <w:r w:rsidRPr="00CC36EF">
        <w:rPr>
          <w:rFonts w:hint="default"/>
          <w:b/>
          <w:noProof/>
        </w:rPr>
        <w:t>Podpory pri vykoná</w:t>
      </w:r>
      <w:r w:rsidRPr="00CC36EF">
        <w:rPr>
          <w:rFonts w:hint="default"/>
          <w:b/>
          <w:noProof/>
        </w:rPr>
        <w:t>vaní</w:t>
      </w:r>
      <w:r w:rsidRPr="00CC36EF">
        <w:rPr>
          <w:rFonts w:hint="default"/>
          <w:b/>
          <w:noProof/>
        </w:rPr>
        <w:t xml:space="preserve"> opatrení</w:t>
      </w:r>
      <w:r w:rsidRPr="00CC36EF">
        <w:rPr>
          <w:rFonts w:hint="default"/>
          <w:b/>
          <w:noProof/>
        </w:rPr>
        <w:t xml:space="preserve"> na zlepš</w:t>
      </w:r>
      <w:r w:rsidRPr="00CC36EF">
        <w:rPr>
          <w:rFonts w:hint="default"/>
          <w:b/>
          <w:noProof/>
        </w:rPr>
        <w:t>enie podmienok pre produkciu a ob</w:t>
      </w:r>
      <w:r w:rsidRPr="00CC36EF">
        <w:rPr>
          <w:rFonts w:hint="default"/>
          <w:b/>
          <w:noProof/>
        </w:rPr>
        <w:t>chodovanie s </w:t>
      </w:r>
      <w:r w:rsidRPr="00CC36EF">
        <w:rPr>
          <w:rFonts w:hint="default"/>
          <w:b/>
          <w:noProof/>
        </w:rPr>
        <w:t>vč</w:t>
      </w:r>
      <w:r w:rsidRPr="00CC36EF">
        <w:rPr>
          <w:rFonts w:hint="default"/>
          <w:b/>
          <w:noProof/>
        </w:rPr>
        <w:t>elí</w:t>
      </w:r>
      <w:r w:rsidRPr="00CC36EF">
        <w:rPr>
          <w:rFonts w:hint="default"/>
          <w:b/>
          <w:noProof/>
        </w:rPr>
        <w:t>mi produktmi</w:t>
      </w:r>
    </w:p>
    <w:p w:rsidR="002B4982" w:rsidRPr="002B4982" w:rsidP="007917E8">
      <w:pPr>
        <w:bidi w:val="0"/>
        <w:rPr>
          <w:b/>
          <w:noProof/>
        </w:rPr>
      </w:pPr>
      <w:r w:rsidRPr="00052D47">
        <w:rPr>
          <w:noProof/>
        </w:rPr>
        <w:t xml:space="preserve">Podpora je </w:t>
      </w:r>
      <w:r w:rsidRPr="00052D47">
        <w:rPr>
          <w:rFonts w:hint="default"/>
        </w:rPr>
        <w:t>poskytovaná</w:t>
      </w:r>
      <w:r w:rsidRPr="00052D47">
        <w:rPr>
          <w:rFonts w:hint="default"/>
          <w:noProof/>
        </w:rPr>
        <w:t xml:space="preserve"> prostrední</w:t>
      </w:r>
      <w:r w:rsidRPr="00052D47">
        <w:rPr>
          <w:rFonts w:hint="default"/>
          <w:noProof/>
        </w:rPr>
        <w:t>ctvom celoš</w:t>
      </w:r>
      <w:r w:rsidRPr="00052D47">
        <w:rPr>
          <w:rFonts w:hint="default"/>
          <w:noProof/>
        </w:rPr>
        <w:t>tá</w:t>
      </w:r>
      <w:r w:rsidRPr="00052D47">
        <w:rPr>
          <w:rFonts w:hint="default"/>
          <w:noProof/>
        </w:rPr>
        <w:t>tne pô</w:t>
      </w:r>
      <w:r w:rsidRPr="00052D47">
        <w:rPr>
          <w:rFonts w:hint="default"/>
          <w:noProof/>
        </w:rPr>
        <w:t>sobiacich vč</w:t>
      </w:r>
      <w:r w:rsidRPr="00052D47">
        <w:rPr>
          <w:rFonts w:hint="default"/>
          <w:noProof/>
        </w:rPr>
        <w:t>elá</w:t>
      </w:r>
      <w:r w:rsidRPr="00052D47">
        <w:rPr>
          <w:rFonts w:hint="default"/>
          <w:noProof/>
        </w:rPr>
        <w:t>rskych združ</w:t>
      </w:r>
      <w:r w:rsidRPr="00052D47">
        <w:rPr>
          <w:rFonts w:hint="default"/>
          <w:noProof/>
        </w:rPr>
        <w:t>ení</w:t>
      </w:r>
      <w:r w:rsidRPr="00052D47">
        <w:rPr>
          <w:rFonts w:hint="default"/>
          <w:noProof/>
        </w:rPr>
        <w:t xml:space="preserve"> vš</w:t>
      </w:r>
      <w:r w:rsidRPr="00052D47">
        <w:rPr>
          <w:rFonts w:hint="default"/>
          <w:noProof/>
        </w:rPr>
        <w:t>etký</w:t>
      </w:r>
      <w:r w:rsidRPr="00052D47">
        <w:rPr>
          <w:rFonts w:hint="default"/>
          <w:noProof/>
        </w:rPr>
        <w:t>m vč</w:t>
      </w:r>
      <w:r w:rsidRPr="00052D47">
        <w:rPr>
          <w:rFonts w:hint="default"/>
          <w:noProof/>
        </w:rPr>
        <w:t>elá</w:t>
      </w:r>
      <w:r w:rsidRPr="00052D47">
        <w:rPr>
          <w:rFonts w:hint="default"/>
          <w:noProof/>
        </w:rPr>
        <w:t>rom a </w:t>
      </w:r>
      <w:r w:rsidRPr="00052D47">
        <w:rPr>
          <w:rFonts w:hint="default"/>
          <w:noProof/>
        </w:rPr>
        <w:t>vč</w:t>
      </w:r>
      <w:r w:rsidRPr="00052D47">
        <w:rPr>
          <w:rFonts w:hint="default"/>
          <w:noProof/>
        </w:rPr>
        <w:t>elá</w:t>
      </w:r>
      <w:r w:rsidRPr="00052D47">
        <w:rPr>
          <w:rFonts w:hint="default"/>
          <w:noProof/>
        </w:rPr>
        <w:t>rskym organizá</w:t>
      </w:r>
      <w:r w:rsidRPr="00052D47">
        <w:rPr>
          <w:rFonts w:hint="default"/>
          <w:noProof/>
        </w:rPr>
        <w:t>ciá</w:t>
      </w:r>
      <w:r w:rsidR="0019597F">
        <w:rPr>
          <w:noProof/>
        </w:rPr>
        <w:t xml:space="preserve">m. </w:t>
      </w:r>
    </w:p>
    <w:p w:rsidR="002B4982" w:rsidRPr="00052D47" w:rsidP="002B4982">
      <w:pPr>
        <w:pStyle w:val="Heading5"/>
        <w:bidi w:val="0"/>
        <w:ind w:left="360" w:firstLine="0"/>
        <w:rPr>
          <w:rFonts w:ascii="Times New Roman" w:hAnsi="Times New Roman"/>
          <w:b/>
          <w:bCs/>
          <w:iCs/>
          <w:noProof/>
          <w:color w:val="auto"/>
        </w:rPr>
      </w:pPr>
      <w:r w:rsidR="00C3070A">
        <w:rPr>
          <w:rFonts w:ascii="Times New Roman" w:hAnsi="Times New Roman"/>
          <w:b/>
          <w:bCs/>
          <w:iCs/>
          <w:noProof/>
          <w:color w:val="auto"/>
        </w:rPr>
        <w:t xml:space="preserve">    </w:t>
      </w:r>
      <w:r w:rsidRPr="00052D47">
        <w:rPr>
          <w:rFonts w:ascii="Times New Roman" w:hAnsi="Times New Roman"/>
          <w:b/>
          <w:bCs/>
          <w:iCs/>
          <w:noProof/>
          <w:color w:val="auto"/>
        </w:rPr>
        <w:t>Propagácia poľnohospodárskych produktov</w:t>
      </w:r>
    </w:p>
    <w:p w:rsidR="002B4982" w:rsidRPr="002B4982" w:rsidP="007917E8">
      <w:pPr>
        <w:bidi w:val="0"/>
        <w:rPr>
          <w:b/>
          <w:noProof/>
        </w:rPr>
      </w:pPr>
      <w:r w:rsidRPr="002B4982">
        <w:rPr>
          <w:rFonts w:hint="default"/>
          <w:bCs/>
          <w:noProof/>
        </w:rPr>
        <w:t>Cieľ</w:t>
      </w:r>
      <w:r w:rsidRPr="002B4982">
        <w:rPr>
          <w:rFonts w:hint="default"/>
          <w:bCs/>
          <w:noProof/>
        </w:rPr>
        <w:t xml:space="preserve"> </w:t>
      </w:r>
      <w:r w:rsidRPr="007917E8">
        <w:t>programov</w:t>
      </w:r>
      <w:r w:rsidRPr="002B4982">
        <w:rPr>
          <w:bCs/>
          <w:noProof/>
        </w:rPr>
        <w:t xml:space="preserve"> je</w:t>
      </w:r>
      <w:r w:rsidRPr="00052D47">
        <w:rPr>
          <w:rFonts w:hint="default"/>
          <w:noProof/>
        </w:rPr>
        <w:t xml:space="preserve"> prispieť</w:t>
      </w:r>
      <w:r w:rsidRPr="00052D47">
        <w:rPr>
          <w:rFonts w:hint="default"/>
          <w:noProof/>
        </w:rPr>
        <w:t xml:space="preserve"> k </w:t>
      </w:r>
      <w:r w:rsidRPr="00052D47">
        <w:rPr>
          <w:rFonts w:hint="default"/>
          <w:noProof/>
        </w:rPr>
        <w:t>zlepš</w:t>
      </w:r>
      <w:r w:rsidRPr="00052D47">
        <w:rPr>
          <w:rFonts w:hint="default"/>
          <w:noProof/>
        </w:rPr>
        <w:t>eniu informovanosti</w:t>
      </w:r>
      <w:r w:rsidRPr="00052D47">
        <w:rPr>
          <w:rFonts w:hint="default"/>
          <w:noProof/>
        </w:rPr>
        <w:t xml:space="preserve"> o </w:t>
      </w:r>
      <w:r w:rsidRPr="00052D47">
        <w:rPr>
          <w:rFonts w:hint="default"/>
          <w:noProof/>
        </w:rPr>
        <w:t>prí</w:t>
      </w:r>
      <w:r w:rsidRPr="00052D47">
        <w:rPr>
          <w:rFonts w:hint="default"/>
          <w:noProof/>
        </w:rPr>
        <w:t>sluš</w:t>
      </w:r>
      <w:r w:rsidRPr="00052D47">
        <w:rPr>
          <w:rFonts w:hint="default"/>
          <w:noProof/>
        </w:rPr>
        <w:t>ný</w:t>
      </w:r>
      <w:r w:rsidRPr="00052D47">
        <w:rPr>
          <w:rFonts w:hint="default"/>
          <w:noProof/>
        </w:rPr>
        <w:t>ch vý</w:t>
      </w:r>
      <w:r w:rsidRPr="00052D47">
        <w:rPr>
          <w:rFonts w:hint="default"/>
          <w:noProof/>
        </w:rPr>
        <w:t>robkoch ako aj k ich odbytu.</w:t>
      </w:r>
    </w:p>
    <w:p w:rsidR="002B4982" w:rsidRPr="002B4982" w:rsidP="002B4982">
      <w:pPr>
        <w:bidi w:val="0"/>
        <w:ind w:left="360" w:firstLine="0"/>
        <w:outlineLvl w:val="0"/>
        <w:rPr>
          <w:rFonts w:hint="default"/>
          <w:b/>
          <w:noProof/>
        </w:rPr>
      </w:pPr>
      <w:r w:rsidR="00C3070A">
        <w:rPr>
          <w:b/>
          <w:noProof/>
        </w:rPr>
        <w:t xml:space="preserve">    </w:t>
      </w:r>
      <w:r w:rsidRPr="002B4982">
        <w:rPr>
          <w:rFonts w:hint="default"/>
          <w:b/>
          <w:noProof/>
        </w:rPr>
        <w:t>Schvá</w:t>
      </w:r>
      <w:r w:rsidRPr="002B4982">
        <w:rPr>
          <w:rFonts w:hint="default"/>
          <w:b/>
          <w:noProof/>
        </w:rPr>
        <w:t>lené</w:t>
      </w:r>
      <w:r w:rsidRPr="002B4982">
        <w:rPr>
          <w:rFonts w:hint="default"/>
          <w:b/>
          <w:noProof/>
        </w:rPr>
        <w:t xml:space="preserve"> programy:</w:t>
      </w:r>
    </w:p>
    <w:p w:rsidR="002B4982" w:rsidP="007917E8">
      <w:pPr>
        <w:bidi w:val="0"/>
        <w:rPr>
          <w:noProof/>
        </w:rPr>
      </w:pPr>
      <w:r w:rsidRPr="00052D47">
        <w:rPr>
          <w:rFonts w:hint="default"/>
          <w:noProof/>
        </w:rPr>
        <w:t>Program na zvýš</w:t>
      </w:r>
      <w:r w:rsidRPr="00052D47">
        <w:rPr>
          <w:rFonts w:hint="default"/>
          <w:noProof/>
        </w:rPr>
        <w:t>enie spotreby mlieka a </w:t>
      </w:r>
      <w:r w:rsidRPr="00052D47">
        <w:rPr>
          <w:rFonts w:hint="default"/>
          <w:noProof/>
        </w:rPr>
        <w:t>mlieč</w:t>
      </w:r>
      <w:r w:rsidRPr="00052D47">
        <w:rPr>
          <w:rFonts w:hint="default"/>
          <w:noProof/>
        </w:rPr>
        <w:t>nych vý</w:t>
      </w:r>
      <w:r w:rsidRPr="00052D47">
        <w:rPr>
          <w:rFonts w:hint="default"/>
          <w:noProof/>
        </w:rPr>
        <w:t xml:space="preserve">robkov na Slovensku </w:t>
      </w:r>
      <w:r w:rsidR="00440106">
        <w:rPr>
          <w:rFonts w:hint="default"/>
          <w:noProof/>
        </w:rPr>
        <w:t>„</w:t>
      </w:r>
      <w:r w:rsidRPr="00052D47">
        <w:rPr>
          <w:noProof/>
        </w:rPr>
        <w:t>Objav mlieko</w:t>
      </w:r>
      <w:r w:rsidR="00440106">
        <w:rPr>
          <w:rFonts w:hint="default"/>
          <w:noProof/>
        </w:rPr>
        <w:t>“</w:t>
      </w:r>
      <w:r>
        <w:rPr>
          <w:noProof/>
        </w:rPr>
        <w:t>.</w:t>
      </w:r>
    </w:p>
    <w:p w:rsidR="002B4982" w:rsidRPr="00052D47" w:rsidP="002B4982">
      <w:pPr>
        <w:bidi w:val="0"/>
        <w:ind w:left="360" w:firstLine="0"/>
        <w:outlineLvl w:val="0"/>
        <w:rPr>
          <w:noProof/>
        </w:rPr>
      </w:pPr>
    </w:p>
    <w:p w:rsidR="002B4982" w:rsidRPr="002B4982" w:rsidP="007917E8">
      <w:pPr>
        <w:keepNext/>
        <w:bidi w:val="0"/>
        <w:spacing w:after="0" w:line="240" w:lineRule="auto"/>
        <w:ind w:firstLine="0"/>
        <w:outlineLvl w:val="0"/>
        <w:rPr>
          <w:rFonts w:hint="default"/>
          <w:b/>
          <w:noProof/>
        </w:rPr>
      </w:pPr>
      <w:r w:rsidRPr="002B4982">
        <w:rPr>
          <w:rFonts w:hint="default"/>
          <w:b/>
          <w:noProof/>
        </w:rPr>
        <w:t>Č</w:t>
      </w:r>
      <w:r w:rsidRPr="002B4982">
        <w:rPr>
          <w:rFonts w:hint="default"/>
          <w:b/>
          <w:noProof/>
        </w:rPr>
        <w:t>erpanie rozpoč</w:t>
      </w:r>
      <w:r w:rsidRPr="002B4982">
        <w:rPr>
          <w:rFonts w:hint="default"/>
          <w:b/>
          <w:noProof/>
        </w:rPr>
        <w:t xml:space="preserve">tu na TOV v roku 2010 </w:t>
      </w:r>
    </w:p>
    <w:p w:rsidR="002B4982" w:rsidRPr="007917E8" w:rsidP="0019597F">
      <w:pPr>
        <w:keepNext/>
        <w:bidi w:val="0"/>
        <w:spacing w:after="0" w:line="240" w:lineRule="auto"/>
        <w:ind w:firstLine="0"/>
        <w:jc w:val="left"/>
        <w:outlineLvl w:val="0"/>
        <w:rPr>
          <w:noProof/>
        </w:rPr>
      </w:pPr>
      <w:r w:rsidRPr="0019597F" w:rsidR="0019597F">
        <w:rPr>
          <w:rFonts w:hint="default"/>
          <w:noProof/>
        </w:rPr>
        <w:t>v €</w:t>
      </w:r>
      <w:r w:rsidR="0019597F">
        <w:rPr>
          <w:noProof/>
        </w:rPr>
        <w:tab/>
        <w:tab/>
        <w:tab/>
        <w:tab/>
        <w:tab/>
        <w:tab/>
        <w:tab/>
        <w:tab/>
        <w:tab/>
        <w:tab/>
        <w:tab/>
      </w:r>
      <w:r w:rsidRPr="007917E8" w:rsidR="007917E8">
        <w:rPr>
          <w:rFonts w:hint="default"/>
          <w:noProof/>
        </w:rPr>
        <w:t>Tabuľ</w:t>
      </w:r>
      <w:r w:rsidRPr="007917E8" w:rsidR="007917E8">
        <w:rPr>
          <w:rFonts w:hint="default"/>
          <w:noProof/>
        </w:rPr>
        <w:t>ka č.</w:t>
      </w:r>
      <w:r w:rsidR="003D5230">
        <w:rPr>
          <w:noProof/>
        </w:rPr>
        <w:t xml:space="preserve"> 2</w:t>
      </w:r>
    </w:p>
    <w:tbl>
      <w:tblPr>
        <w:tblStyle w:val="TableNormal"/>
        <w:tblW w:w="9229" w:type="dxa"/>
        <w:tblInd w:w="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977"/>
        <w:gridCol w:w="4252"/>
      </w:tblGrid>
      <w:tr>
        <w:tblPrEx>
          <w:tblW w:w="9229" w:type="dxa"/>
          <w:tblInd w:w="55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2B4982" w:rsidRPr="00A669C9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Vývozné náhrady</w:t>
            </w:r>
          </w:p>
        </w:tc>
        <w:tc>
          <w:tcPr>
            <w:tcW w:w="425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2B4982" w:rsidRPr="00A669C9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558</w:t>
            </w:r>
            <w:r w:rsidR="00905983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 xml:space="preserve"> </w:t>
            </w: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271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Vývozné náhrady Non Annex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6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712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Akčné plány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AB76F0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AB76F0">
              <w:rPr>
                <w:rFonts w:eastAsia="Times New Roman"/>
                <w:sz w:val="22"/>
                <w:szCs w:val="22"/>
                <w:lang w:eastAsia="sk-SK"/>
              </w:rPr>
              <w:t>97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AB76F0">
              <w:rPr>
                <w:rFonts w:eastAsia="Times New Roman"/>
                <w:sz w:val="22"/>
                <w:szCs w:val="22"/>
                <w:lang w:eastAsia="sk-SK"/>
              </w:rPr>
              <w:t>912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Školské mlieko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2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636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860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Poistenie úrody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107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173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Podpora včelárom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997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05</w:t>
            </w:r>
            <w:r w:rsidR="00FF78E3">
              <w:rPr>
                <w:rFonts w:eastAsia="Times New Roman"/>
                <w:sz w:val="22"/>
                <w:szCs w:val="22"/>
                <w:lang w:eastAsia="sk-SK"/>
              </w:rPr>
              <w:t>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Reštrukturalizácia vinohradov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3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938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832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Sušené krmivo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41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05</w:t>
            </w:r>
            <w:r w:rsidR="00FF78E3">
              <w:rPr>
                <w:rFonts w:eastAsia="Times New Roman"/>
                <w:sz w:val="22"/>
                <w:szCs w:val="22"/>
                <w:lang w:eastAsia="sk-SK"/>
              </w:rPr>
              <w:t>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Školské ovocie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806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13</w:t>
            </w:r>
            <w:r w:rsidR="00FF78E3">
              <w:rPr>
                <w:rFonts w:eastAsia="Times New Roman"/>
                <w:sz w:val="22"/>
                <w:szCs w:val="22"/>
                <w:lang w:eastAsia="sk-SK"/>
              </w:rPr>
              <w:t>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 xml:space="preserve">Použitie </w:t>
            </w:r>
            <w:r w:rsidRPr="002B4982" w:rsidR="00D72BC1">
              <w:rPr>
                <w:rFonts w:eastAsia="Times New Roman"/>
                <w:sz w:val="22"/>
                <w:szCs w:val="22"/>
                <w:lang w:eastAsia="sk-SK"/>
              </w:rPr>
              <w:t>zahust</w:t>
            </w:r>
            <w:r w:rsidR="00D72BC1">
              <w:rPr>
                <w:rFonts w:eastAsia="Times New Roman"/>
                <w:sz w:val="22"/>
                <w:szCs w:val="22"/>
                <w:lang w:eastAsia="sk-SK"/>
              </w:rPr>
              <w:t>eného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 xml:space="preserve"> hroznového muštu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134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0</w:t>
            </w:r>
            <w:r w:rsidR="00781177">
              <w:rPr>
                <w:rFonts w:eastAsia="Times New Roman"/>
                <w:sz w:val="22"/>
                <w:szCs w:val="22"/>
                <w:lang w:eastAsia="sk-SK"/>
              </w:rPr>
              <w:t>80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="0019597F">
              <w:rPr>
                <w:rFonts w:eastAsia="Times New Roman"/>
                <w:sz w:val="22"/>
                <w:szCs w:val="22"/>
                <w:lang w:eastAsia="sk-SK"/>
              </w:rPr>
              <w:t>Trvalé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 xml:space="preserve"> ukončenie výsadby vinohradov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968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87</w:t>
            </w:r>
            <w:r w:rsidR="00FF78E3">
              <w:rPr>
                <w:rFonts w:eastAsia="Times New Roman"/>
                <w:sz w:val="22"/>
                <w:szCs w:val="22"/>
                <w:lang w:eastAsia="sk-SK"/>
              </w:rPr>
              <w:t>3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Investície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104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63</w:t>
            </w:r>
            <w:r w:rsidR="00FF78E3">
              <w:rPr>
                <w:rFonts w:eastAsia="Times New Roman"/>
                <w:sz w:val="22"/>
                <w:szCs w:val="22"/>
                <w:lang w:eastAsia="sk-SK"/>
              </w:rPr>
              <w:t>3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Operačný program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301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62</w:t>
            </w:r>
            <w:r w:rsidR="00FF78E3">
              <w:rPr>
                <w:rFonts w:eastAsia="Times New Roman"/>
                <w:sz w:val="22"/>
                <w:szCs w:val="22"/>
                <w:lang w:eastAsia="sk-SK"/>
              </w:rPr>
              <w:t>9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Propagácia na vnútornom trhu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903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620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="0063608E">
              <w:rPr>
                <w:rFonts w:eastAsia="Times New Roman"/>
                <w:lang w:eastAsia="sk-SK"/>
              </w:rPr>
              <w:t>Osobitná podpora v sektore mlieka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2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034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698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b/>
                <w:bCs/>
                <w:lang w:eastAsia="sk-SK"/>
              </w:rPr>
            </w:pPr>
            <w:r w:rsidRPr="002B4982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b/>
                <w:bCs/>
                <w:lang w:eastAsia="sk-SK"/>
              </w:rPr>
            </w:pPr>
            <w:r w:rsidRPr="002B4982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13</w:t>
            </w:r>
            <w:r w:rsidR="00905983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637</w:t>
            </w:r>
            <w:r w:rsidR="00905983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537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Doplatok výrobcom cukru a izoglukózy*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206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523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977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B4982" w:rsidRPr="002B4982" w:rsidP="00832C96">
            <w:pPr>
              <w:keepNext/>
              <w:bidi w:val="0"/>
              <w:spacing w:after="0" w:line="240" w:lineRule="auto"/>
              <w:ind w:left="360" w:right="851" w:firstLine="0"/>
              <w:jc w:val="right"/>
              <w:rPr>
                <w:rFonts w:eastAsia="Times New Roman"/>
                <w:lang w:eastAsia="sk-SK"/>
              </w:rPr>
            </w:pP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13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844</w:t>
            </w:r>
            <w:r w:rsidR="00905983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2B4982">
              <w:rPr>
                <w:rFonts w:eastAsia="Times New Roman"/>
                <w:sz w:val="22"/>
                <w:szCs w:val="22"/>
                <w:lang w:eastAsia="sk-SK"/>
              </w:rPr>
              <w:t>060</w:t>
            </w:r>
          </w:p>
        </w:tc>
      </w:tr>
    </w:tbl>
    <w:p w:rsidR="002B4982" w:rsidRPr="007917E8" w:rsidP="00832C96">
      <w:pPr>
        <w:keepNext/>
        <w:bidi w:val="0"/>
        <w:spacing w:after="0" w:line="240" w:lineRule="auto"/>
        <w:ind w:right="851" w:firstLine="0"/>
        <w:outlineLvl w:val="0"/>
        <w:rPr>
          <w:rFonts w:hint="default"/>
          <w:noProof/>
          <w:sz w:val="20"/>
          <w:szCs w:val="20"/>
        </w:rPr>
      </w:pPr>
      <w:r w:rsidRPr="007917E8">
        <w:rPr>
          <w:rFonts w:hint="default"/>
          <w:noProof/>
          <w:sz w:val="20"/>
          <w:szCs w:val="20"/>
        </w:rPr>
        <w:t>*nie je zahrnutý</w:t>
      </w:r>
      <w:r w:rsidRPr="007917E8">
        <w:rPr>
          <w:rFonts w:hint="default"/>
          <w:noProof/>
          <w:sz w:val="20"/>
          <w:szCs w:val="20"/>
        </w:rPr>
        <w:t xml:space="preserve"> do upravené</w:t>
      </w:r>
      <w:r w:rsidRPr="007917E8">
        <w:rPr>
          <w:rFonts w:hint="default"/>
          <w:noProof/>
          <w:sz w:val="20"/>
          <w:szCs w:val="20"/>
        </w:rPr>
        <w:t>ho rozpoč</w:t>
      </w:r>
      <w:r w:rsidRPr="007917E8">
        <w:rPr>
          <w:rFonts w:hint="default"/>
          <w:noProof/>
          <w:sz w:val="20"/>
          <w:szCs w:val="20"/>
        </w:rPr>
        <w:t>tu (mimorozpoč</w:t>
      </w:r>
      <w:r w:rsidRPr="007917E8">
        <w:rPr>
          <w:rFonts w:hint="default"/>
          <w:noProof/>
          <w:sz w:val="20"/>
          <w:szCs w:val="20"/>
        </w:rPr>
        <w:t>tové</w:t>
      </w:r>
      <w:r w:rsidRPr="007917E8">
        <w:rPr>
          <w:rFonts w:hint="default"/>
          <w:noProof/>
          <w:sz w:val="20"/>
          <w:szCs w:val="20"/>
        </w:rPr>
        <w:t xml:space="preserve"> prostriedky)</w:t>
      </w:r>
    </w:p>
    <w:p w:rsidR="002B4982" w:rsidP="00832C96">
      <w:pPr>
        <w:keepNext/>
        <w:bidi w:val="0"/>
        <w:spacing w:after="0" w:line="240" w:lineRule="auto"/>
        <w:ind w:right="851" w:firstLine="0"/>
        <w:outlineLvl w:val="0"/>
        <w:rPr>
          <w:noProof/>
          <w:sz w:val="20"/>
          <w:szCs w:val="20"/>
        </w:rPr>
      </w:pPr>
      <w:r w:rsidRPr="007917E8">
        <w:rPr>
          <w:rFonts w:hint="default"/>
          <w:noProof/>
          <w:sz w:val="20"/>
          <w:szCs w:val="20"/>
        </w:rPr>
        <w:t>Prameň</w:t>
      </w:r>
      <w:r w:rsidRPr="007917E8">
        <w:rPr>
          <w:rFonts w:hint="default"/>
          <w:noProof/>
          <w:sz w:val="20"/>
          <w:szCs w:val="20"/>
        </w:rPr>
        <w:t>: PPA</w:t>
      </w:r>
      <w:r w:rsidR="00EB458E">
        <w:rPr>
          <w:rFonts w:hint="default"/>
          <w:noProof/>
          <w:sz w:val="20"/>
          <w:szCs w:val="20"/>
        </w:rPr>
        <w:t>, vyž</w:t>
      </w:r>
      <w:r w:rsidR="00EB458E">
        <w:rPr>
          <w:rFonts w:hint="default"/>
          <w:noProof/>
          <w:sz w:val="20"/>
          <w:szCs w:val="20"/>
        </w:rPr>
        <w:t>iadané</w:t>
      </w:r>
      <w:r w:rsidR="00EB458E">
        <w:rPr>
          <w:rFonts w:hint="default"/>
          <w:noProof/>
          <w:sz w:val="20"/>
          <w:szCs w:val="20"/>
        </w:rPr>
        <w:t xml:space="preserve"> ú</w:t>
      </w:r>
      <w:r w:rsidR="00EB458E">
        <w:rPr>
          <w:rFonts w:hint="default"/>
          <w:noProof/>
          <w:sz w:val="20"/>
          <w:szCs w:val="20"/>
        </w:rPr>
        <w:t>daje</w:t>
      </w:r>
    </w:p>
    <w:p w:rsidR="0011647D" w:rsidRPr="007917E8" w:rsidP="007917E8">
      <w:pPr>
        <w:keepNext/>
        <w:bidi w:val="0"/>
        <w:spacing w:after="0" w:line="240" w:lineRule="auto"/>
        <w:ind w:firstLine="0"/>
        <w:outlineLvl w:val="0"/>
        <w:rPr>
          <w:noProof/>
          <w:sz w:val="20"/>
          <w:szCs w:val="20"/>
        </w:rPr>
      </w:pPr>
      <w:r>
        <w:rPr>
          <w:rFonts w:eastAsia="Arial Unicode MS" w:hint="default"/>
          <w:sz w:val="20"/>
          <w:szCs w:val="20"/>
        </w:rPr>
        <w:t>Vypracoval: VÚ</w:t>
      </w:r>
      <w:r>
        <w:rPr>
          <w:rFonts w:eastAsia="Arial Unicode MS" w:hint="default"/>
          <w:sz w:val="20"/>
          <w:szCs w:val="20"/>
        </w:rPr>
        <w:t>EPP</w:t>
      </w:r>
    </w:p>
    <w:p w:rsidR="002B4982" w:rsidRPr="0004444E" w:rsidP="007917E8">
      <w:pPr>
        <w:pStyle w:val="BodyTextIndent2"/>
        <w:tabs>
          <w:tab w:val="left" w:pos="709"/>
        </w:tabs>
        <w:bidi w:val="0"/>
        <w:spacing w:line="320" w:lineRule="exact"/>
        <w:ind w:left="357" w:firstLine="0"/>
        <w:rPr>
          <w:color w:val="4F6228"/>
        </w:rPr>
      </w:pPr>
    </w:p>
    <w:p w:rsidR="002B4982" w:rsidRPr="009E4F4E" w:rsidP="007917E8">
      <w:pPr>
        <w:pStyle w:val="BodyTextIndent2"/>
        <w:tabs>
          <w:tab w:val="left" w:pos="709"/>
        </w:tabs>
        <w:bidi w:val="0"/>
        <w:spacing w:line="320" w:lineRule="exact"/>
        <w:ind w:left="357" w:firstLine="0"/>
        <w:rPr>
          <w:rFonts w:hint="default"/>
          <w:b/>
        </w:rPr>
      </w:pPr>
      <w:r w:rsidRPr="009E4F4E">
        <w:rPr>
          <w:rFonts w:hint="default"/>
          <w:b/>
        </w:rPr>
        <w:t>Financovanie intervenč</w:t>
      </w:r>
      <w:r w:rsidRPr="009E4F4E">
        <w:rPr>
          <w:rFonts w:hint="default"/>
          <w:b/>
        </w:rPr>
        <w:t>ný</w:t>
      </w:r>
      <w:r w:rsidRPr="009E4F4E">
        <w:rPr>
          <w:rFonts w:hint="default"/>
          <w:b/>
        </w:rPr>
        <w:t>ch opatrení</w:t>
      </w:r>
    </w:p>
    <w:p w:rsidR="002B4982" w:rsidRPr="00B44044" w:rsidP="009E4F4E">
      <w:pPr>
        <w:bidi w:val="0"/>
      </w:pPr>
      <w:r w:rsidRPr="00B44044">
        <w:t>V </w:t>
      </w:r>
      <w:r w:rsidRPr="00B44044">
        <w:rPr>
          <w:rFonts w:hint="default"/>
        </w:rPr>
        <w:t>sú</w:t>
      </w:r>
      <w:r w:rsidRPr="00B44044">
        <w:rPr>
          <w:rFonts w:hint="default"/>
        </w:rPr>
        <w:t>lade so systé</w:t>
      </w:r>
      <w:r w:rsidRPr="00B44044">
        <w:rPr>
          <w:rFonts w:hint="default"/>
        </w:rPr>
        <w:t>mom finanč</w:t>
      </w:r>
      <w:r w:rsidRPr="00B44044">
        <w:rPr>
          <w:rFonts w:hint="default"/>
        </w:rPr>
        <w:t>né</w:t>
      </w:r>
      <w:r w:rsidRPr="00B44044">
        <w:rPr>
          <w:rFonts w:hint="default"/>
        </w:rPr>
        <w:t>ho riadenia EPZF schvá</w:t>
      </w:r>
      <w:r w:rsidRPr="00B44044">
        <w:rPr>
          <w:rFonts w:hint="default"/>
        </w:rPr>
        <w:t>lený</w:t>
      </w:r>
      <w:r w:rsidRPr="00B44044">
        <w:rPr>
          <w:rFonts w:hint="default"/>
        </w:rPr>
        <w:t>m vlá</w:t>
      </w:r>
      <w:r w:rsidRPr="00B44044">
        <w:rPr>
          <w:rFonts w:hint="default"/>
        </w:rPr>
        <w:t>dou 25.6.2008 uznesení</w:t>
      </w:r>
      <w:r w:rsidRPr="00B44044">
        <w:rPr>
          <w:rFonts w:hint="default"/>
        </w:rPr>
        <w:t>m č</w:t>
      </w:r>
      <w:r w:rsidRPr="00B44044">
        <w:rPr>
          <w:rFonts w:hint="default"/>
        </w:rPr>
        <w:t>. 429 slúž</w:t>
      </w:r>
      <w:r w:rsidRPr="00B44044">
        <w:rPr>
          <w:rFonts w:hint="default"/>
        </w:rPr>
        <w:t>i samost</w:t>
      </w:r>
      <w:r w:rsidRPr="00B44044">
        <w:rPr>
          <w:rFonts w:hint="default"/>
        </w:rPr>
        <w:t>atný</w:t>
      </w:r>
      <w:r w:rsidRPr="00B44044">
        <w:rPr>
          <w:rFonts w:hint="default"/>
        </w:rPr>
        <w:t xml:space="preserve"> mimorozpoč</w:t>
      </w:r>
      <w:r w:rsidRPr="00B44044">
        <w:rPr>
          <w:rFonts w:hint="default"/>
        </w:rPr>
        <w:t>tový</w:t>
      </w:r>
      <w:r w:rsidRPr="00B44044">
        <w:rPr>
          <w:rFonts w:hint="default"/>
        </w:rPr>
        <w:t xml:space="preserve"> úč</w:t>
      </w:r>
      <w:r w:rsidRPr="00B44044">
        <w:rPr>
          <w:rFonts w:hint="default"/>
        </w:rPr>
        <w:t>et PPA na financovanie vý</w:t>
      </w:r>
      <w:r w:rsidRPr="00B44044">
        <w:rPr>
          <w:rFonts w:hint="default"/>
        </w:rPr>
        <w:t>davkov a </w:t>
      </w:r>
      <w:r w:rsidRPr="00B44044">
        <w:rPr>
          <w:rFonts w:hint="default"/>
        </w:rPr>
        <w:t>prí</w:t>
      </w:r>
      <w:r w:rsidRPr="00B44044">
        <w:rPr>
          <w:rFonts w:hint="default"/>
        </w:rPr>
        <w:t>jem prostriedkov spojený</w:t>
      </w:r>
      <w:r w:rsidRPr="00B44044">
        <w:rPr>
          <w:rFonts w:hint="default"/>
        </w:rPr>
        <w:t>ch s </w:t>
      </w:r>
      <w:r w:rsidRPr="00B44044">
        <w:rPr>
          <w:rFonts w:hint="default"/>
        </w:rPr>
        <w:t>intervenciami na spoloč</w:t>
      </w:r>
      <w:r w:rsidRPr="00B44044">
        <w:rPr>
          <w:rFonts w:hint="default"/>
        </w:rPr>
        <w:t>nom trhu EÚ</w:t>
      </w:r>
      <w:r w:rsidRPr="00B44044">
        <w:rPr>
          <w:rFonts w:hint="default"/>
        </w:rPr>
        <w:t xml:space="preserve"> (verejné</w:t>
      </w:r>
      <w:r w:rsidRPr="00B44044">
        <w:rPr>
          <w:rFonts w:hint="default"/>
        </w:rPr>
        <w:t xml:space="preserve"> skladovanie, reš</w:t>
      </w:r>
      <w:r w:rsidRPr="00B44044">
        <w:rPr>
          <w:rFonts w:hint="default"/>
        </w:rPr>
        <w:t>trukturalizač</w:t>
      </w:r>
      <w:r w:rsidRPr="00B44044">
        <w:rPr>
          <w:rFonts w:hint="default"/>
        </w:rPr>
        <w:t>né</w:t>
      </w:r>
      <w:r w:rsidRPr="00B44044">
        <w:rPr>
          <w:rFonts w:hint="default"/>
        </w:rPr>
        <w:t xml:space="preserve"> programy schvá</w:t>
      </w:r>
      <w:r w:rsidRPr="00B44044">
        <w:rPr>
          <w:rFonts w:hint="default"/>
        </w:rPr>
        <w:t>lené</w:t>
      </w:r>
      <w:r w:rsidRPr="00B44044">
        <w:rPr>
          <w:rFonts w:hint="default"/>
        </w:rPr>
        <w:t xml:space="preserve"> Komisiou</w:t>
      </w:r>
      <w:r w:rsidR="00357428">
        <w:t>)</w:t>
      </w:r>
      <w:r w:rsidRPr="00B44044">
        <w:t>.</w:t>
      </w:r>
    </w:p>
    <w:p w:rsidR="002B4982" w:rsidP="009E4F4E">
      <w:pPr>
        <w:bidi w:val="0"/>
        <w:rPr>
          <w:rFonts w:eastAsia="Times New Roman"/>
        </w:rPr>
      </w:pPr>
      <w:r w:rsidRPr="00B44044">
        <w:rPr>
          <w:rFonts w:eastAsia="Times New Roman"/>
        </w:rPr>
        <w:t>PPA sústreďuje príjmy a realizuje výdavky súvisiace s intervenčnými opatreniami v súlade s § 8 zákona č. 543/2007 Z. z. o pôsobnosti orgánov štátnej správy pri poskytovaní podpory v pôdohospodárstve a rozvoji vidieka</w:t>
      </w:r>
      <w:r w:rsidR="009A08CC">
        <w:rPr>
          <w:rFonts w:eastAsia="Times New Roman"/>
        </w:rPr>
        <w:t xml:space="preserve"> na mimorozpočtovom účte</w:t>
      </w:r>
      <w:r w:rsidRPr="00B44044">
        <w:rPr>
          <w:rFonts w:eastAsia="Times New Roman"/>
        </w:rPr>
        <w:t>.</w:t>
      </w:r>
    </w:p>
    <w:p w:rsidR="002B4982" w:rsidRPr="00B44044" w:rsidP="00CC36EF">
      <w:pPr>
        <w:pStyle w:val="Heading2"/>
        <w:numPr>
          <w:numId w:val="0"/>
        </w:numPr>
        <w:tabs>
          <w:tab w:val="left" w:pos="709"/>
        </w:tabs>
        <w:bidi w:val="0"/>
        <w:spacing w:before="120" w:after="0"/>
        <w:ind w:left="357" w:firstLine="0"/>
        <w:jc w:val="both"/>
        <w:rPr>
          <w:rFonts w:ascii="Times New Roman" w:hAnsi="Times New Roman"/>
          <w:bCs w:val="0"/>
          <w:lang w:eastAsia="sk-SK"/>
        </w:rPr>
      </w:pPr>
      <w:r w:rsidRPr="00B44044">
        <w:rPr>
          <w:rFonts w:ascii="Times New Roman" w:hAnsi="Times New Roman"/>
          <w:bCs w:val="0"/>
          <w:lang w:eastAsia="sk-SK"/>
        </w:rPr>
        <w:t>Intervencie vo forme verejného skladovania</w:t>
      </w:r>
    </w:p>
    <w:p w:rsidR="002B4982" w:rsidRPr="00B44044" w:rsidP="009E4F4E">
      <w:pPr>
        <w:bidi w:val="0"/>
        <w:rPr>
          <w:rFonts w:hint="default"/>
        </w:rPr>
      </w:pPr>
      <w:r w:rsidRPr="00B44044">
        <w:rPr>
          <w:rFonts w:hint="default"/>
        </w:rPr>
        <w:t>Pravidlá</w:t>
      </w:r>
      <w:r w:rsidRPr="00B44044">
        <w:rPr>
          <w:rFonts w:hint="default"/>
        </w:rPr>
        <w:t xml:space="preserve"> </w:t>
      </w:r>
      <w:r w:rsidRPr="009E4F4E">
        <w:rPr>
          <w:rFonts w:eastAsia="Times New Roman"/>
        </w:rPr>
        <w:t>intervenčného</w:t>
      </w:r>
      <w:r w:rsidRPr="00B44044">
        <w:rPr>
          <w:rFonts w:hint="default"/>
        </w:rPr>
        <w:t xml:space="preserve"> ná</w:t>
      </w:r>
      <w:r w:rsidRPr="00B44044">
        <w:rPr>
          <w:rFonts w:hint="default"/>
        </w:rPr>
        <w:t xml:space="preserve">kupu sa </w:t>
      </w:r>
      <w:r w:rsidRPr="00B44044">
        <w:rPr>
          <w:rFonts w:hint="default"/>
        </w:rPr>
        <w:t>riadia rež</w:t>
      </w:r>
      <w:r w:rsidRPr="00B44044">
        <w:rPr>
          <w:rFonts w:hint="default"/>
        </w:rPr>
        <w:t>imom stanovený</w:t>
      </w:r>
      <w:r w:rsidRPr="00B44044">
        <w:rPr>
          <w:rFonts w:hint="default"/>
        </w:rPr>
        <w:t>m Komisiou a </w:t>
      </w:r>
      <w:r w:rsidRPr="00B44044">
        <w:rPr>
          <w:rFonts w:hint="default"/>
        </w:rPr>
        <w:t>platia pre vš</w:t>
      </w:r>
      <w:r w:rsidRPr="00B44044">
        <w:rPr>
          <w:rFonts w:hint="default"/>
        </w:rPr>
        <w:t>etky č</w:t>
      </w:r>
      <w:r w:rsidRPr="00B44044">
        <w:rPr>
          <w:rFonts w:hint="default"/>
        </w:rPr>
        <w:t>lenské</w:t>
      </w:r>
      <w:r w:rsidRPr="00B44044">
        <w:rPr>
          <w:rFonts w:hint="default"/>
        </w:rPr>
        <w:t xml:space="preserve"> š</w:t>
      </w:r>
      <w:r w:rsidRPr="00B44044">
        <w:rPr>
          <w:rFonts w:hint="default"/>
        </w:rPr>
        <w:t>tá</w:t>
      </w:r>
      <w:r w:rsidRPr="00B44044">
        <w:rPr>
          <w:rFonts w:hint="default"/>
        </w:rPr>
        <w:t>ty EÚ.</w:t>
      </w:r>
    </w:p>
    <w:p w:rsidR="002B4982" w:rsidRPr="00B44044" w:rsidP="009E4F4E">
      <w:pPr>
        <w:bidi w:val="0"/>
        <w:rPr>
          <w:noProof/>
        </w:rPr>
      </w:pPr>
      <w:r w:rsidRPr="00B44044">
        <w:rPr>
          <w:noProof/>
        </w:rPr>
        <w:t>K </w:t>
      </w:r>
      <w:r w:rsidRPr="00B44044">
        <w:rPr>
          <w:rFonts w:hint="default"/>
          <w:noProof/>
        </w:rPr>
        <w:t>31. 12. 2010 bol na mimorozpoč</w:t>
      </w:r>
      <w:r w:rsidRPr="00B44044">
        <w:rPr>
          <w:rFonts w:hint="default"/>
          <w:noProof/>
        </w:rPr>
        <w:t>tovom úč</w:t>
      </w:r>
      <w:r w:rsidRPr="00B44044">
        <w:rPr>
          <w:rFonts w:hint="default"/>
          <w:noProof/>
        </w:rPr>
        <w:t>te na financovanie intervencií</w:t>
      </w:r>
      <w:r w:rsidRPr="00B44044">
        <w:rPr>
          <w:rFonts w:hint="default"/>
          <w:noProof/>
        </w:rPr>
        <w:t xml:space="preserve"> zostatok vo výš</w:t>
      </w:r>
      <w:r w:rsidRPr="00B44044">
        <w:rPr>
          <w:rFonts w:hint="default"/>
          <w:noProof/>
        </w:rPr>
        <w:t>ke 49 395 416,54 €</w:t>
      </w:r>
      <w:r w:rsidRPr="00B44044">
        <w:rPr>
          <w:rFonts w:hint="default"/>
          <w:noProof/>
        </w:rPr>
        <w:t>. Vý</w:t>
      </w:r>
      <w:r w:rsidRPr="00B44044">
        <w:rPr>
          <w:rFonts w:hint="default"/>
          <w:noProof/>
        </w:rPr>
        <w:t>davky mimorozpoč</w:t>
      </w:r>
      <w:r w:rsidRPr="00B44044">
        <w:rPr>
          <w:rFonts w:hint="default"/>
          <w:noProof/>
        </w:rPr>
        <w:t>tové</w:t>
      </w:r>
      <w:r w:rsidRPr="00B44044">
        <w:rPr>
          <w:rFonts w:hint="default"/>
          <w:noProof/>
        </w:rPr>
        <w:t>ho úč</w:t>
      </w:r>
      <w:r w:rsidRPr="00B44044">
        <w:rPr>
          <w:rFonts w:hint="default"/>
          <w:noProof/>
        </w:rPr>
        <w:t>tu predstavovali prostriedky na opatrenia vo forme</w:t>
      </w:r>
      <w:r w:rsidRPr="00B44044">
        <w:rPr>
          <w:rFonts w:hint="default"/>
          <w:noProof/>
        </w:rPr>
        <w:t xml:space="preserve"> verejné</w:t>
      </w:r>
      <w:r w:rsidRPr="00B44044">
        <w:rPr>
          <w:rFonts w:hint="default"/>
          <w:noProof/>
        </w:rPr>
        <w:t xml:space="preserve">ho skladovania </w:t>
      </w:r>
      <w:r w:rsidR="00357428">
        <w:rPr>
          <w:noProof/>
        </w:rPr>
        <w:t>EPZF</w:t>
      </w:r>
      <w:r w:rsidR="006F3490">
        <w:rPr>
          <w:noProof/>
        </w:rPr>
        <w:t>.</w:t>
      </w:r>
      <w:r w:rsidRPr="00B44044">
        <w:rPr>
          <w:noProof/>
        </w:rPr>
        <w:t xml:space="preserve"> </w:t>
      </w:r>
    </w:p>
    <w:p w:rsidR="002B4982" w:rsidRPr="00B44044" w:rsidP="009E4F4E">
      <w:pPr>
        <w:bidi w:val="0"/>
        <w:rPr>
          <w:rFonts w:hint="default"/>
          <w:noProof/>
        </w:rPr>
      </w:pPr>
      <w:r w:rsidRPr="00B44044">
        <w:rPr>
          <w:rFonts w:hint="default"/>
          <w:noProof/>
        </w:rPr>
        <w:t>Vý</w:t>
      </w:r>
      <w:r w:rsidRPr="00B44044">
        <w:rPr>
          <w:rFonts w:hint="default"/>
          <w:noProof/>
        </w:rPr>
        <w:t>davky na intervenč</w:t>
      </w:r>
      <w:r w:rsidRPr="00B44044">
        <w:rPr>
          <w:rFonts w:hint="default"/>
          <w:noProof/>
        </w:rPr>
        <w:t>ný</w:t>
      </w:r>
      <w:r w:rsidRPr="00B44044">
        <w:rPr>
          <w:rFonts w:hint="default"/>
          <w:noProof/>
        </w:rPr>
        <w:t xml:space="preserve"> ná</w:t>
      </w:r>
      <w:r w:rsidRPr="00B44044">
        <w:rPr>
          <w:rFonts w:hint="default"/>
          <w:noProof/>
        </w:rPr>
        <w:t>kup obilní</w:t>
      </w:r>
      <w:r w:rsidRPr="00B44044">
        <w:rPr>
          <w:rFonts w:hint="default"/>
          <w:noProof/>
        </w:rPr>
        <w:t xml:space="preserve">n v roku 2010 </w:t>
      </w:r>
      <w:r w:rsidR="00357428">
        <w:rPr>
          <w:rFonts w:hint="default"/>
          <w:noProof/>
        </w:rPr>
        <w:t>predstavovali 22 130 707,17 €</w:t>
      </w:r>
      <w:r w:rsidR="00357428">
        <w:rPr>
          <w:rFonts w:hint="default"/>
          <w:noProof/>
        </w:rPr>
        <w:t xml:space="preserve"> a </w:t>
      </w:r>
      <w:r w:rsidRPr="00B44044">
        <w:rPr>
          <w:rFonts w:hint="default"/>
          <w:noProof/>
        </w:rPr>
        <w:t>na intervenč</w:t>
      </w:r>
      <w:r w:rsidRPr="00B44044">
        <w:rPr>
          <w:rFonts w:hint="default"/>
          <w:noProof/>
        </w:rPr>
        <w:t>né</w:t>
      </w:r>
      <w:r w:rsidRPr="00B44044">
        <w:rPr>
          <w:rFonts w:hint="default"/>
          <w:noProof/>
        </w:rPr>
        <w:t xml:space="preserve"> skladovanie obilní</w:t>
      </w:r>
      <w:r w:rsidRPr="00B44044">
        <w:rPr>
          <w:rFonts w:hint="default"/>
          <w:noProof/>
        </w:rPr>
        <w:t>n 4 016 067,44 €.</w:t>
      </w:r>
    </w:p>
    <w:p w:rsidR="002B4982" w:rsidRPr="00B44044" w:rsidP="009E4F4E">
      <w:pPr>
        <w:bidi w:val="0"/>
      </w:pPr>
      <w:r w:rsidRPr="00B44044">
        <w:rPr>
          <w:rFonts w:hint="default"/>
          <w:noProof/>
        </w:rPr>
        <w:t>V roku 2010 bola z </w:t>
      </w:r>
      <w:r w:rsidRPr="00B44044">
        <w:rPr>
          <w:rFonts w:hint="default"/>
          <w:noProof/>
        </w:rPr>
        <w:t>mimorozpoč</w:t>
      </w:r>
      <w:r w:rsidRPr="00B44044">
        <w:rPr>
          <w:rFonts w:hint="default"/>
          <w:noProof/>
        </w:rPr>
        <w:t>tové</w:t>
      </w:r>
      <w:r w:rsidRPr="00B44044">
        <w:rPr>
          <w:rFonts w:hint="default"/>
          <w:noProof/>
        </w:rPr>
        <w:t>ho úč</w:t>
      </w:r>
      <w:r w:rsidRPr="00B44044">
        <w:rPr>
          <w:rFonts w:hint="default"/>
          <w:noProof/>
        </w:rPr>
        <w:t>tu PPA vyplatená</w:t>
      </w:r>
      <w:r w:rsidRPr="00B44044">
        <w:rPr>
          <w:rFonts w:hint="default"/>
          <w:noProof/>
        </w:rPr>
        <w:t xml:space="preserve"> </w:t>
      </w:r>
      <w:r w:rsidR="00594335">
        <w:rPr>
          <w:rFonts w:hint="default"/>
        </w:rPr>
        <w:t>diverzifiká</w:t>
      </w:r>
      <w:r w:rsidR="00594335">
        <w:rPr>
          <w:rFonts w:hint="default"/>
        </w:rPr>
        <w:t>cia  </w:t>
      </w:r>
      <w:r w:rsidR="00594335">
        <w:rPr>
          <w:rFonts w:hint="default"/>
        </w:rPr>
        <w:t>vo výš</w:t>
      </w:r>
      <w:r w:rsidR="00594335">
        <w:rPr>
          <w:rFonts w:hint="default"/>
        </w:rPr>
        <w:t>ke 1 211 </w:t>
      </w:r>
      <w:r w:rsidRPr="00B44044">
        <w:rPr>
          <w:rFonts w:hint="default"/>
        </w:rPr>
        <w:t>656,14 €</w:t>
      </w:r>
      <w:r w:rsidRPr="00B44044">
        <w:rPr>
          <w:rFonts w:hint="default"/>
        </w:rPr>
        <w:t xml:space="preserve"> a  </w:t>
      </w:r>
      <w:r w:rsidRPr="00B44044">
        <w:rPr>
          <w:rFonts w:hint="default"/>
          <w:noProof/>
        </w:rPr>
        <w:t>dodatoč</w:t>
      </w:r>
      <w:r w:rsidRPr="00B44044">
        <w:rPr>
          <w:rFonts w:hint="default"/>
          <w:noProof/>
        </w:rPr>
        <w:t>ná</w:t>
      </w:r>
      <w:r w:rsidRPr="00B44044">
        <w:rPr>
          <w:rFonts w:hint="default"/>
          <w:noProof/>
        </w:rPr>
        <w:t xml:space="preserve"> pomoc na diverzifiká</w:t>
      </w:r>
      <w:r w:rsidRPr="00B44044">
        <w:rPr>
          <w:rFonts w:hint="default"/>
          <w:noProof/>
        </w:rPr>
        <w:t>ciu vo výš</w:t>
      </w:r>
      <w:r w:rsidRPr="00B44044">
        <w:rPr>
          <w:rFonts w:hint="default"/>
          <w:noProof/>
        </w:rPr>
        <w:t xml:space="preserve">ke </w:t>
      </w:r>
      <w:r w:rsidRPr="00B44044">
        <w:t xml:space="preserve">2 111 730,69 </w:t>
      </w:r>
      <w:r w:rsidRPr="00B44044">
        <w:rPr>
          <w:rFonts w:hint="default"/>
          <w:noProof/>
        </w:rPr>
        <w:t xml:space="preserve"> €.</w:t>
      </w:r>
      <w:r w:rsidRPr="00B44044">
        <w:t xml:space="preserve"> </w:t>
      </w:r>
    </w:p>
    <w:p w:rsidR="002B4982" w:rsidP="002B4982">
      <w:pPr>
        <w:pStyle w:val="BodyTextIndent2"/>
        <w:tabs>
          <w:tab w:val="left" w:pos="709"/>
        </w:tabs>
        <w:bidi w:val="0"/>
        <w:spacing w:line="320" w:lineRule="exact"/>
        <w:ind w:left="360" w:firstLine="0"/>
        <w:rPr>
          <w:color w:val="4F6228"/>
        </w:rPr>
      </w:pPr>
    </w:p>
    <w:p w:rsidR="002B4982" w:rsidRPr="002B4982" w:rsidP="002B4982">
      <w:pPr>
        <w:bidi w:val="0"/>
        <w:ind w:left="360" w:firstLine="0"/>
        <w:rPr>
          <w:rFonts w:hint="default"/>
          <w:b/>
        </w:rPr>
      </w:pPr>
      <w:r w:rsidRPr="002B4982">
        <w:rPr>
          <w:rFonts w:hint="default"/>
          <w:b/>
        </w:rPr>
        <w:t>Jednorazová</w:t>
      </w:r>
      <w:r w:rsidRPr="002B4982">
        <w:rPr>
          <w:rFonts w:hint="default"/>
          <w:b/>
        </w:rPr>
        <w:t xml:space="preserve"> podpora na dojnice</w:t>
      </w:r>
    </w:p>
    <w:p w:rsidR="002B4982" w:rsidRPr="002B4982" w:rsidP="009E4F4E">
      <w:pPr>
        <w:bidi w:val="0"/>
        <w:rPr>
          <w:rFonts w:hint="default"/>
          <w:iCs/>
        </w:rPr>
      </w:pPr>
      <w:r w:rsidRPr="002B4982">
        <w:rPr>
          <w:rFonts w:hint="default"/>
          <w:iCs/>
        </w:rPr>
        <w:t>Na zá</w:t>
      </w:r>
      <w:r w:rsidRPr="002B4982">
        <w:rPr>
          <w:rFonts w:hint="default"/>
          <w:iCs/>
        </w:rPr>
        <w:t>klade nariadenia Komisie (EÚ</w:t>
      </w:r>
      <w:r w:rsidRPr="002B4982">
        <w:rPr>
          <w:rFonts w:hint="default"/>
          <w:iCs/>
        </w:rPr>
        <w:t>) č</w:t>
      </w:r>
      <w:r w:rsidRPr="002B4982">
        <w:rPr>
          <w:rFonts w:hint="default"/>
          <w:iCs/>
        </w:rPr>
        <w:t>. 1233/2009 z 15. decembra 2009, ktorý</w:t>
      </w:r>
      <w:r w:rsidRPr="002B4982">
        <w:rPr>
          <w:rFonts w:hint="default"/>
          <w:iCs/>
        </w:rPr>
        <w:t>m sa </w:t>
      </w:r>
      <w:r w:rsidRPr="002B4982">
        <w:rPr>
          <w:rFonts w:hint="default"/>
          <w:iCs/>
        </w:rPr>
        <w:t>ustanovuje osobitné</w:t>
      </w:r>
      <w:r w:rsidRPr="002B4982">
        <w:rPr>
          <w:rFonts w:hint="default"/>
          <w:iCs/>
        </w:rPr>
        <w:t xml:space="preserve"> opatrenie na podporu trhu v </w:t>
      </w:r>
      <w:r w:rsidRPr="002B4982">
        <w:rPr>
          <w:rFonts w:hint="default"/>
          <w:iCs/>
        </w:rPr>
        <w:t>mliekarenskom odvetví</w:t>
      </w:r>
      <w:r w:rsidRPr="002B4982">
        <w:rPr>
          <w:rFonts w:hint="default"/>
          <w:iCs/>
        </w:rPr>
        <w:t xml:space="preserve"> bola </w:t>
      </w:r>
      <w:r w:rsidRPr="009E4F4E">
        <w:rPr>
          <w:rFonts w:hint="default"/>
        </w:rPr>
        <w:t>vyč</w:t>
      </w:r>
      <w:r w:rsidRPr="009E4F4E">
        <w:rPr>
          <w:rFonts w:hint="default"/>
        </w:rPr>
        <w:t>le</w:t>
      </w:r>
      <w:r w:rsidRPr="009E4F4E">
        <w:rPr>
          <w:rFonts w:hint="default"/>
        </w:rPr>
        <w:t>nená</w:t>
      </w:r>
      <w:r w:rsidRPr="002B4982">
        <w:rPr>
          <w:rFonts w:hint="default"/>
          <w:iCs/>
        </w:rPr>
        <w:t xml:space="preserve"> „</w:t>
      </w:r>
      <w:r w:rsidRPr="002B4982">
        <w:rPr>
          <w:rFonts w:hint="default"/>
          <w:iCs/>
        </w:rPr>
        <w:t>finanč</w:t>
      </w:r>
      <w:r w:rsidRPr="002B4982">
        <w:rPr>
          <w:rFonts w:hint="default"/>
          <w:iCs/>
        </w:rPr>
        <w:t>ná</w:t>
      </w:r>
      <w:r w:rsidRPr="002B4982">
        <w:rPr>
          <w:rFonts w:hint="default"/>
          <w:iCs/>
        </w:rPr>
        <w:t xml:space="preserve"> obá</w:t>
      </w:r>
      <w:r w:rsidRPr="002B4982">
        <w:rPr>
          <w:rFonts w:hint="default"/>
          <w:iCs/>
        </w:rPr>
        <w:t>lka“</w:t>
      </w:r>
      <w:r w:rsidRPr="002B4982">
        <w:rPr>
          <w:rFonts w:hint="default"/>
          <w:iCs/>
        </w:rPr>
        <w:t xml:space="preserve"> Euró</w:t>
      </w:r>
      <w:r w:rsidRPr="002B4982">
        <w:rPr>
          <w:rFonts w:hint="default"/>
          <w:iCs/>
        </w:rPr>
        <w:t>pskej komisie na rok 2010, ktorá</w:t>
      </w:r>
      <w:r w:rsidRPr="002B4982">
        <w:rPr>
          <w:rFonts w:hint="default"/>
          <w:iCs/>
        </w:rPr>
        <w:t xml:space="preserve"> pre SR predstavovala č</w:t>
      </w:r>
      <w:r w:rsidRPr="002B4982">
        <w:rPr>
          <w:rFonts w:hint="default"/>
          <w:iCs/>
        </w:rPr>
        <w:t xml:space="preserve">iastku </w:t>
      </w:r>
      <w:r w:rsidR="00357428">
        <w:rPr>
          <w:iCs/>
        </w:rPr>
        <w:t>2 034 698,62 </w:t>
      </w:r>
      <w:r w:rsidR="00357428">
        <w:rPr>
          <w:rFonts w:hint="default"/>
          <w:iCs/>
        </w:rPr>
        <w:t>€</w:t>
      </w:r>
      <w:r w:rsidRPr="002B4982">
        <w:rPr>
          <w:rFonts w:hint="default"/>
          <w:iCs/>
        </w:rPr>
        <w:t>. Dotá</w:t>
      </w:r>
      <w:r w:rsidRPr="002B4982">
        <w:rPr>
          <w:rFonts w:hint="default"/>
          <w:iCs/>
        </w:rPr>
        <w:t>cia v </w:t>
      </w:r>
      <w:r w:rsidRPr="002B4982">
        <w:rPr>
          <w:rFonts w:hint="default"/>
          <w:iCs/>
        </w:rPr>
        <w:t>SR bola poskytnutá</w:t>
      </w:r>
      <w:r w:rsidRPr="002B4982">
        <w:rPr>
          <w:rFonts w:hint="default"/>
          <w:iCs/>
        </w:rPr>
        <w:t xml:space="preserve"> pre chovateľ</w:t>
      </w:r>
      <w:r w:rsidRPr="002B4982">
        <w:rPr>
          <w:rFonts w:hint="default"/>
          <w:iCs/>
        </w:rPr>
        <w:t>ov dojní</w:t>
      </w:r>
      <w:r w:rsidRPr="002B4982">
        <w:rPr>
          <w:rFonts w:hint="default"/>
          <w:iCs/>
        </w:rPr>
        <w:t>c s pridelenou individuá</w:t>
      </w:r>
      <w:r w:rsidRPr="002B4982">
        <w:rPr>
          <w:rFonts w:hint="default"/>
          <w:iCs/>
        </w:rPr>
        <w:t>lnou kvó</w:t>
      </w:r>
      <w:r w:rsidRPr="002B4982">
        <w:rPr>
          <w:rFonts w:hint="default"/>
          <w:iCs/>
        </w:rPr>
        <w:t xml:space="preserve">tou mlieka k 31. 03. 2010 v zmysle </w:t>
      </w:r>
      <w:r w:rsidR="00594335">
        <w:t>nariadenia</w:t>
      </w:r>
      <w:r w:rsidRPr="006A0CED">
        <w:rPr>
          <w:rFonts w:hint="default"/>
        </w:rPr>
        <w:t xml:space="preserve"> vlá</w:t>
      </w:r>
      <w:r w:rsidRPr="006A0CED">
        <w:rPr>
          <w:rFonts w:hint="default"/>
        </w:rPr>
        <w:t>dy č.</w:t>
      </w:r>
      <w:r w:rsidRPr="002B4982">
        <w:rPr>
          <w:b/>
          <w:bCs/>
        </w:rPr>
        <w:t xml:space="preserve"> </w:t>
      </w:r>
      <w:r w:rsidRPr="002B4982">
        <w:rPr>
          <w:bCs/>
        </w:rPr>
        <w:t>78/2010 Z. z.</w:t>
      </w:r>
      <w:r w:rsidRPr="006A0CED">
        <w:t xml:space="preserve">, </w:t>
      </w:r>
      <w:r w:rsidRPr="006A0CED">
        <w:rPr>
          <w:rFonts w:hint="default"/>
        </w:rPr>
        <w:t>ktorý</w:t>
      </w:r>
      <w:r w:rsidRPr="006A0CED">
        <w:rPr>
          <w:rFonts w:hint="default"/>
        </w:rPr>
        <w:t>m sa ustanovujú</w:t>
      </w:r>
      <w:r w:rsidRPr="006A0CED">
        <w:rPr>
          <w:rFonts w:hint="default"/>
        </w:rPr>
        <w:t xml:space="preserve"> podmienky poskytnutia jednorazovej podpory v sektore produkcie mlieka. </w:t>
      </w:r>
      <w:r w:rsidRPr="002B4982">
        <w:rPr>
          <w:rFonts w:hint="default"/>
          <w:iCs/>
        </w:rPr>
        <w:t>Tá</w:t>
      </w:r>
      <w:r w:rsidRPr="002B4982">
        <w:rPr>
          <w:rFonts w:hint="default"/>
          <w:iCs/>
        </w:rPr>
        <w:t>to jednorazová</w:t>
      </w:r>
      <w:r w:rsidRPr="002B4982">
        <w:rPr>
          <w:rFonts w:hint="default"/>
          <w:iCs/>
        </w:rPr>
        <w:t xml:space="preserve"> podpora bola vyplatená</w:t>
      </w:r>
      <w:r w:rsidRPr="002B4982">
        <w:rPr>
          <w:rFonts w:hint="default"/>
          <w:iCs/>
        </w:rPr>
        <w:t xml:space="preserve"> 592 ž</w:t>
      </w:r>
      <w:r w:rsidRPr="002B4982">
        <w:rPr>
          <w:rFonts w:hint="default"/>
          <w:iCs/>
        </w:rPr>
        <w:t>iadateľ</w:t>
      </w:r>
      <w:r w:rsidRPr="002B4982">
        <w:rPr>
          <w:rFonts w:hint="default"/>
          <w:iCs/>
        </w:rPr>
        <w:t>om do 30. jú</w:t>
      </w:r>
      <w:r w:rsidRPr="002B4982">
        <w:rPr>
          <w:rFonts w:hint="default"/>
          <w:iCs/>
        </w:rPr>
        <w:t>na 2010.</w:t>
      </w:r>
    </w:p>
    <w:p w:rsidR="002B4982" w:rsidRPr="0004444E" w:rsidP="002B4982">
      <w:pPr>
        <w:pStyle w:val="BodyTextIndent2"/>
        <w:tabs>
          <w:tab w:val="left" w:pos="709"/>
        </w:tabs>
        <w:bidi w:val="0"/>
        <w:spacing w:line="320" w:lineRule="exact"/>
        <w:ind w:left="360" w:firstLine="0"/>
        <w:rPr>
          <w:color w:val="4F6228"/>
        </w:rPr>
      </w:pPr>
    </w:p>
    <w:p w:rsidR="002B4982" w:rsidP="002B4982">
      <w:pPr>
        <w:pStyle w:val="Heading2"/>
        <w:numPr>
          <w:numId w:val="0"/>
        </w:numPr>
        <w:tabs>
          <w:tab w:val="left" w:pos="709"/>
        </w:tabs>
        <w:bidi w:val="0"/>
        <w:spacing w:before="0" w:after="0" w:line="240" w:lineRule="exact"/>
        <w:ind w:left="360" w:firstLine="0"/>
        <w:jc w:val="both"/>
        <w:rPr>
          <w:rFonts w:ascii="Times New Roman" w:hAnsi="Times New Roman"/>
          <w:bCs w:val="0"/>
          <w:noProof/>
          <w:lang w:eastAsia="sk-SK"/>
        </w:rPr>
      </w:pPr>
      <w:r w:rsidRPr="006A0CED">
        <w:rPr>
          <w:rFonts w:ascii="Times New Roman" w:hAnsi="Times New Roman"/>
          <w:bCs w:val="0"/>
          <w:noProof/>
          <w:lang w:eastAsia="sk-SK"/>
        </w:rPr>
        <w:t xml:space="preserve">Celkové hodnotenie podpôr  na TOV </w:t>
      </w:r>
    </w:p>
    <w:p w:rsidR="002B4982" w:rsidP="002B4982">
      <w:pPr>
        <w:bidi w:val="0"/>
        <w:rPr>
          <w:rFonts w:hint="default"/>
          <w:lang w:eastAsia="sk-SK"/>
        </w:rPr>
      </w:pPr>
      <w:r>
        <w:rPr>
          <w:rFonts w:hint="default"/>
          <w:lang w:eastAsia="sk-SK"/>
        </w:rPr>
        <w:t>Č</w:t>
      </w:r>
      <w:r>
        <w:rPr>
          <w:rFonts w:hint="default"/>
          <w:lang w:eastAsia="sk-SK"/>
        </w:rPr>
        <w:t xml:space="preserve">erpanie </w:t>
      </w:r>
      <w:r w:rsidR="00357428">
        <w:rPr>
          <w:rFonts w:hint="default"/>
          <w:lang w:eastAsia="sk-SK"/>
        </w:rPr>
        <w:t>trhovo orientovaný</w:t>
      </w:r>
      <w:r w:rsidR="00357428">
        <w:rPr>
          <w:rFonts w:hint="default"/>
          <w:lang w:eastAsia="sk-SK"/>
        </w:rPr>
        <w:t>ch vý</w:t>
      </w:r>
      <w:r w:rsidR="00357428">
        <w:rPr>
          <w:rFonts w:hint="default"/>
          <w:lang w:eastAsia="sk-SK"/>
        </w:rPr>
        <w:t>davkov (TOV)</w:t>
      </w:r>
      <w:r>
        <w:rPr>
          <w:rFonts w:hint="default"/>
          <w:lang w:eastAsia="sk-SK"/>
        </w:rPr>
        <w:t xml:space="preserve"> odráž</w:t>
      </w:r>
      <w:r>
        <w:rPr>
          <w:rFonts w:hint="default"/>
          <w:lang w:eastAsia="sk-SK"/>
        </w:rPr>
        <w:t>a neu</w:t>
      </w:r>
      <w:r>
        <w:rPr>
          <w:rFonts w:hint="default"/>
          <w:lang w:eastAsia="sk-SK"/>
        </w:rPr>
        <w:t>stá</w:t>
      </w:r>
      <w:r>
        <w:rPr>
          <w:rFonts w:hint="default"/>
          <w:lang w:eastAsia="sk-SK"/>
        </w:rPr>
        <w:t>le meniacu sa situá</w:t>
      </w:r>
      <w:r>
        <w:rPr>
          <w:rFonts w:hint="default"/>
          <w:lang w:eastAsia="sk-SK"/>
        </w:rPr>
        <w:t>ciu na trhu s </w:t>
      </w:r>
      <w:r>
        <w:rPr>
          <w:rFonts w:hint="default"/>
          <w:lang w:eastAsia="sk-SK"/>
        </w:rPr>
        <w:t>agropotraviná</w:t>
      </w:r>
      <w:r>
        <w:rPr>
          <w:rFonts w:hint="default"/>
          <w:lang w:eastAsia="sk-SK"/>
        </w:rPr>
        <w:t xml:space="preserve">rskymi </w:t>
      </w:r>
      <w:r>
        <w:t>komoditami</w:t>
      </w:r>
      <w:r>
        <w:rPr>
          <w:rFonts w:hint="default"/>
          <w:lang w:eastAsia="sk-SK"/>
        </w:rPr>
        <w:t>, zá</w:t>
      </w:r>
      <w:r>
        <w:rPr>
          <w:rFonts w:hint="default"/>
          <w:lang w:eastAsia="sk-SK"/>
        </w:rPr>
        <w:t>visí</w:t>
      </w:r>
      <w:r>
        <w:rPr>
          <w:rFonts w:hint="default"/>
          <w:lang w:eastAsia="sk-SK"/>
        </w:rPr>
        <w:t xml:space="preserve"> od poč</w:t>
      </w:r>
      <w:r>
        <w:rPr>
          <w:rFonts w:hint="default"/>
          <w:lang w:eastAsia="sk-SK"/>
        </w:rPr>
        <w:t>tu ž</w:t>
      </w:r>
      <w:r>
        <w:rPr>
          <w:rFonts w:hint="default"/>
          <w:lang w:eastAsia="sk-SK"/>
        </w:rPr>
        <w:t>iadostí</w:t>
      </w:r>
      <w:r>
        <w:rPr>
          <w:rFonts w:hint="default"/>
          <w:lang w:eastAsia="sk-SK"/>
        </w:rPr>
        <w:t xml:space="preserve"> podľ</w:t>
      </w:r>
      <w:r>
        <w:rPr>
          <w:rFonts w:hint="default"/>
          <w:lang w:eastAsia="sk-SK"/>
        </w:rPr>
        <w:t>a jednotlivý</w:t>
      </w:r>
      <w:r>
        <w:rPr>
          <w:rFonts w:hint="default"/>
          <w:lang w:eastAsia="sk-SK"/>
        </w:rPr>
        <w:t>ch opatrení</w:t>
      </w:r>
      <w:r>
        <w:rPr>
          <w:rFonts w:hint="default"/>
          <w:lang w:eastAsia="sk-SK"/>
        </w:rPr>
        <w:t xml:space="preserve"> ako aj od realizá</w:t>
      </w:r>
      <w:r>
        <w:rPr>
          <w:rFonts w:hint="default"/>
          <w:lang w:eastAsia="sk-SK"/>
        </w:rPr>
        <w:t>cie tý</w:t>
      </w:r>
      <w:r>
        <w:rPr>
          <w:rFonts w:hint="default"/>
          <w:lang w:eastAsia="sk-SK"/>
        </w:rPr>
        <w:t>chto opatrení</w:t>
      </w:r>
      <w:r>
        <w:rPr>
          <w:rFonts w:hint="default"/>
          <w:lang w:eastAsia="sk-SK"/>
        </w:rPr>
        <w:t>. Ní</w:t>
      </w:r>
      <w:r>
        <w:rPr>
          <w:rFonts w:hint="default"/>
          <w:lang w:eastAsia="sk-SK"/>
        </w:rPr>
        <w:t>zke č</w:t>
      </w:r>
      <w:r>
        <w:rPr>
          <w:rFonts w:hint="default"/>
          <w:lang w:eastAsia="sk-SK"/>
        </w:rPr>
        <w:t>erpanie rozpoč</w:t>
      </w:r>
      <w:r>
        <w:rPr>
          <w:rFonts w:hint="default"/>
          <w:lang w:eastAsia="sk-SK"/>
        </w:rPr>
        <w:t>tový</w:t>
      </w:r>
      <w:r>
        <w:rPr>
          <w:rFonts w:hint="default"/>
          <w:lang w:eastAsia="sk-SK"/>
        </w:rPr>
        <w:t>ch vý</w:t>
      </w:r>
      <w:r>
        <w:rPr>
          <w:rFonts w:hint="default"/>
          <w:lang w:eastAsia="sk-SK"/>
        </w:rPr>
        <w:t>davkov bolo v </w:t>
      </w:r>
      <w:r>
        <w:rPr>
          <w:rFonts w:hint="default"/>
          <w:lang w:eastAsia="sk-SK"/>
        </w:rPr>
        <w:t>roku 2010 ovplyvnené</w:t>
      </w:r>
      <w:r>
        <w:rPr>
          <w:rFonts w:hint="default"/>
          <w:lang w:eastAsia="sk-SK"/>
        </w:rPr>
        <w:t xml:space="preserve"> najmä</w:t>
      </w:r>
      <w:r>
        <w:rPr>
          <w:rFonts w:hint="default"/>
          <w:lang w:eastAsia="sk-SK"/>
        </w:rPr>
        <w:t xml:space="preserve"> nepriaznivý</w:t>
      </w:r>
      <w:r>
        <w:rPr>
          <w:rFonts w:hint="default"/>
          <w:lang w:eastAsia="sk-SK"/>
        </w:rPr>
        <w:t>m poč</w:t>
      </w:r>
      <w:r>
        <w:rPr>
          <w:rFonts w:hint="default"/>
          <w:lang w:eastAsia="sk-SK"/>
        </w:rPr>
        <w:t>así</w:t>
      </w:r>
      <w:r>
        <w:rPr>
          <w:rFonts w:hint="default"/>
          <w:lang w:eastAsia="sk-SK"/>
        </w:rPr>
        <w:t>m a </w:t>
      </w:r>
      <w:r>
        <w:rPr>
          <w:rFonts w:hint="default"/>
          <w:lang w:eastAsia="sk-SK"/>
        </w:rPr>
        <w:t>ní</w:t>
      </w:r>
      <w:r>
        <w:rPr>
          <w:rFonts w:hint="default"/>
          <w:lang w:eastAsia="sk-SK"/>
        </w:rPr>
        <w:t>m</w:t>
      </w:r>
      <w:r>
        <w:rPr>
          <w:rFonts w:hint="default"/>
          <w:lang w:eastAsia="sk-SK"/>
        </w:rPr>
        <w:t xml:space="preserve"> spô</w:t>
      </w:r>
      <w:r>
        <w:rPr>
          <w:rFonts w:hint="default"/>
          <w:lang w:eastAsia="sk-SK"/>
        </w:rPr>
        <w:t>sobenou neú</w:t>
      </w:r>
      <w:r>
        <w:rPr>
          <w:rFonts w:hint="default"/>
          <w:lang w:eastAsia="sk-SK"/>
        </w:rPr>
        <w:t>rodou niektorý</w:t>
      </w:r>
      <w:r>
        <w:rPr>
          <w:rFonts w:hint="default"/>
          <w:lang w:eastAsia="sk-SK"/>
        </w:rPr>
        <w:t>ch komodí</w:t>
      </w:r>
      <w:r>
        <w:rPr>
          <w:rFonts w:hint="default"/>
          <w:lang w:eastAsia="sk-SK"/>
        </w:rPr>
        <w:t xml:space="preserve">t. </w:t>
      </w:r>
    </w:p>
    <w:p w:rsidR="002B4982" w:rsidRPr="00856477" w:rsidP="002B4982">
      <w:pPr>
        <w:bidi w:val="0"/>
        <w:rPr>
          <w:lang w:eastAsia="sk-SK"/>
        </w:rPr>
      </w:pPr>
      <w:r>
        <w:rPr>
          <w:rFonts w:hint="default"/>
          <w:lang w:eastAsia="sk-SK"/>
        </w:rPr>
        <w:t>Pri niektorý</w:t>
      </w:r>
      <w:r>
        <w:rPr>
          <w:rFonts w:hint="default"/>
          <w:lang w:eastAsia="sk-SK"/>
        </w:rPr>
        <w:t>ch opatreniach (program stabilizá</w:t>
      </w:r>
      <w:r>
        <w:rPr>
          <w:rFonts w:hint="default"/>
          <w:lang w:eastAsia="sk-SK"/>
        </w:rPr>
        <w:t>cie a </w:t>
      </w:r>
      <w:r>
        <w:rPr>
          <w:rFonts w:hint="default"/>
          <w:lang w:eastAsia="sk-SK"/>
        </w:rPr>
        <w:t>rozvoja vč</w:t>
      </w:r>
      <w:r>
        <w:rPr>
          <w:rFonts w:hint="default"/>
          <w:lang w:eastAsia="sk-SK"/>
        </w:rPr>
        <w:t>elá</w:t>
      </w:r>
      <w:r>
        <w:rPr>
          <w:rFonts w:hint="default"/>
          <w:lang w:eastAsia="sk-SK"/>
        </w:rPr>
        <w:t>rstva, podpora na reš</w:t>
      </w:r>
      <w:r>
        <w:rPr>
          <w:rFonts w:hint="default"/>
          <w:lang w:eastAsia="sk-SK"/>
        </w:rPr>
        <w:t>trukturalizá</w:t>
      </w:r>
      <w:r>
        <w:rPr>
          <w:rFonts w:hint="default"/>
          <w:lang w:eastAsia="sk-SK"/>
        </w:rPr>
        <w:t>ciu vinohradov, jednorazová</w:t>
      </w:r>
      <w:r>
        <w:rPr>
          <w:rFonts w:hint="default"/>
          <w:lang w:eastAsia="sk-SK"/>
        </w:rPr>
        <w:t xml:space="preserve"> podpora na dojnicu, podpora propagá</w:t>
      </w:r>
      <w:r>
        <w:rPr>
          <w:rFonts w:hint="default"/>
          <w:lang w:eastAsia="sk-SK"/>
        </w:rPr>
        <w:t xml:space="preserve">cie 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rskych</w:t>
      </w:r>
      <w:r>
        <w:rPr>
          <w:lang w:eastAsia="sk-SK"/>
        </w:rPr>
        <w:t xml:space="preserve"> a </w:t>
      </w:r>
      <w:r>
        <w:rPr>
          <w:rFonts w:hint="default"/>
          <w:lang w:eastAsia="sk-SK"/>
        </w:rPr>
        <w:t>potraviná</w:t>
      </w:r>
      <w:r>
        <w:rPr>
          <w:rFonts w:hint="default"/>
          <w:lang w:eastAsia="sk-SK"/>
        </w:rPr>
        <w:t>rskych vý</w:t>
      </w:r>
      <w:r>
        <w:rPr>
          <w:rFonts w:hint="default"/>
          <w:lang w:eastAsia="sk-SK"/>
        </w:rPr>
        <w:t>robkov) sú</w:t>
      </w:r>
      <w:r>
        <w:rPr>
          <w:rFonts w:hint="default"/>
          <w:lang w:eastAsia="sk-SK"/>
        </w:rPr>
        <w:t xml:space="preserve"> </w:t>
      </w:r>
      <w:r>
        <w:rPr>
          <w:rFonts w:hint="default"/>
          <w:lang w:eastAsia="sk-SK"/>
        </w:rPr>
        <w:t>zo strany EK stanovené</w:t>
      </w:r>
      <w:r>
        <w:rPr>
          <w:rFonts w:hint="default"/>
          <w:lang w:eastAsia="sk-SK"/>
        </w:rPr>
        <w:t xml:space="preserve"> limity na jednotlivé</w:t>
      </w:r>
      <w:r>
        <w:rPr>
          <w:rFonts w:hint="default"/>
          <w:lang w:eastAsia="sk-SK"/>
        </w:rPr>
        <w:t xml:space="preserve"> roky a </w:t>
      </w:r>
      <w:r>
        <w:rPr>
          <w:rFonts w:hint="default"/>
          <w:lang w:eastAsia="sk-SK"/>
        </w:rPr>
        <w:t>tieto boli vyč</w:t>
      </w:r>
      <w:r>
        <w:rPr>
          <w:rFonts w:hint="default"/>
          <w:lang w:eastAsia="sk-SK"/>
        </w:rPr>
        <w:t>erpané</w:t>
      </w:r>
      <w:r w:rsidR="00357428">
        <w:rPr>
          <w:lang w:eastAsia="sk-SK"/>
        </w:rPr>
        <w:t xml:space="preserve"> takmer</w:t>
      </w:r>
      <w:r>
        <w:rPr>
          <w:lang w:eastAsia="sk-SK"/>
        </w:rPr>
        <w:t xml:space="preserve"> na 100</w:t>
      </w:r>
      <w:r w:rsidR="00440106">
        <w:rPr>
          <w:lang w:eastAsia="sk-SK"/>
        </w:rPr>
        <w:t> </w:t>
      </w:r>
      <w:r w:rsidR="00440106">
        <w:rPr>
          <w:lang w:eastAsia="sk-SK"/>
        </w:rPr>
        <w:t>%</w:t>
      </w:r>
      <w:r>
        <w:rPr>
          <w:lang w:eastAsia="sk-SK"/>
        </w:rPr>
        <w:t>.</w:t>
      </w:r>
    </w:p>
    <w:p w:rsidR="002B4982" w:rsidP="002B4982">
      <w:pPr>
        <w:bidi w:val="0"/>
        <w:rPr>
          <w:b/>
          <w:bCs/>
        </w:rPr>
      </w:pPr>
      <w:r w:rsidRPr="00872A45">
        <w:t>V </w:t>
      </w:r>
      <w:r w:rsidRPr="00872A45">
        <w:rPr>
          <w:rFonts w:hint="default"/>
        </w:rPr>
        <w:t>roku 2010 bol schvá</w:t>
      </w:r>
      <w:r w:rsidRPr="00872A45">
        <w:rPr>
          <w:rFonts w:hint="default"/>
        </w:rPr>
        <w:t>lený</w:t>
      </w:r>
      <w:r w:rsidRPr="00872A45">
        <w:rPr>
          <w:rFonts w:hint="default"/>
        </w:rPr>
        <w:t xml:space="preserve"> rozpoč</w:t>
      </w:r>
      <w:r w:rsidRPr="00872A45">
        <w:rPr>
          <w:rFonts w:hint="default"/>
        </w:rPr>
        <w:t>et na TOV 35 547 </w:t>
      </w:r>
      <w:r w:rsidRPr="00872A45">
        <w:rPr>
          <w:rFonts w:hint="default"/>
        </w:rPr>
        <w:t>593 €</w:t>
      </w:r>
      <w:r w:rsidRPr="00872A45">
        <w:rPr>
          <w:rFonts w:hint="default"/>
        </w:rPr>
        <w:t xml:space="preserve"> a</w:t>
      </w:r>
      <w:r w:rsidR="00357428">
        <w:t> </w:t>
      </w:r>
      <w:r w:rsidR="00357428">
        <w:t xml:space="preserve">jeho </w:t>
      </w:r>
      <w:r w:rsidRPr="00872A45">
        <w:rPr>
          <w:rFonts w:hint="default"/>
        </w:rPr>
        <w:t>skutoč</w:t>
      </w:r>
      <w:r w:rsidRPr="00872A45">
        <w:rPr>
          <w:rFonts w:hint="default"/>
        </w:rPr>
        <w:t>né</w:t>
      </w:r>
      <w:r w:rsidRPr="00872A45">
        <w:rPr>
          <w:rFonts w:hint="default"/>
        </w:rPr>
        <w:t xml:space="preserve"> č</w:t>
      </w:r>
      <w:r w:rsidRPr="00872A45">
        <w:rPr>
          <w:rFonts w:hint="default"/>
        </w:rPr>
        <w:t>erpanie bolo 1</w:t>
      </w:r>
      <w:r w:rsidR="00594335">
        <w:t>3</w:t>
      </w:r>
      <w:r w:rsidR="00F16E41">
        <w:t> </w:t>
      </w:r>
      <w:r w:rsidR="00594335">
        <w:t>6</w:t>
      </w:r>
      <w:r w:rsidR="00F16E41">
        <w:t xml:space="preserve">37 </w:t>
      </w:r>
      <w:r w:rsidR="00594335">
        <w:t> </w:t>
      </w:r>
      <w:r w:rsidR="00594335">
        <w:t>mil. </w:t>
      </w:r>
      <w:r w:rsidRPr="00872A45">
        <w:rPr>
          <w:rFonts w:hint="default"/>
        </w:rPr>
        <w:t>€</w:t>
      </w:r>
      <w:r w:rsidRPr="00872A45">
        <w:rPr>
          <w:rFonts w:hint="default"/>
        </w:rPr>
        <w:t>, (medziroč</w:t>
      </w:r>
      <w:r w:rsidRPr="00872A45">
        <w:rPr>
          <w:rFonts w:hint="default"/>
        </w:rPr>
        <w:t>né</w:t>
      </w:r>
      <w:r w:rsidRPr="00872A45">
        <w:rPr>
          <w:rFonts w:hint="default"/>
        </w:rPr>
        <w:t xml:space="preserve"> zníž</w:t>
      </w:r>
      <w:r w:rsidRPr="00872A45">
        <w:rPr>
          <w:rFonts w:hint="default"/>
        </w:rPr>
        <w:t>enie o 65,7</w:t>
      </w:r>
      <w:r w:rsidR="00440106">
        <w:t> </w:t>
      </w:r>
      <w:r w:rsidR="00440106">
        <w:t>%</w:t>
      </w:r>
      <w:r w:rsidRPr="00872A45">
        <w:rPr>
          <w:rFonts w:hint="default"/>
        </w:rPr>
        <w:t>). Najviac sa vyč</w:t>
      </w:r>
      <w:r w:rsidRPr="00872A45">
        <w:rPr>
          <w:rFonts w:hint="default"/>
        </w:rPr>
        <w:t>erpalo na  reš</w:t>
      </w:r>
      <w:r w:rsidRPr="00872A45">
        <w:rPr>
          <w:rFonts w:hint="default"/>
        </w:rPr>
        <w:t>truk</w:t>
      </w:r>
      <w:r>
        <w:t>tu</w:t>
      </w:r>
      <w:r>
        <w:rPr>
          <w:rFonts w:hint="default"/>
        </w:rPr>
        <w:t>ralizá</w:t>
      </w:r>
      <w:r>
        <w:rPr>
          <w:rFonts w:hint="default"/>
        </w:rPr>
        <w:t>ciu vinohradov 3,93 mil.</w:t>
      </w:r>
      <w:r w:rsidRPr="00872A45">
        <w:rPr>
          <w:rFonts w:hint="default"/>
        </w:rPr>
        <w:t xml:space="preserve"> €.</w:t>
      </w:r>
      <w:r>
        <w:t xml:space="preserve"> </w:t>
      </w:r>
    </w:p>
    <w:p w:rsidR="006F451B" w:rsidP="006F451B">
      <w:pPr>
        <w:pStyle w:val="Heading2"/>
        <w:numPr>
          <w:numId w:val="10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Priame platby</w:t>
      </w:r>
    </w:p>
    <w:p w:rsidR="00201740" w:rsidP="00201740">
      <w:pPr>
        <w:bidi w:val="0"/>
        <w:rPr>
          <w:rFonts w:hint="default"/>
        </w:rPr>
      </w:pPr>
      <w:r w:rsidRPr="00DC10F3">
        <w:t>Priame platby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</w:t>
      </w:r>
      <w:r w:rsidR="00357428">
        <w:t>podpory</w:t>
      </w:r>
      <w:r>
        <w:rPr>
          <w:rFonts w:hint="default"/>
        </w:rPr>
        <w:t xml:space="preserve"> na zachovanie poľ</w:t>
      </w:r>
      <w:r>
        <w:rPr>
          <w:rFonts w:hint="default"/>
        </w:rPr>
        <w:t>nohospodá</w:t>
      </w:r>
      <w:r>
        <w:rPr>
          <w:rFonts w:hint="default"/>
        </w:rPr>
        <w:t>rskej produkcie. Tvoria veľ</w:t>
      </w:r>
      <w:r>
        <w:rPr>
          <w:rFonts w:hint="default"/>
        </w:rPr>
        <w:t>kú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vý</w:t>
      </w:r>
      <w:r>
        <w:rPr>
          <w:rFonts w:hint="default"/>
        </w:rPr>
        <w:t>davkov EÚ</w:t>
      </w:r>
      <w:r>
        <w:rPr>
          <w:rFonts w:hint="default"/>
        </w:rPr>
        <w:t xml:space="preserve"> do poľ</w:t>
      </w:r>
      <w:r>
        <w:rPr>
          <w:rFonts w:hint="default"/>
        </w:rPr>
        <w:t>nohospodá</w:t>
      </w:r>
      <w:r>
        <w:rPr>
          <w:rFonts w:hint="default"/>
        </w:rPr>
        <w:t>rstva a </w:t>
      </w:r>
      <w:r>
        <w:rPr>
          <w:rFonts w:hint="default"/>
        </w:rPr>
        <w:t>sú</w:t>
      </w:r>
      <w:r>
        <w:rPr>
          <w:rFonts w:hint="default"/>
        </w:rPr>
        <w:t xml:space="preserve"> realizované</w:t>
      </w:r>
      <w:r>
        <w:rPr>
          <w:rFonts w:hint="default"/>
        </w:rPr>
        <w:t xml:space="preserve"> prostrední</w:t>
      </w:r>
      <w:r>
        <w:rPr>
          <w:rFonts w:hint="default"/>
        </w:rPr>
        <w:t>ctvom Euró</w:t>
      </w:r>
      <w:r>
        <w:rPr>
          <w:rFonts w:hint="default"/>
        </w:rPr>
        <w:t>pskeho poľ</w:t>
      </w:r>
      <w:r>
        <w:rPr>
          <w:rFonts w:hint="default"/>
        </w:rPr>
        <w:t>nohospodá</w:t>
      </w:r>
      <w:r>
        <w:rPr>
          <w:rFonts w:hint="default"/>
        </w:rPr>
        <w:t>rskeho zá</w:t>
      </w:r>
      <w:r>
        <w:rPr>
          <w:rFonts w:hint="default"/>
        </w:rPr>
        <w:t>ruč</w:t>
      </w:r>
      <w:r>
        <w:rPr>
          <w:rFonts w:hint="default"/>
        </w:rPr>
        <w:t>né</w:t>
      </w:r>
      <w:r>
        <w:rPr>
          <w:rFonts w:hint="default"/>
        </w:rPr>
        <w:t>ho fondu (EPZF). V</w:t>
      </w:r>
      <w:r>
        <w:rPr>
          <w:rFonts w:hint="default"/>
        </w:rPr>
        <w:t>ykoná</w:t>
      </w:r>
      <w:r>
        <w:rPr>
          <w:rFonts w:hint="default"/>
        </w:rPr>
        <w:t>vajú</w:t>
      </w:r>
      <w:r>
        <w:rPr>
          <w:rFonts w:hint="default"/>
        </w:rPr>
        <w:t xml:space="preserve"> sa v </w:t>
      </w:r>
      <w:r>
        <w:rPr>
          <w:rFonts w:hint="default"/>
        </w:rPr>
        <w:t>období</w:t>
      </w:r>
      <w:r>
        <w:rPr>
          <w:rFonts w:hint="default"/>
        </w:rPr>
        <w:t xml:space="preserve"> od 1. decembra do 30. jú</w:t>
      </w:r>
      <w:r>
        <w:rPr>
          <w:rFonts w:hint="default"/>
        </w:rPr>
        <w:t>na nasledujú</w:t>
      </w:r>
      <w:r>
        <w:rPr>
          <w:rFonts w:hint="default"/>
        </w:rPr>
        <w:t>ceho roka.</w:t>
      </w:r>
    </w:p>
    <w:p w:rsidR="00201740" w:rsidP="00201740">
      <w:pPr>
        <w:bidi w:val="0"/>
        <w:rPr>
          <w:rFonts w:hint="default"/>
        </w:rPr>
      </w:pPr>
      <w:r>
        <w:rPr>
          <w:rFonts w:hint="default"/>
        </w:rPr>
        <w:t>Nariadení</w:t>
      </w:r>
      <w:r>
        <w:rPr>
          <w:rFonts w:hint="default"/>
        </w:rPr>
        <w:t>m Rady (ES) č</w:t>
      </w:r>
      <w:r>
        <w:rPr>
          <w:rFonts w:hint="default"/>
        </w:rPr>
        <w:t>. 73/2009 z </w:t>
      </w:r>
      <w:r>
        <w:rPr>
          <w:rFonts w:hint="default"/>
        </w:rPr>
        <w:t>19. januá</w:t>
      </w:r>
      <w:r>
        <w:rPr>
          <w:rFonts w:hint="default"/>
        </w:rPr>
        <w:t>ra 2009 boli stanovené</w:t>
      </w:r>
      <w:r>
        <w:rPr>
          <w:rFonts w:hint="default"/>
        </w:rPr>
        <w:t xml:space="preserve"> rozpoč</w:t>
      </w:r>
      <w:r>
        <w:rPr>
          <w:rFonts w:hint="default"/>
        </w:rPr>
        <w:t>tové</w:t>
      </w:r>
      <w:r>
        <w:rPr>
          <w:rFonts w:hint="default"/>
        </w:rPr>
        <w:t xml:space="preserve"> stropy pre priame platby na rok</w:t>
      </w:r>
      <w:r w:rsidR="001313AD">
        <w:t xml:space="preserve">y </w:t>
      </w:r>
      <w:r>
        <w:t>20</w:t>
      </w:r>
      <w:r w:rsidR="001313AD">
        <w:t>09 - 2015</w:t>
      </w:r>
      <w:r>
        <w:rPr>
          <w:rFonts w:hint="default"/>
        </w:rPr>
        <w:t>. Slovenská</w:t>
      </w:r>
      <w:r>
        <w:rPr>
          <w:rFonts w:hint="default"/>
        </w:rPr>
        <w:t xml:space="preserve"> republika pre rok 2010 pož</w:t>
      </w:r>
      <w:r>
        <w:rPr>
          <w:rFonts w:hint="default"/>
        </w:rPr>
        <w:t>iadala o zmenu rozhodnutia n</w:t>
      </w:r>
      <w:r>
        <w:rPr>
          <w:rFonts w:hint="default"/>
        </w:rPr>
        <w:t>a uplatnenie osobitnej platby na cukor v 50</w:t>
      </w:r>
      <w:r w:rsidR="00440106">
        <w:t> </w:t>
      </w:r>
      <w:r w:rsidR="00440106">
        <w:t>%</w:t>
      </w:r>
      <w:r>
        <w:rPr>
          <w:rFonts w:hint="default"/>
        </w:rPr>
        <w:t xml:space="preserve"> výš</w:t>
      </w:r>
      <w:r>
        <w:rPr>
          <w:rFonts w:hint="default"/>
        </w:rPr>
        <w:t>ke pô</w:t>
      </w:r>
      <w:r>
        <w:rPr>
          <w:rFonts w:hint="default"/>
        </w:rPr>
        <w:t>vodne stanovenej sumy a</w:t>
      </w:r>
      <w:r w:rsidR="00357428">
        <w:t> </w:t>
      </w:r>
      <w:r w:rsidR="00357428">
        <w:rPr>
          <w:rFonts w:hint="default"/>
        </w:rPr>
        <w:t>prevedenie zvyš</w:t>
      </w:r>
      <w:r w:rsidR="00357428">
        <w:rPr>
          <w:rFonts w:hint="default"/>
        </w:rPr>
        <w:t>nej sumy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>ch prostriedkov do rež</w:t>
      </w:r>
      <w:r>
        <w:rPr>
          <w:rFonts w:hint="default"/>
        </w:rPr>
        <w:t>imu SAPS. Dň</w:t>
      </w:r>
      <w:r>
        <w:rPr>
          <w:rFonts w:hint="default"/>
        </w:rPr>
        <w:t>a 18. augusta 2010 bolo schvá</w:t>
      </w:r>
      <w:r>
        <w:rPr>
          <w:rFonts w:hint="default"/>
        </w:rPr>
        <w:t>lené</w:t>
      </w:r>
      <w:r>
        <w:rPr>
          <w:rFonts w:hint="default"/>
        </w:rPr>
        <w:t xml:space="preserve"> nariadenie Komisie (EÚ</w:t>
      </w:r>
      <w:r>
        <w:rPr>
          <w:rFonts w:hint="default"/>
        </w:rPr>
        <w:t>) č</w:t>
      </w:r>
      <w:r>
        <w:rPr>
          <w:rFonts w:hint="default"/>
        </w:rPr>
        <w:t>. 745/2010, ktorý</w:t>
      </w:r>
      <w:r>
        <w:rPr>
          <w:rFonts w:hint="default"/>
        </w:rPr>
        <w:t>m sa mení</w:t>
      </w:r>
      <w:r>
        <w:rPr>
          <w:rFonts w:hint="default"/>
        </w:rPr>
        <w:t xml:space="preserve"> a </w:t>
      </w:r>
      <w:r>
        <w:rPr>
          <w:rFonts w:hint="default"/>
        </w:rPr>
        <w:t>dopĺň</w:t>
      </w:r>
      <w:r>
        <w:rPr>
          <w:rFonts w:hint="default"/>
        </w:rPr>
        <w:t>a nariadenie Rady č</w:t>
      </w:r>
      <w:r>
        <w:rPr>
          <w:rFonts w:hint="default"/>
        </w:rPr>
        <w:t>. 73/2009 a </w:t>
      </w:r>
      <w:r>
        <w:rPr>
          <w:rFonts w:hint="default"/>
        </w:rPr>
        <w:t>ktorý</w:t>
      </w:r>
      <w:r>
        <w:rPr>
          <w:rFonts w:hint="default"/>
        </w:rPr>
        <w:t>m sa na rok 2010 stanovujú</w:t>
      </w:r>
      <w:r>
        <w:rPr>
          <w:rFonts w:hint="default"/>
        </w:rPr>
        <w:t xml:space="preserve"> roč</w:t>
      </w:r>
      <w:r>
        <w:rPr>
          <w:rFonts w:hint="default"/>
        </w:rPr>
        <w:t>né</w:t>
      </w:r>
      <w:r>
        <w:rPr>
          <w:rFonts w:hint="default"/>
        </w:rPr>
        <w:t xml:space="preserve"> finanč</w:t>
      </w:r>
      <w:r>
        <w:rPr>
          <w:rFonts w:hint="default"/>
        </w:rPr>
        <w:t>né</w:t>
      </w:r>
      <w:r>
        <w:rPr>
          <w:rFonts w:hint="default"/>
        </w:rPr>
        <w:t xml:space="preserve"> rá</w:t>
      </w:r>
      <w:r>
        <w:rPr>
          <w:rFonts w:hint="default"/>
        </w:rPr>
        <w:t>mce pre rež</w:t>
      </w:r>
      <w:r>
        <w:rPr>
          <w:rFonts w:hint="default"/>
        </w:rPr>
        <w:t>im jednotnej platby na plochu a </w:t>
      </w:r>
      <w:r>
        <w:rPr>
          <w:rFonts w:hint="default"/>
        </w:rPr>
        <w:t>rozpoč</w:t>
      </w:r>
      <w:r>
        <w:rPr>
          <w:rFonts w:hint="default"/>
        </w:rPr>
        <w:t>tové</w:t>
      </w:r>
      <w:r>
        <w:rPr>
          <w:rFonts w:hint="default"/>
        </w:rPr>
        <w:t xml:space="preserve"> stropy uplatniteľ</w:t>
      </w:r>
      <w:r>
        <w:rPr>
          <w:rFonts w:hint="default"/>
        </w:rPr>
        <w:t>né</w:t>
      </w:r>
      <w:r>
        <w:rPr>
          <w:rFonts w:hint="default"/>
        </w:rPr>
        <w:t xml:space="preserve"> pre osobitnú</w:t>
      </w:r>
      <w:r>
        <w:rPr>
          <w:rFonts w:hint="default"/>
        </w:rPr>
        <w:t xml:space="preserve"> platbu na cukor a </w:t>
      </w:r>
      <w:r>
        <w:rPr>
          <w:rFonts w:hint="default"/>
        </w:rPr>
        <w:t>prechodné</w:t>
      </w:r>
      <w:r>
        <w:rPr>
          <w:rFonts w:hint="default"/>
        </w:rPr>
        <w:t xml:space="preserve"> platby na ovocie a zeleninu a </w:t>
      </w:r>
      <w:r>
        <w:rPr>
          <w:rFonts w:hint="default"/>
        </w:rPr>
        <w:t>na poskytovanie osobitnej podpory ustanovené</w:t>
      </w:r>
      <w:r>
        <w:rPr>
          <w:rFonts w:hint="default"/>
        </w:rPr>
        <w:t xml:space="preserve"> v na</w:t>
      </w:r>
      <w:r>
        <w:rPr>
          <w:rFonts w:hint="default"/>
        </w:rPr>
        <w:t>r</w:t>
      </w:r>
      <w:r>
        <w:rPr>
          <w:rFonts w:hint="default"/>
        </w:rPr>
        <w:t>iadení</w:t>
      </w:r>
      <w:r>
        <w:rPr>
          <w:rFonts w:hint="default"/>
        </w:rPr>
        <w:t xml:space="preserve"> (ES) č</w:t>
      </w:r>
      <w:r>
        <w:rPr>
          <w:rFonts w:hint="default"/>
        </w:rPr>
        <w:t>. 73/2009.</w:t>
      </w:r>
    </w:p>
    <w:p w:rsidR="00201740" w:rsidRPr="002D387F" w:rsidP="00201740">
      <w:pPr>
        <w:bidi w:val="0"/>
        <w:rPr>
          <w:color w:val="B2A1C7"/>
        </w:rPr>
      </w:pPr>
      <w:r>
        <w:rPr>
          <w:rFonts w:hint="default"/>
        </w:rPr>
        <w:t xml:space="preserve">V roku 2010 bol </w:t>
      </w:r>
      <w:r w:rsidR="00357428">
        <w:rPr>
          <w:rFonts w:hint="default"/>
        </w:rPr>
        <w:t>stanovený</w:t>
      </w:r>
      <w:r w:rsidR="00357428">
        <w:rPr>
          <w:rFonts w:hint="default"/>
        </w:rPr>
        <w:t xml:space="preserve"> </w:t>
      </w:r>
      <w:r>
        <w:rPr>
          <w:rFonts w:hint="default"/>
        </w:rPr>
        <w:t>rozpoč</w:t>
      </w:r>
      <w:r>
        <w:rPr>
          <w:rFonts w:hint="default"/>
        </w:rPr>
        <w:t>et na priame platby vo výš</w:t>
      </w:r>
      <w:r>
        <w:rPr>
          <w:rFonts w:hint="default"/>
        </w:rPr>
        <w:t>ke 70</w:t>
      </w:r>
      <w:r w:rsidR="00440106">
        <w:t> </w:t>
      </w:r>
      <w:r w:rsidR="00440106">
        <w:t>%</w:t>
      </w:r>
      <w:r>
        <w:rPr>
          <w:rFonts w:hint="default"/>
        </w:rPr>
        <w:t xml:space="preserve"> priemeru krají</w:t>
      </w:r>
      <w:r>
        <w:rPr>
          <w:rFonts w:hint="default"/>
        </w:rPr>
        <w:t>n EÚ</w:t>
      </w:r>
      <w:r w:rsidR="001F15AB">
        <w:t>-15</w:t>
      </w:r>
      <w:r>
        <w:t>. V </w:t>
      </w:r>
      <w:r>
        <w:rPr>
          <w:rFonts w:hint="default"/>
        </w:rPr>
        <w:t>schvá</w:t>
      </w:r>
      <w:r>
        <w:rPr>
          <w:rFonts w:hint="default"/>
        </w:rPr>
        <w:t>lenom rozpoč</w:t>
      </w:r>
      <w:r>
        <w:rPr>
          <w:rFonts w:hint="default"/>
        </w:rPr>
        <w:t>te boli na ná</w:t>
      </w:r>
      <w:r>
        <w:rPr>
          <w:rFonts w:hint="default"/>
        </w:rPr>
        <w:t>rodnú</w:t>
      </w:r>
      <w:r>
        <w:rPr>
          <w:rFonts w:hint="default"/>
        </w:rPr>
        <w:t xml:space="preserve"> vyrovná</w:t>
      </w:r>
      <w:r>
        <w:rPr>
          <w:rFonts w:hint="default"/>
        </w:rPr>
        <w:t>vaciu platbu vyč</w:t>
      </w:r>
      <w:r>
        <w:rPr>
          <w:rFonts w:hint="default"/>
        </w:rPr>
        <w:t>lenené</w:t>
      </w:r>
      <w:r>
        <w:rPr>
          <w:rFonts w:hint="default"/>
        </w:rPr>
        <w:t xml:space="preserve"> prostriedky vo výš</w:t>
      </w:r>
      <w:r>
        <w:rPr>
          <w:rFonts w:hint="default"/>
        </w:rPr>
        <w:t>ke 20</w:t>
      </w:r>
      <w:r w:rsidR="00440106">
        <w:t> </w:t>
      </w:r>
      <w:r w:rsidR="00440106">
        <w:t>%</w:t>
      </w:r>
      <w:r>
        <w:rPr>
          <w:rFonts w:hint="default"/>
        </w:rPr>
        <w:t xml:space="preserve"> (na rozdiel od mož</w:t>
      </w:r>
      <w:r>
        <w:rPr>
          <w:rFonts w:hint="default"/>
        </w:rPr>
        <w:t>ný</w:t>
      </w:r>
      <w:r>
        <w:rPr>
          <w:rFonts w:hint="default"/>
        </w:rPr>
        <w:t>ch 30</w:t>
      </w:r>
      <w:r w:rsidR="00440106">
        <w:t> </w:t>
      </w:r>
      <w:r w:rsidR="00440106">
        <w:t>%</w:t>
      </w:r>
      <w:r>
        <w:t xml:space="preserve">) a tak priame platby </w:t>
      </w:r>
      <w:r>
        <w:rPr>
          <w:rFonts w:hint="default"/>
        </w:rPr>
        <w:t>spolu boli realizované</w:t>
      </w:r>
      <w:r>
        <w:rPr>
          <w:rFonts w:hint="default"/>
        </w:rPr>
        <w:t xml:space="preserve"> do výš</w:t>
      </w:r>
      <w:r>
        <w:rPr>
          <w:rFonts w:hint="default"/>
        </w:rPr>
        <w:t>ky 90</w:t>
      </w:r>
      <w:r w:rsidR="00440106">
        <w:t> </w:t>
      </w:r>
      <w:r w:rsidR="00440106">
        <w:t>%</w:t>
      </w:r>
      <w:r>
        <w:rPr>
          <w:rFonts w:hint="default"/>
        </w:rPr>
        <w:t xml:space="preserve"> priemeru krají</w:t>
      </w:r>
      <w:r>
        <w:rPr>
          <w:rFonts w:hint="default"/>
        </w:rPr>
        <w:t>n EÚ</w:t>
      </w:r>
      <w:r w:rsidR="001F15AB">
        <w:t>-15</w:t>
      </w:r>
      <w:r>
        <w:rPr>
          <w:rFonts w:hint="default"/>
        </w:rPr>
        <w:t>. Upravený</w:t>
      </w:r>
      <w:r>
        <w:rPr>
          <w:rFonts w:hint="default"/>
        </w:rPr>
        <w:t xml:space="preserve"> rozpoč</w:t>
      </w:r>
      <w:r>
        <w:rPr>
          <w:rFonts w:hint="default"/>
        </w:rPr>
        <w:t xml:space="preserve">et ovplyvnili aj prostriedky </w:t>
      </w:r>
      <w:r w:rsidR="00357428">
        <w:rPr>
          <w:rFonts w:hint="default"/>
        </w:rPr>
        <w:t>prevedené</w:t>
      </w:r>
      <w:r>
        <w:t xml:space="preserve"> z roku 2009 a prevod prostriedkov do roku 2011.</w:t>
      </w:r>
    </w:p>
    <w:p w:rsidR="00201740" w:rsidRPr="002D387F" w:rsidP="00201740">
      <w:pPr>
        <w:bidi w:val="0"/>
        <w:rPr>
          <w:rFonts w:hint="default"/>
        </w:rPr>
      </w:pPr>
      <w:r w:rsidRPr="002D387F">
        <w:t xml:space="preserve">V roku 2010 </w:t>
      </w:r>
      <w:r>
        <w:t xml:space="preserve">bol </w:t>
      </w:r>
      <w:r w:rsidRPr="002D387F">
        <w:rPr>
          <w:rFonts w:hint="default"/>
        </w:rPr>
        <w:t>schvá</w:t>
      </w:r>
      <w:r w:rsidRPr="002D387F">
        <w:rPr>
          <w:rFonts w:hint="default"/>
        </w:rPr>
        <w:t>le</w:t>
      </w:r>
      <w:r>
        <w:rPr>
          <w:rFonts w:hint="default"/>
        </w:rPr>
        <w:t>ný</w:t>
      </w:r>
      <w:r>
        <w:rPr>
          <w:rFonts w:hint="default"/>
        </w:rPr>
        <w:t xml:space="preserve"> rozpoč</w:t>
      </w:r>
      <w:r>
        <w:rPr>
          <w:rFonts w:hint="default"/>
        </w:rPr>
        <w:t xml:space="preserve">et na priame platby </w:t>
      </w:r>
      <w:r w:rsidRPr="002D387F">
        <w:rPr>
          <w:rFonts w:hint="default"/>
        </w:rPr>
        <w:t>360,4 mil. €</w:t>
      </w:r>
      <w:r w:rsidRPr="002D387F">
        <w:rPr>
          <w:rFonts w:hint="default"/>
        </w:rPr>
        <w:t>, č</w:t>
      </w:r>
      <w:r w:rsidRPr="002D387F">
        <w:rPr>
          <w:rFonts w:hint="default"/>
        </w:rPr>
        <w:t>erpanie k 31.12.2010 bolo 3</w:t>
      </w:r>
      <w:r w:rsidRPr="002D387F">
        <w:rPr>
          <w:rFonts w:hint="default"/>
        </w:rPr>
        <w:t>37,6 mil. €</w:t>
      </w:r>
      <w:r w:rsidRPr="002D387F">
        <w:rPr>
          <w:rFonts w:hint="default"/>
        </w:rPr>
        <w:t xml:space="preserve">  ( o </w:t>
      </w:r>
      <w:r w:rsidRPr="002D387F">
        <w:rPr>
          <w:rFonts w:hint="default"/>
        </w:rPr>
        <w:t>26,5 mil. €</w:t>
      </w:r>
      <w:r w:rsidRPr="002D387F">
        <w:rPr>
          <w:rFonts w:hint="default"/>
        </w:rPr>
        <w:t xml:space="preserve"> menej ako v roku 2009).</w:t>
      </w:r>
    </w:p>
    <w:p w:rsidR="00201740" w:rsidRPr="00357428" w:rsidP="00357428">
      <w:pPr>
        <w:bidi w:val="0"/>
      </w:pPr>
      <w:r w:rsidR="00357428">
        <w:t>PPA</w:t>
      </w:r>
      <w:r w:rsidRPr="002D387F">
        <w:rPr>
          <w:rFonts w:hint="default"/>
        </w:rPr>
        <w:t xml:space="preserve"> ako orgá</w:t>
      </w:r>
      <w:r w:rsidRPr="002D387F">
        <w:rPr>
          <w:rFonts w:hint="default"/>
        </w:rPr>
        <w:t>n š</w:t>
      </w:r>
      <w:r w:rsidRPr="002D387F">
        <w:rPr>
          <w:rFonts w:hint="default"/>
        </w:rPr>
        <w:t>tá</w:t>
      </w:r>
      <w:r w:rsidRPr="002D387F">
        <w:rPr>
          <w:rFonts w:hint="default"/>
        </w:rPr>
        <w:t>tnej sprá</w:t>
      </w:r>
      <w:r w:rsidRPr="002D387F">
        <w:rPr>
          <w:rFonts w:hint="default"/>
        </w:rPr>
        <w:t>vy zabezpeč</w:t>
      </w:r>
      <w:r w:rsidRPr="002D387F">
        <w:rPr>
          <w:rFonts w:hint="default"/>
        </w:rPr>
        <w:t>ujú</w:t>
      </w:r>
      <w:r w:rsidRPr="002D387F">
        <w:rPr>
          <w:rFonts w:hint="default"/>
        </w:rPr>
        <w:t>ci administratí</w:t>
      </w:r>
      <w:r w:rsidRPr="002D387F">
        <w:rPr>
          <w:rFonts w:hint="default"/>
        </w:rPr>
        <w:t>vne č</w:t>
      </w:r>
      <w:r w:rsidRPr="002D387F">
        <w:rPr>
          <w:rFonts w:hint="default"/>
        </w:rPr>
        <w:t>innosti sú</w:t>
      </w:r>
      <w:r w:rsidRPr="002D387F">
        <w:rPr>
          <w:rFonts w:hint="default"/>
        </w:rPr>
        <w:t>visiace s finanč</w:t>
      </w:r>
      <w:r w:rsidRPr="002D387F">
        <w:rPr>
          <w:rFonts w:hint="default"/>
        </w:rPr>
        <w:t>ný</w:t>
      </w:r>
      <w:r w:rsidRPr="002D387F">
        <w:rPr>
          <w:rFonts w:hint="default"/>
        </w:rPr>
        <w:t>mi prostriedkami z fondov Euró</w:t>
      </w:r>
      <w:r w:rsidRPr="002D387F">
        <w:rPr>
          <w:rFonts w:hint="default"/>
        </w:rPr>
        <w:t>pskej ú</w:t>
      </w:r>
      <w:r w:rsidRPr="002D387F">
        <w:rPr>
          <w:rFonts w:hint="default"/>
        </w:rPr>
        <w:t>nie a s finanč</w:t>
      </w:r>
      <w:r w:rsidRPr="002D387F">
        <w:rPr>
          <w:rFonts w:hint="default"/>
        </w:rPr>
        <w:t>ný</w:t>
      </w:r>
      <w:r w:rsidRPr="002D387F">
        <w:rPr>
          <w:rFonts w:hint="default"/>
        </w:rPr>
        <w:t>mi prostriedkami š</w:t>
      </w:r>
      <w:r w:rsidRPr="002D387F">
        <w:rPr>
          <w:rFonts w:hint="default"/>
        </w:rPr>
        <w:t>tá</w:t>
      </w:r>
      <w:r w:rsidRPr="002D387F">
        <w:rPr>
          <w:rFonts w:hint="default"/>
        </w:rPr>
        <w:t>tneho rozpoč</w:t>
      </w:r>
      <w:r w:rsidRPr="002D387F">
        <w:rPr>
          <w:rFonts w:hint="default"/>
        </w:rPr>
        <w:t>tu</w:t>
      </w:r>
      <w:r w:rsidR="00357428">
        <w:t xml:space="preserve"> SR</w:t>
      </w:r>
      <w:r w:rsidRPr="002D387F">
        <w:rPr>
          <w:rFonts w:hint="default"/>
        </w:rPr>
        <w:t>, smerujú</w:t>
      </w:r>
      <w:r w:rsidRPr="002D387F">
        <w:rPr>
          <w:rFonts w:hint="default"/>
        </w:rPr>
        <w:t xml:space="preserve">cich do oblasti </w:t>
      </w:r>
      <w:r w:rsidRPr="002D387F">
        <w:rPr>
          <w:rFonts w:hint="default"/>
        </w:rPr>
        <w:t>pô</w:t>
      </w:r>
      <w:r w:rsidRPr="002D387F">
        <w:rPr>
          <w:rFonts w:hint="default"/>
        </w:rPr>
        <w:t>dohospodá</w:t>
      </w:r>
      <w:r w:rsidRPr="002D387F">
        <w:rPr>
          <w:rFonts w:hint="default"/>
        </w:rPr>
        <w:t xml:space="preserve">rstva a rozvoja vidieka </w:t>
      </w:r>
      <w:r w:rsidRPr="00357428">
        <w:t>oznamuje a </w:t>
      </w:r>
      <w:r w:rsidRPr="00357428">
        <w:rPr>
          <w:rFonts w:hint="default"/>
        </w:rPr>
        <w:t>vyplá</w:t>
      </w:r>
      <w:r w:rsidRPr="00357428">
        <w:rPr>
          <w:rFonts w:hint="default"/>
        </w:rPr>
        <w:t>ca kaž</w:t>
      </w:r>
      <w:r w:rsidRPr="00357428">
        <w:rPr>
          <w:rFonts w:hint="default"/>
        </w:rPr>
        <w:t>doroč</w:t>
      </w:r>
      <w:r w:rsidRPr="00357428">
        <w:rPr>
          <w:rFonts w:hint="default"/>
        </w:rPr>
        <w:t xml:space="preserve">ne </w:t>
      </w:r>
      <w:r w:rsidRPr="002D387F">
        <w:rPr>
          <w:rFonts w:hint="default"/>
        </w:rPr>
        <w:t>zá</w:t>
      </w:r>
      <w:r w:rsidRPr="002D387F">
        <w:rPr>
          <w:rFonts w:hint="default"/>
        </w:rPr>
        <w:t>ujemcom podpory formou:</w:t>
      </w:r>
    </w:p>
    <w:p w:rsidR="00201740" w:rsidRPr="002D387F" w:rsidP="00201740">
      <w:pPr>
        <w:numPr>
          <w:numId w:val="25"/>
        </w:numPr>
        <w:bidi w:val="0"/>
        <w:spacing w:after="0"/>
        <w:jc w:val="left"/>
      </w:pPr>
      <w:r w:rsidRPr="002D387F">
        <w:t>jednotnej platby na plochu (SAPS),</w:t>
      </w:r>
    </w:p>
    <w:p w:rsidR="00201740" w:rsidRPr="002D387F" w:rsidP="00201740">
      <w:pPr>
        <w:numPr>
          <w:numId w:val="25"/>
        </w:numPr>
        <w:bidi w:val="0"/>
        <w:spacing w:after="0"/>
        <w:jc w:val="left"/>
        <w:rPr>
          <w:rFonts w:hint="default"/>
        </w:rPr>
      </w:pPr>
      <w:r w:rsidRPr="002D387F">
        <w:rPr>
          <w:rFonts w:hint="default"/>
        </w:rPr>
        <w:t>doplnkový</w:t>
      </w:r>
      <w:r w:rsidRPr="002D387F">
        <w:rPr>
          <w:rFonts w:hint="default"/>
        </w:rPr>
        <w:t>ch ná</w:t>
      </w:r>
      <w:r w:rsidRPr="002D387F">
        <w:rPr>
          <w:rFonts w:hint="default"/>
        </w:rPr>
        <w:t>rodný</w:t>
      </w:r>
      <w:r w:rsidRPr="002D387F">
        <w:rPr>
          <w:rFonts w:hint="default"/>
        </w:rPr>
        <w:t>ch priamych platieb,</w:t>
      </w:r>
    </w:p>
    <w:p w:rsidR="00201740" w:rsidRPr="002D387F" w:rsidP="00201740">
      <w:pPr>
        <w:numPr>
          <w:numId w:val="25"/>
        </w:numPr>
        <w:bidi w:val="0"/>
        <w:spacing w:after="0"/>
        <w:jc w:val="left"/>
        <w:rPr>
          <w:rFonts w:hint="default"/>
        </w:rPr>
      </w:pPr>
      <w:r w:rsidRPr="002D387F">
        <w:rPr>
          <w:rFonts w:hint="default"/>
        </w:rPr>
        <w:t>osobitnej platby na cukor,</w:t>
      </w:r>
    </w:p>
    <w:p w:rsidR="00201740" w:rsidP="00201740">
      <w:pPr>
        <w:numPr>
          <w:numId w:val="25"/>
        </w:numPr>
        <w:bidi w:val="0"/>
        <w:spacing w:after="0"/>
        <w:jc w:val="left"/>
      </w:pPr>
      <w:r w:rsidR="00357428">
        <w:t>platby</w:t>
      </w:r>
      <w:r w:rsidRPr="002D387F">
        <w:rPr>
          <w:rFonts w:hint="default"/>
        </w:rPr>
        <w:t xml:space="preserve"> na pestovanie energetický</w:t>
      </w:r>
      <w:r w:rsidRPr="002D387F">
        <w:rPr>
          <w:rFonts w:hint="default"/>
        </w:rPr>
        <w:t>ch plodí</w:t>
      </w:r>
      <w:r w:rsidRPr="002D387F">
        <w:rPr>
          <w:rFonts w:hint="default"/>
        </w:rPr>
        <w:t xml:space="preserve">n (od roku 2010 </w:t>
      </w:r>
      <w:r w:rsidR="001313AD">
        <w:t xml:space="preserve">boli </w:t>
      </w:r>
      <w:r w:rsidRPr="002D387F">
        <w:t>pl</w:t>
      </w:r>
      <w:r w:rsidRPr="002D387F">
        <w:t>atb</w:t>
      </w:r>
      <w:r w:rsidR="001313AD">
        <w:rPr>
          <w:rFonts w:hint="default"/>
        </w:rPr>
        <w:t>y na energetické</w:t>
      </w:r>
      <w:r w:rsidR="001313AD">
        <w:rPr>
          <w:rFonts w:hint="default"/>
        </w:rPr>
        <w:t xml:space="preserve"> plodiny zruš</w:t>
      </w:r>
      <w:r w:rsidR="001313AD">
        <w:rPr>
          <w:rFonts w:hint="default"/>
        </w:rPr>
        <w:t>ené</w:t>
      </w:r>
      <w:r w:rsidR="001313AD">
        <w:rPr>
          <w:rFonts w:hint="default"/>
        </w:rPr>
        <w:t>)</w:t>
      </w:r>
      <w:r>
        <w:t>,</w:t>
      </w:r>
    </w:p>
    <w:p w:rsidR="00201740" w:rsidRPr="002D387F" w:rsidP="00357428">
      <w:pPr>
        <w:numPr>
          <w:numId w:val="25"/>
        </w:numPr>
        <w:bidi w:val="0"/>
        <w:spacing w:after="0"/>
        <w:jc w:val="left"/>
      </w:pPr>
      <w:r w:rsidRPr="00357428">
        <w:t>osobitnej</w:t>
      </w:r>
      <w:r>
        <w:rPr>
          <w:bCs/>
        </w:rPr>
        <w:t xml:space="preserve"> platby na ovocie a zeleninu,</w:t>
      </w:r>
    </w:p>
    <w:p w:rsidR="00201740" w:rsidRPr="002D387F" w:rsidP="00201740">
      <w:pPr>
        <w:numPr>
          <w:numId w:val="25"/>
        </w:numPr>
        <w:bidi w:val="0"/>
        <w:spacing w:after="0"/>
        <w:jc w:val="left"/>
      </w:pPr>
      <w:r>
        <w:rPr>
          <w:bCs/>
        </w:rPr>
        <w:t xml:space="preserve"> </w:t>
      </w:r>
      <w:r w:rsidRPr="002D387F">
        <w:rPr>
          <w:rFonts w:hint="default"/>
          <w:bCs/>
        </w:rPr>
        <w:t>prechodnej platby na rajč</w:t>
      </w:r>
      <w:r w:rsidRPr="002D387F">
        <w:rPr>
          <w:rFonts w:hint="default"/>
          <w:bCs/>
        </w:rPr>
        <w:t>iaky</w:t>
      </w:r>
      <w:r>
        <w:rPr>
          <w:rFonts w:hint="default"/>
          <w:bCs/>
        </w:rPr>
        <w:t xml:space="preserve"> (v roku 2010 tá</w:t>
      </w:r>
      <w:r>
        <w:rPr>
          <w:rFonts w:hint="default"/>
          <w:bCs/>
        </w:rPr>
        <w:t>to platba nebola realizovaná</w:t>
      </w:r>
      <w:r>
        <w:rPr>
          <w:rFonts w:hint="default"/>
          <w:bCs/>
        </w:rPr>
        <w:t>).</w:t>
      </w:r>
    </w:p>
    <w:p w:rsidR="00201740" w:rsidRPr="002D387F" w:rsidP="00201740">
      <w:pPr>
        <w:bidi w:val="0"/>
        <w:spacing w:after="0"/>
        <w:ind w:firstLine="0"/>
        <w:jc w:val="left"/>
      </w:pPr>
    </w:p>
    <w:p w:rsidR="00506BB1" w:rsidRPr="00506BB1" w:rsidP="00506BB1">
      <w:pPr>
        <w:bidi w:val="0"/>
        <w:ind w:firstLine="708"/>
      </w:pPr>
      <w:r w:rsidRPr="002D387F" w:rsidR="00201740">
        <w:rPr>
          <w:rFonts w:hint="default"/>
        </w:rPr>
        <w:t>Najväčší</w:t>
      </w:r>
      <w:r w:rsidRPr="002D387F" w:rsidR="00201740">
        <w:rPr>
          <w:rFonts w:hint="default"/>
        </w:rPr>
        <w:t xml:space="preserve"> objem bol v </w:t>
      </w:r>
      <w:r w:rsidRPr="002D387F" w:rsidR="00201740">
        <w:rPr>
          <w:rFonts w:hint="default"/>
        </w:rPr>
        <w:t>roku 2010 vyplatený</w:t>
      </w:r>
      <w:r w:rsidRPr="002D387F" w:rsidR="00201740">
        <w:rPr>
          <w:rFonts w:hint="default"/>
        </w:rPr>
        <w:t xml:space="preserve"> na platby SAPS. </w:t>
      </w:r>
      <w:r w:rsidR="001313AD">
        <w:t>Z toho , v </w:t>
      </w:r>
      <w:r w:rsidR="001313AD">
        <w:rPr>
          <w:rFonts w:hint="default"/>
        </w:rPr>
        <w:t>nadvä</w:t>
      </w:r>
      <w:r w:rsidR="001313AD">
        <w:rPr>
          <w:rFonts w:hint="default"/>
        </w:rPr>
        <w:t>znosti na č</w:t>
      </w:r>
      <w:r w:rsidR="001313AD">
        <w:rPr>
          <w:rFonts w:hint="default"/>
        </w:rPr>
        <w:t>l</w:t>
      </w:r>
      <w:r w:rsidRPr="002D387F" w:rsidR="00201740">
        <w:rPr>
          <w:rFonts w:hint="default"/>
        </w:rPr>
        <w:t>. 68 ods. 1 pí</w:t>
      </w:r>
      <w:r w:rsidRPr="002D387F" w:rsidR="00201740">
        <w:rPr>
          <w:rFonts w:hint="default"/>
        </w:rPr>
        <w:t>sm</w:t>
      </w:r>
      <w:r w:rsidRPr="002D387F" w:rsidR="00201740">
        <w:rPr>
          <w:rFonts w:hint="default"/>
        </w:rPr>
        <w:t xml:space="preserve">. </w:t>
      </w:r>
      <w:r w:rsidR="001313AD">
        <w:t>b</w:t>
      </w:r>
      <w:r w:rsidRPr="002D387F" w:rsidR="00201740">
        <w:rPr>
          <w:rFonts w:hint="default"/>
        </w:rPr>
        <w:t>) nariadenia Rady (ES) č</w:t>
      </w:r>
      <w:r w:rsidRPr="002D387F" w:rsidR="00201740">
        <w:rPr>
          <w:rFonts w:hint="default"/>
        </w:rPr>
        <w:t>. 73/2009 boli realizované</w:t>
      </w:r>
      <w:r w:rsidRPr="002D387F" w:rsidR="00201740">
        <w:rPr>
          <w:rFonts w:hint="default"/>
        </w:rPr>
        <w:t xml:space="preserve"> platby na dojnicu vo výš</w:t>
      </w:r>
      <w:r w:rsidRPr="002D387F" w:rsidR="00201740">
        <w:rPr>
          <w:rFonts w:hint="default"/>
        </w:rPr>
        <w:t>ke 7,43 mil. €</w:t>
      </w:r>
      <w:r w:rsidRPr="002D387F" w:rsidR="00201740">
        <w:rPr>
          <w:rFonts w:hint="default"/>
        </w:rPr>
        <w:t xml:space="preserve"> na rieš</w:t>
      </w:r>
      <w:r w:rsidRPr="002D387F" w:rsidR="00201740">
        <w:rPr>
          <w:rFonts w:hint="default"/>
        </w:rPr>
        <w:t>enie š</w:t>
      </w:r>
      <w:r w:rsidRPr="002D387F" w:rsidR="00201740">
        <w:rPr>
          <w:rFonts w:hint="default"/>
        </w:rPr>
        <w:t>pecifický</w:t>
      </w:r>
      <w:r w:rsidRPr="002D387F" w:rsidR="00201740">
        <w:rPr>
          <w:rFonts w:hint="default"/>
        </w:rPr>
        <w:t>ch nevý</w:t>
      </w:r>
      <w:r w:rsidRPr="002D387F" w:rsidR="00201740">
        <w:rPr>
          <w:rFonts w:hint="default"/>
        </w:rPr>
        <w:t>hod v </w:t>
      </w:r>
      <w:r w:rsidRPr="002D387F" w:rsidR="00201740">
        <w:rPr>
          <w:rFonts w:hint="default"/>
        </w:rPr>
        <w:t>sektore mlieka postihujú</w:t>
      </w:r>
      <w:r w:rsidRPr="002D387F" w:rsidR="00201740">
        <w:rPr>
          <w:rFonts w:hint="default"/>
        </w:rPr>
        <w:t>cich subjekty hospodá</w:t>
      </w:r>
      <w:r w:rsidRPr="002D387F" w:rsidR="00201740">
        <w:rPr>
          <w:rFonts w:hint="default"/>
        </w:rPr>
        <w:t>riace v </w:t>
      </w:r>
      <w:r w:rsidRPr="002D387F" w:rsidR="00201740">
        <w:rPr>
          <w:rFonts w:hint="default"/>
        </w:rPr>
        <w:t>znevý</w:t>
      </w:r>
      <w:r w:rsidRPr="002D387F" w:rsidR="00201740">
        <w:rPr>
          <w:rFonts w:hint="default"/>
        </w:rPr>
        <w:t>hodnený</w:t>
      </w:r>
      <w:r w:rsidRPr="002D387F" w:rsidR="00201740">
        <w:rPr>
          <w:rFonts w:hint="default"/>
        </w:rPr>
        <w:t>ch alebo zraniteľ</w:t>
      </w:r>
      <w:r w:rsidRPr="002D387F" w:rsidR="00201740">
        <w:rPr>
          <w:rFonts w:hint="default"/>
        </w:rPr>
        <w:t>ný</w:t>
      </w:r>
      <w:r w:rsidRPr="002D387F" w:rsidR="00201740">
        <w:rPr>
          <w:rFonts w:hint="default"/>
        </w:rPr>
        <w:t>ch oblastiach</w:t>
      </w:r>
      <w:r>
        <w:t xml:space="preserve">. </w:t>
      </w:r>
      <w:r w:rsidRPr="00506BB1">
        <w:t>Na platby SAPS bolo v roku 20</w:t>
      </w:r>
      <w:r w:rsidRPr="00506BB1">
        <w:rPr>
          <w:rFonts w:hint="default"/>
        </w:rPr>
        <w:t>10 schvá</w:t>
      </w:r>
      <w:r w:rsidRPr="00506BB1">
        <w:rPr>
          <w:rFonts w:hint="default"/>
        </w:rPr>
        <w:t>lený</w:t>
      </w:r>
      <w:r w:rsidRPr="00506BB1">
        <w:rPr>
          <w:rFonts w:hint="default"/>
        </w:rPr>
        <w:t>ch 13 340 ž</w:t>
      </w:r>
      <w:r w:rsidRPr="00506BB1">
        <w:rPr>
          <w:rFonts w:hint="default"/>
        </w:rPr>
        <w:t>iadostí</w:t>
      </w:r>
      <w:r w:rsidRPr="00506BB1">
        <w:rPr>
          <w:rFonts w:hint="default"/>
        </w:rPr>
        <w:t xml:space="preserve"> a </w:t>
      </w:r>
      <w:r w:rsidRPr="00506BB1">
        <w:rPr>
          <w:rFonts w:hint="default"/>
        </w:rPr>
        <w:t>za predchá</w:t>
      </w:r>
      <w:r w:rsidRPr="00506BB1">
        <w:rPr>
          <w:rFonts w:hint="default"/>
        </w:rPr>
        <w:t>dzajú</w:t>
      </w:r>
      <w:r w:rsidRPr="00506BB1">
        <w:rPr>
          <w:rFonts w:hint="default"/>
        </w:rPr>
        <w:t>ce roky dodatoč</w:t>
      </w:r>
      <w:r w:rsidRPr="00506BB1">
        <w:rPr>
          <w:rFonts w:hint="default"/>
        </w:rPr>
        <w:t>ne odsú</w:t>
      </w:r>
      <w:r w:rsidRPr="00506BB1">
        <w:rPr>
          <w:rFonts w:hint="default"/>
        </w:rPr>
        <w:t>hlasený</w:t>
      </w:r>
      <w:r w:rsidRPr="00506BB1">
        <w:rPr>
          <w:rFonts w:hint="default"/>
        </w:rPr>
        <w:t>ch 1 859 ž</w:t>
      </w:r>
      <w:r w:rsidRPr="00506BB1">
        <w:rPr>
          <w:rFonts w:hint="default"/>
        </w:rPr>
        <w:t>iadostí</w:t>
      </w:r>
      <w:r w:rsidRPr="00506BB1">
        <w:rPr>
          <w:rFonts w:hint="default"/>
        </w:rPr>
        <w:t>, na osobitnú</w:t>
      </w:r>
      <w:r w:rsidRPr="00506BB1">
        <w:rPr>
          <w:rFonts w:hint="default"/>
        </w:rPr>
        <w:t xml:space="preserve"> platbu na cukor 330 schvá</w:t>
      </w:r>
      <w:r w:rsidRPr="00506BB1">
        <w:rPr>
          <w:rFonts w:hint="default"/>
        </w:rPr>
        <w:t>lený</w:t>
      </w:r>
      <w:r w:rsidRPr="00506BB1">
        <w:rPr>
          <w:rFonts w:hint="default"/>
        </w:rPr>
        <w:t>ch ž</w:t>
      </w:r>
      <w:r w:rsidRPr="00506BB1">
        <w:rPr>
          <w:rFonts w:hint="default"/>
        </w:rPr>
        <w:t>iadostí.</w:t>
      </w:r>
      <w:r w:rsidR="00A401FB">
        <w:t xml:space="preserve"> </w:t>
      </w:r>
      <w:r w:rsidRPr="00506BB1">
        <w:rPr>
          <w:rFonts w:hint="default"/>
        </w:rPr>
        <w:t>Na prechodnú</w:t>
      </w:r>
      <w:r w:rsidRPr="00506BB1">
        <w:rPr>
          <w:rFonts w:hint="default"/>
        </w:rPr>
        <w:t xml:space="preserve"> platbu na rajč</w:t>
      </w:r>
      <w:r w:rsidRPr="00506BB1">
        <w:rPr>
          <w:rFonts w:hint="default"/>
        </w:rPr>
        <w:t>iaky a </w:t>
      </w:r>
      <w:r w:rsidRPr="00506BB1">
        <w:rPr>
          <w:rFonts w:hint="default"/>
        </w:rPr>
        <w:t>osobitnú</w:t>
      </w:r>
      <w:r w:rsidRPr="00506BB1">
        <w:rPr>
          <w:rFonts w:hint="default"/>
        </w:rPr>
        <w:t xml:space="preserve"> platbu na ovocie a zeleninu </w:t>
      </w:r>
      <w:r>
        <w:t>bolo 1 </w:t>
      </w:r>
      <w:r>
        <w:rPr>
          <w:rFonts w:hint="default"/>
        </w:rPr>
        <w:t>019 schvá</w:t>
      </w:r>
      <w:r>
        <w:rPr>
          <w:rFonts w:hint="default"/>
        </w:rPr>
        <w:t>lený</w:t>
      </w:r>
      <w:r>
        <w:rPr>
          <w:rFonts w:hint="default"/>
        </w:rPr>
        <w:t>ch ž</w:t>
      </w:r>
      <w:r>
        <w:rPr>
          <w:rFonts w:hint="default"/>
        </w:rPr>
        <w:t>iadostí.</w:t>
      </w:r>
      <w:r w:rsidRPr="00506BB1">
        <w:t xml:space="preserve"> </w:t>
      </w:r>
    </w:p>
    <w:p w:rsidR="00506BB1" w:rsidRPr="002D387F" w:rsidP="00506BB1">
      <w:pPr>
        <w:bidi w:val="0"/>
        <w:ind w:firstLine="708"/>
      </w:pPr>
      <w:r w:rsidRPr="00506BB1">
        <w:t>V </w:t>
      </w:r>
      <w:r w:rsidRPr="00506BB1">
        <w:rPr>
          <w:rFonts w:hint="default"/>
        </w:rPr>
        <w:t>rá</w:t>
      </w:r>
      <w:r w:rsidRPr="00506BB1">
        <w:rPr>
          <w:rFonts w:hint="default"/>
        </w:rPr>
        <w:t>mci ná</w:t>
      </w:r>
      <w:r w:rsidRPr="00506BB1">
        <w:rPr>
          <w:rFonts w:hint="default"/>
        </w:rPr>
        <w:t>rodný</w:t>
      </w:r>
      <w:r w:rsidRPr="00506BB1">
        <w:rPr>
          <w:rFonts w:hint="default"/>
        </w:rPr>
        <w:t>ch vyrovná</w:t>
      </w:r>
      <w:r w:rsidRPr="00506BB1">
        <w:rPr>
          <w:rFonts w:hint="default"/>
        </w:rPr>
        <w:t>vací</w:t>
      </w:r>
      <w:r w:rsidRPr="00506BB1">
        <w:rPr>
          <w:rFonts w:hint="default"/>
        </w:rPr>
        <w:t>ch priamych platieb z </w:t>
      </w:r>
      <w:r w:rsidRPr="00506BB1">
        <w:rPr>
          <w:rFonts w:hint="default"/>
        </w:rPr>
        <w:t>prostriedkov š</w:t>
      </w:r>
      <w:r w:rsidRPr="00506BB1">
        <w:rPr>
          <w:rFonts w:hint="default"/>
        </w:rPr>
        <w:t>tá</w:t>
      </w:r>
      <w:r w:rsidRPr="00506BB1">
        <w:rPr>
          <w:rFonts w:hint="default"/>
        </w:rPr>
        <w:t>tneho rozpoč</w:t>
      </w:r>
      <w:r w:rsidRPr="00506BB1">
        <w:rPr>
          <w:rFonts w:hint="default"/>
        </w:rPr>
        <w:t>tu bolo vyplatená</w:t>
      </w:r>
      <w:r w:rsidRPr="00506BB1">
        <w:rPr>
          <w:rFonts w:hint="default"/>
        </w:rPr>
        <w:t xml:space="preserve"> podpora na VDJ (3 </w:t>
      </w:r>
      <w:r w:rsidRPr="00506BB1">
        <w:rPr>
          <w:rFonts w:hint="default"/>
        </w:rPr>
        <w:t>027 ž</w:t>
      </w:r>
      <w:r w:rsidRPr="00506BB1">
        <w:rPr>
          <w:rFonts w:hint="default"/>
        </w:rPr>
        <w:t>iadostí</w:t>
      </w:r>
      <w:r w:rsidRPr="00506BB1">
        <w:rPr>
          <w:rFonts w:hint="default"/>
        </w:rPr>
        <w:t>), na chmeľ</w:t>
      </w:r>
      <w:r w:rsidRPr="00506BB1">
        <w:rPr>
          <w:rFonts w:hint="default"/>
        </w:rPr>
        <w:t xml:space="preserve"> bolo realizovaný</w:t>
      </w:r>
      <w:r w:rsidRPr="00506BB1">
        <w:rPr>
          <w:rFonts w:hint="default"/>
        </w:rPr>
        <w:t>ch 8 ž</w:t>
      </w:r>
      <w:r w:rsidRPr="00506BB1">
        <w:rPr>
          <w:rFonts w:hint="default"/>
        </w:rPr>
        <w:t>iadostí.</w:t>
      </w:r>
    </w:p>
    <w:p w:rsidR="00201740" w:rsidRPr="00017CF8" w:rsidP="00DC795E">
      <w:pPr>
        <w:pStyle w:val="Heading4"/>
        <w:bidi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017CF8">
        <w:rPr>
          <w:rFonts w:ascii="Times New Roman" w:hAnsi="Times New Roman"/>
        </w:rPr>
        <w:t>.1 Jednotná platba na plochu (SAPS)</w:t>
      </w:r>
    </w:p>
    <w:p w:rsidR="00201740" w:rsidP="00201740">
      <w:pPr>
        <w:bidi w:val="0"/>
      </w:pPr>
      <w:r w:rsidRPr="00017CF8">
        <w:rPr>
          <w:rFonts w:hint="default"/>
          <w:b/>
        </w:rPr>
        <w:t>Jednotná</w:t>
      </w:r>
      <w:r w:rsidRPr="00017CF8">
        <w:rPr>
          <w:rFonts w:hint="default"/>
          <w:b/>
        </w:rPr>
        <w:t xml:space="preserve"> platba na plochu (SAPS) </w:t>
      </w:r>
      <w:r w:rsidR="00F70B7E">
        <w:rPr>
          <w:rFonts w:hint="default"/>
        </w:rPr>
        <w:t>bola poskytovaná</w:t>
      </w:r>
      <w:r w:rsidR="00F70B7E">
        <w:rPr>
          <w:rFonts w:hint="default"/>
        </w:rPr>
        <w:t xml:space="preserve"> </w:t>
      </w:r>
      <w:r w:rsidR="00F70B7E">
        <w:rPr>
          <w:rFonts w:hint="default"/>
        </w:rPr>
        <w:t xml:space="preserve">na </w:t>
      </w:r>
      <w:r w:rsidRPr="00A51855" w:rsidR="00F70B7E">
        <w:rPr>
          <w:rFonts w:hint="default"/>
        </w:rPr>
        <w:t>zá</w:t>
      </w:r>
      <w:r w:rsidRPr="00A51855" w:rsidR="00F70B7E">
        <w:rPr>
          <w:rFonts w:hint="default"/>
        </w:rPr>
        <w:t>klade n</w:t>
      </w:r>
      <w:r w:rsidRPr="00A51855">
        <w:rPr>
          <w:rFonts w:hint="default"/>
        </w:rPr>
        <w:t>ariadenia vlá</w:t>
      </w:r>
      <w:r w:rsidRPr="00A51855">
        <w:rPr>
          <w:rFonts w:hint="default"/>
        </w:rPr>
        <w:t>dy</w:t>
      </w:r>
      <w:r w:rsidRPr="00017CF8">
        <w:rPr>
          <w:rFonts w:hint="default"/>
        </w:rPr>
        <w:t xml:space="preserve"> SR č. </w:t>
      </w:r>
      <w:r w:rsidRPr="00017CF8">
        <w:rPr>
          <w:rFonts w:hint="default"/>
        </w:rPr>
        <w:t xml:space="preserve">20/2009 Z. z. </w:t>
      </w:r>
      <w:r w:rsidR="0086672B">
        <w:t>o podmienkach poskytovania podpory v </w:t>
      </w:r>
      <w:r w:rsidR="0086672B">
        <w:rPr>
          <w:rFonts w:hint="default"/>
        </w:rPr>
        <w:t>poľ</w:t>
      </w:r>
      <w:r w:rsidR="0086672B">
        <w:rPr>
          <w:rFonts w:hint="default"/>
        </w:rPr>
        <w:t>nohospodá</w:t>
      </w:r>
      <w:r w:rsidR="0086672B">
        <w:rPr>
          <w:rFonts w:hint="default"/>
        </w:rPr>
        <w:t>rstve formou priamych platieb</w:t>
      </w:r>
      <w:r w:rsidRPr="00017CF8">
        <w:rPr>
          <w:rFonts w:hint="default"/>
        </w:rPr>
        <w:t>. Vý</w:t>
      </w:r>
      <w:r w:rsidRPr="00017CF8">
        <w:rPr>
          <w:rFonts w:hint="default"/>
        </w:rPr>
        <w:t>mera poľ</w:t>
      </w:r>
      <w:r w:rsidRPr="00017CF8">
        <w:rPr>
          <w:rFonts w:hint="default"/>
        </w:rPr>
        <w:t>nohospodá</w:t>
      </w:r>
      <w:r w:rsidRPr="00017CF8">
        <w:rPr>
          <w:rFonts w:hint="default"/>
        </w:rPr>
        <w:t>rskej pô</w:t>
      </w:r>
      <w:r w:rsidRPr="00017CF8">
        <w:rPr>
          <w:rFonts w:hint="default"/>
        </w:rPr>
        <w:t>dy, na ktorú</w:t>
      </w:r>
      <w:r w:rsidRPr="00017CF8">
        <w:rPr>
          <w:rFonts w:hint="default"/>
        </w:rPr>
        <w:t xml:space="preserve"> bol SAPS</w:t>
      </w:r>
      <w:r>
        <w:rPr>
          <w:rFonts w:hint="default"/>
        </w:rPr>
        <w:t xml:space="preserve"> ná</w:t>
      </w:r>
      <w:r>
        <w:rPr>
          <w:rFonts w:hint="default"/>
        </w:rPr>
        <w:t>rokovateľ</w:t>
      </w:r>
      <w:r>
        <w:rPr>
          <w:rFonts w:hint="default"/>
        </w:rPr>
        <w:t>ný</w:t>
      </w:r>
      <w:r>
        <w:rPr>
          <w:rFonts w:hint="default"/>
        </w:rPr>
        <w:t>, bola</w:t>
      </w:r>
      <w:r w:rsidRPr="00017CF8">
        <w:t xml:space="preserve"> 1 955 tis. ha v </w:t>
      </w:r>
      <w:r w:rsidRPr="00017CF8">
        <w:rPr>
          <w:rFonts w:hint="default"/>
        </w:rPr>
        <w:t>zmysle nariadenia Komisie (ES) č</w:t>
      </w:r>
      <w:r>
        <w:t>. 1973/2004</w:t>
      </w:r>
      <w:r>
        <w:rPr>
          <w:rFonts w:hint="default"/>
        </w:rPr>
        <w:t>.  Keďž</w:t>
      </w:r>
      <w:r>
        <w:rPr>
          <w:rFonts w:hint="default"/>
        </w:rPr>
        <w:t>e farmá</w:t>
      </w:r>
      <w:r>
        <w:rPr>
          <w:rFonts w:hint="default"/>
        </w:rPr>
        <w:t xml:space="preserve">ri </w:t>
      </w:r>
      <w:r w:rsidRPr="00017CF8">
        <w:t>v </w:t>
      </w:r>
      <w:r w:rsidRPr="00017CF8">
        <w:rPr>
          <w:rFonts w:hint="default"/>
        </w:rPr>
        <w:t>predchá</w:t>
      </w:r>
      <w:r w:rsidRPr="00017CF8">
        <w:rPr>
          <w:rFonts w:hint="default"/>
        </w:rPr>
        <w:t>dzajú</w:t>
      </w:r>
      <w:r w:rsidRPr="00017CF8">
        <w:rPr>
          <w:rFonts w:hint="default"/>
        </w:rPr>
        <w:t>cich rokoch nevyuž</w:t>
      </w:r>
      <w:r w:rsidRPr="00017CF8">
        <w:rPr>
          <w:rFonts w:hint="default"/>
        </w:rPr>
        <w:t>ili mož</w:t>
      </w:r>
      <w:r w:rsidRPr="00017CF8">
        <w:rPr>
          <w:rFonts w:hint="default"/>
        </w:rPr>
        <w:t>nosť</w:t>
      </w:r>
      <w:r w:rsidRPr="00017CF8">
        <w:rPr>
          <w:rFonts w:hint="default"/>
        </w:rPr>
        <w:t xml:space="preserve"> zí</w:t>
      </w:r>
      <w:r w:rsidRPr="00017CF8">
        <w:rPr>
          <w:rFonts w:hint="default"/>
        </w:rPr>
        <w:t>skania SAPS</w:t>
      </w:r>
      <w:r w:rsidR="002669F9">
        <w:t>-</w:t>
      </w:r>
      <w:r w:rsidRPr="00017CF8">
        <w:rPr>
          <w:rFonts w:hint="default"/>
        </w:rPr>
        <w:t>u na celú</w:t>
      </w:r>
      <w:r w:rsidRPr="00017CF8">
        <w:rPr>
          <w:rFonts w:hint="default"/>
        </w:rPr>
        <w:t xml:space="preserve"> ná</w:t>
      </w:r>
      <w:r w:rsidRPr="00017CF8">
        <w:rPr>
          <w:rFonts w:hint="default"/>
        </w:rPr>
        <w:t>rokovateľ</w:t>
      </w:r>
      <w:r w:rsidRPr="00017CF8">
        <w:rPr>
          <w:rFonts w:hint="default"/>
        </w:rPr>
        <w:t>nú</w:t>
      </w:r>
      <w:r w:rsidRPr="00017CF8">
        <w:rPr>
          <w:rFonts w:hint="default"/>
        </w:rPr>
        <w:t xml:space="preserve"> plochu, garantovaná</w:t>
      </w:r>
      <w:r w:rsidRPr="00017CF8">
        <w:rPr>
          <w:rFonts w:hint="default"/>
        </w:rPr>
        <w:t xml:space="preserve"> vý</w:t>
      </w:r>
      <w:r w:rsidRPr="00017CF8">
        <w:rPr>
          <w:rFonts w:hint="default"/>
        </w:rPr>
        <w:t>mera</w:t>
      </w:r>
      <w:r>
        <w:t xml:space="preserve"> bola v roku 2009 </w:t>
      </w:r>
      <w:r w:rsidRPr="00017CF8">
        <w:rPr>
          <w:rFonts w:hint="default"/>
        </w:rPr>
        <w:t>zníž</w:t>
      </w:r>
      <w:r w:rsidRPr="00017CF8">
        <w:rPr>
          <w:rFonts w:hint="default"/>
        </w:rPr>
        <w:t>ená</w:t>
      </w:r>
      <w:r w:rsidRPr="00017CF8">
        <w:rPr>
          <w:rFonts w:hint="default"/>
        </w:rPr>
        <w:t xml:space="preserve"> o </w:t>
      </w:r>
      <w:r w:rsidRPr="00017CF8">
        <w:rPr>
          <w:rFonts w:hint="default"/>
        </w:rPr>
        <w:t>75 000 ha, čí</w:t>
      </w:r>
      <w:r w:rsidRPr="00017CF8">
        <w:rPr>
          <w:rFonts w:hint="default"/>
        </w:rPr>
        <w:t>m sa zníž</w:t>
      </w:r>
      <w:r w:rsidRPr="00017CF8">
        <w:rPr>
          <w:rFonts w:hint="default"/>
        </w:rPr>
        <w:t>i</w:t>
      </w:r>
      <w:r w:rsidR="00965B9B">
        <w:t xml:space="preserve">lo </w:t>
      </w:r>
      <w:r w:rsidRPr="00017CF8">
        <w:rPr>
          <w:rFonts w:hint="default"/>
        </w:rPr>
        <w:t>č</w:t>
      </w:r>
      <w:r w:rsidRPr="00017CF8">
        <w:rPr>
          <w:rFonts w:hint="default"/>
        </w:rPr>
        <w:t>erpanie a </w:t>
      </w:r>
      <w:r w:rsidRPr="00017CF8">
        <w:rPr>
          <w:rFonts w:hint="default"/>
        </w:rPr>
        <w:t xml:space="preserve"> zvýš</w:t>
      </w:r>
      <w:r w:rsidRPr="00017CF8">
        <w:rPr>
          <w:rFonts w:hint="default"/>
        </w:rPr>
        <w:t>ili platby na skutoč</w:t>
      </w:r>
      <w:r w:rsidRPr="00017CF8">
        <w:rPr>
          <w:rFonts w:hint="default"/>
        </w:rPr>
        <w:t>ne deklarovanú</w:t>
      </w:r>
      <w:r w:rsidRPr="00017CF8">
        <w:rPr>
          <w:rFonts w:hint="default"/>
        </w:rPr>
        <w:t xml:space="preserve"> vý</w:t>
      </w:r>
      <w:r w:rsidRPr="00017CF8">
        <w:rPr>
          <w:rFonts w:hint="default"/>
        </w:rPr>
        <w:t>meru. V roku 2009 bola z</w:t>
      </w:r>
      <w:r w:rsidRPr="00017CF8">
        <w:rPr>
          <w:rFonts w:hint="default"/>
        </w:rPr>
        <w:t>níž</w:t>
      </w:r>
      <w:r w:rsidRPr="00017CF8">
        <w:rPr>
          <w:rFonts w:hint="default"/>
        </w:rPr>
        <w:t>ená</w:t>
      </w:r>
      <w:r w:rsidRPr="00017CF8">
        <w:rPr>
          <w:rFonts w:hint="default"/>
        </w:rPr>
        <w:t xml:space="preserve"> celková</w:t>
      </w:r>
      <w:r w:rsidRPr="00017CF8">
        <w:rPr>
          <w:rFonts w:hint="default"/>
        </w:rPr>
        <w:t xml:space="preserve"> deklarovaná</w:t>
      </w:r>
      <w:r w:rsidRPr="00017CF8">
        <w:rPr>
          <w:rFonts w:hint="default"/>
        </w:rPr>
        <w:t xml:space="preserve"> vý</w:t>
      </w:r>
      <w:r w:rsidRPr="00017CF8">
        <w:rPr>
          <w:rFonts w:hint="default"/>
        </w:rPr>
        <w:t>mera poľ</w:t>
      </w:r>
      <w:r w:rsidRPr="00017CF8">
        <w:rPr>
          <w:rFonts w:hint="default"/>
        </w:rPr>
        <w:t>nohospodá</w:t>
      </w:r>
      <w:r w:rsidRPr="00017CF8">
        <w:rPr>
          <w:rFonts w:hint="default"/>
        </w:rPr>
        <w:t xml:space="preserve">rskej </w:t>
      </w:r>
      <w:r>
        <w:rPr>
          <w:rFonts w:hint="default"/>
        </w:rPr>
        <w:t>pô</w:t>
      </w:r>
      <w:r>
        <w:rPr>
          <w:rFonts w:hint="default"/>
        </w:rPr>
        <w:t xml:space="preserve">dy na 1880 tis. ha a v roku </w:t>
      </w:r>
      <w:r w:rsidRPr="00017CF8">
        <w:t xml:space="preserve"> 2010 na 1</w:t>
      </w:r>
      <w:r w:rsidR="00594335">
        <w:t> </w:t>
      </w:r>
      <w:r w:rsidR="00594335">
        <w:t>865 tis. </w:t>
      </w:r>
      <w:r w:rsidRPr="00017CF8">
        <w:rPr>
          <w:rFonts w:hint="default"/>
        </w:rPr>
        <w:t>ha. Najmenš</w:t>
      </w:r>
      <w:r w:rsidRPr="00017CF8">
        <w:rPr>
          <w:rFonts w:hint="default"/>
        </w:rPr>
        <w:t>ia vý</w:t>
      </w:r>
      <w:r w:rsidRPr="00017CF8">
        <w:rPr>
          <w:rFonts w:hint="default"/>
        </w:rPr>
        <w:t>mera, na ktorú</w:t>
      </w:r>
      <w:r w:rsidRPr="00017CF8">
        <w:rPr>
          <w:rFonts w:hint="default"/>
        </w:rPr>
        <w:t xml:space="preserve"> je platba poskytnutá</w:t>
      </w:r>
      <w:r w:rsidRPr="00017CF8">
        <w:rPr>
          <w:rFonts w:hint="default"/>
        </w:rPr>
        <w:t xml:space="preserve"> je 1 ha, prič</w:t>
      </w:r>
      <w:r w:rsidRPr="00017CF8">
        <w:rPr>
          <w:rFonts w:hint="default"/>
        </w:rPr>
        <w:t>om vý</w:t>
      </w:r>
      <w:r w:rsidRPr="00017CF8">
        <w:rPr>
          <w:rFonts w:hint="default"/>
        </w:rPr>
        <w:t>meru môž</w:t>
      </w:r>
      <w:r w:rsidRPr="00017CF8">
        <w:rPr>
          <w:rFonts w:hint="default"/>
        </w:rPr>
        <w:t>u tvoriť</w:t>
      </w:r>
      <w:r w:rsidRPr="00017CF8">
        <w:rPr>
          <w:rFonts w:hint="default"/>
        </w:rPr>
        <w:t xml:space="preserve"> viaceré</w:t>
      </w:r>
      <w:r w:rsidRPr="00017CF8">
        <w:rPr>
          <w:rFonts w:hint="default"/>
        </w:rPr>
        <w:t xml:space="preserve"> sú</w:t>
      </w:r>
      <w:r w:rsidRPr="00017CF8">
        <w:rPr>
          <w:rFonts w:hint="default"/>
        </w:rPr>
        <w:t>vislé</w:t>
      </w:r>
      <w:r w:rsidRPr="00017CF8">
        <w:rPr>
          <w:rFonts w:hint="default"/>
        </w:rPr>
        <w:t xml:space="preserve"> diely pô</w:t>
      </w:r>
      <w:r w:rsidRPr="00017CF8">
        <w:rPr>
          <w:rFonts w:hint="default"/>
        </w:rPr>
        <w:t>dnych blokov s vý</w:t>
      </w:r>
      <w:r w:rsidRPr="00017CF8">
        <w:rPr>
          <w:rFonts w:hint="default"/>
        </w:rPr>
        <w:t xml:space="preserve">merou najmenej 0,3 ha. Od </w:t>
      </w:r>
      <w:r w:rsidRPr="00017CF8">
        <w:rPr>
          <w:rFonts w:hint="default"/>
        </w:rPr>
        <w:t>roku 2009 sa od ž</w:t>
      </w:r>
      <w:r w:rsidRPr="00017CF8">
        <w:rPr>
          <w:rFonts w:hint="default"/>
        </w:rPr>
        <w:t>iadateľ</w:t>
      </w:r>
      <w:r w:rsidRPr="00017CF8">
        <w:rPr>
          <w:rFonts w:hint="default"/>
        </w:rPr>
        <w:t>ov o tú</w:t>
      </w:r>
      <w:r w:rsidRPr="00017CF8">
        <w:rPr>
          <w:rFonts w:hint="default"/>
        </w:rPr>
        <w:t>to platbu vyž</w:t>
      </w:r>
      <w:r w:rsidRPr="00017CF8">
        <w:rPr>
          <w:rFonts w:hint="default"/>
        </w:rPr>
        <w:t>aduje aj zať</w:t>
      </w:r>
      <w:r w:rsidRPr="00017CF8">
        <w:rPr>
          <w:rFonts w:hint="default"/>
        </w:rPr>
        <w:t>až</w:t>
      </w:r>
      <w:r w:rsidRPr="00017CF8">
        <w:rPr>
          <w:rFonts w:hint="default"/>
        </w:rPr>
        <w:t>enie na vý</w:t>
      </w:r>
      <w:r w:rsidRPr="00017CF8">
        <w:rPr>
          <w:rFonts w:hint="default"/>
        </w:rPr>
        <w:t>meru trvalý</w:t>
      </w:r>
      <w:r w:rsidRPr="00017CF8">
        <w:rPr>
          <w:rFonts w:hint="default"/>
        </w:rPr>
        <w:t>ch trá</w:t>
      </w:r>
      <w:r w:rsidRPr="00017CF8">
        <w:rPr>
          <w:rFonts w:hint="default"/>
        </w:rPr>
        <w:t>vnych porastov minimá</w:t>
      </w:r>
      <w:r w:rsidRPr="00017CF8">
        <w:rPr>
          <w:rFonts w:hint="default"/>
        </w:rPr>
        <w:t>lne 0,1 VDJ/ ha. Tá</w:t>
      </w:r>
      <w:r w:rsidRPr="00017CF8">
        <w:rPr>
          <w:rFonts w:hint="default"/>
        </w:rPr>
        <w:t>to podmienka sa netý</w:t>
      </w:r>
      <w:r w:rsidRPr="00017CF8">
        <w:rPr>
          <w:rFonts w:hint="default"/>
        </w:rPr>
        <w:t>ka tý</w:t>
      </w:r>
      <w:r w:rsidRPr="00017CF8">
        <w:rPr>
          <w:rFonts w:hint="default"/>
        </w:rPr>
        <w:t>ch ž</w:t>
      </w:r>
      <w:r w:rsidRPr="00017CF8">
        <w:rPr>
          <w:rFonts w:hint="default"/>
        </w:rPr>
        <w:t>iadateľ</w:t>
      </w:r>
      <w:r w:rsidRPr="00017CF8">
        <w:rPr>
          <w:rFonts w:hint="default"/>
        </w:rPr>
        <w:t>ov, ktorý</w:t>
      </w:r>
      <w:r w:rsidRPr="00017CF8">
        <w:rPr>
          <w:rFonts w:hint="default"/>
        </w:rPr>
        <w:t>ch vý</w:t>
      </w:r>
      <w:r w:rsidRPr="00017CF8">
        <w:rPr>
          <w:rFonts w:hint="default"/>
        </w:rPr>
        <w:t>mer</w:t>
      </w:r>
      <w:r>
        <w:rPr>
          <w:rFonts w:hint="default"/>
        </w:rPr>
        <w:t>a TTP je nižš</w:t>
      </w:r>
      <w:r>
        <w:rPr>
          <w:rFonts w:hint="default"/>
        </w:rPr>
        <w:t>ia ako 20 ha. Pre rok 2010 bolo stanovené</w:t>
      </w:r>
      <w:r>
        <w:rPr>
          <w:rFonts w:hint="default"/>
        </w:rPr>
        <w:t xml:space="preserve"> minimá</w:t>
      </w:r>
      <w:r>
        <w:rPr>
          <w:rFonts w:hint="default"/>
        </w:rPr>
        <w:t>lne zať</w:t>
      </w:r>
      <w:r>
        <w:rPr>
          <w:rFonts w:hint="default"/>
        </w:rPr>
        <w:t>až</w:t>
      </w:r>
      <w:r>
        <w:rPr>
          <w:rFonts w:hint="default"/>
        </w:rPr>
        <w:t>enie 0,2</w:t>
      </w:r>
      <w:r>
        <w:rPr>
          <w:rFonts w:hint="default"/>
        </w:rPr>
        <w:t xml:space="preserve"> VDJ</w:t>
      </w:r>
      <w:r w:rsidRPr="00017CF8">
        <w:t>/ha TTP s </w:t>
      </w:r>
      <w:r w:rsidRPr="00017CF8">
        <w:rPr>
          <w:rFonts w:hint="default"/>
        </w:rPr>
        <w:t>celkovou vý</w:t>
      </w:r>
      <w:r w:rsidRPr="00017CF8">
        <w:rPr>
          <w:rFonts w:hint="default"/>
        </w:rPr>
        <w:t>merou nad 20 ha. Ž</w:t>
      </w:r>
      <w:r w:rsidRPr="00017CF8">
        <w:rPr>
          <w:rFonts w:hint="default"/>
        </w:rPr>
        <w:t>iadosť</w:t>
      </w:r>
      <w:r w:rsidRPr="00017CF8">
        <w:rPr>
          <w:rFonts w:hint="default"/>
        </w:rPr>
        <w:t xml:space="preserve"> o tú</w:t>
      </w:r>
      <w:r w:rsidRPr="00017CF8">
        <w:rPr>
          <w:rFonts w:hint="default"/>
        </w:rPr>
        <w:t>to platbu sa podá</w:t>
      </w:r>
      <w:r w:rsidRPr="00017CF8">
        <w:rPr>
          <w:rFonts w:hint="default"/>
        </w:rPr>
        <w:t>vala na pracovisku PPA (v roku 2010 bol termí</w:t>
      </w:r>
      <w:r w:rsidRPr="00017CF8">
        <w:rPr>
          <w:rFonts w:hint="default"/>
        </w:rPr>
        <w:t>n o</w:t>
      </w:r>
      <w:r w:rsidR="00965B9B">
        <w:t xml:space="preserve">d 23. 4. 2010 do 15. 5. 2010). </w:t>
      </w:r>
      <w:r w:rsidRPr="00017CF8">
        <w:t>Sadzba na SAPS</w:t>
      </w:r>
      <w:r w:rsidR="00965B9B">
        <w:t xml:space="preserve"> v roku 2009</w:t>
      </w:r>
      <w:r w:rsidRPr="00594335" w:rsidR="00594335">
        <w:t xml:space="preserve"> </w:t>
      </w:r>
      <w:r w:rsidR="00594335">
        <w:t>bola</w:t>
      </w:r>
      <w:r w:rsidR="00965B9B">
        <w:t xml:space="preserve"> 121,6 </w:t>
      </w:r>
      <w:r w:rsidR="006F3490">
        <w:rPr>
          <w:rFonts w:hint="default"/>
        </w:rPr>
        <w:t>€</w:t>
      </w:r>
      <w:r w:rsidR="006F3490">
        <w:rPr>
          <w:rFonts w:hint="default"/>
        </w:rPr>
        <w:t>/ha a </w:t>
      </w:r>
      <w:r w:rsidRPr="00017CF8">
        <w:t>v </w:t>
      </w:r>
      <w:r w:rsidRPr="00017CF8">
        <w:rPr>
          <w:rFonts w:hint="default"/>
        </w:rPr>
        <w:t>roku 2010 142,4 €</w:t>
      </w:r>
      <w:r w:rsidRPr="00017CF8">
        <w:rPr>
          <w:rFonts w:hint="default"/>
        </w:rPr>
        <w:t>/ha.</w:t>
      </w:r>
    </w:p>
    <w:p w:rsidR="00F255EE" w:rsidRPr="00017CF8" w:rsidP="00201740">
      <w:pPr>
        <w:bidi w:val="0"/>
      </w:pPr>
    </w:p>
    <w:p w:rsidR="00C31DF4" w:rsidRPr="003863E3" w:rsidP="00C31DF4">
      <w:pPr>
        <w:keepNext/>
        <w:bidi w:val="0"/>
        <w:jc w:val="right"/>
        <w:rPr>
          <w:bCs/>
        </w:rPr>
      </w:pPr>
      <w:r>
        <w:rPr>
          <w:bCs/>
        </w:rPr>
        <w:t xml:space="preserve">Mapa </w:t>
      </w:r>
      <w:r w:rsidR="00DC795E">
        <w:rPr>
          <w:rFonts w:hint="default"/>
          <w:bCs/>
        </w:rPr>
        <w:t>č.</w:t>
      </w:r>
      <w:r>
        <w:rPr>
          <w:bCs/>
        </w:rPr>
        <w:t>1</w:t>
      </w:r>
    </w:p>
    <w:p w:rsidR="00201740" w:rsidP="00201740">
      <w:pPr>
        <w:bidi w:val="0"/>
        <w:spacing w:after="0" w:line="240" w:lineRule="auto"/>
        <w:jc w:val="left"/>
      </w:pPr>
    </w:p>
    <w:p w:rsidR="00201740" w:rsidP="00201740">
      <w:pPr>
        <w:bidi w:val="0"/>
        <w:spacing w:after="0" w:line="240" w:lineRule="auto"/>
        <w:jc w:val="left"/>
      </w:pPr>
      <w:r>
        <w:rPr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C:\Users\duricova\Documents\ZELENA2011\SAPS.jpg" style="width:421.5pt;height:297.75pt;visibility:visible" filled="f" stroked="f">
            <v:imagedata r:id="rId5" o:title=""/>
          </v:shape>
        </w:pict>
      </w:r>
    </w:p>
    <w:p w:rsidR="00201740" w:rsidP="00201740">
      <w:pPr>
        <w:bidi w:val="0"/>
        <w:spacing w:after="0" w:line="240" w:lineRule="auto"/>
        <w:jc w:val="left"/>
      </w:pPr>
    </w:p>
    <w:p w:rsidR="00201740" w:rsidP="00201740">
      <w:pPr>
        <w:bidi w:val="0"/>
        <w:ind w:firstLine="0"/>
      </w:pPr>
      <w:r w:rsidR="002E5A44">
        <w:rPr>
          <w:rFonts w:hint="default"/>
        </w:rPr>
        <w:t>Z celkové</w:t>
      </w:r>
      <w:r w:rsidR="002E5A44">
        <w:rPr>
          <w:rFonts w:hint="default"/>
        </w:rPr>
        <w:t>ho objemu fina</w:t>
      </w:r>
      <w:r w:rsidR="002E5A44">
        <w:rPr>
          <w:rFonts w:hint="default"/>
        </w:rPr>
        <w:t>nč</w:t>
      </w:r>
      <w:r w:rsidR="002E5A44">
        <w:rPr>
          <w:rFonts w:hint="default"/>
        </w:rPr>
        <w:t>ný</w:t>
      </w:r>
      <w:r w:rsidR="002E5A44">
        <w:rPr>
          <w:rFonts w:hint="default"/>
        </w:rPr>
        <w:t>ch prostriedkov SAPS zná</w:t>
      </w:r>
      <w:r w:rsidR="002E5A44">
        <w:rPr>
          <w:rFonts w:hint="default"/>
        </w:rPr>
        <w:t>zornené</w:t>
      </w:r>
      <w:r w:rsidR="002E5A44">
        <w:rPr>
          <w:rFonts w:hint="default"/>
        </w:rPr>
        <w:t>ho podľ</w:t>
      </w:r>
      <w:r w:rsidR="002E5A44">
        <w:rPr>
          <w:rFonts w:hint="default"/>
        </w:rPr>
        <w:t>a okresov (</w:t>
      </w:r>
      <w:r w:rsidR="00B31600">
        <w:t>m</w:t>
      </w:r>
      <w:r w:rsidR="002E5A44">
        <w:rPr>
          <w:rFonts w:hint="default"/>
        </w:rPr>
        <w:t>apa č</w:t>
      </w:r>
      <w:r w:rsidR="002E5A44">
        <w:rPr>
          <w:rFonts w:hint="default"/>
        </w:rPr>
        <w:t>. 1) vyplý</w:t>
      </w:r>
      <w:r w:rsidR="002E5A44">
        <w:rPr>
          <w:rFonts w:hint="default"/>
        </w:rPr>
        <w:t>va, ž</w:t>
      </w:r>
      <w:r w:rsidR="002E5A44">
        <w:rPr>
          <w:rFonts w:hint="default"/>
        </w:rPr>
        <w:t>e viac prostriedkov bolo vyplatené</w:t>
      </w:r>
      <w:r w:rsidR="002E5A44">
        <w:rPr>
          <w:rFonts w:hint="default"/>
        </w:rPr>
        <w:t xml:space="preserve"> do podnikov hospodá</w:t>
      </w:r>
      <w:r w:rsidR="002E5A44">
        <w:rPr>
          <w:rFonts w:hint="default"/>
        </w:rPr>
        <w:t>riacich v </w:t>
      </w:r>
      <w:r w:rsidR="002E5A44">
        <w:rPr>
          <w:rFonts w:hint="default"/>
        </w:rPr>
        <w:t>okresoch juž</w:t>
      </w:r>
      <w:r w:rsidR="002E5A44">
        <w:rPr>
          <w:rFonts w:hint="default"/>
        </w:rPr>
        <w:t>né</w:t>
      </w:r>
      <w:r w:rsidR="002E5A44">
        <w:rPr>
          <w:rFonts w:hint="default"/>
        </w:rPr>
        <w:t xml:space="preserve">ho Slovenska.  </w:t>
      </w:r>
    </w:p>
    <w:p w:rsidR="00201740" w:rsidP="00201740">
      <w:pPr>
        <w:keepNext/>
        <w:bidi w:val="0"/>
        <w:spacing w:after="0" w:line="240" w:lineRule="auto"/>
        <w:ind w:firstLine="0"/>
        <w:rPr>
          <w:b/>
        </w:rPr>
      </w:pPr>
      <w:r w:rsidRPr="00AD1F1A">
        <w:rPr>
          <w:rFonts w:hint="default"/>
          <w:b/>
        </w:rPr>
        <w:t>Prehľ</w:t>
      </w:r>
      <w:r w:rsidRPr="00AD1F1A">
        <w:rPr>
          <w:rFonts w:hint="default"/>
          <w:b/>
        </w:rPr>
        <w:t>ad sadzieb pre priame platby</w:t>
      </w:r>
    </w:p>
    <w:p w:rsidR="00201740" w:rsidRPr="00201740" w:rsidP="003D3114">
      <w:pPr>
        <w:keepNext/>
        <w:bidi w:val="0"/>
        <w:spacing w:after="0" w:line="240" w:lineRule="auto"/>
        <w:ind w:firstLine="0"/>
        <w:jc w:val="left"/>
      </w:pPr>
      <w:r w:rsidR="003D3114">
        <w:t>v </w:t>
      </w:r>
      <w:r w:rsidR="003D3114">
        <w:rPr>
          <w:rFonts w:hint="default"/>
        </w:rPr>
        <w:t>€</w:t>
      </w:r>
      <w:r w:rsidR="003D3114">
        <w:rPr>
          <w:rFonts w:hint="default"/>
        </w:rPr>
        <w:t xml:space="preserve"> na mernú</w:t>
      </w:r>
      <w:r w:rsidR="003D3114">
        <w:rPr>
          <w:rFonts w:hint="default"/>
        </w:rPr>
        <w:t xml:space="preserve"> jednotku</w:t>
        <w:tab/>
        <w:tab/>
        <w:tab/>
        <w:tab/>
        <w:tab/>
        <w:tab/>
        <w:tab/>
        <w:tab/>
      </w:r>
      <w:r w:rsidRPr="00201740">
        <w:rPr>
          <w:rFonts w:hint="default"/>
        </w:rPr>
        <w:t>Tabuľ</w:t>
      </w:r>
      <w:r w:rsidRPr="00201740">
        <w:rPr>
          <w:rFonts w:hint="default"/>
        </w:rPr>
        <w:t>ka č.</w:t>
      </w:r>
      <w:r w:rsidR="003D5230">
        <w:t xml:space="preserve"> 3</w:t>
      </w:r>
    </w:p>
    <w:tbl>
      <w:tblPr>
        <w:tblStyle w:val="TableNormal"/>
        <w:tblW w:w="9229" w:type="dxa"/>
        <w:tblInd w:w="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551"/>
        <w:gridCol w:w="1232"/>
        <w:gridCol w:w="1290"/>
        <w:gridCol w:w="2156"/>
      </w:tblGrid>
      <w:tr>
        <w:tblPrEx>
          <w:tblW w:w="9229" w:type="dxa"/>
          <w:tblInd w:w="55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4551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201740" w:rsidRPr="00A669C9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3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201740" w:rsidRPr="00A669C9" w:rsidP="003D3114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29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201740" w:rsidRPr="00A669C9" w:rsidP="003D3114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 w:rsidR="003D3114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2009</w:t>
            </w:r>
          </w:p>
        </w:tc>
        <w:tc>
          <w:tcPr>
            <w:tcW w:w="215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201740" w:rsidRPr="00A669C9" w:rsidP="003D3114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 w:rsidR="003D3114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2010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SAPS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ha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121,6</w:t>
            </w:r>
            <w:r w:rsidR="006F3490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142,4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Osobitná platba na cukor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ha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546,69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273,93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Platba na pest. energetických plodín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ha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45</w:t>
            </w:r>
            <w:r w:rsid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highlight w:val="yellow"/>
                <w:lang w:eastAsia="sk-SK"/>
              </w:rPr>
            </w:pPr>
            <w:r w:rsidRPr="00D5323E" w:rsidR="00D5323E">
              <w:rPr>
                <w:rFonts w:eastAsia="Times New Roman"/>
                <w:sz w:val="22"/>
                <w:szCs w:val="22"/>
                <w:lang w:eastAsia="sk-SK"/>
              </w:rPr>
              <w:t>-</w:t>
            </w:r>
            <w:r w:rsidRPr="00D5323E">
              <w:rPr>
                <w:rFonts w:eastAsia="Times New Roman"/>
                <w:sz w:val="22"/>
                <w:szCs w:val="22"/>
                <w:lang w:eastAsia="sk-SK"/>
              </w:rPr>
              <w:t xml:space="preserve"> </w:t>
            </w:r>
            <w:r w:rsidRPr="003D3114">
              <w:rPr>
                <w:rFonts w:eastAsia="Times New Roman"/>
                <w:sz w:val="22"/>
                <w:szCs w:val="22"/>
                <w:highlight w:val="yellow"/>
                <w:lang w:eastAsia="sk-SK"/>
              </w:rPr>
              <w:t xml:space="preserve">             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Platba na dojnicu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60,84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Osobitná platba na ovocie a zeleninu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ha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40,5</w:t>
            </w:r>
            <w:r w:rsid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52,71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Prechodná platba na rajčiaky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ha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831,48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477,94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Doplnková platba na plochu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ha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32</w:t>
            </w:r>
            <w:r w:rsid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Platba na chmeľ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ha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322</w:t>
            </w:r>
            <w:r w:rsid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387,84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551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Platba na veľké dobytčie jednotky (VDJ)</w:t>
            </w:r>
          </w:p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VDJ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148,00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3D3114" w:rsidP="00201740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3D3114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143,00</w:t>
            </w:r>
          </w:p>
        </w:tc>
      </w:tr>
    </w:tbl>
    <w:p w:rsidR="00201740" w:rsidP="00201740">
      <w:pPr>
        <w:bidi w:val="0"/>
        <w:spacing w:after="0" w:line="240" w:lineRule="auto"/>
        <w:ind w:firstLine="0"/>
        <w:rPr>
          <w:sz w:val="20"/>
          <w:szCs w:val="20"/>
        </w:rPr>
      </w:pPr>
      <w:r w:rsidRPr="00D018B8">
        <w:rPr>
          <w:rFonts w:hint="default"/>
          <w:sz w:val="20"/>
          <w:szCs w:val="20"/>
        </w:rPr>
        <w:t>Prameň</w:t>
      </w:r>
      <w:r w:rsidRPr="00D018B8">
        <w:rPr>
          <w:rFonts w:hint="default"/>
          <w:sz w:val="20"/>
          <w:szCs w:val="20"/>
        </w:rPr>
        <w:t>: MPRV SR</w:t>
      </w:r>
      <w:r w:rsidR="00EB458E">
        <w:rPr>
          <w:sz w:val="20"/>
          <w:szCs w:val="20"/>
        </w:rPr>
        <w:t xml:space="preserve">, www.land.gov.sk </w:t>
      </w:r>
    </w:p>
    <w:p w:rsidR="0011647D" w:rsidRPr="00D018B8" w:rsidP="00201740">
      <w:pPr>
        <w:bidi w:val="0"/>
        <w:spacing w:after="0" w:line="240" w:lineRule="auto"/>
        <w:ind w:firstLine="0"/>
        <w:rPr>
          <w:sz w:val="20"/>
          <w:szCs w:val="20"/>
        </w:rPr>
      </w:pPr>
      <w:r>
        <w:rPr>
          <w:rFonts w:eastAsia="Arial Unicode MS" w:hint="default"/>
          <w:sz w:val="20"/>
          <w:szCs w:val="20"/>
        </w:rPr>
        <w:t>Vypracoval: VÚ</w:t>
      </w:r>
      <w:r>
        <w:rPr>
          <w:rFonts w:eastAsia="Arial Unicode MS" w:hint="default"/>
          <w:sz w:val="20"/>
          <w:szCs w:val="20"/>
        </w:rPr>
        <w:t>EPP</w:t>
      </w:r>
    </w:p>
    <w:p w:rsidR="00201740" w:rsidRPr="008425F9" w:rsidP="00201740">
      <w:pPr>
        <w:bidi w:val="0"/>
        <w:ind w:firstLine="708"/>
      </w:pPr>
    </w:p>
    <w:p w:rsidR="00201740" w:rsidP="00201740">
      <w:pPr>
        <w:bidi w:val="0"/>
        <w:ind w:firstLine="708"/>
        <w:rPr>
          <w:b/>
        </w:rPr>
      </w:pPr>
      <w:r w:rsidRPr="00F64101">
        <w:rPr>
          <w:rFonts w:hint="default"/>
          <w:b/>
        </w:rPr>
        <w:t>Ď</w:t>
      </w:r>
      <w:r w:rsidRPr="00F64101">
        <w:rPr>
          <w:rFonts w:hint="default"/>
          <w:b/>
        </w:rPr>
        <w:t>alš</w:t>
      </w:r>
      <w:r w:rsidRPr="00F64101">
        <w:rPr>
          <w:rFonts w:hint="default"/>
          <w:b/>
        </w:rPr>
        <w:t>ie priame platby</w:t>
      </w:r>
    </w:p>
    <w:p w:rsidR="00201740" w:rsidRPr="00722121" w:rsidP="00201740">
      <w:pPr>
        <w:bidi w:val="0"/>
        <w:ind w:firstLine="708"/>
      </w:pPr>
      <w:r w:rsidRPr="00722121">
        <w:rPr>
          <w:rStyle w:val="Strong"/>
          <w:rFonts w:hint="default"/>
          <w:i/>
        </w:rPr>
        <w:t>Osobitná</w:t>
      </w:r>
      <w:r w:rsidRPr="00722121">
        <w:rPr>
          <w:rStyle w:val="Strong"/>
          <w:rFonts w:hint="default"/>
          <w:i/>
        </w:rPr>
        <w:t xml:space="preserve"> platba na ovocie a zel</w:t>
      </w:r>
      <w:r w:rsidRPr="00722121">
        <w:rPr>
          <w:rStyle w:val="Strong"/>
          <w:rFonts w:hint="default"/>
          <w:i/>
        </w:rPr>
        <w:t>eninu</w:t>
      </w:r>
      <w:r w:rsidRPr="00722121">
        <w:rPr>
          <w:rFonts w:hint="default"/>
        </w:rPr>
        <w:t xml:space="preserve"> sa poskytla na vý</w:t>
      </w:r>
      <w:r w:rsidRPr="00722121">
        <w:rPr>
          <w:rFonts w:hint="default"/>
        </w:rPr>
        <w:t>meru, na ktorej sa pestovalo ovocie a zelenina uvedená</w:t>
      </w:r>
      <w:r w:rsidRPr="00722121">
        <w:rPr>
          <w:rFonts w:hint="default"/>
        </w:rPr>
        <w:t xml:space="preserve"> v prí</w:t>
      </w:r>
      <w:r w:rsidRPr="00722121">
        <w:rPr>
          <w:rFonts w:hint="default"/>
        </w:rPr>
        <w:t>lohe č</w:t>
      </w:r>
      <w:r w:rsidRPr="00722121">
        <w:rPr>
          <w:rFonts w:hint="default"/>
        </w:rPr>
        <w:t xml:space="preserve">. 1 </w:t>
      </w:r>
      <w:r w:rsidR="0086672B">
        <w:rPr>
          <w:rFonts w:hint="default"/>
        </w:rPr>
        <w:t>nariadenia vlá</w:t>
      </w:r>
      <w:r w:rsidR="0086672B">
        <w:rPr>
          <w:rFonts w:hint="default"/>
        </w:rPr>
        <w:t xml:space="preserve">dy </w:t>
      </w:r>
      <w:r w:rsidRPr="00722121">
        <w:t>SR</w:t>
      </w:r>
      <w:r>
        <w:t xml:space="preserve"> </w:t>
      </w:r>
      <w:r w:rsidRPr="00722121">
        <w:rPr>
          <w:rFonts w:hint="default"/>
        </w:rPr>
        <w:t>č</w:t>
      </w:r>
      <w:r w:rsidRPr="00722121">
        <w:rPr>
          <w:rFonts w:hint="default"/>
        </w:rPr>
        <w:t xml:space="preserve">. </w:t>
      </w:r>
      <w:r w:rsidRPr="00643B3B" w:rsidR="0086672B">
        <w:rPr>
          <w:rFonts w:hint="default"/>
        </w:rPr>
        <w:t>20/2009 Z. z. o podmienkach poskytovania podpory v poľ</w:t>
      </w:r>
      <w:r w:rsidRPr="00643B3B" w:rsidR="0086672B">
        <w:rPr>
          <w:rFonts w:hint="default"/>
        </w:rPr>
        <w:t>nohospodá</w:t>
      </w:r>
      <w:r w:rsidRPr="00643B3B" w:rsidR="0086672B">
        <w:rPr>
          <w:rFonts w:hint="default"/>
        </w:rPr>
        <w:t>rstve formou priamych platieb</w:t>
      </w:r>
      <w:r w:rsidR="0086672B">
        <w:rPr>
          <w:rFonts w:hint="default"/>
        </w:rPr>
        <w:t>“</w:t>
      </w:r>
      <w:r w:rsidR="0086672B">
        <w:rPr>
          <w:rFonts w:hint="default"/>
        </w:rPr>
        <w:t xml:space="preserve">, </w:t>
      </w:r>
      <w:r w:rsidRPr="00643B3B" w:rsidR="0086672B">
        <w:rPr>
          <w:rFonts w:hint="default"/>
        </w:rPr>
        <w:t>keďž</w:t>
      </w:r>
      <w:r w:rsidRPr="00643B3B" w:rsidR="0086672B">
        <w:rPr>
          <w:rFonts w:hint="default"/>
        </w:rPr>
        <w:t xml:space="preserve">e </w:t>
      </w:r>
      <w:r w:rsidR="0086672B">
        <w:rPr>
          <w:rFonts w:hint="default"/>
        </w:rPr>
        <w:t>nariadenie vlá</w:t>
      </w:r>
      <w:r w:rsidR="0086672B">
        <w:rPr>
          <w:rFonts w:hint="default"/>
        </w:rPr>
        <w:t>dy SR č</w:t>
      </w:r>
      <w:r w:rsidR="0086672B">
        <w:rPr>
          <w:rFonts w:hint="default"/>
        </w:rPr>
        <w:t xml:space="preserve">. </w:t>
      </w:r>
      <w:r w:rsidRPr="00643B3B" w:rsidR="0086672B">
        <w:t>151/</w:t>
      </w:r>
      <w:r w:rsidR="0086672B">
        <w:t>20</w:t>
      </w:r>
      <w:r w:rsidRPr="00643B3B" w:rsidR="0086672B">
        <w:t>08</w:t>
      </w:r>
      <w:r w:rsidR="0086672B">
        <w:t xml:space="preserve"> Z. z.</w:t>
      </w:r>
      <w:r w:rsidRPr="00643B3B" w:rsidR="0086672B">
        <w:t xml:space="preserve"> o</w:t>
      </w:r>
      <w:r w:rsidRPr="00643B3B" w:rsidR="0086672B">
        <w:rPr>
          <w:rFonts w:hint="default"/>
        </w:rPr>
        <w:t xml:space="preserve"> podmienkach poskytovania podpory v poľ</w:t>
      </w:r>
      <w:r w:rsidRPr="00643B3B" w:rsidR="0086672B">
        <w:rPr>
          <w:rFonts w:hint="default"/>
        </w:rPr>
        <w:t>nohospodá</w:t>
      </w:r>
      <w:r w:rsidRPr="00643B3B" w:rsidR="0086672B">
        <w:rPr>
          <w:rFonts w:hint="default"/>
        </w:rPr>
        <w:t>rstve formou prechodnej platby na rajč</w:t>
      </w:r>
      <w:r w:rsidRPr="00643B3B" w:rsidR="0086672B">
        <w:rPr>
          <w:rFonts w:hint="default"/>
        </w:rPr>
        <w:t>iaky a osobitnej platby na ovocie a zeleninu bolo zruš</w:t>
      </w:r>
      <w:r w:rsidRPr="00643B3B" w:rsidR="0086672B">
        <w:rPr>
          <w:rFonts w:hint="default"/>
        </w:rPr>
        <w:t>ené</w:t>
      </w:r>
      <w:r w:rsidRPr="00643B3B" w:rsidR="0086672B">
        <w:rPr>
          <w:rFonts w:hint="default"/>
        </w:rPr>
        <w:t xml:space="preserve"> nariadení</w:t>
      </w:r>
      <w:r w:rsidRPr="00643B3B" w:rsidR="0086672B">
        <w:rPr>
          <w:rFonts w:hint="default"/>
        </w:rPr>
        <w:t>m</w:t>
      </w:r>
      <w:r w:rsidR="0086672B">
        <w:rPr>
          <w:rFonts w:hint="default"/>
        </w:rPr>
        <w:t xml:space="preserve"> vlá</w:t>
      </w:r>
      <w:r w:rsidR="0086672B">
        <w:rPr>
          <w:rFonts w:hint="default"/>
        </w:rPr>
        <w:t>dy SR č.</w:t>
      </w:r>
      <w:r w:rsidRPr="00643B3B" w:rsidR="0086672B">
        <w:t xml:space="preserve"> 20/</w:t>
      </w:r>
      <w:r w:rsidR="0086672B">
        <w:t>20</w:t>
      </w:r>
      <w:r w:rsidRPr="00643B3B" w:rsidR="0086672B">
        <w:t>09</w:t>
      </w:r>
      <w:r w:rsidR="0086672B">
        <w:t xml:space="preserve"> Z. z.</w:t>
      </w:r>
      <w:r w:rsidRPr="00643B3B" w:rsidR="0086672B">
        <w:t xml:space="preserve"> </w:t>
      </w:r>
      <w:r w:rsidRPr="00413F1E" w:rsidR="0086672B">
        <w:rPr>
          <w:rFonts w:hint="default"/>
        </w:rPr>
        <w:t>o podmienkach poskytovania podpory v poľ</w:t>
      </w:r>
      <w:r w:rsidRPr="00413F1E" w:rsidR="0086672B">
        <w:rPr>
          <w:rFonts w:hint="default"/>
        </w:rPr>
        <w:t>nohospodá</w:t>
      </w:r>
      <w:r w:rsidRPr="00413F1E" w:rsidR="0086672B">
        <w:rPr>
          <w:rFonts w:hint="default"/>
        </w:rPr>
        <w:t>rstve formou priamych plat</w:t>
      </w:r>
      <w:r w:rsidRPr="00413F1E" w:rsidR="0086672B">
        <w:rPr>
          <w:rFonts w:hint="default"/>
        </w:rPr>
        <w:t>ieb</w:t>
      </w:r>
      <w:r w:rsidR="0086672B">
        <w:t xml:space="preserve"> </w:t>
      </w:r>
      <w:r w:rsidRPr="00643B3B" w:rsidR="0086672B">
        <w:rPr>
          <w:rFonts w:hint="default"/>
        </w:rPr>
        <w:t>s úč</w:t>
      </w:r>
      <w:r w:rsidRPr="00643B3B" w:rsidR="0086672B">
        <w:rPr>
          <w:rFonts w:hint="default"/>
        </w:rPr>
        <w:t>innosť</w:t>
      </w:r>
      <w:r w:rsidRPr="00643B3B" w:rsidR="0086672B">
        <w:rPr>
          <w:rFonts w:hint="default"/>
        </w:rPr>
        <w:t>ou od 1. 2. 2009</w:t>
      </w:r>
      <w:r w:rsidR="0086672B">
        <w:t>.</w:t>
      </w:r>
    </w:p>
    <w:p w:rsidR="00201740" w:rsidP="00201740">
      <w:pPr>
        <w:bidi w:val="0"/>
        <w:ind w:firstLine="708"/>
        <w:rPr>
          <w:i/>
        </w:rPr>
      </w:pPr>
      <w:r>
        <w:rPr>
          <w:rStyle w:val="Strong"/>
          <w:rFonts w:hint="default"/>
          <w:i/>
        </w:rPr>
        <w:t>Prechodná</w:t>
      </w:r>
      <w:r>
        <w:rPr>
          <w:rStyle w:val="Strong"/>
          <w:rFonts w:hint="default"/>
          <w:i/>
        </w:rPr>
        <w:t xml:space="preserve"> platba na rajč</w:t>
      </w:r>
      <w:r>
        <w:rPr>
          <w:rStyle w:val="Strong"/>
          <w:rFonts w:hint="default"/>
          <w:i/>
        </w:rPr>
        <w:t>iaky</w:t>
      </w:r>
      <w:r>
        <w:rPr>
          <w:rFonts w:hint="default"/>
        </w:rPr>
        <w:t xml:space="preserve"> sa poskytla na vý</w:t>
      </w:r>
      <w:r>
        <w:rPr>
          <w:rFonts w:hint="default"/>
        </w:rPr>
        <w:t>meru pestovaný</w:t>
      </w:r>
      <w:r>
        <w:rPr>
          <w:rFonts w:hint="default"/>
        </w:rPr>
        <w:t>ch rajč</w:t>
      </w:r>
      <w:r>
        <w:rPr>
          <w:rFonts w:hint="default"/>
        </w:rPr>
        <w:t>iakov v kalendá</w:t>
      </w:r>
      <w:r>
        <w:rPr>
          <w:rFonts w:hint="default"/>
        </w:rPr>
        <w:t>rnom roku, najviac vš</w:t>
      </w:r>
      <w:r>
        <w:rPr>
          <w:rFonts w:hint="default"/>
        </w:rPr>
        <w:t>ak na vý</w:t>
      </w:r>
      <w:r>
        <w:rPr>
          <w:rFonts w:hint="default"/>
        </w:rPr>
        <w:t>meru, ktorá</w:t>
      </w:r>
      <w:r>
        <w:rPr>
          <w:rFonts w:hint="default"/>
        </w:rPr>
        <w:t xml:space="preserve"> bola uvedená</w:t>
      </w:r>
      <w:r>
        <w:rPr>
          <w:rFonts w:hint="default"/>
        </w:rPr>
        <w:t xml:space="preserve"> v zmluve s prvý</w:t>
      </w:r>
      <w:r>
        <w:rPr>
          <w:rFonts w:hint="default"/>
        </w:rPr>
        <w:t>m spracovateľ</w:t>
      </w:r>
      <w:r>
        <w:rPr>
          <w:rFonts w:hint="default"/>
        </w:rPr>
        <w:t>om, ktorý</w:t>
      </w:r>
      <w:r>
        <w:rPr>
          <w:rFonts w:hint="default"/>
        </w:rPr>
        <w:t xml:space="preserve"> je zaradený</w:t>
      </w:r>
      <w:r>
        <w:rPr>
          <w:rFonts w:hint="default"/>
        </w:rPr>
        <w:t xml:space="preserve"> na zozname schvá</w:t>
      </w:r>
      <w:r>
        <w:rPr>
          <w:rFonts w:hint="default"/>
        </w:rPr>
        <w:t>lený</w:t>
      </w:r>
      <w:r>
        <w:rPr>
          <w:rFonts w:hint="default"/>
        </w:rPr>
        <w:t>ch prevá</w:t>
      </w:r>
      <w:r>
        <w:rPr>
          <w:rFonts w:hint="default"/>
        </w:rPr>
        <w:t>dzkovateľ</w:t>
      </w:r>
      <w:r>
        <w:rPr>
          <w:rFonts w:hint="default"/>
        </w:rPr>
        <w:t>o</w:t>
      </w:r>
      <w:r>
        <w:rPr>
          <w:rFonts w:hint="default"/>
        </w:rPr>
        <w:t>v pre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 kalendá</w:t>
      </w:r>
      <w:r>
        <w:rPr>
          <w:rFonts w:hint="default"/>
        </w:rPr>
        <w:t>rny rok zverejnenom vo Vestní</w:t>
      </w:r>
      <w:r>
        <w:rPr>
          <w:rFonts w:hint="default"/>
        </w:rPr>
        <w:t>ku Ministerstva pô</w:t>
      </w:r>
      <w:r>
        <w:rPr>
          <w:rFonts w:hint="default"/>
        </w:rPr>
        <w:t>dohospodá</w:t>
      </w:r>
      <w:r>
        <w:rPr>
          <w:rFonts w:hint="default"/>
        </w:rPr>
        <w:t>rstva SR. Ž</w:t>
      </w:r>
      <w:r>
        <w:rPr>
          <w:rFonts w:hint="default"/>
        </w:rPr>
        <w:t>iadateľ</w:t>
      </w:r>
      <w:r>
        <w:rPr>
          <w:rFonts w:hint="default"/>
        </w:rPr>
        <w:t xml:space="preserve"> bol </w:t>
      </w:r>
      <w:r w:rsidRPr="006F3490">
        <w:rPr>
          <w:rStyle w:val="Strong"/>
          <w:rFonts w:hint="default"/>
          <w:b w:val="0"/>
        </w:rPr>
        <w:t>povinný</w:t>
      </w:r>
      <w:r w:rsidRPr="006F3490">
        <w:rPr>
          <w:rStyle w:val="Strong"/>
          <w:rFonts w:hint="default"/>
          <w:b w:val="0"/>
        </w:rPr>
        <w:t xml:space="preserve"> dodať</w:t>
      </w:r>
      <w:r w:rsidRPr="006F3490">
        <w:rPr>
          <w:rStyle w:val="Strong"/>
          <w:rFonts w:hint="default"/>
          <w:b w:val="0"/>
        </w:rPr>
        <w:t xml:space="preserve"> prvé</w:t>
      </w:r>
      <w:r w:rsidRPr="006F3490">
        <w:rPr>
          <w:rStyle w:val="Strong"/>
          <w:rFonts w:hint="default"/>
          <w:b w:val="0"/>
        </w:rPr>
        <w:t>mu spracovateľ</w:t>
      </w:r>
      <w:r w:rsidRPr="006F3490">
        <w:rPr>
          <w:rStyle w:val="Strong"/>
          <w:rFonts w:hint="default"/>
          <w:b w:val="0"/>
        </w:rPr>
        <w:t>ovi</w:t>
      </w:r>
      <w:r w:rsidRPr="006F3490">
        <w:rPr>
          <w:b/>
        </w:rPr>
        <w:t xml:space="preserve"> </w:t>
      </w:r>
      <w:r w:rsidRPr="006F3490">
        <w:rPr>
          <w:rFonts w:hint="default"/>
        </w:rPr>
        <w:t>najmenej také</w:t>
      </w:r>
      <w:r w:rsidRPr="006F3490">
        <w:rPr>
          <w:b/>
        </w:rPr>
        <w:t xml:space="preserve"> </w:t>
      </w:r>
      <w:r w:rsidRPr="006F3490">
        <w:rPr>
          <w:rStyle w:val="Strong"/>
          <w:rFonts w:hint="default"/>
          <w:b w:val="0"/>
        </w:rPr>
        <w:t>množ</w:t>
      </w:r>
      <w:r w:rsidRPr="006F3490">
        <w:rPr>
          <w:rStyle w:val="Strong"/>
          <w:rFonts w:hint="default"/>
          <w:b w:val="0"/>
        </w:rPr>
        <w:t>stvo</w:t>
      </w:r>
      <w:r w:rsidRPr="006F3490">
        <w:rPr>
          <w:b/>
        </w:rPr>
        <w:t xml:space="preserve"> </w:t>
      </w:r>
      <w:r w:rsidRPr="006F3490">
        <w:rPr>
          <w:rFonts w:hint="default"/>
        </w:rPr>
        <w:t>rajč</w:t>
      </w:r>
      <w:r w:rsidRPr="006F3490">
        <w:rPr>
          <w:rFonts w:hint="default"/>
        </w:rPr>
        <w:t>iakov, ktoré</w:t>
      </w:r>
      <w:r w:rsidRPr="006F3490">
        <w:rPr>
          <w:b/>
        </w:rPr>
        <w:t xml:space="preserve"> </w:t>
      </w:r>
      <w:r w:rsidRPr="006F3490">
        <w:rPr>
          <w:rStyle w:val="Strong"/>
          <w:b w:val="0"/>
        </w:rPr>
        <w:t>zodpovedalo</w:t>
      </w:r>
      <w:r w:rsidRPr="006F3490">
        <w:rPr>
          <w:b/>
        </w:rPr>
        <w:t xml:space="preserve"> </w:t>
      </w:r>
      <w:r w:rsidRPr="006F3490">
        <w:rPr>
          <w:rFonts w:hint="default"/>
        </w:rPr>
        <w:t>ná</w:t>
      </w:r>
      <w:r w:rsidRPr="006F3490">
        <w:rPr>
          <w:rFonts w:hint="default"/>
        </w:rPr>
        <w:t>sobku vý</w:t>
      </w:r>
      <w:r w:rsidRPr="006F3490">
        <w:rPr>
          <w:rFonts w:hint="default"/>
        </w:rPr>
        <w:t>mery rajč</w:t>
      </w:r>
      <w:r w:rsidRPr="006F3490">
        <w:rPr>
          <w:rFonts w:hint="default"/>
        </w:rPr>
        <w:t xml:space="preserve">iakov </w:t>
      </w:r>
      <w:r w:rsidRPr="00594335">
        <w:rPr>
          <w:rStyle w:val="Strong"/>
          <w:b w:val="0"/>
        </w:rPr>
        <w:t>a</w:t>
      </w:r>
      <w:r w:rsidRPr="006F3490">
        <w:rPr>
          <w:rFonts w:hint="default"/>
        </w:rPr>
        <w:t xml:space="preserve"> minimá</w:t>
      </w:r>
      <w:r w:rsidRPr="006F3490">
        <w:rPr>
          <w:rFonts w:hint="default"/>
        </w:rPr>
        <w:t>lnej ú</w:t>
      </w:r>
      <w:r w:rsidRPr="006F3490">
        <w:rPr>
          <w:rFonts w:hint="default"/>
        </w:rPr>
        <w:t>rode 20 t/ha.</w:t>
      </w:r>
      <w:r>
        <w:t xml:space="preserve"> </w:t>
      </w:r>
      <w:r w:rsidR="001A4EF6">
        <w:t xml:space="preserve">Do konca </w:t>
      </w:r>
      <w:r>
        <w:t>roku</w:t>
      </w:r>
      <w:r>
        <w:t xml:space="preserve"> 2010 nebola </w:t>
      </w:r>
      <w:r w:rsidR="00D5323E">
        <w:t xml:space="preserve">platba </w:t>
      </w:r>
      <w:r>
        <w:rPr>
          <w:rFonts w:hint="default"/>
        </w:rPr>
        <w:t>realizovaná.</w:t>
      </w:r>
    </w:p>
    <w:p w:rsidR="00201740" w:rsidRPr="007F4471" w:rsidP="00201740">
      <w:pPr>
        <w:bidi w:val="0"/>
        <w:ind w:firstLine="708"/>
        <w:rPr>
          <w:b/>
        </w:rPr>
      </w:pPr>
      <w:r w:rsidRPr="007F4471">
        <w:rPr>
          <w:rFonts w:hint="default"/>
          <w:b/>
          <w:i/>
        </w:rPr>
        <w:t>Osobitná</w:t>
      </w:r>
      <w:r w:rsidRPr="007F4471">
        <w:rPr>
          <w:rFonts w:hint="default"/>
          <w:b/>
          <w:i/>
        </w:rPr>
        <w:t xml:space="preserve"> platba na cukor</w:t>
      </w:r>
    </w:p>
    <w:p w:rsidR="00201740" w:rsidP="002E5B72">
      <w:pPr>
        <w:bidi w:val="0"/>
        <w:spacing w:after="120"/>
        <w:rPr>
          <w:rFonts w:hint="default"/>
        </w:rPr>
      </w:pPr>
      <w:r>
        <w:rPr>
          <w:rFonts w:hint="default"/>
        </w:rPr>
        <w:t>Osobitná</w:t>
      </w:r>
      <w:r>
        <w:rPr>
          <w:rFonts w:hint="default"/>
        </w:rPr>
        <w:t xml:space="preserve"> platba na cukor je zavedená</w:t>
      </w:r>
      <w:r>
        <w:rPr>
          <w:rFonts w:hint="default"/>
        </w:rPr>
        <w:t xml:space="preserve"> od </w:t>
      </w:r>
      <w:r w:rsidR="00F70B7E">
        <w:rPr>
          <w:rFonts w:hint="default"/>
        </w:rPr>
        <w:t>roku 2006 a upravená</w:t>
      </w:r>
      <w:r w:rsidR="00F70B7E">
        <w:rPr>
          <w:rFonts w:hint="default"/>
        </w:rPr>
        <w:t xml:space="preserve"> č</w:t>
      </w:r>
      <w:r w:rsidR="00F70B7E">
        <w:rPr>
          <w:rFonts w:hint="default"/>
        </w:rPr>
        <w:t>l. 143 b n</w:t>
      </w:r>
      <w:r>
        <w:rPr>
          <w:rFonts w:hint="default"/>
        </w:rPr>
        <w:t>ariadenia Rady č</w:t>
      </w:r>
      <w:r>
        <w:rPr>
          <w:rFonts w:hint="default"/>
        </w:rPr>
        <w:t>l.1782/20</w:t>
      </w:r>
      <w:r w:rsidR="00F70B7E">
        <w:rPr>
          <w:rFonts w:hint="default"/>
        </w:rPr>
        <w:t>03. Od 1. 1. 2009 bolo zruš</w:t>
      </w:r>
      <w:r w:rsidR="00F70B7E">
        <w:rPr>
          <w:rFonts w:hint="default"/>
        </w:rPr>
        <w:t>ené</w:t>
      </w:r>
      <w:r w:rsidR="00F70B7E">
        <w:rPr>
          <w:rFonts w:hint="default"/>
        </w:rPr>
        <w:t xml:space="preserve"> n</w:t>
      </w:r>
      <w:r>
        <w:rPr>
          <w:rFonts w:hint="default"/>
        </w:rPr>
        <w:t>ariadení</w:t>
      </w:r>
      <w:r>
        <w:rPr>
          <w:rFonts w:hint="default"/>
        </w:rPr>
        <w:t>m Rady 73/2009, platba sa vyplá</w:t>
      </w:r>
      <w:r>
        <w:rPr>
          <w:rFonts w:hint="default"/>
        </w:rPr>
        <w:t>cala podľ</w:t>
      </w:r>
      <w:r>
        <w:rPr>
          <w:rFonts w:hint="default"/>
        </w:rPr>
        <w:t>a č</w:t>
      </w:r>
      <w:r>
        <w:rPr>
          <w:rFonts w:hint="default"/>
        </w:rPr>
        <w:t xml:space="preserve">l. 126. </w:t>
      </w:r>
      <w:r w:rsidR="00594335">
        <w:t>Nariadenie</w:t>
      </w:r>
      <w:r w:rsidR="00594335">
        <w:t xml:space="preserve"> j</w:t>
      </w:r>
      <w:r>
        <w:rPr>
          <w:rFonts w:hint="default"/>
        </w:rPr>
        <w:t>e vý</w:t>
      </w:r>
      <w:r>
        <w:rPr>
          <w:rFonts w:hint="default"/>
        </w:rPr>
        <w:t xml:space="preserve">sledkom reformy v sektore cukru, na </w:t>
      </w:r>
      <w:r w:rsidR="009B7437">
        <w:t xml:space="preserve">ktorej </w:t>
      </w:r>
      <w:r>
        <w:rPr>
          <w:rFonts w:hint="default"/>
        </w:rPr>
        <w:t>zá</w:t>
      </w:r>
      <w:r>
        <w:rPr>
          <w:rFonts w:hint="default"/>
        </w:rPr>
        <w:t>klade sa postupne zniž</w:t>
      </w:r>
      <w:r>
        <w:rPr>
          <w:rFonts w:hint="default"/>
        </w:rPr>
        <w:t>uje cena cukru na spoloč</w:t>
      </w:r>
      <w:r>
        <w:rPr>
          <w:rFonts w:hint="default"/>
        </w:rPr>
        <w:t>nom trhu. Osobitná</w:t>
      </w:r>
      <w:r>
        <w:rPr>
          <w:rFonts w:hint="default"/>
        </w:rPr>
        <w:t xml:space="preserve"> platba na cukor má</w:t>
      </w:r>
      <w:r>
        <w:rPr>
          <w:rFonts w:hint="default"/>
        </w:rPr>
        <w:t xml:space="preserve"> farmá</w:t>
      </w:r>
      <w:r>
        <w:rPr>
          <w:rFonts w:hint="default"/>
        </w:rPr>
        <w:t>rom nahradiť</w:t>
      </w:r>
      <w:r>
        <w:rPr>
          <w:rFonts w:hint="default"/>
        </w:rPr>
        <w:t xml:space="preserve"> vý</w:t>
      </w:r>
      <w:r>
        <w:rPr>
          <w:rFonts w:hint="default"/>
        </w:rPr>
        <w:t>padok prí</w:t>
      </w:r>
      <w:r>
        <w:rPr>
          <w:rFonts w:hint="default"/>
        </w:rPr>
        <w:t>jmov v </w:t>
      </w:r>
      <w:r>
        <w:rPr>
          <w:rFonts w:hint="default"/>
        </w:rPr>
        <w:t>dô</w:t>
      </w:r>
      <w:r>
        <w:rPr>
          <w:rFonts w:hint="default"/>
        </w:rPr>
        <w:t>sledku zníž</w:t>
      </w:r>
      <w:r>
        <w:rPr>
          <w:rFonts w:hint="default"/>
        </w:rPr>
        <w:t>enej ceny. Poskytovala sa ako odviazaná</w:t>
      </w:r>
      <w:r>
        <w:rPr>
          <w:rFonts w:hint="default"/>
        </w:rPr>
        <w:t xml:space="preserve"> od produkcie a bola plne financo</w:t>
      </w:r>
      <w:r>
        <w:rPr>
          <w:rFonts w:hint="default"/>
        </w:rPr>
        <w:t>vaná</w:t>
      </w:r>
      <w:r>
        <w:rPr>
          <w:rFonts w:hint="default"/>
        </w:rPr>
        <w:t xml:space="preserve"> z </w:t>
      </w:r>
      <w:r>
        <w:rPr>
          <w:rFonts w:hint="default"/>
        </w:rPr>
        <w:t>prostriedkov EÚ</w:t>
      </w:r>
      <w:r>
        <w:rPr>
          <w:rFonts w:hint="default"/>
        </w:rPr>
        <w:t>. Platba na hektá</w:t>
      </w:r>
      <w:r>
        <w:rPr>
          <w:rFonts w:hint="default"/>
        </w:rPr>
        <w:t>r sa stanovila ako podiel sumy finanč</w:t>
      </w:r>
      <w:r>
        <w:rPr>
          <w:rFonts w:hint="default"/>
        </w:rPr>
        <w:t>nej obá</w:t>
      </w:r>
      <w:r>
        <w:rPr>
          <w:rFonts w:hint="default"/>
        </w:rPr>
        <w:t>lky, urč</w:t>
      </w:r>
      <w:r>
        <w:rPr>
          <w:rFonts w:hint="default"/>
        </w:rPr>
        <w:t>enej pre SR a celkovej vý</w:t>
      </w:r>
      <w:r>
        <w:rPr>
          <w:rFonts w:hint="default"/>
        </w:rPr>
        <w:t>mery podľ</w:t>
      </w:r>
      <w:r>
        <w:rPr>
          <w:rFonts w:hint="default"/>
        </w:rPr>
        <w:t>a podaný</w:t>
      </w:r>
      <w:r>
        <w:rPr>
          <w:rFonts w:hint="default"/>
        </w:rPr>
        <w:t>ch ž</w:t>
      </w:r>
      <w:r>
        <w:rPr>
          <w:rFonts w:hint="default"/>
        </w:rPr>
        <w:t>iadostí</w:t>
      </w:r>
      <w:r>
        <w:rPr>
          <w:rFonts w:hint="default"/>
        </w:rPr>
        <w:t>. Poskytovanie osobit</w:t>
      </w:r>
      <w:r w:rsidR="00F70B7E">
        <w:t xml:space="preserve">nej platby na cukor sa riadilo </w:t>
      </w:r>
      <w:r w:rsidRPr="00A51855" w:rsidR="00F70B7E">
        <w:rPr>
          <w:rFonts w:hint="default"/>
        </w:rPr>
        <w:t>nariadení</w:t>
      </w:r>
      <w:r w:rsidRPr="00A51855" w:rsidR="00F70B7E">
        <w:rPr>
          <w:rFonts w:hint="default"/>
        </w:rPr>
        <w:t>m vlá</w:t>
      </w:r>
      <w:r w:rsidRPr="00A51855" w:rsidR="00F70B7E">
        <w:rPr>
          <w:rFonts w:hint="default"/>
        </w:rPr>
        <w:t>dy</w:t>
      </w:r>
      <w:r w:rsidR="00F70B7E">
        <w:rPr>
          <w:rFonts w:hint="default"/>
        </w:rPr>
        <w:t xml:space="preserve"> SR č</w:t>
      </w:r>
      <w:r w:rsidR="00F70B7E">
        <w:rPr>
          <w:rFonts w:hint="default"/>
        </w:rPr>
        <w:t xml:space="preserve">. </w:t>
      </w:r>
      <w:r w:rsidRPr="00413F1E" w:rsidR="002E5B72">
        <w:rPr>
          <w:rFonts w:hint="default"/>
        </w:rPr>
        <w:t>č</w:t>
      </w:r>
      <w:r w:rsidRPr="00413F1E" w:rsidR="002E5B72">
        <w:rPr>
          <w:rFonts w:hint="default"/>
        </w:rPr>
        <w:t>. 20/2009 Z. z. o podmienkach poskyt</w:t>
      </w:r>
      <w:r w:rsidRPr="00413F1E" w:rsidR="002E5B72">
        <w:rPr>
          <w:rFonts w:hint="default"/>
        </w:rPr>
        <w:t xml:space="preserve">ovania podpory </w:t>
      </w:r>
      <w:r w:rsidR="002E5B72">
        <w:t xml:space="preserve"> </w:t>
      </w:r>
      <w:r w:rsidRPr="00413F1E" w:rsidR="002E5B72">
        <w:rPr>
          <w:rFonts w:hint="default"/>
        </w:rPr>
        <w:t>v poľ</w:t>
      </w:r>
      <w:r w:rsidRPr="00413F1E" w:rsidR="002E5B72">
        <w:rPr>
          <w:rFonts w:hint="default"/>
        </w:rPr>
        <w:t>nohospodá</w:t>
      </w:r>
      <w:r w:rsidRPr="00413F1E" w:rsidR="002E5B72">
        <w:rPr>
          <w:rFonts w:hint="default"/>
        </w:rPr>
        <w:t>rstve formou priamych platieb“</w:t>
      </w:r>
      <w:r w:rsidRPr="00413F1E" w:rsidR="002E5B72">
        <w:rPr>
          <w:rFonts w:hint="default"/>
        </w:rPr>
        <w:t>, keďž</w:t>
      </w:r>
      <w:r w:rsidRPr="00413F1E" w:rsidR="002E5B72">
        <w:rPr>
          <w:rFonts w:hint="default"/>
        </w:rPr>
        <w:t>e nariadenie vlá</w:t>
      </w:r>
      <w:r w:rsidRPr="00413F1E" w:rsidR="002E5B72">
        <w:rPr>
          <w:rFonts w:hint="default"/>
        </w:rPr>
        <w:t>dy SR č</w:t>
      </w:r>
      <w:r w:rsidRPr="00413F1E" w:rsidR="002E5B72">
        <w:rPr>
          <w:rFonts w:hint="default"/>
        </w:rPr>
        <w:t>. 82/2007 Z. z. o podmienkach poskytovania podpory v </w:t>
      </w:r>
      <w:r w:rsidRPr="00413F1E" w:rsidR="002E5B72">
        <w:rPr>
          <w:rFonts w:hint="default"/>
        </w:rPr>
        <w:t>poľ</w:t>
      </w:r>
      <w:r w:rsidRPr="00413F1E" w:rsidR="002E5B72">
        <w:rPr>
          <w:rFonts w:hint="default"/>
        </w:rPr>
        <w:t>nohospodá</w:t>
      </w:r>
      <w:r w:rsidRPr="00413F1E" w:rsidR="002E5B72">
        <w:rPr>
          <w:rFonts w:hint="default"/>
        </w:rPr>
        <w:t>rstve formou osobitnej platby na cukor bolo zruš</w:t>
      </w:r>
      <w:r w:rsidRPr="00413F1E" w:rsidR="002E5B72">
        <w:rPr>
          <w:rFonts w:hint="default"/>
        </w:rPr>
        <w:t>ené</w:t>
      </w:r>
      <w:r w:rsidRPr="00413F1E" w:rsidR="002E5B72">
        <w:rPr>
          <w:rFonts w:hint="default"/>
        </w:rPr>
        <w:t xml:space="preserve"> nariadení</w:t>
      </w:r>
      <w:r w:rsidRPr="00413F1E" w:rsidR="002E5B72">
        <w:rPr>
          <w:rFonts w:hint="default"/>
        </w:rPr>
        <w:t>m vlá</w:t>
      </w:r>
      <w:r w:rsidRPr="00413F1E" w:rsidR="002E5B72">
        <w:rPr>
          <w:rFonts w:hint="default"/>
        </w:rPr>
        <w:t>dy SR č.</w:t>
      </w:r>
      <w:r w:rsidR="002E5B72">
        <w:t> </w:t>
      </w:r>
      <w:r w:rsidR="002E5B72">
        <w:t>20</w:t>
      </w:r>
      <w:r w:rsidRPr="00413F1E" w:rsidR="002E5B72">
        <w:t>/2009 Z. z. o podmienkach</w:t>
      </w:r>
      <w:r w:rsidRPr="00413F1E" w:rsidR="002E5B72">
        <w:rPr>
          <w:rFonts w:hint="default"/>
        </w:rPr>
        <w:t xml:space="preserve"> poskytovania podpory v poľ</w:t>
      </w:r>
      <w:r w:rsidRPr="00413F1E" w:rsidR="002E5B72">
        <w:rPr>
          <w:rFonts w:hint="default"/>
        </w:rPr>
        <w:t>nohospodá</w:t>
      </w:r>
      <w:r w:rsidRPr="00413F1E" w:rsidR="002E5B72">
        <w:rPr>
          <w:rFonts w:hint="default"/>
        </w:rPr>
        <w:t>rstve formou priamych platieb s úč</w:t>
      </w:r>
      <w:r w:rsidRPr="00413F1E" w:rsidR="002E5B72">
        <w:rPr>
          <w:rFonts w:hint="default"/>
        </w:rPr>
        <w:t>innosť</w:t>
      </w:r>
      <w:r w:rsidRPr="00413F1E" w:rsidR="002E5B72">
        <w:rPr>
          <w:rFonts w:hint="default"/>
        </w:rPr>
        <w:t>ou od 1. 2. 2009</w:t>
      </w:r>
      <w:r w:rsidR="002E5B72">
        <w:t xml:space="preserve">. </w:t>
      </w:r>
      <w:r>
        <w:rPr>
          <w:rFonts w:hint="default"/>
        </w:rPr>
        <w:t>Podľ</w:t>
      </w:r>
      <w:r>
        <w:rPr>
          <w:rFonts w:hint="default"/>
        </w:rPr>
        <w:t>a metodické</w:t>
      </w:r>
      <w:r>
        <w:rPr>
          <w:rFonts w:hint="default"/>
        </w:rPr>
        <w:t xml:space="preserve">ho pokynu </w:t>
      </w:r>
      <w:r w:rsidRPr="008755DB">
        <w:t>MP</w:t>
      </w:r>
      <w:r w:rsidRPr="008755DB" w:rsidR="008755DB">
        <w:t>RV</w:t>
      </w:r>
      <w:r w:rsidRPr="008755DB">
        <w:rPr>
          <w:rFonts w:hint="default"/>
        </w:rPr>
        <w:t xml:space="preserve"> SR č</w:t>
      </w:r>
      <w:r w:rsidRPr="008755DB">
        <w:rPr>
          <w:rFonts w:hint="default"/>
        </w:rPr>
        <w:t xml:space="preserve">. </w:t>
      </w:r>
      <w:r w:rsidRPr="008755DB" w:rsidR="008755DB">
        <w:t>1304</w:t>
      </w:r>
      <w:r w:rsidRPr="008755DB">
        <w:t>/20</w:t>
      </w:r>
      <w:r w:rsidRPr="008755DB" w:rsidR="008755DB">
        <w:t>10</w:t>
      </w:r>
      <w:r w:rsidRPr="008755DB" w:rsidR="00C0319B">
        <w:t> </w:t>
      </w:r>
      <w:r w:rsidRPr="008755DB">
        <w:t>-</w:t>
      </w:r>
      <w:r w:rsidRPr="008755DB" w:rsidR="00C0319B">
        <w:t> </w:t>
      </w:r>
      <w:r w:rsidRPr="008755DB" w:rsidR="008755DB">
        <w:t>6</w:t>
      </w:r>
      <w:r w:rsidRPr="008755DB" w:rsidR="00F70B7E">
        <w:t>30</w:t>
      </w:r>
      <w:r>
        <w:rPr>
          <w:rFonts w:hint="default"/>
        </w:rPr>
        <w:t>, sa osobitná</w:t>
      </w:r>
      <w:r>
        <w:rPr>
          <w:rFonts w:hint="default"/>
        </w:rPr>
        <w:t xml:space="preserve"> platba na cukor poskytla na „</w:t>
      </w:r>
      <w:r>
        <w:rPr>
          <w:rFonts w:hint="default"/>
        </w:rPr>
        <w:t>historickú</w:t>
      </w:r>
      <w:r>
        <w:rPr>
          <w:rFonts w:hint="default"/>
        </w:rPr>
        <w:t xml:space="preserve"> vý</w:t>
      </w:r>
      <w:r>
        <w:rPr>
          <w:rFonts w:hint="default"/>
        </w:rPr>
        <w:t>meru“</w:t>
      </w:r>
      <w:r>
        <w:rPr>
          <w:rFonts w:hint="default"/>
        </w:rPr>
        <w:t>, nie na vý</w:t>
      </w:r>
      <w:r>
        <w:rPr>
          <w:rFonts w:hint="default"/>
        </w:rPr>
        <w:t>meru cukrovej repy v </w:t>
      </w:r>
      <w:r>
        <w:rPr>
          <w:rFonts w:hint="default"/>
        </w:rPr>
        <w:t>aktuá</w:t>
      </w:r>
      <w:r>
        <w:rPr>
          <w:rFonts w:hint="default"/>
        </w:rPr>
        <w:t>lnom roku pes</w:t>
      </w:r>
      <w:r>
        <w:rPr>
          <w:rFonts w:hint="default"/>
        </w:rPr>
        <w:t>tovania. Výš</w:t>
      </w:r>
      <w:r>
        <w:rPr>
          <w:rFonts w:hint="default"/>
        </w:rPr>
        <w:t>ku osobitnej platby na cukor neovplyvnila zmena vý</w:t>
      </w:r>
      <w:r>
        <w:rPr>
          <w:rFonts w:hint="default"/>
        </w:rPr>
        <w:t>mery cukrovej repy v </w:t>
      </w:r>
      <w:r>
        <w:rPr>
          <w:rFonts w:hint="default"/>
        </w:rPr>
        <w:t>porovnaní</w:t>
      </w:r>
      <w:r>
        <w:rPr>
          <w:rFonts w:hint="default"/>
        </w:rPr>
        <w:t xml:space="preserve"> s </w:t>
      </w:r>
      <w:r>
        <w:rPr>
          <w:rFonts w:hint="default"/>
        </w:rPr>
        <w:t>rokom 2005 alebo zmena vý</w:t>
      </w:r>
      <w:r>
        <w:rPr>
          <w:rFonts w:hint="default"/>
        </w:rPr>
        <w:t>mery poľ</w:t>
      </w:r>
      <w:r>
        <w:rPr>
          <w:rFonts w:hint="default"/>
        </w:rPr>
        <w:t>nohospodá</w:t>
      </w:r>
      <w:r>
        <w:rPr>
          <w:rFonts w:hint="default"/>
        </w:rPr>
        <w:t>rskej pô</w:t>
      </w:r>
      <w:r>
        <w:rPr>
          <w:rFonts w:hint="default"/>
        </w:rPr>
        <w:t>dy celkom, vrá</w:t>
      </w:r>
      <w:r>
        <w:rPr>
          <w:rFonts w:hint="default"/>
        </w:rPr>
        <w:t>tane ukonč</w:t>
      </w:r>
      <w:r>
        <w:rPr>
          <w:rFonts w:hint="default"/>
        </w:rPr>
        <w:t>enia pestovania cukrovej repy, ak bola oprá</w:t>
      </w:r>
      <w:r>
        <w:rPr>
          <w:rFonts w:hint="default"/>
        </w:rPr>
        <w:t>vnená</w:t>
      </w:r>
      <w:r>
        <w:rPr>
          <w:rFonts w:hint="default"/>
        </w:rPr>
        <w:t xml:space="preserve"> pre platbu SAPS v </w:t>
      </w:r>
      <w:r>
        <w:rPr>
          <w:rFonts w:hint="default"/>
        </w:rPr>
        <w:t>prí</w:t>
      </w:r>
      <w:r>
        <w:rPr>
          <w:rFonts w:hint="default"/>
        </w:rPr>
        <w:t>sluš</w:t>
      </w:r>
      <w:r>
        <w:rPr>
          <w:rFonts w:hint="default"/>
        </w:rPr>
        <w:t>nom kalendá</w:t>
      </w:r>
      <w:r>
        <w:rPr>
          <w:rFonts w:hint="default"/>
        </w:rPr>
        <w:t>r</w:t>
      </w:r>
      <w:r>
        <w:rPr>
          <w:rFonts w:hint="default"/>
        </w:rPr>
        <w:t>n</w:t>
      </w:r>
      <w:r>
        <w:rPr>
          <w:rFonts w:hint="default"/>
        </w:rPr>
        <w:t>om roku.</w:t>
        <w:tab/>
      </w:r>
    </w:p>
    <w:p w:rsidR="00201740" w:rsidRPr="00D5323E" w:rsidP="00D5323E">
      <w:pPr>
        <w:pStyle w:val="Normln12"/>
        <w:keepNext/>
        <w:bidi w:val="0"/>
        <w:ind w:firstLine="0"/>
        <w:rPr>
          <w:rFonts w:ascii="Times New Roman" w:hAnsi="Times New Roman"/>
          <w:b/>
          <w:bCs/>
          <w:i/>
          <w:szCs w:val="24"/>
        </w:rPr>
      </w:pPr>
      <w:r w:rsidRPr="00D5323E">
        <w:rPr>
          <w:rFonts w:ascii="Times New Roman" w:hAnsi="Times New Roman"/>
          <w:b/>
          <w:bCs/>
          <w:i/>
          <w:szCs w:val="24"/>
        </w:rPr>
        <w:t>Platba na pestovanie energetických plodín</w:t>
      </w:r>
    </w:p>
    <w:p w:rsidR="00201740" w:rsidRPr="00F40421" w:rsidP="00201740">
      <w:pPr>
        <w:bidi w:val="0"/>
        <w:outlineLvl w:val="0"/>
        <w:rPr>
          <w:rFonts w:hint="default"/>
          <w:noProof/>
        </w:rPr>
      </w:pPr>
      <w:r w:rsidRPr="00F40421">
        <w:rPr>
          <w:rFonts w:hint="default"/>
          <w:noProof/>
        </w:rPr>
        <w:t>Zá</w:t>
      </w:r>
      <w:r w:rsidRPr="00F40421">
        <w:rPr>
          <w:rFonts w:hint="default"/>
          <w:noProof/>
        </w:rPr>
        <w:t>kladná</w:t>
      </w:r>
      <w:r w:rsidRPr="00F40421">
        <w:rPr>
          <w:rFonts w:hint="default"/>
          <w:noProof/>
        </w:rPr>
        <w:t xml:space="preserve"> legislatí</w:t>
      </w:r>
      <w:r w:rsidRPr="00F40421">
        <w:rPr>
          <w:rFonts w:hint="default"/>
          <w:noProof/>
        </w:rPr>
        <w:t>va:</w:t>
      </w:r>
    </w:p>
    <w:p w:rsidR="00201740" w:rsidP="00D018B8">
      <w:pPr>
        <w:numPr>
          <w:numId w:val="26"/>
        </w:numPr>
        <w:bidi w:val="0"/>
        <w:spacing w:after="0"/>
        <w:outlineLvl w:val="0"/>
        <w:rPr>
          <w:noProof/>
        </w:rPr>
      </w:pPr>
      <w:r w:rsidR="00A51855">
        <w:rPr>
          <w:noProof/>
        </w:rPr>
        <w:t>n</w:t>
      </w:r>
      <w:r w:rsidRPr="00D018B8">
        <w:rPr>
          <w:noProof/>
        </w:rPr>
        <w:t>ariadenie</w:t>
      </w:r>
      <w:r>
        <w:rPr>
          <w:bCs/>
          <w:noProof/>
        </w:rPr>
        <w:t xml:space="preserve"> Komisie</w:t>
      </w:r>
      <w:r>
        <w:rPr>
          <w:b/>
          <w:noProof/>
        </w:rPr>
        <w:t xml:space="preserve"> </w:t>
      </w:r>
      <w:r>
        <w:rPr>
          <w:rFonts w:hint="default"/>
          <w:noProof/>
        </w:rPr>
        <w:t>(ES) č</w:t>
      </w:r>
      <w:r>
        <w:rPr>
          <w:rFonts w:hint="default"/>
          <w:noProof/>
        </w:rPr>
        <w:t>. 1973/2004, ustanovujú</w:t>
      </w:r>
      <w:r>
        <w:rPr>
          <w:rFonts w:hint="default"/>
          <w:noProof/>
        </w:rPr>
        <w:t>ce podrobné</w:t>
      </w:r>
      <w:r>
        <w:rPr>
          <w:rFonts w:hint="default"/>
          <w:noProof/>
        </w:rPr>
        <w:t xml:space="preserve"> pravidlá</w:t>
      </w:r>
      <w:r>
        <w:rPr>
          <w:rFonts w:hint="default"/>
          <w:noProof/>
        </w:rPr>
        <w:t xml:space="preserve"> uplatň</w:t>
      </w:r>
      <w:r>
        <w:rPr>
          <w:rFonts w:hint="default"/>
          <w:noProof/>
        </w:rPr>
        <w:t>ovania nariadenia Rady  (ES) č</w:t>
      </w:r>
      <w:r>
        <w:rPr>
          <w:rFonts w:hint="default"/>
          <w:noProof/>
        </w:rPr>
        <w:t>. 1782/2003 o sché</w:t>
      </w:r>
      <w:r>
        <w:rPr>
          <w:rFonts w:hint="default"/>
          <w:noProof/>
        </w:rPr>
        <w:t>mach podpory stanov</w:t>
      </w:r>
      <w:r w:rsidR="00F037EB">
        <w:rPr>
          <w:rFonts w:hint="default"/>
          <w:noProof/>
        </w:rPr>
        <w:t>ený</w:t>
      </w:r>
      <w:r w:rsidR="00F037EB">
        <w:rPr>
          <w:rFonts w:hint="default"/>
          <w:noProof/>
        </w:rPr>
        <w:t>ch v hlavá</w:t>
      </w:r>
      <w:r w:rsidR="00F037EB">
        <w:rPr>
          <w:rFonts w:hint="default"/>
          <w:noProof/>
        </w:rPr>
        <w:t xml:space="preserve">ch IV a IVa </w:t>
      </w:r>
      <w:r>
        <w:rPr>
          <w:noProof/>
        </w:rPr>
        <w:t>tohto nariadeni</w:t>
      </w:r>
      <w:r>
        <w:rPr>
          <w:rFonts w:hint="default"/>
          <w:noProof/>
        </w:rPr>
        <w:t>a a využ</w:t>
      </w:r>
      <w:r>
        <w:rPr>
          <w:rFonts w:hint="default"/>
          <w:noProof/>
        </w:rPr>
        <w:t>ití</w:t>
      </w:r>
      <w:r>
        <w:rPr>
          <w:rFonts w:hint="default"/>
          <w:noProof/>
        </w:rPr>
        <w:t xml:space="preserve"> pozemkov vyň</w:t>
      </w:r>
      <w:r>
        <w:rPr>
          <w:rFonts w:hint="default"/>
          <w:noProof/>
        </w:rPr>
        <w:t>atý</w:t>
      </w:r>
      <w:r>
        <w:rPr>
          <w:rFonts w:hint="default"/>
          <w:noProof/>
        </w:rPr>
        <w:t>c</w:t>
      </w:r>
      <w:r w:rsidR="00594335">
        <w:rPr>
          <w:rFonts w:hint="default"/>
          <w:noProof/>
        </w:rPr>
        <w:t>h z produkcie na vý</w:t>
      </w:r>
      <w:r w:rsidR="00594335">
        <w:rPr>
          <w:rFonts w:hint="default"/>
          <w:noProof/>
        </w:rPr>
        <w:t>robu suroví</w:t>
      </w:r>
      <w:r w:rsidR="00594335">
        <w:rPr>
          <w:rFonts w:hint="default"/>
          <w:noProof/>
        </w:rPr>
        <w:t>n,</w:t>
      </w:r>
      <w:r>
        <w:rPr>
          <w:noProof/>
        </w:rPr>
        <w:t xml:space="preserve"> </w:t>
      </w:r>
    </w:p>
    <w:p w:rsidR="00201740" w:rsidP="00201740">
      <w:pPr>
        <w:numPr>
          <w:numId w:val="26"/>
        </w:numPr>
        <w:bidi w:val="0"/>
        <w:spacing w:after="0"/>
        <w:outlineLvl w:val="0"/>
        <w:rPr>
          <w:noProof/>
        </w:rPr>
      </w:pPr>
      <w:r w:rsidR="00A51855">
        <w:rPr>
          <w:noProof/>
        </w:rPr>
        <w:t>n</w:t>
      </w:r>
      <w:r>
        <w:rPr>
          <w:rFonts w:hint="default"/>
          <w:noProof/>
        </w:rPr>
        <w:t>ariadenie Komisie (ES) č</w:t>
      </w:r>
      <w:r>
        <w:rPr>
          <w:rFonts w:hint="default"/>
          <w:noProof/>
        </w:rPr>
        <w:t>. 270/2007, ktorý</w:t>
      </w:r>
      <w:r>
        <w:rPr>
          <w:rFonts w:hint="default"/>
          <w:noProof/>
        </w:rPr>
        <w:t>m sa m</w:t>
      </w:r>
      <w:r w:rsidR="00F037EB">
        <w:rPr>
          <w:rFonts w:hint="default"/>
          <w:noProof/>
        </w:rPr>
        <w:t>ení</w:t>
      </w:r>
      <w:r w:rsidR="00F037EB">
        <w:rPr>
          <w:rFonts w:hint="default"/>
          <w:noProof/>
        </w:rPr>
        <w:t xml:space="preserve"> a dopĺň</w:t>
      </w:r>
      <w:r w:rsidR="00F037EB">
        <w:rPr>
          <w:rFonts w:hint="default"/>
          <w:noProof/>
        </w:rPr>
        <w:t>a nariadenie (ES) č. </w:t>
      </w:r>
      <w:r>
        <w:rPr>
          <w:rFonts w:hint="default"/>
          <w:noProof/>
        </w:rPr>
        <w:t>1973/2004 ustanovujú</w:t>
      </w:r>
      <w:r>
        <w:rPr>
          <w:rFonts w:hint="default"/>
          <w:noProof/>
        </w:rPr>
        <w:t>ce podrobné</w:t>
      </w:r>
      <w:r>
        <w:rPr>
          <w:rFonts w:hint="default"/>
          <w:noProof/>
        </w:rPr>
        <w:t xml:space="preserve"> pravidlá</w:t>
      </w:r>
      <w:r>
        <w:rPr>
          <w:rFonts w:hint="default"/>
          <w:noProof/>
        </w:rPr>
        <w:t xml:space="preserve"> uplatň</w:t>
      </w:r>
      <w:r>
        <w:rPr>
          <w:rFonts w:hint="default"/>
          <w:noProof/>
        </w:rPr>
        <w:t>ovania nariadenia Rady (ES</w:t>
      </w:r>
      <w:r w:rsidR="00F037EB">
        <w:rPr>
          <w:rFonts w:hint="default"/>
          <w:noProof/>
        </w:rPr>
        <w:t>) č. </w:t>
      </w:r>
      <w:r>
        <w:rPr>
          <w:rFonts w:hint="default"/>
          <w:noProof/>
        </w:rPr>
        <w:t>1782/2003 o sché</w:t>
      </w:r>
      <w:r>
        <w:rPr>
          <w:rFonts w:hint="default"/>
          <w:noProof/>
        </w:rPr>
        <w:t>mach podpory stanove</w:t>
      </w:r>
      <w:r>
        <w:rPr>
          <w:rFonts w:hint="default"/>
          <w:noProof/>
        </w:rPr>
        <w:t>ný</w:t>
      </w:r>
      <w:r>
        <w:rPr>
          <w:rFonts w:hint="default"/>
          <w:noProof/>
        </w:rPr>
        <w:t>ch v hlav</w:t>
      </w:r>
      <w:r w:rsidR="00F037EB">
        <w:rPr>
          <w:rFonts w:hint="default"/>
          <w:noProof/>
        </w:rPr>
        <w:t>á</w:t>
      </w:r>
      <w:r w:rsidR="00F037EB">
        <w:rPr>
          <w:rFonts w:hint="default"/>
          <w:noProof/>
        </w:rPr>
        <w:t>ch IV a IVa tohto nariadenia a </w:t>
      </w:r>
      <w:r>
        <w:rPr>
          <w:rFonts w:hint="default"/>
          <w:noProof/>
        </w:rPr>
        <w:t>využ</w:t>
      </w:r>
      <w:r>
        <w:rPr>
          <w:rFonts w:hint="default"/>
          <w:noProof/>
        </w:rPr>
        <w:t>ití</w:t>
      </w:r>
      <w:r>
        <w:rPr>
          <w:rFonts w:hint="default"/>
          <w:noProof/>
        </w:rPr>
        <w:t xml:space="preserve"> pozemkov vyň</w:t>
      </w:r>
      <w:r>
        <w:rPr>
          <w:rFonts w:hint="default"/>
          <w:noProof/>
        </w:rPr>
        <w:t>atý</w:t>
      </w:r>
      <w:r>
        <w:rPr>
          <w:rFonts w:hint="default"/>
          <w:noProof/>
        </w:rPr>
        <w:t>c</w:t>
      </w:r>
      <w:r w:rsidR="00594335">
        <w:rPr>
          <w:rFonts w:hint="default"/>
          <w:noProof/>
        </w:rPr>
        <w:t>h z produkcie na vý</w:t>
      </w:r>
      <w:r w:rsidR="00594335">
        <w:rPr>
          <w:rFonts w:hint="default"/>
          <w:noProof/>
        </w:rPr>
        <w:t>robu suroví</w:t>
      </w:r>
      <w:r w:rsidR="00594335">
        <w:rPr>
          <w:rFonts w:hint="default"/>
          <w:noProof/>
        </w:rPr>
        <w:t>n,</w:t>
      </w:r>
      <w:r>
        <w:rPr>
          <w:noProof/>
        </w:rPr>
        <w:t xml:space="preserve"> </w:t>
      </w:r>
    </w:p>
    <w:p w:rsidR="00201740" w:rsidP="00201740">
      <w:pPr>
        <w:numPr>
          <w:numId w:val="26"/>
        </w:numPr>
        <w:bidi w:val="0"/>
        <w:spacing w:after="0"/>
        <w:outlineLvl w:val="0"/>
        <w:rPr>
          <w:noProof/>
        </w:rPr>
      </w:pPr>
      <w:r w:rsidR="00A51855">
        <w:rPr>
          <w:noProof/>
        </w:rPr>
        <w:t>n</w:t>
      </w:r>
      <w:r>
        <w:rPr>
          <w:noProof/>
        </w:rPr>
        <w:t>ariadenie Rady</w:t>
      </w:r>
      <w:r w:rsidR="00594335">
        <w:rPr>
          <w:noProof/>
        </w:rPr>
        <w:t xml:space="preserve"> </w:t>
      </w:r>
      <w:r>
        <w:rPr>
          <w:rFonts w:hint="default"/>
          <w:noProof/>
        </w:rPr>
        <w:t>(ES) č</w:t>
      </w:r>
      <w:r>
        <w:rPr>
          <w:rFonts w:hint="default"/>
          <w:noProof/>
        </w:rPr>
        <w:t>. 73/2009, ktorý</w:t>
      </w:r>
      <w:r>
        <w:rPr>
          <w:rFonts w:hint="default"/>
          <w:noProof/>
        </w:rPr>
        <w:t>m sa ustanovujú</w:t>
      </w:r>
      <w:r>
        <w:rPr>
          <w:rFonts w:hint="default"/>
          <w:noProof/>
        </w:rPr>
        <w:t xml:space="preserve"> spoloč</w:t>
      </w:r>
      <w:r>
        <w:rPr>
          <w:rFonts w:hint="default"/>
          <w:noProof/>
        </w:rPr>
        <w:t>né</w:t>
      </w:r>
      <w:r>
        <w:rPr>
          <w:rFonts w:hint="default"/>
          <w:noProof/>
        </w:rPr>
        <w:t xml:space="preserve"> pravidlá</w:t>
      </w:r>
      <w:r>
        <w:rPr>
          <w:rFonts w:hint="default"/>
          <w:noProof/>
        </w:rPr>
        <w:t xml:space="preserve"> rež</w:t>
      </w:r>
      <w:r>
        <w:rPr>
          <w:rFonts w:hint="default"/>
          <w:noProof/>
        </w:rPr>
        <w:t>imov priamej podpory pre poľ</w:t>
      </w:r>
      <w:r>
        <w:rPr>
          <w:rFonts w:hint="default"/>
          <w:noProof/>
        </w:rPr>
        <w:t>noh</w:t>
      </w:r>
      <w:r w:rsidR="009B7437">
        <w:rPr>
          <w:rFonts w:hint="default"/>
          <w:noProof/>
        </w:rPr>
        <w:t>ospodá</w:t>
      </w:r>
      <w:r w:rsidR="009B7437">
        <w:rPr>
          <w:rFonts w:hint="default"/>
          <w:noProof/>
        </w:rPr>
        <w:t>rov v </w:t>
      </w:r>
      <w:r w:rsidR="009B7437">
        <w:rPr>
          <w:rFonts w:hint="default"/>
          <w:noProof/>
        </w:rPr>
        <w:t>rá</w:t>
      </w:r>
      <w:r w:rsidR="009B7437">
        <w:rPr>
          <w:rFonts w:hint="default"/>
          <w:noProof/>
        </w:rPr>
        <w:t>mci spoloč</w:t>
      </w:r>
      <w:r w:rsidR="009B7437">
        <w:rPr>
          <w:rFonts w:hint="default"/>
          <w:noProof/>
        </w:rPr>
        <w:t>nej poľ</w:t>
      </w:r>
      <w:r w:rsidR="00594335">
        <w:rPr>
          <w:rFonts w:hint="default"/>
          <w:noProof/>
        </w:rPr>
        <w:t>nohospodá</w:t>
      </w:r>
      <w:r w:rsidR="00594335">
        <w:rPr>
          <w:rFonts w:hint="default"/>
          <w:noProof/>
        </w:rPr>
        <w:t>rskej pol</w:t>
      </w:r>
      <w:r w:rsidR="00594335">
        <w:rPr>
          <w:rFonts w:hint="default"/>
          <w:noProof/>
        </w:rPr>
        <w:t>itiky a </w:t>
      </w:r>
      <w:r>
        <w:rPr>
          <w:rFonts w:hint="default"/>
          <w:noProof/>
        </w:rPr>
        <w:t>ktorý</w:t>
      </w:r>
      <w:r>
        <w:rPr>
          <w:rFonts w:hint="default"/>
          <w:noProof/>
        </w:rPr>
        <w:t>m sa ustanovujú</w:t>
      </w:r>
      <w:r>
        <w:rPr>
          <w:rFonts w:hint="default"/>
          <w:noProof/>
        </w:rPr>
        <w:t xml:space="preserve"> niektoré</w:t>
      </w:r>
      <w:r>
        <w:rPr>
          <w:rFonts w:hint="default"/>
          <w:noProof/>
        </w:rPr>
        <w:t xml:space="preserve"> rež</w:t>
      </w:r>
      <w:r>
        <w:rPr>
          <w:rFonts w:hint="default"/>
          <w:noProof/>
        </w:rPr>
        <w:t>imy podpory pre poľ</w:t>
      </w:r>
      <w:r w:rsidR="00594335">
        <w:rPr>
          <w:rFonts w:hint="default"/>
          <w:noProof/>
        </w:rPr>
        <w:t>nohospodá</w:t>
      </w:r>
      <w:r w:rsidR="00594335">
        <w:rPr>
          <w:rFonts w:hint="default"/>
          <w:noProof/>
        </w:rPr>
        <w:t>rov, ktorý</w:t>
      </w:r>
      <w:r w:rsidR="00594335">
        <w:rPr>
          <w:rFonts w:hint="default"/>
          <w:noProof/>
        </w:rPr>
        <w:t>m sa menia a </w:t>
      </w:r>
      <w:r>
        <w:rPr>
          <w:rFonts w:hint="default"/>
          <w:noProof/>
        </w:rPr>
        <w:t>dopĺň</w:t>
      </w:r>
      <w:r>
        <w:rPr>
          <w:rFonts w:hint="default"/>
          <w:noProof/>
        </w:rPr>
        <w:t>ajú</w:t>
      </w:r>
      <w:r>
        <w:rPr>
          <w:rFonts w:hint="default"/>
          <w:noProof/>
        </w:rPr>
        <w:t xml:space="preserve"> nariadenia (ES) č. </w:t>
      </w:r>
      <w:r>
        <w:rPr>
          <w:rFonts w:hint="default"/>
          <w:noProof/>
        </w:rPr>
        <w:t>1290/2005, (ES) č</w:t>
      </w:r>
      <w:r>
        <w:rPr>
          <w:rFonts w:hint="default"/>
          <w:noProof/>
        </w:rPr>
        <w:t>. 247/2006,  (ES) č</w:t>
      </w:r>
      <w:r>
        <w:rPr>
          <w:rFonts w:hint="default"/>
          <w:noProof/>
        </w:rPr>
        <w:t>. 378/2007 a ktorý</w:t>
      </w:r>
      <w:r>
        <w:rPr>
          <w:rFonts w:hint="default"/>
          <w:noProof/>
        </w:rPr>
        <w:t>m sa zruš</w:t>
      </w:r>
      <w:r>
        <w:rPr>
          <w:rFonts w:hint="default"/>
          <w:noProof/>
        </w:rPr>
        <w:t>u</w:t>
      </w:r>
      <w:r w:rsidR="00594335">
        <w:rPr>
          <w:rFonts w:hint="default"/>
          <w:noProof/>
        </w:rPr>
        <w:t>je nariadenie (ES) č</w:t>
      </w:r>
      <w:r w:rsidR="00594335">
        <w:rPr>
          <w:rFonts w:hint="default"/>
          <w:noProof/>
        </w:rPr>
        <w:t>. 1782/2003,</w:t>
      </w:r>
    </w:p>
    <w:p w:rsidR="00201740" w:rsidP="00201740">
      <w:pPr>
        <w:numPr>
          <w:numId w:val="26"/>
        </w:numPr>
        <w:bidi w:val="0"/>
        <w:spacing w:after="0"/>
        <w:outlineLvl w:val="0"/>
        <w:rPr>
          <w:noProof/>
        </w:rPr>
      </w:pPr>
      <w:r w:rsidR="00A51855">
        <w:rPr>
          <w:noProof/>
        </w:rPr>
        <w:t>n</w:t>
      </w:r>
      <w:r>
        <w:rPr>
          <w:noProof/>
        </w:rPr>
        <w:t>a</w:t>
      </w:r>
      <w:r w:rsidR="00F70B7E">
        <w:rPr>
          <w:rFonts w:hint="default"/>
          <w:noProof/>
        </w:rPr>
        <w:t>riadenie vlá</w:t>
      </w:r>
      <w:r w:rsidR="00F70B7E">
        <w:rPr>
          <w:rFonts w:hint="default"/>
          <w:noProof/>
        </w:rPr>
        <w:t>dy SR č</w:t>
      </w:r>
      <w:r w:rsidR="00F70B7E">
        <w:rPr>
          <w:rFonts w:hint="default"/>
          <w:noProof/>
        </w:rPr>
        <w:t>. 20/2009 Z. </w:t>
      </w:r>
      <w:r>
        <w:rPr>
          <w:noProof/>
        </w:rPr>
        <w:t xml:space="preserve">z. o </w:t>
      </w:r>
      <w:r>
        <w:rPr>
          <w:noProof/>
        </w:rPr>
        <w:t>pod</w:t>
      </w:r>
      <w:r w:rsidR="00594335">
        <w:rPr>
          <w:noProof/>
        </w:rPr>
        <w:t>mienkach poskytovania podpory v </w:t>
      </w:r>
      <w:r>
        <w:rPr>
          <w:rFonts w:hint="default"/>
          <w:noProof/>
        </w:rPr>
        <w:t>poľ</w:t>
      </w:r>
      <w:r>
        <w:rPr>
          <w:rFonts w:hint="default"/>
          <w:noProof/>
        </w:rPr>
        <w:t>nohospodá</w:t>
      </w:r>
      <w:r>
        <w:rPr>
          <w:rFonts w:hint="default"/>
          <w:noProof/>
        </w:rPr>
        <w:t>rstve formou priamych platieb v </w:t>
      </w:r>
      <w:r>
        <w:rPr>
          <w:rFonts w:hint="default"/>
          <w:noProof/>
        </w:rPr>
        <w:t>znení</w:t>
      </w:r>
      <w:r>
        <w:rPr>
          <w:rFonts w:hint="default"/>
          <w:noProof/>
        </w:rPr>
        <w:t xml:space="preserve"> neskorší</w:t>
      </w:r>
      <w:r>
        <w:rPr>
          <w:rFonts w:hint="default"/>
          <w:noProof/>
        </w:rPr>
        <w:t>ch predpisov</w:t>
      </w:r>
      <w:r w:rsidR="00594335">
        <w:rPr>
          <w:noProof/>
        </w:rPr>
        <w:t>.</w:t>
      </w:r>
    </w:p>
    <w:p w:rsidR="00201740" w:rsidP="00201740">
      <w:pPr>
        <w:bidi w:val="0"/>
        <w:rPr>
          <w:noProof/>
        </w:rPr>
      </w:pPr>
    </w:p>
    <w:p w:rsidR="00201740" w:rsidP="00201740">
      <w:pPr>
        <w:bidi w:val="0"/>
        <w:ind w:firstLine="397"/>
        <w:rPr>
          <w:rFonts w:hint="default"/>
          <w:noProof/>
        </w:rPr>
      </w:pPr>
      <w:r>
        <w:rPr>
          <w:noProof/>
        </w:rPr>
        <w:t>V </w:t>
      </w:r>
      <w:r>
        <w:rPr>
          <w:rFonts w:hint="default"/>
          <w:noProof/>
        </w:rPr>
        <w:t>roku 2009 bolo zaregistrovaný</w:t>
      </w:r>
      <w:r>
        <w:rPr>
          <w:rFonts w:hint="default"/>
          <w:noProof/>
        </w:rPr>
        <w:t>ch 22 ná</w:t>
      </w:r>
      <w:r>
        <w:rPr>
          <w:rFonts w:hint="default"/>
          <w:noProof/>
        </w:rPr>
        <w:t>kupcov a </w:t>
      </w:r>
      <w:r>
        <w:rPr>
          <w:rFonts w:hint="default"/>
          <w:noProof/>
        </w:rPr>
        <w:t>17 spracovateľ</w:t>
      </w:r>
      <w:r>
        <w:rPr>
          <w:rFonts w:hint="default"/>
          <w:noProof/>
        </w:rPr>
        <w:t>ov energetický</w:t>
      </w:r>
      <w:r>
        <w:rPr>
          <w:rFonts w:hint="default"/>
          <w:noProof/>
        </w:rPr>
        <w:t>ch plodí</w:t>
      </w:r>
      <w:r>
        <w:rPr>
          <w:rFonts w:hint="default"/>
          <w:noProof/>
        </w:rPr>
        <w:t>n, ktorí</w:t>
      </w:r>
      <w:r>
        <w:rPr>
          <w:rFonts w:hint="default"/>
          <w:noProof/>
        </w:rPr>
        <w:t xml:space="preserve"> majú</w:t>
      </w:r>
      <w:r>
        <w:rPr>
          <w:rFonts w:hint="default"/>
          <w:noProof/>
        </w:rPr>
        <w:t xml:space="preserve"> uzavretý</w:t>
      </w:r>
      <w:r>
        <w:rPr>
          <w:rFonts w:hint="default"/>
          <w:noProof/>
        </w:rPr>
        <w:t>ch spolu 269 zmlú</w:t>
      </w:r>
      <w:r>
        <w:rPr>
          <w:rFonts w:hint="default"/>
          <w:noProof/>
        </w:rPr>
        <w:t>v s pestovateľ</w:t>
      </w:r>
      <w:r>
        <w:rPr>
          <w:rFonts w:hint="default"/>
          <w:noProof/>
        </w:rPr>
        <w:t>mi energeti</w:t>
      </w:r>
      <w:r>
        <w:rPr>
          <w:rFonts w:hint="default"/>
          <w:noProof/>
        </w:rPr>
        <w:t>cký</w:t>
      </w:r>
      <w:r>
        <w:rPr>
          <w:rFonts w:hint="default"/>
          <w:noProof/>
        </w:rPr>
        <w:t>ch plodí</w:t>
      </w:r>
      <w:r>
        <w:rPr>
          <w:rFonts w:hint="default"/>
          <w:noProof/>
        </w:rPr>
        <w:t>n. Program podpory pestovania energetický</w:t>
      </w:r>
      <w:r>
        <w:rPr>
          <w:rFonts w:hint="default"/>
          <w:noProof/>
        </w:rPr>
        <w:t>ch plodí</w:t>
      </w:r>
      <w:r>
        <w:rPr>
          <w:rFonts w:hint="default"/>
          <w:noProof/>
        </w:rPr>
        <w:t>n sa skonč</w:t>
      </w:r>
      <w:r>
        <w:rPr>
          <w:rFonts w:hint="default"/>
          <w:noProof/>
        </w:rPr>
        <w:t>il, spracovatelia musia zazmluvnené</w:t>
      </w:r>
      <w:r>
        <w:rPr>
          <w:rFonts w:hint="default"/>
          <w:noProof/>
        </w:rPr>
        <w:t xml:space="preserve"> energetické</w:t>
      </w:r>
      <w:r>
        <w:rPr>
          <w:rFonts w:hint="default"/>
          <w:noProof/>
        </w:rPr>
        <w:t xml:space="preserve"> plodiny pozberané</w:t>
      </w:r>
      <w:r>
        <w:rPr>
          <w:rFonts w:hint="default"/>
          <w:noProof/>
        </w:rPr>
        <w:t xml:space="preserve"> v </w:t>
      </w:r>
      <w:r>
        <w:rPr>
          <w:rFonts w:hint="default"/>
          <w:noProof/>
        </w:rPr>
        <w:t>roku 2009 spracovať</w:t>
      </w:r>
      <w:r>
        <w:rPr>
          <w:rFonts w:hint="default"/>
          <w:noProof/>
        </w:rPr>
        <w:t xml:space="preserve"> najneskô</w:t>
      </w:r>
      <w:r>
        <w:rPr>
          <w:rFonts w:hint="default"/>
          <w:noProof/>
        </w:rPr>
        <w:t>r do 31. 7. 2011.</w:t>
      </w:r>
    </w:p>
    <w:p w:rsidR="00201740" w:rsidP="00201740">
      <w:pPr>
        <w:pStyle w:val="Nadpis4H4"/>
        <w:bidi w:val="0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Doplnkové národné vyrovnávacie priame platby </w:t>
      </w:r>
    </w:p>
    <w:p w:rsidR="00201740" w:rsidP="00201740">
      <w:pPr>
        <w:bidi w:val="0"/>
        <w:rPr>
          <w:rFonts w:hint="default"/>
        </w:rPr>
      </w:pPr>
      <w:r>
        <w:t>K </w:t>
      </w:r>
      <w:r>
        <w:rPr>
          <w:rFonts w:hint="default"/>
        </w:rPr>
        <w:t>doplnkový</w:t>
      </w:r>
      <w:r w:rsidR="00AC32DC">
        <w:rPr>
          <w:rFonts w:hint="default"/>
        </w:rPr>
        <w:t>m ná</w:t>
      </w:r>
      <w:r w:rsidR="00AC32DC">
        <w:rPr>
          <w:rFonts w:hint="default"/>
        </w:rPr>
        <w:t>rodný</w:t>
      </w:r>
      <w:r w:rsidR="00AC32DC">
        <w:rPr>
          <w:rFonts w:hint="default"/>
        </w:rPr>
        <w:t>m vyro</w:t>
      </w:r>
      <w:r w:rsidR="00AC32DC">
        <w:rPr>
          <w:rFonts w:hint="default"/>
        </w:rPr>
        <w:t>vná</w:t>
      </w:r>
      <w:r w:rsidR="00AC32DC">
        <w:rPr>
          <w:rFonts w:hint="default"/>
        </w:rPr>
        <w:t>vací</w:t>
      </w:r>
      <w:r w:rsidR="00AC32DC">
        <w:rPr>
          <w:rFonts w:hint="default"/>
        </w:rPr>
        <w:t>m platbá</w:t>
      </w:r>
      <w:r w:rsidR="00AC32DC">
        <w:rPr>
          <w:rFonts w:hint="default"/>
        </w:rPr>
        <w:t>m</w:t>
      </w:r>
      <w:r w:rsidR="00656F72">
        <w:t xml:space="preserve"> v </w:t>
      </w:r>
      <w:r w:rsidR="00656F72">
        <w:rPr>
          <w:rFonts w:hint="default"/>
        </w:rPr>
        <w:t>rastlinnej vý</w:t>
      </w:r>
      <w:r w:rsidR="00656F72">
        <w:rPr>
          <w:rFonts w:hint="default"/>
        </w:rPr>
        <w:t>robe</w:t>
      </w:r>
      <w:r>
        <w:rPr>
          <w:rFonts w:hint="default"/>
        </w:rPr>
        <w:t>, financovaný</w:t>
      </w:r>
      <w:r>
        <w:rPr>
          <w:rFonts w:hint="default"/>
        </w:rPr>
        <w:t>m zo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 SR patria:</w:t>
      </w:r>
    </w:p>
    <w:p w:rsidR="00201740" w:rsidP="00D5323E">
      <w:pPr>
        <w:pStyle w:val="ListParagraph"/>
        <w:numPr>
          <w:numId w:val="26"/>
        </w:numPr>
        <w:bidi w:val="0"/>
        <w:rPr>
          <w:rFonts w:hint="default"/>
        </w:rPr>
      </w:pPr>
      <w:r>
        <w:rPr>
          <w:rFonts w:hint="default"/>
        </w:rPr>
        <w:t>doplnková</w:t>
      </w:r>
      <w:r>
        <w:rPr>
          <w:rFonts w:hint="default"/>
        </w:rPr>
        <w:t xml:space="preserve"> platba na plochu, </w:t>
      </w:r>
    </w:p>
    <w:p w:rsidR="00201740" w:rsidP="00D5323E">
      <w:pPr>
        <w:pStyle w:val="ListParagraph"/>
        <w:numPr>
          <w:numId w:val="26"/>
        </w:numPr>
        <w:bidi w:val="0"/>
        <w:rPr>
          <w:rFonts w:hint="default"/>
        </w:rPr>
      </w:pPr>
      <w:r>
        <w:rPr>
          <w:rFonts w:hint="default"/>
        </w:rPr>
        <w:t>platba na chmeľ</w:t>
      </w:r>
      <w:r>
        <w:rPr>
          <w:rFonts w:hint="default"/>
        </w:rPr>
        <w:t xml:space="preserve">. </w:t>
      </w:r>
    </w:p>
    <w:p w:rsidR="00201740" w:rsidP="00D5323E">
      <w:pPr>
        <w:bidi w:val="0"/>
        <w:rPr>
          <w:rFonts w:hint="default"/>
          <w:color w:val="000000"/>
        </w:rPr>
      </w:pPr>
      <w:r w:rsidRPr="00BC74D0">
        <w:rPr>
          <w:rFonts w:hint="default"/>
          <w:color w:val="000000"/>
        </w:rPr>
        <w:t>Od roku 2009 sa zmenil systé</w:t>
      </w:r>
      <w:r w:rsidRPr="00BC74D0">
        <w:rPr>
          <w:rFonts w:hint="default"/>
          <w:color w:val="000000"/>
        </w:rPr>
        <w:t>m platieb na plodiny pestované</w:t>
      </w:r>
      <w:r w:rsidRPr="00BC74D0">
        <w:rPr>
          <w:rFonts w:hint="default"/>
          <w:color w:val="000000"/>
        </w:rPr>
        <w:t xml:space="preserve"> na ornej pô</w:t>
      </w:r>
      <w:r w:rsidRPr="00BC74D0">
        <w:rPr>
          <w:rFonts w:hint="default"/>
          <w:color w:val="000000"/>
        </w:rPr>
        <w:t>de. Zá</w:t>
      </w:r>
      <w:r>
        <w:rPr>
          <w:rFonts w:hint="default"/>
          <w:color w:val="000000"/>
        </w:rPr>
        <w:t>sadnou zmenou je, ž</w:t>
      </w:r>
      <w:r>
        <w:rPr>
          <w:rFonts w:hint="default"/>
          <w:color w:val="000000"/>
        </w:rPr>
        <w:t>e platby boli</w:t>
      </w:r>
      <w:r w:rsidRPr="00BC74D0">
        <w:rPr>
          <w:rFonts w:hint="default"/>
          <w:color w:val="000000"/>
        </w:rPr>
        <w:t xml:space="preserve"> poskytnuté</w:t>
      </w:r>
      <w:r w:rsidRPr="00BC74D0">
        <w:rPr>
          <w:rFonts w:hint="default"/>
          <w:color w:val="000000"/>
        </w:rPr>
        <w:t xml:space="preserve"> na vš</w:t>
      </w:r>
      <w:r w:rsidRPr="00BC74D0">
        <w:rPr>
          <w:rFonts w:hint="default"/>
          <w:color w:val="000000"/>
        </w:rPr>
        <w:t>e</w:t>
      </w:r>
      <w:r w:rsidRPr="00BC74D0">
        <w:rPr>
          <w:rFonts w:hint="default"/>
          <w:color w:val="000000"/>
        </w:rPr>
        <w:t>tky plodiny pestované</w:t>
      </w:r>
      <w:r w:rsidRPr="00BC74D0">
        <w:rPr>
          <w:rFonts w:hint="default"/>
          <w:color w:val="000000"/>
        </w:rPr>
        <w:t xml:space="preserve"> na ornej pô</w:t>
      </w:r>
      <w:r w:rsidRPr="00BC74D0">
        <w:rPr>
          <w:rFonts w:hint="default"/>
          <w:color w:val="000000"/>
        </w:rPr>
        <w:t>de, teda aj na krmoviny, č</w:t>
      </w:r>
      <w:r w:rsidRPr="00BC74D0">
        <w:rPr>
          <w:rFonts w:hint="default"/>
          <w:color w:val="000000"/>
        </w:rPr>
        <w:t>i trvalé</w:t>
      </w:r>
      <w:r w:rsidRPr="00BC74D0">
        <w:rPr>
          <w:rFonts w:hint="default"/>
          <w:color w:val="000000"/>
        </w:rPr>
        <w:t xml:space="preserve"> kultú</w:t>
      </w:r>
      <w:r w:rsidRPr="00BC74D0">
        <w:rPr>
          <w:rFonts w:hint="default"/>
          <w:color w:val="000000"/>
        </w:rPr>
        <w:t>ry. Doplnkovú</w:t>
      </w:r>
      <w:r w:rsidRPr="00BC74D0">
        <w:rPr>
          <w:rFonts w:hint="default"/>
          <w:color w:val="000000"/>
        </w:rPr>
        <w:t xml:space="preserve"> platbu na plochu mož</w:t>
      </w:r>
      <w:r w:rsidRPr="00BC74D0">
        <w:rPr>
          <w:rFonts w:hint="default"/>
          <w:color w:val="000000"/>
        </w:rPr>
        <w:t>no poskytnúť</w:t>
      </w:r>
      <w:r w:rsidRPr="00BC74D0">
        <w:rPr>
          <w:rFonts w:hint="default"/>
          <w:color w:val="000000"/>
        </w:rPr>
        <w:t xml:space="preserve"> ž</w:t>
      </w:r>
      <w:r w:rsidRPr="00BC74D0">
        <w:rPr>
          <w:rFonts w:hint="default"/>
          <w:color w:val="000000"/>
        </w:rPr>
        <w:t>iadateľ</w:t>
      </w:r>
      <w:r w:rsidRPr="00BC74D0">
        <w:rPr>
          <w:rFonts w:hint="default"/>
          <w:color w:val="000000"/>
        </w:rPr>
        <w:t>ovi, ak poľ</w:t>
      </w:r>
      <w:r w:rsidRPr="00BC74D0">
        <w:rPr>
          <w:rFonts w:hint="default"/>
          <w:color w:val="000000"/>
        </w:rPr>
        <w:t>nohospodá</w:t>
      </w:r>
      <w:r w:rsidRPr="00BC74D0">
        <w:rPr>
          <w:rFonts w:hint="default"/>
          <w:color w:val="000000"/>
        </w:rPr>
        <w:t>rska pô</w:t>
      </w:r>
      <w:r w:rsidRPr="00BC74D0">
        <w:rPr>
          <w:rFonts w:hint="default"/>
          <w:color w:val="000000"/>
        </w:rPr>
        <w:t>da podľ</w:t>
      </w:r>
      <w:r w:rsidRPr="00BC74D0">
        <w:rPr>
          <w:rFonts w:hint="default"/>
          <w:color w:val="000000"/>
        </w:rPr>
        <w:t>a odseku bola obhospodarovaná</w:t>
      </w:r>
      <w:r w:rsidRPr="00BC74D0">
        <w:rPr>
          <w:rFonts w:hint="default"/>
          <w:color w:val="000000"/>
        </w:rPr>
        <w:t xml:space="preserve"> k 30. jú</w:t>
      </w:r>
      <w:r w:rsidRPr="00BC74D0">
        <w:rPr>
          <w:rFonts w:hint="default"/>
          <w:color w:val="000000"/>
        </w:rPr>
        <w:t>nu 2003, má</w:t>
      </w:r>
      <w:r w:rsidRPr="00BC74D0">
        <w:rPr>
          <w:rFonts w:hint="default"/>
          <w:color w:val="000000"/>
        </w:rPr>
        <w:t xml:space="preserve"> vý</w:t>
      </w:r>
      <w:r w:rsidRPr="00BC74D0">
        <w:rPr>
          <w:rFonts w:hint="default"/>
          <w:color w:val="000000"/>
        </w:rPr>
        <w:t>meru najmenej 1 ha, prič</w:t>
      </w:r>
      <w:r w:rsidRPr="00BC74D0">
        <w:rPr>
          <w:rFonts w:hint="default"/>
          <w:color w:val="000000"/>
        </w:rPr>
        <w:t>om tá</w:t>
      </w:r>
      <w:r w:rsidRPr="00BC74D0">
        <w:rPr>
          <w:rFonts w:hint="default"/>
          <w:color w:val="000000"/>
        </w:rPr>
        <w:t>to vý</w:t>
      </w:r>
      <w:r w:rsidRPr="00BC74D0">
        <w:rPr>
          <w:rFonts w:hint="default"/>
          <w:color w:val="000000"/>
        </w:rPr>
        <w:t>mera mô</w:t>
      </w:r>
      <w:r w:rsidRPr="00BC74D0">
        <w:rPr>
          <w:rFonts w:hint="default"/>
          <w:color w:val="000000"/>
        </w:rPr>
        <w:t>ž</w:t>
      </w:r>
      <w:r w:rsidRPr="00BC74D0">
        <w:rPr>
          <w:rFonts w:hint="default"/>
          <w:color w:val="000000"/>
        </w:rPr>
        <w:t>e predstavovať</w:t>
      </w:r>
      <w:r w:rsidRPr="00BC74D0">
        <w:rPr>
          <w:rFonts w:hint="default"/>
          <w:color w:val="000000"/>
        </w:rPr>
        <w:t xml:space="preserve"> viaceré</w:t>
      </w:r>
      <w:r w:rsidRPr="00BC74D0">
        <w:rPr>
          <w:rFonts w:hint="default"/>
          <w:color w:val="000000"/>
        </w:rPr>
        <w:t xml:space="preserve"> sú</w:t>
      </w:r>
      <w:r w:rsidRPr="00BC74D0">
        <w:rPr>
          <w:rFonts w:hint="default"/>
          <w:color w:val="000000"/>
        </w:rPr>
        <w:t>vislé</w:t>
      </w:r>
      <w:r w:rsidRPr="00BC74D0">
        <w:rPr>
          <w:rFonts w:hint="default"/>
          <w:color w:val="000000"/>
        </w:rPr>
        <w:t xml:space="preserve"> diely pô</w:t>
      </w:r>
      <w:r w:rsidRPr="00BC74D0">
        <w:rPr>
          <w:rFonts w:hint="default"/>
          <w:color w:val="000000"/>
        </w:rPr>
        <w:t>dnych blokov prí</w:t>
      </w:r>
      <w:r w:rsidRPr="00BC74D0">
        <w:rPr>
          <w:rFonts w:hint="default"/>
          <w:color w:val="000000"/>
        </w:rPr>
        <w:t>sluš</w:t>
      </w:r>
      <w:r w:rsidRPr="00BC74D0">
        <w:rPr>
          <w:rFonts w:hint="default"/>
          <w:color w:val="000000"/>
        </w:rPr>
        <w:t>né</w:t>
      </w:r>
      <w:r w:rsidRPr="00BC74D0">
        <w:rPr>
          <w:rFonts w:hint="default"/>
          <w:color w:val="000000"/>
        </w:rPr>
        <w:t>ho druhu pozemku s vý</w:t>
      </w:r>
      <w:r w:rsidRPr="00BC74D0">
        <w:rPr>
          <w:rFonts w:hint="default"/>
          <w:color w:val="000000"/>
        </w:rPr>
        <w:t>merou najmenej 0,3 ha obhospodarovanej jedný</w:t>
      </w:r>
      <w:r w:rsidRPr="00BC74D0">
        <w:rPr>
          <w:rFonts w:hint="default"/>
          <w:color w:val="000000"/>
        </w:rPr>
        <w:t>m ž</w:t>
      </w:r>
      <w:r w:rsidRPr="00BC74D0">
        <w:rPr>
          <w:rFonts w:hint="default"/>
          <w:color w:val="000000"/>
        </w:rPr>
        <w:t>iadateľ</w:t>
      </w:r>
      <w:r w:rsidRPr="00BC74D0">
        <w:rPr>
          <w:rFonts w:hint="default"/>
          <w:color w:val="000000"/>
        </w:rPr>
        <w:t>om. 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o tú</w:t>
      </w:r>
      <w:r>
        <w:rPr>
          <w:rFonts w:hint="default"/>
          <w:color w:val="000000"/>
        </w:rPr>
        <w:t>to platbu  bolo</w:t>
      </w:r>
      <w:r w:rsidRPr="00BC74D0">
        <w:rPr>
          <w:color w:val="000000"/>
        </w:rPr>
        <w:t xml:space="preserve"> </w:t>
      </w:r>
      <w:r>
        <w:rPr>
          <w:rFonts w:hint="default"/>
          <w:color w:val="000000"/>
        </w:rPr>
        <w:t>potrebné</w:t>
      </w:r>
      <w:r>
        <w:rPr>
          <w:rFonts w:hint="default"/>
          <w:color w:val="000000"/>
        </w:rPr>
        <w:t xml:space="preserve"> podať</w:t>
      </w:r>
      <w:r>
        <w:rPr>
          <w:rFonts w:hint="default"/>
          <w:color w:val="000000"/>
        </w:rPr>
        <w:t xml:space="preserve"> na pracovisku PPA</w:t>
      </w:r>
      <w:r w:rsidRPr="00BC74D0">
        <w:rPr>
          <w:rFonts w:hint="default"/>
          <w:color w:val="000000"/>
        </w:rPr>
        <w:t xml:space="preserve"> v termí</w:t>
      </w:r>
      <w:r w:rsidRPr="00BC74D0">
        <w:rPr>
          <w:rFonts w:hint="default"/>
          <w:color w:val="000000"/>
        </w:rPr>
        <w:t>ne ako v prí</w:t>
      </w:r>
      <w:r w:rsidRPr="00BC74D0">
        <w:rPr>
          <w:rFonts w:hint="default"/>
          <w:color w:val="000000"/>
        </w:rPr>
        <w:t xml:space="preserve">pade priamej platby. </w:t>
      </w:r>
      <w:r>
        <w:rPr>
          <w:color w:val="000000"/>
        </w:rPr>
        <w:t>V roku 2010 bol</w:t>
      </w:r>
      <w:r>
        <w:rPr>
          <w:rFonts w:hint="default"/>
          <w:color w:val="000000"/>
        </w:rPr>
        <w:t>o schvá</w:t>
      </w:r>
      <w:r>
        <w:rPr>
          <w:rFonts w:hint="default"/>
          <w:color w:val="000000"/>
        </w:rPr>
        <w:t>lený</w:t>
      </w:r>
      <w:r>
        <w:rPr>
          <w:rFonts w:hint="default"/>
          <w:color w:val="000000"/>
        </w:rPr>
        <w:t>ch</w:t>
      </w:r>
      <w:r w:rsidR="00AC32DC">
        <w:rPr>
          <w:color w:val="000000"/>
        </w:rPr>
        <w:t xml:space="preserve"> a </w:t>
      </w:r>
      <w:r w:rsidR="00AC32DC">
        <w:rPr>
          <w:rFonts w:hint="default"/>
          <w:color w:val="000000"/>
        </w:rPr>
        <w:t>vyplatený</w:t>
      </w:r>
      <w:r w:rsidR="00AC32DC">
        <w:rPr>
          <w:rFonts w:hint="default"/>
          <w:color w:val="000000"/>
        </w:rPr>
        <w:t>ch 1 </w:t>
      </w:r>
      <w:r w:rsidR="00AC32DC">
        <w:rPr>
          <w:rFonts w:hint="default"/>
          <w:color w:val="000000"/>
        </w:rPr>
        <w:t>530 ž</w:t>
      </w:r>
      <w:r w:rsidR="00AC32DC">
        <w:rPr>
          <w:rFonts w:hint="default"/>
          <w:color w:val="000000"/>
        </w:rPr>
        <w:t>iadostí</w:t>
      </w:r>
      <w:r w:rsidR="00AC32DC">
        <w:rPr>
          <w:rFonts w:hint="default"/>
          <w:color w:val="000000"/>
        </w:rPr>
        <w:t xml:space="preserve"> (</w:t>
      </w:r>
      <w:r>
        <w:rPr>
          <w:rFonts w:hint="default"/>
          <w:color w:val="000000"/>
        </w:rPr>
        <w:t>za rok 2009) vo výš</w:t>
      </w:r>
      <w:r>
        <w:rPr>
          <w:rFonts w:hint="default"/>
          <w:color w:val="000000"/>
        </w:rPr>
        <w:t>ke  2 878 </w:t>
      </w:r>
      <w:r>
        <w:rPr>
          <w:rFonts w:hint="default"/>
          <w:color w:val="000000"/>
        </w:rPr>
        <w:t>855 €.</w:t>
      </w:r>
    </w:p>
    <w:p w:rsidR="00201740" w:rsidRPr="00F318E7" w:rsidP="00D5323E">
      <w:pPr>
        <w:bidi w:val="0"/>
        <w:rPr>
          <w:color w:val="000000"/>
        </w:rPr>
      </w:pPr>
      <w:r w:rsidRPr="00F318E7">
        <w:rPr>
          <w:rFonts w:hint="default"/>
          <w:lang w:eastAsia="sk-SK"/>
        </w:rPr>
        <w:t>Platbu na chmeľ</w:t>
      </w:r>
      <w:r>
        <w:rPr>
          <w:lang w:eastAsia="sk-SK"/>
        </w:rPr>
        <w:t xml:space="preserve"> </w:t>
      </w:r>
      <w:r w:rsidRPr="001232BC">
        <w:rPr>
          <w:lang w:eastAsia="sk-SK"/>
        </w:rPr>
        <w:t>bolo</w:t>
      </w:r>
      <w:r>
        <w:rPr>
          <w:rFonts w:hint="default"/>
        </w:rPr>
        <w:t xml:space="preserve"> mož</w:t>
      </w:r>
      <w:r>
        <w:rPr>
          <w:rFonts w:hint="default"/>
        </w:rPr>
        <w:t>né</w:t>
      </w:r>
      <w:r>
        <w:rPr>
          <w:rFonts w:hint="default"/>
        </w:rPr>
        <w:t xml:space="preserve"> </w:t>
      </w:r>
      <w:r w:rsidRPr="001232BC">
        <w:rPr>
          <w:rFonts w:hint="default"/>
        </w:rPr>
        <w:t xml:space="preserve"> poskytnúť</w:t>
      </w:r>
      <w:r w:rsidRPr="001232BC">
        <w:rPr>
          <w:rFonts w:hint="default"/>
        </w:rPr>
        <w:t xml:space="preserve"> ž</w:t>
      </w:r>
      <w:r w:rsidRPr="001232BC">
        <w:rPr>
          <w:rFonts w:hint="default"/>
        </w:rPr>
        <w:t>iadateľ</w:t>
      </w:r>
      <w:r w:rsidRPr="001232BC">
        <w:rPr>
          <w:rFonts w:hint="default"/>
        </w:rPr>
        <w:t>ovi na chmeľ</w:t>
      </w:r>
      <w:r w:rsidRPr="001232BC">
        <w:rPr>
          <w:rFonts w:hint="default"/>
        </w:rPr>
        <w:t>nicu evidovanú</w:t>
      </w:r>
      <w:r w:rsidRPr="001232BC">
        <w:rPr>
          <w:rFonts w:hint="default"/>
        </w:rPr>
        <w:t xml:space="preserve"> v evidencii pô</w:t>
      </w:r>
      <w:r w:rsidRPr="001232BC">
        <w:rPr>
          <w:rFonts w:hint="default"/>
        </w:rPr>
        <w:t>dnych blokov a dielov pô</w:t>
      </w:r>
      <w:r w:rsidRPr="001232BC">
        <w:rPr>
          <w:rFonts w:hint="default"/>
        </w:rPr>
        <w:t xml:space="preserve">dnych blokov </w:t>
      </w:r>
      <w:r>
        <w:rPr>
          <w:rFonts w:hint="default"/>
        </w:rPr>
        <w:t>k 31. decembru 2006, ak bola vý</w:t>
      </w:r>
      <w:r>
        <w:rPr>
          <w:rFonts w:hint="default"/>
        </w:rPr>
        <w:t>mera</w:t>
      </w:r>
      <w:r w:rsidRPr="001232BC">
        <w:t xml:space="preserve"> </w:t>
      </w:r>
      <w:r w:rsidR="00D5323E">
        <w:rPr>
          <w:rFonts w:hint="default"/>
        </w:rPr>
        <w:t>chmeľ</w:t>
      </w:r>
      <w:r w:rsidR="00D5323E">
        <w:rPr>
          <w:rFonts w:hint="default"/>
        </w:rPr>
        <w:t xml:space="preserve">nice </w:t>
      </w:r>
      <w:r w:rsidRPr="001232BC">
        <w:t>najmen</w:t>
      </w:r>
      <w:r w:rsidRPr="001232BC">
        <w:t>ej 0,3 ha.</w:t>
      </w:r>
      <w:r>
        <w:t xml:space="preserve"> </w:t>
      </w:r>
      <w:r w:rsidRPr="001232BC">
        <w:rPr>
          <w:rFonts w:hint="default"/>
        </w:rPr>
        <w:t>Ak vý</w:t>
      </w:r>
      <w:r w:rsidRPr="001232BC">
        <w:rPr>
          <w:rFonts w:hint="default"/>
        </w:rPr>
        <w:t>mera chmeľ</w:t>
      </w:r>
      <w:r w:rsidRPr="001232BC">
        <w:rPr>
          <w:rFonts w:hint="default"/>
        </w:rPr>
        <w:t>ní</w:t>
      </w:r>
      <w:r w:rsidRPr="001232BC">
        <w:rPr>
          <w:rFonts w:hint="default"/>
        </w:rPr>
        <w:t>c uvedená</w:t>
      </w:r>
      <w:r w:rsidRPr="001232BC">
        <w:rPr>
          <w:rFonts w:hint="default"/>
        </w:rPr>
        <w:t xml:space="preserve"> v ž</w:t>
      </w:r>
      <w:r w:rsidRPr="001232BC">
        <w:rPr>
          <w:rFonts w:hint="default"/>
        </w:rPr>
        <w:t>iadostiach o platbu na chmeľ</w:t>
      </w:r>
      <w:r w:rsidRPr="001232BC">
        <w:rPr>
          <w:rFonts w:hint="default"/>
        </w:rPr>
        <w:t xml:space="preserve"> presiahne 305,13 ha, kaž</w:t>
      </w:r>
      <w:r w:rsidRPr="001232BC">
        <w:rPr>
          <w:rFonts w:hint="default"/>
        </w:rPr>
        <w:t>dé</w:t>
      </w:r>
      <w:r w:rsidRPr="001232BC">
        <w:rPr>
          <w:rFonts w:hint="default"/>
        </w:rPr>
        <w:t>mu ž</w:t>
      </w:r>
      <w:r w:rsidRPr="001232BC">
        <w:rPr>
          <w:rFonts w:hint="default"/>
        </w:rPr>
        <w:t>iadateľ</w:t>
      </w:r>
      <w:r w:rsidRPr="001232BC">
        <w:rPr>
          <w:rFonts w:hint="default"/>
        </w:rPr>
        <w:t>ovi sa poskyt</w:t>
      </w:r>
      <w:r w:rsidR="00D5323E">
        <w:t>la</w:t>
      </w:r>
      <w:r w:rsidRPr="001232BC">
        <w:rPr>
          <w:rFonts w:hint="default"/>
        </w:rPr>
        <w:t xml:space="preserve"> platba na chmeľ</w:t>
      </w:r>
      <w:r w:rsidRPr="001232BC">
        <w:rPr>
          <w:rFonts w:hint="default"/>
        </w:rPr>
        <w:t xml:space="preserve"> na priamo ú</w:t>
      </w:r>
      <w:r w:rsidRPr="001232BC">
        <w:rPr>
          <w:rFonts w:hint="default"/>
        </w:rPr>
        <w:t>merne zníž</w:t>
      </w:r>
      <w:r w:rsidRPr="001232BC">
        <w:rPr>
          <w:rFonts w:hint="default"/>
        </w:rPr>
        <w:t>enú</w:t>
      </w:r>
      <w:r w:rsidRPr="001232BC">
        <w:rPr>
          <w:rFonts w:hint="default"/>
        </w:rPr>
        <w:t xml:space="preserve"> vý</w:t>
      </w:r>
      <w:r w:rsidRPr="001232BC">
        <w:rPr>
          <w:rFonts w:hint="default"/>
        </w:rPr>
        <w:t>meru chmeľ</w:t>
      </w:r>
      <w:r w:rsidRPr="001232BC">
        <w:rPr>
          <w:rFonts w:hint="default"/>
        </w:rPr>
        <w:t>nice podľ</w:t>
      </w:r>
      <w:r w:rsidRPr="001232BC">
        <w:rPr>
          <w:rFonts w:hint="default"/>
        </w:rPr>
        <w:t>a presiahnutej vý</w:t>
      </w:r>
      <w:r w:rsidRPr="001232BC">
        <w:rPr>
          <w:rFonts w:hint="default"/>
        </w:rPr>
        <w:t>mery.</w:t>
      </w:r>
    </w:p>
    <w:p w:rsidR="00201740" w:rsidRPr="00EB3A1D" w:rsidP="00D5323E">
      <w:pPr>
        <w:keepNext/>
        <w:bidi w:val="0"/>
        <w:ind w:firstLine="0"/>
        <w:rPr>
          <w:b/>
          <w:bCs/>
        </w:rPr>
      </w:pPr>
      <w:r w:rsidRPr="00EB3A1D">
        <w:rPr>
          <w:rFonts w:hint="default"/>
          <w:b/>
          <w:iCs/>
        </w:rPr>
        <w:t>Doplnkové</w:t>
      </w:r>
      <w:r w:rsidRPr="00EB3A1D">
        <w:rPr>
          <w:rFonts w:hint="default"/>
          <w:b/>
          <w:iCs/>
        </w:rPr>
        <w:t xml:space="preserve"> </w:t>
      </w:r>
      <w:r w:rsidR="00656F72">
        <w:rPr>
          <w:rFonts w:hint="default"/>
          <w:b/>
          <w:iCs/>
        </w:rPr>
        <w:t>ná</w:t>
      </w:r>
      <w:r w:rsidR="00656F72">
        <w:rPr>
          <w:rFonts w:hint="default"/>
          <w:b/>
          <w:iCs/>
        </w:rPr>
        <w:t>rodné</w:t>
      </w:r>
      <w:r w:rsidR="00656F72">
        <w:rPr>
          <w:rFonts w:hint="default"/>
          <w:b/>
          <w:iCs/>
        </w:rPr>
        <w:t xml:space="preserve"> </w:t>
      </w:r>
      <w:r w:rsidRPr="00EB3A1D">
        <w:rPr>
          <w:b/>
          <w:iCs/>
        </w:rPr>
        <w:t>priame platby v </w:t>
      </w:r>
      <w:r w:rsidRPr="00EB3A1D">
        <w:rPr>
          <w:rFonts w:hint="default"/>
          <w:b/>
          <w:iCs/>
        </w:rPr>
        <w:t>ž</w:t>
      </w:r>
      <w:r w:rsidRPr="00EB3A1D">
        <w:rPr>
          <w:rFonts w:hint="default"/>
          <w:b/>
          <w:iCs/>
        </w:rPr>
        <w:t>ivočíš</w:t>
      </w:r>
      <w:r w:rsidRPr="00EB3A1D">
        <w:rPr>
          <w:rFonts w:hint="default"/>
          <w:b/>
          <w:iCs/>
        </w:rPr>
        <w:t>nej vý</w:t>
      </w:r>
      <w:r w:rsidRPr="00EB3A1D">
        <w:rPr>
          <w:rFonts w:hint="default"/>
          <w:b/>
          <w:iCs/>
        </w:rPr>
        <w:t>r</w:t>
      </w:r>
      <w:r w:rsidRPr="00EB3A1D">
        <w:rPr>
          <w:rFonts w:hint="default"/>
          <w:b/>
          <w:iCs/>
        </w:rPr>
        <w:t xml:space="preserve">obe  </w:t>
      </w:r>
    </w:p>
    <w:p w:rsidR="00201740" w:rsidP="00201740">
      <w:pPr>
        <w:bidi w:val="0"/>
        <w:ind w:firstLine="708"/>
        <w:rPr>
          <w:rFonts w:hint="default"/>
        </w:rPr>
      </w:pPr>
      <w:r>
        <w:t>Podpory v </w:t>
      </w:r>
      <w:r>
        <w:rPr>
          <w:rFonts w:hint="default"/>
        </w:rPr>
        <w:t>ž</w:t>
      </w:r>
      <w:r>
        <w:rPr>
          <w:rFonts w:hint="default"/>
        </w:rPr>
        <w:t>ivočíš</w:t>
      </w:r>
      <w:r>
        <w:rPr>
          <w:rFonts w:hint="default"/>
        </w:rPr>
        <w:t>nej vý</w:t>
      </w:r>
      <w:r>
        <w:rPr>
          <w:rFonts w:hint="default"/>
        </w:rPr>
        <w:t>robe sa realizujú</w:t>
      </w:r>
      <w:r>
        <w:rPr>
          <w:rFonts w:hint="default"/>
        </w:rPr>
        <w:t xml:space="preserve"> prostrední</w:t>
      </w:r>
      <w:r>
        <w:rPr>
          <w:rFonts w:hint="default"/>
        </w:rPr>
        <w:t xml:space="preserve">ctvom platby na </w:t>
      </w:r>
      <w:r w:rsidRPr="00DA2201">
        <w:rPr>
          <w:rFonts w:hint="default"/>
          <w:bCs/>
        </w:rPr>
        <w:t>veľ</w:t>
      </w:r>
      <w:r w:rsidRPr="00DA2201">
        <w:rPr>
          <w:rFonts w:hint="default"/>
          <w:bCs/>
        </w:rPr>
        <w:t>ké</w:t>
      </w:r>
      <w:r w:rsidRPr="00DA2201">
        <w:rPr>
          <w:rFonts w:hint="default"/>
          <w:bCs/>
        </w:rPr>
        <w:t xml:space="preserve"> dobytč</w:t>
      </w:r>
      <w:r w:rsidRPr="00DA2201">
        <w:rPr>
          <w:rFonts w:hint="default"/>
          <w:bCs/>
        </w:rPr>
        <w:t>ie jednotky</w:t>
      </w:r>
      <w:r>
        <w:rPr>
          <w:rFonts w:hint="default"/>
        </w:rPr>
        <w:t xml:space="preserve"> (VDJ). Zavedení</w:t>
      </w:r>
      <w:r>
        <w:rPr>
          <w:rFonts w:hint="default"/>
        </w:rPr>
        <w:t>m doplnkovej ná</w:t>
      </w:r>
      <w:r>
        <w:rPr>
          <w:rFonts w:hint="default"/>
        </w:rPr>
        <w:t>rodnej priamej platby na VDJ sa dali využ</w:t>
      </w:r>
      <w:r>
        <w:rPr>
          <w:rFonts w:hint="default"/>
        </w:rPr>
        <w:t>iť</w:t>
      </w:r>
      <w:r>
        <w:rPr>
          <w:rFonts w:hint="default"/>
        </w:rPr>
        <w:t xml:space="preserve"> mož</w:t>
      </w:r>
      <w:r>
        <w:rPr>
          <w:rFonts w:hint="default"/>
        </w:rPr>
        <w:t>nosti dané</w:t>
      </w:r>
      <w:r>
        <w:rPr>
          <w:rFonts w:hint="default"/>
        </w:rPr>
        <w:t xml:space="preserve"> legislatí</w:t>
      </w:r>
      <w:r>
        <w:rPr>
          <w:rFonts w:hint="default"/>
        </w:rPr>
        <w:t>vou EÚ</w:t>
      </w:r>
      <w:r>
        <w:rPr>
          <w:rFonts w:hint="default"/>
        </w:rPr>
        <w:t xml:space="preserve"> a </w:t>
      </w:r>
      <w:r>
        <w:rPr>
          <w:rFonts w:hint="default"/>
        </w:rPr>
        <w:t>umož</w:t>
      </w:r>
      <w:r>
        <w:rPr>
          <w:rFonts w:hint="default"/>
        </w:rPr>
        <w:t>nila sa podpora vš</w:t>
      </w:r>
      <w:r>
        <w:rPr>
          <w:rFonts w:hint="default"/>
        </w:rPr>
        <w:t>etký</w:t>
      </w:r>
      <w:r>
        <w:rPr>
          <w:rFonts w:hint="default"/>
        </w:rPr>
        <w:t>ch kategó</w:t>
      </w:r>
      <w:r>
        <w:rPr>
          <w:rFonts w:hint="default"/>
        </w:rPr>
        <w:t>rií</w:t>
      </w:r>
      <w:r>
        <w:rPr>
          <w:rFonts w:hint="default"/>
        </w:rPr>
        <w:t xml:space="preserve"> hovä</w:t>
      </w:r>
      <w:r>
        <w:rPr>
          <w:rFonts w:hint="default"/>
        </w:rPr>
        <w:t>dzieho dob</w:t>
      </w:r>
      <w:r>
        <w:rPr>
          <w:rFonts w:hint="default"/>
        </w:rPr>
        <w:t>ytka, mlieka, oviec a </w:t>
      </w:r>
      <w:r>
        <w:rPr>
          <w:rFonts w:hint="default"/>
        </w:rPr>
        <w:t>kô</w:t>
      </w:r>
      <w:r>
        <w:rPr>
          <w:rFonts w:hint="default"/>
        </w:rPr>
        <w:t>z. Úč</w:t>
      </w:r>
      <w:r>
        <w:rPr>
          <w:rFonts w:hint="default"/>
        </w:rPr>
        <w:t>elom VDJ bolo udrž</w:t>
      </w:r>
      <w:r>
        <w:rPr>
          <w:rFonts w:hint="default"/>
        </w:rPr>
        <w:t>anie upadajú</w:t>
      </w:r>
      <w:r>
        <w:rPr>
          <w:rFonts w:hint="default"/>
        </w:rPr>
        <w:t>cej ž</w:t>
      </w:r>
      <w:r>
        <w:rPr>
          <w:rFonts w:hint="default"/>
        </w:rPr>
        <w:t>ivočíš</w:t>
      </w:r>
      <w:r>
        <w:rPr>
          <w:rFonts w:hint="default"/>
        </w:rPr>
        <w:t>nej vý</w:t>
      </w:r>
      <w:r>
        <w:rPr>
          <w:rFonts w:hint="default"/>
        </w:rPr>
        <w:t>roby v SR a </w:t>
      </w:r>
      <w:r>
        <w:rPr>
          <w:rFonts w:hint="default"/>
        </w:rPr>
        <w:t>zabrá</w:t>
      </w:r>
      <w:r>
        <w:rPr>
          <w:rFonts w:hint="default"/>
        </w:rPr>
        <w:t>nenie veľ</w:t>
      </w:r>
      <w:r>
        <w:rPr>
          <w:rFonts w:hint="default"/>
        </w:rPr>
        <w:t>ké</w:t>
      </w:r>
      <w:r>
        <w:rPr>
          <w:rFonts w:hint="default"/>
        </w:rPr>
        <w:t>ho zniž</w:t>
      </w:r>
      <w:r>
        <w:rPr>
          <w:rFonts w:hint="default"/>
        </w:rPr>
        <w:t>ovania poč</w:t>
      </w:r>
      <w:r>
        <w:rPr>
          <w:rFonts w:hint="default"/>
        </w:rPr>
        <w:t>tov hospodá</w:t>
      </w:r>
      <w:r>
        <w:rPr>
          <w:rFonts w:hint="default"/>
        </w:rPr>
        <w:t>rskych zvierat.</w:t>
      </w:r>
    </w:p>
    <w:p w:rsidR="00201740" w:rsidRPr="008D3921" w:rsidP="00201740">
      <w:pPr>
        <w:bidi w:val="0"/>
        <w:rPr>
          <w:rFonts w:ascii="Verdana" w:hAnsi="Verdana"/>
          <w:bCs/>
          <w:color w:val="000000"/>
          <w:sz w:val="17"/>
          <w:szCs w:val="17"/>
        </w:rPr>
      </w:pPr>
      <w:r w:rsidRPr="008D3921">
        <w:rPr>
          <w:rFonts w:hint="default"/>
          <w:bCs/>
          <w:color w:val="000000"/>
          <w:szCs w:val="17"/>
        </w:rPr>
        <w:t>Legislatí</w:t>
      </w:r>
      <w:r w:rsidRPr="008D3921">
        <w:rPr>
          <w:rFonts w:hint="default"/>
          <w:bCs/>
          <w:color w:val="000000"/>
          <w:szCs w:val="17"/>
        </w:rPr>
        <w:t>va:</w:t>
      </w:r>
      <w:r w:rsidRPr="008D3921">
        <w:rPr>
          <w:rFonts w:ascii="Verdana" w:hAnsi="Verdana"/>
          <w:bCs/>
          <w:color w:val="000000"/>
          <w:sz w:val="17"/>
          <w:szCs w:val="17"/>
        </w:rPr>
        <w:t xml:space="preserve"> </w:t>
      </w:r>
    </w:p>
    <w:p w:rsidR="00201740" w:rsidP="00201740">
      <w:pPr>
        <w:bidi w:val="0"/>
        <w:rPr>
          <w:rFonts w:hint="default"/>
        </w:rPr>
      </w:pPr>
      <w:r>
        <w:rPr>
          <w:color w:val="000000"/>
          <w:szCs w:val="17"/>
        </w:rPr>
        <w:t>Nar</w:t>
      </w:r>
      <w:r w:rsidR="00F70B7E">
        <w:rPr>
          <w:rFonts w:hint="default"/>
          <w:color w:val="000000"/>
          <w:szCs w:val="17"/>
        </w:rPr>
        <w:t>iadenie vlá</w:t>
      </w:r>
      <w:r w:rsidR="00F70B7E">
        <w:rPr>
          <w:rFonts w:hint="default"/>
          <w:color w:val="000000"/>
          <w:szCs w:val="17"/>
        </w:rPr>
        <w:t>dy SR č</w:t>
      </w:r>
      <w:r w:rsidR="00F70B7E">
        <w:rPr>
          <w:rFonts w:hint="default"/>
          <w:color w:val="000000"/>
          <w:szCs w:val="17"/>
        </w:rPr>
        <w:t>. 266/2007 Z. </w:t>
      </w:r>
      <w:r>
        <w:rPr>
          <w:rFonts w:hint="default"/>
          <w:color w:val="000000"/>
          <w:szCs w:val="17"/>
        </w:rPr>
        <w:t>z. o podmienkach poskytovania podpory v poľ</w:t>
      </w:r>
      <w:r>
        <w:rPr>
          <w:rFonts w:hint="default"/>
          <w:color w:val="000000"/>
          <w:szCs w:val="17"/>
        </w:rPr>
        <w:t>nohospodá</w:t>
      </w:r>
      <w:r>
        <w:rPr>
          <w:rFonts w:hint="default"/>
          <w:color w:val="000000"/>
          <w:szCs w:val="17"/>
        </w:rPr>
        <w:t>rstve f</w:t>
      </w:r>
      <w:r>
        <w:rPr>
          <w:rFonts w:hint="default"/>
          <w:color w:val="000000"/>
          <w:szCs w:val="17"/>
        </w:rPr>
        <w:t>ormou doplnkovej ná</w:t>
      </w:r>
      <w:r>
        <w:rPr>
          <w:rFonts w:hint="default"/>
          <w:color w:val="000000"/>
          <w:szCs w:val="17"/>
        </w:rPr>
        <w:t>rodnej priamej platby na VDJ v</w:t>
      </w:r>
      <w:r w:rsidR="0084478D">
        <w:rPr>
          <w:color w:val="000000"/>
          <w:szCs w:val="17"/>
        </w:rPr>
        <w:t> </w:t>
      </w:r>
      <w:r w:rsidR="0084478D">
        <w:rPr>
          <w:color w:val="000000"/>
          <w:szCs w:val="17"/>
        </w:rPr>
        <w:t>z</w:t>
      </w:r>
      <w:r>
        <w:rPr>
          <w:rFonts w:hint="default"/>
          <w:color w:val="000000"/>
          <w:szCs w:val="17"/>
        </w:rPr>
        <w:t>není</w:t>
      </w:r>
      <w:r w:rsidR="0084478D">
        <w:rPr>
          <w:rFonts w:hint="default"/>
          <w:color w:val="000000"/>
          <w:szCs w:val="17"/>
        </w:rPr>
        <w:t xml:space="preserve"> neskorší</w:t>
      </w:r>
      <w:r w:rsidR="0084478D">
        <w:rPr>
          <w:rFonts w:hint="default"/>
          <w:color w:val="000000"/>
          <w:szCs w:val="17"/>
        </w:rPr>
        <w:t>ch predpisov</w:t>
      </w:r>
      <w:r>
        <w:rPr>
          <w:color w:val="000000"/>
          <w:szCs w:val="17"/>
        </w:rPr>
        <w:t xml:space="preserve">. </w:t>
        <w:br/>
      </w:r>
      <w:r>
        <w:rPr>
          <w:rFonts w:hint="default"/>
        </w:rPr>
        <w:t>Platbu bolo mož</w:t>
      </w:r>
      <w:r>
        <w:rPr>
          <w:rFonts w:hint="default"/>
        </w:rPr>
        <w:t>né</w:t>
      </w:r>
      <w:r>
        <w:rPr>
          <w:rFonts w:hint="default"/>
        </w:rPr>
        <w:t xml:space="preserve"> poskytnúť</w:t>
      </w:r>
      <w:r>
        <w:rPr>
          <w:rFonts w:hint="default"/>
        </w:rPr>
        <w:t xml:space="preserve"> najmenej na jednu VDJ a stav zvierat sa urč</w:t>
      </w:r>
      <w:r>
        <w:rPr>
          <w:rFonts w:hint="default"/>
        </w:rPr>
        <w:t>il podľ</w:t>
      </w:r>
      <w:r>
        <w:rPr>
          <w:rFonts w:hint="default"/>
        </w:rPr>
        <w:t>a centrá</w:t>
      </w:r>
      <w:r>
        <w:rPr>
          <w:rFonts w:hint="default"/>
        </w:rPr>
        <w:t xml:space="preserve">lneho registra zvierat </w:t>
      </w:r>
      <w:r>
        <w:rPr>
          <w:rFonts w:hint="default"/>
        </w:rPr>
        <w:t>–</w:t>
      </w:r>
      <w:r>
        <w:rPr>
          <w:rFonts w:hint="default"/>
        </w:rPr>
        <w:t xml:space="preserve"> CEHZ </w:t>
      </w:r>
      <w:r>
        <w:rPr>
          <w:rFonts w:hint="default"/>
        </w:rPr>
        <w:t>–</w:t>
      </w:r>
      <w:r>
        <w:rPr>
          <w:rFonts w:hint="default"/>
        </w:rPr>
        <w:t xml:space="preserve"> Centrá</w:t>
      </w:r>
      <w:r>
        <w:rPr>
          <w:rFonts w:hint="default"/>
        </w:rPr>
        <w:t>lna evidencia hospodá</w:t>
      </w:r>
      <w:r>
        <w:rPr>
          <w:rFonts w:hint="default"/>
        </w:rPr>
        <w:t xml:space="preserve">rskych zvierat. </w:t>
      </w:r>
    </w:p>
    <w:p w:rsidR="00D018B8" w:rsidP="00D018B8">
      <w:pPr>
        <w:bidi w:val="0"/>
        <w:ind w:firstLine="0"/>
        <w:rPr>
          <w:b/>
        </w:rPr>
      </w:pPr>
    </w:p>
    <w:p w:rsidR="00201740" w:rsidRPr="0013507D" w:rsidP="00E45E06">
      <w:pPr>
        <w:keepNext/>
        <w:bidi w:val="0"/>
        <w:ind w:firstLine="0"/>
        <w:rPr>
          <w:b/>
        </w:rPr>
      </w:pPr>
      <w:r w:rsidR="00AB76F0">
        <w:rPr>
          <w:b/>
        </w:rPr>
        <w:t>P</w:t>
      </w:r>
      <w:r w:rsidRPr="0013507D">
        <w:rPr>
          <w:b/>
        </w:rPr>
        <w:t>riam</w:t>
      </w:r>
      <w:r w:rsidR="00AB76F0">
        <w:rPr>
          <w:b/>
        </w:rPr>
        <w:t>e</w:t>
      </w:r>
      <w:r w:rsidRPr="0013507D">
        <w:rPr>
          <w:b/>
        </w:rPr>
        <w:t xml:space="preserve"> platb</w:t>
      </w:r>
      <w:r w:rsidR="00AB76F0">
        <w:rPr>
          <w:b/>
        </w:rPr>
        <w:t>y</w:t>
      </w:r>
      <w:r w:rsidRPr="0013507D">
        <w:rPr>
          <w:b/>
        </w:rPr>
        <w:t xml:space="preserve"> </w:t>
      </w:r>
    </w:p>
    <w:p w:rsidR="00201740" w:rsidP="00E45E06">
      <w:pPr>
        <w:keepNext/>
        <w:bidi w:val="0"/>
        <w:ind w:firstLine="0"/>
        <w:jc w:val="left"/>
      </w:pPr>
      <w:r w:rsidRPr="005A59A8" w:rsidR="005A59A8">
        <w:t>v </w:t>
      </w:r>
      <w:r w:rsidRPr="005A59A8" w:rsidR="005A59A8">
        <w:rPr>
          <w:rFonts w:hint="default"/>
        </w:rPr>
        <w:t>mil. €</w:t>
      </w:r>
      <w:r w:rsidR="005A59A8">
        <w:tab/>
        <w:tab/>
        <w:tab/>
        <w:tab/>
        <w:tab/>
        <w:tab/>
        <w:tab/>
        <w:tab/>
        <w:tab/>
        <w:tab/>
      </w:r>
      <w:r w:rsidR="00D018B8">
        <w:rPr>
          <w:rFonts w:hint="default"/>
        </w:rPr>
        <w:t>Tabuľ</w:t>
      </w:r>
      <w:r w:rsidR="00D018B8">
        <w:rPr>
          <w:rFonts w:hint="default"/>
        </w:rPr>
        <w:t>ka č</w:t>
      </w:r>
      <w:r w:rsidR="00D018B8">
        <w:rPr>
          <w:rFonts w:hint="default"/>
        </w:rPr>
        <w:t xml:space="preserve">. </w:t>
      </w:r>
      <w:r w:rsidR="003D5230">
        <w:t>4</w:t>
      </w:r>
    </w:p>
    <w:tbl>
      <w:tblPr>
        <w:tblStyle w:val="TableNormal"/>
        <w:tblW w:w="9229" w:type="dxa"/>
        <w:tblInd w:w="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2709"/>
        <w:gridCol w:w="640"/>
        <w:gridCol w:w="851"/>
        <w:gridCol w:w="850"/>
        <w:gridCol w:w="993"/>
        <w:gridCol w:w="708"/>
        <w:gridCol w:w="635"/>
        <w:gridCol w:w="851"/>
        <w:gridCol w:w="992"/>
      </w:tblGrid>
      <w:tr>
        <w:tblPrEx>
          <w:tblW w:w="9229" w:type="dxa"/>
          <w:tblInd w:w="55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70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0B0E74" w:rsidRPr="00A669C9" w:rsidP="00E45E06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 </w:t>
            </w:r>
          </w:p>
          <w:p w:rsidR="000B0E74" w:rsidRPr="00A669C9" w:rsidP="00E45E06">
            <w:pPr>
              <w:keepNext/>
              <w:bidi w:val="0"/>
              <w:spacing w:after="0" w:line="240" w:lineRule="auto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2341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0B0E74" w:rsidRPr="00A669C9" w:rsidP="000B0E74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2009</w:t>
            </w: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0B0E74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Prevod</w:t>
            </w:r>
          </w:p>
        </w:tc>
        <w:tc>
          <w:tcPr>
            <w:tcW w:w="2194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0B0E74" w:rsidRPr="00A669C9" w:rsidP="000B0E74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2010</w:t>
            </w: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0B0E74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Prevod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EÚ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SR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="00EF471C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Spolu</w:t>
            </w:r>
          </w:p>
        </w:tc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do 2010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EÚ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SR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="00EF471C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Spolu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E45E06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do 2011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Jednotná platba na plochu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lang w:eastAsia="sk-SK"/>
              </w:rPr>
            </w:pPr>
            <w:r w:rsidRPr="004B4685">
              <w:rPr>
                <w:rFonts w:eastAsia="Times New Roman"/>
                <w:sz w:val="22"/>
                <w:szCs w:val="20"/>
                <w:lang w:eastAsia="sk-SK"/>
              </w:rPr>
              <w:t> 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 SAPS</w:t>
            </w:r>
            <w:r w:rsidR="0020182A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**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192,6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27,4</w:t>
            </w: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*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220,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21,5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230,5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29,3*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259,8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29,9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Doplnkové národné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priame platby, z toho: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107,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4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107,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4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5,3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64,6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64,6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9,2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8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063584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 xml:space="preserve"> Doplnková platba na plochu 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44,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8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44,</w:t>
            </w: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2,9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2,9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        chmeľ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0,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0,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0,09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</w:t>
            </w:r>
            <w:r w:rsidR="005A59A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 xml:space="preserve">-         VDJ 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62,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5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62,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61,6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61,6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C3070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Ostatné PP (Osobitná platba na cukor, EP, ovocie, zelenina)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34,4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34,4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4,3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13,2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13,2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03422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</w:t>
            </w:r>
            <w:r w:rsidR="00034226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Ostatné</w:t>
            </w:r>
            <w:r w:rsidR="005A59A8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 xml:space="preserve"> </w:t>
            </w: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PP</w:t>
            </w:r>
            <w:r w:rsidR="00C0319B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 xml:space="preserve"> </w:t>
            </w: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</w:t>
            </w:r>
            <w:r w:rsidR="00C0319B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 xml:space="preserve"> </w:t>
            </w: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prostriedky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pohľadávka k ost.</w:t>
            </w:r>
            <w:r w:rsidR="00F037EB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 xml:space="preserve"> </w:t>
            </w: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PP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2,3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2,3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4B4685">
              <w:rPr>
                <w:rFonts w:eastAsia="Times New Roman"/>
                <w:color w:val="000000"/>
                <w:sz w:val="22"/>
                <w:szCs w:val="20"/>
                <w:lang w:eastAsia="sk-SK"/>
              </w:rPr>
              <w:t>- 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C32DC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03422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034226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0,2</w:t>
            </w:r>
            <w:r w:rsidRPr="004B4685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709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sk-SK"/>
              </w:rPr>
              <w:t>Spolu priame platby</w:t>
            </w:r>
          </w:p>
        </w:tc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sk-SK"/>
              </w:rPr>
              <w:t>227,0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sk-SK"/>
              </w:rPr>
              <w:t>137,</w:t>
            </w:r>
            <w:r w:rsidR="005A59A8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sk-SK"/>
              </w:rPr>
              <w:t>364,1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sk-SK"/>
              </w:rPr>
              <w:t>31</w:t>
            </w:r>
            <w:r w:rsidR="005A59A8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sk-SK"/>
              </w:rPr>
              <w:t>,0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243,7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93,9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E45E0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337,6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201740" w:rsidRPr="004B4685" w:rsidP="00034226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B468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41,</w:t>
            </w:r>
            <w:r w:rsidR="000342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</w:tr>
    </w:tbl>
    <w:p w:rsidR="00EB458E" w:rsidP="00EB458E">
      <w:pPr>
        <w:keepNext/>
        <w:bidi w:val="0"/>
        <w:spacing w:after="0" w:line="240" w:lineRule="auto"/>
        <w:ind w:firstLine="0"/>
        <w:rPr>
          <w:rFonts w:hint="default"/>
          <w:sz w:val="20"/>
          <w:szCs w:val="20"/>
        </w:rPr>
      </w:pPr>
      <w:r w:rsidRPr="00D018B8" w:rsidR="00201740">
        <w:rPr>
          <w:rFonts w:hint="default"/>
          <w:sz w:val="20"/>
          <w:szCs w:val="20"/>
        </w:rPr>
        <w:t>Prameň</w:t>
      </w:r>
      <w:r w:rsidRPr="00D018B8" w:rsidR="00201740">
        <w:rPr>
          <w:rFonts w:hint="default"/>
          <w:sz w:val="20"/>
          <w:szCs w:val="20"/>
        </w:rPr>
        <w:t>: MPRV SR</w:t>
      </w:r>
      <w:r>
        <w:rPr>
          <w:rFonts w:hint="default"/>
          <w:sz w:val="20"/>
          <w:szCs w:val="20"/>
        </w:rPr>
        <w:t>, Ná</w:t>
      </w:r>
      <w:r>
        <w:rPr>
          <w:rFonts w:hint="default"/>
          <w:sz w:val="20"/>
          <w:szCs w:val="20"/>
        </w:rPr>
        <w:t>vrh zá</w:t>
      </w:r>
      <w:r>
        <w:rPr>
          <w:rFonts w:hint="default"/>
          <w:sz w:val="20"/>
          <w:szCs w:val="20"/>
        </w:rPr>
        <w:t>vereč</w:t>
      </w:r>
      <w:r>
        <w:rPr>
          <w:rFonts w:hint="default"/>
          <w:sz w:val="20"/>
          <w:szCs w:val="20"/>
        </w:rPr>
        <w:t>né</w:t>
      </w:r>
      <w:r>
        <w:rPr>
          <w:rFonts w:hint="default"/>
          <w:sz w:val="20"/>
          <w:szCs w:val="20"/>
        </w:rPr>
        <w:t>ho úč</w:t>
      </w:r>
      <w:r>
        <w:rPr>
          <w:rFonts w:hint="default"/>
          <w:sz w:val="20"/>
          <w:szCs w:val="20"/>
        </w:rPr>
        <w:t>tu za rok 2009, Ná</w:t>
      </w:r>
      <w:r>
        <w:rPr>
          <w:rFonts w:hint="default"/>
          <w:sz w:val="20"/>
          <w:szCs w:val="20"/>
        </w:rPr>
        <w:t>vrh z</w:t>
      </w:r>
      <w:r>
        <w:rPr>
          <w:rFonts w:hint="default"/>
          <w:sz w:val="20"/>
          <w:szCs w:val="20"/>
        </w:rPr>
        <w:t>á</w:t>
      </w:r>
      <w:r>
        <w:rPr>
          <w:rFonts w:hint="default"/>
          <w:sz w:val="20"/>
          <w:szCs w:val="20"/>
        </w:rPr>
        <w:t>vereč</w:t>
      </w:r>
      <w:r>
        <w:rPr>
          <w:rFonts w:hint="default"/>
          <w:sz w:val="20"/>
          <w:szCs w:val="20"/>
        </w:rPr>
        <w:t>né</w:t>
      </w:r>
      <w:r>
        <w:rPr>
          <w:rFonts w:hint="default"/>
          <w:sz w:val="20"/>
          <w:szCs w:val="20"/>
        </w:rPr>
        <w:t>ho úč</w:t>
      </w:r>
      <w:r>
        <w:rPr>
          <w:rFonts w:hint="default"/>
          <w:sz w:val="20"/>
          <w:szCs w:val="20"/>
        </w:rPr>
        <w:t>tu za rok 2010</w:t>
      </w:r>
    </w:p>
    <w:p w:rsidR="008941D0" w:rsidP="00E45E06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>
        <w:rPr>
          <w:rFonts w:hint="default"/>
          <w:sz w:val="20"/>
          <w:szCs w:val="20"/>
        </w:rPr>
        <w:t>*Pohľ</w:t>
      </w:r>
      <w:r>
        <w:rPr>
          <w:rFonts w:hint="default"/>
          <w:sz w:val="20"/>
          <w:szCs w:val="20"/>
        </w:rPr>
        <w:t>adá</w:t>
      </w:r>
      <w:r>
        <w:rPr>
          <w:rFonts w:hint="default"/>
          <w:sz w:val="20"/>
          <w:szCs w:val="20"/>
        </w:rPr>
        <w:t>vka k</w:t>
      </w:r>
      <w:r w:rsidR="0020182A">
        <w:rPr>
          <w:sz w:val="20"/>
          <w:szCs w:val="20"/>
        </w:rPr>
        <w:t> </w:t>
      </w:r>
      <w:r w:rsidR="00FF2689">
        <w:rPr>
          <w:rFonts w:hint="default"/>
          <w:sz w:val="20"/>
          <w:szCs w:val="20"/>
        </w:rPr>
        <w:t>EÚ</w:t>
      </w:r>
    </w:p>
    <w:p w:rsidR="0020182A" w:rsidP="00E45E06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C94212">
        <w:rPr>
          <w:rFonts w:hint="default"/>
          <w:sz w:val="20"/>
          <w:szCs w:val="20"/>
        </w:rPr>
        <w:t>vrá</w:t>
      </w:r>
      <w:r w:rsidR="00C94212">
        <w:rPr>
          <w:rFonts w:hint="default"/>
          <w:sz w:val="20"/>
          <w:szCs w:val="20"/>
        </w:rPr>
        <w:t>tane platieb na dojnice</w:t>
      </w:r>
    </w:p>
    <w:p w:rsidR="00594335" w:rsidRPr="00C047D1" w:rsidP="00E45E06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 w:rsidRPr="00C047D1">
        <w:rPr>
          <w:sz w:val="20"/>
          <w:szCs w:val="20"/>
        </w:rPr>
        <w:t>PP</w:t>
      </w:r>
      <w:r w:rsidR="00163FD1">
        <w:rPr>
          <w:sz w:val="20"/>
          <w:szCs w:val="20"/>
        </w:rPr>
        <w:t xml:space="preserve">  </w:t>
      </w:r>
      <w:r w:rsidRPr="00C047D1">
        <w:rPr>
          <w:sz w:val="20"/>
          <w:szCs w:val="20"/>
        </w:rPr>
        <w:t xml:space="preserve">= </w:t>
      </w:r>
      <w:r w:rsidR="00C047D1">
        <w:rPr>
          <w:sz w:val="20"/>
          <w:szCs w:val="20"/>
        </w:rPr>
        <w:t>priame platby</w:t>
      </w:r>
    </w:p>
    <w:p w:rsidR="00594335" w:rsidP="00E45E06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 w:rsidRPr="00A0095C">
        <w:rPr>
          <w:sz w:val="20"/>
          <w:szCs w:val="20"/>
        </w:rPr>
        <w:t>EP  =</w:t>
      </w:r>
      <w:r>
        <w:rPr>
          <w:sz w:val="20"/>
          <w:szCs w:val="20"/>
        </w:rPr>
        <w:t xml:space="preserve"> </w:t>
      </w:r>
      <w:r w:rsidR="00A0095C">
        <w:rPr>
          <w:rFonts w:hint="default"/>
          <w:sz w:val="20"/>
          <w:szCs w:val="20"/>
        </w:rPr>
        <w:t>energetické</w:t>
      </w:r>
      <w:r w:rsidR="00A0095C">
        <w:rPr>
          <w:rFonts w:hint="default"/>
          <w:sz w:val="20"/>
          <w:szCs w:val="20"/>
        </w:rPr>
        <w:t xml:space="preserve"> plodiny</w:t>
      </w:r>
    </w:p>
    <w:p w:rsidR="00E45E06" w:rsidRPr="00D018B8" w:rsidP="00E45E06">
      <w:pPr>
        <w:bidi w:val="0"/>
        <w:spacing w:after="0" w:line="240" w:lineRule="auto"/>
        <w:ind w:firstLine="0"/>
        <w:rPr>
          <w:sz w:val="20"/>
          <w:szCs w:val="20"/>
        </w:rPr>
      </w:pPr>
      <w:r>
        <w:rPr>
          <w:rFonts w:eastAsia="Arial Unicode MS" w:hint="default"/>
          <w:sz w:val="20"/>
          <w:szCs w:val="20"/>
        </w:rPr>
        <w:t>Vypracoval: VÚ</w:t>
      </w:r>
      <w:r>
        <w:rPr>
          <w:rFonts w:eastAsia="Arial Unicode MS" w:hint="default"/>
          <w:sz w:val="20"/>
          <w:szCs w:val="20"/>
        </w:rPr>
        <w:t>EPP</w:t>
      </w:r>
    </w:p>
    <w:p w:rsidR="006F451B" w:rsidP="006F451B">
      <w:pPr>
        <w:pStyle w:val="Heading2"/>
        <w:numPr>
          <w:numId w:val="10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Rozvoj vidieka</w:t>
      </w:r>
    </w:p>
    <w:p w:rsidR="006E7C03" w:rsidP="006E7C03">
      <w:pPr>
        <w:bidi w:val="0"/>
        <w:ind w:firstLine="708"/>
      </w:pPr>
      <w:r w:rsidRPr="008E38BC">
        <w:rPr>
          <w:rFonts w:hint="default"/>
        </w:rPr>
        <w:t>Nariadení</w:t>
      </w:r>
      <w:r w:rsidRPr="008E38BC">
        <w:rPr>
          <w:rFonts w:hint="default"/>
        </w:rPr>
        <w:t>m Rady (ES) č</w:t>
      </w:r>
      <w:r w:rsidRPr="008E38BC">
        <w:rPr>
          <w:rFonts w:hint="default"/>
        </w:rPr>
        <w:t>. 1290/2005 z 21. jú</w:t>
      </w:r>
      <w:r w:rsidRPr="008E38BC">
        <w:rPr>
          <w:rFonts w:hint="default"/>
        </w:rPr>
        <w:t>na 2005 o financovaní</w:t>
      </w:r>
      <w:r w:rsidRPr="008E38BC">
        <w:rPr>
          <w:rFonts w:hint="default"/>
        </w:rPr>
        <w:t xml:space="preserve"> Spoloč</w:t>
      </w:r>
      <w:r w:rsidRPr="008E38BC">
        <w:rPr>
          <w:rFonts w:hint="default"/>
        </w:rPr>
        <w:t>nej poľ</w:t>
      </w:r>
      <w:r w:rsidRPr="008E38BC">
        <w:rPr>
          <w:rFonts w:hint="default"/>
        </w:rPr>
        <w:t>nohospodá</w:t>
      </w:r>
      <w:r w:rsidRPr="008E38BC">
        <w:rPr>
          <w:rFonts w:hint="default"/>
        </w:rPr>
        <w:t>rskej politiky b</w:t>
      </w:r>
      <w:r w:rsidRPr="008E38BC">
        <w:rPr>
          <w:rFonts w:hint="default"/>
        </w:rPr>
        <w:t>ol zriadený</w:t>
      </w:r>
      <w:r w:rsidRPr="008E38BC">
        <w:rPr>
          <w:rFonts w:hint="default"/>
        </w:rPr>
        <w:t xml:space="preserve"> Euró</w:t>
      </w:r>
      <w:r w:rsidRPr="008E38BC">
        <w:rPr>
          <w:rFonts w:hint="default"/>
        </w:rPr>
        <w:t>psky poľ</w:t>
      </w:r>
      <w:r w:rsidRPr="008E38BC">
        <w:rPr>
          <w:rFonts w:hint="default"/>
        </w:rPr>
        <w:t>nohospodá</w:t>
      </w:r>
      <w:r w:rsidRPr="008E38BC">
        <w:rPr>
          <w:rFonts w:hint="default"/>
        </w:rPr>
        <w:t>rsky fon</w:t>
      </w:r>
      <w:r w:rsidR="00C047D1">
        <w:t>d pre rozvoj vidieka (EPFRV)</w:t>
      </w:r>
      <w:r w:rsidRPr="008E38BC">
        <w:rPr>
          <w:rFonts w:hint="default"/>
        </w:rPr>
        <w:t>. EPFRV slúž</w:t>
      </w:r>
      <w:r w:rsidRPr="008E38BC">
        <w:rPr>
          <w:rFonts w:hint="default"/>
        </w:rPr>
        <w:t>i na financovanie programov rozvoja vidieka prijatý</w:t>
      </w:r>
      <w:r w:rsidRPr="008E38BC">
        <w:rPr>
          <w:rFonts w:hint="default"/>
        </w:rPr>
        <w:t>ch v </w:t>
      </w:r>
      <w:r w:rsidRPr="008E38BC">
        <w:rPr>
          <w:rFonts w:hint="default"/>
        </w:rPr>
        <w:t>sú</w:t>
      </w:r>
      <w:r w:rsidRPr="008E38BC">
        <w:rPr>
          <w:rFonts w:hint="default"/>
        </w:rPr>
        <w:t>lade s </w:t>
      </w:r>
      <w:r w:rsidRPr="008E38BC">
        <w:rPr>
          <w:rFonts w:hint="default"/>
        </w:rPr>
        <w:t>nariadení</w:t>
      </w:r>
      <w:r w:rsidRPr="008E38BC">
        <w:rPr>
          <w:rFonts w:hint="default"/>
        </w:rPr>
        <w:t>m Rady (ES) č. </w:t>
      </w:r>
      <w:r w:rsidRPr="008E38BC">
        <w:rPr>
          <w:rFonts w:hint="default"/>
        </w:rPr>
        <w:t>1698/2005 z 20. septembra 2005</w:t>
      </w:r>
      <w:r>
        <w:t xml:space="preserve">. </w:t>
      </w:r>
      <w:r w:rsidRPr="00C13AD7">
        <w:rPr>
          <w:b/>
        </w:rPr>
        <w:t xml:space="preserve">Program rozvoja vidieka SR 2007 </w:t>
      </w:r>
      <w:r w:rsidRPr="00C13AD7">
        <w:rPr>
          <w:rFonts w:hint="default"/>
          <w:b/>
        </w:rPr>
        <w:t>–</w:t>
      </w:r>
      <w:r w:rsidRPr="00C13AD7">
        <w:rPr>
          <w:rFonts w:hint="default"/>
          <w:b/>
        </w:rPr>
        <w:t xml:space="preserve"> 2013</w:t>
      </w:r>
      <w:r w:rsidR="00C047D1">
        <w:t xml:space="preserve"> (PRV</w:t>
      </w:r>
      <w:r w:rsidRPr="008E38BC">
        <w:rPr>
          <w:rFonts w:hint="default"/>
        </w:rPr>
        <w:t>) bol schvá</w:t>
      </w:r>
      <w:r w:rsidRPr="008E38BC">
        <w:rPr>
          <w:rFonts w:hint="default"/>
        </w:rPr>
        <w:t>lený</w:t>
      </w:r>
      <w:r w:rsidRPr="008E38BC">
        <w:rPr>
          <w:rFonts w:hint="default"/>
        </w:rPr>
        <w:t xml:space="preserve"> rozhodnutí</w:t>
      </w:r>
      <w:r w:rsidRPr="008E38BC">
        <w:rPr>
          <w:rFonts w:hint="default"/>
        </w:rPr>
        <w:t>m Komisie C</w:t>
      </w:r>
      <w:r w:rsidR="00C047D1">
        <w:t> </w:t>
      </w:r>
      <w:r w:rsidRPr="008E38BC">
        <w:t>(2007) 6164 zo 4. dec</w:t>
      </w:r>
      <w:r>
        <w:rPr>
          <w:rFonts w:hint="default"/>
        </w:rPr>
        <w:t>embra 2007 Euró</w:t>
      </w:r>
      <w:r>
        <w:rPr>
          <w:rFonts w:hint="default"/>
        </w:rPr>
        <w:t>pskou komisiou</w:t>
      </w:r>
      <w:r w:rsidRPr="008E38BC">
        <w:t xml:space="preserve"> a </w:t>
      </w:r>
      <w:r w:rsidRPr="008E38BC">
        <w:rPr>
          <w:rFonts w:hint="default"/>
        </w:rPr>
        <w:t>dopracovaný</w:t>
      </w:r>
      <w:r w:rsidRPr="008E38BC">
        <w:rPr>
          <w:rFonts w:hint="default"/>
        </w:rPr>
        <w:t xml:space="preserve"> v </w:t>
      </w:r>
      <w:r w:rsidRPr="008E38BC">
        <w:rPr>
          <w:rFonts w:hint="default"/>
        </w:rPr>
        <w:t>zmysle prvej, druhej a tretej modifiká</w:t>
      </w:r>
      <w:r w:rsidRPr="008E38BC">
        <w:rPr>
          <w:rFonts w:hint="default"/>
        </w:rPr>
        <w:t>cie</w:t>
      </w:r>
      <w:r>
        <w:t xml:space="preserve"> a </w:t>
      </w:r>
      <w:r>
        <w:rPr>
          <w:rFonts w:hint="default"/>
        </w:rPr>
        <w:t>je ná</w:t>
      </w:r>
      <w:r>
        <w:rPr>
          <w:rFonts w:hint="default"/>
        </w:rPr>
        <w:t>strojom podpory politiky rozvoja vidieka, ktorá</w:t>
      </w:r>
      <w:r>
        <w:rPr>
          <w:rFonts w:hint="default"/>
        </w:rPr>
        <w:t xml:space="preserve"> predstavuje druhý</w:t>
      </w:r>
      <w:r>
        <w:rPr>
          <w:rFonts w:hint="default"/>
        </w:rPr>
        <w:t xml:space="preserve"> pilier Spoloč</w:t>
      </w:r>
      <w:r>
        <w:rPr>
          <w:rFonts w:hint="default"/>
        </w:rPr>
        <w:t>nej poľ</w:t>
      </w:r>
      <w:r>
        <w:rPr>
          <w:rFonts w:hint="default"/>
        </w:rPr>
        <w:t>nohospodá</w:t>
      </w:r>
      <w:r>
        <w:rPr>
          <w:rFonts w:hint="default"/>
        </w:rPr>
        <w:t>rskej politiky Eur</w:t>
      </w:r>
      <w:r>
        <w:rPr>
          <w:rFonts w:hint="default"/>
        </w:rPr>
        <w:t>ó</w:t>
      </w:r>
      <w:r>
        <w:rPr>
          <w:rFonts w:hint="default"/>
        </w:rPr>
        <w:t>pskej ú</w:t>
      </w:r>
      <w:r>
        <w:rPr>
          <w:rFonts w:hint="default"/>
        </w:rPr>
        <w:t>nie</w:t>
      </w:r>
      <w:r w:rsidRPr="008E38BC">
        <w:t>.</w:t>
      </w:r>
      <w:r>
        <w:t xml:space="preserve"> </w:t>
      </w:r>
    </w:p>
    <w:p w:rsidR="006E7C03" w:rsidRPr="00C06390" w:rsidP="006E7C03">
      <w:pPr>
        <w:bidi w:val="0"/>
      </w:pPr>
      <w:r>
        <w:t>PRV</w:t>
      </w:r>
      <w:r w:rsidR="00AC32DC">
        <w:t> </w:t>
      </w:r>
      <w:r w:rsidR="00AC32DC">
        <w:t>SR 2007</w:t>
      </w:r>
      <w:r w:rsidR="00C0319B">
        <w:t xml:space="preserve"> </w:t>
      </w:r>
      <w:r w:rsidR="00AC32DC">
        <w:t>-</w:t>
      </w:r>
      <w:r w:rsidR="00C0319B">
        <w:t xml:space="preserve"> </w:t>
      </w:r>
      <w:r w:rsidR="00AC32DC">
        <w:t>2013</w:t>
      </w:r>
      <w:r>
        <w:rPr>
          <w:rFonts w:hint="default"/>
        </w:rPr>
        <w:t xml:space="preserve"> sa vzť</w:t>
      </w:r>
      <w:r>
        <w:rPr>
          <w:rFonts w:hint="default"/>
        </w:rPr>
        <w:t>ahuje na celé</w:t>
      </w:r>
      <w:r>
        <w:rPr>
          <w:rFonts w:hint="default"/>
        </w:rPr>
        <w:t xml:space="preserve"> ú</w:t>
      </w:r>
      <w:r>
        <w:rPr>
          <w:rFonts w:hint="default"/>
        </w:rPr>
        <w:t>zemie Slovenska, ktoré</w:t>
      </w:r>
      <w:r>
        <w:rPr>
          <w:rFonts w:hint="default"/>
        </w:rPr>
        <w:t xml:space="preserve"> je rozdelené</w:t>
      </w:r>
      <w:r w:rsidR="00B7154C">
        <w:rPr>
          <w:rFonts w:hint="default"/>
        </w:rPr>
        <w:t xml:space="preserve"> na oblasti cieľ</w:t>
      </w:r>
      <w:r w:rsidR="00B7154C">
        <w:rPr>
          <w:rFonts w:hint="default"/>
        </w:rPr>
        <w:t xml:space="preserve">a Konvergencia </w:t>
      </w:r>
      <w:r>
        <w:rPr>
          <w:rFonts w:hint="default"/>
        </w:rPr>
        <w:t>(Trnavský</w:t>
      </w:r>
      <w:r>
        <w:rPr>
          <w:rFonts w:hint="default"/>
        </w:rPr>
        <w:t xml:space="preserve"> kraj, </w:t>
      </w:r>
      <w:r w:rsidRPr="00620D0C">
        <w:t>N</w:t>
      </w:r>
      <w:r>
        <w:rPr>
          <w:rFonts w:hint="default"/>
        </w:rPr>
        <w:t>itriansky kraj, Trenč</w:t>
      </w:r>
      <w:r>
        <w:rPr>
          <w:rFonts w:hint="default"/>
        </w:rPr>
        <w:t>iansky kraj, Banskobystrický</w:t>
      </w:r>
      <w:r>
        <w:rPr>
          <w:rFonts w:hint="default"/>
        </w:rPr>
        <w:t xml:space="preserve"> kraj, Ž</w:t>
      </w:r>
      <w:r>
        <w:rPr>
          <w:rFonts w:hint="default"/>
        </w:rPr>
        <w:t>ilinský</w:t>
      </w:r>
      <w:r>
        <w:rPr>
          <w:rFonts w:hint="default"/>
        </w:rPr>
        <w:t xml:space="preserve"> kraj, Koš</w:t>
      </w:r>
      <w:r>
        <w:rPr>
          <w:rFonts w:hint="default"/>
        </w:rPr>
        <w:t>ický</w:t>
      </w:r>
      <w:r>
        <w:rPr>
          <w:rFonts w:hint="default"/>
        </w:rPr>
        <w:t xml:space="preserve"> kraj a Preš</w:t>
      </w:r>
      <w:r>
        <w:rPr>
          <w:rFonts w:hint="default"/>
        </w:rPr>
        <w:t>ovský</w:t>
      </w:r>
      <w:r>
        <w:rPr>
          <w:rFonts w:hint="default"/>
        </w:rPr>
        <w:t xml:space="preserve"> kraj</w:t>
      </w:r>
      <w:r w:rsidRPr="00620D0C">
        <w:t>)</w:t>
      </w:r>
      <w:r>
        <w:t xml:space="preserve"> a oblasti mimo ci</w:t>
      </w:r>
      <w:r>
        <w:rPr>
          <w:rFonts w:hint="default"/>
        </w:rPr>
        <w:t>eľ</w:t>
      </w:r>
      <w:r>
        <w:rPr>
          <w:rFonts w:hint="default"/>
        </w:rPr>
        <w:t>a Konvergencia (Bratislavský</w:t>
      </w:r>
      <w:r>
        <w:rPr>
          <w:rFonts w:hint="default"/>
        </w:rPr>
        <w:t xml:space="preserve"> kraj), prič</w:t>
      </w:r>
      <w:r>
        <w:rPr>
          <w:rFonts w:hint="default"/>
        </w:rPr>
        <w:t>om opatrenia: „</w:t>
      </w:r>
      <w:r>
        <w:rPr>
          <w:rFonts w:hint="default"/>
        </w:rPr>
        <w:t>Obnova a </w:t>
      </w:r>
      <w:r>
        <w:rPr>
          <w:rFonts w:hint="default"/>
        </w:rPr>
        <w:t>rozvoj obcí“</w:t>
      </w:r>
      <w:r>
        <w:rPr>
          <w:rFonts w:hint="default"/>
        </w:rPr>
        <w:t>, „</w:t>
      </w:r>
      <w:r>
        <w:rPr>
          <w:rFonts w:hint="default"/>
        </w:rPr>
        <w:t>Zá</w:t>
      </w:r>
      <w:r>
        <w:rPr>
          <w:rFonts w:hint="default"/>
        </w:rPr>
        <w:t>kladné</w:t>
      </w:r>
      <w:r>
        <w:rPr>
          <w:rFonts w:hint="default"/>
        </w:rPr>
        <w:t xml:space="preserve"> služ</w:t>
      </w:r>
      <w:r>
        <w:rPr>
          <w:rFonts w:hint="default"/>
        </w:rPr>
        <w:t>by pre vidiecke obyvateľ</w:t>
      </w:r>
      <w:r>
        <w:rPr>
          <w:rFonts w:hint="default"/>
        </w:rPr>
        <w:t>stvo“</w:t>
      </w:r>
      <w:r>
        <w:rPr>
          <w:rFonts w:hint="default"/>
        </w:rPr>
        <w:t xml:space="preserve"> a „</w:t>
      </w:r>
      <w:r>
        <w:rPr>
          <w:rFonts w:hint="default"/>
        </w:rPr>
        <w:t>Diverzifiká</w:t>
      </w:r>
      <w:r>
        <w:rPr>
          <w:rFonts w:hint="default"/>
        </w:rPr>
        <w:t>cia smerom k </w:t>
      </w:r>
      <w:r>
        <w:rPr>
          <w:rFonts w:hint="default"/>
        </w:rPr>
        <w:t>nepoľ</w:t>
      </w:r>
      <w:r>
        <w:rPr>
          <w:rFonts w:hint="default"/>
        </w:rPr>
        <w:t>nohospodá</w:t>
      </w:r>
      <w:r>
        <w:rPr>
          <w:rFonts w:hint="default"/>
        </w:rPr>
        <w:t>rskym č</w:t>
      </w:r>
      <w:r>
        <w:rPr>
          <w:rFonts w:hint="default"/>
        </w:rPr>
        <w:t>innostiam“</w:t>
      </w:r>
      <w:r>
        <w:rPr>
          <w:rFonts w:hint="default"/>
        </w:rPr>
        <w:t xml:space="preserve"> sa implementujú</w:t>
      </w:r>
      <w:r>
        <w:rPr>
          <w:rFonts w:hint="default"/>
        </w:rPr>
        <w:t xml:space="preserve"> vý</w:t>
      </w:r>
      <w:r>
        <w:rPr>
          <w:rFonts w:hint="default"/>
        </w:rPr>
        <w:t>luč</w:t>
      </w:r>
      <w:r>
        <w:rPr>
          <w:rFonts w:hint="default"/>
        </w:rPr>
        <w:t>ne v oblastiach cieľ</w:t>
      </w:r>
      <w:r>
        <w:rPr>
          <w:rFonts w:hint="default"/>
        </w:rPr>
        <w:t xml:space="preserve">a Konvergencia. </w:t>
      </w:r>
    </w:p>
    <w:p w:rsidR="006E7C03" w:rsidP="00001902">
      <w:pPr>
        <w:bidi w:val="0"/>
      </w:pPr>
      <w:r w:rsidRPr="008E38BC">
        <w:t>Program je fina</w:t>
      </w:r>
      <w:r w:rsidRPr="008E38BC">
        <w:rPr>
          <w:rFonts w:hint="default"/>
        </w:rPr>
        <w:t>ncovaný</w:t>
      </w:r>
      <w:r w:rsidRPr="008E38BC">
        <w:rPr>
          <w:rFonts w:hint="default"/>
        </w:rPr>
        <w:t xml:space="preserve"> z EPFRV a </w:t>
      </w:r>
      <w:r w:rsidRPr="008E38BC">
        <w:rPr>
          <w:rFonts w:hint="default"/>
        </w:rPr>
        <w:t>spolufinancovaný</w:t>
      </w:r>
      <w:r w:rsidRPr="008E38BC">
        <w:rPr>
          <w:rFonts w:hint="default"/>
        </w:rPr>
        <w:t xml:space="preserve"> zo š</w:t>
      </w:r>
      <w:r w:rsidRPr="008E38BC">
        <w:rPr>
          <w:rFonts w:hint="default"/>
        </w:rPr>
        <w:t>tá</w:t>
      </w:r>
      <w:r w:rsidRPr="008E38BC">
        <w:rPr>
          <w:rFonts w:hint="default"/>
        </w:rPr>
        <w:t>tneho rozpoč</w:t>
      </w:r>
      <w:r w:rsidRPr="008E38BC">
        <w:rPr>
          <w:rFonts w:hint="default"/>
        </w:rPr>
        <w:t>tu SR. Celková</w:t>
      </w:r>
      <w:r w:rsidRPr="008E38BC">
        <w:rPr>
          <w:rFonts w:hint="default"/>
        </w:rPr>
        <w:t xml:space="preserve"> suma verejný</w:t>
      </w:r>
      <w:r w:rsidRPr="008E38BC">
        <w:rPr>
          <w:rFonts w:hint="default"/>
        </w:rPr>
        <w:t>ch finanč</w:t>
      </w:r>
      <w:r w:rsidRPr="008E38BC">
        <w:rPr>
          <w:rFonts w:hint="default"/>
        </w:rPr>
        <w:t>ný</w:t>
      </w:r>
      <w:r w:rsidRPr="008E38BC">
        <w:rPr>
          <w:rFonts w:hint="default"/>
        </w:rPr>
        <w:t>ch prostriedkov na sedemroč</w:t>
      </w:r>
      <w:r w:rsidRPr="008E38BC">
        <w:rPr>
          <w:rFonts w:hint="default"/>
        </w:rPr>
        <w:t>né</w:t>
      </w:r>
      <w:r w:rsidRPr="008E38BC">
        <w:rPr>
          <w:rFonts w:hint="default"/>
        </w:rPr>
        <w:t xml:space="preserve"> obdobie po modifiká</w:t>
      </w:r>
      <w:r w:rsidRPr="008E38BC">
        <w:rPr>
          <w:rFonts w:hint="default"/>
        </w:rPr>
        <w:t>ciá</w:t>
      </w:r>
      <w:r w:rsidRPr="008E38BC">
        <w:rPr>
          <w:rFonts w:hint="default"/>
        </w:rPr>
        <w:t>ch programu predstavuje 2 597 053  717 </w:t>
      </w:r>
      <w:r>
        <w:rPr>
          <w:rFonts w:hint="default"/>
        </w:rPr>
        <w:t>€</w:t>
      </w:r>
      <w:r w:rsidRPr="008E38BC">
        <w:t xml:space="preserve"> (EPFRV: 1 996 908 078 </w:t>
      </w:r>
      <w:r>
        <w:rPr>
          <w:rFonts w:hint="default"/>
        </w:rPr>
        <w:t>€</w:t>
      </w:r>
      <w:r w:rsidRPr="008E38BC">
        <w:rPr>
          <w:rFonts w:hint="default"/>
        </w:rPr>
        <w:t>, š</w:t>
      </w:r>
      <w:r w:rsidRPr="008E38BC">
        <w:rPr>
          <w:rFonts w:hint="default"/>
        </w:rPr>
        <w:t>tá</w:t>
      </w:r>
      <w:r w:rsidRPr="008E38BC">
        <w:rPr>
          <w:rFonts w:hint="default"/>
        </w:rPr>
        <w:t>tny rozpoč</w:t>
      </w:r>
      <w:r w:rsidRPr="008E38BC">
        <w:rPr>
          <w:rFonts w:hint="default"/>
        </w:rPr>
        <w:t>et SR: 600 145 639</w:t>
      </w:r>
      <w:r w:rsidR="00001902">
        <w:t> </w:t>
      </w:r>
      <w:r w:rsidR="00001902">
        <w:rPr>
          <w:rFonts w:hint="default"/>
        </w:rPr>
        <w:t>€</w:t>
      </w:r>
      <w:r w:rsidR="00C047D1">
        <w:t>)</w:t>
      </w:r>
      <w:r w:rsidR="00001902">
        <w:t>.</w:t>
      </w:r>
      <w:r>
        <w:t xml:space="preserve"> Z celkovej </w:t>
      </w:r>
      <w:r>
        <w:t>sumy 1 996 908 078</w:t>
      </w:r>
      <w:r w:rsidR="00001902">
        <w:t> </w:t>
      </w:r>
      <w:r w:rsidR="00001902">
        <w:rPr>
          <w:rFonts w:hint="default"/>
        </w:rPr>
        <w:t>€</w:t>
      </w:r>
      <w:r w:rsidR="00001902">
        <w:rPr>
          <w:rFonts w:hint="default"/>
        </w:rPr>
        <w:t xml:space="preserve"> </w:t>
      </w:r>
      <w:r>
        <w:rPr>
          <w:rFonts w:hint="default"/>
        </w:rPr>
        <w:t>č</w:t>
      </w:r>
      <w:r>
        <w:rPr>
          <w:rFonts w:hint="default"/>
        </w:rPr>
        <w:t>iní</w:t>
      </w:r>
      <w:r>
        <w:rPr>
          <w:rFonts w:hint="default"/>
        </w:rPr>
        <w:t xml:space="preserve"> prí</w:t>
      </w:r>
      <w:r>
        <w:rPr>
          <w:rFonts w:hint="default"/>
        </w:rPr>
        <w:t>spevok do Konvergenč</w:t>
      </w:r>
      <w:r>
        <w:rPr>
          <w:rFonts w:hint="default"/>
        </w:rPr>
        <w:t>ný</w:t>
      </w:r>
      <w:r>
        <w:rPr>
          <w:rFonts w:hint="default"/>
        </w:rPr>
        <w:t>ch regió</w:t>
      </w:r>
      <w:r>
        <w:rPr>
          <w:rFonts w:hint="default"/>
        </w:rPr>
        <w:t>nov 1 958 307 486</w:t>
      </w:r>
      <w:r w:rsidR="00001902">
        <w:t> </w:t>
      </w:r>
      <w:r w:rsidR="00001902">
        <w:rPr>
          <w:rFonts w:hint="default"/>
        </w:rPr>
        <w:t>€</w:t>
      </w:r>
      <w:r w:rsidR="00001902">
        <w:rPr>
          <w:rFonts w:hint="default"/>
        </w:rPr>
        <w:t xml:space="preserve"> </w:t>
      </w:r>
      <w:r>
        <w:t>a </w:t>
      </w:r>
      <w:r>
        <w:rPr>
          <w:rFonts w:hint="default"/>
        </w:rPr>
        <w:t>do Nekonvergeč</w:t>
      </w:r>
      <w:r>
        <w:rPr>
          <w:rFonts w:hint="default"/>
        </w:rPr>
        <w:t>ný</w:t>
      </w:r>
      <w:r>
        <w:rPr>
          <w:rFonts w:hint="default"/>
        </w:rPr>
        <w:t>ch regió</w:t>
      </w:r>
      <w:r>
        <w:rPr>
          <w:rFonts w:hint="default"/>
        </w:rPr>
        <w:t>nov 38 600 592</w:t>
      </w:r>
      <w:r w:rsidR="00001902">
        <w:t> </w:t>
      </w:r>
      <w:r w:rsidR="00001902">
        <w:rPr>
          <w:rFonts w:hint="default"/>
        </w:rPr>
        <w:t>€.</w:t>
      </w:r>
      <w:r>
        <w:t xml:space="preserve"> </w:t>
      </w:r>
    </w:p>
    <w:p w:rsidR="006E7C03" w:rsidRPr="008E38BC" w:rsidP="006E7C03">
      <w:pPr>
        <w:bidi w:val="0"/>
        <w:rPr>
          <w:rFonts w:hint="default"/>
        </w:rPr>
      </w:pPr>
      <w:r w:rsidRPr="008E38BC">
        <w:rPr>
          <w:rFonts w:hint="default"/>
        </w:rPr>
        <w:t>Program sa realizuje prostrední</w:t>
      </w:r>
      <w:r w:rsidRPr="008E38BC">
        <w:rPr>
          <w:rFonts w:hint="default"/>
        </w:rPr>
        <w:t xml:space="preserve">ctvom </w:t>
      </w:r>
      <w:r>
        <w:rPr>
          <w:rFonts w:hint="default"/>
        </w:rPr>
        <w:t>opatrení</w:t>
      </w:r>
      <w:r>
        <w:rPr>
          <w:rFonts w:hint="default"/>
        </w:rPr>
        <w:t xml:space="preserve"> v </w:t>
      </w:r>
      <w:r>
        <w:rPr>
          <w:rFonts w:hint="default"/>
        </w:rPr>
        <w:t>rá</w:t>
      </w:r>
      <w:r>
        <w:rPr>
          <w:rFonts w:hint="default"/>
        </w:rPr>
        <w:t xml:space="preserve">mci </w:t>
      </w:r>
      <w:r w:rsidRPr="008E38BC">
        <w:rPr>
          <w:rFonts w:hint="default"/>
        </w:rPr>
        <w:t>piatich osí</w:t>
      </w:r>
      <w:r w:rsidRPr="008E38BC">
        <w:rPr>
          <w:rFonts w:hint="default"/>
        </w:rPr>
        <w:t>:</w:t>
      </w:r>
    </w:p>
    <w:p w:rsidR="006E7C03" w:rsidRPr="008E38BC" w:rsidP="006E7C03">
      <w:pPr>
        <w:pStyle w:val="CharChar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E38BC">
        <w:rPr>
          <w:rFonts w:ascii="Times New Roman" w:hAnsi="Times New Roman"/>
          <w:sz w:val="24"/>
          <w:szCs w:val="24"/>
          <w:lang w:val="sk-SK"/>
        </w:rPr>
        <w:t>Os 1 – Zvýšenie konkurencieschopnosti sektora poľnohospodárstva a lesného hospodárstva</w:t>
      </w:r>
    </w:p>
    <w:p w:rsidR="006E7C03" w:rsidRPr="008E38BC" w:rsidP="006E7C03">
      <w:pPr>
        <w:pStyle w:val="CharChar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E38BC">
        <w:rPr>
          <w:rFonts w:ascii="Times New Roman" w:hAnsi="Times New Roman"/>
          <w:sz w:val="24"/>
          <w:szCs w:val="24"/>
          <w:lang w:val="sk-SK"/>
        </w:rPr>
        <w:t>Os 2 – Zlepšenie životného prostredia a krajiny</w:t>
      </w:r>
    </w:p>
    <w:p w:rsidR="006E7C03" w:rsidRPr="008E38BC" w:rsidP="006E7C03">
      <w:pPr>
        <w:pStyle w:val="CharChar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E38BC">
        <w:rPr>
          <w:rFonts w:ascii="Times New Roman" w:hAnsi="Times New Roman"/>
          <w:sz w:val="24"/>
          <w:szCs w:val="24"/>
          <w:lang w:val="sk-SK"/>
        </w:rPr>
        <w:t>Os 3 – Kvalita života vo vidieckych oblastiach a diverzifikácia vidieckeho hospodárstva</w:t>
      </w:r>
    </w:p>
    <w:p w:rsidR="006E7C03" w:rsidRPr="008E38BC" w:rsidP="006E7C03">
      <w:pPr>
        <w:pStyle w:val="CharChar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E38BC">
        <w:rPr>
          <w:rFonts w:ascii="Times New Roman" w:hAnsi="Times New Roman"/>
          <w:sz w:val="24"/>
          <w:szCs w:val="24"/>
          <w:lang w:val="sk-SK"/>
        </w:rPr>
        <w:t>Os 4 – Realizácia prístupu Leader</w:t>
      </w:r>
    </w:p>
    <w:p w:rsidR="006E7C03" w:rsidP="006E7C03">
      <w:pPr>
        <w:pStyle w:val="CharChar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E38BC">
        <w:rPr>
          <w:rFonts w:ascii="Times New Roman" w:hAnsi="Times New Roman"/>
          <w:sz w:val="24"/>
          <w:szCs w:val="24"/>
          <w:lang w:val="sk-SK"/>
        </w:rPr>
        <w:t>Os 5 – Operácie technickej pomoci</w:t>
      </w:r>
    </w:p>
    <w:p w:rsidR="006E7C03" w:rsidRPr="008E38BC" w:rsidP="006E7C03">
      <w:pPr>
        <w:pStyle w:val="CharChar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6E7C03" w:rsidP="006E7C03">
      <w:pPr>
        <w:autoSpaceDE w:val="0"/>
        <w:autoSpaceDN w:val="0"/>
        <w:bidi w:val="0"/>
      </w:pPr>
      <w:r w:rsidRPr="00EC57F7">
        <w:rPr>
          <w:rFonts w:hint="default"/>
        </w:rPr>
        <w:t>Celkový</w:t>
      </w:r>
      <w:r w:rsidRPr="00EC57F7">
        <w:rPr>
          <w:rFonts w:hint="default"/>
        </w:rPr>
        <w:t xml:space="preserve"> objem verejný</w:t>
      </w:r>
      <w:r w:rsidRPr="00EC57F7">
        <w:rPr>
          <w:rFonts w:hint="default"/>
        </w:rPr>
        <w:t>ch finan</w:t>
      </w:r>
      <w:r w:rsidRPr="00EC57F7">
        <w:rPr>
          <w:rFonts w:hint="default"/>
        </w:rPr>
        <w:t>č</w:t>
      </w:r>
      <w:r w:rsidRPr="00EC57F7">
        <w:rPr>
          <w:rFonts w:hint="default"/>
        </w:rPr>
        <w:t>ný</w:t>
      </w:r>
      <w:r w:rsidRPr="00EC57F7">
        <w:rPr>
          <w:rFonts w:hint="default"/>
        </w:rPr>
        <w:t>ch prostriedkov na sedemroč</w:t>
      </w:r>
      <w:r w:rsidRPr="00EC57F7">
        <w:rPr>
          <w:rFonts w:hint="default"/>
        </w:rPr>
        <w:t>né</w:t>
      </w:r>
      <w:r w:rsidRPr="00EC57F7">
        <w:rPr>
          <w:rFonts w:hint="default"/>
        </w:rPr>
        <w:t xml:space="preserve"> obdobie je rozdelený</w:t>
      </w:r>
      <w:r w:rsidRPr="00EC57F7">
        <w:rPr>
          <w:rFonts w:hint="default"/>
        </w:rPr>
        <w:t xml:space="preserve"> pre celé</w:t>
      </w:r>
      <w:r w:rsidRPr="00EC57F7">
        <w:rPr>
          <w:rFonts w:hint="default"/>
        </w:rPr>
        <w:t xml:space="preserve"> ú</w:t>
      </w:r>
      <w:r w:rsidRPr="00EC57F7">
        <w:rPr>
          <w:rFonts w:hint="default"/>
        </w:rPr>
        <w:t>zemie SR nasledovne:</w:t>
      </w:r>
    </w:p>
    <w:p w:rsidR="00BD49D0" w:rsidP="00C71C78">
      <w:pPr>
        <w:keepNext/>
        <w:autoSpaceDE w:val="0"/>
        <w:autoSpaceDN w:val="0"/>
        <w:bidi w:val="0"/>
        <w:spacing w:before="120" w:after="0" w:line="240" w:lineRule="auto"/>
        <w:ind w:firstLine="0"/>
      </w:pPr>
      <w:r w:rsidRPr="00933C76" w:rsidR="00001902">
        <w:rPr>
          <w:rFonts w:hint="default"/>
          <w:b/>
        </w:rPr>
        <w:t>Financovanie PRV podľ</w:t>
      </w:r>
      <w:r w:rsidRPr="00933C76" w:rsidR="00001902">
        <w:rPr>
          <w:rFonts w:hint="default"/>
          <w:b/>
        </w:rPr>
        <w:t>a osí</w:t>
      </w:r>
      <w:r>
        <w:rPr>
          <w:rFonts w:hint="default"/>
          <w:b/>
        </w:rPr>
        <w:t xml:space="preserve"> v €</w:t>
      </w:r>
    </w:p>
    <w:p w:rsidR="006E7C03" w:rsidRPr="00001902" w:rsidP="00C71C78">
      <w:pPr>
        <w:keepNext/>
        <w:autoSpaceDE w:val="0"/>
        <w:autoSpaceDN w:val="0"/>
        <w:bidi w:val="0"/>
        <w:spacing w:after="0" w:line="240" w:lineRule="auto"/>
        <w:jc w:val="right"/>
        <w:rPr>
          <w:b/>
          <w:i/>
        </w:rPr>
      </w:pPr>
      <w:r w:rsidRPr="00001902">
        <w:rPr>
          <w:rFonts w:hint="default"/>
        </w:rPr>
        <w:t>Tabuľ</w:t>
      </w:r>
      <w:r w:rsidRPr="00001902">
        <w:rPr>
          <w:rFonts w:hint="default"/>
        </w:rPr>
        <w:t>ka č</w:t>
      </w:r>
      <w:r w:rsidR="003D5230">
        <w:t>. 5</w:t>
      </w:r>
    </w:p>
    <w:tbl>
      <w:tblPr>
        <w:tblStyle w:val="TableNormal"/>
        <w:tblW w:w="908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440"/>
        <w:gridCol w:w="2253"/>
        <w:gridCol w:w="2126"/>
        <w:gridCol w:w="2269"/>
      </w:tblGrid>
      <w:tr>
        <w:tblPrEx>
          <w:tblW w:w="9088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44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17727">
            <w:pPr>
              <w:keepNext/>
              <w:bidi w:val="0"/>
              <w:spacing w:after="0" w:line="240" w:lineRule="auto"/>
              <w:ind w:firstLine="0"/>
              <w:rPr>
                <w:color w:val="FFFFFF"/>
              </w:rPr>
            </w:pPr>
            <w:r w:rsidRPr="004D2A7F">
              <w:rPr>
                <w:color w:val="FFFFFF"/>
                <w:sz w:val="22"/>
                <w:szCs w:val="22"/>
              </w:rPr>
              <w:t>Os PRV SR 2007-2013</w:t>
            </w:r>
          </w:p>
        </w:tc>
        <w:tc>
          <w:tcPr>
            <w:tcW w:w="6648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BD49D0">
            <w:pPr>
              <w:keepNext/>
              <w:bidi w:val="0"/>
              <w:spacing w:after="0" w:line="240" w:lineRule="auto"/>
              <w:jc w:val="center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Verejný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 xml:space="preserve"> prí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spevok za obdobie 2007-2013</w:t>
            </w:r>
          </w:p>
        </w:tc>
      </w:tr>
      <w:tr>
        <w:tblPrEx>
          <w:tblW w:w="90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textDirection w:val="lrTb"/>
            <w:vAlign w:val="center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FFFFFF"/>
              </w:rPr>
            </w:pPr>
          </w:p>
        </w:tc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FFFFFF"/>
              </w:rPr>
            </w:pPr>
            <w:r w:rsidRPr="004D2A7F" w:rsidR="00EF471C">
              <w:rPr>
                <w:color w:val="FFFFFF"/>
                <w:sz w:val="22"/>
                <w:szCs w:val="22"/>
              </w:rPr>
              <w:t>Spolu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FFFFFF"/>
              </w:rPr>
            </w:pPr>
            <w:r w:rsidRPr="004D2A7F">
              <w:rPr>
                <w:color w:val="FFFFFF"/>
                <w:sz w:val="22"/>
                <w:szCs w:val="22"/>
              </w:rPr>
              <w:t>EPFRV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Rozpoč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et SR</w:t>
            </w:r>
          </w:p>
        </w:tc>
      </w:tr>
      <w:tr>
        <w:tblPrEx>
          <w:tblW w:w="90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OS 1</w:t>
            </w:r>
          </w:p>
        </w:tc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847 577 149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628 241 695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219 335 454</w:t>
            </w:r>
          </w:p>
        </w:tc>
      </w:tr>
      <w:tr>
        <w:tblPrEx>
          <w:tblW w:w="90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OS 2</w:t>
            </w:r>
          </w:p>
        </w:tc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1 270 188 674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1 007 199 039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262 989 635</w:t>
            </w:r>
          </w:p>
        </w:tc>
      </w:tr>
      <w:tr>
        <w:tblPrEx>
          <w:tblW w:w="90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Os 3</w:t>
            </w:r>
          </w:p>
        </w:tc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343 956 872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256 646 440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87 310 432</w:t>
            </w:r>
          </w:p>
        </w:tc>
      </w:tr>
      <w:tr>
        <w:tblPrEx>
          <w:tblW w:w="90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Os 4</w:t>
            </w:r>
          </w:p>
        </w:tc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79 013 206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62 582 542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16 430 664</w:t>
            </w:r>
          </w:p>
        </w:tc>
      </w:tr>
      <w:tr>
        <w:tblPrEx>
          <w:tblW w:w="90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Os 5</w:t>
            </w:r>
          </w:p>
        </w:tc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56 317 816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42 238 362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14 079 454</w:t>
            </w:r>
          </w:p>
        </w:tc>
      </w:tr>
      <w:tr>
        <w:tblPrEx>
          <w:tblW w:w="90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b/>
                <w:color w:val="000000"/>
              </w:rPr>
            </w:pPr>
            <w:r w:rsidRPr="004D2A7F">
              <w:rPr>
                <w:b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4D2A7F">
              <w:rPr>
                <w:b/>
                <w:color w:val="000000"/>
                <w:sz w:val="22"/>
                <w:szCs w:val="22"/>
              </w:rPr>
              <w:t>2 597 053 717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4D2A7F">
              <w:rPr>
                <w:b/>
                <w:color w:val="000000"/>
                <w:sz w:val="22"/>
                <w:szCs w:val="22"/>
              </w:rPr>
              <w:t>1 996 908 078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4D2A7F">
              <w:rPr>
                <w:b/>
                <w:color w:val="000000"/>
                <w:sz w:val="22"/>
                <w:szCs w:val="22"/>
              </w:rPr>
              <w:t>600 145 639</w:t>
            </w:r>
          </w:p>
        </w:tc>
      </w:tr>
    </w:tbl>
    <w:p w:rsidR="006E7C03" w:rsidP="00C71C78">
      <w:pPr>
        <w:keepNext/>
        <w:autoSpaceDE w:val="0"/>
        <w:autoSpaceDN w:val="0"/>
        <w:bidi w:val="0"/>
        <w:spacing w:after="0" w:line="240" w:lineRule="auto"/>
        <w:ind w:firstLine="0"/>
        <w:rPr>
          <w:sz w:val="20"/>
          <w:szCs w:val="20"/>
        </w:rPr>
      </w:pPr>
      <w:r w:rsidR="00C71C78">
        <w:rPr>
          <w:rFonts w:hint="default"/>
          <w:sz w:val="20"/>
          <w:szCs w:val="20"/>
        </w:rPr>
        <w:t>Prameň</w:t>
      </w:r>
      <w:r w:rsidRPr="00BE4EB2">
        <w:rPr>
          <w:sz w:val="20"/>
          <w:szCs w:val="20"/>
        </w:rPr>
        <w:t xml:space="preserve">: </w:t>
      </w:r>
      <w:r w:rsidR="006A14EA">
        <w:rPr>
          <w:sz w:val="20"/>
          <w:szCs w:val="20"/>
        </w:rPr>
        <w:t>MPRV SR</w:t>
      </w:r>
      <w:r w:rsidR="006C535C">
        <w:rPr>
          <w:rFonts w:hint="default"/>
          <w:sz w:val="20"/>
          <w:szCs w:val="20"/>
        </w:rPr>
        <w:t>, vyž</w:t>
      </w:r>
      <w:r w:rsidR="006C535C">
        <w:rPr>
          <w:rFonts w:hint="default"/>
          <w:sz w:val="20"/>
          <w:szCs w:val="20"/>
        </w:rPr>
        <w:t>iadané</w:t>
      </w:r>
      <w:r w:rsidR="006C535C">
        <w:rPr>
          <w:rFonts w:hint="default"/>
          <w:sz w:val="20"/>
          <w:szCs w:val="20"/>
        </w:rPr>
        <w:t xml:space="preserve"> ú</w:t>
      </w:r>
      <w:r w:rsidR="006C535C">
        <w:rPr>
          <w:rFonts w:hint="default"/>
          <w:sz w:val="20"/>
          <w:szCs w:val="20"/>
        </w:rPr>
        <w:t>daje</w:t>
      </w:r>
      <w:r w:rsidR="006A14EA">
        <w:rPr>
          <w:sz w:val="20"/>
          <w:szCs w:val="20"/>
        </w:rPr>
        <w:t xml:space="preserve"> </w:t>
      </w:r>
    </w:p>
    <w:p w:rsidR="00C71C78" w:rsidP="00C71C78">
      <w:pPr>
        <w:keepNext/>
        <w:autoSpaceDE w:val="0"/>
        <w:autoSpaceDN w:val="0"/>
        <w:bidi w:val="0"/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Vypracova</w:t>
      </w:r>
      <w:r>
        <w:rPr>
          <w:sz w:val="20"/>
          <w:szCs w:val="20"/>
        </w:rPr>
        <w:t>l: VUEPP</w:t>
      </w:r>
    </w:p>
    <w:p w:rsidR="00C71C78" w:rsidRPr="00BE4EB2" w:rsidP="00C71C78">
      <w:pPr>
        <w:autoSpaceDE w:val="0"/>
        <w:autoSpaceDN w:val="0"/>
        <w:bidi w:val="0"/>
        <w:spacing w:after="0" w:line="240" w:lineRule="auto"/>
        <w:ind w:firstLine="0"/>
        <w:rPr>
          <w:sz w:val="20"/>
          <w:szCs w:val="20"/>
        </w:rPr>
      </w:pPr>
    </w:p>
    <w:p w:rsidR="006E7C03" w:rsidP="006E7C03">
      <w:pPr>
        <w:autoSpaceDE w:val="0"/>
        <w:autoSpaceDN w:val="0"/>
        <w:bidi w:val="0"/>
        <w:ind w:firstLine="708"/>
      </w:pPr>
      <w:r w:rsidRPr="0098587F">
        <w:t>K 31. 12. 2010 bolo v </w:t>
      </w:r>
      <w:r w:rsidRPr="0098587F">
        <w:rPr>
          <w:rFonts w:hint="default"/>
        </w:rPr>
        <w:t>rá</w:t>
      </w:r>
      <w:r w:rsidRPr="0098587F">
        <w:rPr>
          <w:rFonts w:hint="default"/>
        </w:rPr>
        <w:t>mci vš</w:t>
      </w:r>
      <w:r w:rsidRPr="0098587F">
        <w:rPr>
          <w:rFonts w:hint="default"/>
        </w:rPr>
        <w:t>etký</w:t>
      </w:r>
      <w:r w:rsidRPr="0098587F">
        <w:rPr>
          <w:rFonts w:hint="default"/>
        </w:rPr>
        <w:t>ch vý</w:t>
      </w:r>
      <w:r w:rsidRPr="0098587F">
        <w:rPr>
          <w:rFonts w:hint="default"/>
        </w:rPr>
        <w:t>ziev na projektové</w:t>
      </w:r>
      <w:r w:rsidRPr="0098587F">
        <w:rPr>
          <w:rFonts w:hint="default"/>
        </w:rPr>
        <w:t xml:space="preserve"> opatrenia osi 1, 2, 3 a 4 prijatý</w:t>
      </w:r>
      <w:r w:rsidRPr="0098587F">
        <w:rPr>
          <w:rFonts w:hint="default"/>
        </w:rPr>
        <w:t>ch 9 536 ž</w:t>
      </w:r>
      <w:r w:rsidRPr="0098587F">
        <w:rPr>
          <w:rFonts w:hint="default"/>
        </w:rPr>
        <w:t>iadostí</w:t>
      </w:r>
      <w:r w:rsidRPr="0098587F">
        <w:rPr>
          <w:rFonts w:hint="default"/>
        </w:rPr>
        <w:t xml:space="preserve"> o </w:t>
      </w:r>
      <w:r w:rsidRPr="0098587F">
        <w:rPr>
          <w:rFonts w:hint="default"/>
        </w:rPr>
        <w:t>nená</w:t>
      </w:r>
      <w:r w:rsidRPr="0098587F">
        <w:rPr>
          <w:rFonts w:hint="default"/>
        </w:rPr>
        <w:t>vratný</w:t>
      </w:r>
      <w:r w:rsidRPr="0098587F">
        <w:rPr>
          <w:rFonts w:hint="default"/>
        </w:rPr>
        <w:t xml:space="preserve"> finanč</w:t>
      </w:r>
      <w:r w:rsidRPr="0098587F">
        <w:rPr>
          <w:rFonts w:hint="default"/>
        </w:rPr>
        <w:t>ný</w:t>
      </w:r>
      <w:r w:rsidRPr="0098587F">
        <w:rPr>
          <w:rFonts w:hint="default"/>
        </w:rPr>
        <w:t xml:space="preserve"> prí</w:t>
      </w:r>
      <w:r w:rsidRPr="0098587F">
        <w:rPr>
          <w:rFonts w:hint="default"/>
        </w:rPr>
        <w:t>spevok a </w:t>
      </w:r>
      <w:r w:rsidRPr="0098587F">
        <w:rPr>
          <w:rFonts w:hint="default"/>
        </w:rPr>
        <w:t>ž</w:t>
      </w:r>
      <w:r w:rsidRPr="0098587F">
        <w:rPr>
          <w:rFonts w:hint="default"/>
        </w:rPr>
        <w:t>iadaný</w:t>
      </w:r>
      <w:r w:rsidRPr="0098587F">
        <w:rPr>
          <w:rFonts w:hint="default"/>
        </w:rPr>
        <w:t xml:space="preserve"> prí</w:t>
      </w:r>
      <w:r w:rsidRPr="0098587F">
        <w:rPr>
          <w:rFonts w:hint="default"/>
        </w:rPr>
        <w:t>spevok predstavoval 2</w:t>
      </w:r>
      <w:r>
        <w:t> </w:t>
      </w:r>
      <w:r w:rsidRPr="0098587F">
        <w:t>267</w:t>
      </w:r>
      <w:r>
        <w:t> </w:t>
      </w:r>
      <w:r w:rsidRPr="0098587F">
        <w:t>551 106</w:t>
      </w:r>
      <w:r w:rsidR="00001902">
        <w:t> </w:t>
      </w:r>
      <w:r w:rsidR="00001902">
        <w:rPr>
          <w:rFonts w:hint="default"/>
        </w:rPr>
        <w:t>€.</w:t>
      </w:r>
      <w:r w:rsidRPr="0098587F">
        <w:t xml:space="preserve"> Z </w:t>
      </w:r>
      <w:r w:rsidRPr="0098587F">
        <w:rPr>
          <w:rFonts w:hint="default"/>
        </w:rPr>
        <w:t>uvedené</w:t>
      </w:r>
      <w:r w:rsidRPr="0098587F">
        <w:rPr>
          <w:rFonts w:hint="default"/>
        </w:rPr>
        <w:t>ho poč</w:t>
      </w:r>
      <w:r w:rsidRPr="0098587F">
        <w:rPr>
          <w:rFonts w:hint="default"/>
        </w:rPr>
        <w:t>tu bolo 4 </w:t>
      </w:r>
      <w:r w:rsidRPr="0098587F">
        <w:rPr>
          <w:rFonts w:hint="default"/>
        </w:rPr>
        <w:t>421 ž</w:t>
      </w:r>
      <w:r w:rsidRPr="0098587F">
        <w:rPr>
          <w:rFonts w:hint="default"/>
        </w:rPr>
        <w:t>iadostí</w:t>
      </w:r>
      <w:r w:rsidRPr="0098587F">
        <w:rPr>
          <w:rFonts w:hint="default"/>
        </w:rPr>
        <w:t xml:space="preserve"> schvá</w:t>
      </w:r>
      <w:r w:rsidRPr="0098587F">
        <w:rPr>
          <w:rFonts w:hint="default"/>
        </w:rPr>
        <w:t>lený</w:t>
      </w:r>
      <w:r w:rsidRPr="0098587F">
        <w:rPr>
          <w:rFonts w:hint="default"/>
        </w:rPr>
        <w:t>ch vo </w:t>
      </w:r>
      <w:r w:rsidRPr="0098587F">
        <w:rPr>
          <w:rFonts w:hint="default"/>
        </w:rPr>
        <w:t>vý</w:t>
      </w:r>
      <w:r w:rsidRPr="0098587F">
        <w:rPr>
          <w:rFonts w:hint="default"/>
        </w:rPr>
        <w:t>š</w:t>
      </w:r>
      <w:r w:rsidRPr="0098587F">
        <w:rPr>
          <w:rFonts w:hint="default"/>
        </w:rPr>
        <w:t>ke prí</w:t>
      </w:r>
      <w:r w:rsidRPr="0098587F">
        <w:rPr>
          <w:rFonts w:hint="default"/>
        </w:rPr>
        <w:t>spevku</w:t>
      </w:r>
      <w:r>
        <w:t xml:space="preserve"> </w:t>
      </w:r>
      <w:r w:rsidR="00673352">
        <w:t>1 </w:t>
      </w:r>
      <w:r w:rsidRPr="0098587F">
        <w:t>153 409 3</w:t>
      </w:r>
      <w:r w:rsidR="00B31600">
        <w:t>60</w:t>
      </w:r>
      <w:r w:rsidR="00001902">
        <w:t> </w:t>
      </w:r>
      <w:r w:rsidR="00001902">
        <w:rPr>
          <w:rFonts w:hint="default"/>
        </w:rPr>
        <w:t>€.</w:t>
      </w:r>
      <w:r w:rsidRPr="0098587F">
        <w:rPr>
          <w:rFonts w:hint="default"/>
        </w:rPr>
        <w:t xml:space="preserve"> Kontrahovanie projektový</w:t>
      </w:r>
      <w:r w:rsidRPr="0098587F">
        <w:rPr>
          <w:rFonts w:hint="default"/>
        </w:rPr>
        <w:t>ch opatrení</w:t>
      </w:r>
      <w:r w:rsidRPr="0098587F">
        <w:rPr>
          <w:rFonts w:hint="default"/>
        </w:rPr>
        <w:t xml:space="preserve"> predstavuje 83</w:t>
      </w:r>
      <w:r w:rsidR="00440106">
        <w:t> </w:t>
      </w:r>
      <w:r w:rsidR="00440106">
        <w:t>%</w:t>
      </w:r>
      <w:r w:rsidRPr="0098587F">
        <w:t xml:space="preserve"> z </w:t>
      </w:r>
      <w:r w:rsidRPr="0098587F">
        <w:rPr>
          <w:rFonts w:hint="default"/>
        </w:rPr>
        <w:t>limitov pre tieto opatrenia na celé</w:t>
      </w:r>
      <w:r w:rsidRPr="0098587F">
        <w:rPr>
          <w:rFonts w:hint="default"/>
        </w:rPr>
        <w:t xml:space="preserve"> programové</w:t>
      </w:r>
      <w:r w:rsidRPr="0098587F">
        <w:rPr>
          <w:rFonts w:hint="default"/>
        </w:rPr>
        <w:t xml:space="preserve"> obdobie.</w:t>
      </w:r>
    </w:p>
    <w:p w:rsidR="006E7C03" w:rsidP="006E7C03">
      <w:pPr>
        <w:autoSpaceDE w:val="0"/>
        <w:autoSpaceDN w:val="0"/>
        <w:bidi w:val="0"/>
      </w:pPr>
      <w:r w:rsidRPr="000257A9">
        <w:t>V </w:t>
      </w:r>
      <w:r w:rsidRPr="000257A9">
        <w:rPr>
          <w:rFonts w:hint="default"/>
        </w:rPr>
        <w:t>rá</w:t>
      </w:r>
      <w:r w:rsidRPr="000257A9">
        <w:rPr>
          <w:rFonts w:hint="default"/>
        </w:rPr>
        <w:t>mci  neprojektový</w:t>
      </w:r>
      <w:r w:rsidRPr="000257A9">
        <w:rPr>
          <w:rFonts w:hint="default"/>
        </w:rPr>
        <w:t>ch opatrení</w:t>
      </w:r>
      <w:r w:rsidRPr="000257A9">
        <w:rPr>
          <w:rFonts w:hint="default"/>
        </w:rPr>
        <w:t xml:space="preserve"> osi 2 bolo do 31. 12. 2010 prijatý</w:t>
      </w:r>
      <w:r w:rsidRPr="000257A9">
        <w:rPr>
          <w:rFonts w:hint="default"/>
        </w:rPr>
        <w:t>ch spolu 25 080 ž</w:t>
      </w:r>
      <w:r w:rsidRPr="000257A9">
        <w:rPr>
          <w:rFonts w:hint="default"/>
        </w:rPr>
        <w:t>iadostí</w:t>
      </w:r>
      <w:r w:rsidRPr="000257A9">
        <w:rPr>
          <w:rFonts w:hint="default"/>
        </w:rPr>
        <w:t xml:space="preserve"> a 22 </w:t>
      </w:r>
      <w:r w:rsidRPr="000257A9">
        <w:rPr>
          <w:rFonts w:hint="default"/>
        </w:rPr>
        <w:t>182 schvá</w:t>
      </w:r>
      <w:r w:rsidRPr="000257A9">
        <w:rPr>
          <w:rFonts w:hint="default"/>
        </w:rPr>
        <w:t>lený</w:t>
      </w:r>
      <w:r w:rsidRPr="000257A9">
        <w:rPr>
          <w:rFonts w:hint="default"/>
        </w:rPr>
        <w:t xml:space="preserve">ch. </w:t>
      </w:r>
      <w:r w:rsidRPr="000257A9">
        <w:rPr>
          <w:rFonts w:hint="default"/>
        </w:rPr>
        <w:t>K 31. 12. </w:t>
      </w:r>
      <w:r w:rsidRPr="000257A9">
        <w:rPr>
          <w:rFonts w:hint="default"/>
        </w:rPr>
        <w:t>2010 sa č</w:t>
      </w:r>
      <w:r w:rsidRPr="000257A9">
        <w:rPr>
          <w:rFonts w:hint="default"/>
        </w:rPr>
        <w:t>erpali finanč</w:t>
      </w:r>
      <w:r w:rsidRPr="000257A9">
        <w:rPr>
          <w:rFonts w:hint="default"/>
        </w:rPr>
        <w:t>né</w:t>
      </w:r>
      <w:r w:rsidRPr="000257A9">
        <w:rPr>
          <w:rFonts w:hint="default"/>
        </w:rPr>
        <w:t xml:space="preserve"> prostriedky vo výš</w:t>
      </w:r>
      <w:r w:rsidRPr="000257A9">
        <w:rPr>
          <w:rFonts w:hint="default"/>
        </w:rPr>
        <w:t>ke 606 798 764 </w:t>
      </w:r>
      <w:r w:rsidR="00CE4DCA">
        <w:rPr>
          <w:rFonts w:hint="default"/>
        </w:rPr>
        <w:t>€</w:t>
      </w:r>
      <w:r w:rsidR="00F8038C">
        <w:rPr>
          <w:rFonts w:hint="default"/>
        </w:rPr>
        <w:t>, č</w:t>
      </w:r>
      <w:r w:rsidR="00F8038C">
        <w:rPr>
          <w:rFonts w:hint="default"/>
        </w:rPr>
        <w:t>o predstavuje 53</w:t>
      </w:r>
      <w:r w:rsidR="00440106">
        <w:t> </w:t>
      </w:r>
      <w:r w:rsidR="00440106">
        <w:t>%</w:t>
      </w:r>
      <w:r w:rsidRPr="000257A9">
        <w:rPr>
          <w:rFonts w:hint="default"/>
        </w:rPr>
        <w:t xml:space="preserve"> z limitov verejný</w:t>
      </w:r>
      <w:r w:rsidRPr="000257A9">
        <w:rPr>
          <w:rFonts w:hint="default"/>
        </w:rPr>
        <w:t>ch vý</w:t>
      </w:r>
      <w:r w:rsidRPr="000257A9">
        <w:rPr>
          <w:rFonts w:hint="default"/>
        </w:rPr>
        <w:t xml:space="preserve">davkov na obdobie 2007 </w:t>
      </w:r>
      <w:r w:rsidRPr="000257A9">
        <w:rPr>
          <w:rFonts w:hint="default"/>
        </w:rPr>
        <w:t>–</w:t>
      </w:r>
      <w:r w:rsidRPr="000257A9">
        <w:rPr>
          <w:rFonts w:hint="default"/>
        </w:rPr>
        <w:t xml:space="preserve"> 2013</w:t>
      </w:r>
      <w:r>
        <w:t xml:space="preserve">. </w:t>
      </w:r>
    </w:p>
    <w:p w:rsidR="006E7C03" w:rsidRPr="002E464A" w:rsidP="006A14EA">
      <w:pPr>
        <w:autoSpaceDE w:val="0"/>
        <w:autoSpaceDN w:val="0"/>
        <w:bidi w:val="0"/>
        <w:spacing w:before="240"/>
        <w:ind w:firstLine="0"/>
        <w:rPr>
          <w:rFonts w:hint="default"/>
          <w:b/>
        </w:rPr>
      </w:pPr>
      <w:r w:rsidRPr="002E464A">
        <w:rPr>
          <w:rFonts w:hint="default"/>
          <w:b/>
        </w:rPr>
        <w:t>Č</w:t>
      </w:r>
      <w:r w:rsidRPr="002E464A">
        <w:rPr>
          <w:rFonts w:hint="default"/>
          <w:b/>
        </w:rPr>
        <w:t>erpanie PRV SR 2007</w:t>
      </w:r>
      <w:r w:rsidR="00C0319B">
        <w:rPr>
          <w:b/>
        </w:rPr>
        <w:t xml:space="preserve"> </w:t>
      </w:r>
      <w:r w:rsidRPr="002E464A">
        <w:rPr>
          <w:b/>
        </w:rPr>
        <w:t>-</w:t>
      </w:r>
      <w:r w:rsidR="00C0319B">
        <w:rPr>
          <w:b/>
        </w:rPr>
        <w:t xml:space="preserve"> </w:t>
      </w:r>
      <w:r w:rsidRPr="002E464A">
        <w:rPr>
          <w:rFonts w:hint="default"/>
          <w:b/>
        </w:rPr>
        <w:t>2013 na ná</w:t>
      </w:r>
      <w:r w:rsidRPr="002E464A">
        <w:rPr>
          <w:rFonts w:hint="default"/>
          <w:b/>
        </w:rPr>
        <w:t>rodnej ú</w:t>
      </w:r>
      <w:r w:rsidRPr="002E464A">
        <w:rPr>
          <w:rFonts w:hint="default"/>
          <w:b/>
        </w:rPr>
        <w:t>rovni</w:t>
      </w:r>
    </w:p>
    <w:p w:rsidR="006E7C03" w:rsidP="006E7C03">
      <w:pPr>
        <w:bidi w:val="0"/>
        <w:ind w:firstLine="708"/>
      </w:pPr>
      <w:r w:rsidRPr="009E5814">
        <w:rPr>
          <w:rFonts w:hint="default"/>
        </w:rPr>
        <w:t>Za celý</w:t>
      </w:r>
      <w:r w:rsidRPr="009E5814">
        <w:rPr>
          <w:rFonts w:hint="default"/>
        </w:rPr>
        <w:t xml:space="preserve"> program bolo </w:t>
      </w:r>
      <w:r w:rsidR="00C71C78">
        <w:rPr>
          <w:rFonts w:hint="default"/>
        </w:rPr>
        <w:t>prijí</w:t>
      </w:r>
      <w:r w:rsidR="00C71C78">
        <w:rPr>
          <w:rFonts w:hint="default"/>
        </w:rPr>
        <w:t>mateľ</w:t>
      </w:r>
      <w:r w:rsidR="00C71C78">
        <w:rPr>
          <w:rFonts w:hint="default"/>
        </w:rPr>
        <w:t xml:space="preserve">om </w:t>
      </w:r>
      <w:r w:rsidRPr="00C5535C">
        <w:t>k</w:t>
      </w:r>
      <w:r>
        <w:t xml:space="preserve"> </w:t>
      </w:r>
      <w:r w:rsidRPr="009E5814">
        <w:rPr>
          <w:rFonts w:hint="default"/>
        </w:rPr>
        <w:t>31. 12. 2010 vyplatený</w:t>
      </w:r>
      <w:r w:rsidRPr="009E5814">
        <w:rPr>
          <w:rFonts w:hint="default"/>
        </w:rPr>
        <w:t>ch 1 1</w:t>
      </w:r>
      <w:r w:rsidRPr="009E5814">
        <w:rPr>
          <w:rFonts w:hint="default"/>
        </w:rPr>
        <w:t>76 955 465</w:t>
      </w:r>
      <w:r w:rsidR="00001902">
        <w:t> </w:t>
      </w:r>
      <w:r w:rsidR="00001902">
        <w:rPr>
          <w:rFonts w:hint="default"/>
        </w:rPr>
        <w:t>€</w:t>
      </w:r>
      <w:r w:rsidR="00001902">
        <w:rPr>
          <w:rFonts w:hint="default"/>
        </w:rPr>
        <w:t xml:space="preserve"> </w:t>
      </w:r>
      <w:r w:rsidRPr="009E5814">
        <w:t>z </w:t>
      </w:r>
      <w:r w:rsidRPr="009E5814">
        <w:rPr>
          <w:rFonts w:hint="default"/>
        </w:rPr>
        <w:t>verejný</w:t>
      </w:r>
      <w:r w:rsidRPr="009E5814">
        <w:rPr>
          <w:rFonts w:hint="default"/>
        </w:rPr>
        <w:t>ch zdrojov. V</w:t>
      </w:r>
      <w:r w:rsidR="00F8038C">
        <w:rPr>
          <w:rFonts w:hint="default"/>
        </w:rPr>
        <w:t>yplatená</w:t>
      </w:r>
      <w:r w:rsidR="00F8038C">
        <w:rPr>
          <w:rFonts w:hint="default"/>
        </w:rPr>
        <w:t xml:space="preserve"> suma predstavuje 45,3</w:t>
      </w:r>
      <w:r w:rsidR="00440106">
        <w:t> </w:t>
      </w:r>
      <w:r w:rsidR="00440106">
        <w:t>%</w:t>
      </w:r>
      <w:r w:rsidRPr="009E5814">
        <w:t xml:space="preserve"> z </w:t>
      </w:r>
      <w:r w:rsidRPr="009E5814">
        <w:rPr>
          <w:rFonts w:hint="default"/>
        </w:rPr>
        <w:t>celkový</w:t>
      </w:r>
      <w:r w:rsidRPr="009E5814">
        <w:rPr>
          <w:rFonts w:hint="default"/>
        </w:rPr>
        <w:t>ch lim</w:t>
      </w:r>
      <w:r w:rsidR="00F21E10">
        <w:rPr>
          <w:rFonts w:hint="default"/>
        </w:rPr>
        <w:t>itov na programové</w:t>
      </w:r>
      <w:r w:rsidR="00F21E10">
        <w:rPr>
          <w:rFonts w:hint="default"/>
        </w:rPr>
        <w:t xml:space="preserve"> obdobie 2007 </w:t>
      </w:r>
      <w:r w:rsidR="00F21E10">
        <w:rPr>
          <w:rFonts w:hint="default"/>
        </w:rPr>
        <w:noBreakHyphen/>
        <w:t> </w:t>
      </w:r>
      <w:r w:rsidRPr="009E5814">
        <w:t>2013.</w:t>
      </w:r>
    </w:p>
    <w:p w:rsidR="006E7C03" w:rsidP="006E7C03">
      <w:pPr>
        <w:bidi w:val="0"/>
      </w:pPr>
    </w:p>
    <w:p w:rsidR="00C71C78" w:rsidP="00C71C78">
      <w:pPr>
        <w:keepNext/>
        <w:autoSpaceDE w:val="0"/>
        <w:autoSpaceDN w:val="0"/>
        <w:bidi w:val="0"/>
        <w:spacing w:after="0" w:line="240" w:lineRule="auto"/>
        <w:ind w:firstLine="0"/>
        <w:jc w:val="left"/>
      </w:pPr>
      <w:r w:rsidRPr="00BE4EB2" w:rsidR="006E7C03">
        <w:rPr>
          <w:rFonts w:hint="default"/>
          <w:b/>
        </w:rPr>
        <w:t>Vyplatené</w:t>
      </w:r>
      <w:r w:rsidRPr="00BE4EB2" w:rsidR="006E7C03">
        <w:rPr>
          <w:rFonts w:hint="default"/>
          <w:b/>
        </w:rPr>
        <w:t xml:space="preserve"> prostriedky ž</w:t>
      </w:r>
      <w:r w:rsidRPr="00BE4EB2" w:rsidR="006E7C03">
        <w:rPr>
          <w:rFonts w:hint="default"/>
          <w:b/>
        </w:rPr>
        <w:t>iadateľ</w:t>
      </w:r>
      <w:r w:rsidRPr="00BE4EB2" w:rsidR="006E7C03">
        <w:rPr>
          <w:rFonts w:hint="default"/>
          <w:b/>
        </w:rPr>
        <w:t>om k 31. 12. 2010</w:t>
      </w:r>
      <w:r w:rsidRPr="00C71C78">
        <w:t xml:space="preserve"> </w:t>
      </w:r>
    </w:p>
    <w:p w:rsidR="00C71C78" w:rsidRPr="00C71C78" w:rsidP="00C71C78">
      <w:pPr>
        <w:keepNext/>
        <w:autoSpaceDE w:val="0"/>
        <w:autoSpaceDN w:val="0"/>
        <w:bidi w:val="0"/>
        <w:spacing w:after="0" w:line="240" w:lineRule="auto"/>
        <w:ind w:firstLine="0"/>
        <w:jc w:val="right"/>
      </w:pPr>
      <w:r w:rsidRPr="00C71C78">
        <w:rPr>
          <w:rFonts w:hint="default"/>
        </w:rPr>
        <w:t>Tabuľ</w:t>
      </w:r>
      <w:r w:rsidRPr="00C71C78">
        <w:rPr>
          <w:rFonts w:hint="default"/>
        </w:rPr>
        <w:t>ka č.</w:t>
      </w:r>
      <w:r w:rsidR="003D5230">
        <w:t xml:space="preserve"> 6</w:t>
      </w:r>
    </w:p>
    <w:tbl>
      <w:tblPr>
        <w:tblStyle w:val="TableNormal"/>
        <w:tblW w:w="9229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268"/>
        <w:gridCol w:w="1559"/>
        <w:gridCol w:w="1418"/>
        <w:gridCol w:w="141"/>
        <w:gridCol w:w="1843"/>
      </w:tblGrid>
      <w:tr>
        <w:tblPrEx>
          <w:tblW w:w="9229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4268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6E7C03" w:rsidRPr="004D2A7F" w:rsidP="00240287">
            <w:pPr>
              <w:keepNext/>
              <w:bidi w:val="0"/>
              <w:spacing w:after="0" w:line="240" w:lineRule="auto"/>
              <w:jc w:val="center"/>
              <w:rPr>
                <w:color w:val="FFFFFF"/>
              </w:rPr>
            </w:pPr>
            <w:r w:rsidRPr="004D2A7F">
              <w:rPr>
                <w:color w:val="FFFFFF"/>
                <w:sz w:val="22"/>
                <w:szCs w:val="22"/>
              </w:rPr>
              <w:t>PRV SR 2007-2013</w:t>
            </w:r>
          </w:p>
        </w:tc>
        <w:tc>
          <w:tcPr>
            <w:tcW w:w="4961" w:type="dxa"/>
            <w:gridSpan w:val="4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B31600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Verejné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 xml:space="preserve"> zdroje </w:t>
            </w:r>
            <w:r w:rsidRPr="004D2A7F" w:rsidR="00001902">
              <w:rPr>
                <w:color w:val="FFFFFF"/>
                <w:sz w:val="22"/>
                <w:szCs w:val="22"/>
              </w:rPr>
              <w:t xml:space="preserve"> </w:t>
            </w:r>
            <w:r w:rsidRPr="004D2A7F">
              <w:rPr>
                <w:color w:val="FFFFFF"/>
                <w:sz w:val="22"/>
                <w:szCs w:val="22"/>
              </w:rPr>
              <w:t>za obdobie 2007-2013</w:t>
            </w:r>
          </w:p>
        </w:tc>
      </w:tr>
      <w:tr>
        <w:tblPrEx>
          <w:tblW w:w="922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4268" w:type="dxa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center"/>
          </w:tcPr>
          <w:p w:rsidR="006E7C03" w:rsidRPr="004D2A7F" w:rsidP="00C71C78">
            <w:pPr>
              <w:keepNext/>
              <w:bidi w:val="0"/>
              <w:spacing w:after="0" w:line="240" w:lineRule="auto"/>
              <w:rPr>
                <w:color w:val="FFFFFF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A7F" w:rsidR="00EF471C">
              <w:rPr>
                <w:color w:val="FFFFFF"/>
                <w:sz w:val="22"/>
                <w:szCs w:val="22"/>
              </w:rPr>
              <w:t>Spolu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A7F">
              <w:rPr>
                <w:color w:val="FFFFFF"/>
                <w:sz w:val="22"/>
                <w:szCs w:val="22"/>
              </w:rPr>
              <w:t>EPFRV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A7F">
              <w:rPr>
                <w:color w:val="FFFFFF"/>
                <w:sz w:val="22"/>
                <w:szCs w:val="22"/>
              </w:rPr>
              <w:t>Ro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zpoč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et SR</w:t>
            </w:r>
          </w:p>
        </w:tc>
      </w:tr>
      <w:tr>
        <w:tblPrEx>
          <w:tblW w:w="922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426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4D2A7F">
              <w:rPr>
                <w:rFonts w:hint="default"/>
                <w:color w:val="000000"/>
                <w:sz w:val="22"/>
                <w:szCs w:val="22"/>
              </w:rPr>
              <w:t>Verejný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prí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>spevok na celé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obdobie </w:t>
            </w:r>
            <w:r w:rsidRPr="004D2A7F" w:rsidR="00466DE3">
              <w:rPr>
                <w:rFonts w:hint="default"/>
                <w:color w:val="000000"/>
                <w:sz w:val="22"/>
                <w:szCs w:val="22"/>
              </w:rPr>
              <w:t xml:space="preserve"> v €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466DE3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2 597 053 71</w:t>
            </w:r>
            <w:r w:rsidRPr="004D2A7F" w:rsidR="00466D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1 996 908 078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600 145 639</w:t>
            </w:r>
          </w:p>
        </w:tc>
      </w:tr>
      <w:tr>
        <w:tblPrEx>
          <w:tblW w:w="922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426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4D2A7F">
              <w:rPr>
                <w:rFonts w:hint="default"/>
                <w:color w:val="000000"/>
                <w:sz w:val="22"/>
                <w:szCs w:val="22"/>
              </w:rPr>
              <w:t>Vyplatené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prí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>spevky do 31.12.2010</w:t>
            </w:r>
            <w:r w:rsidRPr="004D2A7F" w:rsidR="00466DE3">
              <w:rPr>
                <w:rFonts w:hint="default"/>
                <w:color w:val="000000"/>
                <w:sz w:val="22"/>
                <w:szCs w:val="22"/>
              </w:rPr>
              <w:t xml:space="preserve"> v €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1 176 955 465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908 539 311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="00432980">
              <w:rPr>
                <w:color w:val="000000"/>
                <w:sz w:val="22"/>
                <w:szCs w:val="22"/>
              </w:rPr>
              <w:t>2</w:t>
            </w:r>
            <w:r w:rsidRPr="004D2A7F">
              <w:rPr>
                <w:color w:val="000000"/>
                <w:sz w:val="22"/>
                <w:szCs w:val="22"/>
              </w:rPr>
              <w:t>68 416 154</w:t>
            </w:r>
          </w:p>
        </w:tc>
      </w:tr>
      <w:tr>
        <w:tblPrEx>
          <w:tblW w:w="9229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4268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466DE3">
            <w:pPr>
              <w:keepNext/>
              <w:bidi w:val="0"/>
              <w:spacing w:after="0" w:line="240" w:lineRule="auto"/>
              <w:ind w:firstLine="0"/>
              <w:jc w:val="left"/>
              <w:rPr>
                <w:b/>
                <w:bCs/>
                <w:color w:val="000000"/>
                <w:vertAlign w:val="subscript"/>
              </w:rPr>
            </w:pPr>
            <w:r w:rsidRPr="004D2A7F" w:rsidR="00466DE3">
              <w:rPr>
                <w:rFonts w:hint="default"/>
                <w:b/>
                <w:bCs/>
                <w:color w:val="000000"/>
                <w:sz w:val="22"/>
                <w:szCs w:val="22"/>
              </w:rPr>
              <w:t>Č</w:t>
            </w:r>
            <w:r w:rsidRPr="004D2A7F">
              <w:rPr>
                <w:b/>
                <w:bCs/>
                <w:color w:val="000000"/>
                <w:sz w:val="22"/>
                <w:szCs w:val="22"/>
              </w:rPr>
              <w:t>erpani</w:t>
            </w:r>
            <w:r w:rsidRPr="004D2A7F" w:rsidR="00466DE3">
              <w:rPr>
                <w:b/>
                <w:bCs/>
                <w:color w:val="000000"/>
                <w:sz w:val="22"/>
                <w:szCs w:val="22"/>
              </w:rPr>
              <w:t>e</w:t>
            </w:r>
            <w:r w:rsidRPr="004D2A7F">
              <w:rPr>
                <w:b/>
                <w:bCs/>
                <w:color w:val="000000"/>
                <w:sz w:val="22"/>
                <w:szCs w:val="22"/>
              </w:rPr>
              <w:t xml:space="preserve"> PRV SR 2007</w:t>
            </w:r>
            <w:r w:rsidRPr="004D2A7F" w:rsidR="00C031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D2A7F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4D2A7F" w:rsidR="00C031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D2A7F">
              <w:rPr>
                <w:rFonts w:hint="default"/>
                <w:b/>
                <w:bCs/>
                <w:color w:val="000000"/>
                <w:sz w:val="22"/>
                <w:szCs w:val="22"/>
              </w:rPr>
              <w:t>2013 na ná</w:t>
            </w:r>
            <w:r w:rsidRPr="004D2A7F">
              <w:rPr>
                <w:rFonts w:hint="default"/>
                <w:b/>
                <w:bCs/>
                <w:color w:val="000000"/>
                <w:sz w:val="22"/>
                <w:szCs w:val="22"/>
              </w:rPr>
              <w:t>rodnej ú</w:t>
            </w:r>
            <w:r w:rsidRPr="004D2A7F">
              <w:rPr>
                <w:rFonts w:hint="default"/>
                <w:b/>
                <w:bCs/>
                <w:color w:val="000000"/>
                <w:sz w:val="22"/>
                <w:szCs w:val="22"/>
              </w:rPr>
              <w:t>rovni</w:t>
            </w:r>
            <w:r w:rsidRPr="004D2A7F" w:rsidR="00466DE3">
              <w:rPr>
                <w:b/>
                <w:bCs/>
                <w:color w:val="000000"/>
                <w:sz w:val="22"/>
                <w:szCs w:val="22"/>
              </w:rPr>
              <w:t xml:space="preserve"> v</w:t>
            </w:r>
            <w:r w:rsidRPr="004D2A7F" w:rsidR="0044010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4D2A7F" w:rsidR="00440106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466DE3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 w:rsidR="00C31DF4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C71C78">
            <w:pPr>
              <w:keepNext/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E7C03" w:rsidP="00C71C78">
      <w:pPr>
        <w:keepNext/>
        <w:autoSpaceDE w:val="0"/>
        <w:autoSpaceDN w:val="0"/>
        <w:bidi w:val="0"/>
        <w:spacing w:after="0" w:line="240" w:lineRule="auto"/>
        <w:ind w:firstLine="0"/>
        <w:jc w:val="left"/>
        <w:rPr>
          <w:sz w:val="20"/>
          <w:szCs w:val="20"/>
        </w:rPr>
      </w:pPr>
      <w:r w:rsidR="00C71C78">
        <w:rPr>
          <w:rFonts w:hint="default"/>
          <w:sz w:val="20"/>
          <w:szCs w:val="20"/>
        </w:rPr>
        <w:t>Prameň</w:t>
      </w:r>
      <w:r w:rsidRPr="002E464A">
        <w:rPr>
          <w:sz w:val="20"/>
          <w:szCs w:val="20"/>
        </w:rPr>
        <w:t>: MPRV SR</w:t>
      </w:r>
      <w:r w:rsidR="006C535C">
        <w:rPr>
          <w:rFonts w:hint="default"/>
          <w:sz w:val="20"/>
          <w:szCs w:val="20"/>
        </w:rPr>
        <w:t>, vyž</w:t>
      </w:r>
      <w:r w:rsidR="006C535C">
        <w:rPr>
          <w:rFonts w:hint="default"/>
          <w:sz w:val="20"/>
          <w:szCs w:val="20"/>
        </w:rPr>
        <w:t>iadané</w:t>
      </w:r>
      <w:r w:rsidR="006C535C">
        <w:rPr>
          <w:rFonts w:hint="default"/>
          <w:sz w:val="20"/>
          <w:szCs w:val="20"/>
        </w:rPr>
        <w:t xml:space="preserve"> ú</w:t>
      </w:r>
      <w:r w:rsidR="006C535C">
        <w:rPr>
          <w:rFonts w:hint="default"/>
          <w:sz w:val="20"/>
          <w:szCs w:val="20"/>
        </w:rPr>
        <w:t>d</w:t>
      </w:r>
      <w:r w:rsidR="006C535C">
        <w:rPr>
          <w:rFonts w:hint="default"/>
          <w:sz w:val="20"/>
          <w:szCs w:val="20"/>
        </w:rPr>
        <w:t>aje</w:t>
      </w:r>
    </w:p>
    <w:p w:rsidR="00C71C78" w:rsidRPr="002E464A" w:rsidP="00C71C78">
      <w:pPr>
        <w:autoSpaceDE w:val="0"/>
        <w:autoSpaceDN w:val="0"/>
        <w:bidi w:val="0"/>
        <w:spacing w:after="0" w:line="240" w:lineRule="auto"/>
        <w:ind w:firstLine="0"/>
        <w:jc w:val="left"/>
        <w:rPr>
          <w:sz w:val="20"/>
          <w:szCs w:val="20"/>
        </w:rPr>
      </w:pPr>
      <w:r>
        <w:rPr>
          <w:rFonts w:hint="default"/>
          <w:sz w:val="20"/>
          <w:szCs w:val="20"/>
        </w:rPr>
        <w:t>Vypracoval: VÚ</w:t>
      </w:r>
      <w:r>
        <w:rPr>
          <w:rFonts w:hint="default"/>
          <w:sz w:val="20"/>
          <w:szCs w:val="20"/>
        </w:rPr>
        <w:t>EPP</w:t>
      </w:r>
    </w:p>
    <w:p w:rsidR="006E7C03" w:rsidP="006E7C03">
      <w:pPr>
        <w:bidi w:val="0"/>
        <w:spacing w:before="120"/>
        <w:ind w:right="68"/>
      </w:pPr>
      <w:r w:rsidRPr="00DD1EF0">
        <w:rPr>
          <w:rFonts w:hint="default"/>
        </w:rPr>
        <w:t>Vzhľ</w:t>
      </w:r>
      <w:r w:rsidRPr="00DD1EF0">
        <w:rPr>
          <w:rFonts w:hint="default"/>
        </w:rPr>
        <w:t>adom na pravidlo č</w:t>
      </w:r>
      <w:r w:rsidRPr="00DD1EF0">
        <w:rPr>
          <w:rFonts w:hint="default"/>
        </w:rPr>
        <w:t>erpania n+2, podľ</w:t>
      </w:r>
      <w:r w:rsidRPr="00DD1EF0">
        <w:rPr>
          <w:rFonts w:hint="default"/>
        </w:rPr>
        <w:t>a ktoré</w:t>
      </w:r>
      <w:r w:rsidRPr="00DD1EF0">
        <w:rPr>
          <w:rFonts w:hint="default"/>
        </w:rPr>
        <w:t>ho č</w:t>
      </w:r>
      <w:r w:rsidRPr="00DD1EF0">
        <w:rPr>
          <w:rFonts w:hint="default"/>
        </w:rPr>
        <w:t>lenský</w:t>
      </w:r>
      <w:r w:rsidRPr="00DD1EF0">
        <w:rPr>
          <w:rFonts w:hint="default"/>
        </w:rPr>
        <w:t xml:space="preserve"> š</w:t>
      </w:r>
      <w:r w:rsidRPr="00DD1EF0">
        <w:rPr>
          <w:rFonts w:hint="default"/>
        </w:rPr>
        <w:t>tá</w:t>
      </w:r>
      <w:r w:rsidRPr="00DD1EF0">
        <w:rPr>
          <w:rFonts w:hint="default"/>
        </w:rPr>
        <w:t>t musí</w:t>
      </w:r>
      <w:r w:rsidRPr="00DD1EF0">
        <w:rPr>
          <w:rFonts w:hint="default"/>
        </w:rPr>
        <w:t xml:space="preserve"> najneskô</w:t>
      </w:r>
      <w:r w:rsidRPr="00DD1EF0">
        <w:rPr>
          <w:rFonts w:hint="default"/>
        </w:rPr>
        <w:t>r do </w:t>
      </w:r>
      <w:r w:rsidRPr="00DD1EF0">
        <w:rPr>
          <w:rFonts w:hint="default"/>
        </w:rPr>
        <w:t>konca druhé</w:t>
      </w:r>
      <w:r w:rsidRPr="00DD1EF0">
        <w:rPr>
          <w:rFonts w:hint="default"/>
        </w:rPr>
        <w:t>ho roka od prijatia zá</w:t>
      </w:r>
      <w:r w:rsidRPr="00DD1EF0">
        <w:rPr>
          <w:rFonts w:hint="default"/>
        </w:rPr>
        <w:t>vä</w:t>
      </w:r>
      <w:r w:rsidRPr="00DD1EF0">
        <w:rPr>
          <w:rFonts w:hint="default"/>
        </w:rPr>
        <w:t>zku zaslať</w:t>
      </w:r>
      <w:r w:rsidRPr="00DD1EF0">
        <w:rPr>
          <w:rFonts w:hint="default"/>
        </w:rPr>
        <w:t xml:space="preserve"> ž</w:t>
      </w:r>
      <w:r w:rsidRPr="00DD1EF0">
        <w:rPr>
          <w:rFonts w:hint="default"/>
        </w:rPr>
        <w:t>iadosti o </w:t>
      </w:r>
      <w:r w:rsidRPr="00DD1EF0">
        <w:rPr>
          <w:rFonts w:hint="default"/>
        </w:rPr>
        <w:t>platbu na Euró</w:t>
      </w:r>
      <w:r w:rsidRPr="00DD1EF0">
        <w:rPr>
          <w:rFonts w:hint="default"/>
        </w:rPr>
        <w:t>psku komisiu vo výš</w:t>
      </w:r>
      <w:r w:rsidRPr="00DD1EF0">
        <w:rPr>
          <w:rFonts w:hint="default"/>
        </w:rPr>
        <w:t>ke tohto zá</w:t>
      </w:r>
      <w:r w:rsidRPr="00DD1EF0">
        <w:rPr>
          <w:rFonts w:hint="default"/>
        </w:rPr>
        <w:t>vä</w:t>
      </w:r>
      <w:r w:rsidRPr="00DD1EF0">
        <w:rPr>
          <w:rFonts w:hint="default"/>
        </w:rPr>
        <w:t>zku</w:t>
      </w:r>
      <w:r>
        <w:t xml:space="preserve"> </w:t>
      </w:r>
      <w:r w:rsidRPr="00324D85">
        <w:t xml:space="preserve">a  </w:t>
      </w:r>
      <w:r>
        <w:t>po</w:t>
      </w:r>
      <w:r w:rsidRPr="00DD1EF0">
        <w:rPr>
          <w:rFonts w:hint="default"/>
        </w:rPr>
        <w:t xml:space="preserve"> zohľ</w:t>
      </w:r>
      <w:r w:rsidRPr="00DD1EF0">
        <w:rPr>
          <w:rFonts w:hint="default"/>
        </w:rPr>
        <w:t>adnení</w:t>
      </w:r>
      <w:r w:rsidRPr="00DD1EF0">
        <w:rPr>
          <w:rFonts w:hint="default"/>
        </w:rPr>
        <w:t xml:space="preserve"> zá</w:t>
      </w:r>
      <w:r w:rsidRPr="00DD1EF0">
        <w:rPr>
          <w:rFonts w:hint="default"/>
        </w:rPr>
        <w:t>lohový</w:t>
      </w:r>
      <w:r w:rsidRPr="00DD1EF0">
        <w:rPr>
          <w:rFonts w:hint="default"/>
        </w:rPr>
        <w:t>ch platieb</w:t>
      </w:r>
      <w:r w:rsidR="00CE4DCA">
        <w:rPr>
          <w:rFonts w:hint="default"/>
        </w:rPr>
        <w:t xml:space="preserve"> vyplý</w:t>
      </w:r>
      <w:r w:rsidR="00CE4DCA">
        <w:rPr>
          <w:rFonts w:hint="default"/>
        </w:rPr>
        <w:t>va ž</w:t>
      </w:r>
      <w:r w:rsidR="00CE4DCA">
        <w:rPr>
          <w:rFonts w:hint="default"/>
        </w:rPr>
        <w:t>e</w:t>
      </w:r>
      <w:r>
        <w:t>:</w:t>
      </w:r>
    </w:p>
    <w:p w:rsidR="006E7C03" w:rsidRPr="00324D85" w:rsidP="006E7C03">
      <w:pPr>
        <w:numPr>
          <w:numId w:val="18"/>
        </w:numPr>
        <w:bidi w:val="0"/>
        <w:spacing w:before="120" w:after="0" w:line="240" w:lineRule="auto"/>
        <w:ind w:right="68"/>
        <w:rPr>
          <w:rFonts w:hint="default"/>
        </w:rPr>
      </w:pPr>
      <w:r w:rsidRPr="00DD1EF0">
        <w:t xml:space="preserve"> </w:t>
      </w:r>
      <w:r w:rsidRPr="00324D85">
        <w:rPr>
          <w:rFonts w:hint="default"/>
        </w:rPr>
        <w:t>zá</w:t>
      </w:r>
      <w:r w:rsidRPr="00324D85">
        <w:rPr>
          <w:rFonts w:hint="default"/>
        </w:rPr>
        <w:t>vä</w:t>
      </w:r>
      <w:r w:rsidRPr="00324D85">
        <w:rPr>
          <w:rFonts w:hint="default"/>
        </w:rPr>
        <w:t>zky na roky 2008 a 2009  sú</w:t>
      </w:r>
      <w:r w:rsidRPr="00324D85">
        <w:rPr>
          <w:rFonts w:hint="default"/>
        </w:rPr>
        <w:t xml:space="preserve"> vyč</w:t>
      </w:r>
      <w:r w:rsidRPr="00324D85">
        <w:rPr>
          <w:rFonts w:hint="default"/>
        </w:rPr>
        <w:t>erpané,</w:t>
      </w:r>
    </w:p>
    <w:p w:rsidR="006E7C03" w:rsidRPr="0090068C" w:rsidP="006E7C03">
      <w:pPr>
        <w:numPr>
          <w:numId w:val="18"/>
        </w:numPr>
        <w:bidi w:val="0"/>
        <w:spacing w:before="120" w:after="120" w:line="240" w:lineRule="auto"/>
        <w:ind w:left="419" w:right="68" w:hanging="357"/>
      </w:pPr>
      <w:r w:rsidRPr="0090068C">
        <w:rPr>
          <w:rFonts w:hint="default"/>
        </w:rPr>
        <w:t>zá</w:t>
      </w:r>
      <w:r w:rsidRPr="0090068C">
        <w:rPr>
          <w:rFonts w:hint="default"/>
        </w:rPr>
        <w:t>vä</w:t>
      </w:r>
      <w:r w:rsidRPr="0090068C">
        <w:rPr>
          <w:rFonts w:hint="default"/>
        </w:rPr>
        <w:t>zok na rok 2010 je č</w:t>
      </w:r>
      <w:r w:rsidRPr="0090068C">
        <w:rPr>
          <w:rFonts w:hint="default"/>
        </w:rPr>
        <w:t>erpaný</w:t>
      </w:r>
      <w:r w:rsidRPr="0090068C">
        <w:rPr>
          <w:rFonts w:hint="default"/>
        </w:rPr>
        <w:t xml:space="preserve"> do výš</w:t>
      </w:r>
      <w:r w:rsidRPr="0090068C">
        <w:rPr>
          <w:rFonts w:hint="default"/>
        </w:rPr>
        <w:t xml:space="preserve">ky </w:t>
      </w:r>
      <w:r w:rsidR="00C31DF4">
        <w:t>11,3</w:t>
      </w:r>
      <w:r w:rsidR="00440106">
        <w:t> </w:t>
      </w:r>
      <w:r w:rsidR="00440106">
        <w:t>%</w:t>
      </w:r>
      <w:r>
        <w:t>.</w:t>
      </w:r>
    </w:p>
    <w:p w:rsidR="006E7C03" w:rsidRPr="005C0534" w:rsidP="006E7C03">
      <w:pPr>
        <w:bidi w:val="0"/>
        <w:ind w:firstLine="419"/>
      </w:pPr>
      <w:r w:rsidRPr="005C0534">
        <w:rPr>
          <w:lang w:eastAsia="cs-CZ"/>
        </w:rPr>
        <w:t>V </w:t>
      </w:r>
      <w:r w:rsidRPr="005C0534">
        <w:rPr>
          <w:rFonts w:hint="default"/>
          <w:lang w:eastAsia="cs-CZ"/>
        </w:rPr>
        <w:t>roku 2010 bola vypracovaná</w:t>
      </w:r>
      <w:r w:rsidRPr="005C0534">
        <w:rPr>
          <w:rFonts w:hint="default"/>
          <w:lang w:eastAsia="cs-CZ"/>
        </w:rPr>
        <w:t xml:space="preserve"> Zá</w:t>
      </w:r>
      <w:r w:rsidRPr="005C0534">
        <w:rPr>
          <w:rFonts w:hint="default"/>
          <w:lang w:eastAsia="cs-CZ"/>
        </w:rPr>
        <w:t>vereč</w:t>
      </w:r>
      <w:r w:rsidRPr="005C0534">
        <w:rPr>
          <w:rFonts w:hint="default"/>
          <w:lang w:eastAsia="cs-CZ"/>
        </w:rPr>
        <w:t>ná</w:t>
      </w:r>
      <w:r w:rsidRPr="005C0534">
        <w:rPr>
          <w:rFonts w:hint="default"/>
          <w:lang w:eastAsia="cs-CZ"/>
        </w:rPr>
        <w:t xml:space="preserve"> sprá</w:t>
      </w:r>
      <w:r w:rsidRPr="005C0534">
        <w:rPr>
          <w:rFonts w:hint="default"/>
          <w:lang w:eastAsia="cs-CZ"/>
        </w:rPr>
        <w:t xml:space="preserve">va </w:t>
      </w:r>
      <w:r w:rsidRPr="00DB5D6E">
        <w:rPr>
          <w:rFonts w:hint="default"/>
          <w:b/>
          <w:lang w:eastAsia="cs-CZ"/>
        </w:rPr>
        <w:t>strednodobé</w:t>
      </w:r>
      <w:r w:rsidRPr="00DB5D6E">
        <w:rPr>
          <w:rFonts w:hint="default"/>
          <w:b/>
          <w:lang w:eastAsia="cs-CZ"/>
        </w:rPr>
        <w:t>ho hodnotenia PRV SR 2007</w:t>
      </w:r>
      <w:r w:rsidR="00C0319B">
        <w:rPr>
          <w:b/>
          <w:lang w:eastAsia="cs-CZ"/>
        </w:rPr>
        <w:t xml:space="preserve"> </w:t>
      </w:r>
      <w:r w:rsidRPr="00DB5D6E">
        <w:rPr>
          <w:b/>
          <w:lang w:eastAsia="cs-CZ"/>
        </w:rPr>
        <w:t>-</w:t>
      </w:r>
      <w:r w:rsidR="00C0319B">
        <w:rPr>
          <w:b/>
          <w:lang w:eastAsia="cs-CZ"/>
        </w:rPr>
        <w:t xml:space="preserve"> </w:t>
      </w:r>
      <w:r w:rsidRPr="00DB5D6E">
        <w:rPr>
          <w:b/>
          <w:lang w:eastAsia="cs-CZ"/>
        </w:rPr>
        <w:t>2013</w:t>
      </w:r>
      <w:r>
        <w:rPr>
          <w:rFonts w:hint="default"/>
          <w:lang w:eastAsia="cs-CZ"/>
        </w:rPr>
        <w:t>, ktorá</w:t>
      </w:r>
      <w:r w:rsidRPr="005C0534">
        <w:rPr>
          <w:lang w:eastAsia="cs-CZ"/>
        </w:rPr>
        <w:t xml:space="preserve"> </w:t>
      </w:r>
      <w:r w:rsidRPr="005C0534">
        <w:t>prezentuje </w:t>
      </w:r>
      <w:r w:rsidRPr="005C0534">
        <w:rPr>
          <w:rFonts w:hint="default"/>
        </w:rPr>
        <w:t>sú</w:t>
      </w:r>
      <w:r w:rsidRPr="005C0534">
        <w:rPr>
          <w:rFonts w:hint="default"/>
        </w:rPr>
        <w:t>hrnné</w:t>
      </w:r>
      <w:r w:rsidRPr="005C0534">
        <w:rPr>
          <w:rFonts w:hint="default"/>
        </w:rPr>
        <w:t xml:space="preserve"> zistenia z </w:t>
      </w:r>
      <w:r w:rsidRPr="005C0534">
        <w:rPr>
          <w:rFonts w:hint="default"/>
        </w:rPr>
        <w:t>realizované</w:t>
      </w:r>
      <w:r w:rsidRPr="005C0534">
        <w:rPr>
          <w:rFonts w:hint="default"/>
        </w:rPr>
        <w:t>ho hodnotenia a </w:t>
      </w:r>
      <w:r w:rsidRPr="005C0534">
        <w:rPr>
          <w:rFonts w:hint="default"/>
        </w:rPr>
        <w:t>odporúč</w:t>
      </w:r>
      <w:r w:rsidRPr="005C0534">
        <w:rPr>
          <w:rFonts w:hint="default"/>
        </w:rPr>
        <w:t>an</w:t>
      </w:r>
      <w:r w:rsidRPr="005C0534">
        <w:rPr>
          <w:rFonts w:hint="default"/>
        </w:rPr>
        <w:t xml:space="preserve">ia </w:t>
      </w:r>
      <w:r>
        <w:t>p</w:t>
      </w:r>
      <w:r w:rsidRPr="005C0534">
        <w:rPr>
          <w:rFonts w:hint="default"/>
        </w:rPr>
        <w:t>rogramu a identifikuje problé</w:t>
      </w:r>
      <w:r w:rsidRPr="005C0534">
        <w:rPr>
          <w:rFonts w:hint="default"/>
        </w:rPr>
        <w:t>mové</w:t>
      </w:r>
      <w:r w:rsidRPr="005C0534">
        <w:rPr>
          <w:rFonts w:hint="default"/>
        </w:rPr>
        <w:t xml:space="preserve"> oblasti, na ktorý</w:t>
      </w:r>
      <w:r w:rsidRPr="005C0534">
        <w:rPr>
          <w:rFonts w:hint="default"/>
        </w:rPr>
        <w:t>ch rieš</w:t>
      </w:r>
      <w:r w:rsidRPr="005C0534">
        <w:rPr>
          <w:rFonts w:hint="default"/>
        </w:rPr>
        <w:t>enie bude potrebné</w:t>
      </w:r>
      <w:r w:rsidRPr="005C0534">
        <w:rPr>
          <w:rFonts w:hint="default"/>
        </w:rPr>
        <w:t xml:space="preserve"> sa v bu</w:t>
      </w:r>
      <w:r w:rsidR="00CE4DCA">
        <w:rPr>
          <w:rFonts w:hint="default"/>
        </w:rPr>
        <w:t>dú</w:t>
      </w:r>
      <w:r w:rsidR="00CE4DCA">
        <w:rPr>
          <w:rFonts w:hint="default"/>
        </w:rPr>
        <w:t>cej implementá</w:t>
      </w:r>
      <w:r w:rsidR="00CE4DCA">
        <w:rPr>
          <w:rFonts w:hint="default"/>
        </w:rPr>
        <w:t>cii sú</w:t>
      </w:r>
      <w:r w:rsidR="00CE4DCA">
        <w:rPr>
          <w:rFonts w:hint="default"/>
        </w:rPr>
        <w:t>strediť</w:t>
      </w:r>
      <w:r w:rsidR="00CE4DCA">
        <w:rPr>
          <w:rFonts w:hint="default"/>
        </w:rPr>
        <w:t xml:space="preserve">. </w:t>
      </w:r>
      <w:r>
        <w:rPr>
          <w:rFonts w:hint="default"/>
        </w:rPr>
        <w:t>Sprá</w:t>
      </w:r>
      <w:r>
        <w:rPr>
          <w:rFonts w:hint="default"/>
        </w:rPr>
        <w:t>va je verejne prí</w:t>
      </w:r>
      <w:r>
        <w:rPr>
          <w:rFonts w:hint="default"/>
        </w:rPr>
        <w:t>stupná</w:t>
      </w:r>
      <w:r>
        <w:rPr>
          <w:rFonts w:hint="default"/>
        </w:rPr>
        <w:t xml:space="preserve"> na webovej strá</w:t>
      </w:r>
      <w:r>
        <w:rPr>
          <w:rFonts w:hint="default"/>
        </w:rPr>
        <w:t>nke MPRV</w:t>
      </w:r>
      <w:r w:rsidR="00CE4DCA">
        <w:t> </w:t>
      </w:r>
      <w:r w:rsidR="00CE4DCA">
        <w:t>SR</w:t>
      </w:r>
      <w:r>
        <w:t>.</w:t>
      </w:r>
    </w:p>
    <w:p w:rsidR="006E7C03" w:rsidP="006E7C03">
      <w:pPr>
        <w:bidi w:val="0"/>
        <w:rPr>
          <w:lang w:eastAsia="cs-CZ"/>
        </w:rPr>
      </w:pPr>
      <w:r>
        <w:rPr>
          <w:rFonts w:hint="default"/>
          <w:lang w:eastAsia="cs-CZ"/>
        </w:rPr>
        <w:t>Analý</w:t>
      </w:r>
      <w:r>
        <w:rPr>
          <w:rFonts w:hint="default"/>
          <w:lang w:eastAsia="cs-CZ"/>
        </w:rPr>
        <w:t>zy uká</w:t>
      </w:r>
      <w:r>
        <w:rPr>
          <w:rFonts w:hint="default"/>
          <w:lang w:eastAsia="cs-CZ"/>
        </w:rPr>
        <w:t>zali, ž</w:t>
      </w:r>
      <w:r>
        <w:rPr>
          <w:rFonts w:hint="default"/>
          <w:lang w:eastAsia="cs-CZ"/>
        </w:rPr>
        <w:t>e n</w:t>
      </w:r>
      <w:r w:rsidRPr="00ED04FE">
        <w:rPr>
          <w:rFonts w:hint="default"/>
          <w:lang w:eastAsia="cs-CZ"/>
        </w:rPr>
        <w:t>epodporené</w:t>
      </w:r>
      <w:r w:rsidRPr="00ED04FE">
        <w:rPr>
          <w:rFonts w:hint="default"/>
          <w:lang w:eastAsia="cs-CZ"/>
        </w:rPr>
        <w:t xml:space="preserve"> poľ</w:t>
      </w:r>
      <w:r w:rsidRPr="00ED04FE">
        <w:rPr>
          <w:rFonts w:hint="default"/>
          <w:lang w:eastAsia="cs-CZ"/>
        </w:rPr>
        <w:t>nohospodá</w:t>
      </w:r>
      <w:r w:rsidRPr="00ED04FE">
        <w:rPr>
          <w:rFonts w:hint="default"/>
          <w:lang w:eastAsia="cs-CZ"/>
        </w:rPr>
        <w:t>rske subjekty v</w:t>
      </w:r>
      <w:r w:rsidR="00B229A8">
        <w:rPr>
          <w:lang w:eastAsia="cs-CZ"/>
        </w:rPr>
        <w:t xml:space="preserve"> </w:t>
      </w:r>
      <w:r w:rsidRPr="00ED04FE">
        <w:rPr>
          <w:rFonts w:hint="default"/>
          <w:lang w:eastAsia="cs-CZ"/>
        </w:rPr>
        <w:t>prepoč</w:t>
      </w:r>
      <w:r w:rsidRPr="00ED04FE">
        <w:rPr>
          <w:rFonts w:hint="default"/>
          <w:lang w:eastAsia="cs-CZ"/>
        </w:rPr>
        <w:t>te</w:t>
      </w:r>
      <w:r>
        <w:rPr>
          <w:rFonts w:hint="default"/>
          <w:lang w:eastAsia="cs-CZ"/>
        </w:rPr>
        <w:t xml:space="preserve"> na pracovní</w:t>
      </w:r>
      <w:r>
        <w:rPr>
          <w:rFonts w:hint="default"/>
          <w:lang w:eastAsia="cs-CZ"/>
        </w:rPr>
        <w:t>k</w:t>
      </w:r>
      <w:r>
        <w:rPr>
          <w:rFonts w:hint="default"/>
          <w:lang w:eastAsia="cs-CZ"/>
        </w:rPr>
        <w:t xml:space="preserve">a </w:t>
      </w:r>
      <w:r w:rsidRPr="00ED04FE">
        <w:rPr>
          <w:rFonts w:hint="default"/>
          <w:lang w:eastAsia="cs-CZ"/>
        </w:rPr>
        <w:t>dosiahli horš</w:t>
      </w:r>
      <w:r>
        <w:rPr>
          <w:lang w:eastAsia="cs-CZ"/>
        </w:rPr>
        <w:t>ie</w:t>
      </w:r>
      <w:r w:rsidRPr="00ED04FE">
        <w:rPr>
          <w:rFonts w:hint="default"/>
          <w:lang w:eastAsia="cs-CZ"/>
        </w:rPr>
        <w:t xml:space="preserve"> vý</w:t>
      </w:r>
      <w:r w:rsidRPr="00ED04FE">
        <w:rPr>
          <w:rFonts w:hint="default"/>
          <w:lang w:eastAsia="cs-CZ"/>
        </w:rPr>
        <w:t>sled</w:t>
      </w:r>
      <w:r>
        <w:rPr>
          <w:lang w:eastAsia="cs-CZ"/>
        </w:rPr>
        <w:t>ky</w:t>
      </w:r>
      <w:r w:rsidR="00CE4DCA">
        <w:rPr>
          <w:rFonts w:hint="default"/>
          <w:lang w:eastAsia="cs-CZ"/>
        </w:rPr>
        <w:t xml:space="preserve"> hospodá</w:t>
      </w:r>
      <w:r w:rsidR="00CE4DCA">
        <w:rPr>
          <w:rFonts w:hint="default"/>
          <w:lang w:eastAsia="cs-CZ"/>
        </w:rPr>
        <w:t>renia</w:t>
      </w:r>
      <w:r w:rsidRPr="00ED04FE">
        <w:rPr>
          <w:rFonts w:hint="default"/>
          <w:lang w:eastAsia="cs-CZ"/>
        </w:rPr>
        <w:t>, ako podporené</w:t>
      </w:r>
      <w:r w:rsidRPr="00ED04FE">
        <w:rPr>
          <w:rFonts w:hint="default"/>
          <w:lang w:eastAsia="cs-CZ"/>
        </w:rPr>
        <w:t xml:space="preserve">. U SHR prispeli opatrenia PRV  </w:t>
      </w:r>
      <w:r>
        <w:rPr>
          <w:lang w:eastAsia="cs-CZ"/>
        </w:rPr>
        <w:t>SR 2007</w:t>
      </w:r>
      <w:r w:rsidR="00C0319B">
        <w:rPr>
          <w:lang w:eastAsia="cs-CZ"/>
        </w:rPr>
        <w:t xml:space="preserve"> </w:t>
      </w:r>
      <w:r>
        <w:rPr>
          <w:lang w:eastAsia="cs-CZ"/>
        </w:rPr>
        <w:t>-</w:t>
      </w:r>
      <w:r w:rsidR="00C0319B">
        <w:rPr>
          <w:lang w:eastAsia="cs-CZ"/>
        </w:rPr>
        <w:t xml:space="preserve"> </w:t>
      </w:r>
      <w:r>
        <w:rPr>
          <w:lang w:eastAsia="cs-CZ"/>
        </w:rPr>
        <w:t xml:space="preserve">2013 </w:t>
      </w:r>
      <w:r w:rsidRPr="00ED04FE">
        <w:rPr>
          <w:lang w:eastAsia="cs-CZ"/>
        </w:rPr>
        <w:t>aj k </w:t>
      </w:r>
      <w:r w:rsidRPr="00ED04FE">
        <w:rPr>
          <w:rFonts w:hint="default"/>
          <w:lang w:eastAsia="cs-CZ"/>
        </w:rPr>
        <w:t>zoslabeniu dosahov krí</w:t>
      </w:r>
      <w:r w:rsidRPr="00ED04FE">
        <w:rPr>
          <w:rFonts w:hint="default"/>
          <w:lang w:eastAsia="cs-CZ"/>
        </w:rPr>
        <w:t>zy a </w:t>
      </w:r>
      <w:r w:rsidRPr="00ED04FE">
        <w:rPr>
          <w:rFonts w:hint="default"/>
          <w:lang w:eastAsia="cs-CZ"/>
        </w:rPr>
        <w:t>zníž</w:t>
      </w:r>
      <w:r w:rsidRPr="00ED04FE">
        <w:rPr>
          <w:rFonts w:hint="default"/>
          <w:lang w:eastAsia="cs-CZ"/>
        </w:rPr>
        <w:t>eniu pracovnej ná</w:t>
      </w:r>
      <w:r w:rsidRPr="00ED04FE">
        <w:rPr>
          <w:rFonts w:hint="default"/>
          <w:lang w:eastAsia="cs-CZ"/>
        </w:rPr>
        <w:t>roč</w:t>
      </w:r>
      <w:r w:rsidRPr="00ED04FE">
        <w:rPr>
          <w:rFonts w:hint="default"/>
          <w:lang w:eastAsia="cs-CZ"/>
        </w:rPr>
        <w:t>nosti vý</w:t>
      </w:r>
      <w:r w:rsidRPr="00ED04FE">
        <w:rPr>
          <w:rFonts w:hint="default"/>
          <w:lang w:eastAsia="cs-CZ"/>
        </w:rPr>
        <w:t>roby. Program pozití</w:t>
      </w:r>
      <w:r w:rsidRPr="00ED04FE">
        <w:rPr>
          <w:rFonts w:hint="default"/>
          <w:lang w:eastAsia="cs-CZ"/>
        </w:rPr>
        <w:t>vne ovplyvnil poč</w:t>
      </w:r>
      <w:r w:rsidRPr="00ED04FE">
        <w:rPr>
          <w:rFonts w:hint="default"/>
          <w:lang w:eastAsia="cs-CZ"/>
        </w:rPr>
        <w:t>et pracovní</w:t>
      </w:r>
      <w:r w:rsidRPr="00ED04FE">
        <w:rPr>
          <w:rFonts w:hint="default"/>
          <w:lang w:eastAsia="cs-CZ"/>
        </w:rPr>
        <w:t>kov podporený</w:t>
      </w:r>
      <w:r w:rsidRPr="00ED04FE">
        <w:rPr>
          <w:rFonts w:hint="default"/>
          <w:lang w:eastAsia="cs-CZ"/>
        </w:rPr>
        <w:t>ch fariem, hodnota sa prejavil</w:t>
      </w:r>
      <w:r w:rsidRPr="00ED04FE">
        <w:rPr>
          <w:rFonts w:hint="default"/>
          <w:lang w:eastAsia="cs-CZ"/>
        </w:rPr>
        <w:t>a v </w:t>
      </w:r>
      <w:r w:rsidRPr="00ED04FE">
        <w:rPr>
          <w:rFonts w:hint="default"/>
          <w:lang w:eastAsia="cs-CZ"/>
        </w:rPr>
        <w:t>nižš</w:t>
      </w:r>
      <w:r w:rsidRPr="00ED04FE">
        <w:rPr>
          <w:rFonts w:hint="default"/>
          <w:lang w:eastAsia="cs-CZ"/>
        </w:rPr>
        <w:t>om poklese pracovní</w:t>
      </w:r>
      <w:r w:rsidRPr="00ED04FE">
        <w:rPr>
          <w:rFonts w:hint="default"/>
          <w:lang w:eastAsia="cs-CZ"/>
        </w:rPr>
        <w:t>kov (AWU), ako u nepodporený</w:t>
      </w:r>
      <w:r w:rsidRPr="00ED04FE">
        <w:rPr>
          <w:rFonts w:hint="default"/>
          <w:lang w:eastAsia="cs-CZ"/>
        </w:rPr>
        <w:t xml:space="preserve">ch </w:t>
      </w:r>
      <w:r w:rsidR="00CE4DCA">
        <w:rPr>
          <w:lang w:eastAsia="cs-CZ"/>
        </w:rPr>
        <w:t>fariem</w:t>
      </w:r>
      <w:r>
        <w:rPr>
          <w:lang w:eastAsia="cs-CZ"/>
        </w:rPr>
        <w:t xml:space="preserve">. </w:t>
      </w:r>
    </w:p>
    <w:p w:rsidR="00B31600" w:rsidP="006E7C03">
      <w:pPr>
        <w:bidi w:val="0"/>
        <w:rPr>
          <w:bCs/>
        </w:rPr>
      </w:pPr>
      <w:r>
        <w:rPr>
          <w:rFonts w:hint="default"/>
          <w:lang w:eastAsia="cs-CZ"/>
        </w:rPr>
        <w:t>Podpory LFA sú</w:t>
      </w:r>
      <w:r>
        <w:rPr>
          <w:rFonts w:hint="default"/>
          <w:lang w:eastAsia="cs-CZ"/>
        </w:rPr>
        <w:t xml:space="preserve"> rozlož</w:t>
      </w:r>
      <w:r>
        <w:rPr>
          <w:rFonts w:hint="default"/>
          <w:lang w:eastAsia="cs-CZ"/>
        </w:rPr>
        <w:t>ené</w:t>
      </w:r>
      <w:r>
        <w:rPr>
          <w:rFonts w:hint="default"/>
          <w:lang w:eastAsia="cs-CZ"/>
        </w:rPr>
        <w:t xml:space="preserve"> takmer vo vš</w:t>
      </w:r>
      <w:r>
        <w:rPr>
          <w:rFonts w:hint="default"/>
          <w:lang w:eastAsia="cs-CZ"/>
        </w:rPr>
        <w:t>etký</w:t>
      </w:r>
      <w:r>
        <w:rPr>
          <w:rFonts w:hint="default"/>
          <w:lang w:eastAsia="cs-CZ"/>
        </w:rPr>
        <w:t>ch okresoch SR (mapa č</w:t>
      </w:r>
      <w:r>
        <w:rPr>
          <w:rFonts w:hint="default"/>
          <w:lang w:eastAsia="cs-CZ"/>
        </w:rPr>
        <w:t>. 2)</w:t>
      </w:r>
    </w:p>
    <w:p w:rsidR="00C31DF4" w:rsidRPr="003863E3" w:rsidP="00C31DF4">
      <w:pPr>
        <w:keepNext/>
        <w:bidi w:val="0"/>
        <w:jc w:val="right"/>
        <w:rPr>
          <w:bCs/>
        </w:rPr>
      </w:pPr>
      <w:r>
        <w:rPr>
          <w:bCs/>
        </w:rPr>
        <w:t xml:space="preserve">Mapa </w:t>
      </w:r>
      <w:r w:rsidR="00B31600">
        <w:rPr>
          <w:rFonts w:hint="default"/>
          <w:bCs/>
        </w:rPr>
        <w:t>č.</w:t>
      </w:r>
      <w:r>
        <w:rPr>
          <w:bCs/>
        </w:rPr>
        <w:t>2</w:t>
      </w:r>
    </w:p>
    <w:p w:rsidR="006E7C03" w:rsidP="00C31DF4">
      <w:pPr>
        <w:autoSpaceDE w:val="0"/>
        <w:autoSpaceDN w:val="0"/>
        <w:bidi w:val="0"/>
        <w:spacing w:after="0" w:line="240" w:lineRule="auto"/>
        <w:ind w:firstLine="0"/>
        <w:rPr>
          <w:b/>
          <w:color w:val="FF0000"/>
        </w:rPr>
      </w:pPr>
      <w:r>
        <w:rPr>
          <w:b/>
          <w:noProof/>
          <w:color w:val="FF0000"/>
          <w:rtl w:val="0"/>
          <w:lang w:eastAsia="sk-SK"/>
        </w:rPr>
        <w:pict>
          <v:shape id="Obrázok 5" o:spid="_x0000_i1026" type="#_x0000_t75" alt="C:\Users\duricova\Documents\ZELENA2011\LFA.jpg" style="width:421.5pt;height:270.95pt;visibility:visible" filled="f" stroked="f">
            <v:imagedata r:id="rId6" o:title=""/>
          </v:shape>
        </w:pict>
      </w:r>
    </w:p>
    <w:p w:rsidR="006A14EA" w:rsidP="00D31CBB">
      <w:pPr>
        <w:autoSpaceDE w:val="0"/>
        <w:autoSpaceDN w:val="0"/>
        <w:bidi w:val="0"/>
        <w:ind w:firstLine="0"/>
        <w:rPr>
          <w:b/>
        </w:rPr>
      </w:pPr>
    </w:p>
    <w:p w:rsidR="006A14EA" w:rsidP="00D31CBB">
      <w:pPr>
        <w:autoSpaceDE w:val="0"/>
        <w:autoSpaceDN w:val="0"/>
        <w:bidi w:val="0"/>
        <w:ind w:firstLine="0"/>
        <w:rPr>
          <w:b/>
        </w:rPr>
      </w:pPr>
    </w:p>
    <w:p w:rsidR="006E7C03" w:rsidP="00D31CBB">
      <w:pPr>
        <w:autoSpaceDE w:val="0"/>
        <w:autoSpaceDN w:val="0"/>
        <w:bidi w:val="0"/>
        <w:ind w:firstLine="0"/>
        <w:rPr>
          <w:b/>
        </w:rPr>
      </w:pPr>
      <w:r>
        <w:rPr>
          <w:rFonts w:hint="default"/>
          <w:b/>
        </w:rPr>
        <w:t>Efekty agroenvironmentá</w:t>
      </w:r>
      <w:r>
        <w:rPr>
          <w:rFonts w:hint="default"/>
          <w:b/>
        </w:rPr>
        <w:t xml:space="preserve">lnych platieb </w:t>
      </w:r>
      <w:r w:rsidRPr="002E464A">
        <w:rPr>
          <w:b/>
        </w:rPr>
        <w:t>PRV SR 2007</w:t>
      </w:r>
      <w:r w:rsidR="00C0319B">
        <w:rPr>
          <w:b/>
        </w:rPr>
        <w:t xml:space="preserve"> </w:t>
      </w:r>
      <w:r w:rsidRPr="002E464A">
        <w:rPr>
          <w:b/>
        </w:rPr>
        <w:t>-</w:t>
      </w:r>
      <w:r w:rsidR="00C0319B">
        <w:rPr>
          <w:b/>
        </w:rPr>
        <w:t xml:space="preserve"> 2</w:t>
      </w:r>
      <w:r w:rsidRPr="002E464A">
        <w:rPr>
          <w:b/>
        </w:rPr>
        <w:t>013</w:t>
      </w:r>
      <w:r w:rsidRPr="00A80601">
        <w:rPr>
          <w:b/>
        </w:rPr>
        <w:t xml:space="preserve"> </w:t>
      </w:r>
      <w:r>
        <w:rPr>
          <w:b/>
        </w:rPr>
        <w:t>v </w:t>
      </w:r>
      <w:r>
        <w:rPr>
          <w:rFonts w:hint="default"/>
          <w:b/>
        </w:rPr>
        <w:t>období</w:t>
      </w:r>
      <w:r>
        <w:rPr>
          <w:rFonts w:hint="default"/>
          <w:b/>
        </w:rPr>
        <w:t xml:space="preserve"> rokov 2007</w:t>
      </w:r>
      <w:r w:rsidR="00C0319B">
        <w:rPr>
          <w:b/>
        </w:rPr>
        <w:t xml:space="preserve"> </w:t>
      </w:r>
      <w:r>
        <w:rPr>
          <w:b/>
        </w:rPr>
        <w:t>-</w:t>
      </w:r>
      <w:r w:rsidR="00C0319B">
        <w:rPr>
          <w:b/>
        </w:rPr>
        <w:t xml:space="preserve"> </w:t>
      </w:r>
      <w:r>
        <w:rPr>
          <w:b/>
        </w:rPr>
        <w:t>2009</w:t>
      </w:r>
      <w:r w:rsidRPr="002E464A">
        <w:rPr>
          <w:b/>
        </w:rPr>
        <w:t xml:space="preserve"> </w:t>
      </w:r>
    </w:p>
    <w:p w:rsidR="006E7C03" w:rsidP="00240287">
      <w:pPr>
        <w:bidi w:val="0"/>
      </w:pPr>
      <w:bookmarkStart w:id="3" w:name="_Toc282412073"/>
      <w:r>
        <w:t xml:space="preserve">Efekty podpory </w:t>
      </w:r>
      <w:r w:rsidRPr="00BB12D1">
        <w:rPr>
          <w:i/>
        </w:rPr>
        <w:t>agroenvir</w:t>
      </w:r>
      <w:r w:rsidRPr="00BB12D1">
        <w:rPr>
          <w:rFonts w:hint="default"/>
          <w:i/>
        </w:rPr>
        <w:t>onmentá</w:t>
      </w:r>
      <w:r w:rsidRPr="00BB12D1">
        <w:rPr>
          <w:rFonts w:hint="default"/>
          <w:i/>
        </w:rPr>
        <w:t>lnych opatrení</w:t>
      </w:r>
      <w:r w:rsidRPr="00BB12D1">
        <w:rPr>
          <w:rFonts w:hint="default"/>
          <w:i/>
        </w:rPr>
        <w:t xml:space="preserve"> (AEO)</w:t>
      </w:r>
      <w:r w:rsidRPr="00982AB4">
        <w:t xml:space="preserve"> </w:t>
      </w:r>
      <w:bookmarkEnd w:id="3"/>
      <w:r>
        <w:rPr>
          <w:rFonts w:hint="default"/>
        </w:rPr>
        <w:t>boli hodnotené</w:t>
      </w:r>
      <w:r>
        <w:rPr>
          <w:rFonts w:hint="default"/>
        </w:rPr>
        <w:t xml:space="preserve"> </w:t>
      </w:r>
      <w:r w:rsidR="00240287">
        <w:rPr>
          <w:rFonts w:hint="default"/>
        </w:rPr>
        <w:t>metodikou použ</w:t>
      </w:r>
      <w:r w:rsidR="00240287">
        <w:rPr>
          <w:rFonts w:hint="default"/>
        </w:rPr>
        <w:t xml:space="preserve">itou </w:t>
      </w:r>
      <w:r>
        <w:t>v </w:t>
      </w:r>
      <w:r>
        <w:rPr>
          <w:rFonts w:hint="default"/>
        </w:rPr>
        <w:t>strednodobom hodnotení</w:t>
      </w:r>
      <w:r>
        <w:rPr>
          <w:rFonts w:hint="default"/>
        </w:rPr>
        <w:t xml:space="preserve"> PRV 2007</w:t>
      </w:r>
      <w:r w:rsidR="00C0319B">
        <w:t xml:space="preserve"> </w:t>
      </w:r>
      <w:r>
        <w:t>-</w:t>
      </w:r>
      <w:r w:rsidR="00C0319B">
        <w:t xml:space="preserve"> </w:t>
      </w:r>
      <w:r>
        <w:t>2013</w:t>
      </w:r>
      <w:r>
        <w:rPr>
          <w:rStyle w:val="FootnoteReference"/>
          <w:iCs/>
          <w:rtl w:val="0"/>
        </w:rPr>
        <w:footnoteReference w:id="2"/>
      </w:r>
      <w:r>
        <w:rPr>
          <w:rFonts w:hint="default"/>
        </w:rPr>
        <w:t>. Kontrolná</w:t>
      </w:r>
      <w:r>
        <w:rPr>
          <w:rFonts w:hint="default"/>
        </w:rPr>
        <w:t xml:space="preserve"> vzorka nepodporený</w:t>
      </w:r>
      <w:r>
        <w:rPr>
          <w:rFonts w:hint="default"/>
        </w:rPr>
        <w:t xml:space="preserve">ch fariem </w:t>
      </w:r>
      <w:r w:rsidRPr="00A80601">
        <w:rPr>
          <w:rFonts w:hint="default"/>
          <w:i/>
        </w:rPr>
        <w:t>pred implementá</w:t>
      </w:r>
      <w:r w:rsidRPr="00A80601">
        <w:rPr>
          <w:rFonts w:hint="default"/>
          <w:i/>
        </w:rPr>
        <w:t>ciou podpory, t</w:t>
      </w:r>
      <w:r w:rsidR="00F037EB">
        <w:rPr>
          <w:i/>
        </w:rPr>
        <w:t>. </w:t>
      </w:r>
      <w:r w:rsidRPr="00A80601">
        <w:rPr>
          <w:i/>
        </w:rPr>
        <w:t>j. v roku 2006</w:t>
      </w:r>
      <w:r>
        <w:t xml:space="preserve">, predstavovala </w:t>
      </w:r>
      <w:r w:rsidRPr="00A80601">
        <w:rPr>
          <w:i/>
        </w:rPr>
        <w:t>farmy s </w:t>
      </w:r>
      <w:r w:rsidRPr="00A80601">
        <w:rPr>
          <w:rFonts w:hint="default"/>
          <w:i/>
        </w:rPr>
        <w:t>podobný</w:t>
      </w:r>
      <w:r w:rsidRPr="00A80601">
        <w:rPr>
          <w:rFonts w:hint="default"/>
          <w:i/>
        </w:rPr>
        <w:t>mi produkč</w:t>
      </w:r>
      <w:r w:rsidRPr="00A80601">
        <w:rPr>
          <w:rFonts w:hint="default"/>
          <w:i/>
        </w:rPr>
        <w:t>ne ekonomický</w:t>
      </w:r>
      <w:r w:rsidRPr="00A80601">
        <w:rPr>
          <w:rFonts w:hint="default"/>
          <w:i/>
        </w:rPr>
        <w:t>mi charakteri</w:t>
      </w:r>
      <w:r w:rsidRPr="00A80601">
        <w:rPr>
          <w:rFonts w:hint="default"/>
          <w:i/>
        </w:rPr>
        <w:t>stikami</w:t>
      </w:r>
      <w:r>
        <w:rPr>
          <w:rFonts w:hint="default"/>
        </w:rPr>
        <w:t>, ako farmy, ktoré</w:t>
      </w:r>
      <w:r>
        <w:rPr>
          <w:rFonts w:hint="default"/>
        </w:rPr>
        <w:t xml:space="preserve"> boli v rokoch 2007</w:t>
      </w:r>
      <w:r w:rsidR="00C0319B">
        <w:t xml:space="preserve"> </w:t>
      </w:r>
      <w:r>
        <w:t>-</w:t>
      </w:r>
      <w:r w:rsidR="00C0319B">
        <w:t xml:space="preserve"> </w:t>
      </w:r>
      <w:r>
        <w:rPr>
          <w:rFonts w:hint="default"/>
        </w:rPr>
        <w:t>2009 podporené</w:t>
      </w:r>
      <w:r>
        <w:rPr>
          <w:rFonts w:hint="default"/>
        </w:rPr>
        <w:t xml:space="preserve"> AEO. Cieľ</w:t>
      </w:r>
      <w:r>
        <w:rPr>
          <w:rFonts w:hint="default"/>
        </w:rPr>
        <w:t>om bolo analyzovať</w:t>
      </w:r>
      <w:r>
        <w:rPr>
          <w:rFonts w:hint="default"/>
        </w:rPr>
        <w:t xml:space="preserve"> </w:t>
      </w:r>
      <w:r w:rsidRPr="00A80601">
        <w:rPr>
          <w:i/>
        </w:rPr>
        <w:t xml:space="preserve">zmeny </w:t>
      </w:r>
      <w:r>
        <w:rPr>
          <w:rFonts w:hint="default"/>
          <w:i/>
        </w:rPr>
        <w:t>vo vzorke podporený</w:t>
      </w:r>
      <w:r>
        <w:rPr>
          <w:rFonts w:hint="default"/>
          <w:i/>
        </w:rPr>
        <w:t>ch a </w:t>
      </w:r>
      <w:r>
        <w:rPr>
          <w:rFonts w:hint="default"/>
          <w:i/>
        </w:rPr>
        <w:t>nepodporený</w:t>
      </w:r>
      <w:r>
        <w:rPr>
          <w:rFonts w:hint="default"/>
          <w:i/>
        </w:rPr>
        <w:t xml:space="preserve">ch </w:t>
      </w:r>
      <w:r w:rsidRPr="00A80601">
        <w:rPr>
          <w:i/>
        </w:rPr>
        <w:t>fariem v </w:t>
      </w:r>
      <w:r w:rsidRPr="00A80601">
        <w:rPr>
          <w:rFonts w:hint="default"/>
          <w:i/>
        </w:rPr>
        <w:t>období</w:t>
      </w:r>
      <w:r w:rsidRPr="00A80601">
        <w:rPr>
          <w:rFonts w:hint="default"/>
          <w:i/>
        </w:rPr>
        <w:t xml:space="preserve"> rokov 2007</w:t>
      </w:r>
      <w:r w:rsidR="00C0319B">
        <w:rPr>
          <w:i/>
        </w:rPr>
        <w:t xml:space="preserve"> </w:t>
      </w:r>
      <w:r w:rsidRPr="00A80601">
        <w:rPr>
          <w:i/>
        </w:rPr>
        <w:t>-</w:t>
      </w:r>
      <w:r w:rsidR="00C0319B">
        <w:rPr>
          <w:i/>
        </w:rPr>
        <w:t xml:space="preserve"> </w:t>
      </w:r>
      <w:r w:rsidRPr="00A80601">
        <w:rPr>
          <w:i/>
        </w:rPr>
        <w:t>2009</w:t>
      </w:r>
      <w:r w:rsidR="00240287">
        <w:t>.</w:t>
      </w:r>
    </w:p>
    <w:p w:rsidR="006E7C03" w:rsidRPr="002E0A8E" w:rsidP="00240287">
      <w:pPr>
        <w:bidi w:val="0"/>
        <w:ind w:firstLine="0"/>
        <w:rPr>
          <w:rFonts w:hint="default"/>
          <w:i/>
        </w:rPr>
      </w:pPr>
      <w:r w:rsidRPr="002E0A8E">
        <w:rPr>
          <w:i/>
        </w:rPr>
        <w:t>Z </w:t>
      </w:r>
      <w:r w:rsidRPr="002E0A8E">
        <w:rPr>
          <w:rFonts w:hint="default"/>
          <w:i/>
        </w:rPr>
        <w:t>hodnotenia na ú</w:t>
      </w:r>
      <w:r w:rsidRPr="002E0A8E">
        <w:rPr>
          <w:rFonts w:hint="default"/>
          <w:i/>
        </w:rPr>
        <w:t>rovni opatrení</w:t>
      </w:r>
      <w:r w:rsidRPr="002E0A8E">
        <w:rPr>
          <w:rFonts w:hint="default"/>
          <w:i/>
        </w:rPr>
        <w:t xml:space="preserve"> vyplynuli nasledujú</w:t>
      </w:r>
      <w:r w:rsidRPr="002E0A8E">
        <w:rPr>
          <w:rFonts w:hint="default"/>
          <w:i/>
        </w:rPr>
        <w:t>ce zá</w:t>
      </w:r>
      <w:r w:rsidRPr="002E0A8E">
        <w:rPr>
          <w:rFonts w:hint="default"/>
          <w:i/>
        </w:rPr>
        <w:t>very:</w:t>
      </w:r>
    </w:p>
    <w:p w:rsidR="006E7C03" w:rsidRPr="00F70EED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 w:rsidRPr="00F70EED">
        <w:t>Podpora AEO prispela k </w:t>
      </w:r>
      <w:r w:rsidRPr="00F70EED">
        <w:rPr>
          <w:rFonts w:hint="default"/>
        </w:rPr>
        <w:t>rý</w:t>
      </w:r>
      <w:r w:rsidRPr="00F70EED">
        <w:rPr>
          <w:rFonts w:hint="default"/>
        </w:rPr>
        <w:t>chlejš</w:t>
      </w:r>
      <w:r w:rsidRPr="00F70EED">
        <w:rPr>
          <w:rFonts w:hint="default"/>
        </w:rPr>
        <w:t>iemu rastu majetku u podporený</w:t>
      </w:r>
      <w:r w:rsidRPr="00F70EED">
        <w:rPr>
          <w:rFonts w:hint="default"/>
        </w:rPr>
        <w:t>ch, ako u </w:t>
      </w:r>
      <w:r w:rsidRPr="00F70EED">
        <w:rPr>
          <w:rFonts w:hint="default"/>
        </w:rPr>
        <w:t>nepodporený</w:t>
      </w:r>
      <w:r w:rsidRPr="00F70EED">
        <w:rPr>
          <w:rFonts w:hint="default"/>
        </w:rPr>
        <w:t xml:space="preserve">ch fariem. </w:t>
      </w:r>
      <w:r>
        <w:t>Ich z</w:t>
      </w:r>
      <w:r w:rsidRPr="00F70EED">
        <w:rPr>
          <w:rFonts w:hint="default"/>
        </w:rPr>
        <w:t>á</w:t>
      </w:r>
      <w:r w:rsidRPr="00F70EED">
        <w:rPr>
          <w:rFonts w:hint="default"/>
        </w:rPr>
        <w:t>vä</w:t>
      </w:r>
      <w:r w:rsidRPr="00F70EED">
        <w:rPr>
          <w:rFonts w:hint="default"/>
        </w:rPr>
        <w:t xml:space="preserve">zky </w:t>
      </w:r>
      <w:r>
        <w:rPr>
          <w:rFonts w:hint="default"/>
        </w:rPr>
        <w:t>vš</w:t>
      </w:r>
      <w:r>
        <w:rPr>
          <w:rFonts w:hint="default"/>
        </w:rPr>
        <w:t xml:space="preserve">ak </w:t>
      </w:r>
      <w:r w:rsidRPr="00F70EED">
        <w:rPr>
          <w:rFonts w:hint="default"/>
        </w:rPr>
        <w:t>klesali vý</w:t>
      </w:r>
      <w:r w:rsidRPr="00F70EED">
        <w:rPr>
          <w:rFonts w:hint="default"/>
        </w:rPr>
        <w:t>razne pomalš</w:t>
      </w:r>
      <w:r w:rsidRPr="00F70EED">
        <w:rPr>
          <w:rFonts w:hint="default"/>
        </w:rPr>
        <w:t>ie, ako zá</w:t>
      </w:r>
      <w:r w:rsidRPr="00F70EED">
        <w:rPr>
          <w:rFonts w:hint="default"/>
        </w:rPr>
        <w:t>vä</w:t>
      </w:r>
      <w:r w:rsidRPr="00F70EED">
        <w:rPr>
          <w:rFonts w:hint="default"/>
        </w:rPr>
        <w:t>zky nepodporený</w:t>
      </w:r>
      <w:r w:rsidRPr="00F70EED">
        <w:rPr>
          <w:rFonts w:hint="default"/>
        </w:rPr>
        <w:t xml:space="preserve">ch fariem. </w:t>
      </w:r>
    </w:p>
    <w:p w:rsidR="006E7C03" w:rsidP="00240287">
      <w:pPr>
        <w:pStyle w:val="ListParagraph"/>
        <w:numPr>
          <w:numId w:val="23"/>
        </w:numPr>
        <w:bidi w:val="0"/>
        <w:ind w:left="357" w:hanging="357"/>
      </w:pPr>
      <w:r>
        <w:rPr>
          <w:rFonts w:hint="default"/>
        </w:rPr>
        <w:t>Medzi podporený</w:t>
      </w:r>
      <w:r>
        <w:rPr>
          <w:rFonts w:hint="default"/>
        </w:rPr>
        <w:t>mi a </w:t>
      </w:r>
      <w:r>
        <w:rPr>
          <w:rFonts w:hint="default"/>
        </w:rPr>
        <w:t>nepodporený</w:t>
      </w:r>
      <w:r>
        <w:rPr>
          <w:rFonts w:hint="default"/>
        </w:rPr>
        <w:t>mi farmami sa postupne zniž</w:t>
      </w:r>
      <w:r>
        <w:rPr>
          <w:rFonts w:hint="default"/>
        </w:rPr>
        <w:t>oval rozdiel v </w:t>
      </w:r>
      <w:r>
        <w:rPr>
          <w:rFonts w:hint="default"/>
        </w:rPr>
        <w:t>celkovom objeme produkcie, najvý</w:t>
      </w:r>
      <w:r>
        <w:rPr>
          <w:rFonts w:hint="default"/>
        </w:rPr>
        <w:t>razne</w:t>
      </w:r>
      <w:r>
        <w:rPr>
          <w:rFonts w:hint="default"/>
        </w:rPr>
        <w:t>jš</w:t>
      </w:r>
      <w:r>
        <w:rPr>
          <w:rFonts w:hint="default"/>
        </w:rPr>
        <w:t xml:space="preserve">ie v integrovanej produkcii, ochrane </w:t>
      </w:r>
      <w:r w:rsidRPr="00F70EED">
        <w:rPr>
          <w:rFonts w:hint="default"/>
        </w:rPr>
        <w:t>vybraný</w:t>
      </w:r>
      <w:r w:rsidRPr="00F70EED">
        <w:rPr>
          <w:rFonts w:hint="default"/>
        </w:rPr>
        <w:t>ch biotopov trá</w:t>
      </w:r>
      <w:r w:rsidRPr="00F70EED">
        <w:rPr>
          <w:rFonts w:hint="default"/>
        </w:rPr>
        <w:t>vnych porastov</w:t>
      </w:r>
      <w:r>
        <w:rPr>
          <w:rFonts w:hint="default"/>
        </w:rPr>
        <w:t>, zá</w:t>
      </w:r>
      <w:r>
        <w:rPr>
          <w:rFonts w:hint="default"/>
        </w:rPr>
        <w:t>kladnej sché</w:t>
      </w:r>
      <w:r>
        <w:rPr>
          <w:rFonts w:hint="default"/>
        </w:rPr>
        <w:t xml:space="preserve">me a </w:t>
      </w:r>
      <w:r w:rsidRPr="00F70EED">
        <w:rPr>
          <w:rFonts w:hint="default"/>
        </w:rPr>
        <w:t>zatrá</w:t>
      </w:r>
      <w:r w:rsidRPr="00F70EED">
        <w:rPr>
          <w:rFonts w:hint="default"/>
        </w:rPr>
        <w:t>vň</w:t>
      </w:r>
      <w:r w:rsidRPr="00F70EED">
        <w:rPr>
          <w:rFonts w:hint="default"/>
        </w:rPr>
        <w:t>ovan</w:t>
      </w:r>
      <w:r>
        <w:rPr>
          <w:rFonts w:hint="default"/>
        </w:rPr>
        <w:t>í</w:t>
      </w:r>
      <w:r w:rsidRPr="00F70EED">
        <w:rPr>
          <w:rFonts w:hint="default"/>
        </w:rPr>
        <w:t xml:space="preserve"> ornej pô</w:t>
      </w:r>
      <w:r w:rsidRPr="00F70EED">
        <w:rPr>
          <w:rFonts w:hint="default"/>
        </w:rPr>
        <w:t>dy</w:t>
      </w:r>
      <w:r>
        <w:t>.</w:t>
      </w:r>
    </w:p>
    <w:p w:rsidR="006E7C03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>
        <w:rPr>
          <w:rFonts w:hint="default"/>
        </w:rPr>
        <w:t>Podpora AEO vš</w:t>
      </w:r>
      <w:r>
        <w:rPr>
          <w:rFonts w:hint="default"/>
        </w:rPr>
        <w:t>eobecne neprispela k rastu pridanej hodnoty v por</w:t>
      </w:r>
      <w:r w:rsidR="00BB12D1">
        <w:rPr>
          <w:rFonts w:hint="default"/>
        </w:rPr>
        <w:t>ovnaní</w:t>
      </w:r>
      <w:r w:rsidR="00BB12D1">
        <w:rPr>
          <w:rFonts w:hint="default"/>
        </w:rPr>
        <w:t xml:space="preserve"> s </w:t>
      </w:r>
      <w:r w:rsidR="00BB12D1">
        <w:rPr>
          <w:rFonts w:hint="default"/>
        </w:rPr>
        <w:t>nepodporený</w:t>
      </w:r>
      <w:r w:rsidR="00BB12D1">
        <w:rPr>
          <w:rFonts w:hint="default"/>
        </w:rPr>
        <w:t>mi farmami, ale</w:t>
      </w:r>
      <w:r>
        <w:t xml:space="preserve"> </w:t>
      </w:r>
      <w:r w:rsidR="00BB12D1">
        <w:t xml:space="preserve">ju stabilizovala. </w:t>
      </w:r>
      <w:r>
        <w:rPr>
          <w:rFonts w:hint="default"/>
        </w:rPr>
        <w:t>Vý</w:t>
      </w:r>
      <w:r>
        <w:rPr>
          <w:rFonts w:hint="default"/>
        </w:rPr>
        <w:t>nimkou sú</w:t>
      </w:r>
      <w:r>
        <w:rPr>
          <w:rFonts w:hint="default"/>
        </w:rPr>
        <w:t xml:space="preserve"> opatre</w:t>
      </w:r>
      <w:r>
        <w:rPr>
          <w:rFonts w:hint="default"/>
        </w:rPr>
        <w:t>nia integrovaná</w:t>
      </w:r>
      <w:r>
        <w:rPr>
          <w:rFonts w:hint="default"/>
        </w:rPr>
        <w:t xml:space="preserve"> produkcia (okrem zeleniny), </w:t>
      </w:r>
      <w:r w:rsidRPr="00F70EED">
        <w:rPr>
          <w:rFonts w:hint="default"/>
        </w:rPr>
        <w:t>zatrá</w:t>
      </w:r>
      <w:r w:rsidRPr="00F70EED">
        <w:rPr>
          <w:rFonts w:hint="default"/>
        </w:rPr>
        <w:t>vň</w:t>
      </w:r>
      <w:r w:rsidRPr="00F70EED">
        <w:rPr>
          <w:rFonts w:hint="default"/>
        </w:rPr>
        <w:t>ovan</w:t>
      </w:r>
      <w:r>
        <w:t>ie</w:t>
      </w:r>
      <w:r w:rsidRPr="00F70EED">
        <w:rPr>
          <w:rFonts w:hint="default"/>
        </w:rPr>
        <w:t xml:space="preserve"> ornej pô</w:t>
      </w:r>
      <w:r w:rsidRPr="00F70EED">
        <w:rPr>
          <w:rFonts w:hint="default"/>
        </w:rPr>
        <w:t>dy</w:t>
      </w:r>
      <w:r>
        <w:t xml:space="preserve"> a </w:t>
      </w:r>
      <w:r>
        <w:rPr>
          <w:rFonts w:hint="default"/>
        </w:rPr>
        <w:t>ekologické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 xml:space="preserve">rstvo. </w:t>
      </w:r>
    </w:p>
    <w:p w:rsidR="006E7C03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>
        <w:rPr>
          <w:rFonts w:hint="default"/>
        </w:rPr>
        <w:t>Podpora AEO, v </w:t>
      </w:r>
      <w:r>
        <w:rPr>
          <w:rFonts w:hint="default"/>
        </w:rPr>
        <w:t>porovnaní</w:t>
      </w:r>
      <w:r>
        <w:rPr>
          <w:rFonts w:hint="default"/>
        </w:rPr>
        <w:t xml:space="preserve"> s </w:t>
      </w:r>
      <w:r>
        <w:rPr>
          <w:rFonts w:hint="default"/>
        </w:rPr>
        <w:t>nepodporený</w:t>
      </w:r>
      <w:r>
        <w:rPr>
          <w:rFonts w:hint="default"/>
        </w:rPr>
        <w:t xml:space="preserve">mi farmami, </w:t>
      </w:r>
      <w:r w:rsidR="00E249DE">
        <w:t>stabilizovala zisk</w:t>
      </w:r>
      <w:r>
        <w:rPr>
          <w:rFonts w:hint="default"/>
        </w:rPr>
        <w:t xml:space="preserve"> fariem zaradený</w:t>
      </w:r>
      <w:r>
        <w:rPr>
          <w:rFonts w:hint="default"/>
        </w:rPr>
        <w:t>ch v </w:t>
      </w:r>
      <w:r>
        <w:rPr>
          <w:rFonts w:hint="default"/>
        </w:rPr>
        <w:t>tý</w:t>
      </w:r>
      <w:r>
        <w:rPr>
          <w:rFonts w:hint="default"/>
        </w:rPr>
        <w:t xml:space="preserve">chto opatreniach. </w:t>
      </w:r>
      <w:r w:rsidR="00E249DE">
        <w:rPr>
          <w:rFonts w:hint="default"/>
        </w:rPr>
        <w:t>Najvý</w:t>
      </w:r>
      <w:r w:rsidR="00E249DE">
        <w:rPr>
          <w:rFonts w:hint="default"/>
        </w:rPr>
        <w:t>raznejš</w:t>
      </w:r>
      <w:r w:rsidR="00E249DE">
        <w:rPr>
          <w:rFonts w:hint="default"/>
        </w:rPr>
        <w:t>ie</w:t>
      </w:r>
      <w:r>
        <w:t xml:space="preserve"> to bolo </w:t>
      </w:r>
      <w:r w:rsidR="00AB4746">
        <w:t>pri</w:t>
      </w:r>
      <w:r>
        <w:t> </w:t>
      </w:r>
      <w:r>
        <w:t>opatren</w:t>
      </w:r>
      <w:r w:rsidR="00AB4746">
        <w:t>iach</w:t>
      </w:r>
      <w:r>
        <w:t xml:space="preserve"> </w:t>
      </w:r>
      <w:r w:rsidRPr="00F70EED">
        <w:rPr>
          <w:rFonts w:hint="default"/>
        </w:rPr>
        <w:t>zatrá</w:t>
      </w:r>
      <w:r w:rsidRPr="00F70EED">
        <w:rPr>
          <w:rFonts w:hint="default"/>
        </w:rPr>
        <w:t>v</w:t>
      </w:r>
      <w:r w:rsidRPr="00F70EED">
        <w:rPr>
          <w:rFonts w:hint="default"/>
        </w:rPr>
        <w:t>ň</w:t>
      </w:r>
      <w:r w:rsidRPr="00F70EED">
        <w:rPr>
          <w:rFonts w:hint="default"/>
        </w:rPr>
        <w:t>ovan</w:t>
      </w:r>
      <w:r>
        <w:t>ia</w:t>
      </w:r>
      <w:r w:rsidRPr="00F70EED">
        <w:rPr>
          <w:rFonts w:hint="default"/>
        </w:rPr>
        <w:t xml:space="preserve"> ornej pô</w:t>
      </w:r>
      <w:r w:rsidRPr="00F70EED">
        <w:rPr>
          <w:rFonts w:hint="default"/>
        </w:rPr>
        <w:t>dy</w:t>
      </w:r>
      <w:r>
        <w:t xml:space="preserve">, ochrane </w:t>
      </w:r>
      <w:r w:rsidRPr="00F70EED">
        <w:rPr>
          <w:rFonts w:hint="default"/>
        </w:rPr>
        <w:t>vybraný</w:t>
      </w:r>
      <w:r w:rsidRPr="00F70EED">
        <w:rPr>
          <w:rFonts w:hint="default"/>
        </w:rPr>
        <w:t>ch biotopov trá</w:t>
      </w:r>
      <w:r w:rsidRPr="00F70EED">
        <w:rPr>
          <w:rFonts w:hint="default"/>
        </w:rPr>
        <w:t>vnych porastov</w:t>
      </w:r>
      <w:r>
        <w:t>, v </w:t>
      </w:r>
      <w:r>
        <w:rPr>
          <w:rFonts w:hint="default"/>
        </w:rPr>
        <w:t>integrovanej produkcii vinohradov, zá</w:t>
      </w:r>
      <w:r>
        <w:rPr>
          <w:rFonts w:hint="default"/>
        </w:rPr>
        <w:t>kladnej sché</w:t>
      </w:r>
      <w:r>
        <w:rPr>
          <w:rFonts w:hint="default"/>
        </w:rPr>
        <w:t>me, ochrane proti eró</w:t>
      </w:r>
      <w:r>
        <w:rPr>
          <w:rFonts w:hint="default"/>
        </w:rPr>
        <w:t>zii a </w:t>
      </w:r>
      <w:r>
        <w:rPr>
          <w:rFonts w:hint="default"/>
        </w:rPr>
        <w:t>ekologické</w:t>
      </w:r>
      <w:r>
        <w:rPr>
          <w:rFonts w:hint="default"/>
        </w:rPr>
        <w:t>ho poľ</w:t>
      </w:r>
      <w:r>
        <w:rPr>
          <w:rFonts w:hint="default"/>
        </w:rPr>
        <w:t>nohospodá</w:t>
      </w:r>
      <w:r>
        <w:rPr>
          <w:rFonts w:hint="default"/>
        </w:rPr>
        <w:t>rstva. Tento efekt je vý</w:t>
      </w:r>
      <w:r>
        <w:rPr>
          <w:rFonts w:hint="default"/>
        </w:rPr>
        <w:t>sledkom extenzifiká</w:t>
      </w:r>
      <w:r>
        <w:rPr>
          <w:rFonts w:hint="default"/>
        </w:rPr>
        <w:t>cie produkcie a </w:t>
      </w:r>
      <w:r>
        <w:rPr>
          <w:rFonts w:hint="default"/>
        </w:rPr>
        <w:t>eliminá</w:t>
      </w:r>
      <w:r>
        <w:rPr>
          <w:rFonts w:hint="default"/>
        </w:rPr>
        <w:t>cie ná</w:t>
      </w:r>
      <w:r>
        <w:rPr>
          <w:rFonts w:hint="default"/>
        </w:rPr>
        <w:t>kladovo ná</w:t>
      </w:r>
      <w:r>
        <w:rPr>
          <w:rFonts w:hint="default"/>
        </w:rPr>
        <w:t>roč</w:t>
      </w:r>
      <w:r>
        <w:rPr>
          <w:rFonts w:hint="default"/>
        </w:rPr>
        <w:t>ne</w:t>
      </w:r>
      <w:r>
        <w:rPr>
          <w:rFonts w:hint="default"/>
        </w:rPr>
        <w:t>jší</w:t>
      </w:r>
      <w:r>
        <w:rPr>
          <w:rFonts w:hint="default"/>
        </w:rPr>
        <w:t>ch vý</w:t>
      </w:r>
      <w:r>
        <w:rPr>
          <w:rFonts w:hint="default"/>
        </w:rPr>
        <w:t>robkov z </w:t>
      </w:r>
      <w:r>
        <w:rPr>
          <w:rFonts w:hint="default"/>
        </w:rPr>
        <w:t>produkč</w:t>
      </w:r>
      <w:r>
        <w:rPr>
          <w:rFonts w:hint="default"/>
        </w:rPr>
        <w:t>ný</w:t>
      </w:r>
      <w:r>
        <w:rPr>
          <w:rFonts w:hint="default"/>
        </w:rPr>
        <w:t>ch systé</w:t>
      </w:r>
      <w:r>
        <w:rPr>
          <w:rFonts w:hint="default"/>
        </w:rPr>
        <w:t>mov fariem.</w:t>
      </w:r>
    </w:p>
    <w:p w:rsidR="006E7C03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>
        <w:rPr>
          <w:rFonts w:hint="default"/>
        </w:rPr>
        <w:t>V </w:t>
      </w:r>
      <w:r>
        <w:rPr>
          <w:rFonts w:hint="default"/>
        </w:rPr>
        <w:t>porovnaní</w:t>
      </w:r>
      <w:r>
        <w:rPr>
          <w:rFonts w:hint="default"/>
        </w:rPr>
        <w:t xml:space="preserve"> s </w:t>
      </w:r>
      <w:r>
        <w:rPr>
          <w:rFonts w:hint="default"/>
        </w:rPr>
        <w:t>nepodporený</w:t>
      </w:r>
      <w:r>
        <w:rPr>
          <w:rFonts w:hint="default"/>
        </w:rPr>
        <w:t>mi farmami v </w:t>
      </w:r>
      <w:r>
        <w:rPr>
          <w:rFonts w:hint="default"/>
        </w:rPr>
        <w:t>prvom období</w:t>
      </w:r>
      <w:r>
        <w:rPr>
          <w:rFonts w:hint="default"/>
        </w:rPr>
        <w:t xml:space="preserve"> (rok 2007 a 2008)</w:t>
      </w:r>
      <w:r>
        <w:rPr>
          <w:rStyle w:val="CommentReference"/>
        </w:rPr>
        <w:t xml:space="preserve"> </w:t>
      </w:r>
      <w:r>
        <w:rPr>
          <w:rFonts w:hint="default"/>
        </w:rPr>
        <w:t xml:space="preserve"> AEO viedli vš</w:t>
      </w:r>
      <w:r>
        <w:rPr>
          <w:rFonts w:hint="default"/>
        </w:rPr>
        <w:t>eobecne k </w:t>
      </w:r>
      <w:r>
        <w:rPr>
          <w:rFonts w:hint="default"/>
        </w:rPr>
        <w:t>zvyš</w:t>
      </w:r>
      <w:r>
        <w:rPr>
          <w:rFonts w:hint="default"/>
        </w:rPr>
        <w:t>ovaniu priemernej vý</w:t>
      </w:r>
      <w:r>
        <w:rPr>
          <w:rFonts w:hint="default"/>
        </w:rPr>
        <w:t xml:space="preserve">mery farmy. </w:t>
      </w:r>
      <w:r w:rsidRPr="00240287">
        <w:rPr>
          <w:rFonts w:hint="default"/>
          <w:i/>
        </w:rPr>
        <w:t>Motivujú</w:t>
      </w:r>
      <w:r w:rsidRPr="00240287">
        <w:rPr>
          <w:rFonts w:hint="default"/>
          <w:i/>
        </w:rPr>
        <w:t>c</w:t>
      </w:r>
      <w:r w:rsidR="00E249DE">
        <w:rPr>
          <w:i/>
        </w:rPr>
        <w:t>e</w:t>
      </w:r>
      <w:r w:rsidRPr="00240287">
        <w:rPr>
          <w:i/>
        </w:rPr>
        <w:t xml:space="preserve"> bolo</w:t>
      </w:r>
      <w:r>
        <w:t xml:space="preserve"> </w:t>
      </w:r>
      <w:r w:rsidRPr="00240287">
        <w:rPr>
          <w:rFonts w:hint="default"/>
          <w:i/>
        </w:rPr>
        <w:t>zvýš</w:t>
      </w:r>
      <w:r w:rsidRPr="00240287">
        <w:rPr>
          <w:rFonts w:hint="default"/>
          <w:i/>
        </w:rPr>
        <w:t>enie absolú</w:t>
      </w:r>
      <w:r w:rsidRPr="00240287">
        <w:rPr>
          <w:rFonts w:hint="default"/>
          <w:i/>
        </w:rPr>
        <w:t>tnej hodnoty prí</w:t>
      </w:r>
      <w:r w:rsidRPr="00240287">
        <w:rPr>
          <w:rFonts w:hint="default"/>
          <w:i/>
        </w:rPr>
        <w:t>jmu</w:t>
      </w:r>
      <w:r>
        <w:t xml:space="preserve"> z </w:t>
      </w:r>
      <w:r>
        <w:rPr>
          <w:rFonts w:hint="default"/>
        </w:rPr>
        <w:t>podpory pri relatí</w:t>
      </w:r>
      <w:r>
        <w:rPr>
          <w:rFonts w:hint="default"/>
        </w:rPr>
        <w:t>vne stabil</w:t>
      </w:r>
      <w:r>
        <w:rPr>
          <w:rFonts w:hint="default"/>
        </w:rPr>
        <w:t>nom poč</w:t>
      </w:r>
      <w:r>
        <w:rPr>
          <w:rFonts w:hint="default"/>
        </w:rPr>
        <w:t>te pracovní</w:t>
      </w:r>
      <w:r>
        <w:rPr>
          <w:rFonts w:hint="default"/>
        </w:rPr>
        <w:t xml:space="preserve">kov. Do roku 2009 </w:t>
      </w:r>
      <w:r w:rsidR="00E249DE">
        <w:t xml:space="preserve">sa </w:t>
      </w:r>
      <w:r>
        <w:rPr>
          <w:rFonts w:hint="default"/>
        </w:rPr>
        <w:t>dosiahlo relatí</w:t>
      </w:r>
      <w:r>
        <w:rPr>
          <w:rFonts w:hint="default"/>
        </w:rPr>
        <w:t>vne zvýš</w:t>
      </w:r>
      <w:r>
        <w:rPr>
          <w:rFonts w:hint="default"/>
        </w:rPr>
        <w:t>enie vý</w:t>
      </w:r>
      <w:r>
        <w:rPr>
          <w:rFonts w:hint="default"/>
        </w:rPr>
        <w:t>mery poľ</w:t>
      </w:r>
      <w:r>
        <w:rPr>
          <w:rFonts w:hint="default"/>
        </w:rPr>
        <w:t>nohospodá</w:t>
      </w:r>
      <w:r>
        <w:rPr>
          <w:rFonts w:hint="default"/>
        </w:rPr>
        <w:t>rskej pô</w:t>
      </w:r>
      <w:r>
        <w:rPr>
          <w:rFonts w:hint="default"/>
        </w:rPr>
        <w:t>dy o </w:t>
      </w:r>
      <w:r>
        <w:rPr>
          <w:rFonts w:hint="default"/>
        </w:rPr>
        <w:t>5 ha na podporenú</w:t>
      </w:r>
      <w:r>
        <w:rPr>
          <w:rFonts w:hint="default"/>
        </w:rPr>
        <w:t xml:space="preserve"> farmu. V </w:t>
      </w:r>
      <w:r>
        <w:rPr>
          <w:rFonts w:hint="default"/>
        </w:rPr>
        <w:t>ekologickom poľ</w:t>
      </w:r>
      <w:r>
        <w:rPr>
          <w:rFonts w:hint="default"/>
        </w:rPr>
        <w:t>nohospodá</w:t>
      </w:r>
      <w:r>
        <w:rPr>
          <w:rFonts w:hint="default"/>
        </w:rPr>
        <w:t>rstve vš</w:t>
      </w:r>
      <w:r>
        <w:rPr>
          <w:rFonts w:hint="default"/>
        </w:rPr>
        <w:t>ak poklesla vý</w:t>
      </w:r>
      <w:r>
        <w:rPr>
          <w:rFonts w:hint="default"/>
        </w:rPr>
        <w:t xml:space="preserve">mera priemernej podporenej farmy o 46 ha.  </w:t>
      </w:r>
    </w:p>
    <w:p w:rsidR="006E7C03" w:rsidP="00240287">
      <w:pPr>
        <w:bidi w:val="0"/>
      </w:pPr>
    </w:p>
    <w:p w:rsidR="006E7C03" w:rsidRPr="002E0A8E" w:rsidP="00240287">
      <w:pPr>
        <w:bidi w:val="0"/>
        <w:rPr>
          <w:i/>
        </w:rPr>
      </w:pPr>
      <w:r w:rsidRPr="0055702A">
        <w:t>Z </w:t>
      </w:r>
      <w:r w:rsidRPr="0055702A">
        <w:rPr>
          <w:rFonts w:hint="default"/>
        </w:rPr>
        <w:t>hodnotenia tej istej vzorky na ú</w:t>
      </w:r>
      <w:r w:rsidRPr="0055702A">
        <w:rPr>
          <w:rFonts w:hint="default"/>
        </w:rPr>
        <w:t>rovni</w:t>
      </w:r>
      <w:r w:rsidRPr="0055702A">
        <w:rPr>
          <w:rFonts w:hint="default"/>
        </w:rPr>
        <w:t xml:space="preserve"> krajov Slovenska (NUTS 3) vyplynuli nasledujú</w:t>
      </w:r>
      <w:r w:rsidRPr="0055702A">
        <w:rPr>
          <w:rFonts w:hint="default"/>
        </w:rPr>
        <w:t>ce zá</w:t>
      </w:r>
      <w:r w:rsidRPr="0055702A">
        <w:rPr>
          <w:rFonts w:hint="default"/>
        </w:rPr>
        <w:t>very</w:t>
      </w:r>
      <w:r w:rsidRPr="002E0A8E">
        <w:rPr>
          <w:i/>
        </w:rPr>
        <w:t>:</w:t>
      </w:r>
    </w:p>
    <w:p w:rsidR="006E7C03" w:rsidRPr="00240287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 w:rsidRPr="00240287">
        <w:t>Podpora AEO prispela k </w:t>
      </w:r>
      <w:r w:rsidRPr="00240287">
        <w:rPr>
          <w:rFonts w:hint="default"/>
        </w:rPr>
        <w:t>relatí</w:t>
      </w:r>
      <w:r w:rsidRPr="00240287">
        <w:rPr>
          <w:rFonts w:hint="default"/>
        </w:rPr>
        <w:t>vnemu rastu majetku u </w:t>
      </w:r>
      <w:r w:rsidRPr="00240287">
        <w:rPr>
          <w:rFonts w:hint="default"/>
        </w:rPr>
        <w:t>podporený</w:t>
      </w:r>
      <w:r w:rsidRPr="00240287">
        <w:rPr>
          <w:rFonts w:hint="default"/>
        </w:rPr>
        <w:t xml:space="preserve">ch </w:t>
      </w:r>
      <w:r w:rsidR="00E249DE">
        <w:t>k</w:t>
      </w:r>
      <w:r w:rsidRPr="00240287">
        <w:rPr>
          <w:rFonts w:hint="default"/>
        </w:rPr>
        <w:t xml:space="preserve"> nepodporený</w:t>
      </w:r>
      <w:r w:rsidRPr="00240287">
        <w:rPr>
          <w:rFonts w:hint="default"/>
        </w:rPr>
        <w:t>m  farmá</w:t>
      </w:r>
      <w:r w:rsidRPr="00240287">
        <w:rPr>
          <w:rFonts w:hint="default"/>
        </w:rPr>
        <w:t>m hlavne v </w:t>
      </w:r>
      <w:r w:rsidR="00D36861">
        <w:t>krajoch BB, NR, PO a ZA. Naopak</w:t>
      </w:r>
      <w:r w:rsidRPr="00240287">
        <w:t xml:space="preserve"> v krajoch TN, KE, TT a </w:t>
      </w:r>
      <w:r w:rsidRPr="00240287">
        <w:rPr>
          <w:rFonts w:hint="default"/>
        </w:rPr>
        <w:t>BA majetok relatí</w:t>
      </w:r>
      <w:r w:rsidRPr="00240287">
        <w:rPr>
          <w:rFonts w:hint="default"/>
        </w:rPr>
        <w:t>vne klesal. Vš</w:t>
      </w:r>
      <w:r w:rsidRPr="00240287">
        <w:rPr>
          <w:rFonts w:hint="default"/>
        </w:rPr>
        <w:t>eobecne, u </w:t>
      </w:r>
      <w:r w:rsidRPr="00240287">
        <w:rPr>
          <w:rFonts w:hint="default"/>
        </w:rPr>
        <w:t>prá</w:t>
      </w:r>
      <w:r w:rsidRPr="00240287">
        <w:rPr>
          <w:rFonts w:hint="default"/>
        </w:rPr>
        <w:t>vnic</w:t>
      </w:r>
      <w:r w:rsidRPr="00240287">
        <w:rPr>
          <w:rFonts w:hint="default"/>
        </w:rPr>
        <w:t>ký</w:t>
      </w:r>
      <w:r w:rsidRPr="00240287">
        <w:rPr>
          <w:rFonts w:hint="default"/>
        </w:rPr>
        <w:t>ch osô</w:t>
      </w:r>
      <w:r w:rsidRPr="00240287">
        <w:rPr>
          <w:rFonts w:hint="default"/>
        </w:rPr>
        <w:t>b (PO) rá</w:t>
      </w:r>
      <w:r w:rsidRPr="00240287">
        <w:rPr>
          <w:rFonts w:hint="default"/>
        </w:rPr>
        <w:t>stol, ale vý</w:t>
      </w:r>
      <w:r w:rsidRPr="00240287">
        <w:rPr>
          <w:rFonts w:hint="default"/>
        </w:rPr>
        <w:t>razne klesal u </w:t>
      </w:r>
      <w:r w:rsidRPr="00240287">
        <w:rPr>
          <w:rFonts w:hint="default"/>
        </w:rPr>
        <w:t>SHR.  Zá</w:t>
      </w:r>
      <w:r w:rsidRPr="00240287">
        <w:rPr>
          <w:rFonts w:hint="default"/>
        </w:rPr>
        <w:t>vä</w:t>
      </w:r>
      <w:r w:rsidRPr="00240287">
        <w:rPr>
          <w:rFonts w:hint="default"/>
        </w:rPr>
        <w:t>zky vš</w:t>
      </w:r>
      <w:r w:rsidRPr="00240287">
        <w:rPr>
          <w:rFonts w:hint="default"/>
        </w:rPr>
        <w:t>ak naopak relatí</w:t>
      </w:r>
      <w:r w:rsidRPr="00240287">
        <w:rPr>
          <w:rFonts w:hint="default"/>
        </w:rPr>
        <w:t>vne klesali u </w:t>
      </w:r>
      <w:r w:rsidRPr="00240287">
        <w:rPr>
          <w:rFonts w:hint="default"/>
        </w:rPr>
        <w:t>prá</w:t>
      </w:r>
      <w:r w:rsidRPr="00240287">
        <w:rPr>
          <w:rFonts w:hint="default"/>
        </w:rPr>
        <w:t>vnický</w:t>
      </w:r>
      <w:r w:rsidRPr="00240287">
        <w:rPr>
          <w:rFonts w:hint="default"/>
        </w:rPr>
        <w:t>ch osô</w:t>
      </w:r>
      <w:r w:rsidRPr="00240287">
        <w:rPr>
          <w:rFonts w:hint="default"/>
        </w:rPr>
        <w:t>b, ale rá</w:t>
      </w:r>
      <w:r w:rsidRPr="00240287">
        <w:rPr>
          <w:rFonts w:hint="default"/>
        </w:rPr>
        <w:t xml:space="preserve">stli u SHR.  </w:t>
      </w:r>
    </w:p>
    <w:p w:rsidR="006E7C03" w:rsidRPr="00240287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 w:rsidRPr="00240287">
        <w:rPr>
          <w:rFonts w:hint="default"/>
        </w:rPr>
        <w:t>Produkcia sa v rokoch 2007</w:t>
      </w:r>
      <w:r w:rsidR="00C0319B">
        <w:t xml:space="preserve"> </w:t>
      </w:r>
      <w:r w:rsidRPr="00240287">
        <w:t>-</w:t>
      </w:r>
      <w:r w:rsidR="00C0319B">
        <w:t xml:space="preserve"> </w:t>
      </w:r>
      <w:r w:rsidRPr="00240287">
        <w:rPr>
          <w:rFonts w:hint="default"/>
        </w:rPr>
        <w:t>2009 relatí</w:t>
      </w:r>
      <w:r w:rsidRPr="00240287">
        <w:rPr>
          <w:rFonts w:hint="default"/>
        </w:rPr>
        <w:t>vne (oproti nepodporený</w:t>
      </w:r>
      <w:r w:rsidRPr="00240287">
        <w:rPr>
          <w:rFonts w:hint="default"/>
        </w:rPr>
        <w:t>m farmá</w:t>
      </w:r>
      <w:r w:rsidRPr="00240287">
        <w:rPr>
          <w:rFonts w:hint="default"/>
        </w:rPr>
        <w:t>m) zvýš</w:t>
      </w:r>
      <w:r w:rsidRPr="00240287">
        <w:rPr>
          <w:rFonts w:hint="default"/>
        </w:rPr>
        <w:t>ila iba v kraji ZA. V </w:t>
      </w:r>
      <w:r w:rsidRPr="00240287">
        <w:rPr>
          <w:rFonts w:hint="default"/>
        </w:rPr>
        <w:t>ostatný</w:t>
      </w:r>
      <w:r w:rsidRPr="00240287">
        <w:rPr>
          <w:rFonts w:hint="default"/>
        </w:rPr>
        <w:t>ch klesla. Pokles u SH</w:t>
      </w:r>
      <w:r w:rsidRPr="00240287">
        <w:rPr>
          <w:rFonts w:hint="default"/>
        </w:rPr>
        <w:t>R bol vý</w:t>
      </w:r>
      <w:r w:rsidRPr="00240287">
        <w:rPr>
          <w:rFonts w:hint="default"/>
        </w:rPr>
        <w:t>raznejší</w:t>
      </w:r>
      <w:r w:rsidRPr="00240287">
        <w:rPr>
          <w:rFonts w:hint="default"/>
        </w:rPr>
        <w:t xml:space="preserve">, ako u PO. </w:t>
      </w:r>
    </w:p>
    <w:p w:rsidR="006E7C03" w:rsidRPr="00240287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 w:rsidRPr="00240287">
        <w:rPr>
          <w:rFonts w:hint="default"/>
        </w:rPr>
        <w:t>Podpora AEO neprispela k </w:t>
      </w:r>
      <w:r w:rsidRPr="00240287">
        <w:rPr>
          <w:rFonts w:hint="default"/>
        </w:rPr>
        <w:t>rastu pridanej hodnoty (resp. menš</w:t>
      </w:r>
      <w:r w:rsidRPr="00240287">
        <w:rPr>
          <w:rFonts w:hint="default"/>
        </w:rPr>
        <w:t>iemu poklesu, ako u </w:t>
      </w:r>
      <w:r w:rsidRPr="00240287">
        <w:rPr>
          <w:rFonts w:hint="default"/>
        </w:rPr>
        <w:t>nepodporený</w:t>
      </w:r>
      <w:r w:rsidRPr="00240287">
        <w:rPr>
          <w:rFonts w:hint="default"/>
        </w:rPr>
        <w:t>ch fariem) ani v jednom z </w:t>
      </w:r>
      <w:r w:rsidRPr="00240287">
        <w:rPr>
          <w:rFonts w:hint="default"/>
        </w:rPr>
        <w:t>krajov Slovenska. Jednoznač</w:t>
      </w:r>
      <w:r w:rsidRPr="00240287">
        <w:rPr>
          <w:rFonts w:hint="default"/>
        </w:rPr>
        <w:t>ne najväčší</w:t>
      </w:r>
      <w:r w:rsidRPr="00240287">
        <w:rPr>
          <w:rFonts w:hint="default"/>
        </w:rPr>
        <w:t xml:space="preserve"> pokles dosiahli kraje TT, NR, TN a </w:t>
      </w:r>
      <w:r w:rsidRPr="00240287">
        <w:rPr>
          <w:rFonts w:hint="default"/>
        </w:rPr>
        <w:t>BA, teda produkč</w:t>
      </w:r>
      <w:r w:rsidRPr="00240287">
        <w:rPr>
          <w:rFonts w:hint="default"/>
        </w:rPr>
        <w:t>né</w:t>
      </w:r>
      <w:r w:rsidRPr="00240287">
        <w:rPr>
          <w:rFonts w:hint="default"/>
        </w:rPr>
        <w:t xml:space="preserve"> oblasti SR. </w:t>
      </w:r>
    </w:p>
    <w:p w:rsidR="006E7C03" w:rsidRPr="00240287" w:rsidP="00240287">
      <w:pPr>
        <w:pStyle w:val="ListParagraph"/>
        <w:numPr>
          <w:numId w:val="23"/>
        </w:numPr>
        <w:bidi w:val="0"/>
        <w:ind w:left="357" w:hanging="357"/>
        <w:rPr>
          <w:rFonts w:hint="default"/>
        </w:rPr>
      </w:pPr>
      <w:r w:rsidRPr="00240287">
        <w:rPr>
          <w:rFonts w:hint="default"/>
        </w:rPr>
        <w:t>Podpo</w:t>
      </w:r>
      <w:r w:rsidRPr="00240287">
        <w:rPr>
          <w:rFonts w:hint="default"/>
        </w:rPr>
        <w:t>ra AEO vš</w:t>
      </w:r>
      <w:r w:rsidRPr="00240287">
        <w:rPr>
          <w:rFonts w:hint="default"/>
        </w:rPr>
        <w:t>ak doteraz viedla k </w:t>
      </w:r>
      <w:r w:rsidRPr="00240287">
        <w:rPr>
          <w:rFonts w:hint="default"/>
        </w:rPr>
        <w:t>pozití</w:t>
      </w:r>
      <w:r w:rsidRPr="00240287">
        <w:rPr>
          <w:rFonts w:hint="default"/>
        </w:rPr>
        <w:t>vnej zmene v </w:t>
      </w:r>
      <w:r w:rsidRPr="00240287">
        <w:rPr>
          <w:rFonts w:hint="default"/>
        </w:rPr>
        <w:t>raste zisku (resp. menš</w:t>
      </w:r>
      <w:r w:rsidRPr="00240287">
        <w:rPr>
          <w:rFonts w:hint="default"/>
        </w:rPr>
        <w:t>iemu poklesu), ako u </w:t>
      </w:r>
      <w:r w:rsidRPr="00240287">
        <w:rPr>
          <w:rFonts w:hint="default"/>
        </w:rPr>
        <w:t>nepodporený</w:t>
      </w:r>
      <w:r w:rsidRPr="00240287">
        <w:rPr>
          <w:rFonts w:hint="default"/>
        </w:rPr>
        <w:t>ch fariem v krajoch ZA a PO a </w:t>
      </w:r>
      <w:r w:rsidRPr="00240287">
        <w:rPr>
          <w:rFonts w:hint="default"/>
        </w:rPr>
        <w:t>č</w:t>
      </w:r>
      <w:r w:rsidRPr="00240287">
        <w:rPr>
          <w:rFonts w:hint="default"/>
        </w:rPr>
        <w:t>iastoč</w:t>
      </w:r>
      <w:r w:rsidRPr="00240287">
        <w:rPr>
          <w:rFonts w:hint="default"/>
        </w:rPr>
        <w:t>ne aj KE, teda hlavne v </w:t>
      </w:r>
      <w:r w:rsidRPr="00240287">
        <w:rPr>
          <w:rFonts w:hint="default"/>
        </w:rPr>
        <w:t>menej produkč</w:t>
      </w:r>
      <w:r w:rsidRPr="00240287">
        <w:rPr>
          <w:rFonts w:hint="default"/>
        </w:rPr>
        <w:t>ný</w:t>
      </w:r>
      <w:r w:rsidRPr="00240287">
        <w:rPr>
          <w:rFonts w:hint="default"/>
        </w:rPr>
        <w:t>ch oblastiach Slovenska. Negatí</w:t>
      </w:r>
      <w:r w:rsidRPr="00240287">
        <w:rPr>
          <w:rFonts w:hint="default"/>
        </w:rPr>
        <w:t>vny vý</w:t>
      </w:r>
      <w:r w:rsidRPr="00240287">
        <w:rPr>
          <w:rFonts w:hint="default"/>
        </w:rPr>
        <w:t xml:space="preserve">voj </w:t>
      </w:r>
      <w:r w:rsidR="00E249DE">
        <w:t>bol</w:t>
      </w:r>
      <w:r w:rsidRPr="00240287">
        <w:t xml:space="preserve"> v krajoch NR, TT, TN, BA a BB, t</w:t>
      </w:r>
      <w:r w:rsidRPr="00240287">
        <w:t>eda hlavne v </w:t>
      </w:r>
      <w:r w:rsidRPr="00240287">
        <w:rPr>
          <w:rFonts w:hint="default"/>
        </w:rPr>
        <w:t>produkč</w:t>
      </w:r>
      <w:r w:rsidRPr="00240287">
        <w:rPr>
          <w:rFonts w:hint="default"/>
        </w:rPr>
        <w:t>ný</w:t>
      </w:r>
      <w:r w:rsidRPr="00240287">
        <w:rPr>
          <w:rFonts w:hint="default"/>
        </w:rPr>
        <w:t>ch regió</w:t>
      </w:r>
      <w:r w:rsidRPr="00240287">
        <w:rPr>
          <w:rFonts w:hint="default"/>
        </w:rPr>
        <w:t xml:space="preserve">noch Slovenska. </w:t>
      </w:r>
    </w:p>
    <w:p w:rsidR="006E7C03" w:rsidRPr="00240287" w:rsidP="00240287">
      <w:pPr>
        <w:pStyle w:val="ListParagraph"/>
        <w:numPr>
          <w:numId w:val="23"/>
        </w:numPr>
        <w:bidi w:val="0"/>
        <w:ind w:left="357" w:hanging="357"/>
      </w:pPr>
      <w:r w:rsidRPr="00240287">
        <w:rPr>
          <w:rFonts w:hint="default"/>
        </w:rPr>
        <w:t xml:space="preserve">Podpora AEO </w:t>
      </w:r>
      <w:r w:rsidR="00E249DE">
        <w:t>prispela</w:t>
      </w:r>
      <w:r w:rsidRPr="00240287">
        <w:t xml:space="preserve"> k </w:t>
      </w:r>
      <w:r w:rsidRPr="00240287">
        <w:rPr>
          <w:rFonts w:hint="default"/>
        </w:rPr>
        <w:t>zvyš</w:t>
      </w:r>
      <w:r w:rsidRPr="00240287">
        <w:rPr>
          <w:rFonts w:hint="default"/>
        </w:rPr>
        <w:t>ovaniu priemernej vý</w:t>
      </w:r>
      <w:r w:rsidRPr="00240287">
        <w:rPr>
          <w:rFonts w:hint="default"/>
        </w:rPr>
        <w:t>mery podporenej farmy v krajoch PO, NR, TT a TN. V </w:t>
      </w:r>
      <w:r w:rsidRPr="00240287">
        <w:rPr>
          <w:rFonts w:hint="default"/>
        </w:rPr>
        <w:t>ostatný</w:t>
      </w:r>
      <w:r w:rsidRPr="00240287">
        <w:rPr>
          <w:rFonts w:hint="default"/>
        </w:rPr>
        <w:t>ch podporený</w:t>
      </w:r>
      <w:r w:rsidRPr="00240287">
        <w:rPr>
          <w:rFonts w:hint="default"/>
        </w:rPr>
        <w:t xml:space="preserve">ch </w:t>
      </w:r>
      <w:r w:rsidR="00E249DE">
        <w:rPr>
          <w:rFonts w:hint="default"/>
        </w:rPr>
        <w:t>farmá</w:t>
      </w:r>
      <w:r w:rsidR="00E249DE">
        <w:rPr>
          <w:rFonts w:hint="default"/>
        </w:rPr>
        <w:t>ch oproti nepodporený</w:t>
      </w:r>
      <w:r w:rsidR="00E249DE">
        <w:rPr>
          <w:rFonts w:hint="default"/>
        </w:rPr>
        <w:t>m, poklesli vý</w:t>
      </w:r>
      <w:r w:rsidR="00E249DE">
        <w:rPr>
          <w:rFonts w:hint="default"/>
        </w:rPr>
        <w:t>mery</w:t>
      </w:r>
      <w:r w:rsidRPr="00240287">
        <w:t xml:space="preserve"> najviac v krajoch BA (o 98 ha) a BB (o 88 ha</w:t>
      </w:r>
      <w:r w:rsidRPr="00240287">
        <w:t xml:space="preserve">).  </w:t>
      </w:r>
    </w:p>
    <w:p w:rsidR="006E7C03" w:rsidRPr="00333F1C" w:rsidP="006E7C03">
      <w:pPr>
        <w:pStyle w:val="Normln12"/>
        <w:bidi w:val="0"/>
        <w:spacing w:line="240" w:lineRule="auto"/>
        <w:ind w:left="340" w:firstLine="0"/>
        <w:rPr>
          <w:rFonts w:ascii="Times New Roman" w:hAnsi="Times New Roman"/>
          <w:lang w:val="sk-SK"/>
        </w:rPr>
      </w:pPr>
    </w:p>
    <w:p w:rsidR="006E7C03" w:rsidP="00D31CBB">
      <w:pPr>
        <w:widowControl w:val="0"/>
        <w:bidi w:val="0"/>
        <w:ind w:firstLine="0"/>
        <w:rPr>
          <w:b/>
          <w:lang w:eastAsia="cs-CZ"/>
        </w:rPr>
      </w:pPr>
      <w:r>
        <w:rPr>
          <w:rFonts w:hint="default"/>
          <w:b/>
          <w:lang w:eastAsia="cs-CZ"/>
        </w:rPr>
        <w:t>Operač</w:t>
      </w:r>
      <w:r>
        <w:rPr>
          <w:rFonts w:hint="default"/>
          <w:b/>
          <w:lang w:eastAsia="cs-CZ"/>
        </w:rPr>
        <w:t>ný</w:t>
      </w:r>
      <w:r>
        <w:rPr>
          <w:rFonts w:hint="default"/>
          <w:b/>
          <w:lang w:eastAsia="cs-CZ"/>
        </w:rPr>
        <w:t xml:space="preserve"> program Rybné</w:t>
      </w:r>
      <w:r>
        <w:rPr>
          <w:rFonts w:hint="default"/>
          <w:b/>
          <w:lang w:eastAsia="cs-CZ"/>
        </w:rPr>
        <w:t xml:space="preserve"> </w:t>
      </w:r>
      <w:r w:rsidRPr="00196586">
        <w:rPr>
          <w:rFonts w:hint="default"/>
          <w:b/>
          <w:lang w:eastAsia="cs-CZ"/>
        </w:rPr>
        <w:t>hospodá</w:t>
      </w:r>
      <w:r w:rsidRPr="00196586">
        <w:rPr>
          <w:rFonts w:hint="default"/>
          <w:b/>
          <w:lang w:eastAsia="cs-CZ"/>
        </w:rPr>
        <w:t xml:space="preserve">rstvo SR 2007 </w:t>
      </w:r>
      <w:r w:rsidRPr="00196586">
        <w:rPr>
          <w:rFonts w:hint="default"/>
          <w:b/>
          <w:lang w:eastAsia="cs-CZ"/>
        </w:rPr>
        <w:t>–</w:t>
      </w:r>
      <w:r w:rsidRPr="00196586">
        <w:rPr>
          <w:rFonts w:hint="default"/>
          <w:b/>
          <w:lang w:eastAsia="cs-CZ"/>
        </w:rPr>
        <w:t xml:space="preserve"> 2013</w:t>
      </w:r>
    </w:p>
    <w:p w:rsidR="006E7C03" w:rsidP="006E7C03">
      <w:pPr>
        <w:tabs>
          <w:tab w:val="num" w:pos="540"/>
        </w:tabs>
        <w:bidi w:val="0"/>
      </w:pPr>
      <w:r w:rsidRPr="00C06390">
        <w:rPr>
          <w:rFonts w:hint="default"/>
        </w:rPr>
        <w:t>Operač</w:t>
      </w:r>
      <w:r w:rsidRPr="00C06390">
        <w:rPr>
          <w:rFonts w:hint="default"/>
        </w:rPr>
        <w:t>ný</w:t>
      </w:r>
      <w:r w:rsidRPr="00C06390">
        <w:rPr>
          <w:rFonts w:hint="default"/>
        </w:rPr>
        <w:t xml:space="preserve"> program Rybné</w:t>
      </w:r>
      <w:r w:rsidRPr="00C06390">
        <w:rPr>
          <w:rFonts w:hint="default"/>
        </w:rPr>
        <w:t xml:space="preserve"> hospodá</w:t>
      </w:r>
      <w:r w:rsidRPr="00C06390">
        <w:rPr>
          <w:rFonts w:hint="default"/>
        </w:rPr>
        <w:t xml:space="preserve">rstvo </w:t>
      </w:r>
      <w:r>
        <w:t xml:space="preserve">SR 2007 </w:t>
      </w:r>
      <w:r>
        <w:rPr>
          <w:rFonts w:hint="default"/>
        </w:rPr>
        <w:t>–</w:t>
      </w:r>
      <w:r>
        <w:rPr>
          <w:rFonts w:hint="default"/>
        </w:rPr>
        <w:t xml:space="preserve"> 2013 </w:t>
      </w:r>
      <w:r w:rsidRPr="00C06390">
        <w:rPr>
          <w:rFonts w:hint="default"/>
        </w:rPr>
        <w:t>(OPRH), vypracovaný</w:t>
      </w:r>
      <w:r w:rsidRPr="00C06390">
        <w:rPr>
          <w:rFonts w:hint="default"/>
        </w:rPr>
        <w:t xml:space="preserve"> v </w:t>
      </w:r>
      <w:r w:rsidRPr="00C06390">
        <w:rPr>
          <w:rFonts w:hint="default"/>
        </w:rPr>
        <w:t>sú</w:t>
      </w:r>
      <w:r w:rsidRPr="00C06390">
        <w:rPr>
          <w:rFonts w:hint="default"/>
        </w:rPr>
        <w:t>lade s </w:t>
      </w:r>
      <w:r w:rsidRPr="00C06390">
        <w:rPr>
          <w:rFonts w:hint="default"/>
        </w:rPr>
        <w:t>nariadení</w:t>
      </w:r>
      <w:r w:rsidRPr="00C06390">
        <w:rPr>
          <w:rFonts w:hint="default"/>
        </w:rPr>
        <w:t>m Rady (ES) č</w:t>
      </w:r>
      <w:r w:rsidRPr="00C06390">
        <w:rPr>
          <w:rFonts w:hint="default"/>
        </w:rPr>
        <w:t>. 1198/2006 o </w:t>
      </w:r>
      <w:r w:rsidRPr="00C06390">
        <w:rPr>
          <w:rFonts w:hint="default"/>
        </w:rPr>
        <w:t>Euró</w:t>
      </w:r>
      <w:r w:rsidRPr="00C06390">
        <w:rPr>
          <w:rFonts w:hint="default"/>
        </w:rPr>
        <w:t>pskom fonde</w:t>
      </w:r>
      <w:r>
        <w:t xml:space="preserve"> pre</w:t>
      </w:r>
      <w:r w:rsidRPr="00C06390">
        <w:t xml:space="preserve"> </w:t>
      </w:r>
      <w:r>
        <w:t>r</w:t>
      </w:r>
      <w:r w:rsidRPr="00C06390">
        <w:rPr>
          <w:rFonts w:hint="default"/>
        </w:rPr>
        <w:t>ybné</w:t>
      </w:r>
      <w:r w:rsidRPr="00C06390">
        <w:rPr>
          <w:rFonts w:hint="default"/>
        </w:rPr>
        <w:t xml:space="preserve"> hospodá</w:t>
      </w:r>
      <w:r w:rsidRPr="00C06390">
        <w:rPr>
          <w:rFonts w:hint="default"/>
        </w:rPr>
        <w:t>rstvo</w:t>
      </w:r>
      <w:r>
        <w:t xml:space="preserve"> (EFRH)</w:t>
      </w:r>
      <w:r w:rsidRPr="00C06390">
        <w:t xml:space="preserve"> a </w:t>
      </w:r>
      <w:r w:rsidRPr="00C06390">
        <w:rPr>
          <w:rFonts w:hint="default"/>
        </w:rPr>
        <w:t>vykoná</w:t>
      </w:r>
      <w:r w:rsidRPr="00C06390">
        <w:rPr>
          <w:rFonts w:hint="default"/>
        </w:rPr>
        <w:t>vací</w:t>
      </w:r>
      <w:r w:rsidRPr="00C06390">
        <w:rPr>
          <w:rFonts w:hint="default"/>
        </w:rPr>
        <w:t>m nariadení</w:t>
      </w:r>
      <w:r w:rsidRPr="00C06390">
        <w:rPr>
          <w:rFonts w:hint="default"/>
        </w:rPr>
        <w:t>m Komisie (E</w:t>
      </w:r>
      <w:r w:rsidRPr="00C06390">
        <w:rPr>
          <w:rFonts w:hint="default"/>
        </w:rPr>
        <w:t>S) č</w:t>
      </w:r>
      <w:r w:rsidRPr="00C06390">
        <w:rPr>
          <w:rFonts w:hint="default"/>
        </w:rPr>
        <w:t>. 498/2007, bol schvá</w:t>
      </w:r>
      <w:r w:rsidRPr="00C06390">
        <w:rPr>
          <w:rFonts w:hint="default"/>
        </w:rPr>
        <w:t>lený</w:t>
      </w:r>
      <w:r w:rsidRPr="00C06390">
        <w:rPr>
          <w:rFonts w:hint="default"/>
        </w:rPr>
        <w:t xml:space="preserve"> rozhodnutí</w:t>
      </w:r>
      <w:r w:rsidRPr="00C06390">
        <w:rPr>
          <w:rFonts w:hint="default"/>
        </w:rPr>
        <w:t>m Komisie K</w:t>
      </w:r>
      <w:r w:rsidR="00D36861">
        <w:t> </w:t>
      </w:r>
      <w:r w:rsidRPr="00C06390">
        <w:rPr>
          <w:rFonts w:hint="default"/>
        </w:rPr>
        <w:t>(2007) 6153 dň</w:t>
      </w:r>
      <w:r w:rsidRPr="00C06390">
        <w:rPr>
          <w:rFonts w:hint="default"/>
        </w:rPr>
        <w:t xml:space="preserve">a 04.12.2007. </w:t>
      </w:r>
    </w:p>
    <w:p w:rsidR="006E7C03" w:rsidRPr="00C06390" w:rsidP="006E7C03">
      <w:pPr>
        <w:bidi w:val="0"/>
        <w:ind w:firstLine="708"/>
      </w:pPr>
      <w:r>
        <w:rPr>
          <w:rFonts w:hint="default"/>
        </w:rPr>
        <w:t>OPRH sa vzť</w:t>
      </w:r>
      <w:r>
        <w:rPr>
          <w:rFonts w:hint="default"/>
        </w:rPr>
        <w:t>ahuje na celé</w:t>
      </w:r>
      <w:r>
        <w:rPr>
          <w:rFonts w:hint="default"/>
        </w:rPr>
        <w:t xml:space="preserve"> ú</w:t>
      </w:r>
      <w:r>
        <w:rPr>
          <w:rFonts w:hint="default"/>
        </w:rPr>
        <w:t>zemie Slovenskej republiky, ktoré</w:t>
      </w:r>
      <w:r>
        <w:rPr>
          <w:rFonts w:hint="default"/>
        </w:rPr>
        <w:t xml:space="preserve"> je </w:t>
      </w:r>
      <w:r w:rsidR="00D31CBB">
        <w:rPr>
          <w:rFonts w:hint="default"/>
        </w:rPr>
        <w:t>rozdelené</w:t>
      </w:r>
      <w:r w:rsidR="00D31CBB">
        <w:rPr>
          <w:rFonts w:hint="default"/>
        </w:rPr>
        <w:t xml:space="preserve"> na cieľ</w:t>
      </w:r>
      <w:r w:rsidR="00D31CBB">
        <w:rPr>
          <w:rFonts w:hint="default"/>
        </w:rPr>
        <w:t xml:space="preserve"> Konvergencia </w:t>
      </w:r>
      <w:r>
        <w:rPr>
          <w:rFonts w:hint="default"/>
        </w:rPr>
        <w:t>(Trnavský</w:t>
      </w:r>
      <w:r>
        <w:rPr>
          <w:rFonts w:hint="default"/>
        </w:rPr>
        <w:t xml:space="preserve"> kraj, </w:t>
      </w:r>
      <w:r w:rsidRPr="00620D0C">
        <w:t>N</w:t>
      </w:r>
      <w:r>
        <w:rPr>
          <w:rFonts w:hint="default"/>
        </w:rPr>
        <w:t>itriansky kraj, Trenč</w:t>
      </w:r>
      <w:r>
        <w:rPr>
          <w:rFonts w:hint="default"/>
        </w:rPr>
        <w:t>iansky kraj, Banskobystrický</w:t>
      </w:r>
      <w:r>
        <w:rPr>
          <w:rFonts w:hint="default"/>
        </w:rPr>
        <w:t xml:space="preserve"> kraj, Ž</w:t>
      </w:r>
      <w:r>
        <w:rPr>
          <w:rFonts w:hint="default"/>
        </w:rPr>
        <w:t>ilinský</w:t>
      </w:r>
      <w:r>
        <w:rPr>
          <w:rFonts w:hint="default"/>
        </w:rPr>
        <w:t xml:space="preserve"> kraj, Koš</w:t>
      </w:r>
      <w:r>
        <w:rPr>
          <w:rFonts w:hint="default"/>
        </w:rPr>
        <w:t>ický</w:t>
      </w:r>
      <w:r>
        <w:rPr>
          <w:rFonts w:hint="default"/>
        </w:rPr>
        <w:t xml:space="preserve"> kraj a Preš</w:t>
      </w:r>
      <w:r>
        <w:rPr>
          <w:rFonts w:hint="default"/>
        </w:rPr>
        <w:t>ovský</w:t>
      </w:r>
      <w:r>
        <w:rPr>
          <w:rFonts w:hint="default"/>
        </w:rPr>
        <w:t xml:space="preserve"> kraj</w:t>
      </w:r>
      <w:r w:rsidRPr="00620D0C">
        <w:t>)</w:t>
      </w:r>
      <w:r>
        <w:t xml:space="preserve"> a </w:t>
      </w:r>
      <w:r>
        <w:rPr>
          <w:rFonts w:hint="default"/>
        </w:rPr>
        <w:t>oblasti mimo cieľ</w:t>
      </w:r>
      <w:r>
        <w:rPr>
          <w:rFonts w:hint="default"/>
        </w:rPr>
        <w:t>a Konvergencia (Bratislavský</w:t>
      </w:r>
      <w:r>
        <w:rPr>
          <w:rFonts w:hint="default"/>
        </w:rPr>
        <w:t xml:space="preserve"> kraj).</w:t>
      </w:r>
    </w:p>
    <w:p w:rsidR="006E7C03" w:rsidP="00DB0A10">
      <w:pPr>
        <w:bidi w:val="0"/>
      </w:pPr>
      <w:r w:rsidRPr="0065370F">
        <w:rPr>
          <w:rFonts w:hint="default"/>
        </w:rPr>
        <w:t>Celkový</w:t>
      </w:r>
      <w:r w:rsidRPr="0065370F">
        <w:rPr>
          <w:rFonts w:hint="default"/>
        </w:rPr>
        <w:t xml:space="preserve"> objem verejný</w:t>
      </w:r>
      <w:r w:rsidRPr="0065370F">
        <w:rPr>
          <w:rFonts w:hint="default"/>
        </w:rPr>
        <w:t>ch finanč</w:t>
      </w:r>
      <w:r w:rsidRPr="0065370F">
        <w:rPr>
          <w:rFonts w:hint="default"/>
        </w:rPr>
        <w:t>ný</w:t>
      </w:r>
      <w:r w:rsidRPr="0065370F">
        <w:rPr>
          <w:rFonts w:hint="default"/>
        </w:rPr>
        <w:t>ch prostriedkov na sedemroč</w:t>
      </w:r>
      <w:r w:rsidRPr="0065370F">
        <w:rPr>
          <w:rFonts w:hint="default"/>
        </w:rPr>
        <w:t>né</w:t>
      </w:r>
      <w:r w:rsidRPr="0065370F">
        <w:rPr>
          <w:rFonts w:hint="default"/>
        </w:rPr>
        <w:t xml:space="preserve"> obdobie je </w:t>
      </w:r>
      <w:r w:rsidRPr="0065370F">
        <w:rPr>
          <w:rFonts w:hint="default"/>
        </w:rPr>
        <w:t>rozdelený</w:t>
      </w:r>
      <w:r w:rsidRPr="0065370F">
        <w:rPr>
          <w:rFonts w:hint="default"/>
        </w:rPr>
        <w:t xml:space="preserve"> pre ú</w:t>
      </w:r>
      <w:r w:rsidRPr="0065370F">
        <w:rPr>
          <w:rFonts w:hint="default"/>
        </w:rPr>
        <w:t>zemie SR nasledovne</w:t>
      </w:r>
      <w:r>
        <w:t>:</w:t>
      </w:r>
    </w:p>
    <w:p w:rsidR="006E7C03" w:rsidP="00D31CBB">
      <w:pPr>
        <w:keepNext/>
        <w:bidi w:val="0"/>
        <w:spacing w:after="0" w:line="240" w:lineRule="auto"/>
        <w:ind w:firstLine="0"/>
      </w:pPr>
      <w:r w:rsidRPr="00BA63B5">
        <w:rPr>
          <w:rFonts w:hint="default"/>
          <w:b/>
        </w:rPr>
        <w:t>Financovanie podľ</w:t>
      </w:r>
      <w:r w:rsidRPr="00BA63B5">
        <w:rPr>
          <w:rFonts w:hint="default"/>
          <w:b/>
        </w:rPr>
        <w:t>a prioritný</w:t>
      </w:r>
      <w:r w:rsidRPr="00BA63B5">
        <w:rPr>
          <w:rFonts w:hint="default"/>
          <w:b/>
        </w:rPr>
        <w:t>ch osí</w:t>
      </w:r>
      <w:r w:rsidRPr="00BA63B5">
        <w:rPr>
          <w:rFonts w:hint="default"/>
          <w:b/>
        </w:rPr>
        <w:t xml:space="preserve"> a </w:t>
      </w:r>
      <w:r w:rsidRPr="00BA63B5">
        <w:rPr>
          <w:rFonts w:hint="default"/>
          <w:b/>
        </w:rPr>
        <w:t>cieľ</w:t>
      </w:r>
      <w:r w:rsidRPr="00BA63B5">
        <w:rPr>
          <w:rFonts w:hint="default"/>
          <w:b/>
        </w:rPr>
        <w:t>ov OPR</w:t>
      </w:r>
      <w:r w:rsidR="00BD49D0">
        <w:rPr>
          <w:rFonts w:hint="default"/>
          <w:b/>
        </w:rPr>
        <w:t>H v €</w:t>
      </w:r>
      <w:r w:rsidRPr="000E2E8B">
        <w:t xml:space="preserve"> </w:t>
      </w:r>
    </w:p>
    <w:p w:rsidR="00D31CBB" w:rsidP="00D31CBB">
      <w:pPr>
        <w:keepNext/>
        <w:bidi w:val="0"/>
        <w:spacing w:after="0" w:line="240" w:lineRule="auto"/>
        <w:ind w:firstLine="0"/>
        <w:jc w:val="right"/>
      </w:pPr>
      <w:r>
        <w:rPr>
          <w:rFonts w:hint="default"/>
        </w:rPr>
        <w:t>Tabuľ</w:t>
      </w:r>
      <w:r>
        <w:rPr>
          <w:rFonts w:hint="default"/>
        </w:rPr>
        <w:t>ka č</w:t>
      </w:r>
      <w:r>
        <w:rPr>
          <w:rFonts w:hint="default"/>
        </w:rPr>
        <w:t xml:space="preserve">. </w:t>
      </w:r>
      <w:r w:rsidR="003D5230">
        <w:t>7</w:t>
      </w:r>
    </w:p>
    <w:tbl>
      <w:tblPr>
        <w:tblStyle w:val="TableNormal"/>
        <w:tblW w:w="9084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3408"/>
        <w:gridCol w:w="1985"/>
        <w:gridCol w:w="1843"/>
        <w:gridCol w:w="1848"/>
      </w:tblGrid>
      <w:tr>
        <w:tblPrEx>
          <w:tblW w:w="9084" w:type="dxa"/>
          <w:jc w:val="center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ind w:firstLine="0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Prioritná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 xml:space="preserve"> os</w:t>
            </w:r>
          </w:p>
        </w:tc>
        <w:tc>
          <w:tcPr>
            <w:tcW w:w="5676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6E7C03" w:rsidRPr="004D2A7F" w:rsidP="00BD49D0">
            <w:pPr>
              <w:keepNext/>
              <w:bidi w:val="0"/>
              <w:spacing w:after="0" w:line="240" w:lineRule="auto"/>
              <w:jc w:val="center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Verejný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 xml:space="preserve"> prí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spevok na obdobie 2007-2013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center"/>
          </w:tcPr>
          <w:p w:rsidR="006E7C03" w:rsidRPr="004D2A7F" w:rsidP="00D31CBB">
            <w:pPr>
              <w:keepNext/>
              <w:bidi w:val="0"/>
              <w:spacing w:after="0" w:line="240" w:lineRule="auto"/>
              <w:rPr>
                <w:color w:val="FFFFFF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rPr>
                <w:color w:val="FFFFFF"/>
              </w:rPr>
            </w:pPr>
            <w:r w:rsidRPr="004D2A7F" w:rsidR="00EF471C">
              <w:rPr>
                <w:color w:val="FFFFFF"/>
                <w:sz w:val="22"/>
                <w:szCs w:val="22"/>
              </w:rPr>
              <w:t>Spolu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rPr>
                <w:color w:val="FFFFFF"/>
              </w:rPr>
            </w:pPr>
            <w:r w:rsidRPr="004D2A7F">
              <w:rPr>
                <w:color w:val="FFFFFF"/>
                <w:sz w:val="22"/>
                <w:szCs w:val="22"/>
              </w:rPr>
              <w:t>EFRH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Rozpoč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et SR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ind w:firstLine="0"/>
              <w:rPr>
                <w:color w:val="000000"/>
              </w:rPr>
            </w:pPr>
            <w:r w:rsidRPr="004D2A7F">
              <w:rPr>
                <w:rFonts w:hint="default"/>
                <w:color w:val="000000"/>
                <w:sz w:val="22"/>
                <w:szCs w:val="22"/>
              </w:rPr>
              <w:t>Prioritná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os 2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14 628 459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10 467 810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4 160 649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6E7C03" w:rsidRPr="004D2A7F" w:rsidP="00D36861">
            <w:pPr>
              <w:pStyle w:val="ListParagraph"/>
              <w:keepNext/>
              <w:numPr>
                <w:numId w:val="18"/>
              </w:numPr>
              <w:bidi w:val="0"/>
              <w:spacing w:after="0" w:line="240" w:lineRule="auto"/>
              <w:rPr>
                <w:iCs/>
                <w:color w:val="000000"/>
              </w:rPr>
            </w:pP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z toho cieľ</w:t>
            </w: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 xml:space="preserve"> Konvergencia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12 614 321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9 460 741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3 153 580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6E7C03" w:rsidRPr="004D2A7F" w:rsidP="00D36861">
            <w:pPr>
              <w:pStyle w:val="ListParagraph"/>
              <w:keepNext/>
              <w:numPr>
                <w:numId w:val="18"/>
              </w:numPr>
              <w:bidi w:val="0"/>
              <w:spacing w:after="0" w:line="240" w:lineRule="auto"/>
              <w:rPr>
                <w:iCs/>
                <w:color w:val="000000"/>
              </w:rPr>
            </w:pP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mimo cieľ</w:t>
            </w: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a Konvergencia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2 014 138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1 007 069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1 007 069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ind w:firstLine="0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Prior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>itná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os 3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3 381 723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2 536 292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845 431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6E7C03" w:rsidRPr="004D2A7F" w:rsidP="00D36861">
            <w:pPr>
              <w:pStyle w:val="ListParagraph"/>
              <w:keepNext/>
              <w:numPr>
                <w:numId w:val="18"/>
              </w:numPr>
              <w:bidi w:val="0"/>
              <w:spacing w:after="0" w:line="240" w:lineRule="auto"/>
              <w:rPr>
                <w:iCs/>
                <w:color w:val="000000"/>
              </w:rPr>
            </w:pP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z toho cieľ</w:t>
            </w: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 xml:space="preserve"> Konvergencia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3 381 723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2 536 292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845 431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6E7C03" w:rsidRPr="004D2A7F" w:rsidP="00D36861">
            <w:pPr>
              <w:pStyle w:val="ListParagraph"/>
              <w:keepNext/>
              <w:numPr>
                <w:numId w:val="18"/>
              </w:numPr>
              <w:bidi w:val="0"/>
              <w:spacing w:after="0" w:line="240" w:lineRule="auto"/>
              <w:rPr>
                <w:iCs/>
                <w:color w:val="000000"/>
              </w:rPr>
            </w:pP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mimo cieľ</w:t>
            </w: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a Konvergencia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B0A10">
            <w:pPr>
              <w:keepNext/>
              <w:bidi w:val="0"/>
              <w:spacing w:after="0" w:line="240" w:lineRule="auto"/>
              <w:ind w:firstLine="0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ind w:firstLine="0"/>
              <w:rPr>
                <w:color w:val="000000"/>
              </w:rPr>
            </w:pPr>
            <w:r w:rsidRPr="004D2A7F">
              <w:rPr>
                <w:rFonts w:hint="default"/>
                <w:color w:val="000000"/>
                <w:sz w:val="22"/>
                <w:szCs w:val="22"/>
              </w:rPr>
              <w:t>Prioritná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os 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912 568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684 426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228 142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6E7C03" w:rsidRPr="004D2A7F" w:rsidP="00D36861">
            <w:pPr>
              <w:pStyle w:val="ListParagraph"/>
              <w:keepNext/>
              <w:numPr>
                <w:numId w:val="18"/>
              </w:numPr>
              <w:bidi w:val="0"/>
              <w:spacing w:after="0" w:line="240" w:lineRule="auto"/>
              <w:rPr>
                <w:iCs/>
                <w:color w:val="000000"/>
              </w:rPr>
            </w:pP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z toho cieľ</w:t>
            </w: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 xml:space="preserve"> Konvergencia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912 568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684 426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228 142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6E7C03" w:rsidRPr="004D2A7F" w:rsidP="00D36861">
            <w:pPr>
              <w:pStyle w:val="ListParagraph"/>
              <w:keepNext/>
              <w:numPr>
                <w:numId w:val="18"/>
              </w:numPr>
              <w:bidi w:val="0"/>
              <w:spacing w:after="0" w:line="240" w:lineRule="auto"/>
              <w:rPr>
                <w:iCs/>
                <w:color w:val="000000"/>
              </w:rPr>
            </w:pP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mimo cieľ</w:t>
            </w:r>
            <w:r w:rsidRPr="004D2A7F">
              <w:rPr>
                <w:rFonts w:hint="default"/>
                <w:iCs/>
                <w:color w:val="000000"/>
                <w:sz w:val="22"/>
                <w:szCs w:val="22"/>
              </w:rPr>
              <w:t>a Konvergencia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iCs/>
                <w:color w:val="000000"/>
              </w:rPr>
            </w:pPr>
            <w:r w:rsidRPr="004D2A7F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908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3408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ind w:firstLine="0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18 92</w:t>
            </w:r>
            <w:r w:rsidRPr="004D2A7F">
              <w:rPr>
                <w:color w:val="000000"/>
                <w:sz w:val="22"/>
                <w:szCs w:val="22"/>
              </w:rPr>
              <w:t>2 750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13 688 528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6E7C03" w:rsidRPr="004D2A7F" w:rsidP="00D31CB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5 234 222</w:t>
            </w:r>
          </w:p>
        </w:tc>
      </w:tr>
    </w:tbl>
    <w:p w:rsidR="006E7C03" w:rsidP="00D31CBB">
      <w:pPr>
        <w:keepNext/>
        <w:autoSpaceDE w:val="0"/>
        <w:autoSpaceDN w:val="0"/>
        <w:bidi w:val="0"/>
        <w:spacing w:after="0" w:line="240" w:lineRule="auto"/>
        <w:ind w:firstLine="0"/>
        <w:rPr>
          <w:sz w:val="20"/>
          <w:szCs w:val="20"/>
        </w:rPr>
      </w:pPr>
      <w:r w:rsidRPr="00D31CBB" w:rsidR="00D31CBB">
        <w:rPr>
          <w:rFonts w:hint="default"/>
          <w:sz w:val="20"/>
          <w:szCs w:val="20"/>
        </w:rPr>
        <w:t>Prameň</w:t>
      </w:r>
      <w:r w:rsidR="002669F9">
        <w:rPr>
          <w:sz w:val="20"/>
          <w:szCs w:val="20"/>
        </w:rPr>
        <w:t xml:space="preserve">: </w:t>
      </w:r>
      <w:r w:rsidR="006A14EA">
        <w:rPr>
          <w:sz w:val="20"/>
          <w:szCs w:val="20"/>
        </w:rPr>
        <w:t>MPRV SR</w:t>
      </w:r>
      <w:r w:rsidR="006C535C">
        <w:rPr>
          <w:rFonts w:hint="default"/>
          <w:sz w:val="20"/>
          <w:szCs w:val="20"/>
        </w:rPr>
        <w:t>, vyž</w:t>
      </w:r>
      <w:r w:rsidR="006C535C">
        <w:rPr>
          <w:rFonts w:hint="default"/>
          <w:sz w:val="20"/>
          <w:szCs w:val="20"/>
        </w:rPr>
        <w:t>iadané</w:t>
      </w:r>
      <w:r w:rsidR="006C535C">
        <w:rPr>
          <w:rFonts w:hint="default"/>
          <w:sz w:val="20"/>
          <w:szCs w:val="20"/>
        </w:rPr>
        <w:t xml:space="preserve"> ú</w:t>
      </w:r>
      <w:r w:rsidR="006C535C">
        <w:rPr>
          <w:rFonts w:hint="default"/>
          <w:sz w:val="20"/>
          <w:szCs w:val="20"/>
        </w:rPr>
        <w:t>daje</w:t>
      </w:r>
    </w:p>
    <w:p w:rsidR="00D31CBB" w:rsidRPr="00D31CBB" w:rsidP="00D31CBB">
      <w:pPr>
        <w:keepNext/>
        <w:autoSpaceDE w:val="0"/>
        <w:autoSpaceDN w:val="0"/>
        <w:bidi w:val="0"/>
        <w:spacing w:after="0" w:line="240" w:lineRule="auto"/>
        <w:ind w:firstLine="0"/>
        <w:rPr>
          <w:sz w:val="20"/>
          <w:szCs w:val="20"/>
        </w:rPr>
      </w:pPr>
      <w:r>
        <w:rPr>
          <w:rFonts w:hint="default"/>
          <w:sz w:val="20"/>
          <w:szCs w:val="20"/>
        </w:rPr>
        <w:t>Vypracoval: VÚ</w:t>
      </w:r>
      <w:r>
        <w:rPr>
          <w:rFonts w:hint="default"/>
          <w:sz w:val="20"/>
          <w:szCs w:val="20"/>
        </w:rPr>
        <w:t>EPP</w:t>
      </w:r>
    </w:p>
    <w:p w:rsidR="006E7C03" w:rsidP="006E7C03">
      <w:pPr>
        <w:bidi w:val="0"/>
      </w:pPr>
    </w:p>
    <w:p w:rsidR="006E7C03" w:rsidP="006E7C03">
      <w:pPr>
        <w:bidi w:val="0"/>
      </w:pPr>
      <w:r w:rsidRPr="0065370F">
        <w:t>Do </w:t>
      </w:r>
      <w:r>
        <w:t xml:space="preserve">konca roka </w:t>
      </w:r>
      <w:r w:rsidRPr="0065370F">
        <w:t xml:space="preserve">2010 bolo </w:t>
      </w:r>
      <w:r>
        <w:t>v </w:t>
      </w:r>
      <w:r>
        <w:rPr>
          <w:rFonts w:hint="default"/>
        </w:rPr>
        <w:t>rá</w:t>
      </w:r>
      <w:r>
        <w:rPr>
          <w:rFonts w:hint="default"/>
        </w:rPr>
        <w:t xml:space="preserve">mci prioritnej osi 2 a 5 </w:t>
      </w:r>
      <w:r w:rsidRPr="0065370F">
        <w:rPr>
          <w:rFonts w:hint="default"/>
        </w:rPr>
        <w:t>prijatý</w:t>
      </w:r>
      <w:r w:rsidRPr="0065370F">
        <w:rPr>
          <w:rFonts w:hint="default"/>
        </w:rPr>
        <w:t xml:space="preserve">ch spolu </w:t>
      </w:r>
      <w:r>
        <w:t>55</w:t>
      </w:r>
      <w:r w:rsidRPr="0065370F">
        <w:rPr>
          <w:rFonts w:hint="default"/>
        </w:rPr>
        <w:t xml:space="preserve"> ž</w:t>
      </w:r>
      <w:r w:rsidRPr="0065370F">
        <w:rPr>
          <w:rFonts w:hint="default"/>
        </w:rPr>
        <w:t>iadostí</w:t>
      </w:r>
      <w:r w:rsidRPr="0065370F">
        <w:rPr>
          <w:rFonts w:hint="default"/>
        </w:rPr>
        <w:t xml:space="preserve"> o</w:t>
      </w:r>
      <w:r>
        <w:t> </w:t>
      </w:r>
      <w:r>
        <w:rPr>
          <w:rFonts w:hint="default"/>
        </w:rPr>
        <w:t>nená</w:t>
      </w:r>
      <w:r>
        <w:rPr>
          <w:rFonts w:hint="default"/>
        </w:rPr>
        <w:t>vratný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spevok</w:t>
      </w:r>
      <w:r w:rsidRPr="0065370F">
        <w:rPr>
          <w:rFonts w:hint="default"/>
        </w:rPr>
        <w:t>. Pož</w:t>
      </w:r>
      <w:r w:rsidRPr="0065370F">
        <w:rPr>
          <w:rFonts w:hint="default"/>
        </w:rPr>
        <w:t>adovaný</w:t>
      </w:r>
      <w:r w:rsidRPr="0065370F">
        <w:rPr>
          <w:rFonts w:hint="default"/>
        </w:rPr>
        <w:t xml:space="preserve"> prí</w:t>
      </w:r>
      <w:r w:rsidRPr="0065370F">
        <w:rPr>
          <w:rFonts w:hint="default"/>
        </w:rPr>
        <w:t xml:space="preserve">spevok </w:t>
      </w:r>
      <w:r>
        <w:t>z </w:t>
      </w:r>
      <w:r>
        <w:rPr>
          <w:rFonts w:hint="default"/>
        </w:rPr>
        <w:t>verejný</w:t>
      </w:r>
      <w:r>
        <w:rPr>
          <w:rFonts w:hint="default"/>
        </w:rPr>
        <w:t xml:space="preserve">ch zdrojov </w:t>
      </w:r>
      <w:r w:rsidRPr="0065370F">
        <w:rPr>
          <w:rFonts w:hint="default"/>
        </w:rPr>
        <w:t>bol vo výš</w:t>
      </w:r>
      <w:r w:rsidRPr="0065370F">
        <w:rPr>
          <w:rFonts w:hint="default"/>
        </w:rPr>
        <w:t xml:space="preserve">ke </w:t>
      </w:r>
      <w:r>
        <w:t>6 227 02</w:t>
      </w:r>
      <w:r>
        <w:t>7</w:t>
      </w:r>
      <w:r w:rsidR="00001902">
        <w:t> </w:t>
      </w:r>
      <w:r w:rsidR="00001902">
        <w:rPr>
          <w:rFonts w:hint="default"/>
        </w:rPr>
        <w:t>€.</w:t>
      </w:r>
      <w:r w:rsidRPr="0065370F">
        <w:t xml:space="preserve"> Z nich bolo </w:t>
      </w:r>
      <w:r>
        <w:t>52</w:t>
      </w:r>
      <w:r w:rsidRPr="0065370F">
        <w:t xml:space="preserve"> </w:t>
      </w:r>
      <w:r>
        <w:rPr>
          <w:rFonts w:hint="default"/>
        </w:rPr>
        <w:t>ž</w:t>
      </w:r>
      <w:r>
        <w:rPr>
          <w:rFonts w:hint="default"/>
        </w:rPr>
        <w:t>iadostí</w:t>
      </w:r>
      <w:r>
        <w:rPr>
          <w:rFonts w:hint="default"/>
        </w:rPr>
        <w:t xml:space="preserve"> o nená</w:t>
      </w:r>
      <w:r>
        <w:rPr>
          <w:rFonts w:hint="default"/>
        </w:rPr>
        <w:t>vratný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spevok</w:t>
      </w:r>
      <w:r w:rsidRPr="0065370F">
        <w:rPr>
          <w:rFonts w:hint="default"/>
        </w:rPr>
        <w:t xml:space="preserve"> schvá</w:t>
      </w:r>
      <w:r w:rsidRPr="0065370F">
        <w:rPr>
          <w:rFonts w:hint="default"/>
        </w:rPr>
        <w:t>lený</w:t>
      </w:r>
      <w:r w:rsidRPr="0065370F">
        <w:rPr>
          <w:rFonts w:hint="default"/>
        </w:rPr>
        <w:t>ch</w:t>
      </w:r>
      <w:r w:rsidR="00D47645">
        <w:t xml:space="preserve"> a v </w:t>
      </w:r>
      <w:r w:rsidR="00D47645">
        <w:rPr>
          <w:rFonts w:hint="default"/>
        </w:rPr>
        <w:t>prí</w:t>
      </w:r>
      <w:r w:rsidR="00D47645">
        <w:rPr>
          <w:rFonts w:hint="default"/>
        </w:rPr>
        <w:t xml:space="preserve">pade troch </w:t>
      </w:r>
      <w:r>
        <w:rPr>
          <w:rFonts w:hint="default"/>
        </w:rPr>
        <w:t>ž</w:t>
      </w:r>
      <w:r>
        <w:rPr>
          <w:rFonts w:hint="default"/>
        </w:rPr>
        <w:t>iadostí</w:t>
      </w:r>
      <w:r>
        <w:rPr>
          <w:rFonts w:hint="default"/>
        </w:rPr>
        <w:t xml:space="preserve"> o </w:t>
      </w:r>
      <w:r>
        <w:rPr>
          <w:rFonts w:hint="default"/>
        </w:rPr>
        <w:t>nená</w:t>
      </w:r>
      <w:r>
        <w:rPr>
          <w:rFonts w:hint="default"/>
        </w:rPr>
        <w:t>vratný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spevok vydala PPA rozhodnutie o </w:t>
      </w:r>
      <w:r>
        <w:rPr>
          <w:rFonts w:hint="default"/>
        </w:rPr>
        <w:t>neschvá</w:t>
      </w:r>
      <w:r>
        <w:rPr>
          <w:rFonts w:hint="default"/>
        </w:rPr>
        <w:t>lení</w:t>
      </w:r>
      <w:r>
        <w:rPr>
          <w:rFonts w:hint="default"/>
        </w:rPr>
        <w:t>.  K </w:t>
      </w:r>
      <w:r>
        <w:rPr>
          <w:rFonts w:hint="default"/>
        </w:rPr>
        <w:t>uvedené</w:t>
      </w:r>
      <w:r>
        <w:rPr>
          <w:rFonts w:hint="default"/>
        </w:rPr>
        <w:t>mu obdobiu PPA podpí</w:t>
      </w:r>
      <w:r>
        <w:rPr>
          <w:rFonts w:hint="default"/>
        </w:rPr>
        <w:t>sala s </w:t>
      </w:r>
      <w:r>
        <w:rPr>
          <w:rFonts w:hint="default"/>
        </w:rPr>
        <w:t>prijí</w:t>
      </w:r>
      <w:r>
        <w:rPr>
          <w:rFonts w:hint="default"/>
        </w:rPr>
        <w:t>mateľ</w:t>
      </w:r>
      <w:r>
        <w:rPr>
          <w:rFonts w:hint="default"/>
        </w:rPr>
        <w:t>mi 47 zmlú</w:t>
      </w:r>
      <w:r>
        <w:rPr>
          <w:rFonts w:hint="default"/>
        </w:rPr>
        <w:t>v o </w:t>
      </w:r>
      <w:r>
        <w:rPr>
          <w:rFonts w:hint="default"/>
        </w:rPr>
        <w:t>poskytnutí</w:t>
      </w:r>
      <w:r>
        <w:rPr>
          <w:rFonts w:hint="default"/>
        </w:rPr>
        <w:t xml:space="preserve"> nená</w:t>
      </w:r>
      <w:r>
        <w:rPr>
          <w:rFonts w:hint="default"/>
        </w:rPr>
        <w:t>vratné</w:t>
      </w:r>
      <w:r>
        <w:rPr>
          <w:rFonts w:hint="default"/>
        </w:rPr>
        <w:t>ho f</w:t>
      </w:r>
      <w:r>
        <w:rPr>
          <w:rFonts w:hint="default"/>
        </w:rPr>
        <w:t>inanč</w:t>
      </w:r>
      <w:r>
        <w:rPr>
          <w:rFonts w:hint="default"/>
        </w:rPr>
        <w:t>né</w:t>
      </w:r>
      <w:r>
        <w:rPr>
          <w:rFonts w:hint="default"/>
        </w:rPr>
        <w:t>ho prí</w:t>
      </w:r>
      <w:r>
        <w:rPr>
          <w:rFonts w:hint="default"/>
        </w:rPr>
        <w:t>spevku v objeme schvá</w:t>
      </w:r>
      <w:r>
        <w:rPr>
          <w:rFonts w:hint="default"/>
        </w:rPr>
        <w:t>lené</w:t>
      </w:r>
      <w:r>
        <w:rPr>
          <w:rFonts w:hint="default"/>
        </w:rPr>
        <w:t>ho prí</w:t>
      </w:r>
      <w:r>
        <w:rPr>
          <w:rFonts w:hint="default"/>
        </w:rPr>
        <w:t>spevku vo výš</w:t>
      </w:r>
      <w:r>
        <w:rPr>
          <w:rFonts w:hint="default"/>
        </w:rPr>
        <w:t>ke 5 180 257</w:t>
      </w:r>
      <w:r w:rsidR="00001902">
        <w:t> </w:t>
      </w:r>
      <w:r w:rsidR="00001902">
        <w:rPr>
          <w:rFonts w:hint="default"/>
        </w:rPr>
        <w:t>€</w:t>
      </w:r>
      <w:r w:rsidR="00001902">
        <w:rPr>
          <w:rFonts w:hint="default"/>
        </w:rPr>
        <w:t xml:space="preserve"> </w:t>
      </w:r>
      <w:r>
        <w:t>(z toho EFRH 3 831</w:t>
      </w:r>
      <w:r w:rsidR="00895787">
        <w:t> </w:t>
      </w:r>
      <w:r>
        <w:t>904</w:t>
      </w:r>
      <w:r w:rsidR="00895787">
        <w:t> </w:t>
      </w:r>
      <w:r w:rsidR="00895787">
        <w:rPr>
          <w:rFonts w:hint="default"/>
        </w:rPr>
        <w:t>€</w:t>
      </w:r>
      <w:r>
        <w:t xml:space="preserve">), </w:t>
      </w:r>
      <w:r w:rsidRPr="0065370F">
        <w:t xml:space="preserve">tzn. </w:t>
      </w:r>
      <w:r>
        <w:rPr>
          <w:rFonts w:hint="default"/>
        </w:rPr>
        <w:t>ž</w:t>
      </w:r>
      <w:r>
        <w:rPr>
          <w:rFonts w:hint="default"/>
        </w:rPr>
        <w:t>e celkové</w:t>
      </w:r>
      <w:r>
        <w:rPr>
          <w:rFonts w:hint="default"/>
        </w:rPr>
        <w:t xml:space="preserve"> </w:t>
      </w:r>
      <w:r w:rsidRPr="0065370F">
        <w:t xml:space="preserve">kontrahovanie </w:t>
      </w:r>
      <w:r>
        <w:t>OPRH k </w:t>
      </w:r>
      <w:r>
        <w:rPr>
          <w:rFonts w:hint="default"/>
        </w:rPr>
        <w:t>uvedené</w:t>
      </w:r>
      <w:r>
        <w:rPr>
          <w:rFonts w:hint="default"/>
        </w:rPr>
        <w:t>mu obdobiu predstavovalo</w:t>
      </w:r>
      <w:r w:rsidRPr="0065370F">
        <w:t xml:space="preserve"> </w:t>
      </w:r>
      <w:r>
        <w:t>27</w:t>
      </w:r>
      <w:r w:rsidR="00440106">
        <w:t> </w:t>
      </w:r>
      <w:r w:rsidR="00440106">
        <w:t>%</w:t>
      </w:r>
      <w:r w:rsidRPr="0065370F">
        <w:t>.</w:t>
      </w:r>
    </w:p>
    <w:p w:rsidR="006E7C03" w:rsidRPr="00EC3589" w:rsidP="00C17727">
      <w:pPr>
        <w:autoSpaceDE w:val="0"/>
        <w:autoSpaceDN w:val="0"/>
        <w:bidi w:val="0"/>
        <w:spacing w:before="120"/>
        <w:ind w:firstLine="0"/>
        <w:rPr>
          <w:rFonts w:hint="default"/>
          <w:b/>
        </w:rPr>
      </w:pPr>
      <w:r w:rsidRPr="00EC3589">
        <w:rPr>
          <w:rFonts w:hint="default"/>
          <w:b/>
        </w:rPr>
        <w:t>Č</w:t>
      </w:r>
      <w:r w:rsidRPr="00EC3589">
        <w:rPr>
          <w:rFonts w:hint="default"/>
          <w:b/>
        </w:rPr>
        <w:t>erpanie finanč</w:t>
      </w:r>
      <w:r w:rsidRPr="00EC3589">
        <w:rPr>
          <w:rFonts w:hint="default"/>
          <w:b/>
        </w:rPr>
        <w:t>ný</w:t>
      </w:r>
      <w:r w:rsidRPr="00EC3589">
        <w:rPr>
          <w:rFonts w:hint="default"/>
          <w:b/>
        </w:rPr>
        <w:t>ch prostriedkov v </w:t>
      </w:r>
      <w:r w:rsidRPr="00EC3589">
        <w:rPr>
          <w:rFonts w:hint="default"/>
          <w:b/>
        </w:rPr>
        <w:t>rá</w:t>
      </w:r>
      <w:r w:rsidRPr="00EC3589">
        <w:rPr>
          <w:rFonts w:hint="default"/>
          <w:b/>
        </w:rPr>
        <w:t>mci OPRH na ná</w:t>
      </w:r>
      <w:r w:rsidRPr="00EC3589">
        <w:rPr>
          <w:rFonts w:hint="default"/>
          <w:b/>
        </w:rPr>
        <w:t>rodnej ú</w:t>
      </w:r>
      <w:r w:rsidRPr="00EC3589">
        <w:rPr>
          <w:rFonts w:hint="default"/>
          <w:b/>
        </w:rPr>
        <w:t>rovni</w:t>
      </w:r>
    </w:p>
    <w:p w:rsidR="006E7C03" w:rsidP="006E7C03">
      <w:pPr>
        <w:bidi w:val="0"/>
      </w:pPr>
      <w:r>
        <w:rPr>
          <w:rFonts w:hint="default"/>
        </w:rPr>
        <w:t>Poč</w:t>
      </w:r>
      <w:r>
        <w:rPr>
          <w:rFonts w:hint="default"/>
        </w:rPr>
        <w:t>as implementá</w:t>
      </w:r>
      <w:r>
        <w:rPr>
          <w:rFonts w:hint="default"/>
        </w:rPr>
        <w:t>c</w:t>
      </w:r>
      <w:r>
        <w:rPr>
          <w:rFonts w:hint="default"/>
        </w:rPr>
        <w:t>ie programu bolo na certifikač</w:t>
      </w:r>
      <w:r>
        <w:rPr>
          <w:rFonts w:hint="default"/>
        </w:rPr>
        <w:t>ný</w:t>
      </w:r>
      <w:r>
        <w:rPr>
          <w:rFonts w:hint="default"/>
        </w:rPr>
        <w:t xml:space="preserve"> orgá</w:t>
      </w:r>
      <w:r>
        <w:rPr>
          <w:rFonts w:hint="default"/>
        </w:rPr>
        <w:t>n zaslaný</w:t>
      </w:r>
      <w:r>
        <w:rPr>
          <w:rFonts w:hint="default"/>
        </w:rPr>
        <w:t>ch spolu 19 sú</w:t>
      </w:r>
      <w:r>
        <w:rPr>
          <w:rFonts w:hint="default"/>
        </w:rPr>
        <w:t>hrnný</w:t>
      </w:r>
      <w:r>
        <w:rPr>
          <w:rFonts w:hint="default"/>
        </w:rPr>
        <w:t>ch ž</w:t>
      </w:r>
      <w:r>
        <w:rPr>
          <w:rFonts w:hint="default"/>
        </w:rPr>
        <w:t>iadostí</w:t>
      </w:r>
      <w:r>
        <w:rPr>
          <w:rFonts w:hint="default"/>
        </w:rPr>
        <w:t xml:space="preserve"> o platbu, z </w:t>
      </w:r>
      <w:r>
        <w:rPr>
          <w:rFonts w:hint="default"/>
        </w:rPr>
        <w:t>ktorý</w:t>
      </w:r>
      <w:r>
        <w:rPr>
          <w:rFonts w:hint="default"/>
        </w:rPr>
        <w:t xml:space="preserve">ch bolo </w:t>
      </w:r>
      <w:r w:rsidRPr="0065370F">
        <w:t>17</w:t>
      </w:r>
      <w:r>
        <w:rPr>
          <w:rFonts w:hint="default"/>
        </w:rPr>
        <w:t xml:space="preserve"> schvá</w:t>
      </w:r>
      <w:r>
        <w:rPr>
          <w:rFonts w:hint="default"/>
        </w:rPr>
        <w:t>lený</w:t>
      </w:r>
      <w:r>
        <w:rPr>
          <w:rFonts w:hint="default"/>
        </w:rPr>
        <w:t>ch a 2 zamietnuté</w:t>
      </w:r>
      <w:r>
        <w:rPr>
          <w:rFonts w:hint="default"/>
        </w:rPr>
        <w:t>. 17 schvá</w:t>
      </w:r>
      <w:r>
        <w:rPr>
          <w:rFonts w:hint="default"/>
        </w:rPr>
        <w:t>lený</w:t>
      </w:r>
      <w:r>
        <w:rPr>
          <w:rFonts w:hint="default"/>
        </w:rPr>
        <w:t>ch</w:t>
      </w:r>
      <w:r w:rsidRPr="0065370F">
        <w:rPr>
          <w:rFonts w:hint="default"/>
        </w:rPr>
        <w:t xml:space="preserve"> sú</w:t>
      </w:r>
      <w:r w:rsidRPr="0065370F">
        <w:rPr>
          <w:rFonts w:hint="default"/>
        </w:rPr>
        <w:t>hrnný</w:t>
      </w:r>
      <w:r w:rsidRPr="0065370F">
        <w:rPr>
          <w:rFonts w:hint="default"/>
        </w:rPr>
        <w:t>ch ž</w:t>
      </w:r>
      <w:r w:rsidRPr="0065370F">
        <w:rPr>
          <w:rFonts w:hint="default"/>
        </w:rPr>
        <w:t>iadostí</w:t>
      </w:r>
      <w:r w:rsidRPr="0065370F">
        <w:rPr>
          <w:rFonts w:hint="default"/>
        </w:rPr>
        <w:t xml:space="preserve"> o platbu </w:t>
      </w:r>
      <w:r>
        <w:t xml:space="preserve">predstavuje </w:t>
      </w:r>
      <w:r w:rsidRPr="007F5F99">
        <w:t xml:space="preserve">sumu </w:t>
      </w:r>
      <w:r w:rsidRPr="007F5F99" w:rsidR="007F5F99">
        <w:t>2 687 443 </w:t>
      </w:r>
      <w:r w:rsidRPr="007F5F99" w:rsidR="00895787">
        <w:rPr>
          <w:rFonts w:hint="default"/>
        </w:rPr>
        <w:t>€</w:t>
      </w:r>
      <w:r w:rsidRPr="007F5F99">
        <w:t>, tzn</w:t>
      </w:r>
      <w:r>
        <w:t xml:space="preserve">. </w:t>
      </w:r>
      <w:r w:rsidRPr="0065370F">
        <w:rPr>
          <w:rFonts w:hint="default"/>
        </w:rPr>
        <w:t>č</w:t>
      </w:r>
      <w:r w:rsidRPr="0065370F">
        <w:rPr>
          <w:rFonts w:hint="default"/>
        </w:rPr>
        <w:t>erpanie</w:t>
      </w:r>
      <w:r>
        <w:rPr>
          <w:rFonts w:hint="default"/>
        </w:rPr>
        <w:t xml:space="preserve"> na ná</w:t>
      </w:r>
      <w:r>
        <w:rPr>
          <w:rFonts w:hint="default"/>
        </w:rPr>
        <w:t>rodnej ú</w:t>
      </w:r>
      <w:r>
        <w:rPr>
          <w:rFonts w:hint="default"/>
        </w:rPr>
        <w:t>rovni predstavuje</w:t>
      </w:r>
      <w:r w:rsidRPr="0065370F">
        <w:t xml:space="preserve"> 14,</w:t>
      </w:r>
      <w:r>
        <w:t>2</w:t>
      </w:r>
      <w:r w:rsidR="00440106">
        <w:t> </w:t>
      </w:r>
      <w:r w:rsidR="00440106">
        <w:t>%</w:t>
      </w:r>
      <w:r w:rsidRPr="0065370F">
        <w:rPr>
          <w:rFonts w:hint="default"/>
        </w:rPr>
        <w:t xml:space="preserve"> z limitov verejný</w:t>
      </w:r>
      <w:r w:rsidRPr="0065370F">
        <w:rPr>
          <w:rFonts w:hint="default"/>
        </w:rPr>
        <w:t>ch zdrojov na sedemroč</w:t>
      </w:r>
      <w:r w:rsidRPr="0065370F">
        <w:rPr>
          <w:rFonts w:hint="default"/>
        </w:rPr>
        <w:t>né</w:t>
      </w:r>
      <w:r w:rsidRPr="0065370F">
        <w:rPr>
          <w:rFonts w:hint="default"/>
        </w:rPr>
        <w:t xml:space="preserve"> obdobie</w:t>
      </w:r>
      <w:r>
        <w:t xml:space="preserve">. </w:t>
      </w:r>
      <w:r w:rsidRPr="0065370F">
        <w:t>Prostriedky z </w:t>
      </w:r>
      <w:r w:rsidRPr="0065370F">
        <w:rPr>
          <w:rFonts w:hint="default"/>
        </w:rPr>
        <w:t>EFRH sú</w:t>
      </w:r>
      <w:r w:rsidRPr="0065370F">
        <w:rPr>
          <w:rFonts w:hint="default"/>
        </w:rPr>
        <w:t xml:space="preserve"> č</w:t>
      </w:r>
      <w:r w:rsidRPr="0065370F">
        <w:rPr>
          <w:rFonts w:hint="default"/>
        </w:rPr>
        <w:t>erpané</w:t>
      </w:r>
      <w:r w:rsidRPr="0065370F">
        <w:rPr>
          <w:rFonts w:hint="default"/>
        </w:rPr>
        <w:t xml:space="preserve"> do výš</w:t>
      </w:r>
      <w:r w:rsidRPr="0065370F">
        <w:rPr>
          <w:rFonts w:hint="default"/>
        </w:rPr>
        <w:t>ky 1 996 499</w:t>
      </w:r>
      <w:r w:rsidR="00001902">
        <w:t> </w:t>
      </w:r>
      <w:r w:rsidR="00001902">
        <w:rPr>
          <w:rFonts w:hint="default"/>
        </w:rPr>
        <w:t>€</w:t>
      </w:r>
      <w:r w:rsidR="00001902">
        <w:rPr>
          <w:rFonts w:hint="default"/>
        </w:rPr>
        <w:t xml:space="preserve"> </w:t>
      </w:r>
      <w:r w:rsidRPr="0065370F">
        <w:t>(14,</w:t>
      </w:r>
      <w:r w:rsidR="006C058B">
        <w:t>6</w:t>
      </w:r>
      <w:r w:rsidR="00440106">
        <w:t> </w:t>
      </w:r>
      <w:r w:rsidR="00440106">
        <w:t>%</w:t>
      </w:r>
      <w:r w:rsidRPr="0065370F">
        <w:t xml:space="preserve"> z</w:t>
      </w:r>
      <w:r>
        <w:t xml:space="preserve">o </w:t>
      </w:r>
      <w:r w:rsidR="00D47645">
        <w:rPr>
          <w:rFonts w:hint="default"/>
        </w:rPr>
        <w:t>zá</w:t>
      </w:r>
      <w:r w:rsidR="00D47645">
        <w:rPr>
          <w:rFonts w:hint="default"/>
        </w:rPr>
        <w:t>vä</w:t>
      </w:r>
      <w:r w:rsidR="00D47645">
        <w:rPr>
          <w:rFonts w:hint="default"/>
        </w:rPr>
        <w:t>zku EÚ</w:t>
      </w:r>
      <w:r w:rsidR="00D47645">
        <w:rPr>
          <w:rFonts w:hint="default"/>
        </w:rPr>
        <w:t xml:space="preserve"> na obdobie 2007 </w:t>
      </w:r>
      <w:r w:rsidR="00D47645">
        <w:rPr>
          <w:rFonts w:hint="default"/>
        </w:rPr>
        <w:noBreakHyphen/>
        <w:t> </w:t>
      </w:r>
      <w:r w:rsidRPr="0065370F">
        <w:t xml:space="preserve">2013). </w:t>
      </w:r>
    </w:p>
    <w:p w:rsidR="006E7C03" w:rsidP="006E7C03">
      <w:pPr>
        <w:bidi w:val="0"/>
        <w:rPr>
          <w:b/>
        </w:rPr>
      </w:pPr>
    </w:p>
    <w:p w:rsidR="006E7C03" w:rsidP="007A3D6C">
      <w:pPr>
        <w:keepNext/>
        <w:autoSpaceDE w:val="0"/>
        <w:autoSpaceDN w:val="0"/>
        <w:bidi w:val="0"/>
        <w:spacing w:before="120" w:after="0" w:line="240" w:lineRule="auto"/>
        <w:ind w:firstLine="0"/>
        <w:rPr>
          <w:b/>
        </w:rPr>
      </w:pPr>
      <w:r w:rsidR="00586191">
        <w:rPr>
          <w:rFonts w:hint="default"/>
          <w:b/>
        </w:rPr>
        <w:t>Č</w:t>
      </w:r>
      <w:r w:rsidR="00586191">
        <w:rPr>
          <w:rFonts w:hint="default"/>
          <w:b/>
        </w:rPr>
        <w:t>erpanie OP</w:t>
      </w:r>
      <w:r w:rsidRPr="00BA63B5">
        <w:rPr>
          <w:rFonts w:hint="default"/>
          <w:b/>
        </w:rPr>
        <w:t>RH na ná</w:t>
      </w:r>
      <w:r w:rsidRPr="00BA63B5">
        <w:rPr>
          <w:rFonts w:hint="default"/>
          <w:b/>
        </w:rPr>
        <w:t>rodnej ú</w:t>
      </w:r>
      <w:r w:rsidRPr="00BA63B5">
        <w:rPr>
          <w:rFonts w:hint="default"/>
          <w:b/>
        </w:rPr>
        <w:t>rovni v </w:t>
      </w:r>
      <w:r w:rsidRPr="00BA63B5">
        <w:rPr>
          <w:rFonts w:hint="default"/>
          <w:b/>
        </w:rPr>
        <w:t>porovnaní</w:t>
      </w:r>
      <w:r w:rsidRPr="00BA63B5">
        <w:rPr>
          <w:rFonts w:hint="default"/>
          <w:b/>
        </w:rPr>
        <w:t xml:space="preserve"> s </w:t>
      </w:r>
      <w:r>
        <w:rPr>
          <w:rFonts w:hint="default"/>
          <w:b/>
        </w:rPr>
        <w:t>celkový</w:t>
      </w:r>
      <w:r>
        <w:rPr>
          <w:rFonts w:hint="default"/>
          <w:b/>
        </w:rPr>
        <w:t>m</w:t>
      </w:r>
      <w:r w:rsidRPr="00BA63B5">
        <w:rPr>
          <w:rFonts w:hint="default"/>
          <w:b/>
        </w:rPr>
        <w:t xml:space="preserve">  zá</w:t>
      </w:r>
      <w:r w:rsidRPr="00BA63B5">
        <w:rPr>
          <w:rFonts w:hint="default"/>
          <w:b/>
        </w:rPr>
        <w:t>vä</w:t>
      </w:r>
      <w:r w:rsidRPr="00BA63B5">
        <w:rPr>
          <w:rFonts w:hint="default"/>
          <w:b/>
        </w:rPr>
        <w:t>zkom EÚ</w:t>
      </w:r>
    </w:p>
    <w:p w:rsidR="00C17727" w:rsidRPr="00C17727" w:rsidP="007A3D6C">
      <w:pPr>
        <w:keepNext/>
        <w:autoSpaceDE w:val="0"/>
        <w:autoSpaceDN w:val="0"/>
        <w:bidi w:val="0"/>
        <w:spacing w:before="120" w:after="0" w:line="240" w:lineRule="auto"/>
        <w:jc w:val="right"/>
        <w:rPr>
          <w:b/>
        </w:rPr>
      </w:pPr>
      <w:r w:rsidRPr="00C17727">
        <w:rPr>
          <w:rFonts w:hint="default"/>
        </w:rPr>
        <w:t>Tabuľ</w:t>
      </w:r>
      <w:r w:rsidRPr="00C17727">
        <w:rPr>
          <w:rFonts w:hint="default"/>
        </w:rPr>
        <w:t>ka č.</w:t>
      </w:r>
      <w:r w:rsidR="003D5230">
        <w:t xml:space="preserve"> 8</w:t>
      </w:r>
    </w:p>
    <w:tbl>
      <w:tblPr>
        <w:tblStyle w:val="TableNormal"/>
        <w:tblW w:w="9107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3987"/>
        <w:gridCol w:w="1418"/>
        <w:gridCol w:w="1701"/>
        <w:gridCol w:w="2001"/>
      </w:tblGrid>
      <w:tr>
        <w:tblPrEx>
          <w:tblW w:w="9107" w:type="dxa"/>
          <w:jc w:val="center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  <w:jc w:val="center"/>
        </w:trPr>
        <w:tc>
          <w:tcPr>
            <w:tcW w:w="3987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7A3D6C">
            <w:pPr>
              <w:keepNext/>
              <w:bidi w:val="0"/>
              <w:spacing w:after="0" w:line="240" w:lineRule="auto"/>
              <w:ind w:firstLine="0"/>
              <w:jc w:val="left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Operač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ný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 xml:space="preserve"> program Rybn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é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 xml:space="preserve"> hospodá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rstvo SR 2007-2013</w:t>
            </w:r>
          </w:p>
        </w:tc>
        <w:tc>
          <w:tcPr>
            <w:tcW w:w="5120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6C058B">
            <w:pPr>
              <w:keepNext/>
              <w:bidi w:val="0"/>
              <w:spacing w:after="0" w:line="240" w:lineRule="auto"/>
              <w:jc w:val="center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Verejné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 xml:space="preserve"> zdroje OPRH</w:t>
            </w:r>
          </w:p>
        </w:tc>
      </w:tr>
      <w:tr>
        <w:tblPrEx>
          <w:tblW w:w="9107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5"/>
          <w:jc w:val="center"/>
        </w:trPr>
        <w:tc>
          <w:tcPr>
            <w:tcW w:w="3987" w:type="dxa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center"/>
          </w:tcPr>
          <w:p w:rsidR="006E7C03" w:rsidRPr="004D2A7F" w:rsidP="007A3D6C">
            <w:pPr>
              <w:keepNext/>
              <w:bidi w:val="0"/>
              <w:spacing w:after="0" w:line="240" w:lineRule="auto"/>
              <w:jc w:val="left"/>
              <w:rPr>
                <w:color w:val="FFFFFF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7A3D6C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A7F" w:rsidR="00EF471C">
              <w:rPr>
                <w:color w:val="FFFFFF"/>
                <w:sz w:val="22"/>
                <w:szCs w:val="22"/>
              </w:rPr>
              <w:t>Spolu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7A3D6C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A7F">
              <w:rPr>
                <w:color w:val="FFFFFF"/>
                <w:sz w:val="22"/>
                <w:szCs w:val="22"/>
              </w:rPr>
              <w:t>EFRH</w:t>
            </w:r>
          </w:p>
        </w:tc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7A3D6C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A7F">
              <w:rPr>
                <w:rFonts w:hint="default"/>
                <w:color w:val="FFFFFF"/>
                <w:sz w:val="22"/>
                <w:szCs w:val="22"/>
              </w:rPr>
              <w:t>Rozpoč</w:t>
            </w:r>
            <w:r w:rsidRPr="004D2A7F">
              <w:rPr>
                <w:rFonts w:hint="default"/>
                <w:color w:val="FFFFFF"/>
                <w:sz w:val="22"/>
                <w:szCs w:val="22"/>
              </w:rPr>
              <w:t>et SR</w:t>
            </w:r>
          </w:p>
        </w:tc>
      </w:tr>
      <w:tr>
        <w:tblPrEx>
          <w:tblW w:w="9107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398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7A3D6C">
            <w:pPr>
              <w:keepNext/>
              <w:bidi w:val="0"/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4D2A7F">
              <w:rPr>
                <w:rFonts w:hint="default"/>
                <w:color w:val="000000"/>
                <w:sz w:val="22"/>
                <w:szCs w:val="22"/>
              </w:rPr>
              <w:t>Verejný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prí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>spevok na celé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 xml:space="preserve"> obdobie</w:t>
            </w:r>
            <w:r w:rsidRPr="004D2A7F" w:rsidR="006C058B">
              <w:rPr>
                <w:rFonts w:hint="default"/>
                <w:color w:val="000000"/>
                <w:sz w:val="22"/>
                <w:szCs w:val="22"/>
              </w:rPr>
              <w:t xml:space="preserve"> v €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6C058B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18 922 750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6C058B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13 688 528</w:t>
            </w:r>
          </w:p>
        </w:tc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6C058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5 234 222</w:t>
            </w:r>
          </w:p>
        </w:tc>
      </w:tr>
      <w:tr>
        <w:tblPrEx>
          <w:tblW w:w="9107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5"/>
          <w:jc w:val="center"/>
        </w:trPr>
        <w:tc>
          <w:tcPr>
            <w:tcW w:w="3987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7A3D6C">
            <w:pPr>
              <w:keepNext/>
              <w:bidi w:val="0"/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4D2A7F">
              <w:rPr>
                <w:rFonts w:hint="default"/>
                <w:color w:val="000000"/>
                <w:sz w:val="22"/>
                <w:szCs w:val="22"/>
              </w:rPr>
              <w:t>Č</w:t>
            </w:r>
            <w:r w:rsidRPr="004D2A7F">
              <w:rPr>
                <w:rFonts w:hint="default"/>
                <w:color w:val="000000"/>
                <w:sz w:val="22"/>
                <w:szCs w:val="22"/>
              </w:rPr>
              <w:t>erpanie k 31.</w:t>
            </w:r>
            <w:r w:rsidRPr="004D2A7F" w:rsidR="006C058B">
              <w:rPr>
                <w:color w:val="000000"/>
                <w:sz w:val="22"/>
                <w:szCs w:val="22"/>
              </w:rPr>
              <w:t xml:space="preserve"> </w:t>
            </w:r>
            <w:r w:rsidRPr="004D2A7F">
              <w:rPr>
                <w:color w:val="000000"/>
                <w:sz w:val="22"/>
                <w:szCs w:val="22"/>
              </w:rPr>
              <w:t>12.</w:t>
            </w:r>
            <w:r w:rsidRPr="004D2A7F" w:rsidR="006C058B">
              <w:rPr>
                <w:color w:val="000000"/>
                <w:sz w:val="22"/>
                <w:szCs w:val="22"/>
              </w:rPr>
              <w:t xml:space="preserve"> </w:t>
            </w:r>
            <w:r w:rsidRPr="004D2A7F">
              <w:rPr>
                <w:color w:val="000000"/>
                <w:sz w:val="22"/>
                <w:szCs w:val="22"/>
              </w:rPr>
              <w:t>2010</w:t>
            </w:r>
            <w:r w:rsidRPr="004D2A7F" w:rsidR="006C058B">
              <w:rPr>
                <w:rFonts w:hint="default"/>
                <w:color w:val="000000"/>
                <w:sz w:val="22"/>
                <w:szCs w:val="22"/>
              </w:rPr>
              <w:t xml:space="preserve"> v €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6C058B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2 687 44</w:t>
            </w:r>
            <w:r w:rsidRPr="004D2A7F" w:rsidR="006C05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6C058B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1 996 499</w:t>
            </w:r>
          </w:p>
        </w:tc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6C058B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691 032</w:t>
            </w:r>
          </w:p>
        </w:tc>
      </w:tr>
      <w:tr>
        <w:tblPrEx>
          <w:tblW w:w="9107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3"/>
          <w:jc w:val="center"/>
        </w:trPr>
        <w:tc>
          <w:tcPr>
            <w:tcW w:w="3987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BD49D0">
            <w:pPr>
              <w:keepNext/>
              <w:bidi w:val="0"/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 w:rsidRPr="004D2A7F" w:rsidR="00BD49D0">
              <w:rPr>
                <w:rFonts w:hint="default"/>
                <w:bCs/>
                <w:color w:val="000000"/>
                <w:sz w:val="22"/>
                <w:szCs w:val="22"/>
              </w:rPr>
              <w:t>Č</w:t>
            </w:r>
            <w:r w:rsidRPr="004D2A7F" w:rsidR="00D47645">
              <w:rPr>
                <w:bCs/>
                <w:color w:val="000000"/>
                <w:sz w:val="22"/>
                <w:szCs w:val="22"/>
              </w:rPr>
              <w:t>erpanie OP</w:t>
            </w:r>
            <w:r w:rsidRPr="004D2A7F">
              <w:rPr>
                <w:rFonts w:hint="default"/>
                <w:bCs/>
                <w:color w:val="000000"/>
                <w:sz w:val="22"/>
                <w:szCs w:val="22"/>
              </w:rPr>
              <w:t>RH na ná</w:t>
            </w:r>
            <w:r w:rsidRPr="004D2A7F">
              <w:rPr>
                <w:rFonts w:hint="default"/>
                <w:bCs/>
                <w:color w:val="000000"/>
                <w:sz w:val="22"/>
                <w:szCs w:val="22"/>
              </w:rPr>
              <w:t>rodnej ú</w:t>
            </w:r>
            <w:r w:rsidRPr="004D2A7F">
              <w:rPr>
                <w:rFonts w:hint="default"/>
                <w:bCs/>
                <w:color w:val="000000"/>
                <w:sz w:val="22"/>
                <w:szCs w:val="22"/>
              </w:rPr>
              <w:t xml:space="preserve">rovni </w:t>
            </w:r>
            <w:r w:rsidRPr="004D2A7F" w:rsidR="00BD49D0">
              <w:rPr>
                <w:bCs/>
                <w:color w:val="000000"/>
                <w:sz w:val="22"/>
                <w:szCs w:val="22"/>
              </w:rPr>
              <w:t>v</w:t>
            </w:r>
            <w:r w:rsidRPr="004D2A7F" w:rsidR="00440106">
              <w:rPr>
                <w:bCs/>
                <w:color w:val="000000"/>
                <w:sz w:val="22"/>
                <w:szCs w:val="22"/>
              </w:rPr>
              <w:t> </w:t>
            </w:r>
            <w:r w:rsidRPr="004D2A7F" w:rsidR="00440106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BD49D0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BD49D0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14,</w:t>
            </w:r>
            <w:r w:rsidRPr="004D2A7F" w:rsidR="00BD49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6E7C03" w:rsidRPr="004D2A7F" w:rsidP="00BD49D0">
            <w:pPr>
              <w:keepNext/>
              <w:bidi w:val="0"/>
              <w:spacing w:after="0" w:line="240" w:lineRule="auto"/>
              <w:jc w:val="right"/>
              <w:rPr>
                <w:color w:val="000000"/>
              </w:rPr>
            </w:pPr>
            <w:r w:rsidRPr="004D2A7F">
              <w:rPr>
                <w:color w:val="000000"/>
                <w:sz w:val="22"/>
                <w:szCs w:val="22"/>
              </w:rPr>
              <w:t>13,2</w:t>
            </w:r>
          </w:p>
        </w:tc>
      </w:tr>
    </w:tbl>
    <w:p w:rsidR="006E7C03" w:rsidP="007A3D6C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 w:rsidR="00C17727">
        <w:rPr>
          <w:sz w:val="20"/>
          <w:szCs w:val="20"/>
        </w:rPr>
        <w:t>P</w:t>
      </w:r>
      <w:r w:rsidR="00C17727">
        <w:rPr>
          <w:rFonts w:hint="default"/>
          <w:sz w:val="20"/>
          <w:szCs w:val="20"/>
        </w:rPr>
        <w:t>rameň</w:t>
      </w:r>
      <w:r w:rsidRPr="00BA63B5">
        <w:rPr>
          <w:rFonts w:hint="default"/>
          <w:sz w:val="20"/>
          <w:szCs w:val="20"/>
        </w:rPr>
        <w:t>: Ministerstvo financií</w:t>
      </w:r>
      <w:r w:rsidRPr="00BA63B5">
        <w:rPr>
          <w:rFonts w:hint="default"/>
          <w:sz w:val="20"/>
          <w:szCs w:val="20"/>
        </w:rPr>
        <w:t xml:space="preserve"> SR</w:t>
      </w:r>
    </w:p>
    <w:p w:rsidR="00C17727" w:rsidRPr="00D31CBB" w:rsidP="00C17727">
      <w:pPr>
        <w:keepNext/>
        <w:autoSpaceDE w:val="0"/>
        <w:autoSpaceDN w:val="0"/>
        <w:bidi w:val="0"/>
        <w:spacing w:after="0" w:line="240" w:lineRule="auto"/>
        <w:ind w:firstLine="0"/>
        <w:rPr>
          <w:sz w:val="20"/>
          <w:szCs w:val="20"/>
        </w:rPr>
      </w:pPr>
      <w:r>
        <w:rPr>
          <w:rFonts w:hint="default"/>
          <w:sz w:val="20"/>
          <w:szCs w:val="20"/>
        </w:rPr>
        <w:t>Vypracoval: VÚ</w:t>
      </w:r>
      <w:r>
        <w:rPr>
          <w:rFonts w:hint="default"/>
          <w:sz w:val="20"/>
          <w:szCs w:val="20"/>
        </w:rPr>
        <w:t>EPP</w:t>
      </w:r>
    </w:p>
    <w:p w:rsidR="00C17727" w:rsidRPr="00BA63B5" w:rsidP="00C17727">
      <w:pPr>
        <w:bidi w:val="0"/>
        <w:ind w:firstLine="0"/>
        <w:rPr>
          <w:sz w:val="20"/>
          <w:szCs w:val="20"/>
        </w:rPr>
      </w:pPr>
    </w:p>
    <w:p w:rsidR="006E7C03" w:rsidP="006E7C03">
      <w:pPr>
        <w:bidi w:val="0"/>
        <w:rPr>
          <w:rFonts w:hint="default"/>
        </w:rPr>
      </w:pPr>
      <w:r w:rsidRPr="0065370F">
        <w:rPr>
          <w:rFonts w:hint="default"/>
        </w:rPr>
        <w:t>Vzhľ</w:t>
      </w:r>
      <w:r w:rsidRPr="0065370F">
        <w:rPr>
          <w:rFonts w:hint="default"/>
        </w:rPr>
        <w:t>adom na pravidlo č</w:t>
      </w:r>
      <w:r w:rsidRPr="0065370F">
        <w:rPr>
          <w:rFonts w:hint="default"/>
        </w:rPr>
        <w:t>erpania n+2</w:t>
      </w:r>
      <w:r>
        <w:rPr>
          <w:rStyle w:val="FootnoteReference"/>
          <w:rtl w:val="0"/>
        </w:rPr>
        <w:footnoteReference w:id="3"/>
      </w:r>
      <w:r w:rsidRPr="0065370F">
        <w:t xml:space="preserve"> je</w:t>
      </w:r>
      <w:r>
        <w:rPr>
          <w:rFonts w:hint="default"/>
        </w:rPr>
        <w:t xml:space="preserve"> pô</w:t>
      </w:r>
      <w:r>
        <w:rPr>
          <w:rFonts w:hint="default"/>
        </w:rPr>
        <w:t>vodný</w:t>
      </w:r>
      <w:r w:rsidRPr="0065370F">
        <w:rPr>
          <w:rFonts w:hint="default"/>
        </w:rPr>
        <w:t xml:space="preserve">  zá</w:t>
      </w:r>
      <w:r w:rsidRPr="0065370F">
        <w:rPr>
          <w:rFonts w:hint="default"/>
        </w:rPr>
        <w:t>vä</w:t>
      </w:r>
      <w:r w:rsidRPr="0065370F">
        <w:rPr>
          <w:rFonts w:hint="default"/>
        </w:rPr>
        <w:t>zok EÚ</w:t>
      </w:r>
      <w:r w:rsidRPr="0065370F">
        <w:rPr>
          <w:rFonts w:hint="default"/>
        </w:rPr>
        <w:t xml:space="preserve"> na rok 2008 č</w:t>
      </w:r>
      <w:r w:rsidRPr="0065370F">
        <w:rPr>
          <w:rFonts w:hint="default"/>
        </w:rPr>
        <w:t>erpaný</w:t>
      </w:r>
      <w:r w:rsidRPr="0065370F">
        <w:rPr>
          <w:rFonts w:hint="default"/>
        </w:rPr>
        <w:t xml:space="preserve"> na 99,96</w:t>
      </w:r>
      <w:r w:rsidR="00440106">
        <w:t> </w:t>
      </w:r>
      <w:r w:rsidR="00440106">
        <w:t>%</w:t>
      </w:r>
      <w:r w:rsidRPr="0065370F">
        <w:rPr>
          <w:rFonts w:hint="default"/>
        </w:rPr>
        <w:t>. Za cieľ</w:t>
      </w:r>
      <w:r w:rsidRPr="0065370F">
        <w:rPr>
          <w:rFonts w:hint="default"/>
        </w:rPr>
        <w:t xml:space="preserve"> Konvergencia je ú</w:t>
      </w:r>
      <w:r w:rsidRPr="0065370F">
        <w:rPr>
          <w:rFonts w:hint="default"/>
        </w:rPr>
        <w:t>rov</w:t>
      </w:r>
      <w:r w:rsidR="00895787">
        <w:rPr>
          <w:rFonts w:hint="default"/>
        </w:rPr>
        <w:t>eň</w:t>
      </w:r>
      <w:r w:rsidR="00895787">
        <w:rPr>
          <w:rFonts w:hint="default"/>
        </w:rPr>
        <w:t xml:space="preserve"> č</w:t>
      </w:r>
      <w:r w:rsidR="00895787">
        <w:rPr>
          <w:rFonts w:hint="default"/>
        </w:rPr>
        <w:t>erpania tohto zá</w:t>
      </w:r>
      <w:r w:rsidR="00895787">
        <w:rPr>
          <w:rFonts w:hint="default"/>
        </w:rPr>
        <w:t>vä</w:t>
      </w:r>
      <w:r w:rsidR="00895787">
        <w:rPr>
          <w:rFonts w:hint="default"/>
        </w:rPr>
        <w:t>zku 106,1</w:t>
      </w:r>
      <w:r w:rsidR="00440106">
        <w:t> </w:t>
      </w:r>
      <w:r w:rsidR="00440106">
        <w:t>%</w:t>
      </w:r>
      <w:r w:rsidRPr="0065370F">
        <w:t xml:space="preserve"> a </w:t>
      </w:r>
      <w:r w:rsidRPr="0065370F">
        <w:rPr>
          <w:rFonts w:hint="default"/>
        </w:rPr>
        <w:t>ú</w:t>
      </w:r>
      <w:r w:rsidRPr="0065370F">
        <w:rPr>
          <w:rFonts w:hint="default"/>
        </w:rPr>
        <w:t>roveň</w:t>
      </w:r>
      <w:r w:rsidRPr="0065370F">
        <w:rPr>
          <w:rFonts w:hint="default"/>
        </w:rPr>
        <w:t xml:space="preserve"> č</w:t>
      </w:r>
      <w:r w:rsidRPr="0065370F">
        <w:rPr>
          <w:rFonts w:hint="default"/>
        </w:rPr>
        <w:t>erpania m</w:t>
      </w:r>
      <w:r w:rsidR="00D47645">
        <w:rPr>
          <w:rFonts w:hint="default"/>
        </w:rPr>
        <w:t>imo cieľ</w:t>
      </w:r>
      <w:r w:rsidR="00D47645">
        <w:rPr>
          <w:rFonts w:hint="default"/>
        </w:rPr>
        <w:t>a Konvergencia je 23</w:t>
      </w:r>
      <w:r w:rsidR="00440106">
        <w:t> </w:t>
      </w:r>
      <w:r w:rsidR="00440106">
        <w:t>%</w:t>
      </w:r>
      <w:r w:rsidRPr="0065370F">
        <w:t>. Za</w:t>
      </w:r>
      <w:r w:rsidRPr="0065370F">
        <w:t xml:space="preserve"> </w:t>
      </w:r>
      <w:r>
        <w:t>oblasti</w:t>
      </w:r>
      <w:r w:rsidRPr="0065370F">
        <w:rPr>
          <w:rFonts w:hint="default"/>
        </w:rPr>
        <w:t xml:space="preserve"> mimo cieľ</w:t>
      </w:r>
      <w:r w:rsidRPr="0065370F">
        <w:rPr>
          <w:rFonts w:hint="default"/>
        </w:rPr>
        <w:t>a Konvergencia</w:t>
      </w:r>
      <w:r>
        <w:rPr>
          <w:rFonts w:hint="default"/>
        </w:rPr>
        <w:t xml:space="preserve"> (Bratislavský</w:t>
      </w:r>
      <w:r>
        <w:rPr>
          <w:rFonts w:hint="default"/>
        </w:rPr>
        <w:t xml:space="preserve"> kraj)</w:t>
      </w:r>
      <w:r w:rsidRPr="0065370F">
        <w:rPr>
          <w:rFonts w:hint="default"/>
        </w:rPr>
        <w:t xml:space="preserve"> zostalo zo zá</w:t>
      </w:r>
      <w:r w:rsidRPr="0065370F">
        <w:rPr>
          <w:rFonts w:hint="default"/>
        </w:rPr>
        <w:t>vä</w:t>
      </w:r>
      <w:r w:rsidRPr="0065370F">
        <w:rPr>
          <w:rFonts w:hint="default"/>
        </w:rPr>
        <w:t>zku n</w:t>
      </w:r>
      <w:r>
        <w:t>a rok 2008 nev</w:t>
      </w:r>
      <w:r w:rsidR="00EB189E">
        <w:t>y</w:t>
      </w:r>
      <w:r>
        <w:rPr>
          <w:rFonts w:hint="default"/>
        </w:rPr>
        <w:t>č</w:t>
      </w:r>
      <w:r>
        <w:rPr>
          <w:rFonts w:hint="default"/>
        </w:rPr>
        <w:t>erpaný</w:t>
      </w:r>
      <w:r>
        <w:rPr>
          <w:rFonts w:hint="default"/>
        </w:rPr>
        <w:t>ch 108 599 </w:t>
      </w:r>
      <w:r w:rsidR="00895787">
        <w:rPr>
          <w:rFonts w:hint="default"/>
        </w:rPr>
        <w:t>€</w:t>
      </w:r>
      <w:r w:rsidRPr="0065370F">
        <w:rPr>
          <w:rFonts w:hint="default"/>
        </w:rPr>
        <w:t>, č</w:t>
      </w:r>
      <w:r w:rsidRPr="0065370F">
        <w:rPr>
          <w:rFonts w:hint="default"/>
        </w:rPr>
        <w:t>o predstavuje 0,79</w:t>
      </w:r>
      <w:r w:rsidR="00440106">
        <w:t> </w:t>
      </w:r>
      <w:r w:rsidR="00440106">
        <w:t>%</w:t>
      </w:r>
      <w:r w:rsidRPr="0065370F">
        <w:t xml:space="preserve"> z</w:t>
      </w:r>
      <w:r>
        <w:t> </w:t>
      </w:r>
      <w:r w:rsidRPr="0065370F">
        <w:rPr>
          <w:rFonts w:hint="default"/>
        </w:rPr>
        <w:t>celkové</w:t>
      </w:r>
      <w:r w:rsidRPr="0065370F">
        <w:rPr>
          <w:rFonts w:hint="default"/>
        </w:rPr>
        <w:t>ho</w:t>
      </w:r>
      <w:r>
        <w:rPr>
          <w:rFonts w:hint="default"/>
        </w:rPr>
        <w:t xml:space="preserve"> pô</w:t>
      </w:r>
      <w:r>
        <w:rPr>
          <w:rFonts w:hint="default"/>
        </w:rPr>
        <w:t>vodné</w:t>
      </w:r>
      <w:r>
        <w:rPr>
          <w:rFonts w:hint="default"/>
        </w:rPr>
        <w:t>ho</w:t>
      </w:r>
      <w:r w:rsidRPr="0065370F">
        <w:rPr>
          <w:rFonts w:hint="default"/>
        </w:rPr>
        <w:t xml:space="preserve"> sedemroč</w:t>
      </w:r>
      <w:r w:rsidRPr="0065370F">
        <w:rPr>
          <w:rFonts w:hint="default"/>
        </w:rPr>
        <w:t>né</w:t>
      </w:r>
      <w:r w:rsidRPr="0065370F">
        <w:rPr>
          <w:rFonts w:hint="default"/>
        </w:rPr>
        <w:t>ho zá</w:t>
      </w:r>
      <w:r w:rsidRPr="0065370F">
        <w:rPr>
          <w:rFonts w:hint="default"/>
        </w:rPr>
        <w:t>vä</w:t>
      </w:r>
      <w:r w:rsidRPr="0065370F">
        <w:rPr>
          <w:rFonts w:hint="default"/>
        </w:rPr>
        <w:t>zku pre celý</w:t>
      </w:r>
      <w:r w:rsidRPr="0065370F">
        <w:rPr>
          <w:rFonts w:hint="default"/>
        </w:rPr>
        <w:t xml:space="preserve"> program.</w:t>
      </w:r>
      <w:r>
        <w:rPr>
          <w:rFonts w:hint="default"/>
        </w:rPr>
        <w:t xml:space="preserve"> Ná</w:t>
      </w:r>
      <w:r>
        <w:rPr>
          <w:rFonts w:hint="default"/>
        </w:rPr>
        <w:t>sledne bude zá</w:t>
      </w:r>
      <w:r>
        <w:rPr>
          <w:rFonts w:hint="default"/>
        </w:rPr>
        <w:t>vä</w:t>
      </w:r>
      <w:r>
        <w:rPr>
          <w:rFonts w:hint="default"/>
        </w:rPr>
        <w:t>zok EÚ</w:t>
      </w:r>
      <w:r>
        <w:rPr>
          <w:rFonts w:hint="default"/>
        </w:rPr>
        <w:t xml:space="preserve"> pre oblasti mimo cieľ</w:t>
      </w:r>
      <w:r>
        <w:rPr>
          <w:rFonts w:hint="default"/>
        </w:rPr>
        <w:t>a Konvergencia zní</w:t>
      </w:r>
      <w:r>
        <w:rPr>
          <w:rFonts w:hint="default"/>
        </w:rPr>
        <w:t>ž</w:t>
      </w:r>
      <w:r>
        <w:rPr>
          <w:rFonts w:hint="default"/>
        </w:rPr>
        <w:t>ený</w:t>
      </w:r>
      <w:r>
        <w:rPr>
          <w:rFonts w:hint="default"/>
        </w:rPr>
        <w:t xml:space="preserve"> o </w:t>
      </w:r>
      <w:r>
        <w:rPr>
          <w:rFonts w:hint="default"/>
        </w:rPr>
        <w:t>nevyč</w:t>
      </w:r>
      <w:r>
        <w:rPr>
          <w:rFonts w:hint="default"/>
        </w:rPr>
        <w:t>erpanú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zá</w:t>
      </w:r>
      <w:r>
        <w:rPr>
          <w:rFonts w:hint="default"/>
        </w:rPr>
        <w:t>vä</w:t>
      </w:r>
      <w:r>
        <w:rPr>
          <w:rFonts w:hint="default"/>
        </w:rPr>
        <w:t>zku roku 2008 a v </w:t>
      </w:r>
      <w:r>
        <w:rPr>
          <w:rFonts w:hint="default"/>
        </w:rPr>
        <w:t>nadvä</w:t>
      </w:r>
      <w:r>
        <w:rPr>
          <w:rFonts w:hint="default"/>
        </w:rPr>
        <w:t>znosti bude zníž</w:t>
      </w:r>
      <w:r>
        <w:rPr>
          <w:rFonts w:hint="default"/>
        </w:rPr>
        <w:t>ený</w:t>
      </w:r>
      <w:r>
        <w:rPr>
          <w:rFonts w:hint="default"/>
        </w:rPr>
        <w:t xml:space="preserve"> aj zodpovedajú</w:t>
      </w:r>
      <w:r>
        <w:rPr>
          <w:rFonts w:hint="default"/>
        </w:rPr>
        <w:t>ci podiel prí</w:t>
      </w:r>
      <w:r>
        <w:rPr>
          <w:rFonts w:hint="default"/>
        </w:rPr>
        <w:t>spevku z </w:t>
      </w:r>
      <w:r>
        <w:rPr>
          <w:rFonts w:hint="default"/>
        </w:rPr>
        <w:t>rozpoč</w:t>
      </w:r>
      <w:r>
        <w:rPr>
          <w:rFonts w:hint="default"/>
        </w:rPr>
        <w:t>tu SR.</w:t>
      </w:r>
    </w:p>
    <w:p w:rsidR="006E7C03" w:rsidP="006E7C03">
      <w:pPr>
        <w:bidi w:val="0"/>
        <w:rPr>
          <w:b/>
        </w:rPr>
      </w:pPr>
      <w:r>
        <w:rPr>
          <w:rFonts w:hint="default"/>
        </w:rPr>
        <w:t>Dô</w:t>
      </w:r>
      <w:r>
        <w:rPr>
          <w:rFonts w:hint="default"/>
        </w:rPr>
        <w:t>vodom ní</w:t>
      </w:r>
      <w:r>
        <w:rPr>
          <w:rFonts w:hint="default"/>
        </w:rPr>
        <w:t>zkeho č</w:t>
      </w:r>
      <w:r>
        <w:rPr>
          <w:rFonts w:hint="default"/>
        </w:rPr>
        <w:t>erpania finanč</w:t>
      </w:r>
      <w:r>
        <w:rPr>
          <w:rFonts w:hint="default"/>
        </w:rPr>
        <w:t>ný</w:t>
      </w:r>
      <w:r>
        <w:rPr>
          <w:rFonts w:hint="default"/>
        </w:rPr>
        <w:t>ch prostriedkov v </w:t>
      </w:r>
      <w:r>
        <w:rPr>
          <w:rFonts w:hint="default"/>
        </w:rPr>
        <w:t>oblastiach mimo cieľ</w:t>
      </w:r>
      <w:r>
        <w:rPr>
          <w:rFonts w:hint="default"/>
        </w:rPr>
        <w:t>a Konvergencia je ní</w:t>
      </w:r>
      <w:r>
        <w:rPr>
          <w:rFonts w:hint="default"/>
        </w:rPr>
        <w:t>zky zá</w:t>
      </w:r>
      <w:r>
        <w:rPr>
          <w:rFonts w:hint="default"/>
        </w:rPr>
        <w:t>ujem potenciá</w:t>
      </w:r>
      <w:r>
        <w:rPr>
          <w:rFonts w:hint="default"/>
        </w:rPr>
        <w:t>lnych prijí</w:t>
      </w:r>
      <w:r>
        <w:rPr>
          <w:rFonts w:hint="default"/>
        </w:rPr>
        <w:t>mateľ</w:t>
      </w:r>
      <w:r>
        <w:rPr>
          <w:rFonts w:hint="default"/>
        </w:rPr>
        <w:t>ov o posky</w:t>
      </w:r>
      <w:r>
        <w:rPr>
          <w:rFonts w:hint="default"/>
        </w:rPr>
        <w:t>tovanú</w:t>
      </w:r>
      <w:r>
        <w:rPr>
          <w:rFonts w:hint="default"/>
        </w:rPr>
        <w:t xml:space="preserve"> pomoc. V </w:t>
      </w:r>
      <w:r>
        <w:rPr>
          <w:rFonts w:hint="default"/>
        </w:rPr>
        <w:t>rá</w:t>
      </w:r>
      <w:r>
        <w:rPr>
          <w:rFonts w:hint="default"/>
        </w:rPr>
        <w:t>mci doposiaľ</w:t>
      </w:r>
      <w:r>
        <w:rPr>
          <w:rFonts w:hint="default"/>
        </w:rPr>
        <w:t xml:space="preserve"> vyhlá</w:t>
      </w:r>
      <w:r>
        <w:rPr>
          <w:rFonts w:hint="default"/>
        </w:rPr>
        <w:t>sený</w:t>
      </w:r>
      <w:r>
        <w:rPr>
          <w:rFonts w:hint="default"/>
        </w:rPr>
        <w:t>ch dvoch vý</w:t>
      </w:r>
      <w:r>
        <w:rPr>
          <w:rFonts w:hint="default"/>
        </w:rPr>
        <w:t>ziev boli predlož</w:t>
      </w:r>
      <w:r>
        <w:rPr>
          <w:rFonts w:hint="default"/>
        </w:rPr>
        <w:t>ené</w:t>
      </w:r>
      <w:r>
        <w:rPr>
          <w:rFonts w:hint="default"/>
        </w:rPr>
        <w:t xml:space="preserve"> a </w:t>
      </w:r>
      <w:r>
        <w:rPr>
          <w:rFonts w:hint="default"/>
        </w:rPr>
        <w:t>ná</w:t>
      </w:r>
      <w:r>
        <w:rPr>
          <w:rFonts w:hint="default"/>
        </w:rPr>
        <w:t>sledne schvá</w:t>
      </w:r>
      <w:r>
        <w:rPr>
          <w:rFonts w:hint="default"/>
        </w:rPr>
        <w:t>lené</w:t>
      </w:r>
      <w:r>
        <w:rPr>
          <w:rFonts w:hint="default"/>
        </w:rPr>
        <w:t xml:space="preserve"> len 2 projekty za tento cieľ</w:t>
      </w:r>
      <w:r>
        <w:rPr>
          <w:rFonts w:hint="default"/>
        </w:rPr>
        <w:t>. Riadiaci orgá</w:t>
      </w:r>
      <w:r>
        <w:rPr>
          <w:rFonts w:hint="default"/>
        </w:rPr>
        <w:t>n, aj na zá</w:t>
      </w:r>
      <w:r>
        <w:rPr>
          <w:rFonts w:hint="default"/>
        </w:rPr>
        <w:t>klade vý</w:t>
      </w:r>
      <w:r>
        <w:rPr>
          <w:rFonts w:hint="default"/>
        </w:rPr>
        <w:t>sledkov strednodobé</w:t>
      </w:r>
      <w:r>
        <w:rPr>
          <w:rFonts w:hint="default"/>
        </w:rPr>
        <w:t>ho hodnotenia, zváž</w:t>
      </w:r>
      <w:r>
        <w:rPr>
          <w:rFonts w:hint="default"/>
        </w:rPr>
        <w:t>i krité</w:t>
      </w:r>
      <w:r>
        <w:rPr>
          <w:rFonts w:hint="default"/>
        </w:rPr>
        <w:t>ria pre vý</w:t>
      </w:r>
      <w:r>
        <w:rPr>
          <w:rFonts w:hint="default"/>
        </w:rPr>
        <w:t>ber projektov, ako aj mož</w:t>
      </w:r>
      <w:r>
        <w:rPr>
          <w:rFonts w:hint="default"/>
        </w:rPr>
        <w:t>nosti revidovania pr</w:t>
      </w:r>
      <w:r>
        <w:rPr>
          <w:rFonts w:hint="default"/>
        </w:rPr>
        <w:t>o</w:t>
      </w:r>
      <w:r>
        <w:rPr>
          <w:rFonts w:hint="default"/>
        </w:rPr>
        <w:t>gramu</w:t>
      </w:r>
      <w:r w:rsidR="0033356D">
        <w:t>.</w:t>
      </w:r>
    </w:p>
    <w:p w:rsidR="00C31DF4" w:rsidP="00C31DF4">
      <w:pPr>
        <w:pStyle w:val="Heading4"/>
        <w:bidi w:val="0"/>
        <w:rPr>
          <w:rFonts w:ascii="Times New Roman" w:hAnsi="Times New Roman"/>
        </w:rPr>
      </w:pPr>
      <w:bookmarkStart w:id="4" w:name="_Toc231806210"/>
      <w:r w:rsidRPr="00720F8D">
        <w:rPr>
          <w:rFonts w:ascii="Times New Roman" w:hAnsi="Times New Roman"/>
        </w:rPr>
        <w:t>Celkové zhodnotenie rozvoja vidieka</w:t>
      </w:r>
      <w:bookmarkEnd w:id="4"/>
    </w:p>
    <w:p w:rsidR="00C31DF4" w:rsidP="00C31DF4">
      <w:pPr>
        <w:bidi w:val="0"/>
      </w:pPr>
      <w:r>
        <w:t>V  roku 2009 boli na rozvoj</w:t>
      </w:r>
      <w:r w:rsidR="00D47645">
        <w:rPr>
          <w:rFonts w:hint="default"/>
        </w:rPr>
        <w:t xml:space="preserve"> vidieka použ</w:t>
      </w:r>
      <w:r w:rsidR="00D47645">
        <w:rPr>
          <w:rFonts w:hint="default"/>
        </w:rPr>
        <w:t>ité</w:t>
      </w:r>
      <w:r w:rsidR="00D47645">
        <w:rPr>
          <w:rFonts w:hint="default"/>
        </w:rPr>
        <w:t xml:space="preserve"> eš</w:t>
      </w:r>
      <w:r w:rsidR="00D47645">
        <w:rPr>
          <w:rFonts w:hint="default"/>
        </w:rPr>
        <w:t xml:space="preserve">te podpory z </w:t>
      </w:r>
      <w:r>
        <w:t>I. ako aj z </w:t>
      </w:r>
      <w:r>
        <w:rPr>
          <w:rFonts w:hint="default"/>
        </w:rPr>
        <w:t>II. programové</w:t>
      </w:r>
      <w:r>
        <w:rPr>
          <w:rFonts w:hint="default"/>
        </w:rPr>
        <w:t>ho obdobia. Oprá</w:t>
      </w:r>
      <w:r>
        <w:rPr>
          <w:rFonts w:hint="default"/>
        </w:rPr>
        <w:t>vnenosť</w:t>
      </w:r>
      <w:r>
        <w:rPr>
          <w:rFonts w:hint="default"/>
        </w:rPr>
        <w:t xml:space="preserve"> č</w:t>
      </w:r>
      <w:r>
        <w:rPr>
          <w:rFonts w:hint="default"/>
        </w:rPr>
        <w:t>erpania vý</w:t>
      </w:r>
      <w:r>
        <w:rPr>
          <w:rFonts w:hint="default"/>
        </w:rPr>
        <w:t>davkov Plá</w:t>
      </w:r>
      <w:r>
        <w:rPr>
          <w:rFonts w:hint="default"/>
        </w:rPr>
        <w:t>nu rozvoja vidieka a SOP PaRV do 30. 6. 2009 z </w:t>
      </w:r>
      <w:r>
        <w:rPr>
          <w:rFonts w:hint="default"/>
        </w:rPr>
        <w:t>dô</w:t>
      </w:r>
      <w:r>
        <w:rPr>
          <w:rFonts w:hint="default"/>
        </w:rPr>
        <w:t>vodu eliminá</w:t>
      </w:r>
      <w:r>
        <w:rPr>
          <w:rFonts w:hint="default"/>
        </w:rPr>
        <w:t xml:space="preserve">cie </w:t>
      </w:r>
      <w:r w:rsidRPr="00EE1BCC" w:rsidR="00EE1BCC">
        <w:t>dosahov</w:t>
      </w:r>
      <w:r w:rsidRPr="00EE1BCC">
        <w:rPr>
          <w:rFonts w:hint="default"/>
        </w:rPr>
        <w:t xml:space="preserve"> finanč</w:t>
      </w:r>
      <w:r w:rsidRPr="00EE1BCC">
        <w:rPr>
          <w:rFonts w:hint="default"/>
        </w:rPr>
        <w:t>nej</w:t>
      </w:r>
      <w:r>
        <w:t xml:space="preserve"> </w:t>
      </w:r>
      <w:r>
        <w:rPr>
          <w:rFonts w:hint="default"/>
        </w:rPr>
        <w:t>krí</w:t>
      </w:r>
      <w:r>
        <w:rPr>
          <w:rFonts w:hint="default"/>
        </w:rPr>
        <w:t>zy dalo predpoklad ú</w:t>
      </w:r>
      <w:r>
        <w:rPr>
          <w:rFonts w:hint="default"/>
        </w:rPr>
        <w:t>plné</w:t>
      </w:r>
      <w:r>
        <w:rPr>
          <w:rFonts w:hint="default"/>
        </w:rPr>
        <w:t>ho vyč</w:t>
      </w:r>
      <w:r>
        <w:rPr>
          <w:rFonts w:hint="default"/>
        </w:rPr>
        <w:t xml:space="preserve">erpania </w:t>
      </w:r>
      <w:r w:rsidR="00480636">
        <w:rPr>
          <w:rFonts w:hint="default"/>
        </w:rPr>
        <w:t>zazmluvnený</w:t>
      </w:r>
      <w:r w:rsidR="00480636">
        <w:rPr>
          <w:rFonts w:hint="default"/>
        </w:rPr>
        <w:t>ch</w:t>
      </w:r>
      <w:r w:rsidR="00D47645">
        <w:rPr>
          <w:rFonts w:hint="default"/>
        </w:rPr>
        <w:t xml:space="preserve"> finanč</w:t>
      </w:r>
      <w:r w:rsidR="00D47645">
        <w:rPr>
          <w:rFonts w:hint="default"/>
        </w:rPr>
        <w:t>ný</w:t>
      </w:r>
      <w:r w:rsidR="00D47645">
        <w:rPr>
          <w:rFonts w:hint="default"/>
        </w:rPr>
        <w:t xml:space="preserve">ch prostriedkov a </w:t>
      </w:r>
      <w:r>
        <w:rPr>
          <w:rFonts w:hint="default"/>
        </w:rPr>
        <w:t>ú</w:t>
      </w:r>
      <w:r>
        <w:rPr>
          <w:rFonts w:hint="default"/>
        </w:rPr>
        <w:t>speš</w:t>
      </w:r>
      <w:r>
        <w:rPr>
          <w:rFonts w:hint="default"/>
        </w:rPr>
        <w:t>né</w:t>
      </w:r>
      <w:r>
        <w:rPr>
          <w:rFonts w:hint="default"/>
        </w:rPr>
        <w:t>ho ukonč</w:t>
      </w:r>
      <w:r>
        <w:rPr>
          <w:rFonts w:hint="default"/>
        </w:rPr>
        <w:t>enia tý</w:t>
      </w:r>
      <w:r>
        <w:rPr>
          <w:rFonts w:hint="default"/>
        </w:rPr>
        <w:t>chto programov. Prostriedky z Programu rozvoja vidie</w:t>
      </w:r>
      <w:r w:rsidR="00D47645">
        <w:t>ka 2007 </w:t>
      </w:r>
      <w:r w:rsidR="00D47645">
        <w:noBreakHyphen/>
        <w:t> </w:t>
      </w:r>
      <w:r w:rsidR="00C0319B">
        <w:t>2013 v roku 2009 tvorili 98,8</w:t>
      </w:r>
      <w:r w:rsidR="00440106">
        <w:t> </w:t>
      </w:r>
      <w:r w:rsidR="00440106">
        <w:t>%</w:t>
      </w:r>
      <w:r>
        <w:rPr>
          <w:rFonts w:hint="default"/>
        </w:rPr>
        <w:t xml:space="preserve"> na celkový</w:t>
      </w:r>
      <w:r>
        <w:rPr>
          <w:rFonts w:hint="default"/>
        </w:rPr>
        <w:t>ch podporá</w:t>
      </w:r>
      <w:r>
        <w:rPr>
          <w:rFonts w:hint="default"/>
        </w:rPr>
        <w:t>ch v </w:t>
      </w:r>
      <w:r>
        <w:rPr>
          <w:rFonts w:hint="default"/>
        </w:rPr>
        <w:t>rá</w:t>
      </w:r>
      <w:r>
        <w:rPr>
          <w:rFonts w:hint="default"/>
        </w:rPr>
        <w:t>mci rozvoja vidieka, v roku 2010</w:t>
      </w:r>
      <w:r>
        <w:rPr>
          <w:rFonts w:hint="default"/>
        </w:rPr>
        <w:t xml:space="preserve"> sa podieľ</w:t>
      </w:r>
      <w:r>
        <w:rPr>
          <w:rFonts w:hint="default"/>
        </w:rPr>
        <w:t>ali už</w:t>
      </w:r>
      <w:r>
        <w:rPr>
          <w:rFonts w:hint="default"/>
        </w:rPr>
        <w:t xml:space="preserve"> na</w:t>
      </w:r>
      <w:r w:rsidR="00895787">
        <w:t> </w:t>
      </w:r>
      <w:r>
        <w:t>100</w:t>
      </w:r>
      <w:r w:rsidR="00440106">
        <w:t> </w:t>
      </w:r>
      <w:r w:rsidR="00440106">
        <w:t>%</w:t>
      </w:r>
      <w:r>
        <w:t>.</w:t>
      </w:r>
    </w:p>
    <w:p w:rsidR="00C31DF4" w:rsidRPr="00C31DF4" w:rsidP="00D47645">
      <w:pPr>
        <w:keepNext/>
        <w:bidi w:val="0"/>
        <w:spacing w:after="0" w:line="240" w:lineRule="auto"/>
        <w:ind w:firstLine="0"/>
        <w:rPr>
          <w:b/>
        </w:rPr>
      </w:pPr>
      <w:r w:rsidRPr="00C31DF4">
        <w:rPr>
          <w:b/>
        </w:rPr>
        <w:t xml:space="preserve">Rozvoj vidieka v roku 2009 a 2010 </w:t>
      </w:r>
    </w:p>
    <w:p w:rsidR="00C31DF4" w:rsidP="00D47645">
      <w:pPr>
        <w:keepNext/>
        <w:bidi w:val="0"/>
        <w:spacing w:after="0" w:line="240" w:lineRule="auto"/>
        <w:ind w:firstLine="0"/>
      </w:pPr>
      <w:r w:rsidRPr="00C31DF4">
        <w:t>v </w:t>
      </w:r>
      <w:r w:rsidRPr="00C31DF4">
        <w:rPr>
          <w:rFonts w:hint="default"/>
        </w:rPr>
        <w:t>mil. €</w:t>
      </w:r>
      <w:r w:rsidRPr="00C31DF4">
        <w:rPr>
          <w:rFonts w:hint="default"/>
        </w:rPr>
        <w:t xml:space="preserve">                                                                                    </w:t>
      </w:r>
      <w:r>
        <w:t xml:space="preserve">          </w:t>
      </w:r>
      <w:r w:rsidR="00930867">
        <w:t xml:space="preserve">     </w:t>
      </w:r>
      <w:r>
        <w:t xml:space="preserve">  </w:t>
      </w:r>
      <w:r w:rsidRPr="00C31DF4">
        <w:t xml:space="preserve">          </w:t>
      </w:r>
      <w:r w:rsidR="003D5230">
        <w:t xml:space="preserve">     </w:t>
      </w:r>
      <w:r w:rsidRPr="00C31DF4">
        <w:t xml:space="preserve">  </w:t>
      </w:r>
      <w:r>
        <w:rPr>
          <w:rFonts w:hint="default"/>
        </w:rPr>
        <w:t>Tabuľ</w:t>
      </w:r>
      <w:r>
        <w:rPr>
          <w:rFonts w:hint="default"/>
        </w:rPr>
        <w:t>ka č.</w:t>
      </w:r>
      <w:r w:rsidR="003D5230">
        <w:t xml:space="preserve"> 9</w:t>
      </w:r>
    </w:p>
    <w:tbl>
      <w:tblPr>
        <w:tblStyle w:val="TableNormal"/>
        <w:tblW w:w="9229" w:type="dxa"/>
        <w:tblInd w:w="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2340"/>
        <w:gridCol w:w="1240"/>
        <w:gridCol w:w="1160"/>
        <w:gridCol w:w="1229"/>
        <w:gridCol w:w="992"/>
        <w:gridCol w:w="992"/>
        <w:gridCol w:w="1276"/>
      </w:tblGrid>
      <w:tr>
        <w:tblPrEx>
          <w:tblW w:w="9229" w:type="dxa"/>
          <w:tblInd w:w="55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34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D47645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  <w:p w:rsidR="00D47645" w:rsidRPr="00A669C9" w:rsidP="00D47645">
            <w:pPr>
              <w:keepNext/>
              <w:bidi w:val="0"/>
              <w:spacing w:after="0" w:line="240" w:lineRule="auto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Programy</w:t>
            </w:r>
          </w:p>
        </w:tc>
        <w:tc>
          <w:tcPr>
            <w:tcW w:w="3629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D47645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FFFFFF"/>
                <w:lang w:eastAsia="sk-SK"/>
              </w:rPr>
            </w:pPr>
            <w:r w:rsidRPr="00A669C9">
              <w:rPr>
                <w:rFonts w:eastAsia="Times New Roman"/>
                <w:bCs/>
                <w:color w:val="FFFFFF"/>
                <w:sz w:val="22"/>
                <w:szCs w:val="22"/>
                <w:lang w:eastAsia="sk-SK"/>
              </w:rPr>
              <w:t>2009</w:t>
            </w:r>
          </w:p>
        </w:tc>
        <w:tc>
          <w:tcPr>
            <w:tcW w:w="3260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D47645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bCs/>
                <w:color w:val="FFFFFF"/>
                <w:sz w:val="22"/>
                <w:szCs w:val="22"/>
                <w:lang w:eastAsia="sk-SK"/>
              </w:rPr>
              <w:t>2010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340" w:type="dxa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D47645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SR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EÚ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0"/>
                <w:lang w:eastAsia="sk-SK"/>
              </w:rPr>
              <w:t>Spolu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SR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EÚ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textDirection w:val="lrTb"/>
            <w:vAlign w:val="top"/>
          </w:tcPr>
          <w:p w:rsidR="00A669C9" w:rsidRPr="00A669C9" w:rsidP="00D476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Spolu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97"/>
        </w:trPr>
        <w:tc>
          <w:tcPr>
            <w:tcW w:w="234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Plán rozvoja vidieka 2004</w:t>
            </w:r>
            <w:r w:rsidR="00C0319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="00C0319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2006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1,7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2,2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D47645">
              <w:rPr>
                <w:rFonts w:eastAsia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D47645">
              <w:rPr>
                <w:rFonts w:eastAsia="Times New Roman"/>
                <w:color w:val="000000"/>
                <w:lang w:eastAsia="sk-SK"/>
              </w:rPr>
              <w:t>-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D47645">
              <w:rPr>
                <w:rFonts w:eastAsia="Times New Roman"/>
                <w:color w:val="000000"/>
                <w:lang w:eastAsia="sk-SK"/>
              </w:rPr>
              <w:t>-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97"/>
        </w:trPr>
        <w:tc>
          <w:tcPr>
            <w:tcW w:w="234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Program rozvoja vidieka 2007</w:t>
            </w:r>
            <w:r w:rsidR="00C0319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="00C0319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2013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100,1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327,7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427,8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113,3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367,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481,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234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 z toho LFA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62CDF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62CDF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20, 5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62CDF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62CDF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81,9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62CDF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62CDF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102,4</w:t>
            </w:r>
            <w:r w:rsidRPr="00562CDF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sk-SK"/>
              </w:rPr>
              <w:t>*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62CDF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62CDF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20,8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62CDF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62CDF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81,4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62CDF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562CDF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102,2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234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5D7533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SOP PaRV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1,5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2,4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3,4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34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5D753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Rozvoj vidieka spolu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101,6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331,8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5D753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433,4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5D753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113,31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5D753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367,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center"/>
          </w:tcPr>
          <w:p w:rsidR="00C31DF4" w:rsidRPr="005D7533" w:rsidP="00D476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5D753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481,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</w:tbl>
    <w:p w:rsidR="00C31DF4" w:rsidP="00D47645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 w:rsidRPr="00C31DF4">
        <w:rPr>
          <w:rFonts w:hint="default"/>
          <w:sz w:val="20"/>
          <w:szCs w:val="20"/>
        </w:rPr>
        <w:t>Prameň</w:t>
      </w:r>
      <w:r w:rsidRPr="00C31DF4">
        <w:rPr>
          <w:rFonts w:hint="default"/>
          <w:sz w:val="20"/>
          <w:szCs w:val="20"/>
        </w:rPr>
        <w:t>: MPRV SR</w:t>
      </w:r>
    </w:p>
    <w:p w:rsidR="00E45E06" w:rsidP="00D47645">
      <w:pPr>
        <w:keepNext/>
        <w:bidi w:val="0"/>
        <w:spacing w:after="0" w:line="240" w:lineRule="auto"/>
        <w:ind w:firstLine="0"/>
        <w:rPr>
          <w:rFonts w:eastAsia="Arial Unicode MS" w:hint="default"/>
          <w:sz w:val="20"/>
          <w:szCs w:val="20"/>
        </w:rPr>
      </w:pPr>
      <w:r>
        <w:rPr>
          <w:rFonts w:eastAsia="Arial Unicode MS" w:hint="default"/>
          <w:sz w:val="20"/>
          <w:szCs w:val="20"/>
        </w:rPr>
        <w:t>Vypracoval: VÚ</w:t>
      </w:r>
      <w:r>
        <w:rPr>
          <w:rFonts w:eastAsia="Arial Unicode MS" w:hint="default"/>
          <w:sz w:val="20"/>
          <w:szCs w:val="20"/>
        </w:rPr>
        <w:t>EPP</w:t>
      </w:r>
    </w:p>
    <w:p w:rsidR="00613CA7" w:rsidRPr="00C31DF4" w:rsidP="00D47645">
      <w:pPr>
        <w:keepNext/>
        <w:bidi w:val="0"/>
        <w:spacing w:after="0" w:line="240" w:lineRule="auto"/>
        <w:ind w:firstLine="0"/>
        <w:rPr>
          <w:sz w:val="20"/>
          <w:szCs w:val="20"/>
        </w:rPr>
      </w:pPr>
    </w:p>
    <w:p w:rsidR="00613CA7" w:rsidRPr="00EE366B" w:rsidP="00613CA7">
      <w:pPr>
        <w:bidi w:val="0"/>
        <w:ind w:firstLine="708"/>
        <w:rPr>
          <w:rFonts w:hint="default"/>
          <w:lang w:eastAsia="sk-SK"/>
        </w:rPr>
      </w:pPr>
      <w:r w:rsidRPr="00EE366B">
        <w:rPr>
          <w:rFonts w:hint="default"/>
        </w:rPr>
        <w:t>Zo strednodobé</w:t>
      </w:r>
      <w:r w:rsidRPr="00EE366B">
        <w:rPr>
          <w:rFonts w:hint="default"/>
        </w:rPr>
        <w:t xml:space="preserve">ho hodnotenia PRV 2007-2013 </w:t>
      </w:r>
      <w:r w:rsidRPr="00EE366B" w:rsidR="00E24A75">
        <w:rPr>
          <w:rFonts w:hint="default"/>
        </w:rPr>
        <w:t>nezá</w:t>
      </w:r>
      <w:r w:rsidRPr="00EE366B" w:rsidR="00E24A75">
        <w:rPr>
          <w:rFonts w:hint="default"/>
        </w:rPr>
        <w:t>vislý</w:t>
      </w:r>
      <w:r w:rsidRPr="00EE366B" w:rsidR="00E24A75">
        <w:rPr>
          <w:rFonts w:hint="default"/>
        </w:rPr>
        <w:t>m hodnotiteľ</w:t>
      </w:r>
      <w:r w:rsidRPr="00EE366B" w:rsidR="00E24A75">
        <w:rPr>
          <w:rFonts w:hint="default"/>
        </w:rPr>
        <w:t xml:space="preserve">om </w:t>
      </w:r>
      <w:r w:rsidRPr="00EE366B">
        <w:rPr>
          <w:rFonts w:hint="default"/>
        </w:rPr>
        <w:t>vyplý</w:t>
      </w:r>
      <w:r w:rsidRPr="00EE366B">
        <w:rPr>
          <w:rFonts w:hint="default"/>
        </w:rPr>
        <w:t>va, ž</w:t>
      </w:r>
      <w:r w:rsidRPr="00EE366B">
        <w:rPr>
          <w:rFonts w:hint="default"/>
        </w:rPr>
        <w:t>e celkovo</w:t>
      </w:r>
      <w:r w:rsidRPr="00EE366B">
        <w:rPr>
          <w:rFonts w:hint="default"/>
          <w:lang w:eastAsia="sk-SK"/>
        </w:rPr>
        <w:t xml:space="preserve"> program pô</w:t>
      </w:r>
      <w:r w:rsidRPr="00EE366B">
        <w:rPr>
          <w:rFonts w:hint="default"/>
          <w:lang w:eastAsia="sk-SK"/>
        </w:rPr>
        <w:t>sobí</w:t>
      </w:r>
      <w:r w:rsidRPr="00EE366B">
        <w:rPr>
          <w:rFonts w:hint="default"/>
          <w:lang w:eastAsia="sk-SK"/>
        </w:rPr>
        <w:t xml:space="preserve"> vyváž</w:t>
      </w:r>
      <w:r w:rsidRPr="00EE366B">
        <w:rPr>
          <w:rFonts w:hint="default"/>
          <w:lang w:eastAsia="sk-SK"/>
        </w:rPr>
        <w:t>ene, avš</w:t>
      </w:r>
      <w:r w:rsidRPr="00EE366B">
        <w:rPr>
          <w:rFonts w:hint="default"/>
          <w:lang w:eastAsia="sk-SK"/>
        </w:rPr>
        <w:t>ak pri podrobnejš</w:t>
      </w:r>
      <w:r w:rsidRPr="00EE366B">
        <w:rPr>
          <w:rFonts w:hint="default"/>
          <w:lang w:eastAsia="sk-SK"/>
        </w:rPr>
        <w:t>om skú</w:t>
      </w:r>
      <w:r w:rsidRPr="00EE366B">
        <w:rPr>
          <w:rFonts w:hint="default"/>
          <w:lang w:eastAsia="sk-SK"/>
        </w:rPr>
        <w:t>maní</w:t>
      </w:r>
      <w:r w:rsidRPr="00EE366B">
        <w:rPr>
          <w:rFonts w:hint="default"/>
          <w:lang w:eastAsia="sk-SK"/>
        </w:rPr>
        <w:t xml:space="preserve"> vychá</w:t>
      </w:r>
      <w:r w:rsidRPr="00EE366B">
        <w:rPr>
          <w:rFonts w:hint="default"/>
          <w:lang w:eastAsia="sk-SK"/>
        </w:rPr>
        <w:t>dzajú</w:t>
      </w:r>
      <w:r w:rsidRPr="00EE366B">
        <w:rPr>
          <w:rFonts w:hint="default"/>
          <w:lang w:eastAsia="sk-SK"/>
        </w:rPr>
        <w:t xml:space="preserve">  disproporcie</w:t>
      </w:r>
      <w:r w:rsidRPr="00EE366B">
        <w:t xml:space="preserve">. </w:t>
      </w:r>
      <w:r w:rsidRPr="00EE366B">
        <w:rPr>
          <w:rFonts w:hint="default"/>
          <w:lang w:eastAsia="sk-SK"/>
        </w:rPr>
        <w:t>Rozhodujú</w:t>
      </w:r>
      <w:r w:rsidRPr="00EE366B">
        <w:rPr>
          <w:rFonts w:hint="default"/>
          <w:lang w:eastAsia="sk-SK"/>
        </w:rPr>
        <w:t>cou je nevyváž</w:t>
      </w:r>
      <w:r w:rsidRPr="00EE366B">
        <w:rPr>
          <w:rFonts w:hint="default"/>
          <w:lang w:eastAsia="sk-SK"/>
        </w:rPr>
        <w:t>enosť</w:t>
      </w:r>
      <w:r w:rsidRPr="00EE366B">
        <w:rPr>
          <w:rFonts w:hint="default"/>
          <w:lang w:eastAsia="sk-SK"/>
        </w:rPr>
        <w:t xml:space="preserve"> medzi prioritne rieš</w:t>
      </w:r>
      <w:r w:rsidRPr="00EE366B">
        <w:rPr>
          <w:rFonts w:hint="default"/>
          <w:lang w:eastAsia="sk-SK"/>
        </w:rPr>
        <w:t>enou podpo</w:t>
      </w:r>
      <w:r w:rsidRPr="00EE366B">
        <w:rPr>
          <w:rFonts w:hint="default"/>
          <w:lang w:eastAsia="sk-SK"/>
        </w:rPr>
        <w:t>rou modernizá</w:t>
      </w:r>
      <w:r w:rsidRPr="00EE366B">
        <w:rPr>
          <w:rFonts w:hint="default"/>
          <w:lang w:eastAsia="sk-SK"/>
        </w:rPr>
        <w:t>cie a konkurencieschopnosti sektora a </w:t>
      </w:r>
      <w:r w:rsidRPr="00EE366B">
        <w:rPr>
          <w:rFonts w:hint="default"/>
          <w:lang w:eastAsia="sk-SK"/>
        </w:rPr>
        <w:t>na druhej strane minimalisticky rieš</w:t>
      </w:r>
      <w:r w:rsidRPr="00EE366B">
        <w:rPr>
          <w:rFonts w:hint="default"/>
          <w:lang w:eastAsia="sk-SK"/>
        </w:rPr>
        <w:t>enou diverzifiká</w:t>
      </w:r>
      <w:r w:rsidRPr="00EE366B">
        <w:rPr>
          <w:rFonts w:hint="default"/>
          <w:lang w:eastAsia="sk-SK"/>
        </w:rPr>
        <w:t>ciou. Program tak celkovo nedostatoč</w:t>
      </w:r>
      <w:r w:rsidRPr="00EE366B">
        <w:rPr>
          <w:rFonts w:hint="default"/>
          <w:lang w:eastAsia="sk-SK"/>
        </w:rPr>
        <w:t>ne využí</w:t>
      </w:r>
      <w:r w:rsidRPr="00EE366B">
        <w:rPr>
          <w:rFonts w:hint="default"/>
          <w:lang w:eastAsia="sk-SK"/>
        </w:rPr>
        <w:t>va potenciá</w:t>
      </w:r>
      <w:r w:rsidRPr="00EE366B">
        <w:rPr>
          <w:rFonts w:hint="default"/>
          <w:lang w:eastAsia="sk-SK"/>
        </w:rPr>
        <w:t xml:space="preserve">l tvorby zamestnanosti.  </w:t>
      </w:r>
    </w:p>
    <w:p w:rsidR="00613CA7" w:rsidRPr="00EE366B" w:rsidP="00613CA7">
      <w:pPr>
        <w:bidi w:val="0"/>
        <w:rPr>
          <w:rFonts w:hint="default"/>
          <w:lang w:eastAsia="sk-SK"/>
        </w:rPr>
      </w:pPr>
      <w:r w:rsidRPr="00EE366B">
        <w:t>V </w:t>
      </w:r>
      <w:r w:rsidRPr="00EE366B">
        <w:rPr>
          <w:rFonts w:hint="default"/>
        </w:rPr>
        <w:t>rá</w:t>
      </w:r>
      <w:r w:rsidRPr="00EE366B">
        <w:rPr>
          <w:rFonts w:hint="default"/>
        </w:rPr>
        <w:t>mci podpory modernizá</w:t>
      </w:r>
      <w:r w:rsidRPr="00EE366B">
        <w:rPr>
          <w:rFonts w:hint="default"/>
        </w:rPr>
        <w:t>cie prvový</w:t>
      </w:r>
      <w:r w:rsidRPr="00EE366B">
        <w:rPr>
          <w:rFonts w:hint="default"/>
        </w:rPr>
        <w:t xml:space="preserve">roby a spracovania produktov  </w:t>
      </w:r>
      <w:r w:rsidRPr="00EE366B">
        <w:rPr>
          <w:lang w:eastAsia="sk-SK"/>
        </w:rPr>
        <w:t>sa slab</w:t>
      </w:r>
      <w:r w:rsidRPr="00EE366B">
        <w:rPr>
          <w:rFonts w:hint="default"/>
          <w:lang w:eastAsia="sk-SK"/>
        </w:rPr>
        <w:t>ší</w:t>
      </w:r>
      <w:r w:rsidRPr="00EE366B">
        <w:rPr>
          <w:rFonts w:hint="default"/>
          <w:lang w:eastAsia="sk-SK"/>
        </w:rPr>
        <w:t>m miestom programu ukazuje, ž</w:t>
      </w:r>
      <w:r w:rsidRPr="00EE366B">
        <w:rPr>
          <w:rFonts w:hint="default"/>
          <w:lang w:eastAsia="sk-SK"/>
        </w:rPr>
        <w:t xml:space="preserve">e v PRV SR 2007 </w:t>
      </w:r>
      <w:r w:rsidRPr="00EE366B">
        <w:rPr>
          <w:rFonts w:hint="default"/>
          <w:lang w:eastAsia="sk-SK"/>
        </w:rPr>
        <w:t>–</w:t>
      </w:r>
      <w:r w:rsidRPr="00EE366B">
        <w:rPr>
          <w:rFonts w:hint="default"/>
          <w:lang w:eastAsia="sk-SK"/>
        </w:rPr>
        <w:t xml:space="preserve"> 2013 sa v </w:t>
      </w:r>
      <w:r w:rsidRPr="00EE366B">
        <w:rPr>
          <w:rFonts w:hint="default"/>
          <w:lang w:eastAsia="sk-SK"/>
        </w:rPr>
        <w:t>osi 1 neimplementovali opatrenia vý</w:t>
      </w:r>
      <w:r w:rsidRPr="00EE366B">
        <w:rPr>
          <w:rFonts w:hint="default"/>
          <w:lang w:eastAsia="sk-SK"/>
        </w:rPr>
        <w:t>luč</w:t>
      </w:r>
      <w:r w:rsidRPr="00EE366B">
        <w:rPr>
          <w:rFonts w:hint="default"/>
          <w:lang w:eastAsia="sk-SK"/>
        </w:rPr>
        <w:t>ne zamerané</w:t>
      </w:r>
      <w:r w:rsidRPr="00EE366B">
        <w:rPr>
          <w:rFonts w:hint="default"/>
          <w:lang w:eastAsia="sk-SK"/>
        </w:rPr>
        <w:t xml:space="preserve"> na vý</w:t>
      </w:r>
      <w:r w:rsidRPr="00EE366B">
        <w:rPr>
          <w:rFonts w:hint="default"/>
          <w:lang w:eastAsia="sk-SK"/>
        </w:rPr>
        <w:t>robu produktov s vysokou pridanou hodnotou a vysokou kvalitou</w:t>
      </w:r>
      <w:r w:rsidRPr="0099649A">
        <w:rPr>
          <w:color w:val="FF0000"/>
          <w:lang w:eastAsia="sk-SK"/>
        </w:rPr>
        <w:t xml:space="preserve"> </w:t>
      </w:r>
      <w:r w:rsidRPr="00EE366B">
        <w:rPr>
          <w:rFonts w:hint="default"/>
          <w:lang w:eastAsia="sk-SK"/>
        </w:rPr>
        <w:t>produkcie napr. prostrední</w:t>
      </w:r>
      <w:r w:rsidRPr="00EE366B">
        <w:rPr>
          <w:rFonts w:hint="default"/>
          <w:lang w:eastAsia="sk-SK"/>
        </w:rPr>
        <w:t>ctvom zvýš</w:t>
      </w:r>
      <w:r w:rsidRPr="00EE366B">
        <w:rPr>
          <w:rFonts w:hint="default"/>
          <w:lang w:eastAsia="sk-SK"/>
        </w:rPr>
        <w:t>enej podpory poľ</w:t>
      </w:r>
      <w:r w:rsidRPr="00EE366B">
        <w:rPr>
          <w:rFonts w:hint="default"/>
          <w:lang w:eastAsia="sk-SK"/>
        </w:rPr>
        <w:t>nohospodá</w:t>
      </w:r>
      <w:r w:rsidRPr="00EE366B">
        <w:rPr>
          <w:rFonts w:hint="default"/>
          <w:lang w:eastAsia="sk-SK"/>
        </w:rPr>
        <w:t>rov a potraviná</w:t>
      </w:r>
      <w:r w:rsidRPr="00EE366B">
        <w:rPr>
          <w:rFonts w:hint="default"/>
          <w:lang w:eastAsia="sk-SK"/>
        </w:rPr>
        <w:t>rov,</w:t>
      </w:r>
      <w:r w:rsidRPr="00EE366B">
        <w:rPr>
          <w:rFonts w:hint="default"/>
          <w:lang w:eastAsia="sk-SK"/>
        </w:rPr>
        <w:t xml:space="preserve"> ktorí</w:t>
      </w:r>
      <w:r w:rsidRPr="00EE366B">
        <w:rPr>
          <w:rFonts w:hint="default"/>
          <w:lang w:eastAsia="sk-SK"/>
        </w:rPr>
        <w:t xml:space="preserve"> sa zúč</w:t>
      </w:r>
      <w:r w:rsidRPr="00EE366B">
        <w:rPr>
          <w:rFonts w:hint="default"/>
          <w:lang w:eastAsia="sk-SK"/>
        </w:rPr>
        <w:t>astň</w:t>
      </w:r>
      <w:r w:rsidRPr="00EE366B">
        <w:rPr>
          <w:rFonts w:hint="default"/>
          <w:lang w:eastAsia="sk-SK"/>
        </w:rPr>
        <w:t>ujú</w:t>
      </w:r>
      <w:r w:rsidRPr="00EE366B">
        <w:rPr>
          <w:rFonts w:hint="default"/>
          <w:lang w:eastAsia="sk-SK"/>
        </w:rPr>
        <w:t xml:space="preserve"> v </w:t>
      </w:r>
      <w:r w:rsidRPr="00EE366B">
        <w:rPr>
          <w:rFonts w:hint="default"/>
          <w:lang w:eastAsia="sk-SK"/>
        </w:rPr>
        <w:t>sché</w:t>
      </w:r>
      <w:r w:rsidRPr="00EE366B">
        <w:rPr>
          <w:rFonts w:hint="default"/>
          <w:lang w:eastAsia="sk-SK"/>
        </w:rPr>
        <w:t>mach kvality potraví</w:t>
      </w:r>
      <w:r w:rsidRPr="00EE366B">
        <w:rPr>
          <w:rFonts w:hint="default"/>
          <w:lang w:eastAsia="sk-SK"/>
        </w:rPr>
        <w:t>n.</w:t>
      </w:r>
    </w:p>
    <w:p w:rsidR="00613CA7" w:rsidRPr="00EE366B" w:rsidP="00613CA7">
      <w:pPr>
        <w:widowControl w:val="0"/>
        <w:bidi w:val="0"/>
        <w:rPr>
          <w:rFonts w:hint="default"/>
        </w:rPr>
      </w:pPr>
      <w:r w:rsidRPr="00EE366B">
        <w:rPr>
          <w:rFonts w:hint="default"/>
        </w:rPr>
        <w:t>Pri analý</w:t>
      </w:r>
      <w:r w:rsidRPr="00EE366B">
        <w:rPr>
          <w:rFonts w:hint="default"/>
        </w:rPr>
        <w:t>z</w:t>
      </w:r>
      <w:r w:rsidRPr="00EE366B" w:rsidR="009D7964">
        <w:t>e</w:t>
      </w:r>
      <w:r w:rsidRPr="00EE366B">
        <w:rPr>
          <w:rFonts w:hint="default"/>
        </w:rPr>
        <w:t xml:space="preserve"> vš</w:t>
      </w:r>
      <w:r w:rsidRPr="00EE366B">
        <w:rPr>
          <w:rFonts w:hint="default"/>
        </w:rPr>
        <w:t>etký</w:t>
      </w:r>
      <w:r w:rsidRPr="00EE366B">
        <w:rPr>
          <w:rFonts w:hint="default"/>
        </w:rPr>
        <w:t>ch podpô</w:t>
      </w:r>
      <w:r w:rsidRPr="00EE366B">
        <w:rPr>
          <w:rFonts w:hint="default"/>
        </w:rPr>
        <w:t>r (za vš</w:t>
      </w:r>
      <w:r w:rsidRPr="00EE366B">
        <w:rPr>
          <w:rFonts w:hint="default"/>
        </w:rPr>
        <w:t>etky osi programu spolu) sa uká</w:t>
      </w:r>
      <w:r w:rsidRPr="00EE366B">
        <w:rPr>
          <w:rFonts w:hint="default"/>
        </w:rPr>
        <w:t>zalo, ž</w:t>
      </w:r>
      <w:r w:rsidRPr="00EE366B">
        <w:rPr>
          <w:rFonts w:hint="default"/>
        </w:rPr>
        <w:t>e najviac vyplatený</w:t>
      </w:r>
      <w:r w:rsidRPr="00EE366B">
        <w:rPr>
          <w:rFonts w:hint="default"/>
        </w:rPr>
        <w:t>ch prostriedkov (v prepoč</w:t>
      </w:r>
      <w:r w:rsidRPr="00EE366B">
        <w:rPr>
          <w:rFonts w:hint="default"/>
        </w:rPr>
        <w:t>te na ha p. p.) iš</w:t>
      </w:r>
      <w:r w:rsidRPr="00EE366B">
        <w:rPr>
          <w:rFonts w:hint="default"/>
        </w:rPr>
        <w:t>lo do severný</w:t>
      </w:r>
      <w:r w:rsidRPr="00EE366B">
        <w:rPr>
          <w:rFonts w:hint="default"/>
        </w:rPr>
        <w:t>ch a (v </w:t>
      </w:r>
      <w:r w:rsidRPr="00EE366B">
        <w:rPr>
          <w:rFonts w:hint="default"/>
        </w:rPr>
        <w:t>prepoč</w:t>
      </w:r>
      <w:r w:rsidRPr="00EE366B">
        <w:rPr>
          <w:rFonts w:hint="default"/>
        </w:rPr>
        <w:t>te na obyvateľ</w:t>
      </w:r>
      <w:r w:rsidRPr="00EE366B">
        <w:rPr>
          <w:rFonts w:hint="default"/>
        </w:rPr>
        <w:t>a) do vý</w:t>
      </w:r>
      <w:r w:rsidRPr="00EE366B">
        <w:rPr>
          <w:rFonts w:hint="default"/>
        </w:rPr>
        <w:t>chodný</w:t>
      </w:r>
      <w:r w:rsidRPr="00EE366B">
        <w:rPr>
          <w:rFonts w:hint="default"/>
        </w:rPr>
        <w:t>ch oblastí</w:t>
      </w:r>
      <w:r w:rsidRPr="00EE366B">
        <w:rPr>
          <w:rFonts w:hint="default"/>
        </w:rPr>
        <w:t xml:space="preserve"> Sloven</w:t>
      </w:r>
      <w:r w:rsidRPr="00EE366B">
        <w:rPr>
          <w:rFonts w:hint="default"/>
        </w:rPr>
        <w:t>ska. Prevlá</w:t>
      </w:r>
      <w:r w:rsidRPr="00EE366B">
        <w:rPr>
          <w:rFonts w:hint="default"/>
        </w:rPr>
        <w:t>dajú</w:t>
      </w:r>
      <w:r w:rsidRPr="00EE366B">
        <w:rPr>
          <w:rFonts w:hint="default"/>
        </w:rPr>
        <w:t>ce podpory z </w:t>
      </w:r>
      <w:r w:rsidRPr="00EE366B">
        <w:rPr>
          <w:rFonts w:hint="default"/>
        </w:rPr>
        <w:t>osi II kompenzujú</w:t>
      </w:r>
      <w:r w:rsidRPr="00EE366B">
        <w:rPr>
          <w:rFonts w:hint="default"/>
        </w:rPr>
        <w:t xml:space="preserve"> väčš</w:t>
      </w:r>
      <w:r w:rsidRPr="00EE366B">
        <w:rPr>
          <w:rFonts w:hint="default"/>
        </w:rPr>
        <w:t>inové</w:t>
      </w:r>
      <w:r w:rsidRPr="00EE366B">
        <w:rPr>
          <w:rFonts w:hint="default"/>
        </w:rPr>
        <w:t xml:space="preserve"> rozlož</w:t>
      </w:r>
      <w:r w:rsidRPr="00EE366B">
        <w:rPr>
          <w:rFonts w:hint="default"/>
        </w:rPr>
        <w:t>enie projektový</w:t>
      </w:r>
      <w:r w:rsidRPr="00EE366B">
        <w:rPr>
          <w:rFonts w:hint="default"/>
        </w:rPr>
        <w:t>ch podpô</w:t>
      </w:r>
      <w:r w:rsidRPr="00EE366B">
        <w:rPr>
          <w:rFonts w:hint="default"/>
        </w:rPr>
        <w:t>r v </w:t>
      </w:r>
      <w:r w:rsidRPr="00EE366B">
        <w:rPr>
          <w:rFonts w:hint="default"/>
        </w:rPr>
        <w:t>juhozá</w:t>
      </w:r>
      <w:r w:rsidRPr="00EE366B">
        <w:rPr>
          <w:rFonts w:hint="default"/>
        </w:rPr>
        <w:t>padný</w:t>
      </w:r>
      <w:r w:rsidRPr="00EE366B">
        <w:rPr>
          <w:rFonts w:hint="default"/>
        </w:rPr>
        <w:t>ch a juž</w:t>
      </w:r>
      <w:r w:rsidRPr="00EE366B">
        <w:rPr>
          <w:rFonts w:hint="default"/>
        </w:rPr>
        <w:t>ný</w:t>
      </w:r>
      <w:r w:rsidRPr="00EE366B">
        <w:rPr>
          <w:rFonts w:hint="default"/>
        </w:rPr>
        <w:t xml:space="preserve">ch okresoch SR. </w:t>
      </w:r>
    </w:p>
    <w:p w:rsidR="00613CA7" w:rsidRPr="00EE366B" w:rsidP="00613CA7">
      <w:pPr>
        <w:bidi w:val="0"/>
        <w:ind w:firstLine="708"/>
        <w:rPr>
          <w:rFonts w:hint="default"/>
          <w:lang w:eastAsia="sk-SK"/>
        </w:rPr>
      </w:pPr>
      <w:r w:rsidRPr="00EE366B">
        <w:rPr>
          <w:rFonts w:hint="default"/>
          <w:lang w:eastAsia="sk-SK"/>
        </w:rPr>
        <w:t>Implementá</w:t>
      </w:r>
      <w:r w:rsidRPr="00EE366B">
        <w:rPr>
          <w:rFonts w:hint="default"/>
          <w:lang w:eastAsia="sk-SK"/>
        </w:rPr>
        <w:t>cia integrované</w:t>
      </w:r>
      <w:r w:rsidRPr="00EE366B">
        <w:rPr>
          <w:rFonts w:hint="default"/>
          <w:lang w:eastAsia="sk-SK"/>
        </w:rPr>
        <w:t>ho prí</w:t>
      </w:r>
      <w:r w:rsidRPr="00EE366B">
        <w:rPr>
          <w:rFonts w:hint="default"/>
          <w:lang w:eastAsia="sk-SK"/>
        </w:rPr>
        <w:t>stupu v rozvoji vidieka prí</w:t>
      </w:r>
      <w:r w:rsidRPr="00EE366B">
        <w:rPr>
          <w:rFonts w:hint="default"/>
          <w:lang w:eastAsia="sk-SK"/>
        </w:rPr>
        <w:t>stupom Leader sa v </w:t>
      </w:r>
      <w:r w:rsidRPr="00EE366B">
        <w:rPr>
          <w:rFonts w:hint="default"/>
          <w:lang w:eastAsia="sk-SK"/>
        </w:rPr>
        <w:t>podmienkach SR  za uvedené</w:t>
      </w:r>
      <w:r w:rsidRPr="00EE366B">
        <w:rPr>
          <w:rFonts w:hint="default"/>
          <w:lang w:eastAsia="sk-SK"/>
        </w:rPr>
        <w:t xml:space="preserve"> obdobie osvedč</w:t>
      </w:r>
      <w:r w:rsidRPr="00EE366B">
        <w:rPr>
          <w:rFonts w:hint="default"/>
          <w:lang w:eastAsia="sk-SK"/>
        </w:rPr>
        <w:t>ila, keď</w:t>
      </w:r>
      <w:r w:rsidRPr="00EE366B">
        <w:rPr>
          <w:rFonts w:hint="default"/>
          <w:lang w:eastAsia="sk-SK"/>
        </w:rPr>
        <w:t xml:space="preserve"> ak</w:t>
      </w:r>
      <w:r w:rsidRPr="00EE366B">
        <w:rPr>
          <w:rFonts w:hint="default"/>
          <w:lang w:eastAsia="sk-SK"/>
        </w:rPr>
        <w:t>tivizovala miestne partnerstvá</w:t>
      </w:r>
      <w:r w:rsidRPr="00EE366B">
        <w:rPr>
          <w:rFonts w:hint="default"/>
          <w:lang w:eastAsia="sk-SK"/>
        </w:rPr>
        <w:t xml:space="preserve"> a podporila ich k </w:t>
      </w:r>
      <w:r w:rsidRPr="00EE366B">
        <w:rPr>
          <w:rFonts w:hint="default"/>
          <w:lang w:eastAsia="sk-SK"/>
        </w:rPr>
        <w:t>tvorivej spoluprá</w:t>
      </w:r>
      <w:r w:rsidRPr="00EE366B">
        <w:rPr>
          <w:rFonts w:hint="default"/>
          <w:lang w:eastAsia="sk-SK"/>
        </w:rPr>
        <w:t>ci.</w:t>
      </w:r>
    </w:p>
    <w:p w:rsidR="00613CA7" w:rsidRPr="00EE366B" w:rsidP="00613CA7">
      <w:pPr>
        <w:bidi w:val="0"/>
        <w:ind w:firstLine="708"/>
        <w:rPr>
          <w:rFonts w:hint="default"/>
          <w:lang w:eastAsia="sk-SK"/>
        </w:rPr>
      </w:pPr>
      <w:r w:rsidRPr="00EE366B">
        <w:rPr>
          <w:rFonts w:hint="default"/>
          <w:lang w:eastAsia="sk-SK"/>
        </w:rPr>
        <w:t>Jednoznač</w:t>
      </w:r>
      <w:r w:rsidRPr="00EE366B">
        <w:rPr>
          <w:rFonts w:hint="default"/>
          <w:lang w:eastAsia="sk-SK"/>
        </w:rPr>
        <w:t>ne ako nevhodné</w:t>
      </w:r>
      <w:r w:rsidRPr="00EE366B">
        <w:rPr>
          <w:rFonts w:hint="default"/>
          <w:lang w:eastAsia="sk-SK"/>
        </w:rPr>
        <w:t xml:space="preserve"> treba označ</w:t>
      </w:r>
      <w:r w:rsidRPr="00EE366B">
        <w:rPr>
          <w:rFonts w:hint="default"/>
          <w:lang w:eastAsia="sk-SK"/>
        </w:rPr>
        <w:t>iť</w:t>
      </w:r>
      <w:r w:rsidRPr="00EE366B">
        <w:rPr>
          <w:rFonts w:hint="default"/>
          <w:lang w:eastAsia="sk-SK"/>
        </w:rPr>
        <w:t xml:space="preserve"> rozhodnutie riadiaceho orgá</w:t>
      </w:r>
      <w:r w:rsidRPr="00EE366B">
        <w:rPr>
          <w:rFonts w:hint="default"/>
          <w:lang w:eastAsia="sk-SK"/>
        </w:rPr>
        <w:t>nu alokovať</w:t>
      </w:r>
      <w:r w:rsidRPr="00EE366B">
        <w:rPr>
          <w:rFonts w:hint="default"/>
          <w:lang w:eastAsia="sk-SK"/>
        </w:rPr>
        <w:t xml:space="preserve"> takmer celý</w:t>
      </w:r>
      <w:r w:rsidRPr="00EE366B">
        <w:rPr>
          <w:rFonts w:hint="default"/>
          <w:lang w:eastAsia="sk-SK"/>
        </w:rPr>
        <w:t xml:space="preserve">  programovaný</w:t>
      </w:r>
      <w:r w:rsidRPr="00EE366B">
        <w:rPr>
          <w:rFonts w:hint="default"/>
          <w:lang w:eastAsia="sk-SK"/>
        </w:rPr>
        <w:t xml:space="preserve"> rozpoč</w:t>
      </w:r>
      <w:r w:rsidRPr="00EE366B">
        <w:rPr>
          <w:rFonts w:hint="default"/>
          <w:lang w:eastAsia="sk-SK"/>
        </w:rPr>
        <w:t>et opatrenia hneď</w:t>
      </w:r>
      <w:r w:rsidRPr="00EE366B">
        <w:rPr>
          <w:rFonts w:hint="default"/>
          <w:lang w:eastAsia="sk-SK"/>
        </w:rPr>
        <w:t xml:space="preserve"> na 1., prí</w:t>
      </w:r>
      <w:r w:rsidRPr="00EE366B">
        <w:rPr>
          <w:rFonts w:hint="default"/>
          <w:lang w:eastAsia="sk-SK"/>
        </w:rPr>
        <w:t>padne za krá</w:t>
      </w:r>
      <w:r w:rsidRPr="00EE366B">
        <w:rPr>
          <w:rFonts w:hint="default"/>
          <w:lang w:eastAsia="sk-SK"/>
        </w:rPr>
        <w:t>tko sa opakujú</w:t>
      </w:r>
      <w:r w:rsidRPr="00EE366B">
        <w:rPr>
          <w:rFonts w:hint="default"/>
          <w:lang w:eastAsia="sk-SK"/>
        </w:rPr>
        <w:t>cu 2. vý</w:t>
      </w:r>
      <w:r w:rsidRPr="00EE366B">
        <w:rPr>
          <w:rFonts w:hint="default"/>
          <w:lang w:eastAsia="sk-SK"/>
        </w:rPr>
        <w:t>zvu, ako sa ud</w:t>
      </w:r>
      <w:r w:rsidRPr="00EE366B">
        <w:rPr>
          <w:rFonts w:hint="default"/>
          <w:lang w:eastAsia="sk-SK"/>
        </w:rPr>
        <w:t>ialo v </w:t>
      </w:r>
      <w:r w:rsidRPr="00EE366B">
        <w:rPr>
          <w:rFonts w:hint="default"/>
          <w:lang w:eastAsia="sk-SK"/>
        </w:rPr>
        <w:t>prí</w:t>
      </w:r>
      <w:r w:rsidRPr="00EE366B">
        <w:rPr>
          <w:rFonts w:hint="default"/>
          <w:lang w:eastAsia="sk-SK"/>
        </w:rPr>
        <w:t>pade kľúč</w:t>
      </w:r>
      <w:r w:rsidRPr="00EE366B">
        <w:rPr>
          <w:rFonts w:hint="default"/>
          <w:lang w:eastAsia="sk-SK"/>
        </w:rPr>
        <w:t>ový</w:t>
      </w:r>
      <w:r w:rsidRPr="00EE366B">
        <w:rPr>
          <w:rFonts w:hint="default"/>
          <w:lang w:eastAsia="sk-SK"/>
        </w:rPr>
        <w:t>ch opatrení</w:t>
      </w:r>
      <w:r w:rsidRPr="00EE366B">
        <w:rPr>
          <w:rFonts w:hint="default"/>
          <w:lang w:eastAsia="sk-SK"/>
        </w:rPr>
        <w:t xml:space="preserve"> 121-Modernizá</w:t>
      </w:r>
      <w:r w:rsidRPr="00EE366B">
        <w:rPr>
          <w:rFonts w:hint="default"/>
          <w:lang w:eastAsia="sk-SK"/>
        </w:rPr>
        <w:t>cia fariem, 123-</w:t>
      </w:r>
      <w:r w:rsidRPr="00EE366B">
        <w:rPr>
          <w:rFonts w:hint="default"/>
        </w:rPr>
        <w:t xml:space="preserve"> Pridá</w:t>
      </w:r>
      <w:r w:rsidRPr="00EE366B">
        <w:rPr>
          <w:rFonts w:hint="default"/>
        </w:rPr>
        <w:t>vanie hodnoty do produktov poľ</w:t>
      </w:r>
      <w:r w:rsidRPr="00EE366B">
        <w:rPr>
          <w:rFonts w:hint="default"/>
        </w:rPr>
        <w:t>nohospodá</w:t>
      </w:r>
      <w:r w:rsidRPr="00EE366B">
        <w:rPr>
          <w:rFonts w:hint="default"/>
        </w:rPr>
        <w:t>rstva a lesné</w:t>
      </w:r>
      <w:r w:rsidRPr="00EE366B">
        <w:rPr>
          <w:rFonts w:hint="default"/>
        </w:rPr>
        <w:t>ho hospodá</w:t>
      </w:r>
      <w:r w:rsidRPr="00EE366B">
        <w:rPr>
          <w:rFonts w:hint="default"/>
        </w:rPr>
        <w:t>rstva</w:t>
      </w:r>
      <w:r w:rsidRPr="00EE366B">
        <w:rPr>
          <w:lang w:eastAsia="sk-SK"/>
        </w:rPr>
        <w:t xml:space="preserve"> a </w:t>
      </w:r>
      <w:r w:rsidRPr="00EE366B">
        <w:rPr>
          <w:rFonts w:hint="default"/>
          <w:lang w:eastAsia="sk-SK"/>
        </w:rPr>
        <w:t>niektorý</w:t>
      </w:r>
      <w:r w:rsidRPr="00EE366B">
        <w:rPr>
          <w:rFonts w:hint="default"/>
          <w:lang w:eastAsia="sk-SK"/>
        </w:rPr>
        <w:t>ch ď</w:t>
      </w:r>
      <w:r w:rsidRPr="00EE366B">
        <w:rPr>
          <w:rFonts w:hint="default"/>
          <w:lang w:eastAsia="sk-SK"/>
        </w:rPr>
        <w:t>alší</w:t>
      </w:r>
      <w:r w:rsidRPr="00EE366B">
        <w:rPr>
          <w:rFonts w:hint="default"/>
          <w:lang w:eastAsia="sk-SK"/>
        </w:rPr>
        <w:t>ch. V </w:t>
      </w:r>
      <w:r w:rsidRPr="00EE366B">
        <w:rPr>
          <w:rFonts w:hint="default"/>
          <w:lang w:eastAsia="sk-SK"/>
        </w:rPr>
        <w:t>daný</w:t>
      </w:r>
      <w:r w:rsidRPr="00EE366B">
        <w:rPr>
          <w:rFonts w:hint="default"/>
          <w:lang w:eastAsia="sk-SK"/>
        </w:rPr>
        <w:t>ch opatreniach tak bola schvá</w:t>
      </w:r>
      <w:r w:rsidRPr="00EE366B">
        <w:rPr>
          <w:rFonts w:hint="default"/>
          <w:lang w:eastAsia="sk-SK"/>
        </w:rPr>
        <w:t>lená</w:t>
      </w:r>
      <w:r w:rsidRPr="00EE366B">
        <w:rPr>
          <w:rFonts w:hint="default"/>
          <w:lang w:eastAsia="sk-SK"/>
        </w:rPr>
        <w:t xml:space="preserve"> masa projektov, o </w:t>
      </w:r>
      <w:r w:rsidRPr="00EE366B">
        <w:rPr>
          <w:rFonts w:hint="default"/>
          <w:lang w:eastAsia="sk-SK"/>
        </w:rPr>
        <w:t>ktorý</w:t>
      </w:r>
      <w:r w:rsidRPr="00EE366B">
        <w:rPr>
          <w:rFonts w:hint="default"/>
          <w:lang w:eastAsia="sk-SK"/>
        </w:rPr>
        <w:t>ch nie je mož</w:t>
      </w:r>
      <w:r w:rsidRPr="00EE366B">
        <w:rPr>
          <w:rFonts w:hint="default"/>
          <w:lang w:eastAsia="sk-SK"/>
        </w:rPr>
        <w:t>né</w:t>
      </w:r>
      <w:r w:rsidRPr="00EE366B">
        <w:rPr>
          <w:rFonts w:hint="default"/>
          <w:lang w:eastAsia="sk-SK"/>
        </w:rPr>
        <w:t xml:space="preserve"> jednoznač</w:t>
      </w:r>
      <w:r w:rsidRPr="00EE366B">
        <w:rPr>
          <w:rFonts w:hint="default"/>
          <w:lang w:eastAsia="sk-SK"/>
        </w:rPr>
        <w:t>ne poveda</w:t>
      </w:r>
      <w:r w:rsidRPr="00EE366B">
        <w:rPr>
          <w:rFonts w:hint="default"/>
          <w:lang w:eastAsia="sk-SK"/>
        </w:rPr>
        <w:t>ť</w:t>
      </w:r>
      <w:r w:rsidRPr="00EE366B">
        <w:rPr>
          <w:rFonts w:hint="default"/>
          <w:lang w:eastAsia="sk-SK"/>
        </w:rPr>
        <w:t>, ž</w:t>
      </w:r>
      <w:r w:rsidRPr="00EE366B">
        <w:rPr>
          <w:rFonts w:hint="default"/>
          <w:lang w:eastAsia="sk-SK"/>
        </w:rPr>
        <w:t>e boli schvaľ</w:t>
      </w:r>
      <w:r w:rsidRPr="00EE366B">
        <w:rPr>
          <w:rFonts w:hint="default"/>
          <w:lang w:eastAsia="sk-SK"/>
        </w:rPr>
        <w:t>ované</w:t>
      </w:r>
      <w:r w:rsidRPr="00EE366B">
        <w:rPr>
          <w:rFonts w:hint="default"/>
          <w:lang w:eastAsia="sk-SK"/>
        </w:rPr>
        <w:t xml:space="preserve"> podľ</w:t>
      </w:r>
      <w:r w:rsidRPr="00EE366B">
        <w:rPr>
          <w:rFonts w:hint="default"/>
          <w:lang w:eastAsia="sk-SK"/>
        </w:rPr>
        <w:t>a kvality vypracovania a </w:t>
      </w:r>
      <w:r w:rsidRPr="00EE366B">
        <w:rPr>
          <w:rFonts w:hint="default"/>
          <w:lang w:eastAsia="sk-SK"/>
        </w:rPr>
        <w:t>ich adekvá</w:t>
      </w:r>
      <w:r w:rsidRPr="00EE366B">
        <w:rPr>
          <w:rFonts w:hint="default"/>
          <w:lang w:eastAsia="sk-SK"/>
        </w:rPr>
        <w:t>tneho prí</w:t>
      </w:r>
      <w:r w:rsidRPr="00EE366B">
        <w:rPr>
          <w:rFonts w:hint="default"/>
          <w:lang w:eastAsia="sk-SK"/>
        </w:rPr>
        <w:t>nosu k </w:t>
      </w:r>
      <w:r w:rsidRPr="00EE366B">
        <w:rPr>
          <w:rFonts w:hint="default"/>
          <w:lang w:eastAsia="sk-SK"/>
        </w:rPr>
        <w:t>rastu pridanej hodnoty ž</w:t>
      </w:r>
      <w:r w:rsidRPr="00EE366B">
        <w:rPr>
          <w:rFonts w:hint="default"/>
          <w:lang w:eastAsia="sk-SK"/>
        </w:rPr>
        <w:t>iadateľ</w:t>
      </w:r>
      <w:r w:rsidRPr="00EE366B">
        <w:rPr>
          <w:rFonts w:hint="default"/>
          <w:lang w:eastAsia="sk-SK"/>
        </w:rPr>
        <w:t>ov, resp. dané</w:t>
      </w:r>
      <w:r w:rsidRPr="00EE366B">
        <w:rPr>
          <w:rFonts w:hint="default"/>
          <w:lang w:eastAsia="sk-SK"/>
        </w:rPr>
        <w:t>ho odvetvia.</w:t>
      </w:r>
    </w:p>
    <w:p w:rsidR="00613CA7" w:rsidRPr="00EE366B" w:rsidP="00613CA7">
      <w:pPr>
        <w:bidi w:val="0"/>
        <w:ind w:firstLine="708"/>
        <w:rPr>
          <w:rFonts w:hint="default"/>
          <w:lang w:eastAsia="sk-SK"/>
        </w:rPr>
      </w:pPr>
      <w:r w:rsidRPr="00EE366B">
        <w:rPr>
          <w:rFonts w:hint="default"/>
          <w:lang w:eastAsia="sk-SK"/>
        </w:rPr>
        <w:t>Podporené</w:t>
      </w:r>
      <w:r w:rsidRPr="00EE366B">
        <w:rPr>
          <w:rFonts w:hint="default"/>
          <w:lang w:eastAsia="sk-SK"/>
        </w:rPr>
        <w:t xml:space="preserve"> boli prevaž</w:t>
      </w:r>
      <w:r w:rsidRPr="00EE366B">
        <w:rPr>
          <w:rFonts w:hint="default"/>
          <w:lang w:eastAsia="sk-SK"/>
        </w:rPr>
        <w:t>ne veľ</w:t>
      </w:r>
      <w:r w:rsidRPr="00EE366B">
        <w:rPr>
          <w:rFonts w:hint="default"/>
          <w:lang w:eastAsia="sk-SK"/>
        </w:rPr>
        <w:t>ké</w:t>
      </w:r>
      <w:r w:rsidRPr="00EE366B">
        <w:rPr>
          <w:rFonts w:hint="default"/>
          <w:lang w:eastAsia="sk-SK"/>
        </w:rPr>
        <w:t xml:space="preserve"> projekty (nad 400 </w:t>
      </w:r>
      <w:r w:rsidRPr="00EE366B">
        <w:rPr>
          <w:rFonts w:hint="default"/>
          <w:lang w:eastAsia="sk-SK"/>
        </w:rPr>
        <w:t>000 €</w:t>
      </w:r>
      <w:r w:rsidRPr="00EE366B">
        <w:rPr>
          <w:rFonts w:hint="default"/>
          <w:lang w:eastAsia="sk-SK"/>
        </w:rPr>
        <w:t>), ký</w:t>
      </w:r>
      <w:r w:rsidRPr="00EE366B">
        <w:rPr>
          <w:rFonts w:hint="default"/>
          <w:lang w:eastAsia="sk-SK"/>
        </w:rPr>
        <w:t>m veľ</w:t>
      </w:r>
      <w:r w:rsidRPr="00EE366B">
        <w:rPr>
          <w:rFonts w:hint="default"/>
          <w:lang w:eastAsia="sk-SK"/>
        </w:rPr>
        <w:t>ká</w:t>
      </w:r>
      <w:r w:rsidRPr="00EE366B">
        <w:rPr>
          <w:rFonts w:hint="default"/>
          <w:lang w:eastAsia="sk-SK"/>
        </w:rPr>
        <w:t xml:space="preserve"> č</w:t>
      </w:r>
      <w:r w:rsidRPr="00EE366B">
        <w:rPr>
          <w:rFonts w:hint="default"/>
          <w:lang w:eastAsia="sk-SK"/>
        </w:rPr>
        <w:t>asť</w:t>
      </w:r>
      <w:r w:rsidRPr="00EE366B">
        <w:rPr>
          <w:rFonts w:hint="default"/>
          <w:lang w:eastAsia="sk-SK"/>
        </w:rPr>
        <w:t xml:space="preserve"> menší</w:t>
      </w:r>
      <w:r w:rsidRPr="00EE366B">
        <w:rPr>
          <w:rFonts w:hint="default"/>
          <w:lang w:eastAsia="sk-SK"/>
        </w:rPr>
        <w:t>ch  poľ</w:t>
      </w:r>
      <w:r w:rsidRPr="00EE366B">
        <w:rPr>
          <w:rFonts w:hint="default"/>
          <w:lang w:eastAsia="sk-SK"/>
        </w:rPr>
        <w:t>nohospodá</w:t>
      </w:r>
      <w:r w:rsidRPr="00EE366B">
        <w:rPr>
          <w:rFonts w:hint="default"/>
          <w:lang w:eastAsia="sk-SK"/>
        </w:rPr>
        <w:t>rskych subjektov a SHR, ktor</w:t>
      </w:r>
      <w:r w:rsidRPr="00EE366B">
        <w:rPr>
          <w:rFonts w:hint="default"/>
          <w:lang w:eastAsia="sk-SK"/>
        </w:rPr>
        <w:t>í</w:t>
      </w:r>
      <w:r w:rsidRPr="00EE366B">
        <w:rPr>
          <w:rFonts w:hint="default"/>
          <w:lang w:eastAsia="sk-SK"/>
        </w:rPr>
        <w:t xml:space="preserve"> ž</w:t>
      </w:r>
      <w:r w:rsidRPr="00EE366B">
        <w:rPr>
          <w:rFonts w:hint="default"/>
          <w:lang w:eastAsia="sk-SK"/>
        </w:rPr>
        <w:t>iadali podstatne menš</w:t>
      </w:r>
      <w:r w:rsidRPr="00EE366B">
        <w:rPr>
          <w:rFonts w:hint="default"/>
          <w:lang w:eastAsia="sk-SK"/>
        </w:rPr>
        <w:t>ie sumy podpory</w:t>
      </w:r>
      <w:r w:rsidRPr="00EE366B" w:rsidR="009D7964">
        <w:rPr>
          <w:lang w:eastAsia="sk-SK"/>
        </w:rPr>
        <w:t>,</w:t>
      </w:r>
      <w:r w:rsidRPr="00EE366B">
        <w:rPr>
          <w:lang w:eastAsia="sk-SK"/>
        </w:rPr>
        <w:t xml:space="preserve"> sa k </w:t>
      </w:r>
      <w:r w:rsidRPr="00EE366B">
        <w:rPr>
          <w:rFonts w:hint="default"/>
          <w:lang w:eastAsia="sk-SK"/>
        </w:rPr>
        <w:t>finanč</w:t>
      </w:r>
      <w:r w:rsidRPr="00EE366B">
        <w:rPr>
          <w:rFonts w:hint="default"/>
          <w:lang w:eastAsia="sk-SK"/>
        </w:rPr>
        <w:t>ný</w:t>
      </w:r>
      <w:r w:rsidRPr="00EE366B">
        <w:rPr>
          <w:rFonts w:hint="default"/>
          <w:lang w:eastAsia="sk-SK"/>
        </w:rPr>
        <w:t>m prostriedkom nedostali.</w:t>
      </w:r>
    </w:p>
    <w:p w:rsidR="00613CA7" w:rsidRPr="00EE366B" w:rsidP="00613CA7">
      <w:pPr>
        <w:widowControl w:val="0"/>
        <w:autoSpaceDE w:val="0"/>
        <w:autoSpaceDN w:val="0"/>
        <w:bidi w:val="0"/>
        <w:adjustRightInd w:val="0"/>
        <w:ind w:firstLine="708"/>
        <w:rPr>
          <w:rFonts w:hint="default"/>
          <w:lang w:eastAsia="sk-SK"/>
        </w:rPr>
      </w:pPr>
      <w:r w:rsidRPr="00EE366B">
        <w:rPr>
          <w:rFonts w:hint="default"/>
          <w:lang w:eastAsia="sk-SK"/>
        </w:rPr>
        <w:t>Pri viacerý</w:t>
      </w:r>
      <w:r w:rsidRPr="00EE366B">
        <w:rPr>
          <w:rFonts w:hint="default"/>
          <w:lang w:eastAsia="sk-SK"/>
        </w:rPr>
        <w:t>ch opatreniach aktuá</w:t>
      </w:r>
      <w:r w:rsidRPr="00EE366B">
        <w:rPr>
          <w:rFonts w:hint="default"/>
          <w:lang w:eastAsia="sk-SK"/>
        </w:rPr>
        <w:t>lne hodnotiace krité</w:t>
      </w:r>
      <w:r w:rsidRPr="00EE366B">
        <w:rPr>
          <w:rFonts w:hint="default"/>
          <w:lang w:eastAsia="sk-SK"/>
        </w:rPr>
        <w:t>riá</w:t>
      </w:r>
      <w:r w:rsidRPr="00EE366B">
        <w:rPr>
          <w:rFonts w:hint="default"/>
          <w:lang w:eastAsia="sk-SK"/>
        </w:rPr>
        <w:t xml:space="preserve"> (kvantitatí</w:t>
      </w:r>
      <w:r w:rsidRPr="00EE366B">
        <w:rPr>
          <w:rFonts w:hint="default"/>
          <w:lang w:eastAsia="sk-SK"/>
        </w:rPr>
        <w:t>vne a </w:t>
      </w:r>
      <w:r w:rsidRPr="00EE366B">
        <w:rPr>
          <w:rFonts w:hint="default"/>
          <w:lang w:eastAsia="sk-SK"/>
        </w:rPr>
        <w:t>kvalitatí</w:t>
      </w:r>
      <w:r w:rsidRPr="00EE366B">
        <w:rPr>
          <w:rFonts w:hint="default"/>
          <w:lang w:eastAsia="sk-SK"/>
        </w:rPr>
        <w:t>vne) nevytvá</w:t>
      </w:r>
      <w:r w:rsidRPr="00EE366B">
        <w:rPr>
          <w:rFonts w:hint="default"/>
          <w:lang w:eastAsia="sk-SK"/>
        </w:rPr>
        <w:t>rajú</w:t>
      </w:r>
      <w:r w:rsidRPr="00EE366B">
        <w:rPr>
          <w:rFonts w:hint="default"/>
          <w:lang w:eastAsia="sk-SK"/>
        </w:rPr>
        <w:t xml:space="preserve"> predpoklady pre jednoznač</w:t>
      </w:r>
      <w:r w:rsidRPr="00EE366B">
        <w:rPr>
          <w:rFonts w:hint="default"/>
          <w:lang w:eastAsia="sk-SK"/>
        </w:rPr>
        <w:t>nú</w:t>
      </w:r>
      <w:r w:rsidRPr="00EE366B">
        <w:rPr>
          <w:rFonts w:hint="default"/>
          <w:lang w:eastAsia="sk-SK"/>
        </w:rPr>
        <w:t xml:space="preserve"> selekciu ž</w:t>
      </w:r>
      <w:r w:rsidRPr="00EE366B">
        <w:rPr>
          <w:rFonts w:hint="default"/>
          <w:lang w:eastAsia="sk-SK"/>
        </w:rPr>
        <w:t>iadostí</w:t>
      </w:r>
      <w:r w:rsidRPr="00EE366B">
        <w:rPr>
          <w:rFonts w:hint="default"/>
          <w:lang w:eastAsia="sk-SK"/>
        </w:rPr>
        <w:t>, vznikajú</w:t>
      </w:r>
      <w:r w:rsidRPr="00EE366B">
        <w:rPr>
          <w:rFonts w:hint="default"/>
          <w:lang w:eastAsia="sk-SK"/>
        </w:rPr>
        <w:t xml:space="preserve"> nejasnosti a </w:t>
      </w:r>
      <w:r w:rsidRPr="00EE366B">
        <w:rPr>
          <w:rFonts w:hint="default"/>
          <w:lang w:eastAsia="sk-SK"/>
        </w:rPr>
        <w:t>prideľ</w:t>
      </w:r>
      <w:r w:rsidRPr="00EE366B">
        <w:rPr>
          <w:rFonts w:hint="default"/>
          <w:lang w:eastAsia="sk-SK"/>
        </w:rPr>
        <w:t>ova</w:t>
      </w:r>
      <w:r w:rsidRPr="00EE366B">
        <w:rPr>
          <w:rFonts w:hint="default"/>
          <w:lang w:eastAsia="sk-SK"/>
        </w:rPr>
        <w:t>nie bodov je formá</w:t>
      </w:r>
      <w:r w:rsidRPr="00EE366B">
        <w:rPr>
          <w:rFonts w:hint="default"/>
          <w:lang w:eastAsia="sk-SK"/>
        </w:rPr>
        <w:t>lne, č</w:t>
      </w:r>
      <w:r w:rsidRPr="00EE366B">
        <w:rPr>
          <w:rFonts w:hint="default"/>
          <w:lang w:eastAsia="sk-SK"/>
        </w:rPr>
        <w:t>asto nevystihuje kvality zá</w:t>
      </w:r>
      <w:r w:rsidRPr="00EE366B">
        <w:rPr>
          <w:rFonts w:hint="default"/>
          <w:lang w:eastAsia="sk-SK"/>
        </w:rPr>
        <w:t>meru projektu. Rieš</w:t>
      </w:r>
      <w:r w:rsidRPr="00EE366B">
        <w:rPr>
          <w:rFonts w:hint="default"/>
          <w:lang w:eastAsia="sk-SK"/>
        </w:rPr>
        <w:t>ení</w:t>
      </w:r>
      <w:r w:rsidRPr="00EE366B">
        <w:rPr>
          <w:rFonts w:hint="default"/>
          <w:lang w:eastAsia="sk-SK"/>
        </w:rPr>
        <w:t>m je analý</w:t>
      </w:r>
      <w:r w:rsidRPr="00EE366B">
        <w:rPr>
          <w:rFonts w:hint="default"/>
          <w:lang w:eastAsia="sk-SK"/>
        </w:rPr>
        <w:t>za rizika pri prideľ</w:t>
      </w:r>
      <w:r w:rsidRPr="00EE366B">
        <w:rPr>
          <w:rFonts w:hint="default"/>
          <w:lang w:eastAsia="sk-SK"/>
        </w:rPr>
        <w:t>ovaní</w:t>
      </w:r>
      <w:r w:rsidRPr="00EE366B">
        <w:rPr>
          <w:rFonts w:hint="default"/>
          <w:lang w:eastAsia="sk-SK"/>
        </w:rPr>
        <w:t xml:space="preserve"> bodov za projekt, ktorá</w:t>
      </w:r>
      <w:r w:rsidRPr="00EE366B">
        <w:rPr>
          <w:rFonts w:hint="default"/>
          <w:lang w:eastAsia="sk-SK"/>
        </w:rPr>
        <w:t xml:space="preserve"> by č</w:t>
      </w:r>
      <w:r w:rsidRPr="00EE366B">
        <w:rPr>
          <w:rFonts w:hint="default"/>
          <w:lang w:eastAsia="sk-SK"/>
        </w:rPr>
        <w:t>iastoč</w:t>
      </w:r>
      <w:r w:rsidRPr="00EE366B">
        <w:rPr>
          <w:rFonts w:hint="default"/>
          <w:lang w:eastAsia="sk-SK"/>
        </w:rPr>
        <w:t>ne eliminovala š</w:t>
      </w:r>
      <w:r w:rsidRPr="00EE366B">
        <w:rPr>
          <w:rFonts w:hint="default"/>
          <w:lang w:eastAsia="sk-SK"/>
        </w:rPr>
        <w:t>pekulatí</w:t>
      </w:r>
      <w:r w:rsidRPr="00EE366B">
        <w:rPr>
          <w:rFonts w:hint="default"/>
          <w:lang w:eastAsia="sk-SK"/>
        </w:rPr>
        <w:t>vne projekty a projekty s </w:t>
      </w:r>
      <w:r w:rsidRPr="00EE366B">
        <w:rPr>
          <w:rFonts w:hint="default"/>
          <w:lang w:eastAsia="sk-SK"/>
        </w:rPr>
        <w:t>vysoký</w:t>
      </w:r>
      <w:r w:rsidRPr="00EE366B">
        <w:rPr>
          <w:rFonts w:hint="default"/>
          <w:lang w:eastAsia="sk-SK"/>
        </w:rPr>
        <w:t>m podielom mŕ</w:t>
      </w:r>
      <w:r w:rsidRPr="00EE366B">
        <w:rPr>
          <w:rFonts w:hint="default"/>
          <w:lang w:eastAsia="sk-SK"/>
        </w:rPr>
        <w:t>tvej vá</w:t>
      </w:r>
      <w:r w:rsidRPr="00EE366B">
        <w:rPr>
          <w:rFonts w:hint="default"/>
          <w:lang w:eastAsia="sk-SK"/>
        </w:rPr>
        <w:t xml:space="preserve">hy. </w:t>
      </w:r>
    </w:p>
    <w:p w:rsidR="006E7C03" w:rsidP="006E7C03">
      <w:pPr>
        <w:bidi w:val="0"/>
        <w:rPr>
          <w:b/>
        </w:rPr>
      </w:pPr>
    </w:p>
    <w:p w:rsidR="006F451B" w:rsidP="00930867">
      <w:pPr>
        <w:pStyle w:val="Heading2"/>
        <w:numPr>
          <w:numId w:val="10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Štátna pomoc</w:t>
      </w:r>
    </w:p>
    <w:p w:rsidR="000B6840" w:rsidRPr="007077F4" w:rsidP="00930867">
      <w:pPr>
        <w:keepNext/>
        <w:bidi w:val="0"/>
        <w:rPr>
          <w:rFonts w:hint="default"/>
        </w:rPr>
      </w:pP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tna a minimá</w:t>
      </w:r>
      <w:r>
        <w:rPr>
          <w:rFonts w:hint="default"/>
        </w:rPr>
        <w:t>lna</w:t>
      </w:r>
      <w:r>
        <w:rPr>
          <w:rFonts w:hint="default"/>
        </w:rPr>
        <w:t xml:space="preserve"> pomoc v </w:t>
      </w:r>
      <w:r>
        <w:rPr>
          <w:rFonts w:hint="default"/>
        </w:rPr>
        <w:t>rokoch 2009 a 2010 bola zameraná</w:t>
      </w:r>
      <w:r>
        <w:rPr>
          <w:rFonts w:hint="default"/>
        </w:rPr>
        <w:t xml:space="preserve"> predovš</w:t>
      </w:r>
      <w:r>
        <w:rPr>
          <w:rFonts w:hint="default"/>
        </w:rPr>
        <w:t>etký</w:t>
      </w:r>
      <w:r>
        <w:rPr>
          <w:rFonts w:hint="default"/>
        </w:rPr>
        <w:t>m na rozvoj malý</w:t>
      </w:r>
      <w:r>
        <w:rPr>
          <w:rFonts w:hint="default"/>
        </w:rPr>
        <w:t>ch a stredný</w:t>
      </w:r>
      <w:r>
        <w:rPr>
          <w:rFonts w:hint="default"/>
        </w:rPr>
        <w:t>ch podnikov pô</w:t>
      </w:r>
      <w:r>
        <w:rPr>
          <w:rFonts w:hint="default"/>
        </w:rPr>
        <w:t>sobiacich v prv</w:t>
      </w:r>
      <w:r w:rsidR="00930867">
        <w:rPr>
          <w:rFonts w:hint="default"/>
        </w:rPr>
        <w:t>otnej poľ</w:t>
      </w:r>
      <w:r w:rsidR="00930867">
        <w:rPr>
          <w:rFonts w:hint="default"/>
        </w:rPr>
        <w:t>nohospodá</w:t>
      </w:r>
      <w:r w:rsidR="00930867">
        <w:rPr>
          <w:rFonts w:hint="default"/>
        </w:rPr>
        <w:t>rskych vý</w:t>
      </w:r>
      <w:r w:rsidR="00930867">
        <w:rPr>
          <w:rFonts w:hint="default"/>
        </w:rPr>
        <w:t>robe</w:t>
      </w:r>
      <w:r w:rsidR="00D47645">
        <w:t>,</w:t>
      </w:r>
      <w:r>
        <w:rPr>
          <w:rFonts w:hint="default"/>
        </w:rPr>
        <w:t xml:space="preserve"> a to formou poskytovania dotá</w:t>
      </w:r>
      <w:r>
        <w:rPr>
          <w:rFonts w:hint="default"/>
        </w:rPr>
        <w:t>cií</w:t>
      </w:r>
      <w:r>
        <w:rPr>
          <w:rFonts w:hint="default"/>
        </w:rPr>
        <w:t xml:space="preserve"> a </w:t>
      </w:r>
      <w:r w:rsidR="00930867">
        <w:rPr>
          <w:rFonts w:hint="default"/>
        </w:rPr>
        <w:t>subvencovaný</w:t>
      </w:r>
      <w:r w:rsidR="00930867">
        <w:rPr>
          <w:rFonts w:hint="default"/>
        </w:rPr>
        <w:t>ch služ</w:t>
      </w:r>
      <w:r w:rsidR="00930867">
        <w:rPr>
          <w:rFonts w:hint="default"/>
        </w:rPr>
        <w:t xml:space="preserve">ieb, </w:t>
      </w:r>
      <w:r w:rsidRPr="007077F4">
        <w:rPr>
          <w:rFonts w:hint="default"/>
        </w:rPr>
        <w:t>na zá</w:t>
      </w:r>
      <w:r w:rsidRPr="007077F4">
        <w:rPr>
          <w:rFonts w:hint="default"/>
        </w:rPr>
        <w:t>klade platný</w:t>
      </w:r>
      <w:r w:rsidRPr="007077F4">
        <w:rPr>
          <w:rFonts w:hint="default"/>
        </w:rPr>
        <w:t>ch prá</w:t>
      </w:r>
      <w:r w:rsidRPr="007077F4">
        <w:rPr>
          <w:rFonts w:hint="default"/>
        </w:rPr>
        <w:t>vnych predpisov:</w:t>
      </w:r>
    </w:p>
    <w:p w:rsidR="000B6840" w:rsidRPr="007077F4" w:rsidP="00895787">
      <w:pPr>
        <w:pStyle w:val="BodyText"/>
        <w:numPr>
          <w:numId w:val="32"/>
        </w:numPr>
        <w:bidi w:val="0"/>
        <w:spacing w:before="120" w:line="320" w:lineRule="exact"/>
        <w:rPr>
          <w:rFonts w:ascii="Times New Roman" w:hAnsi="Times New Roman"/>
        </w:rPr>
      </w:pPr>
      <w:r w:rsidRPr="007077F4">
        <w:rPr>
          <w:rFonts w:ascii="Times New Roman" w:hAnsi="Times New Roman"/>
        </w:rPr>
        <w:t>zákona č. 596/2008 Z. z. o štátnom rozpočte na rok 2009 v znení zákona č. 448/2009 Z. z.,</w:t>
      </w:r>
    </w:p>
    <w:p w:rsidR="000B6840" w:rsidRPr="007077F4" w:rsidP="00895787">
      <w:pPr>
        <w:pStyle w:val="BodyText"/>
        <w:numPr>
          <w:numId w:val="32"/>
        </w:numPr>
        <w:bidi w:val="0"/>
        <w:spacing w:before="120" w:line="320" w:lineRule="exact"/>
        <w:rPr>
          <w:rFonts w:ascii="Times New Roman" w:hAnsi="Times New Roman"/>
        </w:rPr>
      </w:pPr>
      <w:r w:rsidRPr="007077F4">
        <w:rPr>
          <w:rFonts w:ascii="Times New Roman" w:hAnsi="Times New Roman"/>
        </w:rPr>
        <w:t>zákona č. 523/2004 Z. z. o rozpočtových pravidlách verejnej správy a o zmene a doplnení niektorých zákonov v znení neskorších predpisov,</w:t>
      </w:r>
    </w:p>
    <w:p w:rsidR="000B6840" w:rsidRPr="007077F4" w:rsidP="00895787">
      <w:pPr>
        <w:pStyle w:val="BodyText"/>
        <w:numPr>
          <w:numId w:val="32"/>
        </w:numPr>
        <w:bidi w:val="0"/>
        <w:spacing w:before="120" w:line="320" w:lineRule="exact"/>
        <w:rPr>
          <w:rFonts w:ascii="Times New Roman" w:hAnsi="Times New Roman"/>
        </w:rPr>
      </w:pPr>
      <w:r w:rsidRPr="007077F4">
        <w:rPr>
          <w:rFonts w:ascii="Times New Roman" w:hAnsi="Times New Roman"/>
        </w:rPr>
        <w:t xml:space="preserve">zákon č. 543/2007 Z. z. o pôsobnosti orgánov štátnej správy pri poskytovaní podpory v pôdohospodárstve a rozvoji vidieka v znení </w:t>
      </w:r>
      <w:r w:rsidR="0086672B">
        <w:rPr>
          <w:rFonts w:ascii="Times New Roman" w:hAnsi="Times New Roman"/>
        </w:rPr>
        <w:t>zákona č. 601/2008 Z.z.,</w:t>
      </w:r>
    </w:p>
    <w:p w:rsidR="000B6840" w:rsidRPr="007077F4" w:rsidP="00895787">
      <w:pPr>
        <w:pStyle w:val="BodyText"/>
        <w:numPr>
          <w:numId w:val="32"/>
        </w:numPr>
        <w:bidi w:val="0"/>
        <w:spacing w:before="120" w:line="320" w:lineRule="exact"/>
        <w:rPr>
          <w:rFonts w:ascii="Times New Roman" w:hAnsi="Times New Roman"/>
        </w:rPr>
      </w:pPr>
      <w:r w:rsidRPr="007077F4">
        <w:rPr>
          <w:rFonts w:ascii="Times New Roman" w:hAnsi="Times New Roman"/>
        </w:rPr>
        <w:t>zákona č. 231/1999 Z. z. o štátnej pomoci v znení neskorších predpisov,</w:t>
      </w:r>
    </w:p>
    <w:p w:rsidR="000B6840" w:rsidRPr="007077F4" w:rsidP="00895787">
      <w:pPr>
        <w:pStyle w:val="BodyText"/>
        <w:numPr>
          <w:numId w:val="32"/>
        </w:numPr>
        <w:bidi w:val="0"/>
        <w:spacing w:before="120" w:line="320" w:lineRule="exact"/>
        <w:rPr>
          <w:rFonts w:ascii="Times New Roman" w:hAnsi="Times New Roman"/>
        </w:rPr>
      </w:pPr>
      <w:r w:rsidRPr="007077F4">
        <w:rPr>
          <w:rFonts w:ascii="Times New Roman" w:hAnsi="Times New Roman"/>
        </w:rPr>
        <w:t>zákona č. 39/2007 Z. z. o veterinárnej starostlivosti v znení neskorších predpisov,</w:t>
      </w:r>
    </w:p>
    <w:p w:rsidR="000B6840" w:rsidRPr="007077F4" w:rsidP="00895787">
      <w:pPr>
        <w:pStyle w:val="BodyText"/>
        <w:numPr>
          <w:numId w:val="32"/>
        </w:numPr>
        <w:bidi w:val="0"/>
        <w:spacing w:before="120" w:line="320" w:lineRule="exact"/>
        <w:rPr>
          <w:rFonts w:ascii="Times New Roman" w:hAnsi="Times New Roman"/>
        </w:rPr>
      </w:pPr>
      <w:r w:rsidRPr="007077F4">
        <w:rPr>
          <w:rFonts w:ascii="Times New Roman" w:hAnsi="Times New Roman"/>
        </w:rPr>
        <w:t>nariadenia vlády Slovenskej republiky č. 264/2009 o podporných opatreniach v pôdohospodárstve v znení neskorších predpisov</w:t>
      </w:r>
      <w:r w:rsidR="00D47645">
        <w:rPr>
          <w:rFonts w:ascii="Times New Roman" w:hAnsi="Times New Roman"/>
        </w:rPr>
        <w:t>,</w:t>
      </w:r>
      <w:r w:rsidRPr="007077F4">
        <w:rPr>
          <w:rFonts w:ascii="Times New Roman" w:hAnsi="Times New Roman"/>
        </w:rPr>
        <w:t xml:space="preserve"> </w:t>
      </w:r>
    </w:p>
    <w:p w:rsidR="000B6840" w:rsidRPr="007077F4" w:rsidP="00895787">
      <w:pPr>
        <w:pStyle w:val="BodyText"/>
        <w:numPr>
          <w:numId w:val="32"/>
        </w:numPr>
        <w:bidi w:val="0"/>
        <w:spacing w:before="120" w:line="320" w:lineRule="exact"/>
        <w:rPr>
          <w:rFonts w:ascii="Times New Roman" w:hAnsi="Times New Roman"/>
        </w:rPr>
      </w:pPr>
      <w:r w:rsidRPr="007077F4">
        <w:rPr>
          <w:rFonts w:ascii="Times New Roman" w:hAnsi="Times New Roman"/>
        </w:rPr>
        <w:t>nariadenia vlády Slovenskej republiky č. 347/2009 Z. z. o poskytovaní dočasnej štátnej pomoci pre pestovateľov cukrovej repy.</w:t>
      </w:r>
    </w:p>
    <w:p w:rsidR="000B6840" w:rsidP="00D47645">
      <w:pPr>
        <w:tabs>
          <w:tab w:val="left" w:pos="709"/>
        </w:tabs>
        <w:bidi w:val="0"/>
      </w:pPr>
      <w:r w:rsidRPr="007077F4">
        <w:rPr>
          <w:rFonts w:hint="default"/>
        </w:rPr>
        <w:t>Ná</w:t>
      </w:r>
      <w:r w:rsidRPr="007077F4">
        <w:rPr>
          <w:rFonts w:hint="default"/>
        </w:rPr>
        <w:t>rod</w:t>
      </w:r>
      <w:r>
        <w:rPr>
          <w:rFonts w:hint="default"/>
        </w:rPr>
        <w:t>né</w:t>
      </w:r>
      <w:r>
        <w:rPr>
          <w:rFonts w:hint="default"/>
        </w:rPr>
        <w:t xml:space="preserve"> podpory </w:t>
      </w:r>
      <w:r w:rsidRPr="007077F4">
        <w:rPr>
          <w:rFonts w:hint="default"/>
        </w:rPr>
        <w:t xml:space="preserve"> boli legislatí</w:t>
      </w:r>
      <w:r w:rsidRPr="007077F4">
        <w:rPr>
          <w:rFonts w:hint="default"/>
        </w:rPr>
        <w:t>vne zabezpeč</w:t>
      </w:r>
      <w:r w:rsidRPr="007077F4">
        <w:rPr>
          <w:rFonts w:hint="default"/>
        </w:rPr>
        <w:t>ené</w:t>
      </w:r>
      <w:r w:rsidRPr="007077F4">
        <w:rPr>
          <w:rFonts w:hint="default"/>
        </w:rPr>
        <w:t xml:space="preserve"> </w:t>
      </w:r>
      <w:r>
        <w:rPr>
          <w:rFonts w:hint="default"/>
        </w:rPr>
        <w:t>vý</w:t>
      </w:r>
      <w:r>
        <w:rPr>
          <w:rFonts w:hint="default"/>
        </w:rPr>
        <w:t>nosmi:</w:t>
      </w:r>
      <w:r w:rsidR="00D47645">
        <w:t xml:space="preserve"> </w:t>
      </w:r>
      <w:r w:rsidRPr="00392B35">
        <w:rPr>
          <w:rFonts w:hint="default"/>
        </w:rPr>
        <w:t>MP SR č</w:t>
      </w:r>
      <w:r w:rsidRPr="00392B35">
        <w:rPr>
          <w:rFonts w:hint="default"/>
        </w:rPr>
        <w:t>. 2357/2008</w:t>
      </w:r>
      <w:r w:rsidR="00C0319B">
        <w:t xml:space="preserve"> </w:t>
      </w:r>
      <w:r w:rsidRPr="00392B35">
        <w:t>-</w:t>
      </w:r>
      <w:r w:rsidR="00C0319B">
        <w:t xml:space="preserve"> </w:t>
      </w:r>
      <w:r w:rsidRPr="00392B35">
        <w:rPr>
          <w:rFonts w:hint="default"/>
        </w:rPr>
        <w:t>100, MP SR č</w:t>
      </w:r>
      <w:r w:rsidRPr="00392B35">
        <w:rPr>
          <w:rFonts w:hint="default"/>
        </w:rPr>
        <w:t>. 3703/2005</w:t>
      </w:r>
      <w:r w:rsidR="00C0319B">
        <w:t xml:space="preserve"> </w:t>
      </w:r>
      <w:r w:rsidRPr="00392B35">
        <w:t>-</w:t>
      </w:r>
      <w:r w:rsidR="00C0319B">
        <w:t xml:space="preserve"> </w:t>
      </w:r>
      <w:r w:rsidRPr="00392B35">
        <w:rPr>
          <w:rFonts w:hint="default"/>
        </w:rPr>
        <w:t>100, MP SR č</w:t>
      </w:r>
      <w:r w:rsidRPr="00392B35">
        <w:rPr>
          <w:rFonts w:hint="default"/>
        </w:rPr>
        <w:t>. 1438/2007</w:t>
      </w:r>
      <w:r w:rsidR="00C0319B">
        <w:t xml:space="preserve"> </w:t>
      </w:r>
      <w:r w:rsidRPr="00392B35">
        <w:t>-</w:t>
      </w:r>
      <w:r w:rsidR="00C0319B">
        <w:t xml:space="preserve"> </w:t>
      </w:r>
      <w:r w:rsidRPr="00392B35">
        <w:rPr>
          <w:rFonts w:hint="default"/>
        </w:rPr>
        <w:t>100, MP SR č</w:t>
      </w:r>
      <w:r w:rsidRPr="00392B35">
        <w:rPr>
          <w:rFonts w:hint="default"/>
        </w:rPr>
        <w:t>. 1065/2009</w:t>
      </w:r>
      <w:r w:rsidR="00C0319B">
        <w:t xml:space="preserve"> </w:t>
      </w:r>
      <w:r w:rsidRPr="00392B35">
        <w:t>- 100</w:t>
      </w:r>
      <w:r>
        <w:t>.</w:t>
      </w:r>
    </w:p>
    <w:p w:rsidR="000B6840" w:rsidP="000B6840">
      <w:pPr>
        <w:tabs>
          <w:tab w:val="left" w:pos="709"/>
        </w:tabs>
        <w:bidi w:val="0"/>
        <w:rPr>
          <w:rFonts w:hint="default"/>
        </w:rPr>
      </w:pP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tna pomoc sa poskytovala na zá</w:t>
      </w:r>
      <w:r>
        <w:rPr>
          <w:rFonts w:hint="default"/>
        </w:rPr>
        <w:t>klade sché</w:t>
      </w:r>
      <w:r>
        <w:rPr>
          <w:rFonts w:hint="default"/>
        </w:rPr>
        <w:t>m š</w:t>
      </w:r>
      <w:r>
        <w:rPr>
          <w:rFonts w:hint="default"/>
        </w:rPr>
        <w:t>tá</w:t>
      </w:r>
      <w:r>
        <w:rPr>
          <w:rFonts w:hint="default"/>
        </w:rPr>
        <w:t>tnej a minimá</w:t>
      </w:r>
      <w:r>
        <w:rPr>
          <w:rFonts w:hint="default"/>
        </w:rPr>
        <w:t>lnej pomoci, ktoré</w:t>
      </w:r>
      <w:r>
        <w:rPr>
          <w:rFonts w:hint="default"/>
        </w:rPr>
        <w:t xml:space="preserve"> je mož</w:t>
      </w:r>
      <w:r>
        <w:rPr>
          <w:rFonts w:hint="default"/>
        </w:rPr>
        <w:t>né</w:t>
      </w:r>
      <w:r>
        <w:rPr>
          <w:rFonts w:hint="default"/>
        </w:rPr>
        <w:t xml:space="preserve"> v</w:t>
      </w:r>
      <w:r>
        <w:rPr>
          <w:rFonts w:hint="default"/>
        </w:rPr>
        <w:t xml:space="preserve"> zmysle platnej legislatí</w:t>
      </w:r>
      <w:r>
        <w:rPr>
          <w:rFonts w:hint="default"/>
        </w:rPr>
        <w:t>vy EÚ</w:t>
      </w:r>
      <w:r>
        <w:rPr>
          <w:rFonts w:hint="default"/>
        </w:rPr>
        <w:t xml:space="preserve"> uplatň</w:t>
      </w:r>
      <w:r>
        <w:rPr>
          <w:rFonts w:hint="default"/>
        </w:rPr>
        <w:t>ovať</w:t>
      </w:r>
      <w:r>
        <w:rPr>
          <w:rFonts w:hint="default"/>
        </w:rPr>
        <w:t xml:space="preserve"> do 31. 12. 2013. </w:t>
      </w:r>
    </w:p>
    <w:p w:rsidR="000B6840" w:rsidP="000B6840">
      <w:pPr>
        <w:bidi w:val="0"/>
        <w:ind w:firstLine="397"/>
        <w:rPr>
          <w:rFonts w:hint="default"/>
        </w:rPr>
      </w:pPr>
      <w:r w:rsidR="00930867">
        <w:t>V roku</w:t>
      </w:r>
      <w:r>
        <w:rPr>
          <w:rFonts w:hint="default"/>
        </w:rPr>
        <w:t xml:space="preserve"> 2010 bola poskytnutá</w:t>
      </w:r>
      <w:r>
        <w:rPr>
          <w:rFonts w:hint="default"/>
        </w:rPr>
        <w:t xml:space="preserve"> aj dotá</w:t>
      </w:r>
      <w:r>
        <w:rPr>
          <w:rFonts w:hint="default"/>
        </w:rPr>
        <w:t>cia podľ</w:t>
      </w:r>
      <w:r>
        <w:rPr>
          <w:rFonts w:hint="default"/>
        </w:rPr>
        <w:t>a Zá</w:t>
      </w:r>
      <w:r>
        <w:rPr>
          <w:rFonts w:hint="default"/>
        </w:rPr>
        <w:t>kona č</w:t>
      </w:r>
      <w:r>
        <w:rPr>
          <w:rFonts w:hint="default"/>
        </w:rPr>
        <w:t>. 267/2010 Z. z. o </w:t>
      </w:r>
      <w:r>
        <w:rPr>
          <w:rFonts w:hint="default"/>
        </w:rPr>
        <w:t>poskytovaní</w:t>
      </w:r>
      <w:r>
        <w:rPr>
          <w:rFonts w:hint="default"/>
        </w:rPr>
        <w:t xml:space="preserve"> dotá</w:t>
      </w:r>
      <w:r>
        <w:rPr>
          <w:rFonts w:hint="default"/>
        </w:rPr>
        <w:t>cie na kompenzá</w:t>
      </w:r>
      <w:r>
        <w:rPr>
          <w:rFonts w:hint="default"/>
        </w:rPr>
        <w:t>ciu strá</w:t>
      </w:r>
      <w:r>
        <w:rPr>
          <w:rFonts w:hint="default"/>
        </w:rPr>
        <w:t>t spô</w:t>
      </w:r>
      <w:r>
        <w:rPr>
          <w:rFonts w:hint="default"/>
        </w:rPr>
        <w:t>sobený</w:t>
      </w:r>
      <w:r>
        <w:rPr>
          <w:rFonts w:hint="default"/>
        </w:rPr>
        <w:t>ch nepriaznivou poveternostnou udalosť</w:t>
      </w:r>
      <w:r>
        <w:rPr>
          <w:rFonts w:hint="default"/>
        </w:rPr>
        <w:t>ou, ktorú</w:t>
      </w:r>
      <w:r>
        <w:rPr>
          <w:rFonts w:hint="default"/>
        </w:rPr>
        <w:t xml:space="preserve"> mož</w:t>
      </w:r>
      <w:r>
        <w:rPr>
          <w:rFonts w:hint="default"/>
        </w:rPr>
        <w:t>no p</w:t>
      </w:r>
      <w:r w:rsidR="00D47645">
        <w:rPr>
          <w:rFonts w:hint="default"/>
        </w:rPr>
        <w:t>rirovnať</w:t>
      </w:r>
      <w:r w:rsidR="00D47645">
        <w:rPr>
          <w:rFonts w:hint="default"/>
        </w:rPr>
        <w:t xml:space="preserve"> k </w:t>
      </w:r>
      <w:r w:rsidR="00D47645">
        <w:rPr>
          <w:rFonts w:hint="default"/>
        </w:rPr>
        <w:t>prí</w:t>
      </w:r>
      <w:r w:rsidR="00D47645">
        <w:rPr>
          <w:rFonts w:hint="default"/>
        </w:rPr>
        <w:t>rodne</w:t>
      </w:r>
      <w:r w:rsidR="00D47645">
        <w:rPr>
          <w:rFonts w:hint="default"/>
        </w:rPr>
        <w:t>j katastrofe;</w:t>
      </w:r>
      <w:r>
        <w:rPr>
          <w:rFonts w:hint="default"/>
        </w:rPr>
        <w:t xml:space="preserve"> prí</w:t>
      </w:r>
      <w:r>
        <w:rPr>
          <w:rFonts w:hint="default"/>
        </w:rPr>
        <w:t>rodnou katastrofou alebo mimoriadnou udalosť</w:t>
      </w:r>
      <w:r>
        <w:rPr>
          <w:rFonts w:hint="default"/>
        </w:rPr>
        <w:t>ou.</w:t>
      </w:r>
    </w:p>
    <w:p w:rsidR="000B6840" w:rsidP="000B6840">
      <w:pPr>
        <w:bidi w:val="0"/>
        <w:ind w:firstLine="397"/>
        <w:rPr>
          <w:rFonts w:hint="default"/>
        </w:rPr>
      </w:pPr>
      <w:r w:rsidR="00930867">
        <w:t>V roku</w:t>
      </w:r>
      <w:r>
        <w:rPr>
          <w:rFonts w:hint="default"/>
        </w:rPr>
        <w:t xml:space="preserve"> 2010 bola taktiež</w:t>
      </w:r>
      <w:r>
        <w:rPr>
          <w:rFonts w:hint="default"/>
        </w:rPr>
        <w:t xml:space="preserve"> zmluvne poskytnutá</w:t>
      </w:r>
      <w:r>
        <w:rPr>
          <w:rFonts w:hint="default"/>
        </w:rPr>
        <w:t xml:space="preserve"> pomoc na zá</w:t>
      </w:r>
      <w:r>
        <w:rPr>
          <w:rFonts w:hint="default"/>
        </w:rPr>
        <w:t>klade Usmernen</w:t>
      </w:r>
      <w:r w:rsidR="00514E5A">
        <w:t>ia MP</w:t>
      </w:r>
      <w:r>
        <w:rPr>
          <w:rFonts w:hint="default"/>
        </w:rPr>
        <w:t>Ž</w:t>
      </w:r>
      <w:r>
        <w:rPr>
          <w:rFonts w:hint="default"/>
        </w:rPr>
        <w:t>P</w:t>
      </w:r>
      <w:r w:rsidR="00514E5A">
        <w:t>aRR </w:t>
      </w:r>
      <w:r>
        <w:rPr>
          <w:rFonts w:hint="default"/>
        </w:rPr>
        <w:t>SR č</w:t>
      </w:r>
      <w:r>
        <w:rPr>
          <w:rFonts w:hint="default"/>
        </w:rPr>
        <w:t>. 1472/2010</w:t>
      </w:r>
      <w:r w:rsidR="00C0319B">
        <w:t xml:space="preserve"> </w:t>
      </w:r>
      <w:r>
        <w:t>-</w:t>
      </w:r>
      <w:r w:rsidR="00C0319B">
        <w:t xml:space="preserve"> </w:t>
      </w:r>
      <w:r>
        <w:t>100 o </w:t>
      </w:r>
      <w:r>
        <w:rPr>
          <w:rFonts w:hint="default"/>
        </w:rPr>
        <w:t>ú</w:t>
      </w:r>
      <w:r>
        <w:rPr>
          <w:rFonts w:hint="default"/>
        </w:rPr>
        <w:t>hrade dane z pridanej hodnoty obc</w:t>
      </w:r>
      <w:r w:rsidR="009F7C0F">
        <w:rPr>
          <w:rFonts w:hint="default"/>
        </w:rPr>
        <w:t>iam v celkovej výš</w:t>
      </w:r>
      <w:r w:rsidR="009F7C0F">
        <w:rPr>
          <w:rFonts w:hint="default"/>
        </w:rPr>
        <w:t>ke 2 960 692 </w:t>
      </w:r>
      <w:r>
        <w:rPr>
          <w:rFonts w:hint="default"/>
        </w:rPr>
        <w:t>€.</w:t>
      </w:r>
    </w:p>
    <w:p w:rsidR="000B6840" w:rsidP="000B6840">
      <w:pPr>
        <w:bidi w:val="0"/>
        <w:ind w:firstLine="397"/>
      </w:pP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tna pomoc bola v </w:t>
      </w:r>
      <w:r>
        <w:rPr>
          <w:rFonts w:hint="default"/>
        </w:rPr>
        <w:t>roku 2010 poskytnutá</w:t>
      </w:r>
      <w:r>
        <w:rPr>
          <w:rFonts w:hint="default"/>
        </w:rPr>
        <w:t xml:space="preserve"> vo výš</w:t>
      </w:r>
      <w:r>
        <w:rPr>
          <w:rFonts w:hint="default"/>
        </w:rPr>
        <w:t>ke 13,87 mil. €</w:t>
      </w:r>
      <w:r>
        <w:rPr>
          <w:rFonts w:hint="default"/>
        </w:rPr>
        <w:t xml:space="preserve">, </w:t>
      </w:r>
      <w:r w:rsidR="00930867">
        <w:t>a </w:t>
      </w:r>
      <w:r>
        <w:rPr>
          <w:rFonts w:hint="default"/>
        </w:rPr>
        <w:t>ná</w:t>
      </w:r>
      <w:r>
        <w:rPr>
          <w:rFonts w:hint="default"/>
        </w:rPr>
        <w:t>rodné</w:t>
      </w:r>
      <w:r>
        <w:rPr>
          <w:rFonts w:hint="default"/>
        </w:rPr>
        <w:t xml:space="preserve"> podpory vo výš</w:t>
      </w:r>
      <w:r>
        <w:rPr>
          <w:rFonts w:hint="default"/>
        </w:rPr>
        <w:t>ke 3,75 mil. €</w:t>
      </w:r>
      <w:r>
        <w:rPr>
          <w:rFonts w:hint="default"/>
        </w:rPr>
        <w:t xml:space="preserve"> , spolu 17,62 mil. €</w:t>
      </w:r>
      <w:r>
        <w:rPr>
          <w:rFonts w:hint="default"/>
        </w:rPr>
        <w:t xml:space="preserve">. </w:t>
      </w:r>
      <w:r w:rsidRPr="00225287" w:rsidR="00930867">
        <w:t>(</w:t>
      </w:r>
      <w:r w:rsidRPr="00225287" w:rsidR="00225287">
        <w:rPr>
          <w:rFonts w:hint="default"/>
        </w:rPr>
        <w:t>tabuľ</w:t>
      </w:r>
      <w:r w:rsidRPr="00225287" w:rsidR="00225287">
        <w:rPr>
          <w:rFonts w:hint="default"/>
        </w:rPr>
        <w:t>ky č</w:t>
      </w:r>
      <w:r w:rsidRPr="00225287" w:rsidR="00225287">
        <w:rPr>
          <w:rFonts w:hint="default"/>
        </w:rPr>
        <w:t>. 47 </w:t>
      </w:r>
      <w:r w:rsidRPr="00225287" w:rsidR="00225287">
        <w:rPr>
          <w:rFonts w:hint="default"/>
        </w:rPr>
        <w:t>– </w:t>
      </w:r>
      <w:r w:rsidRPr="00225287" w:rsidR="00225287">
        <w:rPr>
          <w:rFonts w:hint="default"/>
        </w:rPr>
        <w:t>49 v prí</w:t>
      </w:r>
      <w:r w:rsidRPr="00225287" w:rsidR="00225287">
        <w:rPr>
          <w:rFonts w:hint="default"/>
        </w:rPr>
        <w:t>lohe 10</w:t>
      </w:r>
      <w:r w:rsidRPr="00225287" w:rsidR="00930867">
        <w:t>)</w:t>
      </w:r>
    </w:p>
    <w:p w:rsidR="000B6840" w:rsidP="000B6840">
      <w:pPr>
        <w:tabs>
          <w:tab w:val="left" w:pos="709"/>
        </w:tabs>
        <w:bidi w:val="0"/>
      </w:pPr>
      <w:r>
        <w:t>V </w:t>
      </w:r>
      <w:r>
        <w:rPr>
          <w:rFonts w:hint="default"/>
        </w:rPr>
        <w:t>roku 2010 boli na š</w:t>
      </w:r>
      <w:r>
        <w:rPr>
          <w:rFonts w:hint="default"/>
        </w:rPr>
        <w:t>tá</w:t>
      </w:r>
      <w:r>
        <w:rPr>
          <w:rFonts w:hint="default"/>
        </w:rPr>
        <w:t>tnu pomoc použ</w:t>
      </w:r>
      <w:r>
        <w:rPr>
          <w:rFonts w:hint="default"/>
        </w:rPr>
        <w:t>ité</w:t>
      </w:r>
      <w:r>
        <w:rPr>
          <w:rFonts w:hint="default"/>
        </w:rPr>
        <w:t xml:space="preserve"> aj prostriedky </w:t>
      </w:r>
      <w:r w:rsidR="00930867">
        <w:t>z prevodu z roku</w:t>
      </w:r>
      <w:r>
        <w:t xml:space="preserve"> 2009 v objeme 1 312 </w:t>
      </w:r>
      <w:r>
        <w:rPr>
          <w:rFonts w:hint="default"/>
        </w:rPr>
        <w:t>891,6 €</w:t>
      </w:r>
      <w:r>
        <w:rPr>
          <w:rFonts w:hint="default"/>
        </w:rPr>
        <w:t>. Uvedený</w:t>
      </w:r>
      <w:r>
        <w:rPr>
          <w:rFonts w:hint="default"/>
        </w:rPr>
        <w:t xml:space="preserve"> objem </w:t>
      </w:r>
      <w:r>
        <w:rPr>
          <w:rFonts w:hint="default"/>
        </w:rPr>
        <w:t>bol použ</w:t>
      </w:r>
      <w:r>
        <w:rPr>
          <w:rFonts w:hint="default"/>
        </w:rPr>
        <w:t>itý</w:t>
      </w:r>
      <w:r>
        <w:rPr>
          <w:rFonts w:hint="default"/>
        </w:rPr>
        <w:t xml:space="preserve"> na poskytnutie dotá</w:t>
      </w:r>
      <w:r>
        <w:rPr>
          <w:rFonts w:hint="default"/>
        </w:rPr>
        <w:t>cií</w:t>
      </w:r>
      <w:r>
        <w:rPr>
          <w:rFonts w:hint="default"/>
        </w:rPr>
        <w:t xml:space="preserve"> na ná</w:t>
      </w:r>
      <w:r>
        <w:rPr>
          <w:rFonts w:hint="default"/>
        </w:rPr>
        <w:t>kup dá</w:t>
      </w:r>
      <w:r>
        <w:rPr>
          <w:rFonts w:hint="default"/>
        </w:rPr>
        <w:t>vkovací</w:t>
      </w:r>
      <w:r>
        <w:rPr>
          <w:rFonts w:hint="default"/>
        </w:rPr>
        <w:t>ch zariadení</w:t>
      </w:r>
      <w:r>
        <w:rPr>
          <w:rFonts w:hint="default"/>
        </w:rPr>
        <w:t xml:space="preserve"> surové</w:t>
      </w:r>
      <w:r>
        <w:rPr>
          <w:rFonts w:hint="default"/>
        </w:rPr>
        <w:t>ho kravské</w:t>
      </w:r>
      <w:r>
        <w:rPr>
          <w:rFonts w:hint="default"/>
        </w:rPr>
        <w:t>ho mlieka</w:t>
      </w:r>
      <w:r w:rsidR="00F8038C">
        <w:t xml:space="preserve"> </w:t>
      </w:r>
      <w:r>
        <w:rPr>
          <w:rFonts w:hint="default"/>
        </w:rPr>
        <w:t>podľ</w:t>
      </w:r>
      <w:r>
        <w:rPr>
          <w:rFonts w:hint="default"/>
        </w:rPr>
        <w:t>a §</w:t>
      </w:r>
      <w:r>
        <w:rPr>
          <w:rFonts w:hint="default"/>
        </w:rPr>
        <w:t xml:space="preserve"> 30</w:t>
      </w:r>
      <w:r w:rsidR="0048379D">
        <w:t xml:space="preserve"> a)</w:t>
      </w:r>
      <w:r>
        <w:rPr>
          <w:rFonts w:hint="default"/>
        </w:rPr>
        <w:t xml:space="preserve"> nariadenia vlá</w:t>
      </w:r>
      <w:r>
        <w:rPr>
          <w:rFonts w:hint="default"/>
        </w:rPr>
        <w:t>dy SR č.</w:t>
      </w:r>
      <w:r w:rsidR="00F037EB">
        <w:t> </w:t>
      </w:r>
      <w:r>
        <w:t>264/2009 Z. z.</w:t>
      </w:r>
      <w:r w:rsidR="0048379D">
        <w:t xml:space="preserve"> v </w:t>
      </w:r>
      <w:r w:rsidR="0048379D">
        <w:rPr>
          <w:rFonts w:hint="default"/>
        </w:rPr>
        <w:t>znení</w:t>
      </w:r>
      <w:r w:rsidR="0048379D">
        <w:rPr>
          <w:rFonts w:hint="default"/>
        </w:rPr>
        <w:t xml:space="preserve"> neskorší</w:t>
      </w:r>
      <w:r w:rsidR="0048379D">
        <w:rPr>
          <w:rFonts w:hint="default"/>
        </w:rPr>
        <w:t>ch predpisov.</w:t>
      </w:r>
      <w:r>
        <w:tab/>
      </w:r>
      <w:r>
        <w:t xml:space="preserve"> </w:t>
      </w:r>
    </w:p>
    <w:p w:rsidR="006F451B" w:rsidP="006F451B">
      <w:pPr>
        <w:pStyle w:val="Heading2"/>
        <w:numPr>
          <w:numId w:val="10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Celková podpora poľnohospodárstva a</w:t>
      </w:r>
      <w:r w:rsidR="00A04C5A">
        <w:rPr>
          <w:rFonts w:ascii="Times New Roman" w:hAnsi="Times New Roman"/>
        </w:rPr>
        <w:t> </w:t>
      </w:r>
      <w:r>
        <w:rPr>
          <w:rFonts w:ascii="Times New Roman" w:hAnsi="Times New Roman"/>
        </w:rPr>
        <w:t>potravinárstva</w:t>
      </w:r>
    </w:p>
    <w:p w:rsidR="00DA415C" w:rsidRPr="001A294C" w:rsidP="00DA415C">
      <w:pPr>
        <w:pStyle w:val="Heading4"/>
        <w:bidi w:val="0"/>
        <w:rPr>
          <w:rFonts w:ascii="Times New Roman" w:hAnsi="Times New Roman"/>
        </w:rPr>
      </w:pPr>
      <w:r w:rsidRPr="001A294C">
        <w:rPr>
          <w:rFonts w:ascii="Times New Roman" w:hAnsi="Times New Roman"/>
        </w:rPr>
        <w:t>Všeobecné služby</w:t>
      </w:r>
    </w:p>
    <w:p w:rsidR="00DA415C" w:rsidP="00DA415C">
      <w:pPr>
        <w:bidi w:val="0"/>
        <w:rPr>
          <w:rFonts w:hint="default"/>
        </w:rPr>
      </w:pPr>
      <w:r>
        <w:rPr>
          <w:rFonts w:hint="default"/>
        </w:rPr>
        <w:t>Vš</w:t>
      </w:r>
      <w:r>
        <w:rPr>
          <w:rFonts w:hint="default"/>
        </w:rPr>
        <w:t>eobecné</w:t>
      </w:r>
      <w:r>
        <w:rPr>
          <w:rFonts w:hint="default"/>
        </w:rPr>
        <w:t xml:space="preserve"> sl</w:t>
      </w:r>
      <w:r>
        <w:rPr>
          <w:rFonts w:hint="default"/>
        </w:rPr>
        <w:t>už</w:t>
      </w:r>
      <w:r>
        <w:rPr>
          <w:rFonts w:hint="default"/>
        </w:rPr>
        <w:t>by pre poľ</w:t>
      </w:r>
      <w:r>
        <w:rPr>
          <w:rFonts w:hint="default"/>
        </w:rPr>
        <w:t>nohospodá</w:t>
      </w:r>
      <w:r>
        <w:rPr>
          <w:rFonts w:hint="default"/>
        </w:rPr>
        <w:t>rov sú</w:t>
      </w:r>
      <w:r>
        <w:rPr>
          <w:rFonts w:hint="default"/>
        </w:rPr>
        <w:t xml:space="preserve"> vykoná</w:t>
      </w:r>
      <w:r>
        <w:rPr>
          <w:rFonts w:hint="default"/>
        </w:rPr>
        <w:t>vané</w:t>
      </w:r>
      <w:r>
        <w:rPr>
          <w:rFonts w:hint="default"/>
        </w:rPr>
        <w:t xml:space="preserve"> prevaž</w:t>
      </w:r>
      <w:r>
        <w:rPr>
          <w:rFonts w:hint="default"/>
        </w:rPr>
        <w:t>ne š</w:t>
      </w:r>
      <w:r>
        <w:rPr>
          <w:rFonts w:hint="default"/>
        </w:rPr>
        <w:t>pecializovaný</w:t>
      </w:r>
      <w:r>
        <w:rPr>
          <w:rFonts w:hint="default"/>
        </w:rPr>
        <w:t>mi inš</w:t>
      </w:r>
      <w:r>
        <w:rPr>
          <w:rFonts w:hint="default"/>
        </w:rPr>
        <w:t>titú</w:t>
      </w:r>
      <w:r>
        <w:rPr>
          <w:rFonts w:hint="default"/>
        </w:rPr>
        <w:t>ciami v </w:t>
      </w:r>
      <w:r>
        <w:rPr>
          <w:rFonts w:hint="default"/>
        </w:rPr>
        <w:t>rá</w:t>
      </w:r>
      <w:r>
        <w:rPr>
          <w:rFonts w:hint="default"/>
        </w:rPr>
        <w:t>mci rezortu pô</w:t>
      </w:r>
      <w:r>
        <w:rPr>
          <w:rFonts w:hint="default"/>
        </w:rPr>
        <w:t>dohospodá</w:t>
      </w:r>
      <w:r>
        <w:rPr>
          <w:rFonts w:hint="default"/>
        </w:rPr>
        <w:t>rstva. Patrí</w:t>
      </w:r>
      <w:r>
        <w:rPr>
          <w:rFonts w:hint="default"/>
        </w:rPr>
        <w:t xml:space="preserve"> sem:</w:t>
      </w:r>
    </w:p>
    <w:p w:rsidR="00DA415C" w:rsidP="00A01DA0">
      <w:pPr>
        <w:bidi w:val="0"/>
        <w:ind w:firstLine="0"/>
        <w:rPr>
          <w:rFonts w:hint="default"/>
        </w:rPr>
      </w:pPr>
      <w:r>
        <w:rPr>
          <w:rFonts w:hint="default"/>
          <w:i/>
        </w:rPr>
        <w:t>Vý</w:t>
      </w:r>
      <w:r>
        <w:rPr>
          <w:rFonts w:hint="default"/>
          <w:i/>
        </w:rPr>
        <w:t>skum a </w:t>
      </w:r>
      <w:r>
        <w:rPr>
          <w:rFonts w:hint="default"/>
          <w:i/>
        </w:rPr>
        <w:t>vý</w:t>
      </w:r>
      <w:r>
        <w:rPr>
          <w:rFonts w:hint="default"/>
          <w:i/>
        </w:rPr>
        <w:t>voj</w:t>
      </w:r>
      <w:r>
        <w:rPr>
          <w:rFonts w:hint="default"/>
        </w:rPr>
        <w:t>: vý</w:t>
      </w:r>
      <w:r>
        <w:rPr>
          <w:rFonts w:hint="default"/>
        </w:rPr>
        <w:t>skumné</w:t>
      </w:r>
      <w:r>
        <w:rPr>
          <w:rFonts w:hint="default"/>
        </w:rPr>
        <w:t xml:space="preserve"> ú</w:t>
      </w:r>
      <w:r>
        <w:rPr>
          <w:rFonts w:hint="default"/>
        </w:rPr>
        <w:t>stavy v rezorte MP</w:t>
      </w:r>
      <w:r w:rsidR="00A01DA0">
        <w:t>RV </w:t>
      </w:r>
      <w:r>
        <w:rPr>
          <w:rFonts w:hint="default"/>
        </w:rPr>
        <w:t>SR, ná</w:t>
      </w:r>
      <w:r>
        <w:rPr>
          <w:rFonts w:hint="default"/>
        </w:rPr>
        <w:t>rodné</w:t>
      </w:r>
      <w:r>
        <w:rPr>
          <w:rFonts w:hint="default"/>
        </w:rPr>
        <w:t xml:space="preserve"> opatrenia (zachovanie a </w:t>
      </w:r>
      <w:r>
        <w:rPr>
          <w:rFonts w:hint="default"/>
        </w:rPr>
        <w:t>starostlivosť</w:t>
      </w:r>
      <w:r>
        <w:rPr>
          <w:rFonts w:hint="default"/>
        </w:rPr>
        <w:t xml:space="preserve"> o </w:t>
      </w:r>
      <w:r>
        <w:rPr>
          <w:rFonts w:hint="default"/>
        </w:rPr>
        <w:t>genofond zvierat, vý</w:t>
      </w:r>
      <w:r>
        <w:rPr>
          <w:rFonts w:hint="default"/>
        </w:rPr>
        <w:t>skum a vý</w:t>
      </w:r>
      <w:r>
        <w:rPr>
          <w:rFonts w:hint="default"/>
        </w:rPr>
        <w:t>voj n</w:t>
      </w:r>
      <w:r>
        <w:rPr>
          <w:rFonts w:hint="default"/>
        </w:rPr>
        <w:t>a zachovanie a starostlivosť</w:t>
      </w:r>
      <w:r>
        <w:rPr>
          <w:rFonts w:hint="default"/>
        </w:rPr>
        <w:t xml:space="preserve"> o genofond rastlí</w:t>
      </w:r>
      <w:r>
        <w:rPr>
          <w:rFonts w:hint="default"/>
        </w:rPr>
        <w:t>n, vý</w:t>
      </w:r>
      <w:r>
        <w:rPr>
          <w:rFonts w:hint="default"/>
        </w:rPr>
        <w:t>skum a vý</w:t>
      </w:r>
      <w:r>
        <w:rPr>
          <w:rFonts w:hint="default"/>
        </w:rPr>
        <w:t>voj na zachovanie a </w:t>
      </w:r>
      <w:r>
        <w:rPr>
          <w:rFonts w:hint="default"/>
        </w:rPr>
        <w:t>rozš</w:t>
      </w:r>
      <w:r>
        <w:rPr>
          <w:rFonts w:hint="default"/>
        </w:rPr>
        <w:t>irovanie genetické</w:t>
      </w:r>
      <w:r>
        <w:rPr>
          <w:rFonts w:hint="default"/>
        </w:rPr>
        <w:t>ho zá</w:t>
      </w:r>
      <w:r>
        <w:rPr>
          <w:rFonts w:hint="default"/>
        </w:rPr>
        <w:t>kladu pestovaný</w:t>
      </w:r>
      <w:r>
        <w:rPr>
          <w:rFonts w:hint="default"/>
        </w:rPr>
        <w:t>ch rastlí</w:t>
      </w:r>
      <w:r>
        <w:rPr>
          <w:rFonts w:hint="default"/>
        </w:rPr>
        <w:t xml:space="preserve">n). </w:t>
      </w:r>
    </w:p>
    <w:p w:rsidR="00DA415C" w:rsidP="00A01DA0">
      <w:pPr>
        <w:bidi w:val="0"/>
        <w:ind w:firstLine="0"/>
        <w:rPr>
          <w:rFonts w:hint="default"/>
        </w:rPr>
      </w:pPr>
      <w:r>
        <w:rPr>
          <w:rFonts w:hint="default"/>
          <w:i/>
        </w:rPr>
        <w:t>Poľ</w:t>
      </w:r>
      <w:r>
        <w:rPr>
          <w:rFonts w:hint="default"/>
          <w:i/>
        </w:rPr>
        <w:t>nohospodá</w:t>
      </w:r>
      <w:r>
        <w:rPr>
          <w:rFonts w:hint="default"/>
          <w:i/>
        </w:rPr>
        <w:t>rske poradenstvo a vzdelá</w:t>
      </w:r>
      <w:r>
        <w:rPr>
          <w:rFonts w:hint="default"/>
          <w:i/>
        </w:rPr>
        <w:t>vanie</w:t>
      </w:r>
      <w:r>
        <w:rPr>
          <w:rFonts w:hint="default"/>
        </w:rPr>
        <w:t>: Agroinš</w:t>
      </w:r>
      <w:r>
        <w:rPr>
          <w:rFonts w:hint="default"/>
        </w:rPr>
        <w:t>titú</w:t>
      </w:r>
      <w:r>
        <w:rPr>
          <w:rFonts w:hint="default"/>
        </w:rPr>
        <w:t>t a Agentú</w:t>
      </w:r>
      <w:r>
        <w:rPr>
          <w:rFonts w:hint="default"/>
        </w:rPr>
        <w:t>ra pre rozvoj vidieka.</w:t>
      </w:r>
    </w:p>
    <w:p w:rsidR="00DA415C" w:rsidP="00A01DA0">
      <w:pPr>
        <w:bidi w:val="0"/>
        <w:ind w:firstLine="0"/>
        <w:rPr>
          <w:rFonts w:hint="default"/>
        </w:rPr>
      </w:pPr>
      <w:r>
        <w:rPr>
          <w:rFonts w:hint="default"/>
          <w:i/>
        </w:rPr>
        <w:t>Š</w:t>
      </w:r>
      <w:r>
        <w:rPr>
          <w:rFonts w:hint="default"/>
          <w:i/>
        </w:rPr>
        <w:t>pecializovaná</w:t>
      </w:r>
      <w:r>
        <w:rPr>
          <w:rFonts w:hint="default"/>
          <w:i/>
        </w:rPr>
        <w:t xml:space="preserve"> š</w:t>
      </w:r>
      <w:r>
        <w:rPr>
          <w:rFonts w:hint="default"/>
          <w:i/>
        </w:rPr>
        <w:t>tá</w:t>
      </w:r>
      <w:r>
        <w:rPr>
          <w:rFonts w:hint="default"/>
          <w:i/>
        </w:rPr>
        <w:t>tna sprá</w:t>
      </w:r>
      <w:r>
        <w:rPr>
          <w:rFonts w:hint="default"/>
          <w:i/>
        </w:rPr>
        <w:t>va</w:t>
      </w:r>
      <w:r>
        <w:rPr>
          <w:rFonts w:hint="default"/>
        </w:rPr>
        <w:t>: Š</w:t>
      </w:r>
      <w:r>
        <w:rPr>
          <w:rFonts w:hint="default"/>
        </w:rPr>
        <w:t>t</w:t>
      </w:r>
      <w:r>
        <w:rPr>
          <w:rFonts w:hint="default"/>
        </w:rPr>
        <w:t>á</w:t>
      </w:r>
      <w:r>
        <w:rPr>
          <w:rFonts w:hint="default"/>
        </w:rPr>
        <w:t>tny plemená</w:t>
      </w:r>
      <w:r>
        <w:rPr>
          <w:rFonts w:hint="default"/>
        </w:rPr>
        <w:t>rsky ú</w:t>
      </w:r>
      <w:r>
        <w:rPr>
          <w:rFonts w:hint="default"/>
        </w:rPr>
        <w:t>stav SR, Š</w:t>
      </w:r>
      <w:r>
        <w:rPr>
          <w:rFonts w:hint="default"/>
        </w:rPr>
        <w:t>tá</w:t>
      </w:r>
      <w:r>
        <w:rPr>
          <w:rFonts w:hint="default"/>
        </w:rPr>
        <w:t>tny veteriná</w:t>
      </w:r>
      <w:r>
        <w:rPr>
          <w:rFonts w:hint="default"/>
        </w:rPr>
        <w:t>rny ú</w:t>
      </w:r>
      <w:r>
        <w:rPr>
          <w:rFonts w:hint="default"/>
        </w:rPr>
        <w:t>stav SR, Š</w:t>
      </w:r>
      <w:r>
        <w:rPr>
          <w:rFonts w:hint="default"/>
        </w:rPr>
        <w:t>tá</w:t>
      </w:r>
      <w:r>
        <w:rPr>
          <w:rFonts w:hint="default"/>
        </w:rPr>
        <w:t>tna veteriná</w:t>
      </w:r>
      <w:r>
        <w:rPr>
          <w:rFonts w:hint="default"/>
        </w:rPr>
        <w:t>rna a potravinová</w:t>
      </w:r>
      <w:r>
        <w:rPr>
          <w:rFonts w:hint="default"/>
        </w:rPr>
        <w:t xml:space="preserve"> sprá</w:t>
      </w:r>
      <w:r>
        <w:rPr>
          <w:rFonts w:hint="default"/>
        </w:rPr>
        <w:t>va, Ú</w:t>
      </w:r>
      <w:r>
        <w:rPr>
          <w:rFonts w:hint="default"/>
        </w:rPr>
        <w:t>stredný</w:t>
      </w:r>
      <w:r>
        <w:rPr>
          <w:rFonts w:hint="default"/>
        </w:rPr>
        <w:t xml:space="preserve"> kontrolný</w:t>
      </w:r>
      <w:r>
        <w:rPr>
          <w:rFonts w:hint="default"/>
        </w:rPr>
        <w:t xml:space="preserve"> a skúš</w:t>
      </w:r>
      <w:r>
        <w:rPr>
          <w:rFonts w:hint="default"/>
        </w:rPr>
        <w:t>obný</w:t>
      </w:r>
      <w:r>
        <w:rPr>
          <w:rFonts w:hint="default"/>
        </w:rPr>
        <w:t xml:space="preserve"> ú</w:t>
      </w:r>
      <w:r>
        <w:rPr>
          <w:rFonts w:hint="default"/>
        </w:rPr>
        <w:t>stav poľ</w:t>
      </w:r>
      <w:r>
        <w:rPr>
          <w:rFonts w:hint="default"/>
        </w:rPr>
        <w:t>nohospodá</w:t>
      </w:r>
      <w:r>
        <w:rPr>
          <w:rFonts w:hint="default"/>
        </w:rPr>
        <w:t>rsky, Plemená</w:t>
      </w:r>
      <w:r>
        <w:rPr>
          <w:rFonts w:hint="default"/>
        </w:rPr>
        <w:t>rska inš</w:t>
      </w:r>
      <w:r>
        <w:rPr>
          <w:rFonts w:hint="default"/>
        </w:rPr>
        <w:t>pekcia SR, Technický</w:t>
      </w:r>
      <w:r>
        <w:rPr>
          <w:rFonts w:hint="default"/>
        </w:rPr>
        <w:t xml:space="preserve"> a skúš</w:t>
      </w:r>
      <w:r>
        <w:rPr>
          <w:rFonts w:hint="default"/>
        </w:rPr>
        <w:t>obný</w:t>
      </w:r>
      <w:r>
        <w:rPr>
          <w:rFonts w:hint="default"/>
        </w:rPr>
        <w:t xml:space="preserve"> ú</w:t>
      </w:r>
      <w:r>
        <w:rPr>
          <w:rFonts w:hint="default"/>
        </w:rPr>
        <w:t>stav pô</w:t>
      </w:r>
      <w:r>
        <w:rPr>
          <w:rFonts w:hint="default"/>
        </w:rPr>
        <w:t>dohospodá</w:t>
      </w:r>
      <w:r>
        <w:rPr>
          <w:rFonts w:hint="default"/>
        </w:rPr>
        <w:t xml:space="preserve">rsky. </w:t>
      </w:r>
    </w:p>
    <w:p w:rsidR="00DA415C" w:rsidP="00A01DA0">
      <w:pPr>
        <w:bidi w:val="0"/>
        <w:ind w:firstLine="0"/>
      </w:pPr>
      <w:r>
        <w:rPr>
          <w:rFonts w:hint="default"/>
          <w:i/>
        </w:rPr>
        <w:t>Infraš</w:t>
      </w:r>
      <w:r>
        <w:rPr>
          <w:rFonts w:hint="default"/>
          <w:i/>
        </w:rPr>
        <w:t>truktú</w:t>
      </w:r>
      <w:r>
        <w:rPr>
          <w:rFonts w:hint="default"/>
          <w:i/>
        </w:rPr>
        <w:t>ra</w:t>
      </w:r>
      <w:r>
        <w:rPr>
          <w:rFonts w:hint="default"/>
        </w:rPr>
        <w:t>: pozemkové</w:t>
      </w:r>
      <w:r>
        <w:rPr>
          <w:rFonts w:hint="default"/>
        </w:rPr>
        <w:t xml:space="preserve"> ú</w:t>
      </w:r>
      <w:r>
        <w:rPr>
          <w:rFonts w:hint="default"/>
        </w:rPr>
        <w:t>pravy z </w:t>
      </w:r>
      <w:r>
        <w:rPr>
          <w:rFonts w:hint="default"/>
        </w:rPr>
        <w:t>rozpoč</w:t>
      </w:r>
      <w:r>
        <w:rPr>
          <w:rFonts w:hint="default"/>
        </w:rPr>
        <w:t>tovej kapitoly MP</w:t>
      </w:r>
      <w:r w:rsidR="00A01DA0">
        <w:t>RV </w:t>
      </w:r>
      <w:r>
        <w:t xml:space="preserve">SR </w:t>
      </w:r>
    </w:p>
    <w:p w:rsidR="00DA415C" w:rsidP="00A01DA0">
      <w:pPr>
        <w:bidi w:val="0"/>
        <w:ind w:firstLine="0"/>
        <w:rPr>
          <w:rFonts w:hint="default"/>
        </w:rPr>
      </w:pPr>
      <w:r>
        <w:rPr>
          <w:i/>
        </w:rPr>
        <w:t>Marketing a </w:t>
      </w:r>
      <w:r>
        <w:rPr>
          <w:rFonts w:hint="default"/>
          <w:i/>
        </w:rPr>
        <w:t>propagá</w:t>
      </w:r>
      <w:r>
        <w:rPr>
          <w:rFonts w:hint="default"/>
          <w:i/>
        </w:rPr>
        <w:t>cia</w:t>
      </w:r>
      <w:r>
        <w:rPr>
          <w:rFonts w:hint="default"/>
        </w:rPr>
        <w:t>: podpora vý</w:t>
      </w:r>
      <w:r>
        <w:rPr>
          <w:rFonts w:hint="default"/>
        </w:rPr>
        <w:t>stav a ná</w:t>
      </w:r>
      <w:r>
        <w:rPr>
          <w:rFonts w:hint="default"/>
        </w:rPr>
        <w:t>rodné</w:t>
      </w:r>
      <w:r>
        <w:rPr>
          <w:rFonts w:hint="default"/>
        </w:rPr>
        <w:t xml:space="preserve"> opatrenia - technická</w:t>
      </w:r>
      <w:r>
        <w:rPr>
          <w:rFonts w:hint="default"/>
        </w:rPr>
        <w:t xml:space="preserve"> podpora, zvýš</w:t>
      </w:r>
      <w:r>
        <w:rPr>
          <w:rFonts w:hint="default"/>
        </w:rPr>
        <w:t>enie spotreby mlieka a </w:t>
      </w:r>
      <w:r>
        <w:rPr>
          <w:rFonts w:hint="default"/>
        </w:rPr>
        <w:t>mlieč</w:t>
      </w:r>
      <w:r>
        <w:rPr>
          <w:rFonts w:hint="default"/>
        </w:rPr>
        <w:t>nych vý</w:t>
      </w:r>
      <w:r>
        <w:rPr>
          <w:rFonts w:hint="default"/>
        </w:rPr>
        <w:t>robkov u detí</w:t>
      </w:r>
      <w:r>
        <w:rPr>
          <w:rFonts w:hint="default"/>
        </w:rPr>
        <w:t xml:space="preserve"> s </w:t>
      </w:r>
      <w:r>
        <w:rPr>
          <w:rFonts w:hint="default"/>
        </w:rPr>
        <w:t>povinnou š</w:t>
      </w:r>
      <w:r>
        <w:rPr>
          <w:rFonts w:hint="default"/>
        </w:rPr>
        <w:t>kolskou dochá</w:t>
      </w:r>
      <w:r>
        <w:rPr>
          <w:rFonts w:hint="default"/>
        </w:rPr>
        <w:t>dzkou, historicky a spoloč</w:t>
      </w:r>
      <w:r>
        <w:rPr>
          <w:rFonts w:hint="default"/>
        </w:rPr>
        <w:t>ensky vý</w:t>
      </w:r>
      <w:r>
        <w:rPr>
          <w:rFonts w:hint="default"/>
        </w:rPr>
        <w:t>znamné</w:t>
      </w:r>
      <w:r>
        <w:rPr>
          <w:rFonts w:hint="default"/>
        </w:rPr>
        <w:t xml:space="preserve"> zariadenia,</w:t>
      </w:r>
      <w:r w:rsidR="003D5230">
        <w:rPr>
          <w:rFonts w:hint="default"/>
        </w:rPr>
        <w:t xml:space="preserve"> vš</w:t>
      </w:r>
      <w:r w:rsidR="003D5230">
        <w:rPr>
          <w:rFonts w:hint="default"/>
        </w:rPr>
        <w:t>eobecne pros</w:t>
      </w:r>
      <w:r w:rsidR="003D5230">
        <w:rPr>
          <w:rFonts w:hint="default"/>
        </w:rPr>
        <w:t>peš</w:t>
      </w:r>
      <w:r w:rsidR="003D5230">
        <w:rPr>
          <w:rFonts w:hint="default"/>
        </w:rPr>
        <w:t>né</w:t>
      </w:r>
      <w:r w:rsidR="003D5230">
        <w:rPr>
          <w:rFonts w:hint="default"/>
        </w:rPr>
        <w:t xml:space="preserve"> aktivity v 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rstve</w:t>
      </w:r>
    </w:p>
    <w:p w:rsidR="00DA415C" w:rsidP="00DA415C">
      <w:pPr>
        <w:bidi w:val="0"/>
        <w:rPr>
          <w:rFonts w:hint="default"/>
        </w:rPr>
      </w:pPr>
      <w:r>
        <w:rPr>
          <w:rFonts w:hint="default"/>
        </w:rPr>
        <w:t>Propagá</w:t>
      </w:r>
      <w:r>
        <w:rPr>
          <w:rFonts w:hint="default"/>
        </w:rPr>
        <w:t>ciou a marketingom poľ</w:t>
      </w:r>
      <w:r>
        <w:rPr>
          <w:rFonts w:hint="default"/>
        </w:rPr>
        <w:t>nohospodá</w:t>
      </w:r>
      <w:r>
        <w:rPr>
          <w:rFonts w:hint="default"/>
        </w:rPr>
        <w:t>rskych vý</w:t>
      </w:r>
      <w:r>
        <w:rPr>
          <w:rFonts w:hint="default"/>
        </w:rPr>
        <w:t>robkov a </w:t>
      </w:r>
      <w:r>
        <w:rPr>
          <w:rFonts w:hint="default"/>
        </w:rPr>
        <w:t>potraví</w:t>
      </w:r>
      <w:r>
        <w:rPr>
          <w:rFonts w:hint="default"/>
        </w:rPr>
        <w:t>n, vrá</w:t>
      </w:r>
      <w:r>
        <w:rPr>
          <w:rFonts w:hint="default"/>
        </w:rPr>
        <w:t>tane Znač</w:t>
      </w:r>
      <w:r>
        <w:rPr>
          <w:rFonts w:hint="default"/>
        </w:rPr>
        <w:t>ky kvality, je poverený</w:t>
      </w:r>
      <w:r>
        <w:rPr>
          <w:rFonts w:hint="default"/>
        </w:rPr>
        <w:t xml:space="preserve"> Vý</w:t>
      </w:r>
      <w:r>
        <w:rPr>
          <w:rFonts w:hint="default"/>
        </w:rPr>
        <w:t>s</w:t>
      </w:r>
      <w:r w:rsidR="00930867">
        <w:rPr>
          <w:rFonts w:hint="default"/>
        </w:rPr>
        <w:t>kumný</w:t>
      </w:r>
      <w:r w:rsidR="00930867">
        <w:rPr>
          <w:rFonts w:hint="default"/>
        </w:rPr>
        <w:t xml:space="preserve"> ú</w:t>
      </w:r>
      <w:r w:rsidR="00930867">
        <w:rPr>
          <w:rFonts w:hint="default"/>
        </w:rPr>
        <w:t>stav potraviná</w:t>
      </w:r>
      <w:r w:rsidR="00930867">
        <w:rPr>
          <w:rFonts w:hint="default"/>
        </w:rPr>
        <w:t>rsky (VÚ</w:t>
      </w:r>
      <w:r w:rsidR="00930867">
        <w:rPr>
          <w:rFonts w:hint="default"/>
        </w:rPr>
        <w:t>P)</w:t>
      </w:r>
      <w:r>
        <w:rPr>
          <w:rFonts w:hint="default"/>
        </w:rPr>
        <w:t>. Poskytuje aj odbornú</w:t>
      </w:r>
      <w:r>
        <w:rPr>
          <w:rFonts w:hint="default"/>
        </w:rPr>
        <w:t xml:space="preserve"> pomoc a spoluprá</w:t>
      </w:r>
      <w:r>
        <w:rPr>
          <w:rFonts w:hint="default"/>
        </w:rPr>
        <w:t>cu pri vypracovaní</w:t>
      </w:r>
      <w:r>
        <w:rPr>
          <w:rFonts w:hint="default"/>
        </w:rPr>
        <w:t xml:space="preserve"> š</w:t>
      </w:r>
      <w:r>
        <w:rPr>
          <w:rFonts w:hint="default"/>
        </w:rPr>
        <w:t>pecifiká</w:t>
      </w:r>
      <w:r>
        <w:rPr>
          <w:rFonts w:hint="default"/>
        </w:rPr>
        <w:t>cií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rs</w:t>
      </w:r>
      <w:r>
        <w:rPr>
          <w:rFonts w:hint="default"/>
        </w:rPr>
        <w:t>kych vý</w:t>
      </w:r>
      <w:r>
        <w:rPr>
          <w:rFonts w:hint="default"/>
        </w:rPr>
        <w:t>robkov a potraví</w:t>
      </w:r>
      <w:r>
        <w:rPr>
          <w:rFonts w:hint="default"/>
        </w:rPr>
        <w:t>n s </w:t>
      </w:r>
      <w:r>
        <w:rPr>
          <w:rFonts w:hint="default"/>
        </w:rPr>
        <w:t>označ</w:t>
      </w:r>
      <w:r>
        <w:rPr>
          <w:rFonts w:hint="default"/>
        </w:rPr>
        <w:t>ení</w:t>
      </w:r>
      <w:r>
        <w:rPr>
          <w:rFonts w:hint="default"/>
        </w:rPr>
        <w:t>m pô</w:t>
      </w:r>
      <w:r>
        <w:rPr>
          <w:rFonts w:hint="default"/>
        </w:rPr>
        <w:t>vodu (PDO), zemepisný</w:t>
      </w:r>
      <w:r>
        <w:rPr>
          <w:rFonts w:hint="default"/>
        </w:rPr>
        <w:t>m označ</w:t>
      </w:r>
      <w:r>
        <w:rPr>
          <w:rFonts w:hint="default"/>
        </w:rPr>
        <w:t>ení</w:t>
      </w:r>
      <w:r>
        <w:rPr>
          <w:rFonts w:hint="default"/>
        </w:rPr>
        <w:t>m (PGI) a označ</w:t>
      </w:r>
      <w:r>
        <w:rPr>
          <w:rFonts w:hint="default"/>
        </w:rPr>
        <w:t>ení</w:t>
      </w:r>
      <w:r>
        <w:rPr>
          <w:rFonts w:hint="default"/>
        </w:rPr>
        <w:t>m zaruč</w:t>
      </w:r>
      <w:r>
        <w:rPr>
          <w:rFonts w:hint="default"/>
        </w:rPr>
        <w:t>ený</w:t>
      </w:r>
      <w:r>
        <w:rPr>
          <w:rFonts w:hint="default"/>
        </w:rPr>
        <w:t>ch tradič</w:t>
      </w:r>
      <w:r>
        <w:rPr>
          <w:rFonts w:hint="default"/>
        </w:rPr>
        <w:t>ný</w:t>
      </w:r>
      <w:r>
        <w:rPr>
          <w:rFonts w:hint="default"/>
        </w:rPr>
        <w:t>ch š</w:t>
      </w:r>
      <w:r>
        <w:rPr>
          <w:rFonts w:hint="default"/>
        </w:rPr>
        <w:t>pecialí</w:t>
      </w:r>
      <w:r>
        <w:rPr>
          <w:rFonts w:hint="default"/>
        </w:rPr>
        <w:t>t (TSG) v </w:t>
      </w:r>
      <w:r>
        <w:rPr>
          <w:rFonts w:hint="default"/>
        </w:rPr>
        <w:t>systé</w:t>
      </w:r>
      <w:r>
        <w:rPr>
          <w:rFonts w:hint="default"/>
        </w:rPr>
        <w:t>me Politiky kvality EÚ.</w:t>
      </w:r>
    </w:p>
    <w:p w:rsidR="00DA415C" w:rsidP="00A01DA0">
      <w:pPr>
        <w:bidi w:val="0"/>
        <w:ind w:firstLine="0"/>
        <w:rPr>
          <w:rFonts w:hint="default"/>
          <w:i/>
        </w:rPr>
      </w:pPr>
      <w:r>
        <w:rPr>
          <w:rFonts w:hint="default"/>
          <w:i/>
        </w:rPr>
        <w:t>Intervenč</w:t>
      </w:r>
      <w:r>
        <w:rPr>
          <w:rFonts w:hint="default"/>
          <w:i/>
        </w:rPr>
        <w:t>ný</w:t>
      </w:r>
      <w:r>
        <w:rPr>
          <w:rFonts w:hint="default"/>
          <w:i/>
        </w:rPr>
        <w:t xml:space="preserve"> ná</w:t>
      </w:r>
      <w:r>
        <w:rPr>
          <w:rFonts w:hint="default"/>
          <w:i/>
        </w:rPr>
        <w:t>kup, ostatné</w:t>
      </w:r>
      <w:r>
        <w:rPr>
          <w:rFonts w:hint="default"/>
          <w:i/>
        </w:rPr>
        <w:t xml:space="preserve"> služ</w:t>
      </w:r>
      <w:r>
        <w:rPr>
          <w:rFonts w:hint="default"/>
          <w:i/>
        </w:rPr>
        <w:t>by - PPA.</w:t>
      </w:r>
    </w:p>
    <w:p w:rsidR="00DA415C" w:rsidRPr="0032456B" w:rsidP="00DA415C">
      <w:pPr>
        <w:bidi w:val="0"/>
        <w:rPr>
          <w:b/>
        </w:rPr>
      </w:pPr>
    </w:p>
    <w:p w:rsidR="00DA415C" w:rsidRPr="00AA4C3A" w:rsidP="00B80F67">
      <w:pPr>
        <w:keepNext/>
        <w:bidi w:val="0"/>
        <w:spacing w:after="0" w:line="240" w:lineRule="auto"/>
        <w:ind w:firstLine="0"/>
        <w:rPr>
          <w:rFonts w:hint="default"/>
          <w:b/>
        </w:rPr>
      </w:pPr>
      <w:r w:rsidRPr="00AA4C3A">
        <w:rPr>
          <w:rFonts w:hint="default"/>
          <w:b/>
        </w:rPr>
        <w:t>Š</w:t>
      </w:r>
      <w:r w:rsidRPr="00AA4C3A">
        <w:rPr>
          <w:rFonts w:hint="default"/>
          <w:b/>
        </w:rPr>
        <w:t>truktú</w:t>
      </w:r>
      <w:r w:rsidRPr="00AA4C3A">
        <w:rPr>
          <w:rFonts w:hint="default"/>
          <w:b/>
        </w:rPr>
        <w:t>ra podpô</w:t>
      </w:r>
      <w:r w:rsidRPr="00AA4C3A">
        <w:rPr>
          <w:rFonts w:hint="default"/>
          <w:b/>
        </w:rPr>
        <w:t>r na vš</w:t>
      </w:r>
      <w:r w:rsidRPr="00AA4C3A">
        <w:rPr>
          <w:rFonts w:hint="default"/>
          <w:b/>
        </w:rPr>
        <w:t>eobecné</w:t>
      </w:r>
      <w:r w:rsidRPr="00AA4C3A">
        <w:rPr>
          <w:rFonts w:hint="default"/>
          <w:b/>
        </w:rPr>
        <w:t xml:space="preserve"> služ</w:t>
      </w:r>
      <w:r w:rsidRPr="00AA4C3A">
        <w:rPr>
          <w:rFonts w:hint="default"/>
          <w:b/>
        </w:rPr>
        <w:t xml:space="preserve">by </w:t>
      </w:r>
    </w:p>
    <w:p w:rsidR="00DA415C" w:rsidRPr="00AA4C3A" w:rsidP="00930867">
      <w:pPr>
        <w:keepNext/>
        <w:bidi w:val="0"/>
        <w:spacing w:after="0" w:line="240" w:lineRule="auto"/>
        <w:ind w:firstLine="0"/>
        <w:jc w:val="left"/>
      </w:pPr>
      <w:r w:rsidRPr="00AA4C3A" w:rsidR="00930867">
        <w:t>v </w:t>
      </w:r>
      <w:r w:rsidRPr="00AA4C3A" w:rsidR="00930867">
        <w:rPr>
          <w:rFonts w:hint="default"/>
        </w:rPr>
        <w:t>mil. €</w:t>
      </w:r>
      <w:r w:rsidRPr="00AA4C3A" w:rsidR="00930867">
        <w:rPr>
          <w:rFonts w:hint="default"/>
        </w:rPr>
        <w:t xml:space="preserve">         </w:t>
      </w:r>
      <w:r w:rsidRPr="00AA4C3A" w:rsidR="00930867">
        <w:rPr>
          <w:rFonts w:hint="default"/>
        </w:rPr>
        <w:t xml:space="preserve">                                                                         </w:t>
      </w:r>
      <w:r w:rsidR="003D5230">
        <w:t xml:space="preserve">                             </w:t>
      </w:r>
      <w:r w:rsidRPr="00AA4C3A" w:rsidR="00930867">
        <w:t xml:space="preserve">     </w:t>
      </w:r>
      <w:r w:rsidRPr="00AA4C3A" w:rsidR="00B80F67">
        <w:rPr>
          <w:rFonts w:hint="default"/>
        </w:rPr>
        <w:t>Tabuľ</w:t>
      </w:r>
      <w:r w:rsidRPr="00AA4C3A" w:rsidR="00B80F67">
        <w:rPr>
          <w:rFonts w:hint="default"/>
        </w:rPr>
        <w:t>ka č</w:t>
      </w:r>
      <w:r w:rsidRPr="00AA4C3A" w:rsidR="00B80F67">
        <w:rPr>
          <w:rFonts w:hint="default"/>
        </w:rPr>
        <w:t xml:space="preserve">. </w:t>
      </w:r>
      <w:r w:rsidR="003D5230">
        <w:t>10</w:t>
      </w:r>
    </w:p>
    <w:tbl>
      <w:tblPr>
        <w:tblStyle w:val="TableNormal"/>
        <w:tblW w:w="9229" w:type="dxa"/>
        <w:tblInd w:w="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3559"/>
        <w:gridCol w:w="1418"/>
        <w:gridCol w:w="2126"/>
        <w:gridCol w:w="2126"/>
      </w:tblGrid>
      <w:tr>
        <w:tblPrEx>
          <w:tblW w:w="9229" w:type="dxa"/>
          <w:tblInd w:w="55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59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AA4C3A" w:rsidRPr="00A669C9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AA4C3A" w:rsidRPr="00A669C9" w:rsidP="00AA4C3A">
            <w:pPr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2009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AA4C3A" w:rsidRPr="00A669C9" w:rsidP="00AA4C3A">
            <w:pPr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2010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AA4C3A" w:rsidRPr="00A669C9" w:rsidP="003D5230">
            <w:pPr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Index 2010/2009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Výskum a vývoj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11,3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10,4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92,0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Poľnohosp. školstvo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0,8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50,0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Služby špecializovanej štátnej správy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48,4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54,7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113,0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Infraštruktúra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5,2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1,8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34,6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Marketing a propagácia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5,4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4,4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81,5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Ostatné služby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6,6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33,3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504,5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A4C3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Všeobecné služby spolu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A4C3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92,2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A4C3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105,0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113,9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- z rozpočtovej kapitoly MPRV SR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86,4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97,6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112,9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3559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- z ostatných zdrojov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5,8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7,4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AA4C3A" w:rsidRPr="00AA4C3A" w:rsidP="00AA4C3A">
            <w:pPr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A4C3A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127,6</w:t>
            </w:r>
          </w:p>
        </w:tc>
      </w:tr>
    </w:tbl>
    <w:p w:rsidR="00DA415C" w:rsidP="00AA4C3A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 w:rsidRPr="00AA4C3A">
        <w:rPr>
          <w:rFonts w:hint="default"/>
          <w:sz w:val="20"/>
          <w:szCs w:val="20"/>
        </w:rPr>
        <w:t>Prameň</w:t>
      </w:r>
      <w:r w:rsidRPr="00AA4C3A">
        <w:rPr>
          <w:rFonts w:hint="default"/>
          <w:sz w:val="20"/>
          <w:szCs w:val="20"/>
        </w:rPr>
        <w:t>: MPRV SR</w:t>
      </w:r>
      <w:r w:rsidR="006C535C">
        <w:rPr>
          <w:rFonts w:hint="default"/>
          <w:sz w:val="20"/>
          <w:szCs w:val="20"/>
        </w:rPr>
        <w:t>, vyž</w:t>
      </w:r>
      <w:r w:rsidR="006C535C">
        <w:rPr>
          <w:rFonts w:hint="default"/>
          <w:sz w:val="20"/>
          <w:szCs w:val="20"/>
        </w:rPr>
        <w:t>iadané</w:t>
      </w:r>
      <w:r w:rsidR="006C535C">
        <w:rPr>
          <w:rFonts w:hint="default"/>
          <w:sz w:val="20"/>
          <w:szCs w:val="20"/>
        </w:rPr>
        <w:t xml:space="preserve"> ú</w:t>
      </w:r>
      <w:r w:rsidR="006C535C">
        <w:rPr>
          <w:rFonts w:hint="default"/>
          <w:sz w:val="20"/>
          <w:szCs w:val="20"/>
        </w:rPr>
        <w:t>daje</w:t>
      </w:r>
    </w:p>
    <w:p w:rsidR="00E45E06" w:rsidRPr="00B80F67" w:rsidP="00AA4C3A">
      <w:pPr>
        <w:keepNext/>
        <w:bidi w:val="0"/>
        <w:spacing w:after="0" w:line="240" w:lineRule="auto"/>
        <w:ind w:firstLine="0"/>
        <w:rPr>
          <w:sz w:val="20"/>
          <w:szCs w:val="20"/>
        </w:rPr>
      </w:pPr>
      <w:r>
        <w:rPr>
          <w:rFonts w:eastAsia="Arial Unicode MS" w:hint="default"/>
          <w:sz w:val="20"/>
          <w:szCs w:val="20"/>
        </w:rPr>
        <w:t>Vypracoval: VÚ</w:t>
      </w:r>
      <w:r>
        <w:rPr>
          <w:rFonts w:eastAsia="Arial Unicode MS" w:hint="default"/>
          <w:sz w:val="20"/>
          <w:szCs w:val="20"/>
        </w:rPr>
        <w:t>EPP</w:t>
      </w:r>
    </w:p>
    <w:p w:rsidR="00DA415C" w:rsidP="00DA415C">
      <w:pPr>
        <w:bidi w:val="0"/>
        <w:ind w:firstLine="708"/>
      </w:pPr>
    </w:p>
    <w:p w:rsidR="00DA415C" w:rsidP="00DA415C">
      <w:pPr>
        <w:bidi w:val="0"/>
        <w:ind w:firstLine="708"/>
        <w:rPr>
          <w:rFonts w:hint="default"/>
        </w:rPr>
      </w:pPr>
      <w:r w:rsidRPr="000F130D">
        <w:rPr>
          <w:rFonts w:hint="default"/>
        </w:rPr>
        <w:t>Najväčší</w:t>
      </w:r>
      <w:r w:rsidRPr="000F130D">
        <w:rPr>
          <w:rFonts w:hint="default"/>
        </w:rPr>
        <w:t xml:space="preserve"> p</w:t>
      </w:r>
      <w:r>
        <w:t>odiel v rokoch 2009 a </w:t>
      </w:r>
      <w:r>
        <w:rPr>
          <w:rFonts w:hint="default"/>
        </w:rPr>
        <w:t>2010 mali služ</w:t>
      </w:r>
      <w:r>
        <w:rPr>
          <w:rFonts w:hint="default"/>
        </w:rPr>
        <w:t>by ú</w:t>
      </w:r>
      <w:r>
        <w:rPr>
          <w:rFonts w:hint="default"/>
        </w:rPr>
        <w:t>stavov š</w:t>
      </w:r>
      <w:r>
        <w:rPr>
          <w:rFonts w:hint="default"/>
        </w:rPr>
        <w:t>pecializovanej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vy, ktorý</w:t>
      </w:r>
      <w:r>
        <w:rPr>
          <w:rFonts w:hint="default"/>
        </w:rPr>
        <w:t>ch č</w:t>
      </w:r>
      <w:r>
        <w:rPr>
          <w:rFonts w:hint="default"/>
        </w:rPr>
        <w:t>innosť</w:t>
      </w:r>
      <w:r>
        <w:rPr>
          <w:rFonts w:hint="default"/>
        </w:rPr>
        <w:t xml:space="preserve"> sa zameriavala predovš</w:t>
      </w:r>
      <w:r>
        <w:rPr>
          <w:rFonts w:hint="default"/>
        </w:rPr>
        <w:t>etký</w:t>
      </w:r>
      <w:r>
        <w:rPr>
          <w:rFonts w:hint="default"/>
        </w:rPr>
        <w:t>m na kontrolu dodrž</w:t>
      </w:r>
      <w:r>
        <w:rPr>
          <w:rFonts w:hint="default"/>
        </w:rPr>
        <w:t>iavania fytosanitá</w:t>
      </w:r>
      <w:r>
        <w:rPr>
          <w:rFonts w:hint="default"/>
        </w:rPr>
        <w:t>rnych, zooveteriná</w:t>
      </w:r>
      <w:r>
        <w:rPr>
          <w:rFonts w:hint="default"/>
        </w:rPr>
        <w:t>rnych a hygienický</w:t>
      </w:r>
      <w:r>
        <w:rPr>
          <w:rFonts w:hint="default"/>
        </w:rPr>
        <w:t>ch predpisov, v </w:t>
      </w:r>
      <w:r>
        <w:rPr>
          <w:rFonts w:hint="default"/>
        </w:rPr>
        <w:t>zá</w:t>
      </w:r>
      <w:r>
        <w:rPr>
          <w:rFonts w:hint="default"/>
        </w:rPr>
        <w:t xml:space="preserve">ujme zachovania zdravotnej </w:t>
      </w:r>
      <w:r w:rsidR="008438E9">
        <w:rPr>
          <w:rFonts w:hint="default"/>
        </w:rPr>
        <w:t>neš</w:t>
      </w:r>
      <w:r w:rsidR="008438E9">
        <w:rPr>
          <w:rFonts w:hint="default"/>
        </w:rPr>
        <w:t>ko</w:t>
      </w:r>
      <w:r>
        <w:rPr>
          <w:rFonts w:hint="default"/>
        </w:rPr>
        <w:t>dnosti potraví</w:t>
      </w:r>
      <w:r>
        <w:rPr>
          <w:rFonts w:hint="default"/>
        </w:rPr>
        <w:t>n.</w:t>
      </w:r>
    </w:p>
    <w:p w:rsidR="00DA415C" w:rsidRPr="00677438" w:rsidP="00DA415C">
      <w:pPr>
        <w:bidi w:val="0"/>
        <w:ind w:firstLine="0"/>
      </w:pPr>
    </w:p>
    <w:p w:rsidR="00DA415C" w:rsidP="00F24D37">
      <w:pPr>
        <w:keepNext/>
        <w:bidi w:val="0"/>
        <w:spacing w:after="0" w:line="240" w:lineRule="auto"/>
        <w:ind w:firstLine="0"/>
        <w:rPr>
          <w:b/>
        </w:rPr>
      </w:pPr>
      <w:r w:rsidRPr="00EE6041">
        <w:rPr>
          <w:rFonts w:hint="default"/>
          <w:b/>
        </w:rPr>
        <w:t>Celkové</w:t>
      </w:r>
      <w:r w:rsidRPr="00EE6041">
        <w:rPr>
          <w:rFonts w:hint="default"/>
          <w:b/>
        </w:rPr>
        <w:t xml:space="preserve"> </w:t>
      </w:r>
      <w:r w:rsidR="00462A93">
        <w:rPr>
          <w:rFonts w:hint="default"/>
          <w:b/>
        </w:rPr>
        <w:t>vý</w:t>
      </w:r>
      <w:r w:rsidR="00462A93">
        <w:rPr>
          <w:rFonts w:hint="default"/>
          <w:b/>
        </w:rPr>
        <w:t>davky</w:t>
      </w:r>
      <w:r w:rsidRPr="00EE6041">
        <w:rPr>
          <w:rFonts w:hint="default"/>
          <w:b/>
        </w:rPr>
        <w:t xml:space="preserve"> do poľ</w:t>
      </w:r>
      <w:r w:rsidRPr="00EE6041">
        <w:rPr>
          <w:rFonts w:hint="default"/>
          <w:b/>
        </w:rPr>
        <w:t>nohospodá</w:t>
      </w:r>
      <w:r w:rsidRPr="00EE6041">
        <w:rPr>
          <w:rFonts w:hint="default"/>
          <w:b/>
        </w:rPr>
        <w:t xml:space="preserve">rstva </w:t>
      </w:r>
    </w:p>
    <w:p w:rsidR="00DA415C" w:rsidRPr="00EE6041" w:rsidP="00F24D37">
      <w:pPr>
        <w:keepNext/>
        <w:bidi w:val="0"/>
        <w:spacing w:after="0" w:line="240" w:lineRule="auto"/>
        <w:ind w:firstLine="0"/>
        <w:jc w:val="left"/>
        <w:rPr>
          <w:b/>
        </w:rPr>
      </w:pPr>
      <w:r w:rsidRPr="00930867" w:rsidR="00930867">
        <w:t>v </w:t>
      </w:r>
      <w:r w:rsidRPr="00930867" w:rsidR="00930867">
        <w:rPr>
          <w:rFonts w:hint="default"/>
        </w:rPr>
        <w:t>mil. €</w:t>
      </w:r>
      <w:r w:rsidR="00930867">
        <w:t xml:space="preserve">                                                                                                </w:t>
      </w:r>
      <w:r w:rsidR="003D5230">
        <w:t xml:space="preserve">   </w:t>
      </w:r>
      <w:r w:rsidR="00930867">
        <w:t xml:space="preserve">            </w:t>
      </w:r>
      <w:r w:rsidRPr="00B80F67" w:rsidR="00B80F67">
        <w:rPr>
          <w:rFonts w:hint="default"/>
        </w:rPr>
        <w:t>Tabuľ</w:t>
      </w:r>
      <w:r w:rsidRPr="00B80F67" w:rsidR="00B80F67">
        <w:rPr>
          <w:rFonts w:hint="default"/>
        </w:rPr>
        <w:t>ka č.</w:t>
      </w:r>
      <w:r w:rsidR="003D5230">
        <w:t xml:space="preserve"> 11</w:t>
      </w:r>
    </w:p>
    <w:tbl>
      <w:tblPr>
        <w:tblStyle w:val="TableNormal"/>
        <w:tblW w:w="8960" w:type="dxa"/>
        <w:tblInd w:w="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3480"/>
        <w:gridCol w:w="980"/>
        <w:gridCol w:w="940"/>
        <w:gridCol w:w="920"/>
        <w:gridCol w:w="880"/>
        <w:gridCol w:w="880"/>
        <w:gridCol w:w="880"/>
      </w:tblGrid>
      <w:tr>
        <w:tblPrEx>
          <w:tblW w:w="8960" w:type="dxa"/>
          <w:tblInd w:w="55" w:type="dxa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567416" w:rsidRPr="00A669C9" w:rsidP="00F24D37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  <w:p w:rsidR="00567416" w:rsidRPr="00A669C9" w:rsidP="00F24D37">
            <w:pPr>
              <w:keepNext/>
              <w:bidi w:val="0"/>
              <w:spacing w:after="0" w:line="240" w:lineRule="auto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567416" w:rsidRPr="00A669C9" w:rsidP="00F24D37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FFFFFF"/>
                <w:lang w:eastAsia="sk-SK"/>
              </w:rPr>
            </w:pPr>
            <w:r w:rsidRPr="00A669C9">
              <w:rPr>
                <w:rFonts w:eastAsia="Times New Roman"/>
                <w:bCs/>
                <w:color w:val="FFFFFF"/>
                <w:sz w:val="22"/>
                <w:szCs w:val="22"/>
                <w:lang w:eastAsia="sk-SK"/>
              </w:rPr>
              <w:t>2009</w:t>
            </w:r>
          </w:p>
        </w:tc>
        <w:tc>
          <w:tcPr>
            <w:tcW w:w="2640" w:type="dxa"/>
            <w:gridSpan w:val="3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textDirection w:val="lrTb"/>
            <w:vAlign w:val="bottom"/>
          </w:tcPr>
          <w:p w:rsidR="00567416" w:rsidRPr="00A669C9" w:rsidP="00F24D37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bCs/>
                <w:color w:val="FFFFFF"/>
                <w:sz w:val="22"/>
                <w:szCs w:val="22"/>
                <w:lang w:eastAsia="sk-SK"/>
              </w:rPr>
              <w:t>2010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vMerge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top"/>
          </w:tcPr>
          <w:p w:rsidR="00567416" w:rsidRPr="00A669C9" w:rsidP="00F24D37">
            <w:pPr>
              <w:keepNext/>
              <w:bidi w:val="0"/>
              <w:spacing w:after="0" w:line="240" w:lineRule="auto"/>
              <w:ind w:firstLine="0"/>
              <w:rPr>
                <w:rFonts w:eastAsia="Times New Roman"/>
                <w:color w:val="FFFFFF"/>
                <w:lang w:eastAsia="sk-SK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567416" w:rsidRPr="00A669C9" w:rsidP="00621802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EÚ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567416" w:rsidRPr="00A669C9" w:rsidP="00621802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SR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567416" w:rsidRPr="00A669C9" w:rsidP="00621802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="00EF471C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567416" w:rsidRPr="00A669C9" w:rsidP="00621802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EÚ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8000"/>
            <w:textDirection w:val="lrTb"/>
            <w:vAlign w:val="bottom"/>
          </w:tcPr>
          <w:p w:rsidR="00567416" w:rsidRPr="00A669C9" w:rsidP="00621802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Pr="00A669C9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SR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008000"/>
            <w:noWrap/>
            <w:textDirection w:val="lrTb"/>
            <w:vAlign w:val="bottom"/>
          </w:tcPr>
          <w:p w:rsidR="00567416" w:rsidRPr="00A669C9" w:rsidP="00621802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Times New Roman"/>
                <w:color w:val="FFFFFF"/>
                <w:lang w:eastAsia="sk-SK"/>
              </w:rPr>
            </w:pPr>
            <w:r w:rsidR="00EF471C">
              <w:rPr>
                <w:rFonts w:eastAsia="Times New Roman"/>
                <w:color w:val="FFFFFF"/>
                <w:sz w:val="22"/>
                <w:szCs w:val="22"/>
                <w:lang w:eastAsia="sk-SK"/>
              </w:rPr>
              <w:t>Spolu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Trhovo orientované výdavky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37,6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2,2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39,8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10,9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2,7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13,6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Priame platby: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227,0 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137,1 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364,1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78395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243,7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78395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93,9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337,6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="00C0319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SAPS – jednotná platba na plochu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192,6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27,4*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220,1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230,5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78395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29,3*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259,8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783951">
            <w:pPr>
              <w:keepNext/>
              <w:numPr>
                <w:numId w:val="18"/>
              </w:numPr>
              <w:bidi w:val="0"/>
              <w:spacing w:after="0" w:line="240" w:lineRule="auto"/>
              <w:ind w:left="229" w:hanging="169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Doplnkové vyrovnávacie platby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107,4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107,4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64,6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64,6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783951">
            <w:pPr>
              <w:keepNext/>
              <w:numPr>
                <w:numId w:val="18"/>
              </w:numPr>
              <w:bidi w:val="0"/>
              <w:spacing w:after="0" w:line="240" w:lineRule="auto"/>
              <w:ind w:left="229" w:hanging="169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Ostatné priame platby (osob. platba na cukor, energ.plodiny, ovocie, zelenina)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34,4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2,3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36,7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13,2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13,2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Rozvoj vidieka :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331,8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101,6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433,5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20059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36</w:t>
            </w:r>
            <w:r w:rsidR="0020059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</w:t>
            </w:r>
            <w:r w:rsidR="0020059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20059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113,</w:t>
            </w:r>
            <w:r w:rsidR="0020059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20059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48</w:t>
            </w:r>
            <w:r w:rsidR="0020059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,1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Program rozvoja vidieka 2007 - 2013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327,7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100,1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427,8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367,8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113,3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481,1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OPRH 2007 - 2013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0,5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0,2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0,6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</w:t>
            </w:r>
            <w:r w:rsidR="00C22D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,5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C22DB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</w:t>
            </w:r>
            <w:r w:rsidR="00C22D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</w:t>
            </w:r>
            <w:r w:rsidR="00C22D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,0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PRV SR 2004</w:t>
            </w:r>
            <w:r w:rsidR="00C0319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</w:t>
            </w:r>
            <w:r w:rsidR="00C0319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2006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1,7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0,5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2,2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SOP PaRV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2,4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1,0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3,4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Štátna pomoc 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 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E54D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22,4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="00AE54D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22,4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</w:t>
            </w:r>
            <w:r w:rsidR="008055F2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</w:t>
            </w:r>
            <w:r w:rsidR="008055F2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8055F2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</w:t>
            </w:r>
            <w:r w:rsidR="008055F2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</w:t>
            </w: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</w:t>
            </w:r>
            <w:r w:rsidR="008055F2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Všeobecné služby priamo z kapitoly        MPRV SR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 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86,4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86,4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97,6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A24D2E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97,6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top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596,4 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="000D005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325,5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F24D37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="000D005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946,8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C22DB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62</w:t>
            </w:r>
            <w:r w:rsidR="00C22D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,</w:t>
            </w:r>
            <w:r w:rsidR="00C22D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CFF99"/>
            <w:textDirection w:val="lrTb"/>
            <w:vAlign w:val="bottom"/>
          </w:tcPr>
          <w:p w:rsidR="00DA415C" w:rsidRPr="00A24D2E" w:rsidP="00C22DB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32</w:t>
            </w:r>
            <w:r w:rsidR="00805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,</w:t>
            </w:r>
            <w:r w:rsidR="00C22D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000000" w:fill="CCFF99"/>
            <w:noWrap/>
            <w:textDirection w:val="lrTb"/>
            <w:vAlign w:val="bottom"/>
          </w:tcPr>
          <w:p w:rsidR="00DA415C" w:rsidRPr="00A24D2E" w:rsidP="00C22DB1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9</w:t>
            </w:r>
            <w:r w:rsidR="00C22D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50</w:t>
            </w:r>
            <w:r w:rsidRPr="00A24D2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,</w:t>
            </w:r>
            <w:r w:rsidR="00C22D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8</w:t>
            </w:r>
          </w:p>
        </w:tc>
      </w:tr>
    </w:tbl>
    <w:p w:rsidR="006C535C" w:rsidP="006C535C">
      <w:pPr>
        <w:keepNext/>
        <w:bidi w:val="0"/>
        <w:spacing w:after="0" w:line="240" w:lineRule="auto"/>
        <w:ind w:firstLine="0"/>
        <w:rPr>
          <w:rFonts w:hint="default"/>
          <w:sz w:val="20"/>
          <w:szCs w:val="20"/>
        </w:rPr>
      </w:pPr>
      <w:r w:rsidRPr="00B80F67" w:rsidR="00DA415C">
        <w:rPr>
          <w:rFonts w:hint="default"/>
          <w:sz w:val="20"/>
          <w:szCs w:val="20"/>
        </w:rPr>
        <w:t>Prameň</w:t>
      </w:r>
      <w:r w:rsidRPr="00B80F67" w:rsidR="00DA415C">
        <w:rPr>
          <w:rFonts w:hint="default"/>
          <w:sz w:val="20"/>
          <w:szCs w:val="20"/>
        </w:rPr>
        <w:t>: MPRV SR</w:t>
      </w:r>
      <w:r>
        <w:rPr>
          <w:sz w:val="20"/>
          <w:szCs w:val="20"/>
        </w:rPr>
        <w:t>, N</w:t>
      </w:r>
      <w:r>
        <w:rPr>
          <w:rFonts w:hint="default"/>
          <w:sz w:val="20"/>
          <w:szCs w:val="20"/>
        </w:rPr>
        <w:t>á</w:t>
      </w:r>
      <w:r>
        <w:rPr>
          <w:rFonts w:hint="default"/>
          <w:sz w:val="20"/>
          <w:szCs w:val="20"/>
        </w:rPr>
        <w:t>vrh zá</w:t>
      </w:r>
      <w:r>
        <w:rPr>
          <w:rFonts w:hint="default"/>
          <w:sz w:val="20"/>
          <w:szCs w:val="20"/>
        </w:rPr>
        <w:t>vereč</w:t>
      </w:r>
      <w:r>
        <w:rPr>
          <w:rFonts w:hint="default"/>
          <w:sz w:val="20"/>
          <w:szCs w:val="20"/>
        </w:rPr>
        <w:t>né</w:t>
      </w:r>
      <w:r>
        <w:rPr>
          <w:rFonts w:hint="default"/>
          <w:sz w:val="20"/>
          <w:szCs w:val="20"/>
        </w:rPr>
        <w:t>ho úč</w:t>
      </w:r>
      <w:r>
        <w:rPr>
          <w:rFonts w:hint="default"/>
          <w:sz w:val="20"/>
          <w:szCs w:val="20"/>
        </w:rPr>
        <w:t>tu za rok 2009, Ná</w:t>
      </w:r>
      <w:r>
        <w:rPr>
          <w:rFonts w:hint="default"/>
          <w:sz w:val="20"/>
          <w:szCs w:val="20"/>
        </w:rPr>
        <w:t>vrh zá</w:t>
      </w:r>
      <w:r>
        <w:rPr>
          <w:rFonts w:hint="default"/>
          <w:sz w:val="20"/>
          <w:szCs w:val="20"/>
        </w:rPr>
        <w:t>vereč</w:t>
      </w:r>
      <w:r>
        <w:rPr>
          <w:rFonts w:hint="default"/>
          <w:sz w:val="20"/>
          <w:szCs w:val="20"/>
        </w:rPr>
        <w:t>né</w:t>
      </w:r>
      <w:r>
        <w:rPr>
          <w:rFonts w:hint="default"/>
          <w:sz w:val="20"/>
          <w:szCs w:val="20"/>
        </w:rPr>
        <w:t>ho úč</w:t>
      </w:r>
      <w:r>
        <w:rPr>
          <w:rFonts w:hint="default"/>
          <w:sz w:val="20"/>
          <w:szCs w:val="20"/>
        </w:rPr>
        <w:t>tu za rok 2010</w:t>
      </w:r>
    </w:p>
    <w:p w:rsidR="00F24D37" w:rsidP="00F24D37">
      <w:pPr>
        <w:bidi w:val="0"/>
        <w:spacing w:after="0" w:line="240" w:lineRule="auto"/>
        <w:ind w:firstLine="0"/>
        <w:jc w:val="left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*pohľ</w:t>
      </w:r>
      <w:r>
        <w:rPr>
          <w:rFonts w:hint="default"/>
          <w:sz w:val="20"/>
          <w:szCs w:val="20"/>
        </w:rPr>
        <w:t>adá</w:t>
      </w:r>
      <w:r>
        <w:rPr>
          <w:rFonts w:hint="default"/>
          <w:sz w:val="20"/>
          <w:szCs w:val="20"/>
        </w:rPr>
        <w:t xml:space="preserve">vky SR </w:t>
      </w:r>
      <w:r w:rsidR="00322597">
        <w:rPr>
          <w:sz w:val="20"/>
          <w:szCs w:val="20"/>
        </w:rPr>
        <w:t>k</w:t>
      </w:r>
      <w:r w:rsidR="00E45E06">
        <w:rPr>
          <w:sz w:val="20"/>
          <w:szCs w:val="20"/>
        </w:rPr>
        <w:t> </w:t>
      </w:r>
      <w:r>
        <w:rPr>
          <w:rFonts w:hint="default"/>
          <w:sz w:val="20"/>
          <w:szCs w:val="20"/>
        </w:rPr>
        <w:t>EÚ</w:t>
      </w:r>
    </w:p>
    <w:p w:rsidR="00E45E06" w:rsidP="00F24D37">
      <w:pPr>
        <w:bidi w:val="0"/>
        <w:spacing w:after="0" w:line="240" w:lineRule="auto"/>
        <w:ind w:firstLine="0"/>
        <w:jc w:val="left"/>
        <w:rPr>
          <w:sz w:val="20"/>
          <w:szCs w:val="20"/>
        </w:rPr>
      </w:pPr>
      <w:r>
        <w:rPr>
          <w:rFonts w:eastAsia="Arial Unicode MS" w:hint="default"/>
          <w:sz w:val="20"/>
          <w:szCs w:val="20"/>
        </w:rPr>
        <w:t>Vypracoval: VÚ</w:t>
      </w:r>
      <w:r>
        <w:rPr>
          <w:rFonts w:eastAsia="Arial Unicode MS" w:hint="default"/>
          <w:sz w:val="20"/>
          <w:szCs w:val="20"/>
        </w:rPr>
        <w:t>EPP</w:t>
      </w:r>
    </w:p>
    <w:p w:rsidR="00F24D37" w:rsidRPr="00B80F67" w:rsidP="00F24D37">
      <w:pPr>
        <w:bidi w:val="0"/>
        <w:spacing w:after="0" w:line="240" w:lineRule="auto"/>
        <w:ind w:firstLine="0"/>
        <w:jc w:val="left"/>
        <w:rPr>
          <w:sz w:val="20"/>
          <w:szCs w:val="20"/>
        </w:rPr>
      </w:pPr>
    </w:p>
    <w:p w:rsidR="00DA415C" w:rsidP="00971344">
      <w:pPr>
        <w:bidi w:val="0"/>
        <w:rPr>
          <w:rFonts w:hint="default"/>
        </w:rPr>
      </w:pPr>
      <w:r>
        <w:t>Rok 2</w:t>
      </w:r>
      <w:r w:rsidR="008438E9">
        <w:rPr>
          <w:rFonts w:hint="default"/>
        </w:rPr>
        <w:t>010 bol pre poľ</w:t>
      </w:r>
      <w:r w:rsidR="008438E9">
        <w:rPr>
          <w:rFonts w:hint="default"/>
        </w:rPr>
        <w:t>nohospodá</w:t>
      </w:r>
      <w:r w:rsidR="008438E9">
        <w:rPr>
          <w:rFonts w:hint="default"/>
        </w:rPr>
        <w:t xml:space="preserve">rstvo a </w:t>
      </w:r>
      <w:r>
        <w:t>rezort MPRV</w:t>
      </w:r>
      <w:r w:rsidR="008438E9">
        <w:t> </w:t>
      </w:r>
      <w:r>
        <w:rPr>
          <w:rFonts w:hint="default"/>
        </w:rPr>
        <w:t>SR mimoriadne ná</w:t>
      </w:r>
      <w:r>
        <w:rPr>
          <w:rFonts w:hint="default"/>
        </w:rPr>
        <w:t>roč</w:t>
      </w:r>
      <w:r>
        <w:rPr>
          <w:rFonts w:hint="default"/>
        </w:rPr>
        <w:t>ný</w:t>
      </w:r>
      <w:r>
        <w:rPr>
          <w:rFonts w:hint="default"/>
        </w:rPr>
        <w:t>, no napriek sť</w:t>
      </w:r>
      <w:r>
        <w:rPr>
          <w:rFonts w:hint="default"/>
        </w:rPr>
        <w:t>až</w:t>
      </w:r>
      <w:r>
        <w:rPr>
          <w:rFonts w:hint="default"/>
        </w:rPr>
        <w:t>ený</w:t>
      </w:r>
      <w:r>
        <w:rPr>
          <w:rFonts w:hint="default"/>
        </w:rPr>
        <w:t>m podmienkam sa podarilo v </w:t>
      </w:r>
      <w:r>
        <w:rPr>
          <w:rFonts w:hint="default"/>
        </w:rPr>
        <w:t>primeranej miere zabezpeč</w:t>
      </w:r>
      <w:r>
        <w:rPr>
          <w:rFonts w:hint="default"/>
        </w:rPr>
        <w:t>iť</w:t>
      </w:r>
      <w:r>
        <w:rPr>
          <w:rFonts w:hint="default"/>
        </w:rPr>
        <w:t xml:space="preserve"> fi</w:t>
      </w:r>
      <w:r>
        <w:rPr>
          <w:rFonts w:hint="default"/>
        </w:rPr>
        <w:t>nanč</w:t>
      </w:r>
      <w:r>
        <w:rPr>
          <w:rFonts w:hint="default"/>
        </w:rPr>
        <w:t>né</w:t>
      </w:r>
      <w:r>
        <w:rPr>
          <w:rFonts w:hint="default"/>
        </w:rPr>
        <w:t xml:space="preserve"> prostriedky na vš</w:t>
      </w:r>
      <w:r>
        <w:rPr>
          <w:rFonts w:hint="default"/>
        </w:rPr>
        <w:t>etky ú</w:t>
      </w:r>
      <w:r>
        <w:rPr>
          <w:rFonts w:hint="default"/>
        </w:rPr>
        <w:t>lohy, ktoré</w:t>
      </w:r>
      <w:r>
        <w:rPr>
          <w:rFonts w:hint="default"/>
        </w:rPr>
        <w:t xml:space="preserve"> bolo potrebné</w:t>
      </w:r>
      <w:r>
        <w:rPr>
          <w:rFonts w:hint="default"/>
        </w:rPr>
        <w:t xml:space="preserve"> uskutoč</w:t>
      </w:r>
      <w:r>
        <w:rPr>
          <w:rFonts w:hint="default"/>
        </w:rPr>
        <w:t>niť.</w:t>
      </w:r>
    </w:p>
    <w:p w:rsidR="00DA415C" w:rsidP="00971344">
      <w:pPr>
        <w:bidi w:val="0"/>
      </w:pPr>
      <w:r>
        <w:rPr>
          <w:rFonts w:hint="default"/>
        </w:rPr>
        <w:t>Celkové</w:t>
      </w:r>
      <w:r>
        <w:rPr>
          <w:rFonts w:hint="default"/>
        </w:rPr>
        <w:t xml:space="preserve"> </w:t>
      </w:r>
      <w:r w:rsidR="008438E9">
        <w:rPr>
          <w:rFonts w:hint="default"/>
        </w:rPr>
        <w:t>vý</w:t>
      </w:r>
      <w:r w:rsidR="008438E9">
        <w:rPr>
          <w:rFonts w:hint="default"/>
        </w:rPr>
        <w:t>davky</w:t>
      </w:r>
      <w:r>
        <w:rPr>
          <w:rFonts w:hint="default"/>
        </w:rPr>
        <w:t xml:space="preserve"> do poľ</w:t>
      </w:r>
      <w:r>
        <w:rPr>
          <w:rFonts w:hint="default"/>
        </w:rPr>
        <w:t>nohospodá</w:t>
      </w:r>
      <w:r>
        <w:rPr>
          <w:rFonts w:hint="default"/>
        </w:rPr>
        <w:t>rstva v roku 2010 dosiahli takmer</w:t>
      </w:r>
      <w:r w:rsidR="001C2A05">
        <w:rPr>
          <w:rFonts w:hint="default"/>
        </w:rPr>
        <w:t xml:space="preserve"> rovnakú</w:t>
      </w:r>
      <w:r w:rsidR="001C2A05">
        <w:rPr>
          <w:rFonts w:hint="default"/>
        </w:rPr>
        <w:t xml:space="preserve"> ú</w:t>
      </w:r>
      <w:r w:rsidR="001C2A05">
        <w:rPr>
          <w:rFonts w:hint="default"/>
        </w:rPr>
        <w:t>roveň</w:t>
      </w:r>
      <w:r w:rsidR="001C2A05">
        <w:rPr>
          <w:rFonts w:hint="default"/>
        </w:rPr>
        <w:t xml:space="preserve"> ako v roku 2009. </w:t>
      </w:r>
      <w:r>
        <w:rPr>
          <w:rFonts w:hint="default"/>
        </w:rPr>
        <w:t>Najväčší</w:t>
      </w:r>
      <w:r>
        <w:rPr>
          <w:rFonts w:hint="default"/>
        </w:rPr>
        <w:t xml:space="preserve"> dô</w:t>
      </w:r>
      <w:r>
        <w:rPr>
          <w:rFonts w:hint="default"/>
        </w:rPr>
        <w:t>raz ná</w:t>
      </w:r>
      <w:r>
        <w:rPr>
          <w:rFonts w:hint="default"/>
        </w:rPr>
        <w:t>strojov politiky bol nasmerovaný</w:t>
      </w:r>
      <w:r>
        <w:rPr>
          <w:rFonts w:hint="default"/>
        </w:rPr>
        <w:t xml:space="preserve"> do opatrení</w:t>
      </w:r>
      <w:r>
        <w:rPr>
          <w:rFonts w:hint="default"/>
        </w:rPr>
        <w:t xml:space="preserve"> programov vidieckej ekonomiky</w:t>
      </w:r>
      <w:r>
        <w:rPr>
          <w:rFonts w:hint="default"/>
        </w:rPr>
        <w:t xml:space="preserve">. Prostriedky z PRV 2007 </w:t>
      </w:r>
      <w:r>
        <w:rPr>
          <w:rFonts w:hint="default"/>
        </w:rPr>
        <w:t>–</w:t>
      </w:r>
      <w:r>
        <w:rPr>
          <w:rFonts w:hint="default"/>
        </w:rPr>
        <w:t xml:space="preserve"> 2013 sa podieľ</w:t>
      </w:r>
      <w:r>
        <w:rPr>
          <w:rFonts w:hint="default"/>
        </w:rPr>
        <w:t>ali na celkový</w:t>
      </w:r>
      <w:r>
        <w:rPr>
          <w:rFonts w:hint="default"/>
        </w:rPr>
        <w:t xml:space="preserve">ch </w:t>
      </w:r>
      <w:r w:rsidR="008438E9">
        <w:rPr>
          <w:rFonts w:hint="default"/>
        </w:rPr>
        <w:t>vý</w:t>
      </w:r>
      <w:r w:rsidR="008438E9">
        <w:rPr>
          <w:rFonts w:hint="default"/>
        </w:rPr>
        <w:t>davkoch</w:t>
      </w:r>
      <w:r>
        <w:t xml:space="preserve"> 50,7</w:t>
      </w:r>
      <w:r w:rsidR="00440106">
        <w:t> </w:t>
      </w:r>
      <w:r w:rsidR="00440106">
        <w:t>%</w:t>
      </w:r>
      <w:r>
        <w:rPr>
          <w:rFonts w:hint="default"/>
        </w:rPr>
        <w:t>. Druhý</w:t>
      </w:r>
      <w:r>
        <w:rPr>
          <w:rFonts w:hint="default"/>
        </w:rPr>
        <w:t xml:space="preserve"> najväčší</w:t>
      </w:r>
      <w:r>
        <w:rPr>
          <w:rFonts w:hint="default"/>
        </w:rPr>
        <w:t xml:space="preserve"> objem dosiahli priame platby (35,6</w:t>
      </w:r>
      <w:r w:rsidR="00440106">
        <w:t> </w:t>
      </w:r>
      <w:r w:rsidR="00440106">
        <w:t>%</w:t>
      </w:r>
      <w:r>
        <w:rPr>
          <w:rFonts w:hint="default"/>
        </w:rPr>
        <w:t>), ostatné</w:t>
      </w:r>
      <w:r>
        <w:rPr>
          <w:rFonts w:hint="default"/>
        </w:rPr>
        <w:t xml:space="preserve"> vý</w:t>
      </w:r>
      <w:r>
        <w:rPr>
          <w:rFonts w:hint="default"/>
        </w:rPr>
        <w:t>da</w:t>
      </w:r>
      <w:r w:rsidR="008438E9">
        <w:rPr>
          <w:rFonts w:hint="default"/>
        </w:rPr>
        <w:t>vky  predstavovali vý</w:t>
      </w:r>
      <w:r w:rsidR="008438E9">
        <w:rPr>
          <w:rFonts w:hint="default"/>
        </w:rPr>
        <w:t>davky</w:t>
      </w:r>
      <w:r>
        <w:rPr>
          <w:rFonts w:hint="default"/>
        </w:rPr>
        <w:t xml:space="preserve"> na vš</w:t>
      </w:r>
      <w:r>
        <w:rPr>
          <w:rFonts w:hint="default"/>
        </w:rPr>
        <w:t>eobecné</w:t>
      </w:r>
      <w:r>
        <w:rPr>
          <w:rFonts w:hint="default"/>
        </w:rPr>
        <w:t xml:space="preserve"> služ</w:t>
      </w:r>
      <w:r>
        <w:rPr>
          <w:rFonts w:hint="default"/>
        </w:rPr>
        <w:t>by (10,3</w:t>
      </w:r>
      <w:r w:rsidR="00440106">
        <w:t> </w:t>
      </w:r>
      <w:r w:rsidR="00440106">
        <w:t>%</w:t>
      </w:r>
      <w:r>
        <w:rPr>
          <w:rFonts w:hint="default"/>
        </w:rPr>
        <w:t>), š</w:t>
      </w:r>
      <w:r>
        <w:rPr>
          <w:rFonts w:hint="default"/>
        </w:rPr>
        <w:t>tá</w:t>
      </w:r>
      <w:r>
        <w:rPr>
          <w:rFonts w:hint="default"/>
        </w:rPr>
        <w:t>tnu pomoc (1,9</w:t>
      </w:r>
      <w:r w:rsidR="00440106">
        <w:t> </w:t>
      </w:r>
      <w:r w:rsidR="00440106">
        <w:t>%</w:t>
      </w:r>
      <w:r>
        <w:t>) a</w:t>
      </w:r>
      <w:r w:rsidR="008037B0">
        <w:t> </w:t>
      </w:r>
      <w:r>
        <w:t>trhovo</w:t>
      </w:r>
      <w:r w:rsidR="008037B0">
        <w:t xml:space="preserve"> </w:t>
      </w:r>
      <w:r>
        <w:rPr>
          <w:rFonts w:hint="default"/>
        </w:rPr>
        <w:t>orientované</w:t>
      </w:r>
      <w:r>
        <w:rPr>
          <w:rFonts w:hint="default"/>
        </w:rPr>
        <w:t xml:space="preserve"> vý</w:t>
      </w:r>
      <w:r>
        <w:rPr>
          <w:rFonts w:hint="default"/>
        </w:rPr>
        <w:t>davky</w:t>
      </w:r>
      <w:r w:rsidR="00C33A31">
        <w:t xml:space="preserve"> </w:t>
      </w:r>
      <w:r>
        <w:t>(1,4</w:t>
      </w:r>
      <w:r w:rsidR="00440106">
        <w:t> </w:t>
      </w:r>
      <w:r w:rsidR="00440106">
        <w:t>%</w:t>
      </w:r>
      <w:r>
        <w:t>).</w:t>
      </w:r>
    </w:p>
    <w:sectPr w:rsidSect="00120049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1FB">
    <w:pPr>
      <w:pStyle w:val="Footer"/>
      <w:bidi w:val="0"/>
      <w:jc w:val="center"/>
    </w:pPr>
    <w:r w:rsidR="007964BF">
      <w:fldChar w:fldCharType="begin"/>
    </w:r>
    <w:r w:rsidR="007964BF">
      <w:instrText xml:space="preserve"> PAGE   \* MERGEFORMAT </w:instrText>
    </w:r>
    <w:r w:rsidR="007964BF">
      <w:fldChar w:fldCharType="separate"/>
    </w:r>
    <w:r w:rsidR="00864AEA">
      <w:rPr>
        <w:noProof/>
      </w:rPr>
      <w:t>1</w:t>
    </w:r>
    <w:r w:rsidR="007964BF">
      <w:fldChar w:fldCharType="end"/>
    </w:r>
  </w:p>
  <w:p w:rsidR="00A401FB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AC" w:rsidP="007D54D8">
      <w:pPr>
        <w:bidi w:val="0"/>
        <w:spacing w:after="0" w:line="240" w:lineRule="auto"/>
      </w:pPr>
      <w:r>
        <w:separator/>
      </w:r>
    </w:p>
  </w:footnote>
  <w:footnote w:type="continuationSeparator" w:id="1">
    <w:p w:rsidR="003B35AC" w:rsidP="007D54D8">
      <w:pPr>
        <w:bidi w:val="0"/>
        <w:spacing w:after="0" w:line="240" w:lineRule="auto"/>
      </w:pPr>
      <w:r>
        <w:continuationSeparator/>
      </w:r>
    </w:p>
  </w:footnote>
  <w:footnote w:id="2">
    <w:p w:rsidR="00A401FB" w:rsidRPr="00425EAA" w:rsidP="00D31CBB">
      <w:pPr>
        <w:bidi w:val="0"/>
        <w:spacing w:after="0" w:line="240" w:lineRule="auto"/>
        <w:ind w:firstLine="0"/>
        <w:rPr>
          <w:sz w:val="20"/>
          <w:szCs w:val="20"/>
        </w:rPr>
      </w:pPr>
      <w:r>
        <w:rPr>
          <w:rStyle w:val="FootnoteReference"/>
          <w:rFonts w:eastAsia="Times New Roman"/>
          <w:sz w:val="20"/>
          <w:szCs w:val="20"/>
          <w:lang w:val="cs-CZ" w:eastAsia="sk-SK"/>
        </w:rPr>
        <w:footnoteRef/>
      </w:r>
      <w:r>
        <w:rPr>
          <w:rFonts w:hint="default"/>
          <w:sz w:val="20"/>
          <w:szCs w:val="20"/>
        </w:rPr>
        <w:t>Tá</w:t>
      </w:r>
      <w:r>
        <w:rPr>
          <w:rFonts w:hint="default"/>
          <w:sz w:val="20"/>
          <w:szCs w:val="20"/>
        </w:rPr>
        <w:t xml:space="preserve">to metodika je </w:t>
      </w:r>
      <w:r w:rsidRPr="00425EAA">
        <w:rPr>
          <w:sz w:val="20"/>
          <w:szCs w:val="20"/>
        </w:rPr>
        <w:t>v </w:t>
      </w:r>
      <w:r w:rsidRPr="00425EAA">
        <w:rPr>
          <w:rFonts w:hint="default"/>
          <w:sz w:val="20"/>
          <w:szCs w:val="20"/>
        </w:rPr>
        <w:t>strednodobom hodnotení</w:t>
      </w:r>
      <w:r w:rsidRPr="00425EAA">
        <w:rPr>
          <w:rFonts w:hint="default"/>
          <w:sz w:val="20"/>
          <w:szCs w:val="20"/>
        </w:rPr>
        <w:t xml:space="preserve"> podrobne rozveden</w:t>
      </w:r>
      <w:r>
        <w:rPr>
          <w:rFonts w:hint="default"/>
          <w:sz w:val="20"/>
          <w:szCs w:val="20"/>
        </w:rPr>
        <w:t>á</w:t>
      </w:r>
      <w:r w:rsidRPr="00425EAA">
        <w:rPr>
          <w:sz w:val="20"/>
          <w:szCs w:val="20"/>
        </w:rPr>
        <w:t xml:space="preserve">. Odhad </w:t>
      </w:r>
      <w:r>
        <w:rPr>
          <w:sz w:val="20"/>
          <w:szCs w:val="20"/>
        </w:rPr>
        <w:t>efektov AEO</w:t>
      </w:r>
      <w:r w:rsidRPr="00425EAA">
        <w:rPr>
          <w:rFonts w:hint="default"/>
          <w:sz w:val="20"/>
          <w:szCs w:val="20"/>
        </w:rPr>
        <w:t xml:space="preserve"> bol vykonaný</w:t>
      </w:r>
      <w:r w:rsidRPr="00425EAA">
        <w:rPr>
          <w:rFonts w:hint="default"/>
          <w:sz w:val="20"/>
          <w:szCs w:val="20"/>
        </w:rPr>
        <w:t xml:space="preserve"> na ú</w:t>
      </w:r>
      <w:r w:rsidRPr="00425EAA">
        <w:rPr>
          <w:rFonts w:hint="default"/>
          <w:sz w:val="20"/>
          <w:szCs w:val="20"/>
        </w:rPr>
        <w:t>rovni individuá</w:t>
      </w:r>
      <w:r w:rsidRPr="00425EAA">
        <w:rPr>
          <w:rFonts w:hint="default"/>
          <w:sz w:val="20"/>
          <w:szCs w:val="20"/>
        </w:rPr>
        <w:t>lnych fariem databá</w:t>
      </w:r>
      <w:r w:rsidRPr="00425EAA">
        <w:rPr>
          <w:rFonts w:hint="default"/>
          <w:sz w:val="20"/>
          <w:szCs w:val="20"/>
        </w:rPr>
        <w:t>zy Informač</w:t>
      </w:r>
      <w:r w:rsidRPr="00425EAA">
        <w:rPr>
          <w:rFonts w:hint="default"/>
          <w:sz w:val="20"/>
          <w:szCs w:val="20"/>
        </w:rPr>
        <w:t>ný</w:t>
      </w:r>
      <w:r w:rsidRPr="00425EAA">
        <w:rPr>
          <w:rFonts w:hint="default"/>
          <w:sz w:val="20"/>
          <w:szCs w:val="20"/>
        </w:rPr>
        <w:t>ch listo</w:t>
      </w:r>
      <w:r>
        <w:rPr>
          <w:sz w:val="20"/>
          <w:szCs w:val="20"/>
        </w:rPr>
        <w:t>v</w:t>
      </w:r>
      <w:r w:rsidRPr="00425EAA">
        <w:rPr>
          <w:sz w:val="20"/>
          <w:szCs w:val="20"/>
        </w:rPr>
        <w:t xml:space="preserve"> MPRV SR</w:t>
      </w:r>
      <w:r>
        <w:rPr>
          <w:rFonts w:hint="default"/>
          <w:sz w:val="20"/>
          <w:szCs w:val="20"/>
        </w:rPr>
        <w:t>. Vý</w:t>
      </w:r>
      <w:r>
        <w:rPr>
          <w:rFonts w:hint="default"/>
          <w:sz w:val="20"/>
          <w:szCs w:val="20"/>
        </w:rPr>
        <w:t>ber v</w:t>
      </w:r>
      <w:r>
        <w:rPr>
          <w:iCs/>
          <w:sz w:val="20"/>
          <w:szCs w:val="20"/>
        </w:rPr>
        <w:t xml:space="preserve">zorky </w:t>
      </w:r>
      <w:r w:rsidRPr="00425EAA">
        <w:rPr>
          <w:rFonts w:hint="default"/>
          <w:iCs/>
          <w:sz w:val="20"/>
          <w:szCs w:val="20"/>
        </w:rPr>
        <w:t>predstavoval 665 podporený</w:t>
      </w:r>
      <w:r w:rsidRPr="00425EAA">
        <w:rPr>
          <w:rFonts w:hint="default"/>
          <w:iCs/>
          <w:sz w:val="20"/>
          <w:szCs w:val="20"/>
        </w:rPr>
        <w:t xml:space="preserve">ch </w:t>
      </w:r>
      <w:r>
        <w:rPr>
          <w:iCs/>
          <w:sz w:val="20"/>
          <w:szCs w:val="20"/>
        </w:rPr>
        <w:t xml:space="preserve">fariem </w:t>
      </w:r>
      <w:r w:rsidRPr="00425EAA">
        <w:rPr>
          <w:iCs/>
          <w:sz w:val="20"/>
          <w:szCs w:val="20"/>
        </w:rPr>
        <w:t>(42,</w:t>
      </w:r>
      <w:r>
        <w:rPr>
          <w:iCs/>
          <w:sz w:val="20"/>
          <w:szCs w:val="20"/>
        </w:rPr>
        <w:t>3 %</w:t>
      </w:r>
      <w:r w:rsidRPr="00425EAA">
        <w:rPr>
          <w:iCs/>
          <w:sz w:val="20"/>
          <w:szCs w:val="20"/>
        </w:rPr>
        <w:t>) a 907 fariem kontroln</w:t>
      </w:r>
      <w:r>
        <w:rPr>
          <w:iCs/>
          <w:sz w:val="20"/>
          <w:szCs w:val="20"/>
        </w:rPr>
        <w:t>ej vzorky (</w:t>
      </w:r>
      <w:r w:rsidRPr="00425EAA">
        <w:rPr>
          <w:iCs/>
          <w:sz w:val="20"/>
          <w:szCs w:val="20"/>
        </w:rPr>
        <w:t>nepodporen</w:t>
      </w:r>
      <w:r>
        <w:rPr>
          <w:rFonts w:hint="default"/>
          <w:iCs/>
          <w:sz w:val="20"/>
          <w:szCs w:val="20"/>
        </w:rPr>
        <w:t>é</w:t>
      </w:r>
      <w:r>
        <w:rPr>
          <w:rFonts w:hint="default"/>
          <w:iCs/>
          <w:sz w:val="20"/>
          <w:szCs w:val="20"/>
        </w:rPr>
        <w:t xml:space="preserve"> farmy </w:t>
      </w:r>
      <w:r w:rsidRPr="00425EAA">
        <w:rPr>
          <w:iCs/>
          <w:sz w:val="20"/>
          <w:szCs w:val="20"/>
        </w:rPr>
        <w:t>57,7</w:t>
      </w:r>
      <w:r>
        <w:rPr>
          <w:iCs/>
          <w:sz w:val="20"/>
          <w:szCs w:val="20"/>
        </w:rPr>
        <w:t> </w:t>
      </w:r>
      <w:r>
        <w:rPr>
          <w:iCs/>
          <w:sz w:val="20"/>
          <w:szCs w:val="20"/>
        </w:rPr>
        <w:t>%</w:t>
      </w:r>
      <w:r w:rsidRPr="00425EAA">
        <w:rPr>
          <w:iCs/>
          <w:sz w:val="20"/>
          <w:szCs w:val="20"/>
        </w:rPr>
        <w:t>).</w:t>
      </w:r>
    </w:p>
    <w:p w:rsidP="00D31CBB">
      <w:pPr>
        <w:bidi w:val="0"/>
        <w:spacing w:after="0" w:line="240" w:lineRule="auto"/>
        <w:ind w:firstLine="0"/>
      </w:pPr>
    </w:p>
  </w:footnote>
  <w:footnote w:id="3">
    <w:p w:rsidP="006E7C03">
      <w:pPr>
        <w:pStyle w:val="FootnoteText"/>
        <w:bidi w:val="0"/>
        <w:jc w:val="both"/>
        <w:rPr>
          <w:rFonts w:ascii="Times New Roman" w:hAnsi="Times New Roman"/>
        </w:rPr>
      </w:pPr>
      <w:r w:rsidRPr="00196586" w:rsidR="00A401FB">
        <w:rPr>
          <w:rFonts w:ascii="Times New Roman" w:hAnsi="Times New Roman"/>
        </w:rPr>
        <w:footnoteRef/>
      </w:r>
      <w:r w:rsidRPr="00196586" w:rsidR="00A401FB">
        <w:rPr>
          <w:rFonts w:ascii="Times New Roman" w:hAnsi="Times New Roman"/>
          <w:sz w:val="24"/>
          <w:szCs w:val="24"/>
        </w:rPr>
        <w:t xml:space="preserve"> </w:t>
      </w:r>
      <w:r w:rsidRPr="00196586" w:rsidR="00A401FB">
        <w:rPr>
          <w:rFonts w:ascii="Times New Roman" w:hAnsi="Times New Roman"/>
        </w:rPr>
        <w:t>Čerpanie finančných prostriedkov rozpočtových záväzkov operačného programu na roky 2007 – 2013 je možné podľa pravidla n+2 do dvoch rokov od ich prijatia.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DA"/>
    <w:multiLevelType w:val="multilevel"/>
    <w:tmpl w:val="43EE95C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1">
    <w:nsid w:val="076B4D9C"/>
    <w:multiLevelType w:val="hybridMultilevel"/>
    <w:tmpl w:val="2586C9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443F2B"/>
    <w:multiLevelType w:val="hybridMultilevel"/>
    <w:tmpl w:val="07AE15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95D5E"/>
    <w:multiLevelType w:val="hybridMultilevel"/>
    <w:tmpl w:val="F576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F41B31"/>
    <w:multiLevelType w:val="hybridMultilevel"/>
    <w:tmpl w:val="CB924592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55C2693"/>
    <w:multiLevelType w:val="hybridMultilevel"/>
    <w:tmpl w:val="0DB0809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B16E24"/>
    <w:multiLevelType w:val="hybridMultilevel"/>
    <w:tmpl w:val="4852E224"/>
    <w:lvl w:ilvl="0">
      <w:start w:val="0"/>
      <w:numFmt w:val="bullet"/>
      <w:lvlText w:val="–"/>
      <w:lvlJc w:val="left"/>
      <w:pPr>
        <w:ind w:left="1425" w:hanging="705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C41333"/>
    <w:multiLevelType w:val="hybridMultilevel"/>
    <w:tmpl w:val="890407E2"/>
    <w:lvl w:ilvl="0">
      <w:start w:val="0"/>
      <w:numFmt w:val="bullet"/>
      <w:lvlText w:val="–"/>
      <w:lvlJc w:val="left"/>
      <w:pPr>
        <w:ind w:left="1773" w:hanging="705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38726F"/>
    <w:multiLevelType w:val="hybridMultilevel"/>
    <w:tmpl w:val="B21C5DA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422DB6"/>
    <w:multiLevelType w:val="hybridMultilevel"/>
    <w:tmpl w:val="A76A0A0E"/>
    <w:lvl w:ilvl="0">
      <w:start w:val="0"/>
      <w:numFmt w:val="bullet"/>
      <w:lvlText w:val="–"/>
      <w:lvlJc w:val="left"/>
      <w:pPr>
        <w:ind w:left="1065" w:hanging="705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23DEE"/>
    <w:multiLevelType w:val="hybridMultilevel"/>
    <w:tmpl w:val="42BA49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864431"/>
    <w:multiLevelType w:val="hybridMultilevel"/>
    <w:tmpl w:val="8800DB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964A84"/>
    <w:multiLevelType w:val="hybridMultilevel"/>
    <w:tmpl w:val="861A158E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53EE1388"/>
    <w:multiLevelType w:val="hybridMultilevel"/>
    <w:tmpl w:val="EA36C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D41DA"/>
    <w:multiLevelType w:val="hybridMultilevel"/>
    <w:tmpl w:val="EEE802FA"/>
    <w:lvl w:ilvl="0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3F5B40"/>
    <w:multiLevelType w:val="hybridMultilevel"/>
    <w:tmpl w:val="C772D3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893BD3"/>
    <w:multiLevelType w:val="hybridMultilevel"/>
    <w:tmpl w:val="7E74C22A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0578A8"/>
    <w:multiLevelType w:val="hybridMultilevel"/>
    <w:tmpl w:val="1C38174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182DCC"/>
    <w:multiLevelType w:val="hybridMultilevel"/>
    <w:tmpl w:val="180E1D3C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</w:num>
  <w:num w:numId="9">
    <w:abstractNumId w:val="0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0"/>
  </w:num>
  <w:num w:numId="17">
    <w:abstractNumId w:val="11"/>
  </w:num>
  <w:num w:numId="18">
    <w:abstractNumId w:val="18"/>
  </w:num>
  <w:num w:numId="19">
    <w:abstractNumId w:val="13"/>
  </w:num>
  <w:num w:numId="20">
    <w:abstractNumId w:val="5"/>
  </w:num>
  <w:num w:numId="21">
    <w:abstractNumId w:val="15"/>
  </w:num>
  <w:num w:numId="22">
    <w:abstractNumId w:val="8"/>
  </w:num>
  <w:num w:numId="23">
    <w:abstractNumId w:val="10"/>
  </w:num>
  <w:num w:numId="24">
    <w:abstractNumId w:val="14"/>
  </w:num>
  <w:num w:numId="25">
    <w:abstractNumId w:val="17"/>
  </w:num>
  <w:num w:numId="26">
    <w:abstractNumId w:val="16"/>
  </w:num>
  <w:num w:numId="27">
    <w:abstractNumId w:val="12"/>
  </w:num>
  <w:num w:numId="28">
    <w:abstractNumId w:val="2"/>
  </w:num>
  <w:num w:numId="29">
    <w:abstractNumId w:val="9"/>
  </w:num>
  <w:num w:numId="30">
    <w:abstractNumId w:val="6"/>
  </w:num>
  <w:num w:numId="31">
    <w:abstractNumId w:val="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C141AF"/>
    <w:rsid w:val="00001902"/>
    <w:rsid w:val="00006C8D"/>
    <w:rsid w:val="00017CF8"/>
    <w:rsid w:val="000257A9"/>
    <w:rsid w:val="000330F7"/>
    <w:rsid w:val="00034226"/>
    <w:rsid w:val="0004444E"/>
    <w:rsid w:val="00052D47"/>
    <w:rsid w:val="00063584"/>
    <w:rsid w:val="00067212"/>
    <w:rsid w:val="0009792F"/>
    <w:rsid w:val="000B0E74"/>
    <w:rsid w:val="000B6840"/>
    <w:rsid w:val="000D0058"/>
    <w:rsid w:val="000E2E8B"/>
    <w:rsid w:val="000E4359"/>
    <w:rsid w:val="000F130D"/>
    <w:rsid w:val="00107584"/>
    <w:rsid w:val="0011647D"/>
    <w:rsid w:val="00120049"/>
    <w:rsid w:val="001232BC"/>
    <w:rsid w:val="001262F0"/>
    <w:rsid w:val="001313AD"/>
    <w:rsid w:val="0013507D"/>
    <w:rsid w:val="00152895"/>
    <w:rsid w:val="00163FD1"/>
    <w:rsid w:val="00192A8E"/>
    <w:rsid w:val="0019597F"/>
    <w:rsid w:val="00196586"/>
    <w:rsid w:val="001A294C"/>
    <w:rsid w:val="001A4EF6"/>
    <w:rsid w:val="001C2A05"/>
    <w:rsid w:val="001D4F66"/>
    <w:rsid w:val="001F15AB"/>
    <w:rsid w:val="00200273"/>
    <w:rsid w:val="00200591"/>
    <w:rsid w:val="00201740"/>
    <w:rsid w:val="0020182A"/>
    <w:rsid w:val="00206FAD"/>
    <w:rsid w:val="00225287"/>
    <w:rsid w:val="00237B7B"/>
    <w:rsid w:val="00240287"/>
    <w:rsid w:val="00253581"/>
    <w:rsid w:val="002669F9"/>
    <w:rsid w:val="00281D15"/>
    <w:rsid w:val="002A29DF"/>
    <w:rsid w:val="002B0146"/>
    <w:rsid w:val="002B4982"/>
    <w:rsid w:val="002D387F"/>
    <w:rsid w:val="002E0A8E"/>
    <w:rsid w:val="002E43D7"/>
    <w:rsid w:val="002E464A"/>
    <w:rsid w:val="002E5A44"/>
    <w:rsid w:val="002E5B72"/>
    <w:rsid w:val="002F1375"/>
    <w:rsid w:val="002F6218"/>
    <w:rsid w:val="00321FA3"/>
    <w:rsid w:val="00322597"/>
    <w:rsid w:val="0032456B"/>
    <w:rsid w:val="00324D85"/>
    <w:rsid w:val="0033356D"/>
    <w:rsid w:val="00333F1C"/>
    <w:rsid w:val="00357428"/>
    <w:rsid w:val="00372F9D"/>
    <w:rsid w:val="0038224E"/>
    <w:rsid w:val="0038434E"/>
    <w:rsid w:val="003863E3"/>
    <w:rsid w:val="00392B35"/>
    <w:rsid w:val="003B2909"/>
    <w:rsid w:val="003B35AC"/>
    <w:rsid w:val="003D3114"/>
    <w:rsid w:val="003D5230"/>
    <w:rsid w:val="003E7145"/>
    <w:rsid w:val="00413F1E"/>
    <w:rsid w:val="00420982"/>
    <w:rsid w:val="00425EAA"/>
    <w:rsid w:val="00432980"/>
    <w:rsid w:val="00440106"/>
    <w:rsid w:val="00443477"/>
    <w:rsid w:val="00462A93"/>
    <w:rsid w:val="00466DE3"/>
    <w:rsid w:val="00467A68"/>
    <w:rsid w:val="00480636"/>
    <w:rsid w:val="0048379D"/>
    <w:rsid w:val="00485B11"/>
    <w:rsid w:val="004B1F0D"/>
    <w:rsid w:val="004B4685"/>
    <w:rsid w:val="004B4C2D"/>
    <w:rsid w:val="004D2A7F"/>
    <w:rsid w:val="004F10FA"/>
    <w:rsid w:val="00506BB1"/>
    <w:rsid w:val="00514E5A"/>
    <w:rsid w:val="0055702A"/>
    <w:rsid w:val="00562CDF"/>
    <w:rsid w:val="00567416"/>
    <w:rsid w:val="00586191"/>
    <w:rsid w:val="00594335"/>
    <w:rsid w:val="005A59A8"/>
    <w:rsid w:val="005B28E6"/>
    <w:rsid w:val="005B5A6D"/>
    <w:rsid w:val="005C0534"/>
    <w:rsid w:val="005D7533"/>
    <w:rsid w:val="00613599"/>
    <w:rsid w:val="00613CA7"/>
    <w:rsid w:val="00620D0C"/>
    <w:rsid w:val="00621802"/>
    <w:rsid w:val="0063608E"/>
    <w:rsid w:val="00636AED"/>
    <w:rsid w:val="00643B3B"/>
    <w:rsid w:val="00643F0F"/>
    <w:rsid w:val="0065370F"/>
    <w:rsid w:val="00655DB2"/>
    <w:rsid w:val="00656F72"/>
    <w:rsid w:val="00673352"/>
    <w:rsid w:val="00677438"/>
    <w:rsid w:val="006A0CED"/>
    <w:rsid w:val="006A14EA"/>
    <w:rsid w:val="006C058B"/>
    <w:rsid w:val="006C4F4F"/>
    <w:rsid w:val="006C535C"/>
    <w:rsid w:val="006C6EF4"/>
    <w:rsid w:val="006D3390"/>
    <w:rsid w:val="006D4653"/>
    <w:rsid w:val="006E4530"/>
    <w:rsid w:val="006E7C03"/>
    <w:rsid w:val="006F3490"/>
    <w:rsid w:val="006F451B"/>
    <w:rsid w:val="006F4893"/>
    <w:rsid w:val="007077F4"/>
    <w:rsid w:val="0071068A"/>
    <w:rsid w:val="00714BFA"/>
    <w:rsid w:val="00720F8D"/>
    <w:rsid w:val="00722121"/>
    <w:rsid w:val="00722631"/>
    <w:rsid w:val="00734BAC"/>
    <w:rsid w:val="0074199F"/>
    <w:rsid w:val="0075006A"/>
    <w:rsid w:val="00752E55"/>
    <w:rsid w:val="00756B2D"/>
    <w:rsid w:val="00777642"/>
    <w:rsid w:val="00780DC9"/>
    <w:rsid w:val="00781177"/>
    <w:rsid w:val="00783951"/>
    <w:rsid w:val="007917E8"/>
    <w:rsid w:val="00795768"/>
    <w:rsid w:val="007964BF"/>
    <w:rsid w:val="007A3D6C"/>
    <w:rsid w:val="007B5DD0"/>
    <w:rsid w:val="007C47CE"/>
    <w:rsid w:val="007D54D8"/>
    <w:rsid w:val="007F4471"/>
    <w:rsid w:val="007F5F99"/>
    <w:rsid w:val="008037B0"/>
    <w:rsid w:val="008055F2"/>
    <w:rsid w:val="008137DC"/>
    <w:rsid w:val="0082266C"/>
    <w:rsid w:val="00826FFC"/>
    <w:rsid w:val="00832C96"/>
    <w:rsid w:val="008425F9"/>
    <w:rsid w:val="008438E9"/>
    <w:rsid w:val="0084478D"/>
    <w:rsid w:val="00850B5E"/>
    <w:rsid w:val="00856477"/>
    <w:rsid w:val="00864AEA"/>
    <w:rsid w:val="0086672B"/>
    <w:rsid w:val="00872A45"/>
    <w:rsid w:val="008755DB"/>
    <w:rsid w:val="008809E6"/>
    <w:rsid w:val="008914F4"/>
    <w:rsid w:val="008941D0"/>
    <w:rsid w:val="00895787"/>
    <w:rsid w:val="008A04F5"/>
    <w:rsid w:val="008B6937"/>
    <w:rsid w:val="008D06CE"/>
    <w:rsid w:val="008D23FE"/>
    <w:rsid w:val="008D3921"/>
    <w:rsid w:val="008E38BC"/>
    <w:rsid w:val="0090068C"/>
    <w:rsid w:val="009026C6"/>
    <w:rsid w:val="00905983"/>
    <w:rsid w:val="00907745"/>
    <w:rsid w:val="00927466"/>
    <w:rsid w:val="00930867"/>
    <w:rsid w:val="00933C76"/>
    <w:rsid w:val="009439EA"/>
    <w:rsid w:val="00956229"/>
    <w:rsid w:val="009606D5"/>
    <w:rsid w:val="00965480"/>
    <w:rsid w:val="00965B9B"/>
    <w:rsid w:val="00971344"/>
    <w:rsid w:val="00982AB4"/>
    <w:rsid w:val="0098587F"/>
    <w:rsid w:val="0099649A"/>
    <w:rsid w:val="009A08CC"/>
    <w:rsid w:val="009B7437"/>
    <w:rsid w:val="009D7576"/>
    <w:rsid w:val="009D7964"/>
    <w:rsid w:val="009E4F4E"/>
    <w:rsid w:val="009E5814"/>
    <w:rsid w:val="009F733B"/>
    <w:rsid w:val="009F7C0F"/>
    <w:rsid w:val="00A0052F"/>
    <w:rsid w:val="00A0095C"/>
    <w:rsid w:val="00A01DA0"/>
    <w:rsid w:val="00A04C5A"/>
    <w:rsid w:val="00A17626"/>
    <w:rsid w:val="00A24D2E"/>
    <w:rsid w:val="00A401FB"/>
    <w:rsid w:val="00A51855"/>
    <w:rsid w:val="00A669C9"/>
    <w:rsid w:val="00A80601"/>
    <w:rsid w:val="00A85085"/>
    <w:rsid w:val="00A909E6"/>
    <w:rsid w:val="00AA4C3A"/>
    <w:rsid w:val="00AB2C66"/>
    <w:rsid w:val="00AB4746"/>
    <w:rsid w:val="00AB76F0"/>
    <w:rsid w:val="00AC32DC"/>
    <w:rsid w:val="00AD1F1A"/>
    <w:rsid w:val="00AE4DE6"/>
    <w:rsid w:val="00AE54DE"/>
    <w:rsid w:val="00AE5844"/>
    <w:rsid w:val="00AF040C"/>
    <w:rsid w:val="00AF749D"/>
    <w:rsid w:val="00B0731E"/>
    <w:rsid w:val="00B0746B"/>
    <w:rsid w:val="00B229A8"/>
    <w:rsid w:val="00B31600"/>
    <w:rsid w:val="00B44044"/>
    <w:rsid w:val="00B511FF"/>
    <w:rsid w:val="00B556AC"/>
    <w:rsid w:val="00B7154C"/>
    <w:rsid w:val="00B80F67"/>
    <w:rsid w:val="00B8618B"/>
    <w:rsid w:val="00B90672"/>
    <w:rsid w:val="00BA2AFA"/>
    <w:rsid w:val="00BA63B5"/>
    <w:rsid w:val="00BB12D1"/>
    <w:rsid w:val="00BC7321"/>
    <w:rsid w:val="00BC74D0"/>
    <w:rsid w:val="00BD49D0"/>
    <w:rsid w:val="00BE2B89"/>
    <w:rsid w:val="00BE3E67"/>
    <w:rsid w:val="00BE4EB2"/>
    <w:rsid w:val="00C0319B"/>
    <w:rsid w:val="00C047D1"/>
    <w:rsid w:val="00C04E51"/>
    <w:rsid w:val="00C05473"/>
    <w:rsid w:val="00C06390"/>
    <w:rsid w:val="00C064DE"/>
    <w:rsid w:val="00C1047D"/>
    <w:rsid w:val="00C13AD7"/>
    <w:rsid w:val="00C141AF"/>
    <w:rsid w:val="00C17727"/>
    <w:rsid w:val="00C22595"/>
    <w:rsid w:val="00C22DB1"/>
    <w:rsid w:val="00C25512"/>
    <w:rsid w:val="00C3070A"/>
    <w:rsid w:val="00C31DF4"/>
    <w:rsid w:val="00C33216"/>
    <w:rsid w:val="00C33A31"/>
    <w:rsid w:val="00C5535C"/>
    <w:rsid w:val="00C56058"/>
    <w:rsid w:val="00C71C78"/>
    <w:rsid w:val="00C8268E"/>
    <w:rsid w:val="00C8698D"/>
    <w:rsid w:val="00C900C9"/>
    <w:rsid w:val="00C94212"/>
    <w:rsid w:val="00CB257C"/>
    <w:rsid w:val="00CC36EF"/>
    <w:rsid w:val="00CE4DCA"/>
    <w:rsid w:val="00D018B8"/>
    <w:rsid w:val="00D07565"/>
    <w:rsid w:val="00D12FBA"/>
    <w:rsid w:val="00D31CBB"/>
    <w:rsid w:val="00D36861"/>
    <w:rsid w:val="00D47645"/>
    <w:rsid w:val="00D5323E"/>
    <w:rsid w:val="00D72BC1"/>
    <w:rsid w:val="00D755BB"/>
    <w:rsid w:val="00D91C14"/>
    <w:rsid w:val="00DA2201"/>
    <w:rsid w:val="00DA415C"/>
    <w:rsid w:val="00DA4910"/>
    <w:rsid w:val="00DB06D4"/>
    <w:rsid w:val="00DB0A10"/>
    <w:rsid w:val="00DB5D6E"/>
    <w:rsid w:val="00DC10F3"/>
    <w:rsid w:val="00DC795E"/>
    <w:rsid w:val="00DD1EF0"/>
    <w:rsid w:val="00DE196B"/>
    <w:rsid w:val="00DF4029"/>
    <w:rsid w:val="00E14F4E"/>
    <w:rsid w:val="00E249DE"/>
    <w:rsid w:val="00E24A75"/>
    <w:rsid w:val="00E31AF2"/>
    <w:rsid w:val="00E32FDC"/>
    <w:rsid w:val="00E40F7A"/>
    <w:rsid w:val="00E45E06"/>
    <w:rsid w:val="00E52759"/>
    <w:rsid w:val="00E95E1E"/>
    <w:rsid w:val="00EB189E"/>
    <w:rsid w:val="00EB3A1D"/>
    <w:rsid w:val="00EB458E"/>
    <w:rsid w:val="00EC3589"/>
    <w:rsid w:val="00EC57F7"/>
    <w:rsid w:val="00ED04FE"/>
    <w:rsid w:val="00EE1BCC"/>
    <w:rsid w:val="00EE366B"/>
    <w:rsid w:val="00EE3CB7"/>
    <w:rsid w:val="00EE6041"/>
    <w:rsid w:val="00EE6B3E"/>
    <w:rsid w:val="00EF471C"/>
    <w:rsid w:val="00F037EB"/>
    <w:rsid w:val="00F16E41"/>
    <w:rsid w:val="00F21281"/>
    <w:rsid w:val="00F21E10"/>
    <w:rsid w:val="00F24D37"/>
    <w:rsid w:val="00F255EE"/>
    <w:rsid w:val="00F318E7"/>
    <w:rsid w:val="00F40421"/>
    <w:rsid w:val="00F452B1"/>
    <w:rsid w:val="00F53621"/>
    <w:rsid w:val="00F623C5"/>
    <w:rsid w:val="00F64101"/>
    <w:rsid w:val="00F65DF2"/>
    <w:rsid w:val="00F70B7E"/>
    <w:rsid w:val="00F70EED"/>
    <w:rsid w:val="00F751A5"/>
    <w:rsid w:val="00F8038C"/>
    <w:rsid w:val="00FC2E37"/>
    <w:rsid w:val="00FF2689"/>
    <w:rsid w:val="00FF78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AF"/>
    <w:pPr>
      <w:framePr w:wrap="auto"/>
      <w:widowControl/>
      <w:autoSpaceDE/>
      <w:autoSpaceDN/>
      <w:adjustRightInd/>
      <w:spacing w:after="60" w:line="320" w:lineRule="exact"/>
      <w:ind w:left="0" w:right="0" w:firstLine="709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89"/>
    <w:pPr>
      <w:keepNext/>
      <w:keepLines/>
      <w:spacing w:before="120" w:after="120"/>
      <w:ind w:firstLine="0"/>
      <w:jc w:val="both"/>
      <w:outlineLvl w:val="0"/>
    </w:pPr>
    <w:rPr>
      <w:rFonts w:ascii="Times New Roman" w:eastAsia="Times New Roman" w:hAnsi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5B5A6D"/>
    <w:pPr>
      <w:keepNext/>
      <w:keepLines/>
      <w:numPr>
        <w:numId w:val="1"/>
      </w:numPr>
      <w:spacing w:before="240" w:after="120"/>
      <w:ind w:left="720" w:hanging="360"/>
      <w:jc w:val="left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B5A6D"/>
    <w:pPr>
      <w:keepNext/>
      <w:keepLines/>
      <w:spacing w:before="240" w:after="120"/>
      <w:ind w:firstLine="0"/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52759"/>
    <w:pPr>
      <w:keepNext/>
      <w:keepLines/>
      <w:spacing w:before="200" w:after="0"/>
      <w:ind w:firstLine="0"/>
      <w:jc w:val="both"/>
      <w:outlineLvl w:val="3"/>
    </w:pPr>
    <w:rPr>
      <w:rFonts w:ascii="Times New Roman" w:eastAsia="Times New Roman" w:hAnsi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B4982"/>
    <w:pPr>
      <w:keepNext/>
      <w:keepLines/>
      <w:spacing w:before="200" w:after="0"/>
      <w:jc w:val="both"/>
      <w:outlineLvl w:val="4"/>
    </w:pPr>
    <w:rPr>
      <w:rFonts w:ascii="Cambria" w:eastAsia="Times New Roman" w:hAnsi="Cambria"/>
      <w:color w:val="243F6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B4982"/>
    <w:pPr>
      <w:keepNext/>
      <w:keepLines/>
      <w:spacing w:before="200" w:after="0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2B89"/>
    <w:rPr>
      <w:rFonts w:ascii="Times New Roman" w:hAnsi="Times New Roman" w:cs="Times New Roman"/>
      <w:b/>
      <w:bCs/>
      <w:cap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52759"/>
    <w:rPr>
      <w:rFonts w:ascii="Times New Roman" w:hAnsi="Times New Roman" w:cs="Times New Roman"/>
      <w:b/>
      <w:bCs/>
      <w:iCs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52759"/>
    <w:pPr>
      <w:ind w:left="720"/>
      <w:contextualSpacing/>
      <w:jc w:val="both"/>
    </w:pPr>
  </w:style>
  <w:style w:type="character" w:styleId="FootnoteReference">
    <w:name w:val="footnote reference"/>
    <w:basedOn w:val="DefaultParagraphFont"/>
    <w:semiHidden/>
    <w:rsid w:val="007D54D8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BodyText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lang w:eastAsia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7D54D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semiHidden/>
    <w:rsid w:val="007D54D8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color w:val="FF0000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7D54D8"/>
    <w:rPr>
      <w:rFonts w:ascii="Times New Roman" w:hAnsi="Times New Roman" w:cs="Times New Roman"/>
      <w:color w:val="FF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semiHidden/>
    <w:rsid w:val="007D54D8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val="cs-CZ" w:eastAsia="sk-SK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uiPriority w:val="99"/>
    <w:qFormat/>
    <w:rsid w:val="007D54D8"/>
    <w:rPr>
      <w:rFonts w:cs="Times New Roman"/>
      <w:b/>
      <w:bCs/>
      <w:rtl w:val="0"/>
      <w:cs w:val="0"/>
    </w:rPr>
  </w:style>
  <w:style w:type="table" w:styleId="TableGrid">
    <w:name w:val="Table Grid"/>
    <w:basedOn w:val="TableNormal"/>
    <w:uiPriority w:val="59"/>
    <w:rsid w:val="007D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Záhlaví Char Char,Záhlaví Char Char Char"/>
    <w:basedOn w:val="Normal"/>
    <w:link w:val="HeaderChar"/>
    <w:semiHidden/>
    <w:rsid w:val="007D54D8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sz w:val="22"/>
      <w:szCs w:val="20"/>
      <w:lang w:eastAsia="sk-SK"/>
    </w:rPr>
  </w:style>
  <w:style w:type="character" w:customStyle="1" w:styleId="HeaderChar">
    <w:name w:val="Header Char"/>
    <w:aliases w:val="Záhlaví Char Char Char Char,Záhlaví Char Char Char1"/>
    <w:basedOn w:val="DefaultParagraphFont"/>
    <w:link w:val="Header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D8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4D8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3"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6E7C03"/>
    <w:pPr>
      <w:spacing w:after="160" w:line="240" w:lineRule="exact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ln12">
    <w:name w:val="Normální 12"/>
    <w:basedOn w:val="Normal"/>
    <w:rsid w:val="006E7C03"/>
    <w:pPr>
      <w:overflowPunct w:val="0"/>
      <w:autoSpaceDE w:val="0"/>
      <w:autoSpaceDN w:val="0"/>
      <w:adjustRightInd w:val="0"/>
      <w:spacing w:after="0"/>
      <w:ind w:firstLine="426"/>
      <w:jc w:val="both"/>
      <w:textAlignment w:val="baseline"/>
    </w:pPr>
    <w:rPr>
      <w:rFonts w:ascii="Times New Roman" w:eastAsia="Times New Roman" w:hAnsi="Times New Roman"/>
      <w:szCs w:val="20"/>
      <w:lang w:val="cs-CZ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740"/>
    <w:pPr>
      <w:spacing w:after="120"/>
      <w:ind w:left="283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01740"/>
    <w:rPr>
      <w:rFonts w:ascii="Times New Roman" w:hAnsi="Times New Roman" w:cs="Times New Roman"/>
      <w:sz w:val="16"/>
      <w:szCs w:val="16"/>
      <w:rtl w:val="0"/>
      <w:cs w:val="0"/>
    </w:rPr>
  </w:style>
  <w:style w:type="paragraph" w:styleId="NormalWeb">
    <w:name w:val="Normal (Web)"/>
    <w:basedOn w:val="Normal"/>
    <w:semiHidden/>
    <w:rsid w:val="00201740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lang w:eastAsia="sk-SK"/>
    </w:rPr>
  </w:style>
  <w:style w:type="paragraph" w:customStyle="1" w:styleId="Nadpis4H4">
    <w:name w:val="Nadpis 4.H4"/>
    <w:basedOn w:val="Normal"/>
    <w:next w:val="Normal"/>
    <w:rsid w:val="00201740"/>
    <w:pPr>
      <w:keepNext/>
      <w:ind w:firstLine="0"/>
      <w:jc w:val="both"/>
      <w:outlineLvl w:val="3"/>
    </w:pPr>
    <w:rPr>
      <w:rFonts w:ascii="Times New Roman" w:eastAsia="Times New Roman" w:hAnsi="Times New Roman"/>
      <w:b/>
      <w:lang w:eastAsia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4982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B4982"/>
    <w:rPr>
      <w:rFonts w:ascii="Times New Roman" w:hAnsi="Times New Roman" w:cs="Times New Roman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4982"/>
    <w:pPr>
      <w:spacing w:after="120" w:line="480" w:lineRule="auto"/>
      <w:ind w:left="28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B4982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B4982"/>
    <w:rPr>
      <w:rFonts w:ascii="Cambria" w:hAnsi="Cambria" w:cs="Times New Roman"/>
      <w:color w:val="243F60"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2B4982"/>
    <w:rPr>
      <w:rFonts w:ascii="Cambria" w:hAnsi="Cambria" w:cs="Times New Roman"/>
      <w:i/>
      <w:iCs/>
      <w:color w:val="404040"/>
      <w:sz w:val="20"/>
      <w:szCs w:val="20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3D523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5230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22</Pages>
  <Words>7437</Words>
  <Characters>42394</Characters>
  <Application>Microsoft Office Word</Application>
  <DocSecurity>0</DocSecurity>
  <Lines>0</Lines>
  <Paragraphs>0</Paragraphs>
  <ScaleCrop>false</ScaleCrop>
  <Company>Kancelaria NR SR</Company>
  <LinksUpToDate>false</LinksUpToDate>
  <CharactersWithSpaces>49732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trubacova</dc:creator>
  <cp:lastModifiedBy>Gašparíková, Jarmila</cp:lastModifiedBy>
  <cp:revision>2</cp:revision>
  <cp:lastPrinted>2011-06-22T07:39:00Z</cp:lastPrinted>
  <dcterms:created xsi:type="dcterms:W3CDTF">2011-09-23T11:40:00Z</dcterms:created>
  <dcterms:modified xsi:type="dcterms:W3CDTF">2011-09-23T11:40:00Z</dcterms:modified>
</cp:coreProperties>
</file>