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44333" w:rsidP="000374F2">
      <w:pPr>
        <w:bidi w:val="0"/>
        <w:adjustRightInd w:val="0"/>
        <w:jc w:val="center"/>
        <w:rPr>
          <w:rFonts w:ascii="Times New Roman" w:hAnsi="Times New Roman"/>
          <w:b/>
          <w:caps/>
          <w:color w:val="000000"/>
          <w:spacing w:val="30"/>
        </w:rPr>
      </w:pPr>
    </w:p>
    <w:p w:rsidR="00F44333" w:rsidP="000374F2">
      <w:pPr>
        <w:bidi w:val="0"/>
        <w:adjustRightInd w:val="0"/>
        <w:jc w:val="center"/>
        <w:rPr>
          <w:rFonts w:ascii="Times New Roman" w:hAnsi="Times New Roman"/>
          <w:b/>
          <w:caps/>
          <w:color w:val="000000"/>
          <w:spacing w:val="30"/>
        </w:rPr>
      </w:pPr>
    </w:p>
    <w:p w:rsidR="00F44333" w:rsidP="000374F2">
      <w:pPr>
        <w:bidi w:val="0"/>
        <w:adjustRightInd w:val="0"/>
        <w:jc w:val="center"/>
        <w:rPr>
          <w:rFonts w:ascii="Times New Roman" w:hAnsi="Times New Roman"/>
          <w:b/>
          <w:caps/>
          <w:color w:val="000000"/>
          <w:spacing w:val="30"/>
        </w:rPr>
      </w:pPr>
    </w:p>
    <w:p w:rsidR="00F44333" w:rsidP="000374F2">
      <w:pPr>
        <w:bidi w:val="0"/>
        <w:adjustRightInd w:val="0"/>
        <w:jc w:val="center"/>
        <w:rPr>
          <w:rFonts w:ascii="Times New Roman" w:hAnsi="Times New Roman"/>
          <w:b/>
          <w:caps/>
          <w:color w:val="000000"/>
          <w:spacing w:val="30"/>
        </w:rPr>
      </w:pPr>
    </w:p>
    <w:p w:rsidR="000374F2" w:rsidRPr="001753BF" w:rsidP="000374F2">
      <w:pPr>
        <w:bidi w:val="0"/>
        <w:adjustRightInd w:val="0"/>
        <w:jc w:val="center"/>
        <w:rPr>
          <w:rFonts w:ascii="Times New Roman" w:hAnsi="Times New Roman"/>
          <w:b/>
          <w:caps/>
          <w:color w:val="000000"/>
          <w:spacing w:val="30"/>
        </w:rPr>
      </w:pPr>
      <w:r w:rsidRPr="001753BF">
        <w:rPr>
          <w:rFonts w:ascii="Times New Roman" w:hAnsi="Times New Roman"/>
          <w:b/>
          <w:caps/>
          <w:color w:val="000000"/>
          <w:spacing w:val="30"/>
        </w:rPr>
        <w:t>Predkladacia správa</w:t>
      </w:r>
    </w:p>
    <w:p w:rsidR="000374F2" w:rsidRPr="001753BF" w:rsidP="000374F2">
      <w:pPr>
        <w:bidi w:val="0"/>
        <w:adjustRightInd w:val="0"/>
        <w:jc w:val="both"/>
        <w:rPr>
          <w:rFonts w:ascii="Times New Roman" w:hAnsi="Times New Roman"/>
          <w:color w:val="000000"/>
        </w:rPr>
      </w:pPr>
    </w:p>
    <w:p w:rsidR="000374F2" w:rsidRPr="001753BF" w:rsidP="000374F2">
      <w:pPr>
        <w:bidi w:val="0"/>
        <w:adjustRightInd w:val="0"/>
        <w:jc w:val="both"/>
        <w:rPr>
          <w:rFonts w:ascii="Times New Roman" w:hAnsi="Times New Roman"/>
          <w:color w:val="000000"/>
        </w:rPr>
      </w:pPr>
    </w:p>
    <w:p w:rsidR="00AC323E" w:rsidRPr="00AC323E" w:rsidP="00E10887">
      <w:pPr>
        <w:bidi w:val="0"/>
        <w:spacing w:before="120"/>
        <w:ind w:firstLine="708"/>
        <w:jc w:val="both"/>
        <w:rPr>
          <w:rFonts w:ascii="Times New Roman" w:hAnsi="Times New Roman"/>
        </w:rPr>
      </w:pPr>
      <w:r w:rsidRPr="00AC323E" w:rsidR="00AF3033">
        <w:rPr>
          <w:rFonts w:ascii="Times New Roman" w:hAnsi="Times New Roman"/>
          <w:bCs/>
          <w:color w:val="000000"/>
          <w:kern w:val="32"/>
        </w:rPr>
        <w:t>Predmetný materiál sa na rokovanie Národnej rady SR predkladá</w:t>
      </w:r>
      <w:r w:rsidRPr="00AC323E" w:rsidR="000374F2">
        <w:rPr>
          <w:rFonts w:ascii="Times New Roman" w:hAnsi="Times New Roman"/>
          <w:bCs/>
          <w:color w:val="000000"/>
          <w:kern w:val="32"/>
        </w:rPr>
        <w:t xml:space="preserve"> na základe § 3 ods. 2 Zákona č. 474/2005 Z. z. o Slovákoch žijúcich v zahraničí a o zmene a doplnení niektorých zákonov, </w:t>
      </w:r>
      <w:r w:rsidRPr="00AC323E">
        <w:rPr>
          <w:rFonts w:ascii="Times New Roman" w:hAnsi="Times New Roman"/>
        </w:rPr>
        <w:t xml:space="preserve">ktorý ustanovuje, že vláda Slovenskej republiky určuje východiská a zásady štátnej politiky starostlivosti o Slovákov žijúcich v zahraničí a každoročne predkladá o nej Národnej rade SR správu za predchádzajúci kalendárny rok spolu s návrhom na ďalší rok, ktorý obsahuje predpokladanú čiastku rozpočtových prostriedkov potrebných na ich realizáciu. </w:t>
      </w:r>
    </w:p>
    <w:p w:rsidR="00AC323E" w:rsidRPr="00AC323E" w:rsidP="00AC323E">
      <w:pPr>
        <w:bidi w:val="0"/>
        <w:spacing w:before="120"/>
        <w:ind w:firstLine="709"/>
        <w:jc w:val="both"/>
        <w:rPr>
          <w:rFonts w:ascii="Times New Roman" w:hAnsi="Times New Roman"/>
        </w:rPr>
      </w:pPr>
      <w:r w:rsidRPr="00AC323E">
        <w:rPr>
          <w:rFonts w:ascii="Times New Roman" w:hAnsi="Times New Roman"/>
        </w:rPr>
        <w:t xml:space="preserve"> Všetky doterajšie správy za roky 2006, 2007, 2008, 2009 interpretovali znenie predmetného zákona o povinnosti predkladať správu za predchádzajúci  kalendárny rok spolu s návrhom programu na nasledujúci rok v trojročnom časovom rozpätí. Na tento zásadný nedostatok upozornili viacerí poslanci NR SR už pri prerokovaní prvej správy za rok 2006. Tento nedostatok sa premietol aj do nasledujúcich správ, menil ich zmysel, skresľoval ich podstatu, neumožnil porovnávať diferenciu a kvalitu starostlivosti a deformoval jeden z účelov zákona. S cieľom sprehľadniť správu a dodržať princíp transparentnosti predkladateľ tejto správy v záujme odstránenia uvedeného rozporu predkladá predmetný materiál tak, aby časová nadväznosť jednotlivých správ rešpektovala požiadavku predchádzajúceho a nasledujúceho kalendárneho roku.  Správa pozostáva z troch častí. </w:t>
      </w:r>
    </w:p>
    <w:p w:rsidR="00AC323E" w:rsidRPr="00AC323E" w:rsidP="00AC323E">
      <w:pPr>
        <w:bidi w:val="0"/>
        <w:spacing w:before="120"/>
        <w:ind w:firstLine="709"/>
        <w:jc w:val="both"/>
        <w:rPr>
          <w:rFonts w:ascii="Times New Roman" w:hAnsi="Times New Roman"/>
        </w:rPr>
      </w:pPr>
      <w:r w:rsidRPr="00AC323E">
        <w:rPr>
          <w:rFonts w:ascii="Times New Roman" w:hAnsi="Times New Roman"/>
        </w:rPr>
        <w:t>V prvej časti Správa o štátnej politike starostlivosti o Slovákov žijúcich v zahraničí a o poskytnutej štátnej podpore Slovákom žijúcim v zahraničí za rok 2010 hodnotí toto obdobie v zmysle návrhu programu štátnej politiky schválenej uznesením vlády č. 581 z 26. augusta 2009, ktorý zobrala na vedomie Národná rada SR. Pri spracovávaní predmetnej správy sme zobrali na vedomie zásadné pripomienky, ktoré odzneli v medzirezortnom pripomienkovom konaní, ako aj pripomienky, ktoré odzneli pri prerokovaní návrhu vo výboroch a rozprave Národnej rady SR. V tomto zmysle správa neobsahuje len výpočet akcií, ale aj hodnotiacu časť, v ktorej poukazuje na splnené i nesplnené úlohy spolu s odporúčaniami na nasledujúce obdobie.</w:t>
      </w:r>
    </w:p>
    <w:p w:rsidR="00AC323E" w:rsidRPr="00AC323E" w:rsidP="00AC323E">
      <w:pPr>
        <w:bidi w:val="0"/>
        <w:spacing w:before="120"/>
        <w:ind w:firstLine="709"/>
        <w:jc w:val="both"/>
        <w:rPr>
          <w:rFonts w:ascii="Times New Roman" w:hAnsi="Times New Roman"/>
        </w:rPr>
      </w:pPr>
      <w:r w:rsidRPr="00AC323E">
        <w:rPr>
          <w:rFonts w:ascii="Times New Roman" w:hAnsi="Times New Roman"/>
        </w:rPr>
        <w:t>V druhej časti v nadväznosti na menovanie nového štatutárneho zástupcu Úradu pre Slovákov žijúcich</w:t>
      </w:r>
      <w:r w:rsidR="008153DB">
        <w:rPr>
          <w:rFonts w:ascii="Times New Roman" w:hAnsi="Times New Roman"/>
        </w:rPr>
        <w:t xml:space="preserve"> v zahraničí</w:t>
      </w:r>
      <w:r w:rsidRPr="00AC323E">
        <w:rPr>
          <w:rFonts w:ascii="Times New Roman" w:hAnsi="Times New Roman"/>
        </w:rPr>
        <w:t xml:space="preserve"> vládou Slovenskej republiky a odstraňovaním nedostatkov  v činnosti úradu z predchádzajúceho obdobia, predkladáme spresnenie a aktualizáciu reálnej činnosti spojenej  s realizáciou štátnej politiky starostlivosti o Slovákov žijúcich v zahraničí za rok 2011.</w:t>
      </w:r>
    </w:p>
    <w:p w:rsidR="00E10887" w:rsidP="00E10887">
      <w:pPr>
        <w:bidi w:val="0"/>
        <w:spacing w:before="120"/>
        <w:ind w:firstLine="709"/>
        <w:jc w:val="both"/>
        <w:rPr>
          <w:rFonts w:ascii="Times New Roman" w:hAnsi="Times New Roman"/>
        </w:rPr>
      </w:pPr>
      <w:r w:rsidRPr="00AC323E" w:rsidR="00AC323E">
        <w:rPr>
          <w:rFonts w:ascii="Times New Roman" w:hAnsi="Times New Roman"/>
        </w:rPr>
        <w:t>V tretej časti predkladáme návrh tvorby a výkonu štátnej politiky starostlivosti o Slovákov žijúcich v zahraničí na rok 2012, ktorý rešpektuje programové vyhlásenie súčasnej vlády, zákon o Slovákoch žijúcich v zahraničí, základné východiská zahraničnej politiky SR do roku 2015, odporúčania Európskej únie a Rady Európy pri koncipovaní ich politík k európskym diaspóram a odporúčania stálych konferencií k otázkam vzájomných vzťahov a spolupráce Slovenskej republiky a zahraničných Slovákov.</w:t>
      </w:r>
    </w:p>
    <w:p w:rsidR="000374F2" w:rsidRPr="00E10887" w:rsidP="00E10887">
      <w:pPr>
        <w:bidi w:val="0"/>
        <w:spacing w:before="120"/>
        <w:ind w:firstLine="709"/>
        <w:jc w:val="both"/>
        <w:rPr>
          <w:rFonts w:ascii="Times New Roman" w:hAnsi="Times New Roman"/>
        </w:rPr>
      </w:pPr>
      <w:r w:rsidRPr="00AC323E" w:rsidR="008616F5">
        <w:rPr>
          <w:rFonts w:ascii="Times New Roman" w:hAnsi="Times New Roman"/>
        </w:rPr>
        <w:t>Materiál bol schválený vl</w:t>
      </w:r>
      <w:r w:rsidRPr="00AC323E" w:rsidR="00AC323E">
        <w:rPr>
          <w:rFonts w:ascii="Times New Roman" w:hAnsi="Times New Roman"/>
        </w:rPr>
        <w:t>ádou Slovenskej republiky dňa 24</w:t>
      </w:r>
      <w:r w:rsidR="00E10887">
        <w:rPr>
          <w:rFonts w:ascii="Times New Roman" w:hAnsi="Times New Roman"/>
        </w:rPr>
        <w:t>.</w:t>
      </w:r>
      <w:r w:rsidR="008153DB">
        <w:rPr>
          <w:rFonts w:ascii="Times New Roman" w:hAnsi="Times New Roman"/>
        </w:rPr>
        <w:t xml:space="preserve"> </w:t>
      </w:r>
      <w:r w:rsidRPr="00AC323E" w:rsidR="008616F5">
        <w:rPr>
          <w:rFonts w:ascii="Times New Roman" w:hAnsi="Times New Roman"/>
        </w:rPr>
        <w:t>8.</w:t>
      </w:r>
      <w:r w:rsidR="008153DB">
        <w:rPr>
          <w:rFonts w:ascii="Times New Roman" w:hAnsi="Times New Roman"/>
        </w:rPr>
        <w:t xml:space="preserve"> </w:t>
      </w:r>
      <w:r w:rsidRPr="00AC323E" w:rsidR="008616F5">
        <w:rPr>
          <w:rFonts w:ascii="Times New Roman" w:hAnsi="Times New Roman"/>
        </w:rPr>
        <w:t>201</w:t>
      </w:r>
      <w:r w:rsidRPr="00AC323E" w:rsidR="00AC323E">
        <w:rPr>
          <w:rFonts w:ascii="Times New Roman" w:hAnsi="Times New Roman"/>
        </w:rPr>
        <w:t>1</w:t>
      </w:r>
      <w:r w:rsidR="00E10887">
        <w:rPr>
          <w:rFonts w:ascii="Times New Roman" w:hAnsi="Times New Roman"/>
        </w:rPr>
        <w:t>.</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0374F2"/>
    <w:rsid w:val="000374F2"/>
    <w:rsid w:val="001753BF"/>
    <w:rsid w:val="00507657"/>
    <w:rsid w:val="005A6320"/>
    <w:rsid w:val="008153DB"/>
    <w:rsid w:val="008616F5"/>
    <w:rsid w:val="00A21A33"/>
    <w:rsid w:val="00A67A97"/>
    <w:rsid w:val="00AC323E"/>
    <w:rsid w:val="00AF3033"/>
    <w:rsid w:val="00E10887"/>
    <w:rsid w:val="00F4433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4F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alloonText">
    <w:name w:val="Balloon Text"/>
    <w:basedOn w:val="Normal"/>
    <w:link w:val="BalloonTextChar"/>
    <w:rsid w:val="008153DB"/>
    <w:pPr>
      <w:jc w:val="left"/>
    </w:pPr>
    <w:rPr>
      <w:rFonts w:ascii="Tahoma" w:hAnsi="Tahoma" w:cs="Tahoma"/>
      <w:sz w:val="16"/>
      <w:szCs w:val="16"/>
    </w:rPr>
  </w:style>
  <w:style w:type="character" w:customStyle="1" w:styleId="BalloonTextChar">
    <w:name w:val="Balloon Text Char"/>
    <w:link w:val="BalloonText"/>
    <w:locked/>
    <w:rsid w:val="008153DB"/>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456</Words>
  <Characters>2601</Characters>
  <Application>Microsoft Office Word</Application>
  <DocSecurity>0</DocSecurity>
  <Lines>0</Lines>
  <Paragraphs>0</Paragraphs>
  <ScaleCrop>false</ScaleCrop>
  <Company>USZZ</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creator>igor.kovac</dc:creator>
  <cp:lastModifiedBy>Gašparíková, Jarmila</cp:lastModifiedBy>
  <cp:revision>2</cp:revision>
  <cp:lastPrinted>2011-08-26T15:22:00Z</cp:lastPrinted>
  <dcterms:created xsi:type="dcterms:W3CDTF">2011-08-31T14:48:00Z</dcterms:created>
  <dcterms:modified xsi:type="dcterms:W3CDTF">2011-08-31T14:48:00Z</dcterms:modified>
</cp:coreProperties>
</file>