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22617" w:rsidP="008B0A69">
      <w:pPr>
        <w:bidi w:val="0"/>
        <w:ind w:right="-108"/>
        <w:jc w:val="center"/>
        <w:rPr>
          <w:rFonts w:ascii="Times New Roman" w:hAnsi="Times New Roman"/>
          <w:b/>
          <w:bCs/>
          <w:sz w:val="28"/>
          <w:szCs w:val="28"/>
        </w:rPr>
      </w:pPr>
    </w:p>
    <w:p w:rsidR="00A22617" w:rsidP="008B0A69">
      <w:pPr>
        <w:bidi w:val="0"/>
        <w:ind w:right="-108"/>
        <w:jc w:val="center"/>
        <w:rPr>
          <w:rFonts w:ascii="Times New Roman" w:hAnsi="Times New Roman"/>
          <w:b/>
          <w:bCs/>
          <w:sz w:val="28"/>
          <w:szCs w:val="28"/>
        </w:rPr>
      </w:pPr>
    </w:p>
    <w:p w:rsidR="00A22617" w:rsidP="008B0A69">
      <w:pPr>
        <w:bidi w:val="0"/>
        <w:ind w:right="-108"/>
        <w:jc w:val="center"/>
        <w:rPr>
          <w:rFonts w:ascii="Times New Roman" w:hAnsi="Times New Roman"/>
          <w:b/>
          <w:bCs/>
          <w:sz w:val="28"/>
          <w:szCs w:val="28"/>
        </w:rPr>
      </w:pPr>
    </w:p>
    <w:p w:rsidR="00A22617" w:rsidP="008B0A69">
      <w:pPr>
        <w:bidi w:val="0"/>
        <w:ind w:right="-108"/>
        <w:jc w:val="center"/>
        <w:rPr>
          <w:rFonts w:ascii="Times New Roman" w:hAnsi="Times New Roman"/>
          <w:b/>
          <w:bCs/>
          <w:sz w:val="28"/>
          <w:szCs w:val="28"/>
        </w:rPr>
      </w:pPr>
    </w:p>
    <w:p w:rsidR="00A22617" w:rsidP="008B0A69">
      <w:pPr>
        <w:bidi w:val="0"/>
        <w:ind w:right="-108"/>
        <w:jc w:val="center"/>
        <w:rPr>
          <w:rFonts w:ascii="Times New Roman" w:hAnsi="Times New Roman"/>
          <w:b/>
          <w:bCs/>
          <w:sz w:val="28"/>
          <w:szCs w:val="28"/>
        </w:rPr>
      </w:pPr>
    </w:p>
    <w:p w:rsidR="00A22617" w:rsidP="008B0A69">
      <w:pPr>
        <w:bidi w:val="0"/>
        <w:ind w:right="-108"/>
        <w:jc w:val="center"/>
        <w:rPr>
          <w:rFonts w:ascii="Times New Roman" w:hAnsi="Times New Roman"/>
          <w:b/>
          <w:bCs/>
          <w:sz w:val="28"/>
          <w:szCs w:val="28"/>
        </w:rPr>
      </w:pPr>
    </w:p>
    <w:p w:rsidR="00A22617" w:rsidP="008B0A69">
      <w:pPr>
        <w:bidi w:val="0"/>
        <w:ind w:right="-108"/>
        <w:jc w:val="center"/>
        <w:rPr>
          <w:rFonts w:ascii="Times New Roman" w:hAnsi="Times New Roman"/>
          <w:b/>
          <w:bCs/>
          <w:sz w:val="28"/>
          <w:szCs w:val="28"/>
        </w:rPr>
      </w:pPr>
    </w:p>
    <w:p w:rsidR="00A22617" w:rsidP="008B0A69">
      <w:pPr>
        <w:bidi w:val="0"/>
        <w:ind w:right="-108"/>
        <w:jc w:val="center"/>
        <w:rPr>
          <w:rFonts w:ascii="Times New Roman" w:hAnsi="Times New Roman"/>
          <w:b/>
          <w:bCs/>
          <w:sz w:val="28"/>
          <w:szCs w:val="28"/>
        </w:rPr>
      </w:pPr>
    </w:p>
    <w:p w:rsidR="00A22617" w:rsidP="008B0A69">
      <w:pPr>
        <w:bidi w:val="0"/>
        <w:ind w:right="-108"/>
        <w:jc w:val="center"/>
        <w:rPr>
          <w:rFonts w:ascii="Times New Roman" w:hAnsi="Times New Roman"/>
          <w:b/>
          <w:bCs/>
          <w:sz w:val="28"/>
          <w:szCs w:val="28"/>
        </w:rPr>
      </w:pPr>
    </w:p>
    <w:p w:rsidR="00A22617" w:rsidP="008B0A69">
      <w:pPr>
        <w:bidi w:val="0"/>
        <w:ind w:right="-108"/>
        <w:jc w:val="center"/>
        <w:rPr>
          <w:rFonts w:ascii="Times New Roman" w:hAnsi="Times New Roman"/>
          <w:b/>
          <w:bCs/>
          <w:sz w:val="28"/>
          <w:szCs w:val="28"/>
        </w:rPr>
      </w:pPr>
    </w:p>
    <w:p w:rsidR="00A22617" w:rsidP="008B0A69">
      <w:pPr>
        <w:bidi w:val="0"/>
        <w:ind w:right="-108"/>
        <w:jc w:val="center"/>
        <w:rPr>
          <w:rFonts w:ascii="Times New Roman" w:hAnsi="Times New Roman"/>
          <w:b/>
          <w:bCs/>
          <w:sz w:val="28"/>
          <w:szCs w:val="28"/>
        </w:rPr>
      </w:pPr>
    </w:p>
    <w:p w:rsidR="00A22617" w:rsidP="008B0A69">
      <w:pPr>
        <w:bidi w:val="0"/>
        <w:ind w:right="-108"/>
        <w:jc w:val="center"/>
        <w:rPr>
          <w:rFonts w:ascii="Times New Roman" w:hAnsi="Times New Roman"/>
          <w:b/>
          <w:bCs/>
          <w:sz w:val="28"/>
          <w:szCs w:val="28"/>
        </w:rPr>
      </w:pPr>
    </w:p>
    <w:p w:rsidR="00A22617" w:rsidP="008B0A69">
      <w:pPr>
        <w:bidi w:val="0"/>
        <w:ind w:right="-108"/>
        <w:jc w:val="center"/>
        <w:rPr>
          <w:rFonts w:ascii="Times New Roman" w:hAnsi="Times New Roman"/>
          <w:b/>
          <w:bCs/>
          <w:sz w:val="28"/>
          <w:szCs w:val="28"/>
        </w:rPr>
      </w:pPr>
    </w:p>
    <w:p w:rsidR="00A22617" w:rsidP="008B0A69">
      <w:pPr>
        <w:bidi w:val="0"/>
        <w:ind w:right="-108"/>
        <w:jc w:val="center"/>
        <w:rPr>
          <w:rFonts w:ascii="Times New Roman" w:hAnsi="Times New Roman"/>
          <w:b/>
          <w:bCs/>
          <w:sz w:val="28"/>
          <w:szCs w:val="28"/>
        </w:rPr>
      </w:pPr>
    </w:p>
    <w:p w:rsidR="00A22617" w:rsidP="008B0A69">
      <w:pPr>
        <w:bidi w:val="0"/>
        <w:ind w:right="-108"/>
        <w:jc w:val="center"/>
        <w:rPr>
          <w:rFonts w:ascii="Times New Roman" w:hAnsi="Times New Roman"/>
          <w:b/>
          <w:bCs/>
          <w:sz w:val="28"/>
          <w:szCs w:val="28"/>
        </w:rPr>
      </w:pPr>
    </w:p>
    <w:p w:rsidR="00A22617" w:rsidP="008B0A69">
      <w:pPr>
        <w:bidi w:val="0"/>
        <w:ind w:right="-108"/>
        <w:jc w:val="center"/>
        <w:rPr>
          <w:rFonts w:ascii="Times New Roman" w:hAnsi="Times New Roman"/>
          <w:b/>
          <w:bCs/>
          <w:sz w:val="28"/>
          <w:szCs w:val="28"/>
        </w:rPr>
      </w:pPr>
    </w:p>
    <w:p w:rsidR="00A22617" w:rsidP="008B0A69">
      <w:pPr>
        <w:bidi w:val="0"/>
        <w:ind w:right="-108"/>
        <w:jc w:val="center"/>
        <w:rPr>
          <w:rFonts w:ascii="Times New Roman" w:hAnsi="Times New Roman"/>
          <w:b/>
          <w:bCs/>
          <w:sz w:val="28"/>
          <w:szCs w:val="28"/>
        </w:rPr>
      </w:pPr>
    </w:p>
    <w:p w:rsidR="00A22617" w:rsidP="008B0A69">
      <w:pPr>
        <w:bidi w:val="0"/>
        <w:ind w:right="-108"/>
        <w:jc w:val="center"/>
        <w:rPr>
          <w:rFonts w:ascii="Times New Roman" w:hAnsi="Times New Roman"/>
          <w:b/>
          <w:bCs/>
          <w:sz w:val="28"/>
          <w:szCs w:val="28"/>
        </w:rPr>
      </w:pPr>
    </w:p>
    <w:p w:rsidR="00A22617" w:rsidRPr="00D868D9" w:rsidP="008B0A69">
      <w:pPr>
        <w:bidi w:val="0"/>
        <w:ind w:right="-108"/>
        <w:jc w:val="center"/>
        <w:rPr>
          <w:rFonts w:ascii="Times New Roman" w:hAnsi="Times New Roman"/>
          <w:b/>
          <w:bCs/>
          <w:sz w:val="40"/>
          <w:szCs w:val="40"/>
        </w:rPr>
      </w:pPr>
    </w:p>
    <w:p w:rsidR="00A22617" w:rsidRPr="00D868D9" w:rsidP="008B0A69">
      <w:pPr>
        <w:bidi w:val="0"/>
        <w:ind w:right="-108"/>
        <w:jc w:val="center"/>
        <w:rPr>
          <w:rFonts w:ascii="Times New Roman" w:hAnsi="Times New Roman"/>
          <w:b/>
          <w:bCs/>
          <w:sz w:val="40"/>
          <w:szCs w:val="40"/>
        </w:rPr>
      </w:pPr>
      <w:r w:rsidRPr="00D868D9">
        <w:rPr>
          <w:rFonts w:ascii="Times New Roman" w:hAnsi="Times New Roman"/>
          <w:b/>
          <w:bCs/>
          <w:sz w:val="40"/>
          <w:szCs w:val="40"/>
        </w:rPr>
        <w:t>Doložka vybraných vplyvov</w:t>
      </w:r>
    </w:p>
    <w:p w:rsidR="00A22617" w:rsidP="008B0A69">
      <w:pPr>
        <w:bidi w:val="0"/>
        <w:ind w:right="-108"/>
        <w:jc w:val="center"/>
        <w:rPr>
          <w:rFonts w:ascii="Times New Roman" w:hAnsi="Times New Roman"/>
          <w:b/>
          <w:bCs/>
          <w:sz w:val="28"/>
          <w:szCs w:val="28"/>
        </w:rPr>
      </w:pPr>
    </w:p>
    <w:p w:rsidR="00A22617" w:rsidP="008B0A69">
      <w:pPr>
        <w:bidi w:val="0"/>
        <w:ind w:right="-108"/>
        <w:jc w:val="center"/>
        <w:rPr>
          <w:rFonts w:ascii="Times New Roman" w:hAnsi="Times New Roman"/>
          <w:b/>
          <w:bCs/>
          <w:sz w:val="28"/>
          <w:szCs w:val="28"/>
        </w:rPr>
      </w:pPr>
    </w:p>
    <w:p w:rsidR="00A22617" w:rsidRPr="00E54C87" w:rsidP="002A0379">
      <w:pPr>
        <w:tabs>
          <w:tab w:val="left" w:pos="2552"/>
        </w:tabs>
        <w:bidi w:val="0"/>
        <w:ind w:left="2552" w:hanging="2552"/>
        <w:jc w:val="both"/>
        <w:rPr>
          <w:rFonts w:ascii="Times New Roman" w:hAnsi="Times New Roman" w:cs="Arial"/>
          <w:szCs w:val="22"/>
        </w:rPr>
      </w:pPr>
      <w:r>
        <w:rPr>
          <w:rFonts w:ascii="Times New Roman" w:hAnsi="Times New Roman"/>
          <w:b/>
          <w:bCs/>
        </w:rPr>
        <w:br w:type="page"/>
        <w:t xml:space="preserve">A.1. Názov materiálu:   </w:t>
        <w:tab/>
      </w:r>
      <w:r w:rsidRPr="005C6FFD">
        <w:rPr>
          <w:rFonts w:ascii="Times New Roman" w:hAnsi="Times New Roman"/>
          <w:bCs/>
        </w:rPr>
        <w:t>Návrh zákona o úprave príjmu zo závislej činnosti a o zmene a doplnení niektorých zákonov</w:t>
      </w:r>
    </w:p>
    <w:p w:rsidR="00A22617" w:rsidP="008B0A69">
      <w:pPr>
        <w:bidi w:val="0"/>
        <w:rPr>
          <w:rFonts w:ascii="Times New Roman" w:hAnsi="Times New Roman"/>
          <w:b/>
          <w:bCs/>
        </w:rPr>
      </w:pPr>
    </w:p>
    <w:p w:rsidR="00A22617" w:rsidP="008B0A69">
      <w:pPr>
        <w:bidi w:val="0"/>
        <w:rPr>
          <w:rFonts w:ascii="Times New Roman" w:hAnsi="Times New Roman"/>
          <w:b/>
          <w:bCs/>
        </w:rPr>
      </w:pPr>
    </w:p>
    <w:p w:rsidR="00A22617" w:rsidP="008B0A69">
      <w:pPr>
        <w:bidi w:val="0"/>
        <w:rPr>
          <w:rFonts w:ascii="Times New Roman" w:hAnsi="Times New Roman"/>
          <w:b/>
          <w:bCs/>
        </w:rPr>
      </w:pPr>
      <w:r w:rsidR="00915A26">
        <w:rPr>
          <w:rFonts w:ascii="Times New Roman" w:hAnsi="Times New Roman"/>
          <w:b/>
          <w:bCs/>
        </w:rPr>
        <w:t>Termín začatia a ukončenia P</w:t>
      </w:r>
      <w:r w:rsidRPr="00E03BC8">
        <w:rPr>
          <w:rFonts w:ascii="Times New Roman" w:hAnsi="Times New Roman"/>
          <w:b/>
          <w:bCs/>
        </w:rPr>
        <w:t>PK:</w:t>
      </w:r>
      <w:r w:rsidRPr="00E03BC8">
        <w:rPr>
          <w:rFonts w:ascii="Times New Roman" w:hAnsi="Times New Roman"/>
          <w:bCs/>
        </w:rPr>
        <w:t xml:space="preserve">  </w:t>
      </w:r>
      <w:r w:rsidR="00915A26">
        <w:rPr>
          <w:rFonts w:ascii="Times New Roman" w:hAnsi="Times New Roman"/>
          <w:bCs/>
        </w:rPr>
        <w:t>17</w:t>
      </w:r>
      <w:r w:rsidRPr="000935BB">
        <w:rPr>
          <w:rFonts w:ascii="Times New Roman" w:hAnsi="Times New Roman"/>
          <w:bCs/>
        </w:rPr>
        <w:t>. 6. 2011 – 2</w:t>
      </w:r>
      <w:r w:rsidR="00915A26">
        <w:rPr>
          <w:rFonts w:ascii="Times New Roman" w:hAnsi="Times New Roman"/>
          <w:bCs/>
        </w:rPr>
        <w:t>3</w:t>
      </w:r>
      <w:r w:rsidRPr="000935BB">
        <w:rPr>
          <w:rFonts w:ascii="Times New Roman" w:hAnsi="Times New Roman"/>
          <w:bCs/>
        </w:rPr>
        <w:t xml:space="preserve">. </w:t>
      </w:r>
      <w:r w:rsidR="00915A26">
        <w:rPr>
          <w:rFonts w:ascii="Times New Roman" w:hAnsi="Times New Roman"/>
          <w:bCs/>
        </w:rPr>
        <w:t>6</w:t>
      </w:r>
      <w:r w:rsidRPr="000935BB">
        <w:rPr>
          <w:rFonts w:ascii="Times New Roman" w:hAnsi="Times New Roman"/>
          <w:bCs/>
        </w:rPr>
        <w:t>. 2011</w:t>
      </w:r>
      <w:bookmarkStart w:id="0" w:name="_GoBack"/>
      <w:bookmarkEnd w:id="0"/>
    </w:p>
    <w:p w:rsidR="00A22617" w:rsidP="008B0A69">
      <w:pPr>
        <w:bidi w:val="0"/>
        <w:rPr>
          <w:rFonts w:ascii="Times New Roman" w:hAnsi="Times New Roman"/>
          <w:b/>
          <w:bCs/>
        </w:rPr>
      </w:pPr>
    </w:p>
    <w:p w:rsidR="00A22617" w:rsidP="008B0A69">
      <w:pPr>
        <w:bidi w:val="0"/>
        <w:rPr>
          <w:rFonts w:ascii="Times New Roman" w:hAnsi="Times New Roman"/>
          <w:b/>
          <w:bCs/>
        </w:rPr>
      </w:pPr>
    </w:p>
    <w:p w:rsidR="00A22617" w:rsidP="008B0A69">
      <w:pPr>
        <w:bidi w:val="0"/>
        <w:rPr>
          <w:rFonts w:ascii="Times New Roman" w:hAnsi="Times New Roman"/>
          <w:b/>
          <w:bCs/>
        </w:rPr>
      </w:pPr>
      <w:r>
        <w:rPr>
          <w:rFonts w:ascii="Times New Roman" w:hAnsi="Times New Roman"/>
          <w:b/>
          <w:bCs/>
        </w:rPr>
        <w:t>A.2. Vplyvy:</w:t>
      </w:r>
    </w:p>
    <w:p w:rsidR="00A22617" w:rsidP="008B0A69">
      <w:pPr>
        <w:bidi w:val="0"/>
        <w:rPr>
          <w:rFonts w:ascii="Times New Roman" w:hAnsi="Times New Roman"/>
        </w:rPr>
      </w:pPr>
    </w:p>
    <w:tbl>
      <w:tblPr>
        <w:tblStyle w:val="TableNormal"/>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5387"/>
        <w:gridCol w:w="1370"/>
        <w:gridCol w:w="1370"/>
        <w:gridCol w:w="1371"/>
      </w:tblGrid>
      <w:tr>
        <w:tblPrEx>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rPr>
          <w:trHeight w:val="434"/>
        </w:trPr>
        <w:tc>
          <w:tcPr>
            <w:tcW w:w="5387" w:type="dxa"/>
            <w:tcBorders>
              <w:top w:val="single" w:sz="4" w:space="0" w:color="auto"/>
              <w:left w:val="single" w:sz="4" w:space="0" w:color="auto"/>
              <w:bottom w:val="single" w:sz="4" w:space="0" w:color="auto"/>
              <w:right w:val="single" w:sz="4" w:space="0" w:color="auto"/>
            </w:tcBorders>
            <w:textDirection w:val="lrTb"/>
            <w:vAlign w:val="top"/>
          </w:tcPr>
          <w:p w:rsidR="00A22617" w:rsidP="00311B81">
            <w:pPr>
              <w:bidi w:val="0"/>
              <w:rPr>
                <w:rFonts w:ascii="Times New Roman" w:hAnsi="Times New Roman"/>
              </w:rPr>
            </w:pPr>
          </w:p>
        </w:tc>
        <w:tc>
          <w:tcPr>
            <w:tcW w:w="1370" w:type="dxa"/>
            <w:tcBorders>
              <w:top w:val="single" w:sz="4" w:space="0" w:color="auto"/>
              <w:left w:val="single" w:sz="4" w:space="0" w:color="auto"/>
              <w:bottom w:val="single" w:sz="4" w:space="0" w:color="auto"/>
              <w:right w:val="single" w:sz="4" w:space="0" w:color="auto"/>
            </w:tcBorders>
            <w:textDirection w:val="lrTb"/>
            <w:vAlign w:val="center"/>
          </w:tcPr>
          <w:p w:rsidR="00A22617" w:rsidP="00311B81">
            <w:pPr>
              <w:bidi w:val="0"/>
              <w:jc w:val="center"/>
              <w:rPr>
                <w:rFonts w:ascii="Times New Roman" w:hAnsi="Times New Roman"/>
              </w:rPr>
            </w:pPr>
            <w:r>
              <w:rPr>
                <w:rFonts w:ascii="Times New Roman" w:hAnsi="Times New Roman"/>
              </w:rPr>
              <w:t>Pozitívne</w:t>
            </w:r>
            <w:r>
              <w:rPr>
                <w:rFonts w:ascii="Times New Roman" w:hAnsi="Times New Roman"/>
                <w:vertAlign w:val="superscript"/>
              </w:rPr>
              <w:t>*</w:t>
            </w:r>
            <w:r>
              <w:rPr>
                <w:rFonts w:ascii="Times New Roman" w:hAnsi="Times New Roman"/>
              </w:rPr>
              <w:t xml:space="preserve"> </w:t>
            </w:r>
          </w:p>
        </w:tc>
        <w:tc>
          <w:tcPr>
            <w:tcW w:w="1370" w:type="dxa"/>
            <w:tcBorders>
              <w:top w:val="single" w:sz="4" w:space="0" w:color="auto"/>
              <w:left w:val="single" w:sz="4" w:space="0" w:color="auto"/>
              <w:bottom w:val="single" w:sz="4" w:space="0" w:color="auto"/>
              <w:right w:val="single" w:sz="4" w:space="0" w:color="auto"/>
            </w:tcBorders>
            <w:textDirection w:val="lrTb"/>
            <w:vAlign w:val="center"/>
          </w:tcPr>
          <w:p w:rsidR="00A22617" w:rsidP="00311B81">
            <w:pPr>
              <w:bidi w:val="0"/>
              <w:jc w:val="center"/>
              <w:rPr>
                <w:rFonts w:ascii="Times New Roman" w:hAnsi="Times New Roman"/>
              </w:rPr>
            </w:pPr>
            <w:r>
              <w:rPr>
                <w:rFonts w:ascii="Times New Roman" w:hAnsi="Times New Roman"/>
              </w:rPr>
              <w:t>Žiadne</w:t>
            </w:r>
            <w:r>
              <w:rPr>
                <w:rFonts w:ascii="Times New Roman" w:hAnsi="Times New Roman"/>
                <w:vertAlign w:val="superscript"/>
              </w:rPr>
              <w:t>*</w:t>
            </w:r>
          </w:p>
        </w:tc>
        <w:tc>
          <w:tcPr>
            <w:tcW w:w="1371" w:type="dxa"/>
            <w:tcBorders>
              <w:top w:val="single" w:sz="4" w:space="0" w:color="auto"/>
              <w:left w:val="single" w:sz="4" w:space="0" w:color="auto"/>
              <w:bottom w:val="single" w:sz="4" w:space="0" w:color="auto"/>
              <w:right w:val="single" w:sz="4" w:space="0" w:color="auto"/>
            </w:tcBorders>
            <w:textDirection w:val="lrTb"/>
            <w:vAlign w:val="center"/>
          </w:tcPr>
          <w:p w:rsidR="00A22617" w:rsidP="00311B81">
            <w:pPr>
              <w:bidi w:val="0"/>
              <w:jc w:val="center"/>
              <w:rPr>
                <w:rFonts w:ascii="Times New Roman" w:hAnsi="Times New Roman"/>
              </w:rPr>
            </w:pPr>
            <w:r>
              <w:rPr>
                <w:rFonts w:ascii="Times New Roman" w:hAnsi="Times New Roman"/>
              </w:rPr>
              <w:t>Negatívne</w:t>
            </w:r>
            <w:r>
              <w:rPr>
                <w:rFonts w:ascii="Times New Roman" w:hAnsi="Times New Roman"/>
                <w:vertAlign w:val="superscript"/>
              </w:rPr>
              <w:t>*</w:t>
            </w:r>
          </w:p>
        </w:tc>
      </w:tr>
      <w:tr>
        <w:tblPrEx>
          <w:tblW w:w="9498" w:type="dxa"/>
          <w:tblInd w:w="108" w:type="dxa"/>
          <w:tblCellMar>
            <w:top w:w="57" w:type="dxa"/>
            <w:bottom w:w="57" w:type="dxa"/>
          </w:tblCellMar>
          <w:tblLook w:val="01E0"/>
        </w:tblPrEx>
        <w:tc>
          <w:tcPr>
            <w:tcW w:w="5387" w:type="dxa"/>
            <w:tcBorders>
              <w:top w:val="single" w:sz="4" w:space="0" w:color="auto"/>
              <w:left w:val="single" w:sz="4" w:space="0" w:color="auto"/>
              <w:bottom w:val="single" w:sz="4" w:space="0" w:color="auto"/>
              <w:right w:val="single" w:sz="4" w:space="0" w:color="auto"/>
            </w:tcBorders>
            <w:textDirection w:val="lrTb"/>
            <w:vAlign w:val="center"/>
          </w:tcPr>
          <w:p w:rsidR="00A22617" w:rsidRPr="00791AE0" w:rsidP="00791AE0">
            <w:pPr>
              <w:tabs>
                <w:tab w:val="left" w:pos="318"/>
              </w:tabs>
              <w:bidi w:val="0"/>
              <w:spacing w:before="60" w:after="60"/>
              <w:ind w:left="318" w:hanging="284"/>
              <w:rPr>
                <w:rFonts w:ascii="Times New Roman" w:hAnsi="Times New Roman"/>
                <w:bCs/>
              </w:rPr>
            </w:pPr>
            <w:r w:rsidRPr="00791AE0">
              <w:rPr>
                <w:rFonts w:ascii="Times New Roman" w:hAnsi="Times New Roman"/>
                <w:bCs/>
                <w:sz w:val="22"/>
                <w:szCs w:val="22"/>
              </w:rPr>
              <w:t xml:space="preserve">1. </w:t>
              <w:tab/>
              <w:t>Vplyvy na rozpočet verejnej správy</w:t>
            </w:r>
          </w:p>
        </w:tc>
        <w:tc>
          <w:tcPr>
            <w:tcW w:w="1370" w:type="dxa"/>
            <w:tcBorders>
              <w:top w:val="single" w:sz="4" w:space="0" w:color="auto"/>
              <w:left w:val="single" w:sz="4" w:space="0" w:color="auto"/>
              <w:bottom w:val="single" w:sz="4" w:space="0" w:color="auto"/>
              <w:right w:val="single" w:sz="4" w:space="0" w:color="auto"/>
            </w:tcBorders>
            <w:textDirection w:val="lrTb"/>
            <w:vAlign w:val="center"/>
          </w:tcPr>
          <w:p w:rsidR="00A22617" w:rsidRPr="00670A09" w:rsidP="00791AE0">
            <w:pPr>
              <w:bidi w:val="0"/>
              <w:jc w:val="center"/>
              <w:rPr>
                <w:rFonts w:ascii="Times New Roman" w:hAnsi="Times New Roman"/>
              </w:rPr>
            </w:pPr>
            <w:r>
              <w:rPr>
                <w:rFonts w:ascii="Times New Roman" w:hAnsi="Times New Roman"/>
              </w:rPr>
              <w:t>X</w:t>
            </w:r>
          </w:p>
        </w:tc>
        <w:tc>
          <w:tcPr>
            <w:tcW w:w="1370" w:type="dxa"/>
            <w:tcBorders>
              <w:top w:val="single" w:sz="4" w:space="0" w:color="auto"/>
              <w:left w:val="single" w:sz="4" w:space="0" w:color="auto"/>
              <w:bottom w:val="single" w:sz="4" w:space="0" w:color="auto"/>
              <w:right w:val="single" w:sz="4" w:space="0" w:color="auto"/>
            </w:tcBorders>
            <w:textDirection w:val="lrTb"/>
            <w:vAlign w:val="center"/>
          </w:tcPr>
          <w:p w:rsidR="00A22617" w:rsidRPr="00670A09" w:rsidP="00791AE0">
            <w:pPr>
              <w:bidi w:val="0"/>
              <w:jc w:val="center"/>
              <w:rPr>
                <w:rFonts w:ascii="Times New Roman" w:hAnsi="Times New Roman"/>
              </w:rPr>
            </w:pPr>
          </w:p>
        </w:tc>
        <w:tc>
          <w:tcPr>
            <w:tcW w:w="1371" w:type="dxa"/>
            <w:tcBorders>
              <w:top w:val="single" w:sz="4" w:space="0" w:color="auto"/>
              <w:left w:val="single" w:sz="4" w:space="0" w:color="auto"/>
              <w:bottom w:val="single" w:sz="4" w:space="0" w:color="auto"/>
              <w:right w:val="single" w:sz="4" w:space="0" w:color="auto"/>
            </w:tcBorders>
            <w:textDirection w:val="lrTb"/>
            <w:vAlign w:val="center"/>
          </w:tcPr>
          <w:p w:rsidR="00A22617" w:rsidRPr="00670A09" w:rsidP="00791AE0">
            <w:pPr>
              <w:bidi w:val="0"/>
              <w:jc w:val="center"/>
              <w:rPr>
                <w:rFonts w:ascii="Times New Roman" w:hAnsi="Times New Roman"/>
              </w:rPr>
            </w:pPr>
            <w:r w:rsidRPr="00670A09">
              <w:rPr>
                <w:rFonts w:ascii="Times New Roman" w:hAnsi="Times New Roman"/>
              </w:rPr>
              <w:t>X</w:t>
            </w:r>
          </w:p>
        </w:tc>
      </w:tr>
      <w:tr>
        <w:tblPrEx>
          <w:tblW w:w="9498" w:type="dxa"/>
          <w:tblInd w:w="108" w:type="dxa"/>
          <w:tblCellMar>
            <w:top w:w="57" w:type="dxa"/>
            <w:bottom w:w="57" w:type="dxa"/>
          </w:tblCellMar>
          <w:tblLook w:val="01E0"/>
        </w:tblPrEx>
        <w:tc>
          <w:tcPr>
            <w:tcW w:w="5387" w:type="dxa"/>
            <w:tcBorders>
              <w:top w:val="single" w:sz="4" w:space="0" w:color="auto"/>
              <w:left w:val="single" w:sz="4" w:space="0" w:color="auto"/>
              <w:bottom w:val="single" w:sz="4" w:space="0" w:color="auto"/>
              <w:right w:val="single" w:sz="4" w:space="0" w:color="auto"/>
            </w:tcBorders>
            <w:textDirection w:val="lrTb"/>
            <w:vAlign w:val="center"/>
          </w:tcPr>
          <w:p w:rsidR="00A22617" w:rsidRPr="00791AE0" w:rsidP="00791AE0">
            <w:pPr>
              <w:tabs>
                <w:tab w:val="left" w:pos="318"/>
              </w:tabs>
              <w:bidi w:val="0"/>
              <w:spacing w:before="60" w:after="60"/>
              <w:ind w:left="318" w:hanging="284"/>
              <w:rPr>
                <w:rFonts w:ascii="Times New Roman" w:hAnsi="Times New Roman"/>
              </w:rPr>
            </w:pPr>
            <w:r w:rsidRPr="00791AE0">
              <w:rPr>
                <w:rFonts w:ascii="Times New Roman" w:hAnsi="Times New Roman"/>
                <w:bCs/>
                <w:sz w:val="22"/>
                <w:szCs w:val="22"/>
              </w:rPr>
              <w:t xml:space="preserve">2. </w:t>
              <w:tab/>
              <w:t>Vplyvy na podnikateľské prostredie – dochádza k zvýšeniu regulačného zaťaženia?</w:t>
            </w:r>
          </w:p>
        </w:tc>
        <w:tc>
          <w:tcPr>
            <w:tcW w:w="1370" w:type="dxa"/>
            <w:tcBorders>
              <w:top w:val="single" w:sz="4" w:space="0" w:color="auto"/>
              <w:left w:val="single" w:sz="4" w:space="0" w:color="auto"/>
              <w:bottom w:val="single" w:sz="4" w:space="0" w:color="auto"/>
              <w:right w:val="single" w:sz="4" w:space="0" w:color="auto"/>
            </w:tcBorders>
            <w:textDirection w:val="lrTb"/>
            <w:vAlign w:val="center"/>
          </w:tcPr>
          <w:p w:rsidR="00A22617" w:rsidRPr="00670A09" w:rsidP="00791AE0">
            <w:pPr>
              <w:bidi w:val="0"/>
              <w:jc w:val="center"/>
              <w:rPr>
                <w:rFonts w:ascii="Times New Roman" w:hAnsi="Times New Roman"/>
              </w:rPr>
            </w:pPr>
            <w:r w:rsidRPr="00670A09">
              <w:rPr>
                <w:rFonts w:ascii="Times New Roman" w:hAnsi="Times New Roman"/>
              </w:rPr>
              <w:t>X</w:t>
            </w:r>
          </w:p>
        </w:tc>
        <w:tc>
          <w:tcPr>
            <w:tcW w:w="1370" w:type="dxa"/>
            <w:tcBorders>
              <w:top w:val="single" w:sz="4" w:space="0" w:color="auto"/>
              <w:left w:val="single" w:sz="4" w:space="0" w:color="auto"/>
              <w:bottom w:val="single" w:sz="4" w:space="0" w:color="auto"/>
              <w:right w:val="single" w:sz="4" w:space="0" w:color="auto"/>
            </w:tcBorders>
            <w:textDirection w:val="lrTb"/>
            <w:vAlign w:val="center"/>
          </w:tcPr>
          <w:p w:rsidR="00A22617" w:rsidRPr="00670A09" w:rsidP="00791AE0">
            <w:pPr>
              <w:bidi w:val="0"/>
              <w:jc w:val="center"/>
              <w:rPr>
                <w:rFonts w:ascii="Times New Roman" w:hAnsi="Times New Roman"/>
              </w:rPr>
            </w:pPr>
          </w:p>
        </w:tc>
        <w:tc>
          <w:tcPr>
            <w:tcW w:w="1371" w:type="dxa"/>
            <w:tcBorders>
              <w:top w:val="single" w:sz="4" w:space="0" w:color="auto"/>
              <w:left w:val="single" w:sz="4" w:space="0" w:color="auto"/>
              <w:bottom w:val="single" w:sz="4" w:space="0" w:color="auto"/>
              <w:right w:val="single" w:sz="4" w:space="0" w:color="auto"/>
            </w:tcBorders>
            <w:textDirection w:val="lrTb"/>
            <w:vAlign w:val="center"/>
          </w:tcPr>
          <w:p w:rsidR="00A22617" w:rsidRPr="00670A09" w:rsidP="00791AE0">
            <w:pPr>
              <w:bidi w:val="0"/>
              <w:jc w:val="center"/>
              <w:rPr>
                <w:rFonts w:ascii="Times New Roman" w:hAnsi="Times New Roman"/>
              </w:rPr>
            </w:pPr>
            <w:r w:rsidRPr="00670A09">
              <w:rPr>
                <w:rFonts w:ascii="Times New Roman" w:hAnsi="Times New Roman"/>
              </w:rPr>
              <w:t>X</w:t>
            </w:r>
          </w:p>
        </w:tc>
      </w:tr>
      <w:tr>
        <w:tblPrEx>
          <w:tblW w:w="9498" w:type="dxa"/>
          <w:tblInd w:w="108" w:type="dxa"/>
          <w:tblCellMar>
            <w:top w:w="57" w:type="dxa"/>
            <w:bottom w:w="57" w:type="dxa"/>
          </w:tblCellMar>
          <w:tblLook w:val="01E0"/>
        </w:tblPrEx>
        <w:tc>
          <w:tcPr>
            <w:tcW w:w="5387" w:type="dxa"/>
            <w:tcBorders>
              <w:top w:val="single" w:sz="4" w:space="0" w:color="auto"/>
              <w:left w:val="single" w:sz="4" w:space="0" w:color="auto"/>
              <w:bottom w:val="single" w:sz="4" w:space="0" w:color="auto"/>
              <w:right w:val="single" w:sz="4" w:space="0" w:color="auto"/>
            </w:tcBorders>
            <w:textDirection w:val="lrTb"/>
            <w:vAlign w:val="center"/>
          </w:tcPr>
          <w:p w:rsidR="00A22617" w:rsidRPr="00791AE0" w:rsidP="00740E8F">
            <w:pPr>
              <w:tabs>
                <w:tab w:val="left" w:pos="318"/>
              </w:tabs>
              <w:bidi w:val="0"/>
              <w:spacing w:after="120"/>
              <w:ind w:left="318" w:hanging="284"/>
              <w:rPr>
                <w:rFonts w:ascii="Times New Roman" w:hAnsi="Times New Roman"/>
                <w:bCs/>
              </w:rPr>
            </w:pPr>
            <w:r w:rsidRPr="00791AE0">
              <w:rPr>
                <w:rFonts w:ascii="Times New Roman" w:hAnsi="Times New Roman"/>
                <w:bCs/>
                <w:sz w:val="22"/>
                <w:szCs w:val="22"/>
              </w:rPr>
              <w:t xml:space="preserve">3. </w:t>
              <w:tab/>
              <w:t xml:space="preserve">Sociálne vplyvy </w:t>
            </w:r>
          </w:p>
          <w:p w:rsidR="00A22617" w:rsidRPr="00791AE0" w:rsidP="00791AE0">
            <w:pPr>
              <w:tabs>
                <w:tab w:val="left" w:pos="459"/>
              </w:tabs>
              <w:bidi w:val="0"/>
              <w:spacing w:after="60"/>
              <w:ind w:left="460" w:hanging="142"/>
              <w:rPr>
                <w:rFonts w:ascii="Times New Roman" w:hAnsi="Times New Roman"/>
                <w:bCs/>
              </w:rPr>
            </w:pPr>
            <w:r w:rsidRPr="00791AE0">
              <w:rPr>
                <w:rFonts w:ascii="Times New Roman" w:hAnsi="Times New Roman"/>
                <w:bCs/>
                <w:sz w:val="22"/>
                <w:szCs w:val="22"/>
              </w:rPr>
              <w:t xml:space="preserve">- </w:t>
              <w:tab/>
              <w:t>vplyvy  na hospodárenie obyvateľstva,</w:t>
            </w:r>
          </w:p>
          <w:p w:rsidR="00A22617" w:rsidRPr="00791AE0" w:rsidP="00791AE0">
            <w:pPr>
              <w:tabs>
                <w:tab w:val="left" w:pos="459"/>
              </w:tabs>
              <w:bidi w:val="0"/>
              <w:spacing w:after="60"/>
              <w:ind w:left="460" w:hanging="142"/>
              <w:rPr>
                <w:rFonts w:ascii="Times New Roman" w:hAnsi="Times New Roman"/>
                <w:bCs/>
              </w:rPr>
            </w:pPr>
            <w:r w:rsidRPr="00791AE0">
              <w:rPr>
                <w:rFonts w:ascii="Times New Roman" w:hAnsi="Times New Roman"/>
                <w:bCs/>
                <w:sz w:val="22"/>
                <w:szCs w:val="22"/>
              </w:rPr>
              <w:t xml:space="preserve">- </w:t>
              <w:tab/>
              <w:t>sociálnu exklúziu,</w:t>
            </w:r>
          </w:p>
          <w:p w:rsidR="00A22617" w:rsidRPr="00791AE0" w:rsidP="00791AE0">
            <w:pPr>
              <w:tabs>
                <w:tab w:val="left" w:pos="459"/>
              </w:tabs>
              <w:bidi w:val="0"/>
              <w:spacing w:after="60"/>
              <w:ind w:left="460" w:hanging="142"/>
              <w:rPr>
                <w:rFonts w:ascii="Times New Roman" w:hAnsi="Times New Roman"/>
              </w:rPr>
            </w:pPr>
            <w:r w:rsidRPr="00791AE0">
              <w:rPr>
                <w:rFonts w:ascii="Times New Roman" w:hAnsi="Times New Roman"/>
                <w:bCs/>
                <w:sz w:val="22"/>
                <w:szCs w:val="22"/>
              </w:rPr>
              <w:t xml:space="preserve">- </w:t>
              <w:tab/>
              <w:t>rovnosť príležitostí a rodovú rovnosť a vplyvy na zamestnanosť</w:t>
            </w:r>
          </w:p>
        </w:tc>
        <w:tc>
          <w:tcPr>
            <w:tcW w:w="1370" w:type="dxa"/>
            <w:tcBorders>
              <w:top w:val="single" w:sz="4" w:space="0" w:color="auto"/>
              <w:left w:val="single" w:sz="4" w:space="0" w:color="auto"/>
              <w:bottom w:val="single" w:sz="4" w:space="0" w:color="auto"/>
              <w:right w:val="single" w:sz="4" w:space="0" w:color="auto"/>
            </w:tcBorders>
            <w:textDirection w:val="lrTb"/>
            <w:vAlign w:val="top"/>
          </w:tcPr>
          <w:p w:rsidR="00A22617" w:rsidRPr="00670A09" w:rsidP="00270FAA">
            <w:pPr>
              <w:bidi w:val="0"/>
              <w:jc w:val="center"/>
              <w:rPr>
                <w:rFonts w:ascii="Times New Roman" w:hAnsi="Times New Roman"/>
              </w:rPr>
            </w:pPr>
            <w:r w:rsidR="00270FAA">
              <w:rPr>
                <w:rFonts w:ascii="Times New Roman" w:hAnsi="Times New Roman"/>
              </w:rPr>
              <w:t>X</w:t>
            </w:r>
          </w:p>
        </w:tc>
        <w:tc>
          <w:tcPr>
            <w:tcW w:w="1370" w:type="dxa"/>
            <w:tcBorders>
              <w:top w:val="single" w:sz="4" w:space="0" w:color="auto"/>
              <w:left w:val="single" w:sz="4" w:space="0" w:color="auto"/>
              <w:bottom w:val="single" w:sz="4" w:space="0" w:color="auto"/>
              <w:right w:val="single" w:sz="4" w:space="0" w:color="auto"/>
            </w:tcBorders>
            <w:textDirection w:val="lrTb"/>
            <w:vAlign w:val="center"/>
          </w:tcPr>
          <w:p w:rsidR="00A22617" w:rsidP="00791AE0">
            <w:pPr>
              <w:bidi w:val="0"/>
              <w:jc w:val="center"/>
              <w:rPr>
                <w:rFonts w:ascii="Times New Roman" w:hAnsi="Times New Roman"/>
              </w:rPr>
            </w:pPr>
          </w:p>
          <w:p w:rsidR="00A22617" w:rsidP="00791AE0">
            <w:pPr>
              <w:bidi w:val="0"/>
              <w:jc w:val="center"/>
              <w:rPr>
                <w:rFonts w:ascii="Times New Roman" w:hAnsi="Times New Roman"/>
              </w:rPr>
            </w:pPr>
          </w:p>
          <w:p w:rsidR="00A22617" w:rsidP="00791AE0">
            <w:pPr>
              <w:bidi w:val="0"/>
              <w:jc w:val="center"/>
              <w:rPr>
                <w:rFonts w:ascii="Times New Roman" w:hAnsi="Times New Roman"/>
              </w:rPr>
            </w:pPr>
          </w:p>
          <w:p w:rsidR="00A22617" w:rsidRPr="00670A09" w:rsidP="00791AE0">
            <w:pPr>
              <w:bidi w:val="0"/>
              <w:jc w:val="center"/>
              <w:rPr>
                <w:rFonts w:ascii="Times New Roman" w:hAnsi="Times New Roman"/>
              </w:rPr>
            </w:pPr>
          </w:p>
        </w:tc>
        <w:tc>
          <w:tcPr>
            <w:tcW w:w="1371" w:type="dxa"/>
            <w:tcBorders>
              <w:top w:val="single" w:sz="4" w:space="0" w:color="auto"/>
              <w:left w:val="single" w:sz="4" w:space="0" w:color="auto"/>
              <w:bottom w:val="single" w:sz="4" w:space="0" w:color="auto"/>
              <w:right w:val="single" w:sz="4" w:space="0" w:color="auto"/>
            </w:tcBorders>
            <w:textDirection w:val="lrTb"/>
            <w:vAlign w:val="top"/>
          </w:tcPr>
          <w:p w:rsidR="00A22617" w:rsidP="00270FAA">
            <w:pPr>
              <w:bidi w:val="0"/>
              <w:jc w:val="center"/>
              <w:rPr>
                <w:rFonts w:ascii="Times New Roman" w:hAnsi="Times New Roman"/>
              </w:rPr>
            </w:pPr>
            <w:r>
              <w:rPr>
                <w:rFonts w:ascii="Times New Roman" w:hAnsi="Times New Roman"/>
              </w:rPr>
              <w:t>X</w:t>
            </w:r>
          </w:p>
          <w:p w:rsidR="00A22617" w:rsidP="00270FAA">
            <w:pPr>
              <w:bidi w:val="0"/>
              <w:jc w:val="center"/>
              <w:rPr>
                <w:rFonts w:ascii="Times New Roman" w:hAnsi="Times New Roman"/>
              </w:rPr>
            </w:pPr>
          </w:p>
          <w:p w:rsidR="00A22617" w:rsidP="00270FAA">
            <w:pPr>
              <w:bidi w:val="0"/>
              <w:jc w:val="center"/>
              <w:rPr>
                <w:rFonts w:ascii="Times New Roman" w:hAnsi="Times New Roman"/>
              </w:rPr>
            </w:pPr>
          </w:p>
          <w:p w:rsidR="00A22617" w:rsidRPr="00670A09" w:rsidP="00270FAA">
            <w:pPr>
              <w:bidi w:val="0"/>
              <w:jc w:val="center"/>
              <w:rPr>
                <w:rFonts w:ascii="Times New Roman" w:hAnsi="Times New Roman"/>
              </w:rPr>
            </w:pPr>
          </w:p>
        </w:tc>
      </w:tr>
      <w:tr>
        <w:tblPrEx>
          <w:tblW w:w="9498" w:type="dxa"/>
          <w:tblInd w:w="108" w:type="dxa"/>
          <w:tblCellMar>
            <w:top w:w="57" w:type="dxa"/>
            <w:bottom w:w="57" w:type="dxa"/>
          </w:tblCellMar>
          <w:tblLook w:val="01E0"/>
        </w:tblPrEx>
        <w:tc>
          <w:tcPr>
            <w:tcW w:w="5387" w:type="dxa"/>
            <w:tcBorders>
              <w:top w:val="single" w:sz="4" w:space="0" w:color="auto"/>
              <w:left w:val="single" w:sz="4" w:space="0" w:color="auto"/>
              <w:bottom w:val="single" w:sz="4" w:space="0" w:color="auto"/>
              <w:right w:val="single" w:sz="4" w:space="0" w:color="auto"/>
            </w:tcBorders>
            <w:textDirection w:val="lrTb"/>
            <w:vAlign w:val="center"/>
          </w:tcPr>
          <w:p w:rsidR="00A22617" w:rsidRPr="00791AE0" w:rsidP="00791AE0">
            <w:pPr>
              <w:tabs>
                <w:tab w:val="left" w:pos="318"/>
              </w:tabs>
              <w:bidi w:val="0"/>
              <w:spacing w:before="60" w:after="60"/>
              <w:ind w:left="318" w:hanging="284"/>
              <w:rPr>
                <w:rFonts w:ascii="Times New Roman" w:hAnsi="Times New Roman"/>
              </w:rPr>
            </w:pPr>
            <w:r w:rsidRPr="00791AE0">
              <w:rPr>
                <w:rFonts w:ascii="Times New Roman" w:hAnsi="Times New Roman"/>
                <w:bCs/>
                <w:sz w:val="22"/>
                <w:szCs w:val="22"/>
              </w:rPr>
              <w:t xml:space="preserve">4. </w:t>
              <w:tab/>
              <w:t>Vplyvy na životné prostredie</w:t>
            </w:r>
          </w:p>
        </w:tc>
        <w:tc>
          <w:tcPr>
            <w:tcW w:w="1370" w:type="dxa"/>
            <w:tcBorders>
              <w:top w:val="single" w:sz="4" w:space="0" w:color="auto"/>
              <w:left w:val="single" w:sz="4" w:space="0" w:color="auto"/>
              <w:bottom w:val="single" w:sz="4" w:space="0" w:color="auto"/>
              <w:right w:val="single" w:sz="4" w:space="0" w:color="auto"/>
            </w:tcBorders>
            <w:textDirection w:val="lrTb"/>
            <w:vAlign w:val="center"/>
          </w:tcPr>
          <w:p w:rsidR="00A22617" w:rsidRPr="00670A09" w:rsidP="00791AE0">
            <w:pPr>
              <w:bidi w:val="0"/>
              <w:jc w:val="center"/>
              <w:rPr>
                <w:rFonts w:ascii="Times New Roman" w:hAnsi="Times New Roman"/>
              </w:rPr>
            </w:pPr>
          </w:p>
        </w:tc>
        <w:tc>
          <w:tcPr>
            <w:tcW w:w="1370" w:type="dxa"/>
            <w:tcBorders>
              <w:top w:val="single" w:sz="4" w:space="0" w:color="auto"/>
              <w:left w:val="single" w:sz="4" w:space="0" w:color="auto"/>
              <w:bottom w:val="single" w:sz="4" w:space="0" w:color="auto"/>
              <w:right w:val="single" w:sz="4" w:space="0" w:color="auto"/>
            </w:tcBorders>
            <w:textDirection w:val="lrTb"/>
            <w:vAlign w:val="center"/>
          </w:tcPr>
          <w:p w:rsidR="00A22617" w:rsidRPr="00670A09" w:rsidP="00791AE0">
            <w:pPr>
              <w:bidi w:val="0"/>
              <w:jc w:val="center"/>
              <w:rPr>
                <w:rFonts w:ascii="Times New Roman" w:hAnsi="Times New Roman"/>
              </w:rPr>
            </w:pPr>
            <w:r w:rsidRPr="00670A09">
              <w:rPr>
                <w:rFonts w:ascii="Times New Roman" w:hAnsi="Times New Roman"/>
              </w:rPr>
              <w:t>X</w:t>
            </w:r>
          </w:p>
        </w:tc>
        <w:tc>
          <w:tcPr>
            <w:tcW w:w="1371" w:type="dxa"/>
            <w:tcBorders>
              <w:top w:val="single" w:sz="4" w:space="0" w:color="auto"/>
              <w:left w:val="single" w:sz="4" w:space="0" w:color="auto"/>
              <w:bottom w:val="single" w:sz="4" w:space="0" w:color="auto"/>
              <w:right w:val="single" w:sz="4" w:space="0" w:color="auto"/>
            </w:tcBorders>
            <w:textDirection w:val="lrTb"/>
            <w:vAlign w:val="center"/>
          </w:tcPr>
          <w:p w:rsidR="00A22617" w:rsidRPr="00670A09" w:rsidP="00791AE0">
            <w:pPr>
              <w:bidi w:val="0"/>
              <w:jc w:val="center"/>
              <w:rPr>
                <w:rFonts w:ascii="Times New Roman" w:hAnsi="Times New Roman"/>
              </w:rPr>
            </w:pPr>
          </w:p>
        </w:tc>
      </w:tr>
      <w:tr>
        <w:tblPrEx>
          <w:tblW w:w="9498" w:type="dxa"/>
          <w:tblInd w:w="108" w:type="dxa"/>
          <w:tblCellMar>
            <w:top w:w="57" w:type="dxa"/>
            <w:bottom w:w="57" w:type="dxa"/>
          </w:tblCellMar>
          <w:tblLook w:val="01E0"/>
        </w:tblPrEx>
        <w:tc>
          <w:tcPr>
            <w:tcW w:w="5387" w:type="dxa"/>
            <w:tcBorders>
              <w:top w:val="single" w:sz="4" w:space="0" w:color="auto"/>
              <w:left w:val="single" w:sz="4" w:space="0" w:color="auto"/>
              <w:bottom w:val="single" w:sz="4" w:space="0" w:color="auto"/>
              <w:right w:val="single" w:sz="4" w:space="0" w:color="auto"/>
            </w:tcBorders>
            <w:textDirection w:val="lrTb"/>
            <w:vAlign w:val="center"/>
          </w:tcPr>
          <w:p w:rsidR="00A22617" w:rsidRPr="00791AE0" w:rsidP="00791AE0">
            <w:pPr>
              <w:tabs>
                <w:tab w:val="left" w:pos="318"/>
              </w:tabs>
              <w:bidi w:val="0"/>
              <w:spacing w:before="60" w:after="60"/>
              <w:ind w:left="318" w:hanging="284"/>
              <w:rPr>
                <w:rFonts w:ascii="Times New Roman" w:hAnsi="Times New Roman"/>
                <w:bCs/>
              </w:rPr>
            </w:pPr>
            <w:r w:rsidRPr="00791AE0">
              <w:rPr>
                <w:rFonts w:ascii="Times New Roman" w:hAnsi="Times New Roman"/>
                <w:bCs/>
                <w:sz w:val="22"/>
                <w:szCs w:val="22"/>
              </w:rPr>
              <w:t xml:space="preserve">5. </w:t>
              <w:tab/>
              <w:t xml:space="preserve">Vplyvy na </w:t>
            </w:r>
            <w:r w:rsidRPr="00791AE0">
              <w:rPr>
                <w:rFonts w:ascii="Times New Roman" w:hAnsi="Times New Roman"/>
              </w:rPr>
              <w:t>informatizáciu</w:t>
            </w:r>
            <w:r w:rsidRPr="00791AE0">
              <w:rPr>
                <w:rFonts w:ascii="Times New Roman" w:hAnsi="Times New Roman"/>
                <w:bCs/>
                <w:sz w:val="22"/>
                <w:szCs w:val="22"/>
              </w:rPr>
              <w:t xml:space="preserve"> spoločnosti</w:t>
            </w:r>
          </w:p>
        </w:tc>
        <w:tc>
          <w:tcPr>
            <w:tcW w:w="1370" w:type="dxa"/>
            <w:tcBorders>
              <w:top w:val="single" w:sz="4" w:space="0" w:color="auto"/>
              <w:left w:val="single" w:sz="4" w:space="0" w:color="auto"/>
              <w:bottom w:val="single" w:sz="4" w:space="0" w:color="auto"/>
              <w:right w:val="single" w:sz="4" w:space="0" w:color="auto"/>
            </w:tcBorders>
            <w:textDirection w:val="lrTb"/>
            <w:vAlign w:val="center"/>
          </w:tcPr>
          <w:p w:rsidR="00A22617" w:rsidRPr="00670A09" w:rsidP="00791AE0">
            <w:pPr>
              <w:bidi w:val="0"/>
              <w:jc w:val="center"/>
              <w:rPr>
                <w:rFonts w:ascii="Times New Roman" w:hAnsi="Times New Roman"/>
              </w:rPr>
            </w:pPr>
            <w:r w:rsidRPr="00670A09">
              <w:rPr>
                <w:rFonts w:ascii="Times New Roman" w:hAnsi="Times New Roman"/>
              </w:rPr>
              <w:t>X</w:t>
            </w:r>
          </w:p>
        </w:tc>
        <w:tc>
          <w:tcPr>
            <w:tcW w:w="1370" w:type="dxa"/>
            <w:tcBorders>
              <w:top w:val="single" w:sz="4" w:space="0" w:color="auto"/>
              <w:left w:val="single" w:sz="4" w:space="0" w:color="auto"/>
              <w:bottom w:val="single" w:sz="4" w:space="0" w:color="auto"/>
              <w:right w:val="single" w:sz="4" w:space="0" w:color="auto"/>
            </w:tcBorders>
            <w:textDirection w:val="lrTb"/>
            <w:vAlign w:val="center"/>
          </w:tcPr>
          <w:p w:rsidR="00A22617" w:rsidRPr="00670A09" w:rsidP="00791AE0">
            <w:pPr>
              <w:bidi w:val="0"/>
              <w:jc w:val="center"/>
              <w:rPr>
                <w:rFonts w:ascii="Times New Roman" w:hAnsi="Times New Roman"/>
              </w:rPr>
            </w:pPr>
          </w:p>
        </w:tc>
        <w:tc>
          <w:tcPr>
            <w:tcW w:w="1371" w:type="dxa"/>
            <w:tcBorders>
              <w:top w:val="single" w:sz="4" w:space="0" w:color="auto"/>
              <w:left w:val="single" w:sz="4" w:space="0" w:color="auto"/>
              <w:bottom w:val="single" w:sz="4" w:space="0" w:color="auto"/>
              <w:right w:val="single" w:sz="4" w:space="0" w:color="auto"/>
            </w:tcBorders>
            <w:textDirection w:val="lrTb"/>
            <w:vAlign w:val="center"/>
          </w:tcPr>
          <w:p w:rsidR="00A22617" w:rsidRPr="00670A09" w:rsidP="00791AE0">
            <w:pPr>
              <w:bidi w:val="0"/>
              <w:jc w:val="center"/>
              <w:rPr>
                <w:rFonts w:ascii="Times New Roman" w:hAnsi="Times New Roman"/>
              </w:rPr>
            </w:pPr>
          </w:p>
        </w:tc>
      </w:tr>
    </w:tbl>
    <w:p w:rsidR="00A22617" w:rsidP="008B0A69">
      <w:pPr>
        <w:bidi w:val="0"/>
        <w:rPr>
          <w:rFonts w:ascii="Times New Roman" w:hAnsi="Times New Roman"/>
        </w:rPr>
      </w:pPr>
    </w:p>
    <w:p w:rsidR="00A22617" w:rsidRPr="00940393" w:rsidP="008B0A69">
      <w:pPr>
        <w:pStyle w:val="BodyText"/>
        <w:bidi w:val="0"/>
        <w:jc w:val="both"/>
        <w:rPr>
          <w:rFonts w:ascii="Times New Roman" w:hAnsi="Times New Roman"/>
          <w:b w:val="0"/>
          <w:bCs/>
          <w:sz w:val="18"/>
          <w:szCs w:val="18"/>
          <w:u w:val="single"/>
        </w:rPr>
      </w:pPr>
      <w:r w:rsidRPr="00940393">
        <w:rPr>
          <w:rFonts w:ascii="Times New Roman" w:hAnsi="Times New Roman"/>
          <w:sz w:val="18"/>
          <w:szCs w:val="18"/>
        </w:rPr>
        <w:t>*</w:t>
      </w:r>
      <w:r w:rsidRPr="00A22617">
        <w:rPr>
          <w:rFonts w:ascii="Times New Roman" w:hAnsi="Times New Roman"/>
          <w:b w:val="0"/>
          <w:bCs/>
          <w:sz w:val="18"/>
          <w:szCs w:val="18"/>
        </w:rPr>
        <w:t xml:space="preserve"> Predkladateľ označí znakom x zodpovedajúci vplyv (pozitívny, negatívny, žiadny), ktorý návrh prináša v</w:t>
      </w:r>
      <w:r w:rsidRPr="005A3C06">
        <w:rPr>
          <w:rFonts w:ascii="Times New Roman" w:hAnsi="Times New Roman"/>
          <w:b w:val="0"/>
          <w:bCs/>
          <w:sz w:val="18"/>
          <w:szCs w:val="18"/>
        </w:rPr>
        <w:t> </w:t>
      </w:r>
      <w:r w:rsidRPr="00A22617">
        <w:rPr>
          <w:rFonts w:ascii="Times New Roman" w:hAnsi="Times New Roman"/>
          <w:b w:val="0"/>
          <w:bCs/>
          <w:sz w:val="18"/>
          <w:szCs w:val="18"/>
        </w:rPr>
        <w:t>každej oblasti posudzovania vplyvov. Návrh môže mať v</w:t>
      </w:r>
      <w:r w:rsidRPr="005A3C06">
        <w:rPr>
          <w:rFonts w:ascii="Times New Roman" w:hAnsi="Times New Roman"/>
          <w:b w:val="0"/>
          <w:bCs/>
          <w:sz w:val="18"/>
          <w:szCs w:val="18"/>
        </w:rPr>
        <w:t> </w:t>
      </w:r>
      <w:r w:rsidRPr="00A22617">
        <w:rPr>
          <w:rFonts w:ascii="Times New Roman" w:hAnsi="Times New Roman"/>
          <w:b w:val="0"/>
          <w:bCs/>
          <w:sz w:val="18"/>
          <w:szCs w:val="18"/>
        </w:rPr>
        <w:t>jednej oblasti zároveň pozitívny aj negatívny vplyv, v</w:t>
      </w:r>
      <w:r w:rsidRPr="005A3C06">
        <w:rPr>
          <w:rFonts w:ascii="Times New Roman" w:hAnsi="Times New Roman"/>
          <w:b w:val="0"/>
          <w:bCs/>
          <w:sz w:val="18"/>
          <w:szCs w:val="18"/>
        </w:rPr>
        <w:t> </w:t>
      </w:r>
      <w:r w:rsidRPr="00A22617">
        <w:rPr>
          <w:rFonts w:ascii="Times New Roman" w:hAnsi="Times New Roman"/>
          <w:b w:val="0"/>
          <w:bCs/>
          <w:sz w:val="18"/>
          <w:szCs w:val="18"/>
        </w:rPr>
        <w:t>tom prípade predkladateľ označí obe možnosti. Bližšie vysvetlenie označených vplyvov bude obsahovať analýza vplyvov. Isté vysvetlenie, či bilanciu vplyvov (sumárne zhodnotenie, ktorý vplyv v</w:t>
      </w:r>
      <w:r w:rsidRPr="005A3C06">
        <w:rPr>
          <w:rFonts w:ascii="Times New Roman" w:hAnsi="Times New Roman"/>
          <w:b w:val="0"/>
          <w:bCs/>
          <w:sz w:val="18"/>
          <w:szCs w:val="18"/>
        </w:rPr>
        <w:t> </w:t>
      </w:r>
      <w:r w:rsidRPr="00A22617">
        <w:rPr>
          <w:rFonts w:ascii="Times New Roman" w:hAnsi="Times New Roman"/>
          <w:b w:val="0"/>
          <w:bCs/>
          <w:sz w:val="18"/>
          <w:szCs w:val="18"/>
        </w:rPr>
        <w:t>danej oblasti prevažuje) môže predkladateľ uviesť v</w:t>
      </w:r>
      <w:r w:rsidRPr="005A3C06">
        <w:rPr>
          <w:rFonts w:ascii="Times New Roman" w:hAnsi="Times New Roman"/>
          <w:b w:val="0"/>
          <w:bCs/>
          <w:sz w:val="18"/>
          <w:szCs w:val="18"/>
        </w:rPr>
        <w:t> </w:t>
      </w:r>
      <w:r w:rsidRPr="00A22617">
        <w:rPr>
          <w:rFonts w:ascii="Times New Roman" w:hAnsi="Times New Roman"/>
          <w:b w:val="0"/>
          <w:bCs/>
          <w:sz w:val="18"/>
          <w:szCs w:val="18"/>
        </w:rPr>
        <w:t>poznámke.</w:t>
      </w:r>
    </w:p>
    <w:p w:rsidR="00A22617" w:rsidRPr="00940393" w:rsidP="008B0A69">
      <w:pPr>
        <w:pStyle w:val="BodyText"/>
        <w:bidi w:val="0"/>
        <w:jc w:val="both"/>
        <w:rPr>
          <w:rFonts w:ascii="Times New Roman" w:hAnsi="Times New Roman"/>
          <w:b w:val="0"/>
          <w:bCs/>
          <w:sz w:val="16"/>
          <w:szCs w:val="16"/>
        </w:rPr>
      </w:pPr>
    </w:p>
    <w:p w:rsidR="00A22617" w:rsidRPr="00940393" w:rsidP="008B0A69">
      <w:pPr>
        <w:pStyle w:val="BodyText"/>
        <w:bidi w:val="0"/>
        <w:jc w:val="both"/>
        <w:rPr>
          <w:rFonts w:ascii="Times New Roman" w:hAnsi="Times New Roman"/>
          <w:b w:val="0"/>
          <w:bCs/>
          <w:sz w:val="16"/>
          <w:szCs w:val="16"/>
        </w:rPr>
      </w:pPr>
    </w:p>
    <w:p w:rsidR="00A22617" w:rsidRPr="00940393" w:rsidP="002A0379">
      <w:pPr>
        <w:pStyle w:val="BodyText"/>
        <w:bidi w:val="0"/>
        <w:spacing w:after="240"/>
        <w:jc w:val="both"/>
        <w:rPr>
          <w:rFonts w:ascii="Times New Roman" w:hAnsi="Times New Roman"/>
          <w:bCs/>
        </w:rPr>
      </w:pPr>
      <w:r w:rsidRPr="00940393">
        <w:rPr>
          <w:rFonts w:ascii="Times New Roman" w:hAnsi="Times New Roman"/>
          <w:bCs/>
        </w:rPr>
        <w:t>A.3. Poznámky</w:t>
      </w:r>
    </w:p>
    <w:p w:rsidR="00A22617" w:rsidP="002D6C2E">
      <w:pPr>
        <w:bidi w:val="0"/>
        <w:spacing w:after="120"/>
        <w:jc w:val="both"/>
        <w:rPr>
          <w:rFonts w:ascii="Times New Roman" w:hAnsi="Times New Roman"/>
          <w:bCs/>
          <w:szCs w:val="20"/>
        </w:rPr>
      </w:pPr>
      <w:r>
        <w:rPr>
          <w:rFonts w:ascii="Times New Roman" w:hAnsi="Times New Roman"/>
          <w:bCs/>
          <w:szCs w:val="20"/>
        </w:rPr>
        <w:t xml:space="preserve">     </w:t>
      </w:r>
      <w:r w:rsidRPr="00BC6D5A">
        <w:rPr>
          <w:rFonts w:ascii="Times New Roman" w:hAnsi="Times New Roman"/>
          <w:bCs/>
          <w:szCs w:val="20"/>
        </w:rPr>
        <w:t xml:space="preserve">V doložke vplyvov sú uvedené vplyvy zvýšenia </w:t>
      </w:r>
      <w:r>
        <w:rPr>
          <w:rFonts w:ascii="Times New Roman" w:hAnsi="Times New Roman"/>
          <w:bCs/>
          <w:szCs w:val="20"/>
        </w:rPr>
        <w:t xml:space="preserve">súčasných </w:t>
      </w:r>
      <w:r w:rsidRPr="00BC6D5A">
        <w:rPr>
          <w:rFonts w:ascii="Times New Roman" w:hAnsi="Times New Roman"/>
          <w:bCs/>
          <w:szCs w:val="20"/>
        </w:rPr>
        <w:t xml:space="preserve">hrubých miezd zamestnancov v súvislosti so zrušením povinnosti </w:t>
      </w:r>
      <w:r>
        <w:rPr>
          <w:rFonts w:ascii="Times New Roman" w:hAnsi="Times New Roman"/>
          <w:bCs/>
          <w:szCs w:val="20"/>
        </w:rPr>
        <w:t>zamestnávateľov platiť poistné</w:t>
      </w:r>
      <w:r w:rsidRPr="00BC6D5A">
        <w:rPr>
          <w:rFonts w:ascii="Times New Roman" w:hAnsi="Times New Roman"/>
          <w:bCs/>
          <w:szCs w:val="20"/>
        </w:rPr>
        <w:t xml:space="preserve"> na sociálne poistenie (okrem úrazového poistenia)</w:t>
      </w:r>
      <w:r w:rsidR="005F7C01">
        <w:rPr>
          <w:rFonts w:ascii="Times New Roman" w:hAnsi="Times New Roman"/>
          <w:bCs/>
          <w:szCs w:val="20"/>
        </w:rPr>
        <w:t>, príspevkov na starobné dôchodkové sporenie</w:t>
      </w:r>
      <w:r w:rsidRPr="00BC6D5A">
        <w:rPr>
          <w:rFonts w:ascii="Times New Roman" w:hAnsi="Times New Roman"/>
          <w:bCs/>
          <w:szCs w:val="20"/>
        </w:rPr>
        <w:t xml:space="preserve"> a na verejné zdravotné poistenie</w:t>
      </w:r>
      <w:r>
        <w:rPr>
          <w:rFonts w:ascii="Times New Roman" w:hAnsi="Times New Roman"/>
          <w:bCs/>
          <w:szCs w:val="20"/>
        </w:rPr>
        <w:t xml:space="preserve"> a s presunom tejto povinnosti na zamestnancov,</w:t>
      </w:r>
      <w:r w:rsidRPr="00BC6D5A">
        <w:rPr>
          <w:rFonts w:ascii="Times New Roman" w:hAnsi="Times New Roman"/>
          <w:bCs/>
          <w:szCs w:val="20"/>
        </w:rPr>
        <w:t xml:space="preserve"> realizácia ktorých predstavuje uskutočnenie zložitého procesu z dôvodu komplikovaného systému sociálneho poistenia platného v súčasnosti. Súčasťou doložky vplyvov je aj kvantifikácia vplyvov súvisiacich s realizáciou 1. fázy reformy daní a systému sociálneho poistenia a verejného zdravotného poistenia</w:t>
      </w:r>
      <w:r>
        <w:rPr>
          <w:rFonts w:ascii="Times New Roman" w:hAnsi="Times New Roman"/>
          <w:bCs/>
          <w:szCs w:val="20"/>
        </w:rPr>
        <w:t xml:space="preserve"> </w:t>
      </w:r>
      <w:r w:rsidRPr="007C3F23">
        <w:rPr>
          <w:rFonts w:ascii="Times New Roman" w:hAnsi="Times New Roman"/>
          <w:bCs/>
          <w:szCs w:val="20"/>
        </w:rPr>
        <w:t>a súvisiacich právnych predpisov</w:t>
      </w:r>
      <w:r w:rsidRPr="00BC6D5A">
        <w:rPr>
          <w:rFonts w:ascii="Times New Roman" w:hAnsi="Times New Roman"/>
          <w:bCs/>
          <w:szCs w:val="20"/>
        </w:rPr>
        <w:t xml:space="preserve">, v rámci ktorej sa nastavuje fungovanie </w:t>
      </w:r>
      <w:r>
        <w:rPr>
          <w:rFonts w:ascii="Times New Roman" w:hAnsi="Times New Roman"/>
          <w:bCs/>
          <w:szCs w:val="20"/>
        </w:rPr>
        <w:t xml:space="preserve">daňového a poistných </w:t>
      </w:r>
      <w:r w:rsidRPr="00BC6D5A">
        <w:rPr>
          <w:rFonts w:ascii="Times New Roman" w:hAnsi="Times New Roman"/>
          <w:bCs/>
          <w:szCs w:val="20"/>
        </w:rPr>
        <w:t xml:space="preserve">systémov s účinnosťou </w:t>
      </w:r>
      <w:r>
        <w:rPr>
          <w:rFonts w:ascii="Times New Roman" w:hAnsi="Times New Roman"/>
          <w:bCs/>
          <w:szCs w:val="20"/>
        </w:rPr>
        <w:t xml:space="preserve">od 01. 01. 2012, a to tak v oblasti výberu daní a poistného, ako aj v oblasti nárokov na dávky a poskytovania dávok. Realizácia týchto aktivít zabezpečí vykonanie 2. fázy reformy, ktorou je zjednotenie výberu daní a poistného na sociálne poistenie a verejné zdravotné poistenie. Súčasťou návrhu predmetného zákona sú aj zmeny niektorých zákonov, ktoré nesúvisia s úpravou </w:t>
      </w:r>
      <w:r>
        <w:rPr>
          <w:rFonts w:ascii="Times New Roman" w:hAnsi="Times New Roman"/>
          <w:bCs/>
        </w:rPr>
        <w:t>príjmov</w:t>
      </w:r>
      <w:r w:rsidRPr="005C6FFD">
        <w:rPr>
          <w:rFonts w:ascii="Times New Roman" w:hAnsi="Times New Roman"/>
          <w:bCs/>
        </w:rPr>
        <w:t xml:space="preserve"> zo závislej činnosti</w:t>
      </w:r>
      <w:r>
        <w:rPr>
          <w:rFonts w:ascii="Times New Roman" w:hAnsi="Times New Roman"/>
          <w:bCs/>
        </w:rPr>
        <w:t>,</w:t>
      </w:r>
      <w:r>
        <w:rPr>
          <w:rFonts w:ascii="Times New Roman" w:hAnsi="Times New Roman"/>
          <w:bCs/>
          <w:szCs w:val="20"/>
        </w:rPr>
        <w:t xml:space="preserve"> resp. reformou daňovo-odvodového systému s tým, že vplyvy týchto zmien sú rovnako predmetom tejto doložky </w:t>
      </w:r>
      <w:r w:rsidR="00EC252A">
        <w:rPr>
          <w:rFonts w:ascii="Times New Roman" w:hAnsi="Times New Roman"/>
          <w:bCs/>
          <w:szCs w:val="20"/>
        </w:rPr>
        <w:t xml:space="preserve">vybraných </w:t>
      </w:r>
      <w:r>
        <w:rPr>
          <w:rFonts w:ascii="Times New Roman" w:hAnsi="Times New Roman"/>
          <w:bCs/>
          <w:szCs w:val="20"/>
        </w:rPr>
        <w:t>vplyvov.</w:t>
      </w:r>
    </w:p>
    <w:p w:rsidR="00A22617" w:rsidP="00BC6D5A">
      <w:pPr>
        <w:bidi w:val="0"/>
        <w:jc w:val="both"/>
        <w:rPr>
          <w:rFonts w:ascii="Times New Roman" w:hAnsi="Times New Roman"/>
          <w:bCs/>
          <w:szCs w:val="20"/>
        </w:rPr>
      </w:pPr>
      <w:r>
        <w:rPr>
          <w:rFonts w:ascii="Times New Roman" w:hAnsi="Times New Roman"/>
          <w:bCs/>
          <w:szCs w:val="20"/>
        </w:rPr>
        <w:t xml:space="preserve">     Predkladaná doložka obsahuje kompletné posúdenie vplyvov v oblasti </w:t>
      </w:r>
      <w:r>
        <w:rPr>
          <w:rFonts w:ascii="Times New Roman" w:hAnsi="Times New Roman"/>
        </w:rPr>
        <w:t>dani z príjmov, sociálneho</w:t>
      </w:r>
      <w:r w:rsidR="00EC252A">
        <w:rPr>
          <w:rFonts w:ascii="Times New Roman" w:hAnsi="Times New Roman"/>
        </w:rPr>
        <w:t xml:space="preserve"> poistenia</w:t>
      </w:r>
      <w:r>
        <w:rPr>
          <w:rFonts w:ascii="Times New Roman" w:hAnsi="Times New Roman"/>
        </w:rPr>
        <w:t xml:space="preserve"> a verejného zdravotného poistenia vyplývajúcich z komplexného riešenia 1. fázy reformy daňovo-odvodového systému</w:t>
      </w:r>
      <w:r>
        <w:rPr>
          <w:rFonts w:ascii="Times New Roman" w:hAnsi="Times New Roman"/>
          <w:bCs/>
          <w:szCs w:val="20"/>
        </w:rPr>
        <w:t>.</w:t>
      </w:r>
    </w:p>
    <w:p w:rsidR="00826089" w:rsidRPr="00BC6D5A" w:rsidP="00BC6D5A">
      <w:pPr>
        <w:bidi w:val="0"/>
        <w:jc w:val="both"/>
        <w:rPr>
          <w:rFonts w:ascii="Times New Roman" w:hAnsi="Times New Roman"/>
          <w:bCs/>
          <w:szCs w:val="20"/>
        </w:rPr>
      </w:pPr>
    </w:p>
    <w:p w:rsidR="00A22617" w:rsidRPr="00BC6D5A" w:rsidP="00BC6D5A">
      <w:pPr>
        <w:bidi w:val="0"/>
        <w:jc w:val="both"/>
        <w:rPr>
          <w:rFonts w:ascii="Times New Roman" w:hAnsi="Times New Roman"/>
          <w:bCs/>
        </w:rPr>
      </w:pPr>
    </w:p>
    <w:p w:rsidR="00A22617" w:rsidRPr="00A86C7E" w:rsidP="00340C93">
      <w:pPr>
        <w:pStyle w:val="BodyText"/>
        <w:bidi w:val="0"/>
        <w:spacing w:after="120"/>
        <w:jc w:val="both"/>
        <w:rPr>
          <w:rFonts w:ascii="Times New Roman" w:hAnsi="Times New Roman"/>
          <w:bCs/>
          <w:sz w:val="24"/>
          <w:szCs w:val="24"/>
        </w:rPr>
      </w:pPr>
      <w:r w:rsidRPr="00A86C7E">
        <w:rPr>
          <w:rFonts w:ascii="Times New Roman" w:hAnsi="Times New Roman"/>
          <w:bCs/>
          <w:sz w:val="24"/>
          <w:szCs w:val="24"/>
        </w:rPr>
        <w:t>Vplyv na rozpočet verejnej správy</w:t>
      </w:r>
    </w:p>
    <w:p w:rsidR="00A22617" w:rsidRPr="00A86C7E" w:rsidP="008C16E3">
      <w:pPr>
        <w:pStyle w:val="BodyText"/>
        <w:bidi w:val="0"/>
        <w:spacing w:after="120"/>
        <w:jc w:val="both"/>
        <w:rPr>
          <w:rFonts w:ascii="Times New Roman" w:hAnsi="Times New Roman"/>
          <w:b w:val="0"/>
          <w:bCs/>
          <w:sz w:val="24"/>
          <w:szCs w:val="24"/>
        </w:rPr>
      </w:pPr>
      <w:r w:rsidRPr="00A86C7E">
        <w:rPr>
          <w:rFonts w:ascii="Times New Roman" w:hAnsi="Times New Roman"/>
          <w:b w:val="0"/>
          <w:bCs/>
          <w:sz w:val="24"/>
          <w:szCs w:val="24"/>
        </w:rPr>
        <w:t xml:space="preserve">     Finančné vplyvy na verejnú správu súvisiace s jednorazovými administratívnymi nákladmi zvýšenia hrubých </w:t>
      </w:r>
      <w:r w:rsidR="00B9559B">
        <w:rPr>
          <w:rFonts w:ascii="Times New Roman" w:hAnsi="Times New Roman"/>
          <w:b w:val="0"/>
          <w:bCs/>
          <w:sz w:val="24"/>
          <w:szCs w:val="24"/>
        </w:rPr>
        <w:t>príjmov</w:t>
      </w:r>
      <w:r w:rsidRPr="00A86C7E">
        <w:rPr>
          <w:rFonts w:ascii="Times New Roman" w:hAnsi="Times New Roman"/>
          <w:b w:val="0"/>
          <w:bCs/>
          <w:sz w:val="24"/>
          <w:szCs w:val="24"/>
        </w:rPr>
        <w:t xml:space="preserve"> zamestnancov z dôvodu presunu platenia poistného na verejné zdravotné poistenie, na sociálne poistenie okrem úrazového poistenia</w:t>
      </w:r>
      <w:r w:rsidR="00B9559B">
        <w:rPr>
          <w:rFonts w:ascii="Times New Roman" w:hAnsi="Times New Roman"/>
          <w:b w:val="0"/>
          <w:bCs/>
          <w:sz w:val="24"/>
          <w:szCs w:val="24"/>
        </w:rPr>
        <w:t>, na sociálne zabezpečenie okrem úrazového zabezpečenia</w:t>
      </w:r>
      <w:r w:rsidRPr="00A86C7E">
        <w:rPr>
          <w:rFonts w:ascii="Times New Roman" w:hAnsi="Times New Roman"/>
          <w:b w:val="0"/>
          <w:bCs/>
          <w:sz w:val="24"/>
          <w:szCs w:val="24"/>
        </w:rPr>
        <w:t xml:space="preserve"> a</w:t>
      </w:r>
      <w:r w:rsidRPr="00A86C7E" w:rsidR="00A0164B">
        <w:rPr>
          <w:rFonts w:ascii="Times New Roman" w:hAnsi="Times New Roman"/>
          <w:b w:val="0"/>
          <w:bCs/>
          <w:sz w:val="24"/>
          <w:szCs w:val="24"/>
        </w:rPr>
        <w:t xml:space="preserve"> z dôvodu presunu platenia </w:t>
      </w:r>
      <w:r w:rsidRPr="00A86C7E">
        <w:rPr>
          <w:rFonts w:ascii="Times New Roman" w:hAnsi="Times New Roman"/>
          <w:b w:val="0"/>
          <w:bCs/>
          <w:sz w:val="24"/>
          <w:szCs w:val="24"/>
        </w:rPr>
        <w:t xml:space="preserve">príspevkov na starobné dôchodkové sporenie (ďalej aj „poistné“) zo zamestnávateľov na zamestnancov sú spojené s potrebnými úpravami informačných systémov a so zmenou personálnej </w:t>
      </w:r>
      <w:r w:rsidR="00B9559B">
        <w:rPr>
          <w:rFonts w:ascii="Times New Roman" w:hAnsi="Times New Roman"/>
          <w:b w:val="0"/>
          <w:bCs/>
          <w:sz w:val="24"/>
          <w:szCs w:val="24"/>
        </w:rPr>
        <w:t xml:space="preserve">a mzdovej </w:t>
      </w:r>
      <w:r w:rsidRPr="00A86C7E">
        <w:rPr>
          <w:rFonts w:ascii="Times New Roman" w:hAnsi="Times New Roman"/>
          <w:b w:val="0"/>
          <w:bCs/>
          <w:sz w:val="24"/>
          <w:szCs w:val="24"/>
        </w:rPr>
        <w:t xml:space="preserve">agendy, ktorú bude nevyhnutné zabezpečiť. </w:t>
      </w:r>
    </w:p>
    <w:p w:rsidR="00A0164B" w:rsidRPr="00A86C7E" w:rsidP="008B0A69">
      <w:pPr>
        <w:pStyle w:val="BodyText"/>
        <w:bidi w:val="0"/>
        <w:jc w:val="both"/>
        <w:rPr>
          <w:rFonts w:ascii="Times New Roman" w:hAnsi="Times New Roman"/>
          <w:b w:val="0"/>
          <w:bCs/>
          <w:sz w:val="24"/>
          <w:szCs w:val="24"/>
        </w:rPr>
      </w:pPr>
      <w:r w:rsidRPr="00A86C7E" w:rsidR="00A22617">
        <w:rPr>
          <w:rFonts w:ascii="Times New Roman" w:hAnsi="Times New Roman"/>
          <w:b w:val="0"/>
          <w:bCs/>
          <w:sz w:val="24"/>
          <w:szCs w:val="24"/>
        </w:rPr>
        <w:t xml:space="preserve">     Finančné vplyvy na verejnú správu obsahujú aj kvantifikáciu vplyvov súvisiacich so zmenou parametrov dane z príjmov fyzických osôb, poistného na sociálne poistenie a poistného na verejné zdravotné poistenie a súvisiacich právnych predpisov účinných od 01. 01. 2012, ktorých realizácia ovplyvní negatívne rozpočet verejnej správy.</w:t>
      </w:r>
      <w:r w:rsidRPr="00A86C7E">
        <w:rPr>
          <w:rFonts w:ascii="Times New Roman" w:hAnsi="Times New Roman"/>
          <w:b w:val="0"/>
          <w:bCs/>
          <w:sz w:val="24"/>
          <w:szCs w:val="24"/>
        </w:rPr>
        <w:t xml:space="preserve"> </w:t>
      </w:r>
    </w:p>
    <w:p w:rsidR="00A0164B" w:rsidRPr="00A86C7E" w:rsidP="008B0A69">
      <w:pPr>
        <w:pStyle w:val="BodyText"/>
        <w:bidi w:val="0"/>
        <w:jc w:val="both"/>
        <w:rPr>
          <w:rFonts w:ascii="Times New Roman" w:hAnsi="Times New Roman"/>
          <w:b w:val="0"/>
          <w:bCs/>
          <w:sz w:val="24"/>
          <w:szCs w:val="24"/>
        </w:rPr>
      </w:pPr>
    </w:p>
    <w:p w:rsidR="00A22617" w:rsidRPr="00A86C7E" w:rsidP="008B0A69">
      <w:pPr>
        <w:pStyle w:val="BodyText"/>
        <w:bidi w:val="0"/>
        <w:jc w:val="both"/>
        <w:rPr>
          <w:rFonts w:ascii="Times New Roman" w:hAnsi="Times New Roman"/>
          <w:b w:val="0"/>
          <w:bCs/>
          <w:color w:val="FF0000"/>
          <w:sz w:val="24"/>
          <w:szCs w:val="24"/>
        </w:rPr>
      </w:pPr>
    </w:p>
    <w:p w:rsidR="00A22617" w:rsidRPr="00A86C7E" w:rsidP="00635A95">
      <w:pPr>
        <w:pStyle w:val="BodyText"/>
        <w:bidi w:val="0"/>
        <w:spacing w:after="120"/>
        <w:jc w:val="both"/>
        <w:rPr>
          <w:rFonts w:ascii="Times New Roman" w:hAnsi="Times New Roman"/>
          <w:bCs/>
          <w:sz w:val="24"/>
          <w:szCs w:val="24"/>
        </w:rPr>
      </w:pPr>
      <w:r w:rsidRPr="00A86C7E">
        <w:rPr>
          <w:rFonts w:ascii="Times New Roman" w:hAnsi="Times New Roman"/>
          <w:bCs/>
          <w:sz w:val="24"/>
          <w:szCs w:val="24"/>
        </w:rPr>
        <w:t>Vplyvy na podnikateľské prostredie</w:t>
      </w:r>
    </w:p>
    <w:p w:rsidR="00A22617" w:rsidRPr="00A86C7E" w:rsidP="00635A95">
      <w:pPr>
        <w:pStyle w:val="BodyText"/>
        <w:bidi w:val="0"/>
        <w:spacing w:after="120"/>
        <w:jc w:val="both"/>
        <w:rPr>
          <w:rFonts w:ascii="Times New Roman" w:hAnsi="Times New Roman"/>
          <w:b w:val="0"/>
          <w:bCs/>
          <w:sz w:val="24"/>
          <w:szCs w:val="24"/>
        </w:rPr>
      </w:pPr>
      <w:r w:rsidRPr="00A86C7E">
        <w:rPr>
          <w:rFonts w:ascii="Times New Roman" w:hAnsi="Times New Roman"/>
          <w:b w:val="0"/>
          <w:bCs/>
          <w:sz w:val="24"/>
          <w:szCs w:val="24"/>
        </w:rPr>
        <w:t xml:space="preserve">     V nadväznosti na zvýšenie hrubých miezd zamestnancov realizovaných v dôsledku zrušenia platenia poistného zamestnávateľmi a jeho presunom na zamestnancov sa predpokladá negatívny vplyv na podnikateľské prostredie v súvislosti s jednorazovými administratívnymi nákladmi podnikateľov, ktoré závisia od veľkosti podniku (informačné systémy, zmeny v personálnej agende). Negatívny vplyv sa môže prejaviť aj v dôsledku rozhodnutia zamestnávateľov použiť pri prepočte hrubých miezd zamestnancov s vysokým príjmom (zamestnanec, ktorého základná zložka </w:t>
      </w:r>
      <w:r w:rsidRPr="00A86C7E" w:rsidR="00EC252A">
        <w:rPr>
          <w:rFonts w:ascii="Times New Roman" w:hAnsi="Times New Roman"/>
          <w:b w:val="0"/>
          <w:bCs/>
          <w:sz w:val="24"/>
          <w:szCs w:val="24"/>
        </w:rPr>
        <w:t xml:space="preserve">priznaného </w:t>
      </w:r>
      <w:r w:rsidRPr="00A86C7E">
        <w:rPr>
          <w:rFonts w:ascii="Times New Roman" w:hAnsi="Times New Roman"/>
          <w:b w:val="0"/>
          <w:bCs/>
          <w:sz w:val="24"/>
          <w:szCs w:val="24"/>
        </w:rPr>
        <w:t xml:space="preserve">príjmu </w:t>
      </w:r>
      <w:r w:rsidRPr="00A86C7E" w:rsidR="00EC252A">
        <w:rPr>
          <w:rFonts w:ascii="Times New Roman" w:hAnsi="Times New Roman"/>
          <w:b w:val="0"/>
          <w:bCs/>
          <w:sz w:val="24"/>
          <w:szCs w:val="24"/>
        </w:rPr>
        <w:t xml:space="preserve">k 31. decembru </w:t>
      </w:r>
      <w:r w:rsidRPr="00A86C7E">
        <w:rPr>
          <w:rFonts w:ascii="Times New Roman" w:hAnsi="Times New Roman"/>
          <w:b w:val="0"/>
          <w:bCs/>
          <w:sz w:val="24"/>
          <w:szCs w:val="24"/>
        </w:rPr>
        <w:t xml:space="preserve">2011 bola vyššia ako maximálny vymeriavací základ zamestnávateľa na platenie poistného na nemocenské poistenie a poistného na garančné poistenie podľa zákona č. 461/2003 Z. z. o sociálnom poistení v znení neskorších predpisov platného do 31. decembra </w:t>
      </w:r>
      <w:smartTag w:uri="urn:schemas-microsoft-com:office:smarttags" w:element="metricconverter">
        <w:smartTagPr>
          <w:attr w:name="ProductID" w:val="2011 a"/>
        </w:smartTagPr>
        <w:r w:rsidRPr="00A86C7E">
          <w:rPr>
            <w:rFonts w:ascii="Times New Roman" w:hAnsi="Times New Roman"/>
            <w:b w:val="0"/>
            <w:bCs/>
            <w:sz w:val="24"/>
            <w:szCs w:val="24"/>
          </w:rPr>
          <w:t>2011 a</w:t>
        </w:r>
      </w:smartTag>
      <w:r w:rsidRPr="00A86C7E">
        <w:rPr>
          <w:rFonts w:ascii="Times New Roman" w:hAnsi="Times New Roman"/>
          <w:b w:val="0"/>
          <w:bCs/>
          <w:sz w:val="24"/>
          <w:szCs w:val="24"/>
        </w:rPr>
        <w:t xml:space="preserve"> ktorý v decembri 2011 nebol zamestnancom ozbrojených zložiek) koeficient 1,344, s cieľom použitia zjednodušeného postupu úpravy jednotlivých zložiek hrubých miezd, čím by mohlo dôjsť v niektorých prípadoch k nárastu celkovej ceny práce. Tento negatívny vplyv je ale možné eliminovať zákonom navrhnutým postupom </w:t>
      </w:r>
      <w:r w:rsidRPr="00A86C7E" w:rsidR="00EC252A">
        <w:rPr>
          <w:rFonts w:ascii="Times New Roman" w:hAnsi="Times New Roman"/>
          <w:b w:val="0"/>
          <w:bCs/>
          <w:sz w:val="24"/>
          <w:szCs w:val="24"/>
        </w:rPr>
        <w:t>pri</w:t>
      </w:r>
      <w:r w:rsidRPr="00A86C7E">
        <w:rPr>
          <w:rFonts w:ascii="Times New Roman" w:hAnsi="Times New Roman"/>
          <w:b w:val="0"/>
          <w:bCs/>
          <w:sz w:val="24"/>
          <w:szCs w:val="24"/>
        </w:rPr>
        <w:t xml:space="preserve"> úprave jednotlivých zložiek hrubých miezd na základe postupov a vzorca uvedených v návrhu zákona. </w:t>
      </w:r>
    </w:p>
    <w:p w:rsidR="00A22617" w:rsidRPr="00A86C7E" w:rsidP="008B0A69">
      <w:pPr>
        <w:pStyle w:val="BodyText"/>
        <w:bidi w:val="0"/>
        <w:jc w:val="both"/>
        <w:rPr>
          <w:rFonts w:ascii="Times New Roman" w:hAnsi="Times New Roman"/>
          <w:b w:val="0"/>
          <w:bCs/>
          <w:sz w:val="24"/>
          <w:szCs w:val="24"/>
        </w:rPr>
      </w:pPr>
      <w:r w:rsidRPr="00A86C7E">
        <w:rPr>
          <w:rFonts w:ascii="Times New Roman" w:hAnsi="Times New Roman"/>
          <w:b w:val="0"/>
          <w:bCs/>
          <w:sz w:val="24"/>
          <w:szCs w:val="24"/>
        </w:rPr>
        <w:t xml:space="preserve">     Návrh o úprave príjmu zo závislej činnosti a o zmene a doplnení niektorých zákonov má však pozitívny vplyv v podobe formálneho zjednodušenia systému, ktorý spolu s komplexnou reformou daňovo-odvodového systému prinesie zjednodušenie pre zamestnancov i zamestnávateľov. </w:t>
      </w:r>
    </w:p>
    <w:p w:rsidR="00A22617" w:rsidRPr="00A86C7E" w:rsidP="008B0A69">
      <w:pPr>
        <w:pStyle w:val="BodyText"/>
        <w:bidi w:val="0"/>
        <w:jc w:val="both"/>
        <w:rPr>
          <w:rFonts w:ascii="Times New Roman" w:hAnsi="Times New Roman"/>
          <w:b w:val="0"/>
          <w:bCs/>
          <w:sz w:val="24"/>
          <w:szCs w:val="24"/>
        </w:rPr>
      </w:pPr>
    </w:p>
    <w:p w:rsidR="00A22617" w:rsidRPr="00A86C7E" w:rsidP="00C52CBC">
      <w:pPr>
        <w:pStyle w:val="BodyText"/>
        <w:bidi w:val="0"/>
        <w:spacing w:after="120"/>
        <w:jc w:val="both"/>
        <w:rPr>
          <w:rFonts w:ascii="Times New Roman" w:hAnsi="Times New Roman"/>
          <w:bCs/>
          <w:sz w:val="24"/>
          <w:szCs w:val="24"/>
        </w:rPr>
      </w:pPr>
      <w:r w:rsidRPr="00A86C7E">
        <w:rPr>
          <w:rFonts w:ascii="Times New Roman" w:hAnsi="Times New Roman"/>
          <w:bCs/>
          <w:sz w:val="24"/>
          <w:szCs w:val="24"/>
        </w:rPr>
        <w:t>Sociálne vplyvy</w:t>
      </w:r>
    </w:p>
    <w:p w:rsidR="00A22617" w:rsidRPr="00A86C7E" w:rsidP="000F6D95">
      <w:pPr>
        <w:pStyle w:val="BodyText"/>
        <w:bidi w:val="0"/>
        <w:spacing w:after="120"/>
        <w:jc w:val="both"/>
        <w:rPr>
          <w:rFonts w:ascii="Times New Roman" w:hAnsi="Times New Roman"/>
          <w:b w:val="0"/>
          <w:sz w:val="24"/>
          <w:szCs w:val="24"/>
        </w:rPr>
      </w:pPr>
      <w:r w:rsidRPr="00A86C7E">
        <w:rPr>
          <w:rFonts w:ascii="Times New Roman" w:hAnsi="Times New Roman"/>
          <w:b w:val="0"/>
          <w:sz w:val="24"/>
          <w:szCs w:val="24"/>
        </w:rPr>
        <w:t xml:space="preserve">     V dôsledku presunu povinnosti zamestnávateľov platiť poistné na verejné zdravotné poistenie, na sociálne poistenie (okrem úrazového poistenia)</w:t>
      </w:r>
      <w:r w:rsidRPr="00A86C7E" w:rsidR="004150EC">
        <w:rPr>
          <w:rFonts w:ascii="Times New Roman" w:hAnsi="Times New Roman"/>
          <w:b w:val="0"/>
          <w:sz w:val="24"/>
          <w:szCs w:val="24"/>
        </w:rPr>
        <w:t xml:space="preserve">, na sociálne zabezpečenie (okrem úrazového zabezpečenia) a </w:t>
      </w:r>
      <w:r w:rsidRPr="00A86C7E">
        <w:rPr>
          <w:rFonts w:ascii="Times New Roman" w:hAnsi="Times New Roman"/>
          <w:b w:val="0"/>
          <w:sz w:val="24"/>
          <w:szCs w:val="24"/>
        </w:rPr>
        <w:t xml:space="preserve">príspevkov na starobné dôchodkové sporenie na zamestnancov, sa zvyšujú  hrubé </w:t>
      </w:r>
      <w:r w:rsidRPr="00A86C7E" w:rsidR="004150EC">
        <w:rPr>
          <w:rFonts w:ascii="Times New Roman" w:hAnsi="Times New Roman"/>
          <w:b w:val="0"/>
          <w:sz w:val="24"/>
          <w:szCs w:val="24"/>
        </w:rPr>
        <w:t>príjmy</w:t>
      </w:r>
      <w:r w:rsidRPr="00A86C7E">
        <w:rPr>
          <w:rFonts w:ascii="Times New Roman" w:hAnsi="Times New Roman"/>
          <w:b w:val="0"/>
          <w:sz w:val="24"/>
          <w:szCs w:val="24"/>
        </w:rPr>
        <w:t xml:space="preserve"> zamestnancov. K pozitívnemu vplyvu na príjmy môže prísť u zamestnancov s vysokým príjmom pracujúcich v súkromnej sfére, pri ktorých sa zamestnávateľ rozhodne pre úpravu hrubých </w:t>
      </w:r>
      <w:r w:rsidRPr="00A86C7E" w:rsidR="004150EC">
        <w:rPr>
          <w:rFonts w:ascii="Times New Roman" w:hAnsi="Times New Roman"/>
          <w:b w:val="0"/>
          <w:sz w:val="24"/>
          <w:szCs w:val="24"/>
        </w:rPr>
        <w:t>miezd</w:t>
      </w:r>
      <w:r w:rsidRPr="00A86C7E">
        <w:rPr>
          <w:rFonts w:ascii="Times New Roman" w:hAnsi="Times New Roman"/>
          <w:b w:val="0"/>
          <w:sz w:val="24"/>
          <w:szCs w:val="24"/>
        </w:rPr>
        <w:t xml:space="preserve"> koeficientom 1,344 a nie </w:t>
      </w:r>
      <w:r w:rsidRPr="00A86C7E">
        <w:rPr>
          <w:rFonts w:ascii="Times New Roman" w:hAnsi="Times New Roman"/>
          <w:b w:val="0"/>
          <w:bCs/>
          <w:sz w:val="24"/>
          <w:szCs w:val="24"/>
        </w:rPr>
        <w:t>na základe postupov a vzorca uvedených v návrhu zákona.</w:t>
      </w:r>
      <w:r w:rsidRPr="00A86C7E">
        <w:rPr>
          <w:rFonts w:ascii="Times New Roman" w:hAnsi="Times New Roman"/>
          <w:b w:val="0"/>
          <w:sz w:val="24"/>
          <w:szCs w:val="24"/>
        </w:rPr>
        <w:t xml:space="preserve"> </w:t>
      </w:r>
    </w:p>
    <w:p w:rsidR="00A22617" w:rsidRPr="00A86C7E" w:rsidP="008B0A69">
      <w:pPr>
        <w:pStyle w:val="BodyText"/>
        <w:bidi w:val="0"/>
        <w:jc w:val="both"/>
        <w:rPr>
          <w:rFonts w:ascii="Times New Roman" w:hAnsi="Times New Roman"/>
          <w:b w:val="0"/>
          <w:sz w:val="24"/>
          <w:szCs w:val="24"/>
        </w:rPr>
      </w:pPr>
      <w:r w:rsidRPr="00A86C7E">
        <w:rPr>
          <w:rFonts w:ascii="Times New Roman" w:hAnsi="Times New Roman"/>
          <w:b w:val="0"/>
          <w:sz w:val="24"/>
          <w:szCs w:val="24"/>
        </w:rPr>
        <w:t xml:space="preserve">     Realizáciou reformy daňovo-odvodového systému sa predpokladajú negatívne aj pozitívne vplyvy v závislosti od skupín osôb, ktorý sa dotkne zmena parametrov reformy daňovo-odvodového systému.</w:t>
      </w:r>
    </w:p>
    <w:p w:rsidR="00A22617" w:rsidRPr="00A86C7E" w:rsidP="008B0A69">
      <w:pPr>
        <w:pStyle w:val="BodyText"/>
        <w:bidi w:val="0"/>
        <w:jc w:val="both"/>
        <w:rPr>
          <w:rFonts w:ascii="Times New Roman" w:hAnsi="Times New Roman"/>
          <w:b w:val="0"/>
          <w:sz w:val="24"/>
          <w:szCs w:val="24"/>
        </w:rPr>
      </w:pPr>
    </w:p>
    <w:p w:rsidR="00A22617" w:rsidRPr="00A86C7E" w:rsidP="000F6D95">
      <w:pPr>
        <w:pStyle w:val="BodyText"/>
        <w:bidi w:val="0"/>
        <w:spacing w:after="120"/>
        <w:jc w:val="both"/>
        <w:rPr>
          <w:rFonts w:ascii="Times New Roman" w:hAnsi="Times New Roman"/>
          <w:sz w:val="24"/>
          <w:szCs w:val="24"/>
        </w:rPr>
      </w:pPr>
      <w:r w:rsidRPr="00A86C7E">
        <w:rPr>
          <w:rFonts w:ascii="Times New Roman" w:hAnsi="Times New Roman"/>
          <w:sz w:val="24"/>
          <w:szCs w:val="24"/>
        </w:rPr>
        <w:t>Vplyvy na životné prostredie</w:t>
      </w:r>
    </w:p>
    <w:p w:rsidR="00A22617" w:rsidRPr="00A86C7E" w:rsidP="008B0A69">
      <w:pPr>
        <w:pStyle w:val="BodyText"/>
        <w:bidi w:val="0"/>
        <w:jc w:val="both"/>
        <w:rPr>
          <w:rFonts w:ascii="Times New Roman" w:hAnsi="Times New Roman"/>
          <w:b w:val="0"/>
          <w:sz w:val="24"/>
          <w:szCs w:val="24"/>
        </w:rPr>
      </w:pPr>
      <w:r w:rsidRPr="00A86C7E">
        <w:rPr>
          <w:rFonts w:ascii="Times New Roman" w:hAnsi="Times New Roman"/>
          <w:b w:val="0"/>
          <w:sz w:val="24"/>
          <w:szCs w:val="24"/>
        </w:rPr>
        <w:t xml:space="preserve">     Nepredpokladá sa vplyv na životné prostredie.</w:t>
      </w:r>
    </w:p>
    <w:p w:rsidR="00A22617" w:rsidRPr="00A86C7E" w:rsidP="008B0A69">
      <w:pPr>
        <w:pStyle w:val="BodyText"/>
        <w:bidi w:val="0"/>
        <w:jc w:val="both"/>
        <w:rPr>
          <w:rFonts w:ascii="Times New Roman" w:hAnsi="Times New Roman"/>
          <w:b w:val="0"/>
          <w:sz w:val="24"/>
          <w:szCs w:val="24"/>
        </w:rPr>
      </w:pPr>
    </w:p>
    <w:p w:rsidR="00A22617" w:rsidRPr="00A86C7E" w:rsidP="000F6D95">
      <w:pPr>
        <w:pStyle w:val="BodyText"/>
        <w:bidi w:val="0"/>
        <w:spacing w:after="120"/>
        <w:jc w:val="both"/>
        <w:rPr>
          <w:rFonts w:ascii="Times New Roman" w:hAnsi="Times New Roman"/>
          <w:sz w:val="24"/>
          <w:szCs w:val="24"/>
        </w:rPr>
      </w:pPr>
      <w:r w:rsidRPr="00A86C7E">
        <w:rPr>
          <w:rFonts w:ascii="Times New Roman" w:hAnsi="Times New Roman"/>
          <w:sz w:val="24"/>
          <w:szCs w:val="24"/>
        </w:rPr>
        <w:t>Vplyvy na informatizáciu spoločnosti</w:t>
      </w:r>
    </w:p>
    <w:p w:rsidR="00A22617" w:rsidRPr="00A86C7E" w:rsidP="008B0A69">
      <w:pPr>
        <w:pStyle w:val="BodyText"/>
        <w:bidi w:val="0"/>
        <w:jc w:val="both"/>
        <w:rPr>
          <w:rFonts w:ascii="Times New Roman" w:hAnsi="Times New Roman"/>
          <w:b w:val="0"/>
          <w:sz w:val="24"/>
          <w:szCs w:val="24"/>
        </w:rPr>
      </w:pPr>
      <w:r w:rsidRPr="00A86C7E">
        <w:rPr>
          <w:rFonts w:ascii="Times New Roman" w:hAnsi="Times New Roman"/>
          <w:b w:val="0"/>
          <w:sz w:val="24"/>
          <w:szCs w:val="24"/>
        </w:rPr>
        <w:t xml:space="preserve">     Pozitívny vplyv na informatizáciu spoločnosti v dôsledku aktualizácie elektronických služieb poskytovaných povinným osobám</w:t>
      </w:r>
      <w:r w:rsidRPr="00A86C7E" w:rsidR="004150EC">
        <w:rPr>
          <w:rFonts w:ascii="Times New Roman" w:hAnsi="Times New Roman"/>
          <w:b w:val="0"/>
          <w:sz w:val="24"/>
          <w:szCs w:val="24"/>
        </w:rPr>
        <w:t xml:space="preserve"> a v dôsledku zavedenia možnosti poskytovať doklad týkajúci sa vyúčtovania mzdy na základe dohody zamestnanca a zamestnávateľa elektronickými prostriedkami, čím sa zavádza nová elektronická služba s úrovňou II. (jednosmerná interakcia).</w:t>
      </w:r>
    </w:p>
    <w:p w:rsidR="00A22617" w:rsidRPr="00A86C7E" w:rsidP="008B0A69">
      <w:pPr>
        <w:pStyle w:val="BodyText"/>
        <w:bidi w:val="0"/>
        <w:jc w:val="both"/>
        <w:rPr>
          <w:rFonts w:ascii="Times New Roman" w:hAnsi="Times New Roman"/>
          <w:b w:val="0"/>
          <w:sz w:val="24"/>
          <w:szCs w:val="24"/>
        </w:rPr>
      </w:pPr>
    </w:p>
    <w:p w:rsidR="00A22617" w:rsidRPr="00A86C7E" w:rsidP="002A0379">
      <w:pPr>
        <w:pStyle w:val="BodyText"/>
        <w:bidi w:val="0"/>
        <w:spacing w:after="240"/>
        <w:jc w:val="both"/>
        <w:rPr>
          <w:rFonts w:ascii="Times New Roman" w:hAnsi="Times New Roman"/>
          <w:sz w:val="24"/>
          <w:szCs w:val="24"/>
          <w:lang w:val="it-IT"/>
        </w:rPr>
      </w:pPr>
      <w:r w:rsidRPr="00A86C7E">
        <w:rPr>
          <w:rFonts w:ascii="Times New Roman" w:hAnsi="Times New Roman"/>
          <w:sz w:val="24"/>
          <w:szCs w:val="24"/>
          <w:lang w:val="it-IT"/>
        </w:rPr>
        <w:t>A.4. Alternatívne riešenia</w:t>
      </w:r>
    </w:p>
    <w:p w:rsidR="00A22617" w:rsidRPr="00A86C7E" w:rsidP="008B0A69">
      <w:pPr>
        <w:pStyle w:val="BodyText"/>
        <w:bidi w:val="0"/>
        <w:jc w:val="both"/>
        <w:rPr>
          <w:rFonts w:ascii="Times New Roman" w:hAnsi="Times New Roman"/>
          <w:sz w:val="24"/>
          <w:szCs w:val="24"/>
          <w:lang w:val="it-IT"/>
        </w:rPr>
      </w:pPr>
      <w:r w:rsidRPr="00A86C7E">
        <w:rPr>
          <w:rFonts w:ascii="Times New Roman" w:hAnsi="Times New Roman"/>
          <w:b w:val="0"/>
          <w:sz w:val="24"/>
          <w:szCs w:val="24"/>
          <w:lang w:val="it-IT"/>
        </w:rPr>
        <w:t xml:space="preserve">     Bezpredmetné.</w:t>
      </w:r>
    </w:p>
    <w:p w:rsidR="00A22617" w:rsidRPr="00A86C7E" w:rsidP="008B0A69">
      <w:pPr>
        <w:pStyle w:val="BodyText"/>
        <w:bidi w:val="0"/>
        <w:jc w:val="both"/>
        <w:rPr>
          <w:rFonts w:ascii="Times New Roman" w:hAnsi="Times New Roman"/>
          <w:sz w:val="24"/>
          <w:szCs w:val="24"/>
          <w:lang w:val="it-IT"/>
        </w:rPr>
      </w:pPr>
    </w:p>
    <w:p w:rsidR="00A22617" w:rsidRPr="00A86C7E" w:rsidP="008B0A69">
      <w:pPr>
        <w:pStyle w:val="BodyText2"/>
        <w:bidi w:val="0"/>
        <w:rPr>
          <w:rFonts w:ascii="Times New Roman" w:hAnsi="Times New Roman"/>
          <w:b/>
          <w:sz w:val="24"/>
          <w:szCs w:val="24"/>
          <w:lang w:val="it-IT"/>
        </w:rPr>
      </w:pPr>
      <w:r w:rsidRPr="00A86C7E">
        <w:rPr>
          <w:rFonts w:ascii="Times New Roman" w:hAnsi="Times New Roman"/>
          <w:b/>
          <w:sz w:val="24"/>
          <w:szCs w:val="24"/>
          <w:lang w:val="it-IT"/>
        </w:rPr>
        <w:t xml:space="preserve">A.5. Stanovisko gestorov </w:t>
      </w:r>
    </w:p>
    <w:p w:rsidR="00A22617" w:rsidRPr="00B9559B" w:rsidP="00777C47">
      <w:pPr>
        <w:bidi w:val="0"/>
        <w:jc w:val="both"/>
        <w:rPr>
          <w:rFonts w:ascii="Times New Roman" w:hAnsi="Times New Roman"/>
          <w:i/>
          <w:iCs/>
          <w:color w:val="0070C0"/>
        </w:rPr>
      </w:pPr>
      <w:r w:rsidRPr="00B9559B">
        <w:rPr>
          <w:rFonts w:ascii="Times New Roman" w:hAnsi="Times New Roman"/>
          <w:i/>
          <w:iCs/>
          <w:color w:val="0070C0"/>
        </w:rPr>
        <w:t xml:space="preserve">      </w:t>
      </w:r>
    </w:p>
    <w:p w:rsidR="00A0164B" w:rsidRPr="00A86C7E" w:rsidP="00934580">
      <w:pPr>
        <w:pStyle w:val="BodyText"/>
        <w:tabs>
          <w:tab w:val="num" w:pos="284"/>
        </w:tabs>
        <w:bidi w:val="0"/>
        <w:jc w:val="both"/>
        <w:rPr>
          <w:rFonts w:ascii="Times New Roman" w:hAnsi="Times New Roman"/>
          <w:b w:val="0"/>
          <w:bCs/>
          <w:sz w:val="24"/>
          <w:szCs w:val="24"/>
          <w:lang w:val="it-IT"/>
        </w:rPr>
      </w:pPr>
      <w:r w:rsidRPr="00A86C7E" w:rsidR="00934580">
        <w:rPr>
          <w:rFonts w:ascii="Times New Roman" w:hAnsi="Times New Roman"/>
          <w:b w:val="0"/>
          <w:bCs/>
          <w:sz w:val="24"/>
          <w:szCs w:val="24"/>
          <w:lang w:val="it-IT"/>
        </w:rPr>
        <w:tab/>
        <w:t xml:space="preserve">Ministerstvo životného prostredia nemá k doložke vplyvov žiadne pripomienky. </w:t>
      </w:r>
    </w:p>
    <w:p w:rsidR="00A22617" w:rsidRPr="00A86C7E" w:rsidP="00934580">
      <w:pPr>
        <w:pStyle w:val="BodyText"/>
        <w:tabs>
          <w:tab w:val="num" w:pos="284"/>
        </w:tabs>
        <w:bidi w:val="0"/>
        <w:jc w:val="both"/>
        <w:rPr>
          <w:rFonts w:ascii="Times New Roman" w:hAnsi="Times New Roman"/>
          <w:b w:val="0"/>
          <w:bCs/>
          <w:sz w:val="24"/>
          <w:szCs w:val="24"/>
          <w:lang w:val="pl-PL"/>
        </w:rPr>
      </w:pPr>
      <w:r w:rsidRPr="00A86C7E" w:rsidR="00A0164B">
        <w:rPr>
          <w:rFonts w:ascii="Times New Roman" w:hAnsi="Times New Roman"/>
          <w:b w:val="0"/>
          <w:bCs/>
          <w:sz w:val="24"/>
          <w:szCs w:val="24"/>
          <w:lang w:val="it-IT"/>
        </w:rPr>
        <w:t xml:space="preserve">     </w:t>
      </w:r>
      <w:r w:rsidRPr="00A86C7E" w:rsidR="00934580">
        <w:rPr>
          <w:rFonts w:ascii="Times New Roman" w:hAnsi="Times New Roman"/>
          <w:b w:val="0"/>
          <w:bCs/>
          <w:sz w:val="24"/>
          <w:szCs w:val="24"/>
          <w:lang w:val="pl-PL"/>
        </w:rPr>
        <w:t>Pripomienky ostatných gestorov boli zapracované do textu doložky.</w:t>
      </w:r>
    </w:p>
    <w:p w:rsidR="00A22617" w:rsidRPr="00C23052" w:rsidP="008B0A69">
      <w:pPr>
        <w:pStyle w:val="BodyText"/>
        <w:tabs>
          <w:tab w:val="num" w:pos="1080"/>
        </w:tabs>
        <w:bidi w:val="0"/>
        <w:jc w:val="both"/>
        <w:rPr>
          <w:rFonts w:ascii="Times New Roman" w:hAnsi="Times New Roman"/>
          <w:b w:val="0"/>
          <w:bCs/>
          <w:lang w:val="pl-PL"/>
        </w:rPr>
      </w:pPr>
    </w:p>
    <w:p w:rsidR="00A22617" w:rsidRPr="00C23052" w:rsidP="008B0A69">
      <w:pPr>
        <w:pStyle w:val="BodyText"/>
        <w:tabs>
          <w:tab w:val="num" w:pos="1080"/>
        </w:tabs>
        <w:bidi w:val="0"/>
        <w:jc w:val="both"/>
        <w:rPr>
          <w:rFonts w:ascii="Times New Roman" w:hAnsi="Times New Roman"/>
          <w:b w:val="0"/>
          <w:bCs/>
          <w:lang w:val="pl-PL"/>
        </w:rPr>
      </w:pPr>
    </w:p>
    <w:p w:rsidR="00A22617" w:rsidRPr="00C23052" w:rsidP="008B0A69">
      <w:pPr>
        <w:pStyle w:val="BodyText"/>
        <w:tabs>
          <w:tab w:val="num" w:pos="1080"/>
        </w:tabs>
        <w:bidi w:val="0"/>
        <w:jc w:val="both"/>
        <w:rPr>
          <w:rFonts w:ascii="Times New Roman" w:hAnsi="Times New Roman"/>
          <w:b w:val="0"/>
          <w:bCs/>
          <w:lang w:val="pl-PL"/>
        </w:rPr>
      </w:pPr>
    </w:p>
    <w:p w:rsidR="00A22617" w:rsidRPr="00C23052" w:rsidP="008B0A69">
      <w:pPr>
        <w:pStyle w:val="BodyText"/>
        <w:tabs>
          <w:tab w:val="num" w:pos="1080"/>
        </w:tabs>
        <w:bidi w:val="0"/>
        <w:jc w:val="both"/>
        <w:rPr>
          <w:rFonts w:ascii="Times New Roman" w:hAnsi="Times New Roman"/>
          <w:b w:val="0"/>
          <w:bCs/>
          <w:lang w:val="pl-PL"/>
        </w:rPr>
      </w:pPr>
    </w:p>
    <w:p w:rsidR="00A22617" w:rsidRPr="00C23052" w:rsidP="008B0A69">
      <w:pPr>
        <w:pStyle w:val="BodyText"/>
        <w:tabs>
          <w:tab w:val="num" w:pos="1080"/>
        </w:tabs>
        <w:bidi w:val="0"/>
        <w:jc w:val="both"/>
        <w:rPr>
          <w:rFonts w:ascii="Times New Roman" w:hAnsi="Times New Roman"/>
          <w:b w:val="0"/>
          <w:bCs/>
          <w:lang w:val="pl-PL"/>
        </w:rPr>
      </w:pPr>
    </w:p>
    <w:p w:rsidR="00A22617" w:rsidRPr="00C23052" w:rsidP="008B0A69">
      <w:pPr>
        <w:pStyle w:val="BodyText"/>
        <w:tabs>
          <w:tab w:val="num" w:pos="1080"/>
        </w:tabs>
        <w:bidi w:val="0"/>
        <w:jc w:val="both"/>
        <w:rPr>
          <w:rFonts w:ascii="Times New Roman" w:hAnsi="Times New Roman"/>
          <w:b w:val="0"/>
          <w:bCs/>
          <w:lang w:val="pl-PL"/>
        </w:rPr>
      </w:pPr>
    </w:p>
    <w:p w:rsidR="00A22617" w:rsidP="008B0A69">
      <w:pPr>
        <w:pStyle w:val="BodyText"/>
        <w:tabs>
          <w:tab w:val="num" w:pos="1080"/>
        </w:tabs>
        <w:bidi w:val="0"/>
        <w:jc w:val="both"/>
        <w:rPr>
          <w:rFonts w:ascii="Times New Roman" w:hAnsi="Times New Roman"/>
          <w:b w:val="0"/>
          <w:bCs/>
          <w:lang w:val="pl-PL"/>
        </w:rPr>
      </w:pPr>
    </w:p>
    <w:p w:rsidR="006727E0" w:rsidP="008B0A69">
      <w:pPr>
        <w:pStyle w:val="BodyText"/>
        <w:tabs>
          <w:tab w:val="num" w:pos="1080"/>
        </w:tabs>
        <w:bidi w:val="0"/>
        <w:jc w:val="both"/>
        <w:rPr>
          <w:rFonts w:ascii="Times New Roman" w:hAnsi="Times New Roman"/>
          <w:b w:val="0"/>
          <w:bCs/>
          <w:lang w:val="pl-PL"/>
        </w:rPr>
      </w:pPr>
    </w:p>
    <w:p w:rsidR="006727E0" w:rsidP="008B0A69">
      <w:pPr>
        <w:pStyle w:val="BodyText"/>
        <w:tabs>
          <w:tab w:val="num" w:pos="1080"/>
        </w:tabs>
        <w:bidi w:val="0"/>
        <w:jc w:val="both"/>
        <w:rPr>
          <w:rFonts w:ascii="Times New Roman" w:hAnsi="Times New Roman"/>
          <w:b w:val="0"/>
          <w:bCs/>
          <w:lang w:val="pl-PL"/>
        </w:rPr>
      </w:pPr>
    </w:p>
    <w:p w:rsidR="006727E0" w:rsidP="008B0A69">
      <w:pPr>
        <w:pStyle w:val="BodyText"/>
        <w:tabs>
          <w:tab w:val="num" w:pos="1080"/>
        </w:tabs>
        <w:bidi w:val="0"/>
        <w:jc w:val="both"/>
        <w:rPr>
          <w:rFonts w:ascii="Times New Roman" w:hAnsi="Times New Roman"/>
          <w:b w:val="0"/>
          <w:bCs/>
          <w:lang w:val="pl-PL"/>
        </w:rPr>
      </w:pPr>
    </w:p>
    <w:p w:rsidR="006727E0" w:rsidP="008B0A69">
      <w:pPr>
        <w:pStyle w:val="BodyText"/>
        <w:tabs>
          <w:tab w:val="num" w:pos="1080"/>
        </w:tabs>
        <w:bidi w:val="0"/>
        <w:jc w:val="both"/>
        <w:rPr>
          <w:rFonts w:ascii="Times New Roman" w:hAnsi="Times New Roman"/>
          <w:b w:val="0"/>
          <w:bCs/>
          <w:lang w:val="pl-PL"/>
        </w:rPr>
      </w:pPr>
    </w:p>
    <w:p w:rsidR="006727E0" w:rsidP="008B0A69">
      <w:pPr>
        <w:pStyle w:val="BodyText"/>
        <w:tabs>
          <w:tab w:val="num" w:pos="1080"/>
        </w:tabs>
        <w:bidi w:val="0"/>
        <w:jc w:val="both"/>
        <w:rPr>
          <w:rFonts w:ascii="Times New Roman" w:hAnsi="Times New Roman"/>
          <w:b w:val="0"/>
          <w:bCs/>
          <w:lang w:val="pl-PL"/>
        </w:rPr>
      </w:pPr>
    </w:p>
    <w:p w:rsidR="006727E0" w:rsidP="008B0A69">
      <w:pPr>
        <w:pStyle w:val="BodyText"/>
        <w:tabs>
          <w:tab w:val="num" w:pos="1080"/>
        </w:tabs>
        <w:bidi w:val="0"/>
        <w:jc w:val="both"/>
        <w:rPr>
          <w:rFonts w:ascii="Times New Roman" w:hAnsi="Times New Roman"/>
          <w:b w:val="0"/>
          <w:bCs/>
          <w:lang w:val="pl-PL"/>
        </w:rPr>
      </w:pPr>
    </w:p>
    <w:p w:rsidR="006727E0" w:rsidP="008B0A69">
      <w:pPr>
        <w:pStyle w:val="BodyText"/>
        <w:tabs>
          <w:tab w:val="num" w:pos="1080"/>
        </w:tabs>
        <w:bidi w:val="0"/>
        <w:jc w:val="both"/>
        <w:rPr>
          <w:rFonts w:ascii="Times New Roman" w:hAnsi="Times New Roman"/>
          <w:b w:val="0"/>
          <w:bCs/>
          <w:lang w:val="pl-PL"/>
        </w:rPr>
      </w:pPr>
    </w:p>
    <w:p w:rsidR="006727E0" w:rsidP="008B0A69">
      <w:pPr>
        <w:pStyle w:val="BodyText"/>
        <w:tabs>
          <w:tab w:val="num" w:pos="1080"/>
        </w:tabs>
        <w:bidi w:val="0"/>
        <w:jc w:val="both"/>
        <w:rPr>
          <w:rFonts w:ascii="Times New Roman" w:hAnsi="Times New Roman"/>
          <w:b w:val="0"/>
          <w:bCs/>
          <w:lang w:val="pl-PL"/>
        </w:rPr>
      </w:pPr>
    </w:p>
    <w:p w:rsidR="006727E0" w:rsidP="008B0A69">
      <w:pPr>
        <w:pStyle w:val="BodyText"/>
        <w:tabs>
          <w:tab w:val="num" w:pos="1080"/>
        </w:tabs>
        <w:bidi w:val="0"/>
        <w:jc w:val="both"/>
        <w:rPr>
          <w:rFonts w:ascii="Times New Roman" w:hAnsi="Times New Roman"/>
          <w:b w:val="0"/>
          <w:bCs/>
          <w:lang w:val="pl-PL"/>
        </w:rPr>
      </w:pPr>
    </w:p>
    <w:p w:rsidR="006727E0" w:rsidP="008B0A69">
      <w:pPr>
        <w:pStyle w:val="BodyText"/>
        <w:tabs>
          <w:tab w:val="num" w:pos="1080"/>
        </w:tabs>
        <w:bidi w:val="0"/>
        <w:jc w:val="both"/>
        <w:rPr>
          <w:rFonts w:ascii="Times New Roman" w:hAnsi="Times New Roman"/>
          <w:b w:val="0"/>
          <w:bCs/>
          <w:lang w:val="pl-PL"/>
        </w:rPr>
      </w:pPr>
    </w:p>
    <w:p w:rsidR="006727E0" w:rsidRPr="00C23052" w:rsidP="008B0A69">
      <w:pPr>
        <w:pStyle w:val="BodyText"/>
        <w:tabs>
          <w:tab w:val="num" w:pos="1080"/>
        </w:tabs>
        <w:bidi w:val="0"/>
        <w:jc w:val="both"/>
        <w:rPr>
          <w:rFonts w:ascii="Times New Roman" w:hAnsi="Times New Roman"/>
          <w:b w:val="0"/>
          <w:bCs/>
          <w:lang w:val="pl-PL"/>
        </w:rPr>
      </w:pPr>
    </w:p>
    <w:p w:rsidR="00A22617" w:rsidRPr="00C23052" w:rsidP="008B0A69">
      <w:pPr>
        <w:pStyle w:val="BodyText"/>
        <w:tabs>
          <w:tab w:val="num" w:pos="1080"/>
        </w:tabs>
        <w:bidi w:val="0"/>
        <w:jc w:val="both"/>
        <w:rPr>
          <w:rFonts w:ascii="Times New Roman" w:hAnsi="Times New Roman"/>
          <w:b w:val="0"/>
          <w:bCs/>
          <w:lang w:val="pl-PL"/>
        </w:rPr>
      </w:pPr>
    </w:p>
    <w:p w:rsidR="00A22617" w:rsidRPr="00C23052" w:rsidP="008B0A69">
      <w:pPr>
        <w:pStyle w:val="BodyText"/>
        <w:tabs>
          <w:tab w:val="num" w:pos="1080"/>
        </w:tabs>
        <w:bidi w:val="0"/>
        <w:jc w:val="both"/>
        <w:rPr>
          <w:rFonts w:ascii="Times New Roman" w:hAnsi="Times New Roman"/>
          <w:b w:val="0"/>
          <w:bCs/>
          <w:lang w:val="pl-PL"/>
        </w:rPr>
      </w:pPr>
    </w:p>
    <w:p w:rsidR="00A22617" w:rsidRPr="00C23052" w:rsidP="008B0A69">
      <w:pPr>
        <w:pStyle w:val="BodyText"/>
        <w:tabs>
          <w:tab w:val="num" w:pos="1080"/>
        </w:tabs>
        <w:bidi w:val="0"/>
        <w:jc w:val="both"/>
        <w:rPr>
          <w:rFonts w:ascii="Times New Roman" w:hAnsi="Times New Roman"/>
          <w:b w:val="0"/>
          <w:bCs/>
          <w:lang w:val="pl-PL"/>
        </w:rPr>
      </w:pPr>
    </w:p>
    <w:p w:rsidR="00A22617" w:rsidRPr="00C23052" w:rsidP="008B0A69">
      <w:pPr>
        <w:pStyle w:val="BodyText"/>
        <w:tabs>
          <w:tab w:val="num" w:pos="1080"/>
        </w:tabs>
        <w:bidi w:val="0"/>
        <w:jc w:val="both"/>
        <w:rPr>
          <w:rFonts w:ascii="Times New Roman" w:hAnsi="Times New Roman"/>
          <w:b w:val="0"/>
          <w:bCs/>
          <w:lang w:val="pl-PL"/>
        </w:rPr>
      </w:pPr>
    </w:p>
    <w:p w:rsidR="00A22617" w:rsidRPr="00C23052" w:rsidP="008B0A69">
      <w:pPr>
        <w:pStyle w:val="BodyText"/>
        <w:tabs>
          <w:tab w:val="num" w:pos="1080"/>
        </w:tabs>
        <w:bidi w:val="0"/>
        <w:jc w:val="both"/>
        <w:rPr>
          <w:rFonts w:ascii="Times New Roman" w:hAnsi="Times New Roman"/>
          <w:b w:val="0"/>
          <w:bCs/>
          <w:lang w:val="pl-PL"/>
        </w:rPr>
      </w:pPr>
    </w:p>
    <w:p w:rsidR="00A22617" w:rsidRPr="00C23052" w:rsidP="008B0A69">
      <w:pPr>
        <w:pStyle w:val="BodyText"/>
        <w:tabs>
          <w:tab w:val="num" w:pos="1080"/>
        </w:tabs>
        <w:bidi w:val="0"/>
        <w:jc w:val="both"/>
        <w:rPr>
          <w:rFonts w:ascii="Times New Roman" w:hAnsi="Times New Roman"/>
          <w:b w:val="0"/>
          <w:bCs/>
          <w:lang w:val="pl-PL"/>
        </w:rPr>
      </w:pPr>
    </w:p>
    <w:p w:rsidR="00A22617" w:rsidRPr="00C23052" w:rsidP="008B0A69">
      <w:pPr>
        <w:pStyle w:val="BodyText"/>
        <w:tabs>
          <w:tab w:val="num" w:pos="1080"/>
        </w:tabs>
        <w:bidi w:val="0"/>
        <w:jc w:val="both"/>
        <w:rPr>
          <w:rFonts w:ascii="Times New Roman" w:hAnsi="Times New Roman"/>
          <w:b w:val="0"/>
          <w:bCs/>
          <w:lang w:val="pl-PL"/>
        </w:rPr>
      </w:pPr>
    </w:p>
    <w:p w:rsidR="00B9559B" w:rsidP="008B0A69">
      <w:pPr>
        <w:pStyle w:val="BodyText"/>
        <w:tabs>
          <w:tab w:val="num" w:pos="1080"/>
        </w:tabs>
        <w:bidi w:val="0"/>
        <w:jc w:val="both"/>
        <w:rPr>
          <w:rFonts w:ascii="Times New Roman" w:hAnsi="Times New Roman"/>
          <w:b w:val="0"/>
          <w:bCs/>
          <w:lang w:val="pl-PL"/>
        </w:rPr>
      </w:pPr>
    </w:p>
    <w:p w:rsidR="00B9559B" w:rsidP="008B0A69">
      <w:pPr>
        <w:pStyle w:val="BodyText"/>
        <w:tabs>
          <w:tab w:val="num" w:pos="1080"/>
        </w:tabs>
        <w:bidi w:val="0"/>
        <w:jc w:val="both"/>
        <w:rPr>
          <w:rFonts w:ascii="Times New Roman" w:hAnsi="Times New Roman"/>
          <w:b w:val="0"/>
          <w:bCs/>
          <w:lang w:val="pl-PL"/>
        </w:rPr>
      </w:pPr>
    </w:p>
    <w:p w:rsidR="00B9559B" w:rsidP="008B0A69">
      <w:pPr>
        <w:pStyle w:val="BodyText"/>
        <w:tabs>
          <w:tab w:val="num" w:pos="1080"/>
        </w:tabs>
        <w:bidi w:val="0"/>
        <w:jc w:val="both"/>
        <w:rPr>
          <w:rFonts w:ascii="Times New Roman" w:hAnsi="Times New Roman"/>
          <w:b w:val="0"/>
          <w:bCs/>
          <w:lang w:val="pl-PL"/>
        </w:rPr>
      </w:pPr>
    </w:p>
    <w:p w:rsidR="00B9559B" w:rsidP="008B0A69">
      <w:pPr>
        <w:pStyle w:val="BodyText"/>
        <w:tabs>
          <w:tab w:val="num" w:pos="1080"/>
        </w:tabs>
        <w:bidi w:val="0"/>
        <w:jc w:val="both"/>
        <w:rPr>
          <w:rFonts w:ascii="Times New Roman" w:hAnsi="Times New Roman"/>
          <w:b w:val="0"/>
          <w:bCs/>
          <w:lang w:val="pl-PL"/>
        </w:rPr>
      </w:pPr>
    </w:p>
    <w:p w:rsidR="00BC6541" w:rsidP="008B0A69">
      <w:pPr>
        <w:pStyle w:val="BodyText"/>
        <w:tabs>
          <w:tab w:val="num" w:pos="1080"/>
        </w:tabs>
        <w:bidi w:val="0"/>
        <w:jc w:val="both"/>
        <w:rPr>
          <w:rFonts w:ascii="Times New Roman" w:hAnsi="Times New Roman"/>
          <w:b w:val="0"/>
          <w:bCs/>
          <w:lang w:val="pl-PL"/>
        </w:rPr>
      </w:pPr>
    </w:p>
    <w:p w:rsidR="00BC6541" w:rsidP="008B0A69">
      <w:pPr>
        <w:pStyle w:val="BodyText"/>
        <w:tabs>
          <w:tab w:val="num" w:pos="1080"/>
        </w:tabs>
        <w:bidi w:val="0"/>
        <w:jc w:val="both"/>
        <w:rPr>
          <w:rFonts w:ascii="Times New Roman" w:hAnsi="Times New Roman"/>
          <w:b w:val="0"/>
          <w:bCs/>
          <w:lang w:val="pl-PL"/>
        </w:rPr>
      </w:pPr>
    </w:p>
    <w:p w:rsidR="00BC6541" w:rsidP="008B0A69">
      <w:pPr>
        <w:pStyle w:val="BodyText"/>
        <w:tabs>
          <w:tab w:val="num" w:pos="1080"/>
        </w:tabs>
        <w:bidi w:val="0"/>
        <w:jc w:val="both"/>
        <w:rPr>
          <w:rFonts w:ascii="Times New Roman" w:hAnsi="Times New Roman"/>
          <w:b w:val="0"/>
          <w:bCs/>
          <w:lang w:val="pl-PL"/>
        </w:rPr>
      </w:pPr>
    </w:p>
    <w:p w:rsidR="00BC6541" w:rsidP="008B0A69">
      <w:pPr>
        <w:pStyle w:val="BodyText"/>
        <w:tabs>
          <w:tab w:val="num" w:pos="1080"/>
        </w:tabs>
        <w:bidi w:val="0"/>
        <w:jc w:val="both"/>
        <w:rPr>
          <w:rFonts w:ascii="Times New Roman" w:hAnsi="Times New Roman"/>
          <w:b w:val="0"/>
          <w:bCs/>
          <w:lang w:val="pl-PL"/>
        </w:rPr>
      </w:pPr>
    </w:p>
    <w:p w:rsidR="00BC6541" w:rsidP="008B0A69">
      <w:pPr>
        <w:pStyle w:val="BodyText"/>
        <w:tabs>
          <w:tab w:val="num" w:pos="1080"/>
        </w:tabs>
        <w:bidi w:val="0"/>
        <w:jc w:val="both"/>
        <w:rPr>
          <w:rFonts w:ascii="Times New Roman" w:hAnsi="Times New Roman"/>
          <w:b w:val="0"/>
          <w:bCs/>
          <w:lang w:val="pl-PL"/>
        </w:rPr>
      </w:pPr>
    </w:p>
    <w:p w:rsidR="00BC6541" w:rsidP="008B0A69">
      <w:pPr>
        <w:pStyle w:val="BodyText"/>
        <w:tabs>
          <w:tab w:val="num" w:pos="1080"/>
        </w:tabs>
        <w:bidi w:val="0"/>
        <w:jc w:val="both"/>
        <w:rPr>
          <w:rFonts w:ascii="Times New Roman" w:hAnsi="Times New Roman"/>
          <w:b w:val="0"/>
          <w:bCs/>
          <w:lang w:val="pl-PL"/>
        </w:rPr>
      </w:pPr>
    </w:p>
    <w:p w:rsidR="00BC6541" w:rsidP="008B0A69">
      <w:pPr>
        <w:pStyle w:val="BodyText"/>
        <w:tabs>
          <w:tab w:val="num" w:pos="1080"/>
        </w:tabs>
        <w:bidi w:val="0"/>
        <w:jc w:val="both"/>
        <w:rPr>
          <w:rFonts w:ascii="Times New Roman" w:hAnsi="Times New Roman"/>
          <w:b w:val="0"/>
          <w:bCs/>
          <w:lang w:val="pl-PL"/>
        </w:rPr>
      </w:pPr>
    </w:p>
    <w:p w:rsidR="00BC6541" w:rsidP="008B0A69">
      <w:pPr>
        <w:pStyle w:val="BodyText"/>
        <w:tabs>
          <w:tab w:val="num" w:pos="1080"/>
        </w:tabs>
        <w:bidi w:val="0"/>
        <w:jc w:val="both"/>
        <w:rPr>
          <w:rFonts w:ascii="Times New Roman" w:hAnsi="Times New Roman"/>
          <w:b w:val="0"/>
          <w:bCs/>
          <w:lang w:val="pl-PL"/>
        </w:rPr>
      </w:pPr>
    </w:p>
    <w:p w:rsidR="00BC6541" w:rsidP="008B0A69">
      <w:pPr>
        <w:pStyle w:val="BodyText"/>
        <w:tabs>
          <w:tab w:val="num" w:pos="1080"/>
        </w:tabs>
        <w:bidi w:val="0"/>
        <w:jc w:val="both"/>
        <w:rPr>
          <w:rFonts w:ascii="Times New Roman" w:hAnsi="Times New Roman"/>
          <w:b w:val="0"/>
          <w:bCs/>
          <w:lang w:val="pl-PL"/>
        </w:rPr>
      </w:pPr>
    </w:p>
    <w:p w:rsidR="00BC6541" w:rsidP="008B0A69">
      <w:pPr>
        <w:pStyle w:val="BodyText"/>
        <w:tabs>
          <w:tab w:val="num" w:pos="1080"/>
        </w:tabs>
        <w:bidi w:val="0"/>
        <w:jc w:val="both"/>
        <w:rPr>
          <w:rFonts w:ascii="Times New Roman" w:hAnsi="Times New Roman"/>
          <w:b w:val="0"/>
          <w:bCs/>
          <w:lang w:val="pl-PL"/>
        </w:rPr>
      </w:pPr>
    </w:p>
    <w:p w:rsidR="00BC6541" w:rsidP="008B0A69">
      <w:pPr>
        <w:pStyle w:val="BodyText"/>
        <w:tabs>
          <w:tab w:val="num" w:pos="1080"/>
        </w:tabs>
        <w:bidi w:val="0"/>
        <w:jc w:val="both"/>
        <w:rPr>
          <w:rFonts w:ascii="Times New Roman" w:hAnsi="Times New Roman"/>
          <w:b w:val="0"/>
          <w:bCs/>
          <w:lang w:val="pl-PL"/>
        </w:rPr>
      </w:pPr>
    </w:p>
    <w:p w:rsidR="00BC6541" w:rsidP="008B0A69">
      <w:pPr>
        <w:pStyle w:val="BodyText"/>
        <w:tabs>
          <w:tab w:val="num" w:pos="1080"/>
        </w:tabs>
        <w:bidi w:val="0"/>
        <w:jc w:val="both"/>
        <w:rPr>
          <w:rFonts w:ascii="Times New Roman" w:hAnsi="Times New Roman"/>
          <w:b w:val="0"/>
          <w:bCs/>
          <w:lang w:val="pl-PL"/>
        </w:rPr>
      </w:pPr>
    </w:p>
    <w:p w:rsidR="00BC6541" w:rsidP="008B0A69">
      <w:pPr>
        <w:pStyle w:val="BodyText"/>
        <w:tabs>
          <w:tab w:val="num" w:pos="1080"/>
        </w:tabs>
        <w:bidi w:val="0"/>
        <w:jc w:val="both"/>
        <w:rPr>
          <w:rFonts w:ascii="Times New Roman" w:hAnsi="Times New Roman"/>
          <w:b w:val="0"/>
          <w:bCs/>
          <w:lang w:val="pl-PL"/>
        </w:rPr>
      </w:pPr>
    </w:p>
    <w:p w:rsidR="00B9559B" w:rsidP="008B0A69">
      <w:pPr>
        <w:pStyle w:val="BodyText"/>
        <w:tabs>
          <w:tab w:val="num" w:pos="1080"/>
        </w:tabs>
        <w:bidi w:val="0"/>
        <w:jc w:val="both"/>
        <w:rPr>
          <w:rFonts w:ascii="Times New Roman" w:hAnsi="Times New Roman"/>
          <w:b w:val="0"/>
          <w:bCs/>
          <w:lang w:val="pl-PL"/>
        </w:rPr>
      </w:pPr>
    </w:p>
    <w:p w:rsidR="00B9559B" w:rsidRPr="00C23052" w:rsidP="008B0A69">
      <w:pPr>
        <w:pStyle w:val="BodyText"/>
        <w:tabs>
          <w:tab w:val="num" w:pos="1080"/>
        </w:tabs>
        <w:bidi w:val="0"/>
        <w:jc w:val="both"/>
        <w:rPr>
          <w:rFonts w:ascii="Times New Roman" w:hAnsi="Times New Roman"/>
          <w:b w:val="0"/>
          <w:bCs/>
          <w:lang w:val="pl-PL"/>
        </w:rPr>
      </w:pPr>
    </w:p>
    <w:p w:rsidR="00A22617" w:rsidRPr="00C23052" w:rsidP="008B0A69">
      <w:pPr>
        <w:pStyle w:val="BodyText"/>
        <w:tabs>
          <w:tab w:val="num" w:pos="1080"/>
        </w:tabs>
        <w:bidi w:val="0"/>
        <w:jc w:val="both"/>
        <w:rPr>
          <w:rFonts w:ascii="Times New Roman" w:hAnsi="Times New Roman"/>
          <w:b w:val="0"/>
          <w:bCs/>
          <w:lang w:val="pl-PL"/>
        </w:rPr>
      </w:pPr>
    </w:p>
    <w:p w:rsidR="00A22617" w:rsidRPr="00C1007E" w:rsidP="00777C47">
      <w:pPr>
        <w:bidi w:val="0"/>
        <w:jc w:val="center"/>
        <w:rPr>
          <w:rFonts w:ascii="Times New Roman" w:hAnsi="Times New Roman"/>
        </w:rPr>
      </w:pPr>
      <w:r w:rsidRPr="00C1007E">
        <w:rPr>
          <w:rFonts w:ascii="Times New Roman" w:hAnsi="Times New Roman"/>
          <w:b/>
          <w:bCs/>
          <w:sz w:val="28"/>
          <w:szCs w:val="28"/>
        </w:rPr>
        <w:t>Vplyvy na rozpočet verejnej správy,</w:t>
      </w:r>
    </w:p>
    <w:p w:rsidR="00A22617" w:rsidRPr="00C1007E" w:rsidP="00777C47">
      <w:pPr>
        <w:bidi w:val="0"/>
        <w:jc w:val="center"/>
        <w:rPr>
          <w:rFonts w:ascii="Times New Roman" w:hAnsi="Times New Roman"/>
        </w:rPr>
      </w:pPr>
      <w:r w:rsidRPr="00C1007E">
        <w:rPr>
          <w:rFonts w:ascii="Times New Roman" w:hAnsi="Times New Roman"/>
          <w:b/>
          <w:bCs/>
          <w:sz w:val="28"/>
          <w:szCs w:val="28"/>
        </w:rPr>
        <w:t>na zamestnanosť vo verejnej správe a financovanie návrhu</w:t>
      </w:r>
    </w:p>
    <w:p w:rsidR="00A22617" w:rsidRPr="00C1007E" w:rsidP="00777C47">
      <w:pPr>
        <w:bidi w:val="0"/>
        <w:rPr>
          <w:rFonts w:ascii="Times New Roman" w:hAnsi="Times New Roman"/>
        </w:rPr>
      </w:pPr>
    </w:p>
    <w:p w:rsidR="00A22617" w:rsidRPr="00C1007E" w:rsidP="00902FA1">
      <w:pPr>
        <w:bidi w:val="0"/>
        <w:spacing w:after="120"/>
        <w:rPr>
          <w:rFonts w:ascii="Times New Roman" w:hAnsi="Times New Roman"/>
          <w:b/>
          <w:bCs/>
        </w:rPr>
      </w:pPr>
      <w:r w:rsidRPr="00C1007E">
        <w:rPr>
          <w:rFonts w:ascii="Times New Roman" w:hAnsi="Times New Roman"/>
          <w:b/>
          <w:bCs/>
        </w:rPr>
        <w:t>2.1. Zhrnutie vplyvov na rozpočet verejnej správy</w:t>
      </w:r>
    </w:p>
    <w:p w:rsidR="00A22617" w:rsidP="006077A2">
      <w:pPr>
        <w:bidi w:val="0"/>
        <w:jc w:val="both"/>
        <w:rPr>
          <w:rFonts w:ascii="Times New Roman" w:hAnsi="Times New Roman"/>
          <w:bCs/>
        </w:rPr>
      </w:pPr>
    </w:p>
    <w:p w:rsidR="00A22617" w:rsidP="006077A2">
      <w:pPr>
        <w:bidi w:val="0"/>
        <w:jc w:val="both"/>
        <w:rPr>
          <w:rFonts w:ascii="Times New Roman" w:hAnsi="Times New Roman"/>
        </w:rPr>
      </w:pPr>
      <w:r>
        <w:rPr>
          <w:rFonts w:ascii="Times New Roman" w:hAnsi="Times New Roman"/>
        </w:rPr>
        <w:t xml:space="preserve">     F</w:t>
      </w:r>
      <w:r w:rsidRPr="00222A61">
        <w:rPr>
          <w:rFonts w:ascii="Times New Roman" w:hAnsi="Times New Roman"/>
        </w:rPr>
        <w:t xml:space="preserve">inančné </w:t>
      </w:r>
      <w:r>
        <w:rPr>
          <w:rFonts w:ascii="Times New Roman" w:hAnsi="Times New Roman"/>
        </w:rPr>
        <w:t>vplyvy</w:t>
      </w:r>
      <w:r w:rsidRPr="00222A61">
        <w:rPr>
          <w:rFonts w:ascii="Times New Roman" w:hAnsi="Times New Roman"/>
        </w:rPr>
        <w:t xml:space="preserve"> návrhu zákona</w:t>
      </w:r>
      <w:r>
        <w:rPr>
          <w:rFonts w:ascii="Times New Roman" w:hAnsi="Times New Roman"/>
        </w:rPr>
        <w:t xml:space="preserve"> </w:t>
      </w:r>
      <w:r w:rsidRPr="005C6FFD">
        <w:rPr>
          <w:rFonts w:ascii="Times New Roman" w:hAnsi="Times New Roman"/>
          <w:bCs/>
        </w:rPr>
        <w:t>o úprave príjmu zo závislej činnosti a o zmene a doplnení niektorých zákonov</w:t>
      </w:r>
      <w:r>
        <w:rPr>
          <w:rFonts w:ascii="Times New Roman" w:hAnsi="Times New Roman"/>
          <w:bCs/>
        </w:rPr>
        <w:t xml:space="preserve"> vrátane finančných vplyvov </w:t>
      </w:r>
      <w:r>
        <w:rPr>
          <w:rFonts w:ascii="Times New Roman" w:hAnsi="Times New Roman"/>
        </w:rPr>
        <w:t>doplnením</w:t>
      </w:r>
      <w:r w:rsidRPr="00755084">
        <w:rPr>
          <w:rFonts w:ascii="Times New Roman" w:hAnsi="Times New Roman"/>
        </w:rPr>
        <w:t xml:space="preserve"> zákon</w:t>
      </w:r>
      <w:r>
        <w:rPr>
          <w:rFonts w:ascii="Times New Roman" w:hAnsi="Times New Roman"/>
        </w:rPr>
        <w:t>a</w:t>
      </w:r>
      <w:r w:rsidRPr="00755084">
        <w:rPr>
          <w:rFonts w:ascii="Times New Roman" w:hAnsi="Times New Roman"/>
        </w:rPr>
        <w:t xml:space="preserve"> č. 595/2003 Z. z. o dani z príjmov v znení neskorších predpisov</w:t>
      </w:r>
      <w:r>
        <w:rPr>
          <w:rFonts w:ascii="Times New Roman" w:hAnsi="Times New Roman"/>
        </w:rPr>
        <w:t>,</w:t>
      </w:r>
      <w:r w:rsidRPr="00222A61">
        <w:rPr>
          <w:rFonts w:ascii="Times New Roman" w:hAnsi="Times New Roman"/>
        </w:rPr>
        <w:t xml:space="preserve"> </w:t>
      </w:r>
      <w:r>
        <w:rPr>
          <w:rFonts w:ascii="Times New Roman" w:hAnsi="Times New Roman"/>
        </w:rPr>
        <w:t>vplyvy</w:t>
      </w:r>
      <w:r w:rsidRPr="00222A61">
        <w:rPr>
          <w:rFonts w:ascii="Times New Roman" w:hAnsi="Times New Roman"/>
        </w:rPr>
        <w:t xml:space="preserve"> návrhu zákona, ktorým sa mení a dopĺňa zákon č. 461/2003 Z. z. o sociálnom  poistení v znení neskorších  predpisov a ktorým sa mení zákon č. 462/2003 Z. z. o náhrade príjmu pri dočasnej pracovnej neschopnosti zamestnanca a o zmene a doplnení niektorých zákonov v znení neskorších predpisov</w:t>
      </w:r>
      <w:r>
        <w:rPr>
          <w:rFonts w:ascii="Times New Roman" w:hAnsi="Times New Roman"/>
        </w:rPr>
        <w:t xml:space="preserve">, vplyvy zákona č. 580/2003 Z. z. </w:t>
      </w:r>
      <w:r w:rsidRPr="00540478">
        <w:rPr>
          <w:rFonts w:ascii="Times New Roman" w:hAnsi="Times New Roman"/>
        </w:rPr>
        <w:t>o</w:t>
      </w:r>
      <w:r w:rsidRPr="001A2949">
        <w:rPr>
          <w:rFonts w:ascii="Times New Roman" w:hAnsi="Times New Roman"/>
        </w:rPr>
        <w:t xml:space="preserve"> zdravotnom poistení </w:t>
      </w:r>
      <w:r w:rsidRPr="000935BB">
        <w:rPr>
          <w:rFonts w:ascii="Times New Roman" w:hAnsi="Times New Roman"/>
          <w:color w:val="000000"/>
        </w:rPr>
        <w:t>a o zmene a doplnení zákona č. 95/2002 Z. z. o poisťovníctve a o zmene a doplnení niektorých zákonov v znení neskorších predpisov</w:t>
      </w:r>
      <w:r>
        <w:rPr>
          <w:rFonts w:ascii="Times New Roman" w:hAnsi="Times New Roman"/>
          <w:color w:val="000000"/>
        </w:rPr>
        <w:t xml:space="preserve">, </w:t>
      </w:r>
      <w:r w:rsidRPr="001A2949">
        <w:rPr>
          <w:rFonts w:ascii="Times New Roman" w:hAnsi="Times New Roman"/>
        </w:rPr>
        <w:t>sa porovnávajú so súčasným legislatívnym rámcom</w:t>
      </w:r>
      <w:r>
        <w:rPr>
          <w:rFonts w:ascii="Times New Roman" w:hAnsi="Times New Roman"/>
        </w:rPr>
        <w:t>,</w:t>
      </w:r>
      <w:r w:rsidRPr="001A2949">
        <w:rPr>
          <w:rFonts w:ascii="Times New Roman" w:hAnsi="Times New Roman"/>
        </w:rPr>
        <w:t xml:space="preserve"> ako aj schválenými východiskami rozpočtu</w:t>
      </w:r>
      <w:r w:rsidRPr="00222A61">
        <w:rPr>
          <w:rFonts w:ascii="Times New Roman" w:hAnsi="Times New Roman"/>
        </w:rPr>
        <w:t xml:space="preserve"> verenej správy na roky 2012 až 2014</w:t>
      </w:r>
      <w:r>
        <w:rPr>
          <w:rFonts w:ascii="Times New Roman" w:hAnsi="Times New Roman"/>
        </w:rPr>
        <w:t xml:space="preserve"> vrátane návrhu východísk rozpočtu Sociálnej poisťovne a zdravotných poisťovní</w:t>
      </w:r>
      <w:r w:rsidRPr="00222A61">
        <w:rPr>
          <w:rFonts w:ascii="Times New Roman" w:hAnsi="Times New Roman"/>
        </w:rPr>
        <w:t>.</w:t>
      </w:r>
      <w:r w:rsidR="00F82CA6">
        <w:rPr>
          <w:rFonts w:ascii="Times New Roman" w:hAnsi="Times New Roman"/>
        </w:rPr>
        <w:t xml:space="preserve"> Finančné vplyvy navrhovaných opatrení zohľadňujú makroekonomickú prognózu IFP z júna 2011.</w:t>
      </w:r>
    </w:p>
    <w:p w:rsidR="00A22617" w:rsidP="006077A2">
      <w:pPr>
        <w:bidi w:val="0"/>
        <w:jc w:val="both"/>
        <w:rPr>
          <w:rFonts w:ascii="Times New Roman" w:hAnsi="Times New Roman"/>
          <w:bCs/>
        </w:rPr>
      </w:pPr>
    </w:p>
    <w:p w:rsidR="00506952" w:rsidRPr="00506952" w:rsidP="006077A2">
      <w:pPr>
        <w:bidi w:val="0"/>
        <w:jc w:val="both"/>
        <w:rPr>
          <w:rFonts w:ascii="Times New Roman" w:hAnsi="Times New Roman"/>
          <w:bCs/>
        </w:rPr>
      </w:pPr>
      <w:r w:rsidR="00A22617">
        <w:rPr>
          <w:rFonts w:ascii="Times New Roman" w:hAnsi="Times New Roman"/>
          <w:bCs/>
        </w:rPr>
        <w:t xml:space="preserve">     </w:t>
      </w:r>
      <w:r w:rsidRPr="00C1007E" w:rsidR="00A22617">
        <w:rPr>
          <w:rFonts w:ascii="Times New Roman" w:hAnsi="Times New Roman"/>
          <w:bCs/>
        </w:rPr>
        <w:t xml:space="preserve">Vplyvy </w:t>
      </w:r>
      <w:r w:rsidR="00A0164B">
        <w:rPr>
          <w:rFonts w:ascii="Times New Roman" w:hAnsi="Times New Roman"/>
          <w:bCs/>
        </w:rPr>
        <w:t>predloženého návrhu na príjmy a výdavky dotknutých kapitol štátneho rozpočtu a subjektov verejnej správy sú porovnávané v rokoch 2012 až 2014 k schváleným východiskám rozpočtu verejnej správy na roky 2012 až 2014. Doložka zobrazuje vplyvy v metodike ESA95.</w:t>
      </w:r>
    </w:p>
    <w:p w:rsidR="00A22617" w:rsidP="00777C47">
      <w:pPr>
        <w:bidi w:val="0"/>
        <w:rPr>
          <w:rFonts w:ascii="Times New Roman" w:hAnsi="Times New Roman"/>
        </w:rPr>
      </w:pPr>
    </w:p>
    <w:p w:rsidR="00BC6541" w:rsidRPr="00C1007E" w:rsidP="00777C47">
      <w:pPr>
        <w:bidi w:val="0"/>
        <w:rPr>
          <w:rFonts w:ascii="Times New Roman" w:hAnsi="Times New Roman"/>
        </w:rPr>
      </w:pPr>
      <w:r>
        <w:rPr>
          <w:rFonts w:ascii="Times New Roman" w:hAnsi="Times New Roman"/>
        </w:rPr>
        <w:tab/>
        <w:tab/>
        <w:tab/>
        <w:tab/>
        <w:tab/>
        <w:tab/>
        <w:tab/>
        <w:tab/>
        <w:tab/>
        <w:tab/>
        <w:t>Tabuľka č. 1</w:t>
      </w:r>
    </w:p>
    <w:tbl>
      <w:tblPr>
        <w:tblStyle w:val="TableNormal"/>
        <w:tblW w:w="9709" w:type="dxa"/>
        <w:tblInd w:w="70" w:type="dxa"/>
        <w:tblLayout w:type="fixed"/>
        <w:tblCellMar>
          <w:left w:w="0" w:type="dxa"/>
          <w:right w:w="0" w:type="dxa"/>
        </w:tblCellMar>
      </w:tblPr>
      <w:tblGrid>
        <w:gridCol w:w="4253"/>
        <w:gridCol w:w="1257"/>
        <w:gridCol w:w="1436"/>
        <w:gridCol w:w="1363"/>
        <w:gridCol w:w="1400"/>
      </w:tblGrid>
      <w:tr>
        <w:tblPrEx>
          <w:tblW w:w="9709" w:type="dxa"/>
          <w:tblInd w:w="70" w:type="dxa"/>
          <w:tblLayout w:type="fixed"/>
          <w:tblCellMar>
            <w:left w:w="0" w:type="dxa"/>
            <w:right w:w="0" w:type="dxa"/>
          </w:tblCellMar>
        </w:tblPrEx>
        <w:trPr>
          <w:trHeight w:val="194"/>
          <w:tblHeader/>
        </w:trPr>
        <w:tc>
          <w:tcPr>
            <w:tcW w:w="4253"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43D03" w:rsidRPr="00772706" w:rsidP="00A231F2">
            <w:pPr>
              <w:bidi w:val="0"/>
              <w:spacing w:before="60" w:after="60" w:line="194" w:lineRule="atLeast"/>
              <w:jc w:val="center"/>
              <w:rPr>
                <w:rFonts w:ascii="Times New Roman" w:hAnsi="Times New Roman"/>
                <w:sz w:val="20"/>
                <w:szCs w:val="20"/>
              </w:rPr>
            </w:pPr>
            <w:r w:rsidR="006727E0">
              <w:rPr>
                <w:rFonts w:ascii="Times New Roman" w:hAnsi="Times New Roman"/>
              </w:rPr>
              <w:tab/>
              <w:tab/>
              <w:tab/>
              <w:tab/>
              <w:tab/>
              <w:tab/>
              <w:tab/>
              <w:tab/>
              <w:tab/>
              <w:tab/>
              <w:tab/>
            </w:r>
            <w:r w:rsidRPr="00772706">
              <w:rPr>
                <w:rFonts w:ascii="Times New Roman" w:hAnsi="Times New Roman"/>
                <w:b/>
                <w:bCs/>
                <w:sz w:val="20"/>
                <w:szCs w:val="20"/>
              </w:rPr>
              <w:t>Vplyvy na rozpočet verejnej správy</w:t>
            </w:r>
          </w:p>
        </w:tc>
        <w:tc>
          <w:tcPr>
            <w:tcW w:w="5456" w:type="dxa"/>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43D03" w:rsidRPr="00772706" w:rsidP="00A231F2">
            <w:pPr>
              <w:bidi w:val="0"/>
              <w:spacing w:before="60" w:after="60" w:line="194" w:lineRule="atLeast"/>
              <w:jc w:val="center"/>
              <w:rPr>
                <w:rFonts w:ascii="Times New Roman" w:hAnsi="Times New Roman"/>
                <w:sz w:val="20"/>
                <w:szCs w:val="20"/>
              </w:rPr>
            </w:pPr>
            <w:r w:rsidRPr="00772706">
              <w:rPr>
                <w:rFonts w:ascii="Times New Roman" w:hAnsi="Times New Roman"/>
                <w:b/>
                <w:bCs/>
                <w:sz w:val="20"/>
                <w:szCs w:val="20"/>
              </w:rPr>
              <w:t>Vplyv na rozpočet verejnej správy (v eurách)</w:t>
            </w:r>
          </w:p>
        </w:tc>
      </w:tr>
      <w:tr>
        <w:tblPrEx>
          <w:tblW w:w="9709" w:type="dxa"/>
          <w:tblInd w:w="70" w:type="dxa"/>
          <w:tblLayout w:type="fixed"/>
          <w:tblCellMar>
            <w:left w:w="0" w:type="dxa"/>
            <w:right w:w="0" w:type="dxa"/>
          </w:tblCellMar>
        </w:tblPrEx>
        <w:trPr>
          <w:trHeight w:val="70"/>
          <w:tblHeader/>
        </w:trPr>
        <w:tc>
          <w:tcPr>
            <w:tcW w:w="4253" w:type="dxa"/>
            <w:vMerge/>
            <w:tcBorders>
              <w:top w:val="single" w:sz="4" w:space="0" w:color="000000"/>
              <w:left w:val="single" w:sz="4" w:space="0" w:color="000000"/>
              <w:bottom w:val="single" w:sz="4" w:space="0" w:color="000000"/>
              <w:right w:val="single" w:sz="4" w:space="0" w:color="000000"/>
            </w:tcBorders>
            <w:textDirection w:val="lrTb"/>
            <w:vAlign w:val="center"/>
          </w:tcPr>
          <w:p w:rsidR="00243D03" w:rsidRPr="00772706" w:rsidP="00A231F2">
            <w:pPr>
              <w:bidi w:val="0"/>
              <w:spacing w:before="60" w:after="60"/>
              <w:rPr>
                <w:rFonts w:ascii="Times New Roman" w:hAnsi="Times New Roman"/>
                <w:sz w:val="20"/>
                <w:szCs w:val="20"/>
              </w:rPr>
            </w:pPr>
          </w:p>
        </w:tc>
        <w:tc>
          <w:tcPr>
            <w:tcW w:w="125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43D03" w:rsidRPr="00772706" w:rsidP="00A231F2">
            <w:pPr>
              <w:bidi w:val="0"/>
              <w:spacing w:before="60" w:after="60" w:line="70" w:lineRule="atLeast"/>
              <w:jc w:val="center"/>
              <w:rPr>
                <w:rFonts w:ascii="Times New Roman" w:hAnsi="Times New Roman"/>
                <w:sz w:val="20"/>
                <w:szCs w:val="20"/>
              </w:rPr>
            </w:pPr>
            <w:r w:rsidRPr="00772706">
              <w:rPr>
                <w:rFonts w:ascii="Times New Roman" w:hAnsi="Times New Roman"/>
                <w:b/>
                <w:bCs/>
                <w:sz w:val="20"/>
                <w:szCs w:val="20"/>
              </w:rPr>
              <w:t>2011</w:t>
            </w:r>
          </w:p>
        </w:tc>
        <w:tc>
          <w:tcPr>
            <w:tcW w:w="1436"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43D03" w:rsidRPr="00772706" w:rsidP="00A231F2">
            <w:pPr>
              <w:bidi w:val="0"/>
              <w:spacing w:before="60" w:after="60" w:line="70" w:lineRule="atLeast"/>
              <w:jc w:val="center"/>
              <w:rPr>
                <w:rFonts w:ascii="Times New Roman" w:hAnsi="Times New Roman"/>
                <w:sz w:val="20"/>
                <w:szCs w:val="20"/>
              </w:rPr>
            </w:pPr>
            <w:r w:rsidRPr="00772706">
              <w:rPr>
                <w:rFonts w:ascii="Times New Roman" w:hAnsi="Times New Roman"/>
                <w:b/>
                <w:bCs/>
                <w:sz w:val="20"/>
                <w:szCs w:val="20"/>
              </w:rPr>
              <w:t>2012</w:t>
            </w:r>
          </w:p>
        </w:tc>
        <w:tc>
          <w:tcPr>
            <w:tcW w:w="1363"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43D03" w:rsidRPr="00772706" w:rsidP="00A231F2">
            <w:pPr>
              <w:bidi w:val="0"/>
              <w:spacing w:before="60" w:after="60" w:line="70" w:lineRule="atLeast"/>
              <w:jc w:val="center"/>
              <w:rPr>
                <w:rFonts w:ascii="Times New Roman" w:hAnsi="Times New Roman"/>
                <w:sz w:val="20"/>
                <w:szCs w:val="20"/>
              </w:rPr>
            </w:pPr>
            <w:r w:rsidRPr="00772706">
              <w:rPr>
                <w:rFonts w:ascii="Times New Roman" w:hAnsi="Times New Roman"/>
                <w:b/>
                <w:bCs/>
                <w:sz w:val="20"/>
                <w:szCs w:val="20"/>
              </w:rPr>
              <w:t>2013</w:t>
            </w:r>
          </w:p>
        </w:tc>
        <w:tc>
          <w:tcPr>
            <w:tcW w:w="140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43D03" w:rsidRPr="00772706" w:rsidP="00A231F2">
            <w:pPr>
              <w:bidi w:val="0"/>
              <w:spacing w:before="60" w:after="60" w:line="70" w:lineRule="atLeast"/>
              <w:jc w:val="center"/>
              <w:rPr>
                <w:rFonts w:ascii="Times New Roman" w:hAnsi="Times New Roman"/>
                <w:sz w:val="20"/>
                <w:szCs w:val="20"/>
              </w:rPr>
            </w:pPr>
            <w:r w:rsidRPr="00772706">
              <w:rPr>
                <w:rFonts w:ascii="Times New Roman" w:hAnsi="Times New Roman"/>
                <w:b/>
                <w:bCs/>
                <w:sz w:val="20"/>
                <w:szCs w:val="20"/>
              </w:rPr>
              <w:t>2014</w:t>
            </w: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47678" w:rsidRPr="00772706" w:rsidP="00A231F2">
            <w:pPr>
              <w:bidi w:val="0"/>
              <w:spacing w:before="60" w:after="60" w:line="70" w:lineRule="atLeast"/>
              <w:rPr>
                <w:rFonts w:ascii="Times New Roman" w:hAnsi="Times New Roman"/>
                <w:sz w:val="20"/>
                <w:szCs w:val="20"/>
              </w:rPr>
            </w:pPr>
            <w:r w:rsidRPr="00772706">
              <w:rPr>
                <w:rFonts w:ascii="Times New Roman" w:hAnsi="Times New Roman"/>
                <w:b/>
                <w:bCs/>
                <w:sz w:val="20"/>
                <w:szCs w:val="20"/>
              </w:rPr>
              <w:t>Príjmy verejnej správy celkom</w:t>
            </w:r>
          </w:p>
        </w:tc>
        <w:tc>
          <w:tcPr>
            <w:tcW w:w="125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47678" w:rsidRPr="00772706" w:rsidP="00A231F2">
            <w:pPr>
              <w:bidi w:val="0"/>
              <w:spacing w:before="60" w:after="60" w:line="70" w:lineRule="atLeast"/>
              <w:jc w:val="right"/>
              <w:rPr>
                <w:rFonts w:ascii="Times New Roman" w:hAnsi="Times New Roman"/>
                <w:b/>
                <w:sz w:val="20"/>
                <w:szCs w:val="20"/>
              </w:rPr>
            </w:pPr>
            <w:r>
              <w:rPr>
                <w:rFonts w:ascii="Times New Roman" w:hAnsi="Times New Roman"/>
                <w:b/>
                <w:bCs/>
                <w:color w:val="000000"/>
                <w:sz w:val="20"/>
                <w:szCs w:val="20"/>
              </w:rPr>
              <w:t>3 814 569</w:t>
            </w:r>
          </w:p>
        </w:tc>
        <w:tc>
          <w:tcPr>
            <w:tcW w:w="143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47678" w:rsidRPr="00772706" w:rsidP="00A231F2">
            <w:pPr>
              <w:bidi w:val="0"/>
              <w:jc w:val="right"/>
              <w:rPr>
                <w:rFonts w:ascii="Times New Roman" w:hAnsi="Times New Roman"/>
                <w:b/>
                <w:bCs/>
                <w:color w:val="000000"/>
                <w:sz w:val="20"/>
                <w:szCs w:val="20"/>
              </w:rPr>
            </w:pPr>
            <w:r>
              <w:rPr>
                <w:rFonts w:ascii="Times New Roman" w:hAnsi="Times New Roman"/>
                <w:b/>
                <w:bCs/>
                <w:color w:val="000000"/>
                <w:sz w:val="20"/>
                <w:szCs w:val="20"/>
              </w:rPr>
              <w:t>1 615 460 318</w:t>
            </w:r>
          </w:p>
        </w:tc>
        <w:tc>
          <w:tcPr>
            <w:tcW w:w="136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47678" w:rsidRPr="00772706" w:rsidP="00A231F2">
            <w:pPr>
              <w:bidi w:val="0"/>
              <w:jc w:val="right"/>
              <w:rPr>
                <w:rFonts w:ascii="Times New Roman" w:hAnsi="Times New Roman"/>
                <w:b/>
                <w:bCs/>
                <w:color w:val="000000"/>
                <w:sz w:val="20"/>
                <w:szCs w:val="20"/>
              </w:rPr>
            </w:pPr>
            <w:r>
              <w:rPr>
                <w:rFonts w:ascii="Times New Roman" w:hAnsi="Times New Roman"/>
                <w:b/>
                <w:bCs/>
                <w:color w:val="000000"/>
                <w:sz w:val="20"/>
                <w:szCs w:val="20"/>
              </w:rPr>
              <w:t>1 730 457 948</w:t>
            </w:r>
          </w:p>
        </w:tc>
        <w:tc>
          <w:tcPr>
            <w:tcW w:w="140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47678" w:rsidRPr="00772706" w:rsidP="00A231F2">
            <w:pPr>
              <w:bidi w:val="0"/>
              <w:jc w:val="right"/>
              <w:rPr>
                <w:rFonts w:ascii="Times New Roman" w:hAnsi="Times New Roman"/>
                <w:b/>
                <w:bCs/>
                <w:color w:val="000000"/>
                <w:sz w:val="20"/>
                <w:szCs w:val="20"/>
              </w:rPr>
            </w:pPr>
            <w:r>
              <w:rPr>
                <w:rFonts w:ascii="Times New Roman" w:hAnsi="Times New Roman"/>
                <w:b/>
                <w:bCs/>
                <w:color w:val="000000"/>
                <w:sz w:val="20"/>
                <w:szCs w:val="20"/>
              </w:rPr>
              <w:t>1 852 012 507</w:t>
            </w:r>
          </w:p>
        </w:tc>
      </w:tr>
      <w:tr>
        <w:tblPrEx>
          <w:tblW w:w="9709" w:type="dxa"/>
          <w:tblInd w:w="70" w:type="dxa"/>
          <w:tblLayout w:type="fixed"/>
          <w:tblCellMar>
            <w:left w:w="0" w:type="dxa"/>
            <w:right w:w="0" w:type="dxa"/>
          </w:tblCellMar>
        </w:tblPrEx>
        <w:trPr>
          <w:trHeight w:val="132"/>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43D03" w:rsidRPr="00772706" w:rsidP="00A231F2">
            <w:pPr>
              <w:bidi w:val="0"/>
              <w:spacing w:before="60" w:after="60"/>
              <w:rPr>
                <w:rFonts w:ascii="Times New Roman" w:hAnsi="Times New Roman"/>
                <w:sz w:val="20"/>
                <w:szCs w:val="20"/>
              </w:rPr>
            </w:pPr>
            <w:r w:rsidRPr="00772706">
              <w:rPr>
                <w:rFonts w:ascii="Times New Roman" w:hAnsi="Times New Roman"/>
                <w:sz w:val="20"/>
                <w:szCs w:val="20"/>
              </w:rPr>
              <w:t>v tom: za každý subjekt verejnej správy zvlášť</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43D03" w:rsidRPr="00772706" w:rsidP="00A231F2">
            <w:pPr>
              <w:bidi w:val="0"/>
              <w:spacing w:before="60" w:after="60"/>
              <w:jc w:val="right"/>
              <w:rPr>
                <w:rFonts w:ascii="Times New Roman" w:hAnsi="Times New Roman"/>
                <w:sz w:val="20"/>
                <w:szCs w:val="20"/>
              </w:rPr>
            </w:pP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43D03" w:rsidRPr="00772706" w:rsidP="00A231F2">
            <w:pPr>
              <w:bidi w:val="0"/>
              <w:spacing w:before="60" w:after="60"/>
              <w:jc w:val="right"/>
              <w:rPr>
                <w:rFonts w:ascii="Times New Roman" w:hAnsi="Times New Roman"/>
                <w:color w:val="000000"/>
                <w:sz w:val="20"/>
                <w:szCs w:val="20"/>
              </w:rPr>
            </w:pP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43D03" w:rsidRPr="00772706" w:rsidP="00A231F2">
            <w:pPr>
              <w:bidi w:val="0"/>
              <w:spacing w:before="60" w:after="60"/>
              <w:jc w:val="right"/>
              <w:rPr>
                <w:rFonts w:ascii="Times New Roman" w:hAnsi="Times New Roman"/>
                <w:color w:val="000000"/>
                <w:sz w:val="20"/>
                <w:szCs w:val="20"/>
              </w:rPr>
            </w:pP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43D03" w:rsidRPr="00772706" w:rsidP="00A231F2">
            <w:pPr>
              <w:bidi w:val="0"/>
              <w:spacing w:before="60" w:after="60"/>
              <w:jc w:val="right"/>
              <w:rPr>
                <w:rFonts w:ascii="Times New Roman" w:hAnsi="Times New Roman"/>
                <w:color w:val="000000"/>
                <w:sz w:val="20"/>
                <w:szCs w:val="20"/>
              </w:rPr>
            </w:pPr>
          </w:p>
        </w:tc>
      </w:tr>
      <w:tr>
        <w:tblPrEx>
          <w:tblW w:w="9709" w:type="dxa"/>
          <w:tblInd w:w="70" w:type="dxa"/>
          <w:tblLayout w:type="fixed"/>
          <w:tblCellMar>
            <w:left w:w="0" w:type="dxa"/>
            <w:right w:w="0" w:type="dxa"/>
          </w:tblCellMar>
        </w:tblPrEx>
        <w:trPr>
          <w:trHeight w:val="132"/>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rPr>
                <w:rFonts w:ascii="Times New Roman" w:hAnsi="Times New Roman"/>
                <w:sz w:val="20"/>
                <w:szCs w:val="20"/>
              </w:rPr>
            </w:pPr>
            <w:r w:rsidRPr="00772706">
              <w:rPr>
                <w:rFonts w:ascii="Times New Roman" w:hAnsi="Times New Roman"/>
                <w:b/>
                <w:bCs/>
                <w:i/>
                <w:iCs/>
                <w:color w:val="000000"/>
                <w:sz w:val="20"/>
                <w:szCs w:val="20"/>
              </w:rPr>
              <w:t xml:space="preserve"> - Sociálna poisťovňa</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b/>
                <w:bCs/>
                <w:i/>
                <w:iCs/>
                <w:color w:val="000000"/>
                <w:sz w:val="20"/>
                <w:szCs w:val="20"/>
              </w:rPr>
              <w:t>0</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color w:val="000000"/>
                <w:sz w:val="20"/>
                <w:szCs w:val="20"/>
              </w:rPr>
            </w:pPr>
            <w:r>
              <w:rPr>
                <w:rFonts w:ascii="Times New Roman" w:hAnsi="Times New Roman"/>
                <w:b/>
                <w:bCs/>
                <w:i/>
                <w:iCs/>
                <w:color w:val="000000"/>
                <w:sz w:val="20"/>
                <w:szCs w:val="20"/>
              </w:rPr>
              <w:t>-48 658 733</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color w:val="000000"/>
                <w:sz w:val="20"/>
                <w:szCs w:val="20"/>
              </w:rPr>
            </w:pPr>
            <w:r>
              <w:rPr>
                <w:rFonts w:ascii="Times New Roman" w:hAnsi="Times New Roman"/>
                <w:b/>
                <w:bCs/>
                <w:i/>
                <w:iCs/>
                <w:color w:val="000000"/>
                <w:sz w:val="20"/>
                <w:szCs w:val="20"/>
              </w:rPr>
              <w:t>-51 359 726</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color w:val="000000"/>
                <w:sz w:val="20"/>
                <w:szCs w:val="20"/>
              </w:rPr>
            </w:pPr>
            <w:r>
              <w:rPr>
                <w:rFonts w:ascii="Times New Roman" w:hAnsi="Times New Roman"/>
                <w:b/>
                <w:bCs/>
                <w:i/>
                <w:iCs/>
                <w:color w:val="000000"/>
                <w:sz w:val="20"/>
                <w:szCs w:val="20"/>
              </w:rPr>
              <w:t>-54 710 331</w:t>
            </w:r>
          </w:p>
        </w:tc>
      </w:tr>
      <w:tr>
        <w:tblPrEx>
          <w:tblW w:w="9709" w:type="dxa"/>
          <w:tblInd w:w="70" w:type="dxa"/>
          <w:tblLayout w:type="fixed"/>
          <w:tblCellMar>
            <w:left w:w="0" w:type="dxa"/>
            <w:right w:w="0" w:type="dxa"/>
          </w:tblCellMar>
        </w:tblPrEx>
        <w:trPr>
          <w:trHeight w:val="132"/>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tabs>
                <w:tab w:val="left" w:pos="356"/>
              </w:tabs>
              <w:bidi w:val="0"/>
              <w:spacing w:before="60" w:after="60"/>
              <w:ind w:left="356" w:hanging="142"/>
              <w:rPr>
                <w:rFonts w:ascii="Times New Roman" w:hAnsi="Times New Roman"/>
                <w:sz w:val="20"/>
                <w:szCs w:val="20"/>
              </w:rPr>
            </w:pPr>
            <w:r w:rsidRPr="00772706">
              <w:rPr>
                <w:rFonts w:ascii="Times New Roman" w:hAnsi="Times New Roman"/>
                <w:color w:val="000000"/>
                <w:sz w:val="20"/>
                <w:szCs w:val="20"/>
              </w:rPr>
              <w:t xml:space="preserve">- </w:t>
            </w:r>
            <w:r>
              <w:rPr>
                <w:rFonts w:ascii="Times New Roman" w:hAnsi="Times New Roman"/>
                <w:color w:val="000000"/>
                <w:sz w:val="20"/>
                <w:szCs w:val="20"/>
              </w:rPr>
              <w:tab/>
            </w:r>
            <w:r w:rsidRPr="008B0F92">
              <w:rPr>
                <w:rFonts w:ascii="Times New Roman" w:hAnsi="Times New Roman"/>
                <w:sz w:val="20"/>
                <w:szCs w:val="20"/>
              </w:rPr>
              <w:t>poistné EAO</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color w:val="000000"/>
                <w:sz w:val="20"/>
                <w:szCs w:val="20"/>
              </w:rPr>
            </w:pPr>
            <w:r>
              <w:rPr>
                <w:rFonts w:ascii="Times New Roman" w:hAnsi="Times New Roman"/>
                <w:color w:val="000000"/>
                <w:sz w:val="20"/>
                <w:szCs w:val="20"/>
              </w:rPr>
              <w:t>-1 407 973 446</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color w:val="000000"/>
                <w:sz w:val="20"/>
                <w:szCs w:val="20"/>
              </w:rPr>
            </w:pPr>
            <w:r>
              <w:rPr>
                <w:rFonts w:ascii="Times New Roman" w:hAnsi="Times New Roman"/>
                <w:color w:val="000000"/>
                <w:sz w:val="20"/>
                <w:szCs w:val="20"/>
              </w:rPr>
              <w:t>-1 466 826 825</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color w:val="000000"/>
                <w:sz w:val="20"/>
                <w:szCs w:val="20"/>
              </w:rPr>
            </w:pPr>
            <w:r>
              <w:rPr>
                <w:rFonts w:ascii="Times New Roman" w:hAnsi="Times New Roman"/>
                <w:color w:val="000000"/>
                <w:sz w:val="20"/>
                <w:szCs w:val="20"/>
              </w:rPr>
              <w:t>-1 572 843 463</w:t>
            </w:r>
          </w:p>
        </w:tc>
      </w:tr>
      <w:tr>
        <w:tblPrEx>
          <w:tblW w:w="9709" w:type="dxa"/>
          <w:tblInd w:w="70" w:type="dxa"/>
          <w:tblLayout w:type="fixed"/>
          <w:tblCellMar>
            <w:left w:w="0" w:type="dxa"/>
            <w:right w:w="0" w:type="dxa"/>
          </w:tblCellMar>
        </w:tblPrEx>
        <w:trPr>
          <w:trHeight w:val="132"/>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tabs>
                <w:tab w:val="left" w:pos="356"/>
              </w:tabs>
              <w:bidi w:val="0"/>
              <w:spacing w:before="60" w:after="60"/>
              <w:rPr>
                <w:rFonts w:ascii="Times New Roman" w:hAnsi="Times New Roman"/>
                <w:sz w:val="20"/>
                <w:szCs w:val="20"/>
              </w:rPr>
            </w:pPr>
            <w:r>
              <w:rPr>
                <w:rFonts w:ascii="Times New Roman" w:hAnsi="Times New Roman"/>
                <w:color w:val="000000"/>
                <w:sz w:val="20"/>
                <w:szCs w:val="20"/>
              </w:rPr>
              <w:tab/>
            </w:r>
            <w:r w:rsidRPr="00772706">
              <w:rPr>
                <w:rFonts w:ascii="Times New Roman" w:hAnsi="Times New Roman"/>
                <w:color w:val="000000"/>
                <w:sz w:val="20"/>
                <w:szCs w:val="20"/>
              </w:rPr>
              <w:t>- z toho: motorové vozidlo</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color w:val="000000"/>
                <w:sz w:val="20"/>
                <w:szCs w:val="20"/>
              </w:rPr>
            </w:pPr>
            <w:r>
              <w:rPr>
                <w:rFonts w:ascii="Times New Roman" w:hAnsi="Times New Roman"/>
                <w:color w:val="000000"/>
                <w:sz w:val="20"/>
                <w:szCs w:val="20"/>
              </w:rPr>
              <w:t>-1 067 638</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color w:val="000000"/>
                <w:sz w:val="20"/>
                <w:szCs w:val="20"/>
              </w:rPr>
            </w:pPr>
            <w:r>
              <w:rPr>
                <w:rFonts w:ascii="Times New Roman" w:hAnsi="Times New Roman"/>
                <w:color w:val="000000"/>
                <w:sz w:val="20"/>
                <w:szCs w:val="20"/>
              </w:rPr>
              <w:t>-1 149 741</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color w:val="000000"/>
                <w:sz w:val="20"/>
                <w:szCs w:val="20"/>
              </w:rPr>
            </w:pPr>
            <w:r>
              <w:rPr>
                <w:rFonts w:ascii="Times New Roman" w:hAnsi="Times New Roman"/>
                <w:color w:val="000000"/>
                <w:sz w:val="20"/>
                <w:szCs w:val="20"/>
              </w:rPr>
              <w:t>-1 248 655</w:t>
            </w:r>
          </w:p>
        </w:tc>
      </w:tr>
      <w:tr>
        <w:tblPrEx>
          <w:tblW w:w="9709" w:type="dxa"/>
          <w:tblInd w:w="70" w:type="dxa"/>
          <w:tblLayout w:type="fixed"/>
          <w:tblCellMar>
            <w:left w:w="0" w:type="dxa"/>
            <w:right w:w="0" w:type="dxa"/>
          </w:tblCellMar>
        </w:tblPrEx>
        <w:trPr>
          <w:trHeight w:val="132"/>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8B0F92" w:rsidP="00A231F2">
            <w:pPr>
              <w:tabs>
                <w:tab w:val="left" w:pos="356"/>
              </w:tabs>
              <w:bidi w:val="0"/>
              <w:spacing w:before="60" w:after="60"/>
              <w:ind w:left="356" w:hanging="142"/>
              <w:rPr>
                <w:rFonts w:ascii="Times New Roman" w:hAnsi="Times New Roman"/>
                <w:color w:val="000000"/>
                <w:sz w:val="20"/>
                <w:szCs w:val="20"/>
              </w:rPr>
            </w:pPr>
            <w:r w:rsidRPr="008B0F92">
              <w:rPr>
                <w:rFonts w:ascii="Times New Roman" w:hAnsi="Times New Roman"/>
                <w:color w:val="000000"/>
                <w:sz w:val="20"/>
                <w:szCs w:val="20"/>
              </w:rPr>
              <w:t xml:space="preserve">- </w:t>
              <w:tab/>
              <w:t>transfer v rámci verejnej správy (EAO)</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8B0F92" w:rsidP="00A231F2">
            <w:pPr>
              <w:bidi w:val="0"/>
              <w:spacing w:before="60" w:after="60"/>
              <w:jc w:val="right"/>
              <w:rPr>
                <w:rFonts w:ascii="Times New Roman" w:hAnsi="Times New Roman"/>
                <w:sz w:val="20"/>
                <w:szCs w:val="20"/>
              </w:rPr>
            </w:pPr>
            <w:r w:rsidRPr="008B0F92">
              <w:rPr>
                <w:rFonts w:ascii="Times New Roman" w:hAnsi="Times New Roman"/>
                <w:color w:val="000000"/>
                <w:sz w:val="20"/>
                <w:szCs w:val="20"/>
              </w:rPr>
              <w:t>-</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8B0F92" w:rsidP="00A231F2">
            <w:pPr>
              <w:bidi w:val="0"/>
              <w:spacing w:before="60" w:after="60"/>
              <w:jc w:val="right"/>
              <w:rPr>
                <w:rFonts w:ascii="Times New Roman" w:hAnsi="Times New Roman"/>
                <w:color w:val="000000"/>
                <w:sz w:val="20"/>
                <w:szCs w:val="20"/>
              </w:rPr>
            </w:pPr>
            <w:r w:rsidRPr="008B0F92">
              <w:rPr>
                <w:rFonts w:ascii="Times New Roman" w:hAnsi="Times New Roman"/>
                <w:color w:val="000000"/>
                <w:sz w:val="20"/>
                <w:szCs w:val="20"/>
              </w:rPr>
              <w:t>1 407 973 446</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8B0F92" w:rsidP="00A231F2">
            <w:pPr>
              <w:bidi w:val="0"/>
              <w:spacing w:before="60" w:after="60"/>
              <w:jc w:val="right"/>
              <w:rPr>
                <w:rFonts w:ascii="Times New Roman" w:hAnsi="Times New Roman"/>
                <w:color w:val="000000"/>
                <w:sz w:val="20"/>
                <w:szCs w:val="20"/>
              </w:rPr>
            </w:pPr>
            <w:r w:rsidRPr="008B0F92">
              <w:rPr>
                <w:rFonts w:ascii="Times New Roman" w:hAnsi="Times New Roman"/>
                <w:color w:val="000000"/>
                <w:sz w:val="20"/>
                <w:szCs w:val="20"/>
              </w:rPr>
              <w:t>1 466 826 825</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8B0F92" w:rsidP="00A231F2">
            <w:pPr>
              <w:bidi w:val="0"/>
              <w:spacing w:before="60" w:after="60"/>
              <w:jc w:val="right"/>
              <w:rPr>
                <w:rFonts w:ascii="Times New Roman" w:hAnsi="Times New Roman"/>
                <w:color w:val="000000"/>
                <w:sz w:val="20"/>
                <w:szCs w:val="20"/>
              </w:rPr>
            </w:pPr>
            <w:r w:rsidRPr="008B0F92">
              <w:rPr>
                <w:rFonts w:ascii="Times New Roman" w:hAnsi="Times New Roman"/>
                <w:color w:val="000000"/>
                <w:sz w:val="20"/>
                <w:szCs w:val="20"/>
              </w:rPr>
              <w:t>1 572 843 463</w:t>
            </w:r>
          </w:p>
        </w:tc>
      </w:tr>
      <w:tr>
        <w:tblPrEx>
          <w:tblW w:w="9709" w:type="dxa"/>
          <w:tblInd w:w="70" w:type="dxa"/>
          <w:tblLayout w:type="fixed"/>
          <w:tblCellMar>
            <w:left w:w="0" w:type="dxa"/>
            <w:right w:w="0" w:type="dxa"/>
          </w:tblCellMar>
        </w:tblPrEx>
        <w:trPr>
          <w:trHeight w:val="132"/>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tabs>
                <w:tab w:val="left" w:pos="356"/>
              </w:tabs>
              <w:bidi w:val="0"/>
              <w:spacing w:before="60" w:after="60"/>
              <w:ind w:left="356" w:hanging="142"/>
              <w:rPr>
                <w:rFonts w:ascii="Times New Roman" w:hAnsi="Times New Roman"/>
                <w:color w:val="000000"/>
                <w:sz w:val="20"/>
                <w:szCs w:val="20"/>
              </w:rPr>
            </w:pPr>
            <w:r w:rsidRPr="00772706">
              <w:rPr>
                <w:rFonts w:ascii="Times New Roman" w:hAnsi="Times New Roman"/>
                <w:color w:val="000000"/>
                <w:sz w:val="20"/>
                <w:szCs w:val="20"/>
              </w:rPr>
              <w:t xml:space="preserve">- </w:t>
            </w:r>
            <w:r>
              <w:rPr>
                <w:rFonts w:ascii="Times New Roman" w:hAnsi="Times New Roman"/>
                <w:color w:val="000000"/>
                <w:sz w:val="20"/>
                <w:szCs w:val="20"/>
              </w:rPr>
              <w:tab/>
            </w:r>
            <w:r w:rsidRPr="00772706">
              <w:rPr>
                <w:rFonts w:ascii="Times New Roman" w:hAnsi="Times New Roman"/>
                <w:color w:val="000000"/>
                <w:sz w:val="20"/>
                <w:szCs w:val="20"/>
              </w:rPr>
              <w:t>poistné platené štátom</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color w:val="000000"/>
                <w:sz w:val="20"/>
                <w:szCs w:val="20"/>
              </w:rPr>
            </w:pPr>
            <w:r>
              <w:rPr>
                <w:rFonts w:ascii="Times New Roman" w:hAnsi="Times New Roman"/>
                <w:color w:val="000000"/>
                <w:sz w:val="20"/>
                <w:szCs w:val="20"/>
              </w:rPr>
              <w:t>-48 658 733</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color w:val="000000"/>
                <w:sz w:val="20"/>
                <w:szCs w:val="20"/>
              </w:rPr>
            </w:pPr>
            <w:r>
              <w:rPr>
                <w:rFonts w:ascii="Times New Roman" w:hAnsi="Times New Roman"/>
                <w:color w:val="000000"/>
                <w:sz w:val="20"/>
                <w:szCs w:val="20"/>
              </w:rPr>
              <w:t>-51 359 726</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color w:val="000000"/>
                <w:sz w:val="20"/>
                <w:szCs w:val="20"/>
              </w:rPr>
            </w:pPr>
            <w:r>
              <w:rPr>
                <w:rFonts w:ascii="Times New Roman" w:hAnsi="Times New Roman"/>
                <w:color w:val="000000"/>
                <w:sz w:val="20"/>
                <w:szCs w:val="20"/>
              </w:rPr>
              <w:t>-54 710 331</w:t>
            </w:r>
          </w:p>
        </w:tc>
      </w:tr>
      <w:tr>
        <w:tblPrEx>
          <w:tblW w:w="9709" w:type="dxa"/>
          <w:tblInd w:w="70" w:type="dxa"/>
          <w:tblLayout w:type="fixed"/>
          <w:tblCellMar>
            <w:left w:w="0" w:type="dxa"/>
            <w:right w:w="0" w:type="dxa"/>
          </w:tblCellMar>
        </w:tblPrEx>
        <w:trPr>
          <w:trHeight w:val="132"/>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C04F1" w:rsidRPr="00772706" w:rsidP="00A231F2">
            <w:pPr>
              <w:bidi w:val="0"/>
              <w:spacing w:before="60" w:after="60"/>
              <w:rPr>
                <w:rFonts w:ascii="Times New Roman" w:hAnsi="Times New Roman"/>
                <w:sz w:val="20"/>
                <w:szCs w:val="20"/>
              </w:rPr>
            </w:pPr>
            <w:r>
              <w:rPr>
                <w:rFonts w:ascii="Times New Roman" w:hAnsi="Times New Roman"/>
                <w:b/>
                <w:bCs/>
                <w:i/>
                <w:iCs/>
                <w:color w:val="000000"/>
                <w:sz w:val="20"/>
                <w:szCs w:val="20"/>
              </w:rPr>
              <w:t>- Z</w:t>
            </w:r>
            <w:r w:rsidRPr="00772706">
              <w:rPr>
                <w:rFonts w:ascii="Times New Roman" w:hAnsi="Times New Roman"/>
                <w:b/>
                <w:bCs/>
                <w:i/>
                <w:iCs/>
                <w:color w:val="000000"/>
                <w:sz w:val="20"/>
                <w:szCs w:val="20"/>
              </w:rPr>
              <w:t>dravotné poisťovne</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C04F1" w:rsidRPr="00772706" w:rsidP="00A231F2">
            <w:pPr>
              <w:bidi w:val="0"/>
              <w:spacing w:before="60" w:after="60"/>
              <w:jc w:val="right"/>
              <w:rPr>
                <w:rFonts w:ascii="Times New Roman" w:hAnsi="Times New Roman"/>
                <w:sz w:val="20"/>
                <w:szCs w:val="20"/>
              </w:rPr>
            </w:pPr>
            <w:r>
              <w:rPr>
                <w:rFonts w:ascii="Times New Roman" w:hAnsi="Times New Roman"/>
                <w:b/>
                <w:bCs/>
                <w:i/>
                <w:iCs/>
                <w:color w:val="000000"/>
                <w:sz w:val="20"/>
                <w:szCs w:val="20"/>
              </w:rPr>
              <w:t>0</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C04F1" w:rsidRPr="00772706" w:rsidP="00A231F2">
            <w:pPr>
              <w:bidi w:val="0"/>
              <w:spacing w:before="60" w:after="60"/>
              <w:jc w:val="right"/>
              <w:rPr>
                <w:rFonts w:ascii="Times New Roman" w:hAnsi="Times New Roman"/>
                <w:color w:val="000000"/>
                <w:sz w:val="20"/>
                <w:szCs w:val="20"/>
              </w:rPr>
            </w:pPr>
            <w:r>
              <w:rPr>
                <w:rFonts w:ascii="Times New Roman" w:hAnsi="Times New Roman"/>
                <w:b/>
                <w:bCs/>
                <w:i/>
                <w:iCs/>
                <w:color w:val="000000"/>
                <w:sz w:val="20"/>
                <w:szCs w:val="20"/>
              </w:rPr>
              <w:t>0</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C04F1" w:rsidRPr="00772706" w:rsidP="00A231F2">
            <w:pPr>
              <w:bidi w:val="0"/>
              <w:spacing w:before="60" w:after="60"/>
              <w:jc w:val="right"/>
              <w:rPr>
                <w:rFonts w:ascii="Times New Roman" w:hAnsi="Times New Roman"/>
                <w:color w:val="000000"/>
                <w:sz w:val="20"/>
                <w:szCs w:val="20"/>
              </w:rPr>
            </w:pPr>
            <w:r>
              <w:rPr>
                <w:rFonts w:ascii="Times New Roman" w:hAnsi="Times New Roman"/>
                <w:b/>
                <w:bCs/>
                <w:i/>
                <w:iCs/>
                <w:color w:val="000000"/>
                <w:sz w:val="20"/>
                <w:szCs w:val="20"/>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C04F1" w:rsidRPr="00772706" w:rsidP="00A231F2">
            <w:pPr>
              <w:bidi w:val="0"/>
              <w:spacing w:before="60" w:after="60"/>
              <w:jc w:val="right"/>
              <w:rPr>
                <w:rFonts w:ascii="Times New Roman" w:hAnsi="Times New Roman"/>
                <w:color w:val="000000"/>
                <w:sz w:val="20"/>
                <w:szCs w:val="20"/>
              </w:rPr>
            </w:pPr>
            <w:r>
              <w:rPr>
                <w:rFonts w:ascii="Times New Roman" w:hAnsi="Times New Roman"/>
                <w:b/>
                <w:bCs/>
                <w:i/>
                <w:iCs/>
                <w:color w:val="000000"/>
                <w:sz w:val="20"/>
                <w:szCs w:val="20"/>
              </w:rPr>
              <w:t>0</w:t>
            </w: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tabs>
                <w:tab w:val="left" w:pos="356"/>
              </w:tabs>
              <w:bidi w:val="0"/>
              <w:spacing w:before="60" w:after="60"/>
              <w:ind w:left="356" w:hanging="142"/>
              <w:rPr>
                <w:rFonts w:ascii="Times New Roman" w:hAnsi="Times New Roman"/>
                <w:b/>
                <w:bCs/>
                <w:i/>
                <w:iCs/>
                <w:sz w:val="20"/>
                <w:szCs w:val="20"/>
              </w:rPr>
            </w:pPr>
            <w:r w:rsidRPr="00772706">
              <w:rPr>
                <w:rFonts w:ascii="Times New Roman" w:hAnsi="Times New Roman"/>
                <w:color w:val="000000"/>
                <w:sz w:val="20"/>
                <w:szCs w:val="20"/>
              </w:rPr>
              <w:t xml:space="preserve">- </w:t>
            </w:r>
            <w:r>
              <w:rPr>
                <w:rFonts w:ascii="Times New Roman" w:hAnsi="Times New Roman"/>
                <w:color w:val="000000"/>
                <w:sz w:val="20"/>
                <w:szCs w:val="20"/>
              </w:rPr>
              <w:tab/>
            </w:r>
            <w:r w:rsidRPr="00772706">
              <w:rPr>
                <w:rFonts w:ascii="Times New Roman" w:hAnsi="Times New Roman"/>
                <w:color w:val="000000"/>
                <w:sz w:val="20"/>
                <w:szCs w:val="20"/>
              </w:rPr>
              <w:t>poistné zamestnanci, zamestnávatelia</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color w:val="000000"/>
                <w:sz w:val="20"/>
                <w:szCs w:val="20"/>
              </w:rPr>
            </w:pPr>
            <w:r>
              <w:rPr>
                <w:rFonts w:ascii="Times New Roman" w:hAnsi="Times New Roman"/>
                <w:color w:val="000000"/>
                <w:sz w:val="20"/>
                <w:szCs w:val="20"/>
              </w:rPr>
              <w:t>-305 478 837</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color w:val="000000"/>
                <w:sz w:val="20"/>
                <w:szCs w:val="20"/>
              </w:rPr>
            </w:pPr>
            <w:r>
              <w:rPr>
                <w:rFonts w:ascii="Times New Roman" w:hAnsi="Times New Roman"/>
                <w:color w:val="000000"/>
                <w:sz w:val="20"/>
                <w:szCs w:val="20"/>
              </w:rPr>
              <w:t>-321 171 754</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color w:val="000000"/>
                <w:sz w:val="20"/>
                <w:szCs w:val="20"/>
              </w:rPr>
            </w:pPr>
            <w:r>
              <w:rPr>
                <w:rFonts w:ascii="Times New Roman" w:hAnsi="Times New Roman"/>
                <w:color w:val="000000"/>
                <w:sz w:val="20"/>
                <w:szCs w:val="20"/>
              </w:rPr>
              <w:t>-347 314 590</w:t>
            </w: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tabs>
                <w:tab w:val="left" w:pos="356"/>
              </w:tabs>
              <w:bidi w:val="0"/>
              <w:spacing w:before="60" w:after="60"/>
              <w:rPr>
                <w:rFonts w:ascii="Times New Roman" w:hAnsi="Times New Roman"/>
                <w:color w:val="000000"/>
                <w:sz w:val="20"/>
                <w:szCs w:val="20"/>
              </w:rPr>
            </w:pPr>
            <w:r w:rsidRPr="00772706">
              <w:rPr>
                <w:rFonts w:ascii="Times New Roman" w:hAnsi="Times New Roman"/>
                <w:color w:val="000000"/>
                <w:sz w:val="20"/>
                <w:szCs w:val="20"/>
              </w:rPr>
              <w:t xml:space="preserve"> </w:t>
            </w:r>
            <w:r>
              <w:rPr>
                <w:rFonts w:ascii="Times New Roman" w:hAnsi="Times New Roman"/>
                <w:color w:val="000000"/>
                <w:sz w:val="20"/>
                <w:szCs w:val="20"/>
              </w:rPr>
              <w:tab/>
            </w:r>
            <w:r w:rsidRPr="00772706">
              <w:rPr>
                <w:rFonts w:ascii="Times New Roman" w:hAnsi="Times New Roman"/>
                <w:color w:val="000000"/>
                <w:sz w:val="20"/>
                <w:szCs w:val="20"/>
              </w:rPr>
              <w:t xml:space="preserve">- z toho: oslobodenie príspevkov na DDS </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color w:val="000000"/>
                <w:sz w:val="20"/>
                <w:szCs w:val="20"/>
              </w:rPr>
            </w:pPr>
            <w:r>
              <w:rPr>
                <w:rFonts w:ascii="Times New Roman" w:hAnsi="Times New Roman"/>
                <w:color w:val="000000"/>
                <w:sz w:val="20"/>
                <w:szCs w:val="20"/>
              </w:rPr>
              <w:t>-14 099 079</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color w:val="000000"/>
                <w:sz w:val="20"/>
                <w:szCs w:val="20"/>
              </w:rPr>
            </w:pPr>
            <w:r>
              <w:rPr>
                <w:rFonts w:ascii="Times New Roman" w:hAnsi="Times New Roman"/>
                <w:color w:val="000000"/>
                <w:sz w:val="20"/>
                <w:szCs w:val="20"/>
              </w:rPr>
              <w:t>-15 119 947</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color w:val="000000"/>
                <w:sz w:val="20"/>
                <w:szCs w:val="20"/>
              </w:rPr>
            </w:pPr>
            <w:r>
              <w:rPr>
                <w:rFonts w:ascii="Times New Roman" w:hAnsi="Times New Roman"/>
                <w:color w:val="000000"/>
                <w:sz w:val="20"/>
                <w:szCs w:val="20"/>
              </w:rPr>
              <w:t>-16 279 504</w:t>
            </w: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tabs>
                <w:tab w:val="left" w:pos="356"/>
              </w:tabs>
              <w:bidi w:val="0"/>
              <w:spacing w:before="60" w:after="60"/>
              <w:rPr>
                <w:rFonts w:ascii="Times New Roman" w:hAnsi="Times New Roman"/>
                <w:color w:val="000000"/>
                <w:sz w:val="20"/>
                <w:szCs w:val="20"/>
              </w:rPr>
            </w:pPr>
            <w:r>
              <w:rPr>
                <w:rFonts w:ascii="Times New Roman" w:hAnsi="Times New Roman"/>
                <w:color w:val="000000"/>
                <w:sz w:val="20"/>
                <w:szCs w:val="20"/>
              </w:rPr>
              <w:tab/>
            </w:r>
            <w:r w:rsidRPr="00772706">
              <w:rPr>
                <w:rFonts w:ascii="Times New Roman" w:hAnsi="Times New Roman"/>
                <w:color w:val="000000"/>
                <w:sz w:val="20"/>
                <w:szCs w:val="20"/>
              </w:rPr>
              <w:t>- z toho: motorové vozidlo</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color w:val="000000"/>
                <w:sz w:val="20"/>
                <w:szCs w:val="20"/>
              </w:rPr>
            </w:pPr>
            <w:r>
              <w:rPr>
                <w:rFonts w:ascii="Times New Roman" w:hAnsi="Times New Roman"/>
                <w:color w:val="000000"/>
                <w:sz w:val="20"/>
                <w:szCs w:val="20"/>
              </w:rPr>
              <w:t>-505 723</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color w:val="000000"/>
                <w:sz w:val="20"/>
                <w:szCs w:val="20"/>
              </w:rPr>
            </w:pPr>
            <w:r>
              <w:rPr>
                <w:rFonts w:ascii="Times New Roman" w:hAnsi="Times New Roman"/>
                <w:color w:val="000000"/>
                <w:sz w:val="20"/>
                <w:szCs w:val="20"/>
              </w:rPr>
              <w:t>-544 614</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color w:val="000000"/>
                <w:sz w:val="20"/>
                <w:szCs w:val="20"/>
              </w:rPr>
            </w:pPr>
            <w:r>
              <w:rPr>
                <w:rFonts w:ascii="Times New Roman" w:hAnsi="Times New Roman"/>
                <w:color w:val="000000"/>
                <w:sz w:val="20"/>
                <w:szCs w:val="20"/>
              </w:rPr>
              <w:t>-591 468</w:t>
            </w: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tabs>
                <w:tab w:val="left" w:pos="356"/>
              </w:tabs>
              <w:bidi w:val="0"/>
              <w:spacing w:before="60" w:after="60"/>
              <w:ind w:left="356" w:hanging="142"/>
              <w:rPr>
                <w:rFonts w:ascii="Times New Roman" w:hAnsi="Times New Roman"/>
                <w:color w:val="000000"/>
                <w:sz w:val="20"/>
                <w:szCs w:val="20"/>
              </w:rPr>
            </w:pPr>
            <w:r w:rsidRPr="00772706">
              <w:rPr>
                <w:rFonts w:ascii="Times New Roman" w:hAnsi="Times New Roman"/>
                <w:color w:val="000000"/>
                <w:sz w:val="20"/>
                <w:szCs w:val="20"/>
              </w:rPr>
              <w:t xml:space="preserve">- </w:t>
            </w:r>
            <w:r>
              <w:rPr>
                <w:rFonts w:ascii="Times New Roman" w:hAnsi="Times New Roman"/>
                <w:color w:val="000000"/>
                <w:sz w:val="20"/>
                <w:szCs w:val="20"/>
              </w:rPr>
              <w:tab/>
            </w:r>
            <w:r w:rsidRPr="00772706">
              <w:rPr>
                <w:rFonts w:ascii="Times New Roman" w:hAnsi="Times New Roman"/>
                <w:color w:val="000000"/>
                <w:sz w:val="20"/>
                <w:szCs w:val="20"/>
              </w:rPr>
              <w:t>poistn</w:t>
            </w:r>
            <w:r>
              <w:rPr>
                <w:rFonts w:ascii="Times New Roman" w:hAnsi="Times New Roman"/>
                <w:color w:val="000000"/>
                <w:sz w:val="20"/>
                <w:szCs w:val="20"/>
              </w:rPr>
              <w:t xml:space="preserve">é SZČO (vrátane zrušených ZO na </w:t>
            </w:r>
            <w:r w:rsidRPr="00772706">
              <w:rPr>
                <w:rFonts w:ascii="Times New Roman" w:hAnsi="Times New Roman"/>
                <w:color w:val="000000"/>
                <w:sz w:val="20"/>
                <w:szCs w:val="20"/>
              </w:rPr>
              <w:t>prenájom)</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color w:val="000000"/>
                <w:sz w:val="20"/>
                <w:szCs w:val="20"/>
              </w:rPr>
            </w:pPr>
            <w:r>
              <w:rPr>
                <w:rFonts w:ascii="Times New Roman" w:hAnsi="Times New Roman"/>
                <w:color w:val="000000"/>
                <w:sz w:val="20"/>
                <w:szCs w:val="20"/>
              </w:rPr>
              <w:t>33 580 757</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color w:val="000000"/>
                <w:sz w:val="20"/>
                <w:szCs w:val="20"/>
              </w:rPr>
            </w:pPr>
            <w:r>
              <w:rPr>
                <w:rFonts w:ascii="Times New Roman" w:hAnsi="Times New Roman"/>
                <w:color w:val="000000"/>
                <w:sz w:val="20"/>
                <w:szCs w:val="20"/>
              </w:rPr>
              <w:t>34 007 355</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color w:val="000000"/>
                <w:sz w:val="20"/>
                <w:szCs w:val="20"/>
              </w:rPr>
            </w:pPr>
            <w:r>
              <w:rPr>
                <w:rFonts w:ascii="Times New Roman" w:hAnsi="Times New Roman"/>
                <w:color w:val="000000"/>
                <w:sz w:val="20"/>
                <w:szCs w:val="20"/>
              </w:rPr>
              <w:t>32 209 379</w:t>
            </w: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tabs>
                <w:tab w:val="left" w:pos="356"/>
              </w:tabs>
              <w:bidi w:val="0"/>
              <w:spacing w:before="60" w:after="60"/>
              <w:ind w:left="356" w:hanging="142"/>
              <w:rPr>
                <w:rFonts w:ascii="Times New Roman" w:hAnsi="Times New Roman"/>
                <w:color w:val="000000"/>
                <w:sz w:val="20"/>
                <w:szCs w:val="20"/>
              </w:rPr>
            </w:pPr>
            <w:r w:rsidRPr="00772706">
              <w:rPr>
                <w:rFonts w:ascii="Times New Roman" w:hAnsi="Times New Roman"/>
                <w:color w:val="000000"/>
                <w:sz w:val="20"/>
                <w:szCs w:val="20"/>
              </w:rPr>
              <w:t xml:space="preserve">- </w:t>
            </w:r>
            <w:r>
              <w:rPr>
                <w:rFonts w:ascii="Times New Roman" w:hAnsi="Times New Roman"/>
                <w:color w:val="000000"/>
                <w:sz w:val="20"/>
                <w:szCs w:val="20"/>
              </w:rPr>
              <w:tab/>
            </w:r>
            <w:r w:rsidRPr="00772706">
              <w:rPr>
                <w:rFonts w:ascii="Times New Roman" w:hAnsi="Times New Roman"/>
                <w:color w:val="000000"/>
                <w:sz w:val="20"/>
                <w:szCs w:val="20"/>
              </w:rPr>
              <w:t>poistné iní platitelia</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color w:val="000000"/>
                <w:sz w:val="20"/>
                <w:szCs w:val="20"/>
              </w:rPr>
            </w:pPr>
            <w:r>
              <w:rPr>
                <w:rFonts w:ascii="Times New Roman" w:hAnsi="Times New Roman"/>
                <w:color w:val="000000"/>
                <w:sz w:val="20"/>
                <w:szCs w:val="20"/>
              </w:rPr>
              <w:t>-2 861 724</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color w:val="000000"/>
                <w:sz w:val="20"/>
                <w:szCs w:val="20"/>
              </w:rPr>
            </w:pPr>
            <w:r>
              <w:rPr>
                <w:rFonts w:ascii="Times New Roman" w:hAnsi="Times New Roman"/>
                <w:color w:val="000000"/>
                <w:sz w:val="20"/>
                <w:szCs w:val="20"/>
              </w:rPr>
              <w:t>-2 045 184</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color w:val="000000"/>
                <w:sz w:val="20"/>
                <w:szCs w:val="20"/>
              </w:rPr>
            </w:pPr>
            <w:r>
              <w:rPr>
                <w:rFonts w:ascii="Times New Roman" w:hAnsi="Times New Roman"/>
                <w:color w:val="000000"/>
                <w:sz w:val="20"/>
                <w:szCs w:val="20"/>
              </w:rPr>
              <w:t>-1 483 929</w:t>
            </w: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tabs>
                <w:tab w:val="left" w:pos="356"/>
              </w:tabs>
              <w:bidi w:val="0"/>
              <w:spacing w:before="60" w:after="60"/>
              <w:ind w:left="356" w:hanging="142"/>
              <w:rPr>
                <w:rFonts w:ascii="Times New Roman" w:hAnsi="Times New Roman"/>
                <w:color w:val="000000"/>
                <w:sz w:val="20"/>
                <w:szCs w:val="20"/>
              </w:rPr>
            </w:pPr>
            <w:r w:rsidRPr="00772706">
              <w:rPr>
                <w:rFonts w:ascii="Times New Roman" w:hAnsi="Times New Roman"/>
                <w:color w:val="000000"/>
                <w:sz w:val="20"/>
                <w:szCs w:val="20"/>
              </w:rPr>
              <w:t xml:space="preserve">- </w:t>
            </w:r>
            <w:r>
              <w:rPr>
                <w:rFonts w:ascii="Times New Roman" w:hAnsi="Times New Roman"/>
                <w:color w:val="000000"/>
                <w:sz w:val="20"/>
                <w:szCs w:val="20"/>
              </w:rPr>
              <w:tab/>
            </w:r>
            <w:r w:rsidRPr="00772706">
              <w:rPr>
                <w:rFonts w:ascii="Times New Roman" w:hAnsi="Times New Roman"/>
                <w:color w:val="000000"/>
                <w:sz w:val="20"/>
                <w:szCs w:val="20"/>
              </w:rPr>
              <w:t>poistné štát (poistné platené štátom)</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color w:val="000000"/>
                <w:sz w:val="20"/>
                <w:szCs w:val="20"/>
              </w:rPr>
            </w:pPr>
            <w:r>
              <w:rPr>
                <w:rFonts w:ascii="Times New Roman" w:hAnsi="Times New Roman"/>
                <w:color w:val="000000"/>
                <w:sz w:val="20"/>
                <w:szCs w:val="20"/>
              </w:rPr>
              <w:t>274 759 804</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color w:val="000000"/>
                <w:sz w:val="20"/>
                <w:szCs w:val="20"/>
              </w:rPr>
            </w:pPr>
            <w:r>
              <w:rPr>
                <w:rFonts w:ascii="Times New Roman" w:hAnsi="Times New Roman"/>
                <w:color w:val="000000"/>
                <w:sz w:val="20"/>
                <w:szCs w:val="20"/>
              </w:rPr>
              <w:t>289 209 583</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color w:val="000000"/>
                <w:sz w:val="20"/>
                <w:szCs w:val="20"/>
              </w:rPr>
            </w:pPr>
            <w:r>
              <w:rPr>
                <w:rFonts w:ascii="Times New Roman" w:hAnsi="Times New Roman"/>
                <w:color w:val="000000"/>
                <w:sz w:val="20"/>
                <w:szCs w:val="20"/>
              </w:rPr>
              <w:t>316 589 140</w:t>
            </w:r>
          </w:p>
        </w:tc>
      </w:tr>
      <w:tr>
        <w:tblPrEx>
          <w:tblW w:w="9709" w:type="dxa"/>
          <w:tblInd w:w="70" w:type="dxa"/>
          <w:tblLayout w:type="fixed"/>
          <w:tblCellMar>
            <w:left w:w="0" w:type="dxa"/>
            <w:right w:w="0" w:type="dxa"/>
          </w:tblCellMar>
        </w:tblPrEx>
        <w:trPr>
          <w:trHeight w:val="125"/>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rPr>
                <w:rFonts w:ascii="Times New Roman" w:hAnsi="Times New Roman"/>
                <w:sz w:val="20"/>
                <w:szCs w:val="20"/>
              </w:rPr>
            </w:pPr>
            <w:r>
              <w:rPr>
                <w:rFonts w:ascii="Times New Roman" w:hAnsi="Times New Roman"/>
                <w:b/>
                <w:bCs/>
                <w:i/>
                <w:iCs/>
                <w:color w:val="000000"/>
                <w:sz w:val="20"/>
                <w:szCs w:val="20"/>
              </w:rPr>
              <w:t>- vplyv na</w:t>
            </w:r>
            <w:r w:rsidRPr="00772706">
              <w:rPr>
                <w:rFonts w:ascii="Times New Roman" w:hAnsi="Times New Roman"/>
                <w:b/>
                <w:bCs/>
                <w:i/>
                <w:iCs/>
                <w:color w:val="000000"/>
                <w:sz w:val="20"/>
                <w:szCs w:val="20"/>
              </w:rPr>
              <w:t xml:space="preserve"> </w:t>
            </w:r>
            <w:r>
              <w:rPr>
                <w:rFonts w:ascii="Times New Roman" w:hAnsi="Times New Roman"/>
                <w:b/>
                <w:bCs/>
                <w:i/>
                <w:iCs/>
                <w:color w:val="000000"/>
                <w:sz w:val="20"/>
                <w:szCs w:val="20"/>
              </w:rPr>
              <w:t>š</w:t>
            </w:r>
            <w:r w:rsidRPr="00772706">
              <w:rPr>
                <w:rFonts w:ascii="Times New Roman" w:hAnsi="Times New Roman"/>
                <w:b/>
                <w:bCs/>
                <w:i/>
                <w:iCs/>
                <w:color w:val="000000"/>
                <w:sz w:val="20"/>
                <w:szCs w:val="20"/>
              </w:rPr>
              <w:t>tátny rozpočet</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b/>
                <w:bCs/>
                <w:i/>
                <w:iCs/>
                <w:color w:val="000000"/>
                <w:sz w:val="20"/>
                <w:szCs w:val="20"/>
              </w:rPr>
              <w:t>3 814 569</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color w:val="000000"/>
                <w:sz w:val="20"/>
                <w:szCs w:val="20"/>
              </w:rPr>
            </w:pPr>
            <w:r>
              <w:rPr>
                <w:rFonts w:ascii="Times New Roman" w:hAnsi="Times New Roman"/>
                <w:b/>
                <w:bCs/>
                <w:i/>
                <w:iCs/>
                <w:color w:val="000000"/>
                <w:sz w:val="20"/>
                <w:szCs w:val="20"/>
              </w:rPr>
              <w:t>1 664 119 051</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color w:val="000000"/>
                <w:sz w:val="20"/>
                <w:szCs w:val="20"/>
              </w:rPr>
            </w:pPr>
            <w:r>
              <w:rPr>
                <w:rFonts w:ascii="Times New Roman" w:hAnsi="Times New Roman"/>
                <w:b/>
                <w:bCs/>
                <w:i/>
                <w:iCs/>
                <w:color w:val="000000"/>
                <w:sz w:val="20"/>
                <w:szCs w:val="20"/>
              </w:rPr>
              <w:t>1 781 817 674</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color w:val="000000"/>
                <w:sz w:val="20"/>
                <w:szCs w:val="20"/>
              </w:rPr>
            </w:pPr>
            <w:r>
              <w:rPr>
                <w:rFonts w:ascii="Times New Roman" w:hAnsi="Times New Roman"/>
                <w:b/>
                <w:bCs/>
                <w:i/>
                <w:iCs/>
                <w:color w:val="000000"/>
                <w:sz w:val="20"/>
                <w:szCs w:val="20"/>
              </w:rPr>
              <w:t>1 906 722 838</w:t>
            </w:r>
          </w:p>
        </w:tc>
      </w:tr>
      <w:tr>
        <w:tblPrEx>
          <w:tblW w:w="9709" w:type="dxa"/>
          <w:tblInd w:w="70" w:type="dxa"/>
          <w:tblLayout w:type="fixed"/>
          <w:tblCellMar>
            <w:left w:w="0" w:type="dxa"/>
            <w:right w:w="0" w:type="dxa"/>
          </w:tblCellMar>
        </w:tblPrEx>
        <w:trPr>
          <w:trHeight w:val="125"/>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tabs>
                <w:tab w:val="left" w:pos="356"/>
              </w:tabs>
              <w:bidi w:val="0"/>
              <w:spacing w:before="60" w:after="60"/>
              <w:ind w:left="356" w:hanging="142"/>
              <w:rPr>
                <w:rFonts w:ascii="Times New Roman" w:hAnsi="Times New Roman"/>
                <w:color w:val="000000"/>
                <w:sz w:val="20"/>
                <w:szCs w:val="20"/>
              </w:rPr>
            </w:pPr>
            <w:r w:rsidRPr="00772706">
              <w:rPr>
                <w:rFonts w:ascii="Times New Roman" w:hAnsi="Times New Roman"/>
                <w:color w:val="000000"/>
                <w:sz w:val="20"/>
                <w:szCs w:val="20"/>
              </w:rPr>
              <w:t xml:space="preserve">- </w:t>
            </w:r>
            <w:r>
              <w:rPr>
                <w:rFonts w:ascii="Times New Roman" w:hAnsi="Times New Roman"/>
                <w:color w:val="000000"/>
                <w:sz w:val="20"/>
                <w:szCs w:val="20"/>
              </w:rPr>
              <w:tab/>
            </w:r>
            <w:r w:rsidRPr="00772706">
              <w:rPr>
                <w:rFonts w:ascii="Times New Roman" w:hAnsi="Times New Roman"/>
                <w:color w:val="000000"/>
                <w:sz w:val="20"/>
                <w:szCs w:val="20"/>
              </w:rPr>
              <w:t>transfer úhrady garančnej dávky</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b/>
                <w:bCs/>
                <w:i/>
                <w:iCs/>
                <w:color w:val="000000"/>
                <w:sz w:val="20"/>
                <w:szCs w:val="20"/>
              </w:rPr>
            </w:pPr>
            <w:r>
              <w:rPr>
                <w:rFonts w:ascii="Times New Roman" w:hAnsi="Times New Roman"/>
                <w:color w:val="000000"/>
                <w:sz w:val="20"/>
                <w:szCs w:val="20"/>
              </w:rPr>
              <w:t>0</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b/>
                <w:bCs/>
                <w:i/>
                <w:iCs/>
                <w:color w:val="000000"/>
                <w:sz w:val="20"/>
                <w:szCs w:val="20"/>
              </w:rPr>
            </w:pPr>
            <w:r>
              <w:rPr>
                <w:rFonts w:ascii="Times New Roman" w:hAnsi="Times New Roman"/>
                <w:color w:val="000000"/>
                <w:sz w:val="20"/>
                <w:szCs w:val="20"/>
              </w:rPr>
              <w:t>19 722 890</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b/>
                <w:bCs/>
                <w:i/>
                <w:iCs/>
                <w:color w:val="000000"/>
                <w:sz w:val="20"/>
                <w:szCs w:val="20"/>
              </w:rPr>
            </w:pPr>
            <w:r>
              <w:rPr>
                <w:rFonts w:ascii="Times New Roman" w:hAnsi="Times New Roman"/>
                <w:color w:val="000000"/>
                <w:sz w:val="20"/>
                <w:szCs w:val="20"/>
              </w:rPr>
              <w:t>20 094 025</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b/>
                <w:bCs/>
                <w:i/>
                <w:iCs/>
                <w:color w:val="000000"/>
                <w:sz w:val="20"/>
                <w:szCs w:val="20"/>
              </w:rPr>
            </w:pPr>
            <w:r>
              <w:rPr>
                <w:rFonts w:ascii="Times New Roman" w:hAnsi="Times New Roman"/>
                <w:color w:val="000000"/>
                <w:sz w:val="20"/>
                <w:szCs w:val="20"/>
              </w:rPr>
              <w:t>20 094 025</w:t>
            </w:r>
          </w:p>
        </w:tc>
      </w:tr>
      <w:tr>
        <w:tblPrEx>
          <w:tblW w:w="9709" w:type="dxa"/>
          <w:tblInd w:w="70" w:type="dxa"/>
          <w:tblLayout w:type="fixed"/>
          <w:tblCellMar>
            <w:left w:w="0" w:type="dxa"/>
            <w:right w:w="0" w:type="dxa"/>
          </w:tblCellMar>
        </w:tblPrEx>
        <w:trPr>
          <w:trHeight w:val="125"/>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tabs>
                <w:tab w:val="left" w:pos="356"/>
              </w:tabs>
              <w:bidi w:val="0"/>
              <w:spacing w:before="60" w:after="60"/>
              <w:ind w:left="356" w:hanging="142"/>
              <w:rPr>
                <w:rFonts w:ascii="Times New Roman" w:hAnsi="Times New Roman"/>
                <w:color w:val="000000"/>
                <w:sz w:val="20"/>
                <w:szCs w:val="20"/>
              </w:rPr>
            </w:pPr>
            <w:r w:rsidRPr="00772706">
              <w:rPr>
                <w:rFonts w:ascii="Times New Roman" w:hAnsi="Times New Roman"/>
                <w:color w:val="000000"/>
                <w:sz w:val="20"/>
                <w:szCs w:val="20"/>
              </w:rPr>
              <w:t xml:space="preserve">- </w:t>
            </w:r>
            <w:r>
              <w:rPr>
                <w:rFonts w:ascii="Times New Roman" w:hAnsi="Times New Roman"/>
                <w:color w:val="000000"/>
                <w:sz w:val="20"/>
                <w:szCs w:val="20"/>
              </w:rPr>
              <w:tab/>
            </w:r>
            <w:r w:rsidRPr="00772706">
              <w:rPr>
                <w:rFonts w:ascii="Times New Roman" w:hAnsi="Times New Roman"/>
                <w:color w:val="000000"/>
                <w:sz w:val="20"/>
                <w:szCs w:val="20"/>
              </w:rPr>
              <w:t>DPFO</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b/>
                <w:bCs/>
                <w:i/>
                <w:iCs/>
                <w:color w:val="000000"/>
                <w:sz w:val="20"/>
                <w:szCs w:val="20"/>
              </w:rPr>
            </w:pPr>
            <w:r>
              <w:rPr>
                <w:rFonts w:ascii="Times New Roman" w:hAnsi="Times New Roman"/>
                <w:color w:val="000000"/>
                <w:sz w:val="20"/>
                <w:szCs w:val="20"/>
              </w:rPr>
              <w:t>3 814 569</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b/>
                <w:bCs/>
                <w:i/>
                <w:iCs/>
                <w:color w:val="000000"/>
                <w:sz w:val="20"/>
                <w:szCs w:val="20"/>
              </w:rPr>
            </w:pPr>
            <w:r>
              <w:rPr>
                <w:rFonts w:ascii="Times New Roman" w:hAnsi="Times New Roman"/>
                <w:color w:val="000000"/>
                <w:sz w:val="20"/>
                <w:szCs w:val="20"/>
              </w:rPr>
              <w:t>1 590 752 749</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b/>
                <w:bCs/>
                <w:i/>
                <w:iCs/>
                <w:color w:val="000000"/>
                <w:sz w:val="20"/>
                <w:szCs w:val="20"/>
              </w:rPr>
            </w:pPr>
            <w:r>
              <w:rPr>
                <w:rFonts w:ascii="Times New Roman" w:hAnsi="Times New Roman"/>
                <w:color w:val="000000"/>
                <w:sz w:val="20"/>
                <w:szCs w:val="20"/>
              </w:rPr>
              <w:t>1 712 373 849</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b/>
                <w:bCs/>
                <w:i/>
                <w:iCs/>
                <w:color w:val="000000"/>
                <w:sz w:val="20"/>
                <w:szCs w:val="20"/>
              </w:rPr>
            </w:pPr>
            <w:r>
              <w:rPr>
                <w:rFonts w:ascii="Times New Roman" w:hAnsi="Times New Roman"/>
                <w:color w:val="000000"/>
                <w:sz w:val="20"/>
                <w:szCs w:val="20"/>
              </w:rPr>
              <w:t>1 837 704 390</w:t>
            </w:r>
          </w:p>
        </w:tc>
      </w:tr>
      <w:tr>
        <w:tblPrEx>
          <w:tblW w:w="9709" w:type="dxa"/>
          <w:tblInd w:w="70" w:type="dxa"/>
          <w:tblLayout w:type="fixed"/>
          <w:tblCellMar>
            <w:left w:w="0" w:type="dxa"/>
            <w:right w:w="0" w:type="dxa"/>
          </w:tblCellMar>
        </w:tblPrEx>
        <w:trPr>
          <w:trHeight w:val="125"/>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tabs>
                <w:tab w:val="left" w:pos="356"/>
              </w:tabs>
              <w:bidi w:val="0"/>
              <w:spacing w:before="60" w:after="60"/>
              <w:rPr>
                <w:rFonts w:ascii="Times New Roman" w:hAnsi="Times New Roman"/>
                <w:color w:val="000000"/>
                <w:sz w:val="20"/>
                <w:szCs w:val="20"/>
              </w:rPr>
            </w:pPr>
            <w:r>
              <w:rPr>
                <w:rFonts w:ascii="Times New Roman" w:hAnsi="Times New Roman"/>
                <w:color w:val="000000"/>
                <w:sz w:val="20"/>
                <w:szCs w:val="20"/>
              </w:rPr>
              <w:tab/>
            </w:r>
            <w:r w:rsidRPr="00772706">
              <w:rPr>
                <w:rFonts w:ascii="Times New Roman" w:hAnsi="Times New Roman"/>
                <w:color w:val="000000"/>
                <w:sz w:val="20"/>
                <w:szCs w:val="20"/>
              </w:rPr>
              <w:t>- z toho: motorové vozidlo</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b/>
                <w:bCs/>
                <w:i/>
                <w:iCs/>
                <w:color w:val="000000"/>
                <w:sz w:val="20"/>
                <w:szCs w:val="20"/>
              </w:rPr>
            </w:pPr>
            <w:r>
              <w:rPr>
                <w:rFonts w:ascii="Times New Roman" w:hAnsi="Times New Roman"/>
                <w:color w:val="000000"/>
                <w:sz w:val="20"/>
                <w:szCs w:val="20"/>
              </w:rPr>
              <w:t>0</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b/>
                <w:bCs/>
                <w:i/>
                <w:iCs/>
                <w:color w:val="000000"/>
                <w:sz w:val="20"/>
                <w:szCs w:val="20"/>
              </w:rPr>
            </w:pPr>
            <w:r>
              <w:rPr>
                <w:rFonts w:ascii="Times New Roman" w:hAnsi="Times New Roman"/>
                <w:color w:val="000000"/>
                <w:sz w:val="20"/>
                <w:szCs w:val="20"/>
              </w:rPr>
              <w:t>-1 067 638</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b/>
                <w:bCs/>
                <w:i/>
                <w:iCs/>
                <w:color w:val="000000"/>
                <w:sz w:val="20"/>
                <w:szCs w:val="20"/>
              </w:rPr>
            </w:pPr>
            <w:r>
              <w:rPr>
                <w:rFonts w:ascii="Times New Roman" w:hAnsi="Times New Roman"/>
                <w:color w:val="000000"/>
                <w:sz w:val="20"/>
                <w:szCs w:val="20"/>
              </w:rPr>
              <w:t>-1 149 741</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b/>
                <w:bCs/>
                <w:i/>
                <w:iCs/>
                <w:color w:val="000000"/>
                <w:sz w:val="20"/>
                <w:szCs w:val="20"/>
              </w:rPr>
            </w:pPr>
            <w:r>
              <w:rPr>
                <w:rFonts w:ascii="Times New Roman" w:hAnsi="Times New Roman"/>
                <w:color w:val="000000"/>
                <w:sz w:val="20"/>
                <w:szCs w:val="20"/>
              </w:rPr>
              <w:t>-1 248 655</w:t>
            </w:r>
          </w:p>
        </w:tc>
      </w:tr>
      <w:tr>
        <w:tblPrEx>
          <w:tblW w:w="9709" w:type="dxa"/>
          <w:tblInd w:w="70" w:type="dxa"/>
          <w:tblLayout w:type="fixed"/>
          <w:tblCellMar>
            <w:left w:w="0" w:type="dxa"/>
            <w:right w:w="0" w:type="dxa"/>
          </w:tblCellMar>
        </w:tblPrEx>
        <w:trPr>
          <w:trHeight w:val="125"/>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tabs>
                <w:tab w:val="left" w:pos="356"/>
              </w:tabs>
              <w:bidi w:val="0"/>
              <w:spacing w:before="60" w:after="60"/>
              <w:rPr>
                <w:rFonts w:ascii="Times New Roman" w:hAnsi="Times New Roman"/>
                <w:color w:val="000000"/>
                <w:sz w:val="20"/>
                <w:szCs w:val="20"/>
              </w:rPr>
            </w:pPr>
            <w:r>
              <w:rPr>
                <w:rFonts w:ascii="Times New Roman" w:hAnsi="Times New Roman"/>
                <w:color w:val="000000"/>
                <w:sz w:val="20"/>
                <w:szCs w:val="20"/>
              </w:rPr>
              <w:tab/>
            </w:r>
            <w:r w:rsidRPr="00772706">
              <w:rPr>
                <w:rFonts w:ascii="Times New Roman" w:hAnsi="Times New Roman"/>
                <w:color w:val="000000"/>
                <w:sz w:val="20"/>
                <w:szCs w:val="20"/>
              </w:rPr>
              <w:t>- z toho:</w:t>
            </w:r>
            <w:r>
              <w:rPr>
                <w:rFonts w:ascii="Times New Roman" w:hAnsi="Times New Roman"/>
                <w:color w:val="000000"/>
                <w:sz w:val="20"/>
                <w:szCs w:val="20"/>
              </w:rPr>
              <w:t xml:space="preserve"> osobní asistenti (uplatnenie NČ</w:t>
            </w:r>
            <w:r w:rsidRPr="00772706">
              <w:rPr>
                <w:rFonts w:ascii="Times New Roman" w:hAnsi="Times New Roman"/>
                <w:color w:val="000000"/>
                <w:sz w:val="20"/>
                <w:szCs w:val="20"/>
              </w:rPr>
              <w:t>ZD)</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b/>
                <w:bCs/>
                <w:i/>
                <w:iCs/>
                <w:color w:val="000000"/>
                <w:sz w:val="20"/>
                <w:szCs w:val="20"/>
              </w:rPr>
            </w:pPr>
            <w:r>
              <w:rPr>
                <w:rFonts w:ascii="Times New Roman" w:hAnsi="Times New Roman"/>
                <w:color w:val="000000"/>
                <w:sz w:val="20"/>
                <w:szCs w:val="20"/>
              </w:rPr>
              <w:t>0</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3972EB">
            <w:pPr>
              <w:bidi w:val="0"/>
              <w:spacing w:before="60" w:after="60"/>
              <w:jc w:val="right"/>
              <w:rPr>
                <w:rFonts w:ascii="Times New Roman" w:hAnsi="Times New Roman"/>
                <w:color w:val="000000"/>
                <w:sz w:val="20"/>
                <w:szCs w:val="20"/>
              </w:rPr>
            </w:pPr>
            <w:r>
              <w:rPr>
                <w:rFonts w:ascii="Times New Roman" w:hAnsi="Times New Roman"/>
                <w:color w:val="000000"/>
                <w:sz w:val="20"/>
                <w:szCs w:val="20"/>
              </w:rPr>
              <w:t>-144 700</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3972EB">
            <w:pPr>
              <w:bidi w:val="0"/>
              <w:spacing w:before="60" w:after="60"/>
              <w:jc w:val="right"/>
              <w:rPr>
                <w:rFonts w:ascii="Times New Roman" w:hAnsi="Times New Roman"/>
                <w:color w:val="000000"/>
                <w:sz w:val="20"/>
                <w:szCs w:val="20"/>
              </w:rPr>
            </w:pPr>
            <w:r>
              <w:rPr>
                <w:rFonts w:ascii="Times New Roman" w:hAnsi="Times New Roman"/>
                <w:color w:val="000000"/>
                <w:sz w:val="20"/>
                <w:szCs w:val="20"/>
              </w:rPr>
              <w:t>-728 853</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3972EB">
            <w:pPr>
              <w:bidi w:val="0"/>
              <w:spacing w:before="60" w:after="60"/>
              <w:jc w:val="right"/>
              <w:rPr>
                <w:rFonts w:ascii="Times New Roman" w:hAnsi="Times New Roman"/>
                <w:color w:val="000000"/>
                <w:sz w:val="20"/>
                <w:szCs w:val="20"/>
              </w:rPr>
            </w:pPr>
            <w:r>
              <w:rPr>
                <w:rFonts w:ascii="Times New Roman" w:hAnsi="Times New Roman"/>
                <w:color w:val="000000"/>
                <w:sz w:val="20"/>
                <w:szCs w:val="20"/>
              </w:rPr>
              <w:t>-755 970</w:t>
            </w:r>
          </w:p>
        </w:tc>
      </w:tr>
      <w:tr>
        <w:tblPrEx>
          <w:tblW w:w="9709" w:type="dxa"/>
          <w:tblInd w:w="70" w:type="dxa"/>
          <w:tblLayout w:type="fixed"/>
          <w:tblCellMar>
            <w:left w:w="0" w:type="dxa"/>
            <w:right w:w="0" w:type="dxa"/>
          </w:tblCellMar>
        </w:tblPrEx>
        <w:trPr>
          <w:trHeight w:val="125"/>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tabs>
                <w:tab w:val="left" w:pos="356"/>
              </w:tabs>
              <w:bidi w:val="0"/>
              <w:spacing w:before="60" w:after="60"/>
              <w:ind w:left="356" w:hanging="142"/>
              <w:rPr>
                <w:rFonts w:ascii="Times New Roman" w:hAnsi="Times New Roman"/>
                <w:b/>
                <w:bCs/>
                <w:i/>
                <w:iCs/>
                <w:sz w:val="20"/>
                <w:szCs w:val="20"/>
              </w:rPr>
            </w:pPr>
            <w:r w:rsidRPr="00772706">
              <w:rPr>
                <w:rFonts w:ascii="Times New Roman" w:hAnsi="Times New Roman"/>
                <w:color w:val="000000"/>
                <w:sz w:val="20"/>
                <w:szCs w:val="20"/>
              </w:rPr>
              <w:t xml:space="preserve"> - DPPO (mesačné odpisy)</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b/>
                <w:bCs/>
                <w:i/>
                <w:iCs/>
                <w:color w:val="000000"/>
                <w:sz w:val="20"/>
                <w:szCs w:val="20"/>
              </w:rPr>
            </w:pPr>
            <w:r>
              <w:rPr>
                <w:rFonts w:ascii="Times New Roman" w:hAnsi="Times New Roman"/>
                <w:color w:val="000000"/>
                <w:sz w:val="20"/>
                <w:szCs w:val="20"/>
              </w:rPr>
              <w:t>0</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b/>
                <w:bCs/>
                <w:i/>
                <w:iCs/>
                <w:color w:val="000000"/>
                <w:sz w:val="20"/>
                <w:szCs w:val="20"/>
              </w:rPr>
            </w:pPr>
            <w:r>
              <w:rPr>
                <w:rFonts w:ascii="Times New Roman" w:hAnsi="Times New Roman"/>
                <w:color w:val="000000"/>
                <w:sz w:val="20"/>
                <w:szCs w:val="20"/>
              </w:rPr>
              <w:t>53 643 412</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b/>
                <w:bCs/>
                <w:i/>
                <w:iCs/>
                <w:color w:val="000000"/>
                <w:sz w:val="20"/>
                <w:szCs w:val="20"/>
              </w:rPr>
            </w:pPr>
            <w:r>
              <w:rPr>
                <w:rFonts w:ascii="Times New Roman" w:hAnsi="Times New Roman"/>
                <w:color w:val="000000"/>
                <w:sz w:val="20"/>
                <w:szCs w:val="20"/>
              </w:rPr>
              <w:t>49 349 800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b/>
                <w:bCs/>
                <w:i/>
                <w:iCs/>
                <w:color w:val="000000"/>
                <w:sz w:val="20"/>
                <w:szCs w:val="20"/>
              </w:rPr>
            </w:pPr>
            <w:r>
              <w:rPr>
                <w:rFonts w:ascii="Times New Roman" w:hAnsi="Times New Roman"/>
                <w:color w:val="000000"/>
                <w:sz w:val="20"/>
                <w:szCs w:val="20"/>
              </w:rPr>
              <w:t>48 924 423</w:t>
            </w:r>
          </w:p>
        </w:tc>
      </w:tr>
      <w:tr>
        <w:tblPrEx>
          <w:tblW w:w="9709" w:type="dxa"/>
          <w:tblInd w:w="70" w:type="dxa"/>
          <w:tblLayout w:type="fixed"/>
          <w:tblCellMar>
            <w:left w:w="0" w:type="dxa"/>
            <w:right w:w="0" w:type="dxa"/>
          </w:tblCellMar>
        </w:tblPrEx>
        <w:trPr>
          <w:trHeight w:val="125"/>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rPr>
                <w:rFonts w:ascii="Times New Roman" w:hAnsi="Times New Roman"/>
                <w:sz w:val="20"/>
                <w:szCs w:val="20"/>
              </w:rPr>
            </w:pPr>
            <w:r w:rsidRPr="00772706">
              <w:rPr>
                <w:rFonts w:ascii="Times New Roman" w:hAnsi="Times New Roman"/>
                <w:b/>
                <w:bCs/>
                <w:i/>
                <w:iCs/>
                <w:sz w:val="20"/>
                <w:szCs w:val="20"/>
              </w:rPr>
              <w:t>- vplyv na územnú samosprávu</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E92CD4" w:rsidP="00A231F2">
            <w:pPr>
              <w:bidi w:val="0"/>
              <w:spacing w:before="60" w:after="60"/>
              <w:jc w:val="right"/>
              <w:rPr>
                <w:rFonts w:ascii="Times New Roman" w:hAnsi="Times New Roman"/>
                <w:i/>
                <w:sz w:val="20"/>
                <w:szCs w:val="20"/>
              </w:rPr>
            </w:pPr>
            <w:r>
              <w:rPr>
                <w:rFonts w:ascii="Times New Roman" w:hAnsi="Times New Roman"/>
                <w:b/>
                <w:bCs/>
                <w:i/>
                <w:iCs/>
                <w:color w:val="000000"/>
                <w:sz w:val="20"/>
                <w:szCs w:val="20"/>
              </w:rPr>
              <w:t>0</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E92CD4" w:rsidP="00A231F2">
            <w:pPr>
              <w:bidi w:val="0"/>
              <w:spacing w:before="60" w:after="60"/>
              <w:jc w:val="right"/>
              <w:rPr>
                <w:rFonts w:ascii="Times New Roman" w:hAnsi="Times New Roman"/>
                <w:i/>
                <w:color w:val="000000"/>
                <w:sz w:val="20"/>
                <w:szCs w:val="20"/>
              </w:rPr>
            </w:pPr>
            <w:r>
              <w:rPr>
                <w:rFonts w:ascii="Times New Roman" w:hAnsi="Times New Roman"/>
                <w:b/>
                <w:bCs/>
                <w:i/>
                <w:iCs/>
                <w:color w:val="000000"/>
                <w:sz w:val="20"/>
                <w:szCs w:val="20"/>
              </w:rPr>
              <w:t>0</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E92CD4" w:rsidP="00A231F2">
            <w:pPr>
              <w:bidi w:val="0"/>
              <w:spacing w:before="60" w:after="60"/>
              <w:jc w:val="right"/>
              <w:rPr>
                <w:rFonts w:ascii="Times New Roman" w:hAnsi="Times New Roman"/>
                <w:i/>
                <w:color w:val="000000"/>
                <w:sz w:val="20"/>
                <w:szCs w:val="20"/>
              </w:rPr>
            </w:pPr>
            <w:r>
              <w:rPr>
                <w:rFonts w:ascii="Times New Roman" w:hAnsi="Times New Roman"/>
                <w:b/>
                <w:bCs/>
                <w:i/>
                <w:iCs/>
                <w:color w:val="000000"/>
                <w:sz w:val="20"/>
                <w:szCs w:val="20"/>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E92CD4" w:rsidP="00A231F2">
            <w:pPr>
              <w:bidi w:val="0"/>
              <w:spacing w:before="60" w:after="60"/>
              <w:jc w:val="right"/>
              <w:rPr>
                <w:rFonts w:ascii="Times New Roman" w:hAnsi="Times New Roman"/>
                <w:i/>
                <w:color w:val="000000"/>
                <w:sz w:val="20"/>
                <w:szCs w:val="20"/>
              </w:rPr>
            </w:pPr>
            <w:r>
              <w:rPr>
                <w:rFonts w:ascii="Times New Roman" w:hAnsi="Times New Roman"/>
                <w:b/>
                <w:bCs/>
                <w:i/>
                <w:iCs/>
                <w:color w:val="000000"/>
                <w:sz w:val="20"/>
                <w:szCs w:val="20"/>
              </w:rPr>
              <w:t>0</w:t>
            </w:r>
          </w:p>
        </w:tc>
      </w:tr>
      <w:tr>
        <w:tblPrEx>
          <w:tblW w:w="9709" w:type="dxa"/>
          <w:tblInd w:w="70" w:type="dxa"/>
          <w:tblLayout w:type="fixed"/>
          <w:tblCellMar>
            <w:left w:w="0" w:type="dxa"/>
            <w:right w:w="0" w:type="dxa"/>
          </w:tblCellMar>
        </w:tblPrEx>
        <w:trPr>
          <w:trHeight w:val="125"/>
        </w:trPr>
        <w:tc>
          <w:tcPr>
            <w:tcW w:w="425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71C21" w:rsidRPr="00772706" w:rsidP="00A231F2">
            <w:pPr>
              <w:bidi w:val="0"/>
              <w:spacing w:before="60" w:after="60"/>
              <w:rPr>
                <w:rFonts w:ascii="Times New Roman" w:hAnsi="Times New Roman"/>
                <w:sz w:val="20"/>
                <w:szCs w:val="20"/>
              </w:rPr>
            </w:pPr>
            <w:r w:rsidRPr="00772706">
              <w:rPr>
                <w:rFonts w:ascii="Times New Roman" w:hAnsi="Times New Roman"/>
                <w:b/>
                <w:bCs/>
                <w:sz w:val="20"/>
                <w:szCs w:val="20"/>
              </w:rPr>
              <w:t>Výdavky verejnej správy celkom</w:t>
            </w:r>
          </w:p>
        </w:tc>
        <w:tc>
          <w:tcPr>
            <w:tcW w:w="125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71C21">
            <w:pPr>
              <w:bidi w:val="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143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71C21">
            <w:pPr>
              <w:bidi w:val="0"/>
              <w:jc w:val="right"/>
              <w:rPr>
                <w:rFonts w:ascii="Times New Roman" w:hAnsi="Times New Roman"/>
                <w:b/>
                <w:bCs/>
                <w:color w:val="000000"/>
                <w:sz w:val="20"/>
                <w:szCs w:val="20"/>
              </w:rPr>
            </w:pPr>
            <w:r>
              <w:rPr>
                <w:rFonts w:ascii="Times New Roman" w:hAnsi="Times New Roman"/>
                <w:b/>
                <w:bCs/>
                <w:color w:val="000000"/>
                <w:sz w:val="20"/>
                <w:szCs w:val="20"/>
              </w:rPr>
              <w:t>1 658 890 166</w:t>
            </w:r>
          </w:p>
        </w:tc>
        <w:tc>
          <w:tcPr>
            <w:tcW w:w="136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71C21" w:rsidP="002379CE">
            <w:pPr>
              <w:bidi w:val="0"/>
              <w:jc w:val="right"/>
              <w:rPr>
                <w:rFonts w:ascii="Times New Roman" w:hAnsi="Times New Roman"/>
                <w:b/>
                <w:bCs/>
                <w:color w:val="000000"/>
                <w:sz w:val="20"/>
                <w:szCs w:val="20"/>
              </w:rPr>
            </w:pPr>
            <w:r w:rsidR="002379CE">
              <w:rPr>
                <w:rFonts w:ascii="Times New Roman" w:hAnsi="Times New Roman"/>
                <w:b/>
                <w:bCs/>
                <w:color w:val="000000"/>
                <w:sz w:val="20"/>
                <w:szCs w:val="20"/>
              </w:rPr>
              <w:t> </w:t>
            </w:r>
          </w:p>
          <w:p w:rsidR="002379CE" w:rsidP="002379CE">
            <w:pPr>
              <w:bidi w:val="0"/>
              <w:jc w:val="right"/>
              <w:rPr>
                <w:rFonts w:ascii="Times New Roman" w:hAnsi="Times New Roman"/>
                <w:b/>
                <w:bCs/>
                <w:color w:val="000000"/>
                <w:sz w:val="20"/>
                <w:szCs w:val="20"/>
              </w:rPr>
            </w:pPr>
            <w:r>
              <w:rPr>
                <w:rFonts w:ascii="Times New Roman" w:hAnsi="Times New Roman"/>
                <w:b/>
                <w:bCs/>
                <w:color w:val="000000"/>
                <w:sz w:val="20"/>
                <w:szCs w:val="20"/>
              </w:rPr>
              <w:t>1 654 430 000</w:t>
            </w:r>
          </w:p>
        </w:tc>
        <w:tc>
          <w:tcPr>
            <w:tcW w:w="140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771C21" w:rsidP="002379CE">
            <w:pPr>
              <w:bidi w:val="0"/>
              <w:jc w:val="right"/>
              <w:rPr>
                <w:rFonts w:ascii="Times New Roman" w:hAnsi="Times New Roman"/>
                <w:b/>
                <w:bCs/>
                <w:color w:val="000000"/>
                <w:sz w:val="20"/>
                <w:szCs w:val="20"/>
              </w:rPr>
            </w:pPr>
            <w:r w:rsidR="002379CE">
              <w:rPr>
                <w:rFonts w:ascii="Times New Roman" w:hAnsi="Times New Roman"/>
                <w:b/>
                <w:bCs/>
                <w:color w:val="000000"/>
                <w:sz w:val="20"/>
                <w:szCs w:val="20"/>
              </w:rPr>
              <w:t> </w:t>
            </w:r>
          </w:p>
          <w:p w:rsidR="002379CE" w:rsidP="002379CE">
            <w:pPr>
              <w:bidi w:val="0"/>
              <w:jc w:val="right"/>
              <w:rPr>
                <w:rFonts w:ascii="Times New Roman" w:hAnsi="Times New Roman"/>
                <w:b/>
                <w:bCs/>
                <w:color w:val="000000"/>
                <w:sz w:val="20"/>
                <w:szCs w:val="20"/>
              </w:rPr>
            </w:pPr>
            <w:r>
              <w:rPr>
                <w:rFonts w:ascii="Times New Roman" w:hAnsi="Times New Roman"/>
                <w:b/>
                <w:bCs/>
                <w:color w:val="000000"/>
                <w:sz w:val="20"/>
                <w:szCs w:val="20"/>
              </w:rPr>
              <w:t>1 683 432 101</w:t>
            </w: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61E66" w:rsidRPr="00772706" w:rsidP="00A231F2">
            <w:pPr>
              <w:bidi w:val="0"/>
              <w:spacing w:before="60" w:after="60"/>
              <w:rPr>
                <w:rFonts w:ascii="Times New Roman" w:hAnsi="Times New Roman"/>
                <w:sz w:val="20"/>
                <w:szCs w:val="20"/>
              </w:rPr>
            </w:pPr>
            <w:r w:rsidRPr="00772706">
              <w:rPr>
                <w:rFonts w:ascii="Times New Roman" w:hAnsi="Times New Roman"/>
                <w:sz w:val="20"/>
                <w:szCs w:val="20"/>
              </w:rPr>
              <w:t>v tom: za každý subjekt verejnej správy/program zvlášť</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61E66" w:rsidRPr="00772706" w:rsidP="00A231F2">
            <w:pPr>
              <w:bidi w:val="0"/>
              <w:spacing w:before="60" w:after="60"/>
              <w:jc w:val="right"/>
              <w:rPr>
                <w:rFonts w:ascii="Times New Roman" w:hAnsi="Times New Roman"/>
                <w:sz w:val="20"/>
                <w:szCs w:val="20"/>
              </w:rPr>
            </w:pP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61E66" w:rsidRPr="00772706" w:rsidP="00A231F2">
            <w:pPr>
              <w:bidi w:val="0"/>
              <w:spacing w:before="60" w:after="60"/>
              <w:jc w:val="right"/>
              <w:rPr>
                <w:rFonts w:ascii="Times New Roman" w:hAnsi="Times New Roman"/>
                <w:color w:val="000000"/>
                <w:sz w:val="20"/>
                <w:szCs w:val="20"/>
              </w:rPr>
            </w:pP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61E66" w:rsidRPr="00772706" w:rsidP="00A231F2">
            <w:pPr>
              <w:bidi w:val="0"/>
              <w:spacing w:before="60" w:after="60"/>
              <w:jc w:val="right"/>
              <w:rPr>
                <w:rFonts w:ascii="Times New Roman" w:hAnsi="Times New Roman"/>
                <w:color w:val="000000"/>
                <w:sz w:val="20"/>
                <w:szCs w:val="20"/>
              </w:rPr>
            </w:pP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61E66" w:rsidRPr="00772706" w:rsidP="00A231F2">
            <w:pPr>
              <w:bidi w:val="0"/>
              <w:spacing w:before="60" w:after="60"/>
              <w:jc w:val="right"/>
              <w:rPr>
                <w:rFonts w:ascii="Times New Roman" w:hAnsi="Times New Roman"/>
                <w:color w:val="000000"/>
                <w:sz w:val="20"/>
                <w:szCs w:val="20"/>
              </w:rPr>
            </w:pP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rPr>
                <w:rFonts w:ascii="Times New Roman" w:hAnsi="Times New Roman"/>
                <w:sz w:val="20"/>
                <w:szCs w:val="20"/>
              </w:rPr>
            </w:pPr>
            <w:r w:rsidRPr="00772706">
              <w:rPr>
                <w:rFonts w:ascii="Times New Roman" w:hAnsi="Times New Roman"/>
                <w:b/>
                <w:bCs/>
                <w:i/>
                <w:iCs/>
                <w:color w:val="000000"/>
                <w:sz w:val="20"/>
                <w:szCs w:val="20"/>
              </w:rPr>
              <w:t xml:space="preserve"> - Sociálna poisťovňa</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b/>
                <w:bCs/>
                <w:i/>
                <w:iCs/>
                <w:color w:val="000000"/>
                <w:sz w:val="20"/>
                <w:szCs w:val="20"/>
              </w:rPr>
              <w:t>0</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tcPr>
          <w:p w:rsidR="00747678" w:rsidRPr="003B1A4D" w:rsidP="000A3DD0">
            <w:pPr>
              <w:bidi w:val="0"/>
              <w:spacing w:before="60" w:after="60"/>
              <w:jc w:val="right"/>
              <w:rPr>
                <w:rFonts w:ascii="Times New Roman" w:hAnsi="Times New Roman"/>
                <w:sz w:val="20"/>
                <w:szCs w:val="20"/>
              </w:rPr>
            </w:pPr>
            <w:r>
              <w:rPr>
                <w:rFonts w:ascii="Times New Roman" w:hAnsi="Times New Roman"/>
                <w:b/>
                <w:bCs/>
                <w:i/>
                <w:iCs/>
                <w:color w:val="000000"/>
                <w:sz w:val="20"/>
                <w:szCs w:val="20"/>
              </w:rPr>
              <w:t>-16 344 067</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P="002379CE">
            <w:pPr>
              <w:bidi w:val="0"/>
              <w:spacing w:before="60" w:after="60"/>
              <w:jc w:val="right"/>
              <w:rPr>
                <w:rFonts w:ascii="Times New Roman" w:hAnsi="Times New Roman"/>
                <w:b/>
                <w:bCs/>
                <w:i/>
                <w:iCs/>
                <w:color w:val="000000"/>
                <w:sz w:val="20"/>
                <w:szCs w:val="20"/>
              </w:rPr>
            </w:pPr>
            <w:r w:rsidR="002379CE">
              <w:rPr>
                <w:rFonts w:ascii="Times New Roman" w:hAnsi="Times New Roman"/>
                <w:b/>
                <w:bCs/>
                <w:i/>
                <w:iCs/>
                <w:color w:val="000000"/>
                <w:sz w:val="20"/>
                <w:szCs w:val="20"/>
              </w:rPr>
              <w:t> </w:t>
            </w:r>
          </w:p>
          <w:p w:rsidR="002379CE" w:rsidRPr="003B1A4D" w:rsidP="002379CE">
            <w:pPr>
              <w:bidi w:val="0"/>
              <w:spacing w:before="60" w:after="60"/>
              <w:jc w:val="right"/>
              <w:rPr>
                <w:rFonts w:ascii="Times New Roman" w:hAnsi="Times New Roman"/>
                <w:sz w:val="20"/>
                <w:szCs w:val="20"/>
              </w:rPr>
            </w:pPr>
            <w:r>
              <w:rPr>
                <w:rFonts w:ascii="Times New Roman" w:hAnsi="Times New Roman"/>
                <w:b/>
                <w:bCs/>
                <w:i/>
                <w:iCs/>
                <w:color w:val="000000"/>
                <w:sz w:val="20"/>
                <w:szCs w:val="20"/>
              </w:rPr>
              <w:t>-75 378 575</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P="002379CE">
            <w:pPr>
              <w:bidi w:val="0"/>
              <w:spacing w:before="60" w:after="60"/>
              <w:jc w:val="right"/>
              <w:rPr>
                <w:rFonts w:ascii="Times New Roman" w:hAnsi="Times New Roman"/>
                <w:b/>
                <w:bCs/>
                <w:i/>
                <w:iCs/>
                <w:color w:val="000000"/>
                <w:sz w:val="20"/>
                <w:szCs w:val="20"/>
              </w:rPr>
            </w:pPr>
            <w:r w:rsidR="002379CE">
              <w:rPr>
                <w:rFonts w:ascii="Times New Roman" w:hAnsi="Times New Roman"/>
                <w:b/>
                <w:bCs/>
                <w:i/>
                <w:iCs/>
                <w:color w:val="000000"/>
                <w:sz w:val="20"/>
                <w:szCs w:val="20"/>
              </w:rPr>
              <w:t> </w:t>
            </w:r>
          </w:p>
          <w:p w:rsidR="002379CE" w:rsidRPr="003B1A4D" w:rsidP="002379CE">
            <w:pPr>
              <w:bidi w:val="0"/>
              <w:spacing w:before="60" w:after="60"/>
              <w:jc w:val="right"/>
              <w:rPr>
                <w:rFonts w:ascii="Times New Roman" w:hAnsi="Times New Roman"/>
                <w:sz w:val="20"/>
                <w:szCs w:val="20"/>
              </w:rPr>
            </w:pPr>
            <w:r>
              <w:rPr>
                <w:rFonts w:ascii="Times New Roman" w:hAnsi="Times New Roman"/>
                <w:b/>
                <w:bCs/>
                <w:i/>
                <w:iCs/>
                <w:color w:val="000000"/>
                <w:sz w:val="20"/>
                <w:szCs w:val="20"/>
              </w:rPr>
              <w:t>-166 341 352</w:t>
            </w: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tabs>
                <w:tab w:val="left" w:pos="356"/>
              </w:tabs>
              <w:bidi w:val="0"/>
              <w:spacing w:before="60" w:after="60"/>
              <w:ind w:left="356" w:hanging="142"/>
              <w:rPr>
                <w:rFonts w:ascii="Times New Roman" w:hAnsi="Times New Roman"/>
                <w:sz w:val="20"/>
                <w:szCs w:val="20"/>
              </w:rPr>
            </w:pPr>
            <w:r w:rsidRPr="00772706">
              <w:rPr>
                <w:rFonts w:ascii="Times New Roman" w:hAnsi="Times New Roman"/>
                <w:color w:val="000000"/>
                <w:sz w:val="20"/>
                <w:szCs w:val="20"/>
              </w:rPr>
              <w:t xml:space="preserve">- </w:t>
            </w:r>
            <w:r>
              <w:rPr>
                <w:rFonts w:ascii="Times New Roman" w:hAnsi="Times New Roman"/>
                <w:color w:val="000000"/>
                <w:sz w:val="20"/>
                <w:szCs w:val="20"/>
              </w:rPr>
              <w:tab/>
            </w:r>
            <w:r w:rsidRPr="00772706">
              <w:rPr>
                <w:rFonts w:ascii="Times New Roman" w:hAnsi="Times New Roman"/>
                <w:color w:val="000000"/>
                <w:sz w:val="20"/>
                <w:szCs w:val="20"/>
              </w:rPr>
              <w:t>transfery jednotlivcom a neziskovým PO</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0</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tcPr>
          <w:p w:rsidR="00747678" w:rsidRPr="00772706" w:rsidP="000A3DD0">
            <w:pPr>
              <w:bidi w:val="0"/>
              <w:spacing w:before="60" w:after="60"/>
              <w:jc w:val="right"/>
              <w:rPr>
                <w:rFonts w:ascii="Times New Roman" w:hAnsi="Times New Roman"/>
                <w:sz w:val="20"/>
                <w:szCs w:val="20"/>
              </w:rPr>
            </w:pPr>
            <w:r>
              <w:rPr>
                <w:rFonts w:ascii="Times New Roman" w:hAnsi="Times New Roman"/>
                <w:color w:val="000000"/>
                <w:sz w:val="20"/>
                <w:szCs w:val="20"/>
              </w:rPr>
              <w:t>8 032 043</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P="002379CE">
            <w:pPr>
              <w:bidi w:val="0"/>
              <w:spacing w:before="60" w:after="60"/>
              <w:jc w:val="right"/>
              <w:rPr>
                <w:rFonts w:ascii="Times New Roman" w:hAnsi="Times New Roman"/>
                <w:color w:val="000000"/>
                <w:sz w:val="20"/>
                <w:szCs w:val="20"/>
              </w:rPr>
            </w:pPr>
            <w:r w:rsidR="002379CE">
              <w:rPr>
                <w:rFonts w:ascii="Times New Roman" w:hAnsi="Times New Roman"/>
                <w:color w:val="000000"/>
                <w:sz w:val="20"/>
                <w:szCs w:val="20"/>
              </w:rPr>
              <w:t> </w:t>
            </w:r>
          </w:p>
          <w:p w:rsidR="002379CE" w:rsidRPr="00772706" w:rsidP="002379CE">
            <w:pPr>
              <w:bidi w:val="0"/>
              <w:spacing w:before="60" w:after="60"/>
              <w:jc w:val="right"/>
              <w:rPr>
                <w:rFonts w:ascii="Times New Roman" w:hAnsi="Times New Roman"/>
                <w:sz w:val="20"/>
                <w:szCs w:val="20"/>
              </w:rPr>
            </w:pPr>
            <w:r>
              <w:rPr>
                <w:rFonts w:ascii="Times New Roman" w:hAnsi="Times New Roman"/>
                <w:color w:val="000000"/>
                <w:sz w:val="20"/>
                <w:szCs w:val="20"/>
              </w:rPr>
              <w:t>-44 496 600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P="002379CE">
            <w:pPr>
              <w:bidi w:val="0"/>
              <w:spacing w:before="60" w:after="60"/>
              <w:jc w:val="right"/>
              <w:rPr>
                <w:rFonts w:ascii="Times New Roman" w:hAnsi="Times New Roman"/>
                <w:color w:val="000000"/>
                <w:sz w:val="20"/>
                <w:szCs w:val="20"/>
              </w:rPr>
            </w:pPr>
            <w:r w:rsidR="002379CE">
              <w:rPr>
                <w:rFonts w:ascii="Times New Roman" w:hAnsi="Times New Roman"/>
                <w:color w:val="000000"/>
                <w:sz w:val="20"/>
                <w:szCs w:val="20"/>
              </w:rPr>
              <w:t> </w:t>
            </w:r>
          </w:p>
          <w:p w:rsidR="002379CE" w:rsidRPr="00772706" w:rsidP="002379CE">
            <w:pPr>
              <w:bidi w:val="0"/>
              <w:spacing w:before="60" w:after="60"/>
              <w:jc w:val="right"/>
              <w:rPr>
                <w:rFonts w:ascii="Times New Roman" w:hAnsi="Times New Roman"/>
                <w:sz w:val="20"/>
                <w:szCs w:val="20"/>
              </w:rPr>
            </w:pPr>
            <w:r>
              <w:rPr>
                <w:rFonts w:ascii="Times New Roman" w:hAnsi="Times New Roman"/>
                <w:color w:val="000000"/>
                <w:sz w:val="20"/>
                <w:szCs w:val="20"/>
              </w:rPr>
              <w:t>-132 094 377</w:t>
            </w: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tabs>
                <w:tab w:val="left" w:pos="497"/>
              </w:tabs>
              <w:bidi w:val="0"/>
              <w:spacing w:before="60" w:after="60"/>
              <w:ind w:left="497" w:hanging="141"/>
              <w:rPr>
                <w:rFonts w:ascii="Times New Roman" w:hAnsi="Times New Roman"/>
                <w:color w:val="000000"/>
                <w:sz w:val="20"/>
                <w:szCs w:val="20"/>
              </w:rPr>
            </w:pPr>
            <w:r w:rsidRPr="00772706">
              <w:rPr>
                <w:rFonts w:ascii="Times New Roman" w:hAnsi="Times New Roman"/>
                <w:color w:val="000000"/>
                <w:sz w:val="20"/>
                <w:szCs w:val="20"/>
              </w:rPr>
              <w:t xml:space="preserve">- </w:t>
            </w:r>
            <w:r>
              <w:rPr>
                <w:rFonts w:ascii="Times New Roman" w:hAnsi="Times New Roman"/>
                <w:color w:val="000000"/>
                <w:sz w:val="20"/>
                <w:szCs w:val="20"/>
              </w:rPr>
              <w:tab/>
            </w:r>
            <w:r w:rsidRPr="00772706">
              <w:rPr>
                <w:rFonts w:ascii="Times New Roman" w:hAnsi="Times New Roman"/>
                <w:color w:val="000000"/>
                <w:sz w:val="20"/>
                <w:szCs w:val="20"/>
              </w:rPr>
              <w:t>dobrovoľne poistené osoby - zrušenie účasti</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b/>
                <w:bCs/>
                <w:color w:val="000000"/>
                <w:sz w:val="20"/>
                <w:szCs w:val="20"/>
              </w:rPr>
              <w:t>-</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-37 062 960</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-45 880 872</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-55 298 626</w:t>
            </w: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tabs>
                <w:tab w:val="left" w:pos="497"/>
              </w:tabs>
              <w:bidi w:val="0"/>
              <w:spacing w:before="60" w:after="60"/>
              <w:ind w:left="497" w:hanging="141"/>
              <w:rPr>
                <w:rFonts w:ascii="Times New Roman" w:hAnsi="Times New Roman"/>
                <w:color w:val="000000"/>
                <w:sz w:val="20"/>
                <w:szCs w:val="20"/>
              </w:rPr>
            </w:pPr>
            <w:r w:rsidRPr="00772706">
              <w:rPr>
                <w:rFonts w:ascii="Times New Roman" w:hAnsi="Times New Roman"/>
                <w:color w:val="000000"/>
                <w:sz w:val="20"/>
                <w:szCs w:val="20"/>
              </w:rPr>
              <w:t xml:space="preserve">- </w:t>
            </w:r>
            <w:r>
              <w:rPr>
                <w:rFonts w:ascii="Times New Roman" w:hAnsi="Times New Roman"/>
                <w:color w:val="000000"/>
                <w:sz w:val="20"/>
                <w:szCs w:val="20"/>
              </w:rPr>
              <w:tab/>
            </w:r>
            <w:r w:rsidRPr="00772706">
              <w:rPr>
                <w:rFonts w:ascii="Times New Roman" w:hAnsi="Times New Roman"/>
                <w:color w:val="000000"/>
                <w:sz w:val="20"/>
                <w:szCs w:val="20"/>
              </w:rPr>
              <w:t>prechod na nový valorizačný mechanizmus</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b/>
                <w:bCs/>
                <w:color w:val="000000"/>
                <w:sz w:val="20"/>
                <w:szCs w:val="20"/>
              </w:rPr>
              <w:t>-</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0</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P="002379CE">
            <w:pPr>
              <w:bidi w:val="0"/>
              <w:spacing w:before="60" w:after="60"/>
              <w:jc w:val="right"/>
              <w:rPr>
                <w:rFonts w:ascii="Times New Roman" w:hAnsi="Times New Roman"/>
                <w:color w:val="000000"/>
                <w:sz w:val="20"/>
                <w:szCs w:val="20"/>
              </w:rPr>
            </w:pPr>
            <w:r w:rsidR="002379CE">
              <w:rPr>
                <w:rFonts w:ascii="Times New Roman" w:hAnsi="Times New Roman"/>
                <w:color w:val="000000"/>
                <w:sz w:val="20"/>
                <w:szCs w:val="20"/>
              </w:rPr>
              <w:t> </w:t>
            </w:r>
          </w:p>
          <w:p w:rsidR="002379CE" w:rsidRPr="00772706" w:rsidP="002379CE">
            <w:pPr>
              <w:bidi w:val="0"/>
              <w:spacing w:before="60" w:after="60"/>
              <w:jc w:val="right"/>
              <w:rPr>
                <w:rFonts w:ascii="Times New Roman" w:hAnsi="Times New Roman"/>
                <w:sz w:val="20"/>
                <w:szCs w:val="20"/>
              </w:rPr>
            </w:pPr>
            <w:r>
              <w:rPr>
                <w:rFonts w:ascii="Times New Roman" w:hAnsi="Times New Roman"/>
                <w:color w:val="000000"/>
                <w:sz w:val="20"/>
                <w:szCs w:val="20"/>
              </w:rPr>
              <w:t>-40 850 425</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P="002379CE">
            <w:pPr>
              <w:bidi w:val="0"/>
              <w:spacing w:before="60" w:after="60"/>
              <w:jc w:val="right"/>
              <w:rPr>
                <w:rFonts w:ascii="Times New Roman" w:hAnsi="Times New Roman"/>
                <w:color w:val="000000"/>
                <w:sz w:val="20"/>
                <w:szCs w:val="20"/>
              </w:rPr>
            </w:pPr>
            <w:r w:rsidR="002379CE">
              <w:rPr>
                <w:rFonts w:ascii="Times New Roman" w:hAnsi="Times New Roman"/>
                <w:color w:val="000000"/>
                <w:sz w:val="20"/>
                <w:szCs w:val="20"/>
              </w:rPr>
              <w:t> </w:t>
            </w:r>
          </w:p>
          <w:p w:rsidR="002379CE" w:rsidRPr="00772706" w:rsidP="0084467B">
            <w:pPr>
              <w:bidi w:val="0"/>
              <w:spacing w:before="60" w:after="60"/>
              <w:jc w:val="right"/>
              <w:rPr>
                <w:rFonts w:ascii="Times New Roman" w:hAnsi="Times New Roman"/>
                <w:sz w:val="20"/>
                <w:szCs w:val="20"/>
              </w:rPr>
            </w:pPr>
            <w:r>
              <w:rPr>
                <w:rFonts w:ascii="Times New Roman" w:hAnsi="Times New Roman"/>
                <w:color w:val="000000"/>
                <w:sz w:val="20"/>
                <w:szCs w:val="20"/>
              </w:rPr>
              <w:t>-122 8</w:t>
            </w:r>
            <w:r w:rsidR="0084467B">
              <w:rPr>
                <w:rFonts w:ascii="Times New Roman" w:hAnsi="Times New Roman"/>
                <w:color w:val="000000"/>
                <w:sz w:val="20"/>
                <w:szCs w:val="20"/>
              </w:rPr>
              <w:t>1</w:t>
            </w:r>
            <w:r>
              <w:rPr>
                <w:rFonts w:ascii="Times New Roman" w:hAnsi="Times New Roman"/>
                <w:color w:val="000000"/>
                <w:sz w:val="20"/>
                <w:szCs w:val="20"/>
              </w:rPr>
              <w:t>8 331</w:t>
            </w: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tabs>
                <w:tab w:val="left" w:pos="497"/>
              </w:tabs>
              <w:bidi w:val="0"/>
              <w:spacing w:before="60" w:after="60"/>
              <w:ind w:left="497" w:hanging="141"/>
              <w:rPr>
                <w:rFonts w:ascii="Times New Roman" w:hAnsi="Times New Roman"/>
                <w:color w:val="000000"/>
                <w:sz w:val="20"/>
                <w:szCs w:val="20"/>
              </w:rPr>
            </w:pPr>
            <w:r w:rsidRPr="00772706">
              <w:rPr>
                <w:rFonts w:ascii="Times New Roman" w:hAnsi="Times New Roman"/>
                <w:color w:val="000000"/>
                <w:sz w:val="20"/>
                <w:szCs w:val="20"/>
              </w:rPr>
              <w:t xml:space="preserve">- </w:t>
            </w:r>
            <w:r>
              <w:rPr>
                <w:rFonts w:ascii="Times New Roman" w:hAnsi="Times New Roman"/>
                <w:color w:val="000000"/>
                <w:sz w:val="20"/>
                <w:szCs w:val="20"/>
              </w:rPr>
              <w:tab/>
            </w:r>
            <w:r w:rsidRPr="00772706">
              <w:rPr>
                <w:rFonts w:ascii="Times New Roman" w:hAnsi="Times New Roman"/>
                <w:color w:val="000000"/>
                <w:sz w:val="20"/>
                <w:szCs w:val="20"/>
              </w:rPr>
              <w:t>invalidný dôchodok pre poistencov do 20 rokov</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b/>
                <w:bCs/>
                <w:color w:val="000000"/>
                <w:sz w:val="20"/>
                <w:szCs w:val="20"/>
              </w:rPr>
              <w:t>-</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-182 346</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-578 246</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-1 076 395</w:t>
            </w: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tabs>
                <w:tab w:val="left" w:pos="497"/>
              </w:tabs>
              <w:bidi w:val="0"/>
              <w:spacing w:before="60" w:after="60"/>
              <w:ind w:left="497" w:hanging="141"/>
              <w:rPr>
                <w:rFonts w:ascii="Times New Roman" w:hAnsi="Times New Roman"/>
                <w:color w:val="000000"/>
                <w:sz w:val="20"/>
                <w:szCs w:val="20"/>
              </w:rPr>
            </w:pPr>
            <w:r w:rsidRPr="00772706">
              <w:rPr>
                <w:rFonts w:ascii="Times New Roman" w:hAnsi="Times New Roman"/>
                <w:color w:val="000000"/>
                <w:sz w:val="20"/>
                <w:szCs w:val="20"/>
              </w:rPr>
              <w:t>- zmeny v matersko</w:t>
            </w:r>
            <w:r>
              <w:rPr>
                <w:rFonts w:ascii="Times New Roman" w:hAnsi="Times New Roman"/>
                <w:color w:val="000000"/>
                <w:sz w:val="20"/>
                <w:szCs w:val="20"/>
              </w:rPr>
              <w:t>m (sadzba - 65% a 40 týž.</w:t>
            </w:r>
            <w:r w:rsidRPr="00772706">
              <w:rPr>
                <w:rFonts w:ascii="Times New Roman" w:hAnsi="Times New Roman"/>
                <w:color w:val="000000"/>
                <w:sz w:val="20"/>
                <w:szCs w:val="20"/>
              </w:rPr>
              <w:t>)</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b/>
                <w:bCs/>
                <w:color w:val="000000"/>
                <w:sz w:val="20"/>
                <w:szCs w:val="20"/>
              </w:rPr>
              <w:t>-</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37 577 350</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41 612 943</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45 898 975</w:t>
            </w: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tabs>
                <w:tab w:val="left" w:pos="497"/>
              </w:tabs>
              <w:bidi w:val="0"/>
              <w:spacing w:before="60" w:after="60"/>
              <w:ind w:left="497" w:hanging="141"/>
              <w:rPr>
                <w:rFonts w:ascii="Times New Roman" w:hAnsi="Times New Roman"/>
                <w:color w:val="000000"/>
                <w:sz w:val="20"/>
                <w:szCs w:val="20"/>
              </w:rPr>
            </w:pPr>
            <w:r w:rsidRPr="00772706">
              <w:rPr>
                <w:rFonts w:ascii="Times New Roman" w:hAnsi="Times New Roman"/>
                <w:color w:val="000000"/>
                <w:sz w:val="20"/>
                <w:szCs w:val="20"/>
              </w:rPr>
              <w:t>- zmeny v dávke v</w:t>
            </w:r>
            <w:r>
              <w:rPr>
                <w:rFonts w:ascii="Times New Roman" w:hAnsi="Times New Roman"/>
                <w:color w:val="000000"/>
                <w:sz w:val="20"/>
                <w:szCs w:val="20"/>
              </w:rPr>
              <w:t> </w:t>
            </w:r>
            <w:r w:rsidRPr="00772706">
              <w:rPr>
                <w:rFonts w:ascii="Times New Roman" w:hAnsi="Times New Roman"/>
                <w:color w:val="000000"/>
                <w:sz w:val="20"/>
                <w:szCs w:val="20"/>
              </w:rPr>
              <w:t>nezamestnanosti</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b/>
                <w:bCs/>
                <w:color w:val="000000"/>
                <w:sz w:val="20"/>
                <w:szCs w:val="20"/>
              </w:rPr>
              <w:t>-</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7 700 000</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1 200 000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1 200 000</w:t>
            </w: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tabs>
                <w:tab w:val="left" w:pos="356"/>
              </w:tabs>
              <w:bidi w:val="0"/>
              <w:spacing w:before="60" w:after="60"/>
              <w:ind w:left="356" w:hanging="142"/>
              <w:rPr>
                <w:rFonts w:ascii="Times New Roman" w:hAnsi="Times New Roman"/>
                <w:color w:val="000000"/>
                <w:sz w:val="20"/>
                <w:szCs w:val="20"/>
              </w:rPr>
            </w:pPr>
            <w:r w:rsidRPr="00772706">
              <w:rPr>
                <w:rFonts w:ascii="Times New Roman" w:hAnsi="Times New Roman"/>
                <w:color w:val="000000"/>
                <w:sz w:val="20"/>
                <w:szCs w:val="20"/>
              </w:rPr>
              <w:t xml:space="preserve">- </w:t>
            </w:r>
            <w:r>
              <w:rPr>
                <w:rFonts w:ascii="Times New Roman" w:hAnsi="Times New Roman"/>
                <w:color w:val="000000"/>
                <w:sz w:val="20"/>
                <w:szCs w:val="20"/>
              </w:rPr>
              <w:tab/>
            </w:r>
            <w:r w:rsidRPr="00772706">
              <w:rPr>
                <w:rFonts w:ascii="Times New Roman" w:hAnsi="Times New Roman"/>
                <w:color w:val="000000"/>
                <w:sz w:val="20"/>
                <w:szCs w:val="20"/>
              </w:rPr>
              <w:t>tovary a služby (správny fond SP)</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4 000 000</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0</w:t>
            </w: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tabs>
                <w:tab w:val="left" w:pos="356"/>
              </w:tabs>
              <w:bidi w:val="0"/>
              <w:spacing w:before="60" w:after="60"/>
              <w:ind w:left="356" w:hanging="142"/>
              <w:rPr>
                <w:rFonts w:ascii="Times New Roman" w:hAnsi="Times New Roman"/>
                <w:color w:val="000000"/>
                <w:sz w:val="20"/>
                <w:szCs w:val="20"/>
              </w:rPr>
            </w:pPr>
            <w:r w:rsidRPr="00772706">
              <w:rPr>
                <w:rFonts w:ascii="Times New Roman" w:hAnsi="Times New Roman"/>
                <w:color w:val="000000"/>
                <w:sz w:val="20"/>
                <w:szCs w:val="20"/>
              </w:rPr>
              <w:t xml:space="preserve">- </w:t>
            </w:r>
            <w:r>
              <w:rPr>
                <w:rFonts w:ascii="Times New Roman" w:hAnsi="Times New Roman"/>
                <w:color w:val="000000"/>
                <w:sz w:val="20"/>
                <w:szCs w:val="20"/>
              </w:rPr>
              <w:tab/>
            </w:r>
            <w:r w:rsidRPr="00772706">
              <w:rPr>
                <w:rFonts w:ascii="Times New Roman" w:hAnsi="Times New Roman"/>
                <w:color w:val="000000"/>
                <w:sz w:val="20"/>
                <w:szCs w:val="20"/>
              </w:rPr>
              <w:t>kapitálový transfer (GP)</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-28 376 110</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-30 881 975</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-34 246 975</w:t>
            </w: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rPr>
                <w:rFonts w:ascii="Times New Roman" w:hAnsi="Times New Roman"/>
                <w:sz w:val="20"/>
                <w:szCs w:val="20"/>
              </w:rPr>
            </w:pPr>
            <w:r>
              <w:rPr>
                <w:rFonts w:ascii="Times New Roman" w:hAnsi="Times New Roman"/>
                <w:b/>
                <w:bCs/>
                <w:i/>
                <w:iCs/>
                <w:color w:val="000000"/>
                <w:sz w:val="20"/>
                <w:szCs w:val="20"/>
              </w:rPr>
              <w:t>- Z</w:t>
            </w:r>
            <w:r w:rsidRPr="00772706">
              <w:rPr>
                <w:rFonts w:ascii="Times New Roman" w:hAnsi="Times New Roman"/>
                <w:b/>
                <w:bCs/>
                <w:i/>
                <w:iCs/>
                <w:color w:val="000000"/>
                <w:sz w:val="20"/>
                <w:szCs w:val="20"/>
              </w:rPr>
              <w:t>dravotné poisťovne</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b/>
                <w:bCs/>
                <w:i/>
                <w:iCs/>
                <w:color w:val="000000"/>
                <w:sz w:val="20"/>
                <w:szCs w:val="20"/>
              </w:rPr>
              <w:t>0</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b/>
                <w:bCs/>
                <w:i/>
                <w:iCs/>
                <w:color w:val="000000"/>
                <w:sz w:val="20"/>
                <w:szCs w:val="20"/>
              </w:rPr>
              <w:t>4 800 000</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b/>
                <w:bCs/>
                <w:i/>
                <w:iCs/>
                <w:color w:val="000000"/>
                <w:sz w:val="20"/>
                <w:szCs w:val="20"/>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b/>
                <w:bCs/>
                <w:i/>
                <w:iCs/>
                <w:color w:val="000000"/>
                <w:sz w:val="20"/>
                <w:szCs w:val="20"/>
              </w:rPr>
              <w:t>0</w:t>
            </w: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tabs>
                <w:tab w:val="left" w:pos="356"/>
              </w:tabs>
              <w:bidi w:val="0"/>
              <w:spacing w:before="60" w:after="60"/>
              <w:ind w:left="356" w:hanging="142"/>
              <w:rPr>
                <w:rFonts w:ascii="Times New Roman" w:hAnsi="Times New Roman"/>
                <w:sz w:val="20"/>
                <w:szCs w:val="20"/>
              </w:rPr>
            </w:pPr>
            <w:r w:rsidRPr="00772706">
              <w:rPr>
                <w:rFonts w:ascii="Times New Roman" w:hAnsi="Times New Roman"/>
                <w:color w:val="000000"/>
                <w:sz w:val="20"/>
                <w:szCs w:val="20"/>
              </w:rPr>
              <w:t xml:space="preserve">- </w:t>
            </w:r>
            <w:r>
              <w:rPr>
                <w:rFonts w:ascii="Times New Roman" w:hAnsi="Times New Roman"/>
                <w:color w:val="000000"/>
                <w:sz w:val="20"/>
                <w:szCs w:val="20"/>
              </w:rPr>
              <w:tab/>
            </w:r>
            <w:r w:rsidRPr="00772706">
              <w:rPr>
                <w:rFonts w:ascii="Times New Roman" w:hAnsi="Times New Roman"/>
                <w:color w:val="000000"/>
                <w:sz w:val="20"/>
                <w:szCs w:val="20"/>
              </w:rPr>
              <w:t>tovary a služby (správny fond ZP)</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b/>
                <w:bCs/>
                <w:color w:val="000000"/>
                <w:sz w:val="20"/>
                <w:szCs w:val="20"/>
              </w:rPr>
              <w:t>-</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4 800 000</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0</w:t>
            </w: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rPr>
                <w:rFonts w:ascii="Times New Roman" w:hAnsi="Times New Roman"/>
                <w:sz w:val="20"/>
                <w:szCs w:val="20"/>
              </w:rPr>
            </w:pPr>
            <w:r w:rsidRPr="00772706">
              <w:rPr>
                <w:rFonts w:ascii="Times New Roman" w:hAnsi="Times New Roman"/>
                <w:b/>
                <w:bCs/>
                <w:i/>
                <w:iCs/>
                <w:color w:val="000000"/>
                <w:sz w:val="20"/>
                <w:szCs w:val="20"/>
              </w:rPr>
              <w:t xml:space="preserve"> - </w:t>
            </w:r>
            <w:r w:rsidRPr="00E67929">
              <w:rPr>
                <w:rFonts w:ascii="Times New Roman" w:hAnsi="Times New Roman"/>
                <w:b/>
                <w:bCs/>
                <w:i/>
                <w:iCs/>
                <w:sz w:val="20"/>
                <w:szCs w:val="20"/>
              </w:rPr>
              <w:t xml:space="preserve">vplyv na </w:t>
            </w:r>
            <w:r>
              <w:rPr>
                <w:rFonts w:ascii="Times New Roman" w:hAnsi="Times New Roman"/>
                <w:b/>
                <w:bCs/>
                <w:i/>
                <w:iCs/>
                <w:color w:val="000000"/>
                <w:sz w:val="20"/>
                <w:szCs w:val="20"/>
              </w:rPr>
              <w:t>š</w:t>
            </w:r>
            <w:r w:rsidRPr="00772706">
              <w:rPr>
                <w:rFonts w:ascii="Times New Roman" w:hAnsi="Times New Roman"/>
                <w:b/>
                <w:bCs/>
                <w:i/>
                <w:iCs/>
                <w:color w:val="000000"/>
                <w:sz w:val="20"/>
                <w:szCs w:val="20"/>
              </w:rPr>
              <w:t>tátny rozpočet</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b/>
                <w:bCs/>
                <w:i/>
                <w:iCs/>
                <w:color w:val="000000"/>
                <w:sz w:val="20"/>
                <w:szCs w:val="20"/>
              </w:rPr>
              <w:t>0</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b/>
                <w:bCs/>
                <w:i/>
                <w:iCs/>
                <w:color w:val="000000"/>
                <w:sz w:val="20"/>
                <w:szCs w:val="20"/>
              </w:rPr>
              <w:t>1 670 434 233</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b/>
                <w:bCs/>
                <w:i/>
                <w:iCs/>
                <w:color w:val="000000"/>
                <w:sz w:val="20"/>
                <w:szCs w:val="20"/>
              </w:rPr>
              <w:t>1 729 808 575</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b/>
                <w:bCs/>
                <w:i/>
                <w:iCs/>
                <w:color w:val="000000"/>
                <w:sz w:val="20"/>
                <w:szCs w:val="20"/>
              </w:rPr>
              <w:t>1 849 773 453</w:t>
            </w: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tabs>
                <w:tab w:val="left" w:pos="356"/>
              </w:tabs>
              <w:bidi w:val="0"/>
              <w:spacing w:before="60" w:after="60"/>
              <w:ind w:left="356" w:hanging="142"/>
              <w:rPr>
                <w:rFonts w:ascii="Times New Roman" w:hAnsi="Times New Roman"/>
                <w:sz w:val="20"/>
                <w:szCs w:val="20"/>
              </w:rPr>
            </w:pPr>
            <w:r w:rsidRPr="00772706">
              <w:rPr>
                <w:rFonts w:ascii="Times New Roman" w:hAnsi="Times New Roman"/>
                <w:color w:val="000000"/>
                <w:sz w:val="20"/>
                <w:szCs w:val="20"/>
              </w:rPr>
              <w:t xml:space="preserve">- </w:t>
            </w:r>
            <w:r>
              <w:rPr>
                <w:rFonts w:ascii="Times New Roman" w:hAnsi="Times New Roman"/>
                <w:color w:val="000000"/>
                <w:sz w:val="20"/>
                <w:szCs w:val="20"/>
              </w:rPr>
              <w:tab/>
            </w:r>
            <w:r w:rsidRPr="00772706">
              <w:rPr>
                <w:rFonts w:ascii="Times New Roman" w:hAnsi="Times New Roman"/>
                <w:color w:val="000000"/>
                <w:sz w:val="20"/>
                <w:szCs w:val="20"/>
              </w:rPr>
              <w:t>transfery jednotlivcom a neziskovým PO</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b/>
                <w:bCs/>
                <w:color w:val="000000"/>
                <w:sz w:val="20"/>
                <w:szCs w:val="20"/>
              </w:rPr>
              <w:t>-</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264 397 592</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267 113 495</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283 541 253</w:t>
            </w: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tabs>
                <w:tab w:val="left" w:pos="497"/>
              </w:tabs>
              <w:bidi w:val="0"/>
              <w:spacing w:before="60" w:after="60"/>
              <w:ind w:left="497" w:hanging="141"/>
              <w:rPr>
                <w:rFonts w:ascii="Times New Roman" w:hAnsi="Times New Roman"/>
                <w:sz w:val="20"/>
                <w:szCs w:val="20"/>
              </w:rPr>
            </w:pPr>
            <w:r w:rsidRPr="00772706">
              <w:rPr>
                <w:rFonts w:ascii="Times New Roman" w:hAnsi="Times New Roman"/>
                <w:color w:val="000000"/>
                <w:sz w:val="20"/>
                <w:szCs w:val="20"/>
              </w:rPr>
              <w:t xml:space="preserve">- </w:t>
            </w:r>
            <w:r>
              <w:rPr>
                <w:rFonts w:ascii="Times New Roman" w:hAnsi="Times New Roman"/>
                <w:color w:val="000000"/>
                <w:sz w:val="20"/>
                <w:szCs w:val="20"/>
              </w:rPr>
              <w:tab/>
            </w:r>
            <w:r w:rsidRPr="00772706">
              <w:rPr>
                <w:rFonts w:ascii="Times New Roman" w:hAnsi="Times New Roman"/>
                <w:color w:val="000000"/>
                <w:sz w:val="20"/>
                <w:szCs w:val="20"/>
              </w:rPr>
              <w:t>poistné platené štátom</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b/>
                <w:bCs/>
                <w:color w:val="000000"/>
                <w:sz w:val="20"/>
                <w:szCs w:val="20"/>
              </w:rPr>
              <w:t>-</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226 101 071</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237 849 857</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261 878 809</w:t>
            </w: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tabs>
                <w:tab w:val="left" w:pos="781"/>
              </w:tabs>
              <w:bidi w:val="0"/>
              <w:spacing w:before="60" w:after="60"/>
              <w:ind w:left="781" w:hanging="284"/>
              <w:rPr>
                <w:rFonts w:ascii="Times New Roman" w:hAnsi="Times New Roman"/>
                <w:sz w:val="20"/>
                <w:szCs w:val="20"/>
              </w:rPr>
            </w:pPr>
            <w:r w:rsidRPr="00772706">
              <w:rPr>
                <w:rFonts w:ascii="Times New Roman" w:hAnsi="Times New Roman"/>
                <w:color w:val="000000"/>
                <w:sz w:val="20"/>
                <w:szCs w:val="20"/>
              </w:rPr>
              <w:t>- z toho:</w:t>
            </w:r>
            <w:r>
              <w:rPr>
                <w:rFonts w:ascii="Times New Roman" w:hAnsi="Times New Roman"/>
                <w:color w:val="000000"/>
                <w:sz w:val="20"/>
                <w:szCs w:val="20"/>
              </w:rPr>
              <w:t xml:space="preserve"> sociálne poistenie</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b/>
                <w:bCs/>
                <w:color w:val="000000"/>
                <w:sz w:val="20"/>
                <w:szCs w:val="20"/>
              </w:rPr>
              <w:t>-</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-48 658 733</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-51 359 726</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-54 710 331</w:t>
            </w: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tabs>
                <w:tab w:val="left" w:pos="781"/>
              </w:tabs>
              <w:bidi w:val="0"/>
              <w:spacing w:before="60" w:after="60"/>
              <w:ind w:left="781" w:hanging="284"/>
              <w:rPr>
                <w:rFonts w:ascii="Times New Roman" w:hAnsi="Times New Roman"/>
                <w:sz w:val="20"/>
                <w:szCs w:val="20"/>
              </w:rPr>
            </w:pPr>
            <w:r w:rsidRPr="00772706">
              <w:rPr>
                <w:rFonts w:ascii="Times New Roman" w:hAnsi="Times New Roman"/>
                <w:color w:val="000000"/>
                <w:sz w:val="20"/>
                <w:szCs w:val="20"/>
              </w:rPr>
              <w:t>- z toho:</w:t>
            </w:r>
            <w:r>
              <w:rPr>
                <w:rFonts w:ascii="Times New Roman" w:hAnsi="Times New Roman"/>
                <w:color w:val="000000"/>
                <w:sz w:val="20"/>
                <w:szCs w:val="20"/>
              </w:rPr>
              <w:t xml:space="preserve"> zdravotné poistenie</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b/>
                <w:bCs/>
                <w:color w:val="000000"/>
                <w:sz w:val="20"/>
                <w:szCs w:val="20"/>
              </w:rPr>
              <w:t>-</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274 759 804</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289 209 583</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316 589 140</w:t>
            </w: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tabs>
                <w:tab w:val="left" w:pos="497"/>
              </w:tabs>
              <w:bidi w:val="0"/>
              <w:spacing w:before="60" w:after="60"/>
              <w:ind w:left="497" w:hanging="141"/>
              <w:rPr>
                <w:rFonts w:ascii="Times New Roman" w:hAnsi="Times New Roman"/>
                <w:sz w:val="20"/>
                <w:szCs w:val="20"/>
              </w:rPr>
            </w:pPr>
            <w:r w:rsidRPr="00772706">
              <w:rPr>
                <w:rFonts w:ascii="Times New Roman" w:hAnsi="Times New Roman"/>
                <w:color w:val="000000"/>
                <w:sz w:val="20"/>
                <w:szCs w:val="20"/>
              </w:rPr>
              <w:t xml:space="preserve">- </w:t>
            </w:r>
            <w:r>
              <w:rPr>
                <w:rFonts w:ascii="Times New Roman" w:hAnsi="Times New Roman"/>
                <w:color w:val="000000"/>
                <w:sz w:val="20"/>
                <w:szCs w:val="20"/>
              </w:rPr>
              <w:tab/>
            </w:r>
            <w:r w:rsidRPr="00772706">
              <w:rPr>
                <w:rFonts w:ascii="Times New Roman" w:hAnsi="Times New Roman"/>
                <w:color w:val="000000"/>
                <w:sz w:val="20"/>
                <w:szCs w:val="20"/>
              </w:rPr>
              <w:t>iné transfery</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0</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-9 065 172</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-20 139 482</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747678"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-30 161 768</w:t>
            </w: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772706" w:rsidP="00A231F2">
            <w:pPr>
              <w:tabs>
                <w:tab w:val="left" w:pos="781"/>
              </w:tabs>
              <w:bidi w:val="0"/>
              <w:spacing w:before="60" w:after="60"/>
              <w:ind w:left="781" w:hanging="284"/>
              <w:rPr>
                <w:rFonts w:ascii="Times New Roman" w:hAnsi="Times New Roman"/>
                <w:color w:val="000000"/>
                <w:sz w:val="20"/>
                <w:szCs w:val="20"/>
              </w:rPr>
            </w:pPr>
            <w:r w:rsidRPr="00772706">
              <w:rPr>
                <w:rFonts w:ascii="Times New Roman" w:hAnsi="Times New Roman"/>
                <w:color w:val="000000"/>
                <w:sz w:val="20"/>
                <w:szCs w:val="20"/>
              </w:rPr>
              <w:t>- nesystémové dávky - valorizácia</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772706" w:rsidP="00A231F2">
            <w:pPr>
              <w:bidi w:val="0"/>
              <w:spacing w:before="60" w:after="60"/>
              <w:jc w:val="right"/>
              <w:rPr>
                <w:rFonts w:ascii="Times New Roman" w:hAnsi="Times New Roman"/>
                <w:sz w:val="20"/>
                <w:szCs w:val="20"/>
              </w:rPr>
            </w:pPr>
            <w:r>
              <w:rPr>
                <w:rFonts w:ascii="Times New Roman" w:hAnsi="Times New Roman"/>
                <w:b/>
                <w:bCs/>
                <w:color w:val="000000"/>
                <w:sz w:val="20"/>
                <w:szCs w:val="20"/>
              </w:rPr>
              <w:t>-</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0</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-447 158</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-1 140 297</w:t>
            </w: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772706" w:rsidP="00A231F2">
            <w:pPr>
              <w:tabs>
                <w:tab w:val="left" w:pos="781"/>
              </w:tabs>
              <w:bidi w:val="0"/>
              <w:spacing w:before="60" w:after="60"/>
              <w:ind w:left="781" w:hanging="284"/>
              <w:rPr>
                <w:rFonts w:ascii="Times New Roman" w:hAnsi="Times New Roman"/>
                <w:color w:val="000000"/>
                <w:sz w:val="20"/>
                <w:szCs w:val="20"/>
              </w:rPr>
            </w:pPr>
            <w:r w:rsidRPr="00772706">
              <w:rPr>
                <w:rFonts w:ascii="Times New Roman" w:hAnsi="Times New Roman"/>
                <w:color w:val="000000"/>
                <w:sz w:val="20"/>
                <w:szCs w:val="20"/>
              </w:rPr>
              <w:t>- úspora na rodičovskom príspevku</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772706" w:rsidP="00A231F2">
            <w:pPr>
              <w:bidi w:val="0"/>
              <w:spacing w:before="60" w:after="60"/>
              <w:jc w:val="right"/>
              <w:rPr>
                <w:rFonts w:ascii="Times New Roman" w:hAnsi="Times New Roman"/>
                <w:sz w:val="20"/>
                <w:szCs w:val="20"/>
              </w:rPr>
            </w:pPr>
            <w:r>
              <w:rPr>
                <w:rFonts w:ascii="Times New Roman" w:hAnsi="Times New Roman"/>
                <w:b/>
                <w:bCs/>
                <w:color w:val="000000"/>
                <w:sz w:val="20"/>
                <w:szCs w:val="20"/>
              </w:rPr>
              <w:t>-</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-9 231 310</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-19 868 430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-29 209 200</w:t>
            </w: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772706" w:rsidP="00A231F2">
            <w:pPr>
              <w:tabs>
                <w:tab w:val="left" w:pos="781"/>
              </w:tabs>
              <w:bidi w:val="0"/>
              <w:spacing w:before="60" w:after="60"/>
              <w:ind w:left="781" w:hanging="284"/>
              <w:rPr>
                <w:rFonts w:ascii="Times New Roman" w:hAnsi="Times New Roman"/>
                <w:color w:val="000000"/>
                <w:sz w:val="20"/>
                <w:szCs w:val="20"/>
              </w:rPr>
            </w:pPr>
            <w:r w:rsidRPr="00772706">
              <w:rPr>
                <w:rFonts w:ascii="Times New Roman" w:hAnsi="Times New Roman"/>
                <w:color w:val="000000"/>
                <w:sz w:val="20"/>
                <w:szCs w:val="20"/>
              </w:rPr>
              <w:t>- materské - osobitný systém</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772706" w:rsidP="00A231F2">
            <w:pPr>
              <w:bidi w:val="0"/>
              <w:spacing w:before="60" w:after="60"/>
              <w:jc w:val="right"/>
              <w:rPr>
                <w:rFonts w:ascii="Times New Roman" w:hAnsi="Times New Roman"/>
                <w:sz w:val="20"/>
                <w:szCs w:val="20"/>
              </w:rPr>
            </w:pPr>
            <w:r>
              <w:rPr>
                <w:rFonts w:ascii="Times New Roman" w:hAnsi="Times New Roman"/>
                <w:b/>
                <w:bCs/>
                <w:color w:val="000000"/>
                <w:sz w:val="20"/>
                <w:szCs w:val="20"/>
              </w:rPr>
              <w:t>-</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166 138</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176 106</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187 729</w:t>
            </w: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772706" w:rsidP="00A231F2">
            <w:pPr>
              <w:tabs>
                <w:tab w:val="left" w:pos="497"/>
              </w:tabs>
              <w:bidi w:val="0"/>
              <w:spacing w:before="60" w:after="60"/>
              <w:ind w:left="497" w:hanging="141"/>
              <w:rPr>
                <w:rFonts w:ascii="Times New Roman" w:hAnsi="Times New Roman"/>
                <w:color w:val="000000"/>
                <w:sz w:val="20"/>
                <w:szCs w:val="20"/>
              </w:rPr>
            </w:pPr>
            <w:r w:rsidRPr="00772706">
              <w:rPr>
                <w:rFonts w:ascii="Times New Roman" w:hAnsi="Times New Roman"/>
                <w:color w:val="000000"/>
                <w:sz w:val="20"/>
                <w:szCs w:val="20"/>
              </w:rPr>
              <w:t xml:space="preserve">- </w:t>
            </w:r>
            <w:r>
              <w:rPr>
                <w:rFonts w:ascii="Times New Roman" w:hAnsi="Times New Roman"/>
                <w:color w:val="000000"/>
                <w:sz w:val="20"/>
                <w:szCs w:val="20"/>
              </w:rPr>
              <w:tab/>
            </w:r>
            <w:r w:rsidRPr="00772706">
              <w:rPr>
                <w:rFonts w:ascii="Times New Roman" w:hAnsi="Times New Roman"/>
                <w:color w:val="000000"/>
                <w:sz w:val="20"/>
                <w:szCs w:val="20"/>
              </w:rPr>
              <w:t>na garančnú dávku</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772706" w:rsidP="00A231F2">
            <w:pPr>
              <w:bidi w:val="0"/>
              <w:spacing w:before="60" w:after="60"/>
              <w:jc w:val="right"/>
              <w:rPr>
                <w:rFonts w:ascii="Times New Roman" w:hAnsi="Times New Roman"/>
                <w:sz w:val="20"/>
                <w:szCs w:val="20"/>
              </w:rPr>
            </w:pPr>
            <w:r>
              <w:rPr>
                <w:rFonts w:ascii="Times New Roman" w:hAnsi="Times New Roman"/>
                <w:b/>
                <w:bCs/>
                <w:color w:val="000000"/>
                <w:sz w:val="20"/>
                <w:szCs w:val="20"/>
              </w:rPr>
              <w:t>-</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48 099 000</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50 976 000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54 341 000</w:t>
            </w: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772706" w:rsidP="00A231F2">
            <w:pPr>
              <w:tabs>
                <w:tab w:val="left" w:pos="497"/>
              </w:tabs>
              <w:bidi w:val="0"/>
              <w:spacing w:before="60" w:after="60"/>
              <w:ind w:left="497" w:hanging="141"/>
              <w:rPr>
                <w:rFonts w:ascii="Times New Roman" w:hAnsi="Times New Roman"/>
                <w:color w:val="000000"/>
                <w:sz w:val="20"/>
                <w:szCs w:val="20"/>
              </w:rPr>
            </w:pPr>
            <w:r w:rsidRPr="00772706">
              <w:rPr>
                <w:rFonts w:ascii="Times New Roman" w:hAnsi="Times New Roman"/>
                <w:color w:val="000000"/>
                <w:sz w:val="20"/>
                <w:szCs w:val="20"/>
              </w:rPr>
              <w:t xml:space="preserve">- </w:t>
            </w:r>
            <w:r>
              <w:rPr>
                <w:rFonts w:ascii="Times New Roman" w:hAnsi="Times New Roman"/>
                <w:color w:val="000000"/>
                <w:sz w:val="20"/>
                <w:szCs w:val="20"/>
              </w:rPr>
              <w:tab/>
            </w:r>
            <w:r w:rsidRPr="00772706">
              <w:rPr>
                <w:rFonts w:ascii="Times New Roman" w:hAnsi="Times New Roman"/>
                <w:color w:val="000000"/>
                <w:sz w:val="20"/>
                <w:szCs w:val="20"/>
              </w:rPr>
              <w:t>na AOTP - zrušenie príspevku</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772706" w:rsidP="00A231F2">
            <w:pPr>
              <w:bidi w:val="0"/>
              <w:spacing w:before="60" w:after="60"/>
              <w:jc w:val="right"/>
              <w:rPr>
                <w:rFonts w:ascii="Times New Roman" w:hAnsi="Times New Roman"/>
                <w:sz w:val="20"/>
                <w:szCs w:val="20"/>
              </w:rPr>
            </w:pPr>
            <w:r>
              <w:rPr>
                <w:rFonts w:ascii="Times New Roman" w:hAnsi="Times New Roman"/>
                <w:b/>
                <w:bCs/>
                <w:color w:val="000000"/>
                <w:sz w:val="20"/>
                <w:szCs w:val="20"/>
              </w:rPr>
              <w:t>-</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-737 307</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-1 572 880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772706" w:rsidP="00A231F2">
            <w:pPr>
              <w:bidi w:val="0"/>
              <w:spacing w:before="60" w:after="60"/>
              <w:jc w:val="right"/>
              <w:rPr>
                <w:rFonts w:ascii="Times New Roman" w:hAnsi="Times New Roman"/>
                <w:sz w:val="20"/>
                <w:szCs w:val="20"/>
              </w:rPr>
            </w:pPr>
            <w:r>
              <w:rPr>
                <w:rFonts w:ascii="Times New Roman" w:hAnsi="Times New Roman"/>
                <w:color w:val="000000"/>
                <w:sz w:val="20"/>
                <w:szCs w:val="20"/>
              </w:rPr>
              <w:t>-2 516 788</w:t>
            </w: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8B0F92" w:rsidP="00A231F2">
            <w:pPr>
              <w:tabs>
                <w:tab w:val="left" w:pos="356"/>
              </w:tabs>
              <w:bidi w:val="0"/>
              <w:spacing w:before="60" w:after="60"/>
              <w:ind w:left="356" w:hanging="142"/>
              <w:rPr>
                <w:rFonts w:ascii="Times New Roman" w:hAnsi="Times New Roman"/>
                <w:sz w:val="20"/>
                <w:szCs w:val="20"/>
              </w:rPr>
            </w:pPr>
            <w:r w:rsidRPr="008B0F92">
              <w:rPr>
                <w:rFonts w:ascii="Times New Roman" w:hAnsi="Times New Roman"/>
                <w:sz w:val="20"/>
                <w:szCs w:val="20"/>
              </w:rPr>
              <w:t xml:space="preserve">- </w:t>
              <w:tab/>
              <w:t>transfery v rámci verejnej správy (SP - EAO)</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8B0F92" w:rsidP="00A231F2">
            <w:pPr>
              <w:bidi w:val="0"/>
              <w:spacing w:before="60" w:after="60"/>
              <w:jc w:val="right"/>
              <w:rPr>
                <w:rFonts w:ascii="Times New Roman" w:hAnsi="Times New Roman"/>
                <w:sz w:val="20"/>
                <w:szCs w:val="20"/>
              </w:rPr>
            </w:pPr>
            <w:r w:rsidRPr="008B0F92">
              <w:rPr>
                <w:rFonts w:ascii="Times New Roman" w:hAnsi="Times New Roman"/>
                <w:b/>
                <w:bCs/>
                <w:sz w:val="20"/>
                <w:szCs w:val="20"/>
              </w:rPr>
              <w:t>-</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F444CC" w:rsidP="00A231F2">
            <w:pPr>
              <w:bidi w:val="0"/>
              <w:spacing w:before="60" w:after="60"/>
              <w:jc w:val="right"/>
              <w:rPr>
                <w:rFonts w:ascii="Times New Roman" w:hAnsi="Times New Roman"/>
                <w:color w:val="000000"/>
                <w:sz w:val="20"/>
                <w:szCs w:val="20"/>
                <w:highlight w:val="yellow"/>
              </w:rPr>
            </w:pPr>
            <w:r>
              <w:rPr>
                <w:rFonts w:ascii="Times New Roman" w:hAnsi="Times New Roman"/>
                <w:color w:val="000000"/>
                <w:sz w:val="20"/>
                <w:szCs w:val="20"/>
              </w:rPr>
              <w:t>1 407 973 446</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F444CC" w:rsidP="00A231F2">
            <w:pPr>
              <w:bidi w:val="0"/>
              <w:spacing w:before="60" w:after="60"/>
              <w:jc w:val="right"/>
              <w:rPr>
                <w:rFonts w:ascii="Times New Roman" w:hAnsi="Times New Roman"/>
                <w:color w:val="000000"/>
                <w:sz w:val="20"/>
                <w:szCs w:val="20"/>
                <w:highlight w:val="yellow"/>
              </w:rPr>
            </w:pPr>
            <w:r>
              <w:rPr>
                <w:rFonts w:ascii="Times New Roman" w:hAnsi="Times New Roman"/>
                <w:color w:val="000000"/>
                <w:sz w:val="20"/>
                <w:szCs w:val="20"/>
              </w:rPr>
              <w:t>1 466 826 825</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F444CC" w:rsidP="00A231F2">
            <w:pPr>
              <w:bidi w:val="0"/>
              <w:spacing w:before="60" w:after="60"/>
              <w:jc w:val="right"/>
              <w:rPr>
                <w:rFonts w:ascii="Times New Roman" w:hAnsi="Times New Roman"/>
                <w:color w:val="000000"/>
                <w:sz w:val="20"/>
                <w:szCs w:val="20"/>
                <w:highlight w:val="yellow"/>
              </w:rPr>
            </w:pPr>
            <w:r>
              <w:rPr>
                <w:rFonts w:ascii="Times New Roman" w:hAnsi="Times New Roman"/>
                <w:color w:val="000000"/>
                <w:sz w:val="20"/>
                <w:szCs w:val="20"/>
              </w:rPr>
              <w:t>1 572 843 463</w:t>
            </w: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772706" w:rsidP="00A231F2">
            <w:pPr>
              <w:tabs>
                <w:tab w:val="left" w:pos="356"/>
              </w:tabs>
              <w:bidi w:val="0"/>
              <w:spacing w:before="60" w:after="60"/>
              <w:ind w:left="356" w:hanging="142"/>
              <w:rPr>
                <w:rFonts w:ascii="Times New Roman" w:hAnsi="Times New Roman"/>
                <w:color w:val="000000"/>
                <w:sz w:val="20"/>
                <w:szCs w:val="20"/>
              </w:rPr>
            </w:pPr>
            <w:r w:rsidRPr="00772706">
              <w:rPr>
                <w:rFonts w:ascii="Times New Roman" w:hAnsi="Times New Roman"/>
                <w:color w:val="000000"/>
                <w:sz w:val="20"/>
                <w:szCs w:val="20"/>
              </w:rPr>
              <w:t xml:space="preserve">- </w:t>
            </w:r>
            <w:r>
              <w:rPr>
                <w:rFonts w:ascii="Times New Roman" w:hAnsi="Times New Roman"/>
                <w:color w:val="000000"/>
                <w:sz w:val="20"/>
                <w:szCs w:val="20"/>
              </w:rPr>
              <w:tab/>
            </w:r>
            <w:r w:rsidRPr="00772706">
              <w:rPr>
                <w:rFonts w:ascii="Times New Roman" w:hAnsi="Times New Roman"/>
                <w:color w:val="000000"/>
                <w:sz w:val="20"/>
                <w:szCs w:val="20"/>
              </w:rPr>
              <w:t>transfer</w:t>
            </w:r>
            <w:r>
              <w:rPr>
                <w:rFonts w:ascii="Times New Roman" w:hAnsi="Times New Roman"/>
                <w:color w:val="000000"/>
                <w:sz w:val="20"/>
                <w:szCs w:val="20"/>
              </w:rPr>
              <w:t>y nefinančným subjektom (AOTP -</w:t>
            </w:r>
            <w:r w:rsidRPr="00772706">
              <w:rPr>
                <w:rFonts w:ascii="Times New Roman" w:hAnsi="Times New Roman"/>
                <w:color w:val="000000"/>
                <w:sz w:val="20"/>
                <w:szCs w:val="20"/>
              </w:rPr>
              <w:t>zrušenie príspevku)</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772706" w:rsidP="00A231F2">
            <w:pPr>
              <w:bidi w:val="0"/>
              <w:spacing w:before="60" w:after="60"/>
              <w:jc w:val="right"/>
              <w:rPr>
                <w:rFonts w:ascii="Times New Roman" w:hAnsi="Times New Roman"/>
                <w:sz w:val="20"/>
                <w:szCs w:val="20"/>
              </w:rPr>
            </w:pPr>
            <w:r>
              <w:rPr>
                <w:rFonts w:ascii="Times New Roman" w:hAnsi="Times New Roman"/>
                <w:b/>
                <w:bCs/>
                <w:color w:val="000000"/>
                <w:sz w:val="20"/>
                <w:szCs w:val="20"/>
              </w:rPr>
              <w:t>-</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772706" w:rsidP="003972EB">
            <w:pPr>
              <w:bidi w:val="0"/>
              <w:spacing w:before="60" w:after="60"/>
              <w:jc w:val="right"/>
              <w:rPr>
                <w:rFonts w:ascii="Times New Roman" w:hAnsi="Times New Roman"/>
                <w:b/>
                <w:bCs/>
                <w:i/>
                <w:iCs/>
                <w:color w:val="000000"/>
                <w:sz w:val="20"/>
                <w:szCs w:val="20"/>
              </w:rPr>
            </w:pPr>
            <w:r>
              <w:rPr>
                <w:rFonts w:ascii="Times New Roman" w:hAnsi="Times New Roman"/>
                <w:color w:val="000000"/>
                <w:sz w:val="20"/>
                <w:szCs w:val="20"/>
              </w:rPr>
              <w:t>-1 936 805</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772706" w:rsidP="003972EB">
            <w:pPr>
              <w:bidi w:val="0"/>
              <w:spacing w:before="60" w:after="60"/>
              <w:jc w:val="right"/>
              <w:rPr>
                <w:rFonts w:ascii="Times New Roman" w:hAnsi="Times New Roman"/>
                <w:b/>
                <w:bCs/>
                <w:i/>
                <w:iCs/>
                <w:color w:val="000000"/>
                <w:sz w:val="20"/>
                <w:szCs w:val="20"/>
              </w:rPr>
            </w:pPr>
            <w:r>
              <w:rPr>
                <w:rFonts w:ascii="Times New Roman" w:hAnsi="Times New Roman"/>
                <w:color w:val="000000"/>
                <w:sz w:val="20"/>
                <w:szCs w:val="20"/>
              </w:rPr>
              <w:t>-4 131 745</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E204E" w:rsidRPr="00772706" w:rsidP="003972EB">
            <w:pPr>
              <w:bidi w:val="0"/>
              <w:spacing w:before="60" w:after="60"/>
              <w:jc w:val="right"/>
              <w:rPr>
                <w:rFonts w:ascii="Times New Roman" w:hAnsi="Times New Roman"/>
                <w:b/>
                <w:bCs/>
                <w:i/>
                <w:iCs/>
                <w:color w:val="000000"/>
                <w:sz w:val="20"/>
                <w:szCs w:val="20"/>
              </w:rPr>
            </w:pPr>
            <w:r>
              <w:rPr>
                <w:rFonts w:ascii="Times New Roman" w:hAnsi="Times New Roman"/>
                <w:color w:val="000000"/>
                <w:sz w:val="20"/>
                <w:szCs w:val="20"/>
              </w:rPr>
              <w:t>-6 611 263</w:t>
            </w:r>
          </w:p>
        </w:tc>
      </w:tr>
      <w:tr>
        <w:tblPrEx>
          <w:tblW w:w="9709" w:type="dxa"/>
          <w:tblInd w:w="70" w:type="dxa"/>
          <w:tblLayout w:type="fixed"/>
          <w:tblCellMar>
            <w:left w:w="0" w:type="dxa"/>
            <w:right w:w="0" w:type="dxa"/>
          </w:tblCellMar>
        </w:tblPrEx>
        <w:trPr>
          <w:trHeight w:val="125"/>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44717" w:rsidRPr="00772706" w:rsidP="00A231F2">
            <w:pPr>
              <w:bidi w:val="0"/>
              <w:spacing w:before="60" w:after="60"/>
              <w:rPr>
                <w:rFonts w:ascii="Times New Roman" w:hAnsi="Times New Roman"/>
                <w:sz w:val="20"/>
                <w:szCs w:val="20"/>
              </w:rPr>
            </w:pPr>
            <w:r w:rsidRPr="00772706">
              <w:rPr>
                <w:rFonts w:ascii="Times New Roman" w:hAnsi="Times New Roman"/>
                <w:b/>
                <w:bCs/>
                <w:i/>
                <w:iCs/>
                <w:sz w:val="20"/>
                <w:szCs w:val="20"/>
              </w:rPr>
              <w:t>- vplyv na územnú samosprávu</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44717" w:rsidRPr="00772706" w:rsidP="00A231F2">
            <w:pPr>
              <w:bidi w:val="0"/>
              <w:spacing w:before="60" w:after="60"/>
              <w:jc w:val="right"/>
              <w:rPr>
                <w:rFonts w:ascii="Times New Roman" w:hAnsi="Times New Roman"/>
                <w:sz w:val="20"/>
                <w:szCs w:val="20"/>
              </w:rPr>
            </w:pPr>
            <w:r>
              <w:rPr>
                <w:rFonts w:ascii="Times New Roman" w:hAnsi="Times New Roman"/>
                <w:b/>
                <w:bCs/>
                <w:i/>
                <w:iCs/>
                <w:color w:val="000000"/>
                <w:sz w:val="20"/>
                <w:szCs w:val="20"/>
              </w:rPr>
              <w:t>0</w:t>
            </w: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44717" w:rsidRPr="00772706" w:rsidP="00A231F2">
            <w:pPr>
              <w:bidi w:val="0"/>
              <w:spacing w:before="60" w:after="60"/>
              <w:jc w:val="right"/>
              <w:rPr>
                <w:rFonts w:ascii="Times New Roman" w:hAnsi="Times New Roman"/>
                <w:color w:val="000000"/>
                <w:sz w:val="20"/>
                <w:szCs w:val="20"/>
              </w:rPr>
            </w:pPr>
            <w:r>
              <w:rPr>
                <w:rFonts w:ascii="Times New Roman" w:hAnsi="Times New Roman"/>
                <w:b/>
                <w:bCs/>
                <w:i/>
                <w:iCs/>
                <w:color w:val="000000"/>
                <w:sz w:val="20"/>
                <w:szCs w:val="20"/>
              </w:rPr>
              <w:t>0</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44717" w:rsidRPr="00772706" w:rsidP="00A231F2">
            <w:pPr>
              <w:bidi w:val="0"/>
              <w:spacing w:before="60" w:after="60"/>
              <w:jc w:val="right"/>
              <w:rPr>
                <w:rFonts w:ascii="Times New Roman" w:hAnsi="Times New Roman"/>
                <w:color w:val="000000"/>
                <w:sz w:val="20"/>
                <w:szCs w:val="20"/>
              </w:rPr>
            </w:pPr>
            <w:r>
              <w:rPr>
                <w:rFonts w:ascii="Times New Roman" w:hAnsi="Times New Roman"/>
                <w:b/>
                <w:bCs/>
                <w:i/>
                <w:iCs/>
                <w:color w:val="000000"/>
                <w:sz w:val="20"/>
                <w:szCs w:val="20"/>
              </w:rPr>
              <w:t>0</w:t>
            </w: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44717" w:rsidRPr="00772706" w:rsidP="00A231F2">
            <w:pPr>
              <w:bidi w:val="0"/>
              <w:spacing w:before="60" w:after="60"/>
              <w:jc w:val="right"/>
              <w:rPr>
                <w:rFonts w:ascii="Times New Roman" w:hAnsi="Times New Roman"/>
                <w:color w:val="000000"/>
                <w:sz w:val="20"/>
                <w:szCs w:val="20"/>
              </w:rPr>
            </w:pPr>
            <w:r>
              <w:rPr>
                <w:rFonts w:ascii="Times New Roman" w:hAnsi="Times New Roman"/>
                <w:b/>
                <w:bCs/>
                <w:i/>
                <w:iCs/>
                <w:color w:val="000000"/>
                <w:sz w:val="20"/>
                <w:szCs w:val="20"/>
              </w:rPr>
              <w:t>0</w:t>
            </w: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44717" w:rsidRPr="00772706" w:rsidP="00A231F2">
            <w:pPr>
              <w:bidi w:val="0"/>
              <w:spacing w:before="60" w:after="60"/>
              <w:rPr>
                <w:rFonts w:ascii="Times New Roman" w:hAnsi="Times New Roman"/>
                <w:sz w:val="20"/>
                <w:szCs w:val="20"/>
              </w:rPr>
            </w:pPr>
            <w:r w:rsidRPr="00772706">
              <w:rPr>
                <w:rFonts w:ascii="Times New Roman" w:hAnsi="Times New Roman"/>
                <w:b/>
                <w:bCs/>
                <w:sz w:val="20"/>
                <w:szCs w:val="20"/>
              </w:rPr>
              <w:t xml:space="preserve">Celková zamestnanosť </w:t>
            </w:r>
          </w:p>
        </w:tc>
        <w:tc>
          <w:tcPr>
            <w:tcW w:w="125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44717" w:rsidRPr="00772706" w:rsidP="00A231F2">
            <w:pPr>
              <w:bidi w:val="0"/>
              <w:spacing w:before="60" w:after="60"/>
              <w:jc w:val="right"/>
              <w:rPr>
                <w:rFonts w:ascii="Times New Roman" w:hAnsi="Times New Roman"/>
                <w:sz w:val="20"/>
                <w:szCs w:val="20"/>
              </w:rPr>
            </w:pPr>
          </w:p>
        </w:tc>
        <w:tc>
          <w:tcPr>
            <w:tcW w:w="143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44717" w:rsidRPr="00772706" w:rsidP="00A231F2">
            <w:pPr>
              <w:bidi w:val="0"/>
              <w:spacing w:before="60" w:after="60"/>
              <w:jc w:val="right"/>
              <w:rPr>
                <w:rFonts w:ascii="Times New Roman" w:hAnsi="Times New Roman"/>
                <w:color w:val="000000"/>
                <w:sz w:val="20"/>
                <w:szCs w:val="20"/>
              </w:rPr>
            </w:pPr>
          </w:p>
        </w:tc>
        <w:tc>
          <w:tcPr>
            <w:tcW w:w="136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44717" w:rsidRPr="00772706" w:rsidP="00A231F2">
            <w:pPr>
              <w:bidi w:val="0"/>
              <w:spacing w:before="60" w:after="60"/>
              <w:jc w:val="right"/>
              <w:rPr>
                <w:rFonts w:ascii="Times New Roman" w:hAnsi="Times New Roman"/>
                <w:color w:val="000000"/>
                <w:sz w:val="20"/>
                <w:szCs w:val="20"/>
              </w:rPr>
            </w:pPr>
          </w:p>
        </w:tc>
        <w:tc>
          <w:tcPr>
            <w:tcW w:w="140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44717" w:rsidRPr="00772706" w:rsidP="00A231F2">
            <w:pPr>
              <w:bidi w:val="0"/>
              <w:spacing w:before="60" w:after="60"/>
              <w:jc w:val="right"/>
              <w:rPr>
                <w:rFonts w:ascii="Times New Roman" w:hAnsi="Times New Roman"/>
                <w:color w:val="000000"/>
                <w:sz w:val="20"/>
                <w:szCs w:val="20"/>
              </w:rPr>
            </w:pP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44717" w:rsidRPr="00772706" w:rsidP="00A231F2">
            <w:pPr>
              <w:bidi w:val="0"/>
              <w:spacing w:before="60" w:after="60"/>
              <w:rPr>
                <w:rFonts w:ascii="Times New Roman" w:hAnsi="Times New Roman"/>
                <w:sz w:val="20"/>
                <w:szCs w:val="20"/>
              </w:rPr>
            </w:pPr>
            <w:r>
              <w:rPr>
                <w:rFonts w:ascii="Times New Roman" w:hAnsi="Times New Roman"/>
                <w:b/>
                <w:bCs/>
                <w:i/>
                <w:iCs/>
                <w:sz w:val="20"/>
                <w:szCs w:val="20"/>
              </w:rPr>
              <w:t>- z toho vplyv na štátny rozpočet</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44717" w:rsidRPr="00772706" w:rsidP="00A231F2">
            <w:pPr>
              <w:bidi w:val="0"/>
              <w:spacing w:before="60" w:after="60"/>
              <w:jc w:val="right"/>
              <w:rPr>
                <w:rFonts w:ascii="Times New Roman" w:hAnsi="Times New Roman"/>
                <w:b/>
                <w:bCs/>
                <w:iCs/>
                <w:sz w:val="20"/>
                <w:szCs w:val="20"/>
              </w:rPr>
            </w:pP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44717" w:rsidRPr="00772706" w:rsidP="00A231F2">
            <w:pPr>
              <w:bidi w:val="0"/>
              <w:spacing w:before="60" w:after="60"/>
              <w:jc w:val="right"/>
              <w:rPr>
                <w:rFonts w:ascii="Times New Roman" w:hAnsi="Times New Roman"/>
                <w:color w:val="000000"/>
                <w:sz w:val="20"/>
                <w:szCs w:val="20"/>
              </w:rPr>
            </w:pP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44717" w:rsidRPr="00772706" w:rsidP="00A231F2">
            <w:pPr>
              <w:bidi w:val="0"/>
              <w:spacing w:before="60" w:after="60"/>
              <w:jc w:val="right"/>
              <w:rPr>
                <w:rFonts w:ascii="Times New Roman" w:hAnsi="Times New Roman"/>
                <w:color w:val="000000"/>
                <w:sz w:val="20"/>
                <w:szCs w:val="20"/>
              </w:rPr>
            </w:pP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44717" w:rsidRPr="00772706" w:rsidP="00A231F2">
            <w:pPr>
              <w:bidi w:val="0"/>
              <w:spacing w:before="60" w:after="60"/>
              <w:jc w:val="right"/>
              <w:rPr>
                <w:rFonts w:ascii="Times New Roman" w:hAnsi="Times New Roman"/>
                <w:color w:val="000000"/>
                <w:sz w:val="20"/>
                <w:szCs w:val="20"/>
              </w:rPr>
            </w:pP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44717" w:rsidRPr="00772706" w:rsidP="00A231F2">
            <w:pPr>
              <w:bidi w:val="0"/>
              <w:spacing w:before="60" w:after="60"/>
              <w:rPr>
                <w:rFonts w:ascii="Times New Roman" w:hAnsi="Times New Roman"/>
                <w:sz w:val="20"/>
                <w:szCs w:val="20"/>
              </w:rPr>
            </w:pPr>
            <w:r w:rsidRPr="00772706">
              <w:rPr>
                <w:rFonts w:ascii="Times New Roman" w:hAnsi="Times New Roman"/>
                <w:b/>
                <w:bCs/>
                <w:sz w:val="20"/>
                <w:szCs w:val="20"/>
              </w:rPr>
              <w:t>Financovanie zabezpečené v rozpočte</w:t>
            </w:r>
          </w:p>
        </w:tc>
        <w:tc>
          <w:tcPr>
            <w:tcW w:w="125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44717" w:rsidRPr="00772706" w:rsidP="00A231F2">
            <w:pPr>
              <w:bidi w:val="0"/>
              <w:spacing w:before="60" w:after="60"/>
              <w:jc w:val="right"/>
              <w:rPr>
                <w:rFonts w:ascii="Times New Roman" w:hAnsi="Times New Roman"/>
                <w:sz w:val="20"/>
                <w:szCs w:val="20"/>
              </w:rPr>
            </w:pPr>
          </w:p>
        </w:tc>
        <w:tc>
          <w:tcPr>
            <w:tcW w:w="143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44717" w:rsidRPr="00772706" w:rsidP="00A231F2">
            <w:pPr>
              <w:bidi w:val="0"/>
              <w:spacing w:before="60" w:after="60"/>
              <w:jc w:val="right"/>
              <w:rPr>
                <w:rFonts w:ascii="Times New Roman" w:hAnsi="Times New Roman"/>
                <w:color w:val="000000"/>
                <w:sz w:val="20"/>
                <w:szCs w:val="20"/>
              </w:rPr>
            </w:pPr>
          </w:p>
        </w:tc>
        <w:tc>
          <w:tcPr>
            <w:tcW w:w="136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44717" w:rsidRPr="00772706" w:rsidP="00A231F2">
            <w:pPr>
              <w:bidi w:val="0"/>
              <w:spacing w:before="60" w:after="60"/>
              <w:jc w:val="right"/>
              <w:rPr>
                <w:rFonts w:ascii="Times New Roman" w:hAnsi="Times New Roman"/>
                <w:color w:val="000000"/>
                <w:sz w:val="20"/>
                <w:szCs w:val="20"/>
              </w:rPr>
            </w:pPr>
          </w:p>
        </w:tc>
        <w:tc>
          <w:tcPr>
            <w:tcW w:w="140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44717" w:rsidRPr="00772706" w:rsidP="00A231F2">
            <w:pPr>
              <w:bidi w:val="0"/>
              <w:spacing w:before="60" w:after="60"/>
              <w:jc w:val="right"/>
              <w:rPr>
                <w:rFonts w:ascii="Times New Roman" w:hAnsi="Times New Roman"/>
                <w:color w:val="000000"/>
                <w:sz w:val="20"/>
                <w:szCs w:val="20"/>
              </w:rPr>
            </w:pPr>
          </w:p>
        </w:tc>
      </w:tr>
      <w:tr>
        <w:tblPrEx>
          <w:tblW w:w="9709" w:type="dxa"/>
          <w:tblInd w:w="70" w:type="dxa"/>
          <w:tblLayout w:type="fixed"/>
          <w:tblCellMar>
            <w:left w:w="0" w:type="dxa"/>
            <w:right w:w="0" w:type="dxa"/>
          </w:tblCellMar>
        </w:tblPrEx>
        <w:trPr>
          <w:trHeight w:val="70"/>
        </w:trPr>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44717" w:rsidRPr="00772706" w:rsidP="00A231F2">
            <w:pPr>
              <w:bidi w:val="0"/>
              <w:spacing w:before="60" w:after="60"/>
              <w:rPr>
                <w:rFonts w:ascii="Times New Roman" w:hAnsi="Times New Roman"/>
                <w:sz w:val="20"/>
                <w:szCs w:val="20"/>
              </w:rPr>
            </w:pPr>
            <w:r w:rsidRPr="00772706">
              <w:rPr>
                <w:rFonts w:ascii="Times New Roman" w:hAnsi="Times New Roman"/>
                <w:sz w:val="20"/>
                <w:szCs w:val="20"/>
              </w:rPr>
              <w:t>v tom: za každý subjekt verejnej správy /program zvlášť</w:t>
            </w:r>
          </w:p>
        </w:tc>
        <w:tc>
          <w:tcPr>
            <w:tcW w:w="1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44717" w:rsidRPr="00772706" w:rsidP="00A231F2">
            <w:pPr>
              <w:bidi w:val="0"/>
              <w:spacing w:before="60" w:after="60"/>
              <w:jc w:val="right"/>
              <w:rPr>
                <w:rFonts w:ascii="Times New Roman" w:hAnsi="Times New Roman"/>
                <w:sz w:val="20"/>
                <w:szCs w:val="20"/>
              </w:rPr>
            </w:pPr>
          </w:p>
        </w:tc>
        <w:tc>
          <w:tcPr>
            <w:tcW w:w="14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44717" w:rsidRPr="00772706" w:rsidP="00A231F2">
            <w:pPr>
              <w:bidi w:val="0"/>
              <w:spacing w:before="60" w:after="60"/>
              <w:jc w:val="right"/>
              <w:rPr>
                <w:rFonts w:ascii="Times New Roman" w:hAnsi="Times New Roman"/>
                <w:color w:val="000000"/>
                <w:sz w:val="20"/>
                <w:szCs w:val="20"/>
              </w:rPr>
            </w:pP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44717" w:rsidRPr="00772706" w:rsidP="00A231F2">
            <w:pPr>
              <w:bidi w:val="0"/>
              <w:spacing w:before="60" w:after="60"/>
              <w:jc w:val="right"/>
              <w:rPr>
                <w:rFonts w:ascii="Times New Roman" w:hAnsi="Times New Roman"/>
                <w:color w:val="000000"/>
                <w:sz w:val="20"/>
                <w:szCs w:val="20"/>
              </w:rPr>
            </w:pPr>
          </w:p>
        </w:tc>
        <w:tc>
          <w:tcPr>
            <w:tcW w:w="1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44717" w:rsidRPr="00772706" w:rsidP="00A231F2">
            <w:pPr>
              <w:bidi w:val="0"/>
              <w:spacing w:before="60" w:after="60"/>
              <w:jc w:val="right"/>
              <w:rPr>
                <w:rFonts w:ascii="Times New Roman" w:hAnsi="Times New Roman"/>
                <w:color w:val="000000"/>
                <w:sz w:val="20"/>
                <w:szCs w:val="20"/>
              </w:rPr>
            </w:pPr>
          </w:p>
        </w:tc>
      </w:tr>
      <w:tr>
        <w:tblPrEx>
          <w:tblW w:w="9709" w:type="dxa"/>
          <w:tblInd w:w="70" w:type="dxa"/>
          <w:tblLayout w:type="fixed"/>
          <w:tblCellMar>
            <w:left w:w="0" w:type="dxa"/>
            <w:right w:w="0" w:type="dxa"/>
          </w:tblCellMar>
        </w:tblPrEx>
        <w:trPr>
          <w:trHeight w:val="429"/>
        </w:trPr>
        <w:tc>
          <w:tcPr>
            <w:tcW w:w="9709" w:type="dxa"/>
            <w:gridSpan w:val="5"/>
            <w:tcBorders>
              <w:top w:val="nil"/>
              <w:left w:val="nil"/>
              <w:bottom w:val="nil"/>
              <w:right w:val="nil"/>
            </w:tcBorders>
            <w:textDirection w:val="lrTb"/>
            <w:vAlign w:val="center"/>
          </w:tcPr>
          <w:p w:rsidR="00144717" w:rsidRPr="00772706" w:rsidP="00A231F2">
            <w:pPr>
              <w:bidi w:val="0"/>
              <w:spacing w:before="60" w:after="60"/>
              <w:rPr>
                <w:rFonts w:ascii="Times New Roman" w:hAnsi="Times New Roman"/>
                <w:sz w:val="20"/>
                <w:szCs w:val="20"/>
              </w:rPr>
            </w:pPr>
          </w:p>
        </w:tc>
      </w:tr>
    </w:tbl>
    <w:p w:rsidR="00D13C96" w:rsidRPr="00A86C7E" w:rsidP="00A86C7E">
      <w:pPr>
        <w:keepNext/>
        <w:bidi w:val="0"/>
        <w:spacing w:after="120"/>
        <w:jc w:val="right"/>
        <w:rPr>
          <w:rFonts w:ascii="Times New Roman" w:hAnsi="Times New Roman"/>
          <w:sz w:val="22"/>
          <w:szCs w:val="22"/>
        </w:rPr>
      </w:pPr>
    </w:p>
    <w:p w:rsidR="00A22617" w:rsidRPr="00C1007E" w:rsidP="00777C47">
      <w:pPr>
        <w:bidi w:val="0"/>
        <w:rPr>
          <w:rFonts w:ascii="Times New Roman" w:hAnsi="Times New Roman"/>
        </w:rPr>
      </w:pPr>
      <w:r w:rsidRPr="00C1007E">
        <w:rPr>
          <w:rFonts w:ascii="Times New Roman" w:hAnsi="Times New Roman"/>
          <w:b/>
          <w:bCs/>
        </w:rPr>
        <w:t>2.2. Financovanie návrhu</w:t>
      </w:r>
    </w:p>
    <w:p w:rsidR="00A22617" w:rsidRPr="00C1007E" w:rsidP="006D0E27">
      <w:pPr>
        <w:bidi w:val="0"/>
        <w:spacing w:after="120"/>
        <w:jc w:val="right"/>
        <w:rPr>
          <w:rFonts w:ascii="Times New Roman" w:hAnsi="Times New Roman"/>
        </w:rPr>
      </w:pPr>
      <w:r w:rsidR="006727E0">
        <w:rPr>
          <w:rFonts w:ascii="Times New Roman" w:hAnsi="Times New Roman"/>
        </w:rPr>
        <w:t>Tabuľka č. 2</w:t>
      </w:r>
    </w:p>
    <w:tbl>
      <w:tblPr>
        <w:tblStyle w:val="TableNormal"/>
        <w:tblW w:w="9851" w:type="dxa"/>
        <w:tblCellMar>
          <w:left w:w="0" w:type="dxa"/>
          <w:right w:w="0" w:type="dxa"/>
        </w:tblCellMar>
      </w:tblPr>
      <w:tblGrid>
        <w:gridCol w:w="3614"/>
        <w:gridCol w:w="1559"/>
        <w:gridCol w:w="1559"/>
        <w:gridCol w:w="1559"/>
        <w:gridCol w:w="1560"/>
      </w:tblGrid>
      <w:tr>
        <w:tblPrEx>
          <w:tblW w:w="9851" w:type="dxa"/>
          <w:tblCellMar>
            <w:left w:w="0" w:type="dxa"/>
            <w:right w:w="0" w:type="dxa"/>
          </w:tblCellMar>
        </w:tblPrEx>
        <w:trPr>
          <w:trHeight w:val="70"/>
        </w:trPr>
        <w:tc>
          <w:tcPr>
            <w:tcW w:w="3614"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43D03" w:rsidRPr="00C1007E" w:rsidP="00A231F2">
            <w:pPr>
              <w:bidi w:val="0"/>
              <w:spacing w:before="120" w:after="120" w:line="70" w:lineRule="atLeast"/>
              <w:jc w:val="center"/>
              <w:rPr>
                <w:rFonts w:ascii="Times New Roman" w:hAnsi="Times New Roman"/>
              </w:rPr>
            </w:pPr>
            <w:r w:rsidRPr="00C1007E">
              <w:rPr>
                <w:rFonts w:ascii="Times New Roman" w:hAnsi="Times New Roman"/>
                <w:b/>
                <w:bCs/>
              </w:rPr>
              <w:t>Financovanie</w:t>
            </w:r>
          </w:p>
        </w:tc>
        <w:tc>
          <w:tcPr>
            <w:tcW w:w="6237" w:type="dxa"/>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43D03" w:rsidRPr="00C1007E" w:rsidP="00A231F2">
            <w:pPr>
              <w:bidi w:val="0"/>
              <w:spacing w:before="120" w:after="120" w:line="70" w:lineRule="atLeast"/>
              <w:jc w:val="center"/>
              <w:rPr>
                <w:rFonts w:ascii="Times New Roman" w:hAnsi="Times New Roman"/>
              </w:rPr>
            </w:pPr>
            <w:r w:rsidRPr="00C1007E">
              <w:rPr>
                <w:rFonts w:ascii="Times New Roman" w:hAnsi="Times New Roman"/>
                <w:b/>
                <w:bCs/>
              </w:rPr>
              <w:t>Vplyv na rozpočet verejnej správy (v eurách)</w:t>
            </w:r>
          </w:p>
        </w:tc>
      </w:tr>
      <w:tr>
        <w:tblPrEx>
          <w:tblW w:w="9851" w:type="dxa"/>
          <w:tblCellMar>
            <w:left w:w="0" w:type="dxa"/>
            <w:right w:w="0" w:type="dxa"/>
          </w:tblCellMar>
        </w:tblPrEx>
        <w:trPr>
          <w:trHeight w:val="70"/>
        </w:trPr>
        <w:tc>
          <w:tcPr>
            <w:tcW w:w="3614" w:type="dxa"/>
            <w:vMerge/>
            <w:tcBorders>
              <w:top w:val="single" w:sz="4" w:space="0" w:color="000000"/>
              <w:left w:val="single" w:sz="4" w:space="0" w:color="000000"/>
              <w:bottom w:val="single" w:sz="4" w:space="0" w:color="000000"/>
              <w:right w:val="single" w:sz="4" w:space="0" w:color="000000"/>
            </w:tcBorders>
            <w:textDirection w:val="lrTb"/>
            <w:vAlign w:val="center"/>
          </w:tcPr>
          <w:p w:rsidR="00243D03" w:rsidRPr="00C1007E" w:rsidP="00A231F2">
            <w:pPr>
              <w:bidi w:val="0"/>
              <w:spacing w:before="120" w:after="120"/>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43D03" w:rsidRPr="00C1007E" w:rsidP="00A231F2">
            <w:pPr>
              <w:bidi w:val="0"/>
              <w:spacing w:before="120" w:after="120" w:line="70" w:lineRule="atLeast"/>
              <w:jc w:val="center"/>
              <w:rPr>
                <w:rFonts w:ascii="Times New Roman" w:hAnsi="Times New Roman"/>
              </w:rPr>
            </w:pPr>
            <w:r w:rsidRPr="00C1007E">
              <w:rPr>
                <w:rFonts w:ascii="Times New Roman" w:hAnsi="Times New Roman"/>
                <w:b/>
                <w:bCs/>
              </w:rPr>
              <w:t>2011</w:t>
            </w:r>
          </w:p>
        </w:tc>
        <w:tc>
          <w:tcPr>
            <w:tcW w:w="1559"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43D03" w:rsidRPr="00C1007E" w:rsidP="00A231F2">
            <w:pPr>
              <w:bidi w:val="0"/>
              <w:spacing w:before="120" w:after="120" w:line="70" w:lineRule="atLeast"/>
              <w:jc w:val="center"/>
              <w:rPr>
                <w:rFonts w:ascii="Times New Roman" w:hAnsi="Times New Roman"/>
              </w:rPr>
            </w:pPr>
            <w:r w:rsidRPr="00C1007E">
              <w:rPr>
                <w:rFonts w:ascii="Times New Roman" w:hAnsi="Times New Roman"/>
                <w:b/>
                <w:bCs/>
              </w:rPr>
              <w:t>2012</w:t>
            </w:r>
          </w:p>
        </w:tc>
        <w:tc>
          <w:tcPr>
            <w:tcW w:w="1559"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43D03" w:rsidRPr="00C1007E" w:rsidP="00A231F2">
            <w:pPr>
              <w:bidi w:val="0"/>
              <w:spacing w:before="120" w:after="120" w:line="70" w:lineRule="atLeast"/>
              <w:jc w:val="center"/>
              <w:rPr>
                <w:rFonts w:ascii="Times New Roman" w:hAnsi="Times New Roman"/>
              </w:rPr>
            </w:pPr>
            <w:r w:rsidRPr="00C1007E">
              <w:rPr>
                <w:rFonts w:ascii="Times New Roman" w:hAnsi="Times New Roman"/>
                <w:b/>
                <w:bCs/>
              </w:rPr>
              <w:t>2013</w:t>
            </w:r>
          </w:p>
        </w:tc>
        <w:tc>
          <w:tcPr>
            <w:tcW w:w="156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243D03" w:rsidRPr="00C1007E" w:rsidP="00A231F2">
            <w:pPr>
              <w:bidi w:val="0"/>
              <w:spacing w:before="120" w:after="120" w:line="70" w:lineRule="atLeast"/>
              <w:jc w:val="center"/>
              <w:rPr>
                <w:rFonts w:ascii="Times New Roman" w:hAnsi="Times New Roman"/>
              </w:rPr>
            </w:pPr>
            <w:r w:rsidRPr="00C1007E">
              <w:rPr>
                <w:rFonts w:ascii="Times New Roman" w:hAnsi="Times New Roman"/>
                <w:b/>
                <w:bCs/>
              </w:rPr>
              <w:t>2014</w:t>
            </w:r>
          </w:p>
        </w:tc>
      </w:tr>
      <w:tr>
        <w:tblPrEx>
          <w:tblW w:w="9851" w:type="dxa"/>
          <w:tblCellMar>
            <w:left w:w="0" w:type="dxa"/>
            <w:right w:w="0" w:type="dxa"/>
          </w:tblCellMar>
        </w:tblPrEx>
        <w:trPr>
          <w:trHeight w:val="70"/>
        </w:trPr>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76FF6" w:rsidRPr="00404052" w:rsidP="00A231F2">
            <w:pPr>
              <w:bidi w:val="0"/>
              <w:spacing w:before="60" w:after="60" w:line="70" w:lineRule="atLeast"/>
              <w:rPr>
                <w:rFonts w:ascii="Times New Roman" w:hAnsi="Times New Roman"/>
              </w:rPr>
            </w:pPr>
            <w:r w:rsidRPr="00404052">
              <w:rPr>
                <w:rFonts w:ascii="Times New Roman" w:hAnsi="Times New Roman"/>
                <w:b/>
                <w:bCs/>
                <w:sz w:val="22"/>
                <w:szCs w:val="22"/>
              </w:rPr>
              <w:t>Celkový vplyv na rozpočet verejnej správy ( - príjmy, + výdavky)</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tcPr>
          <w:p w:rsidR="00976FF6" w:rsidRPr="00BD4A5C" w:rsidP="00A17711">
            <w:pPr>
              <w:bidi w:val="0"/>
              <w:spacing w:before="60" w:after="60" w:line="70" w:lineRule="atLeast"/>
              <w:jc w:val="right"/>
              <w:rPr>
                <w:rFonts w:ascii="Times New Roman" w:hAnsi="Times New Roman"/>
                <w:b/>
                <w:bCs/>
                <w:sz w:val="22"/>
                <w:szCs w:val="22"/>
              </w:rPr>
            </w:pPr>
            <w:r>
              <w:rPr>
                <w:rFonts w:ascii="Times New Roman" w:hAnsi="Times New Roman"/>
                <w:b/>
                <w:bCs/>
                <w:color w:val="000000"/>
                <w:sz w:val="20"/>
                <w:szCs w:val="20"/>
              </w:rPr>
              <w:t>-3 814 569</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tcPr>
          <w:p w:rsidR="00976FF6" w:rsidRPr="00900A95" w:rsidP="00A17711">
            <w:pPr>
              <w:bidi w:val="0"/>
              <w:jc w:val="right"/>
              <w:rPr>
                <w:rFonts w:ascii="Times New Roman" w:hAnsi="Times New Roman"/>
                <w:b/>
                <w:bCs/>
                <w:color w:val="000000"/>
                <w:sz w:val="22"/>
                <w:szCs w:val="22"/>
              </w:rPr>
            </w:pPr>
            <w:r>
              <w:rPr>
                <w:rFonts w:ascii="Times New Roman" w:hAnsi="Times New Roman"/>
                <w:b/>
                <w:bCs/>
                <w:color w:val="000000"/>
                <w:sz w:val="20"/>
                <w:szCs w:val="20"/>
              </w:rPr>
              <w:t>43 429 848</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76FF6" w:rsidP="0084467B">
            <w:pPr>
              <w:bidi w:val="0"/>
              <w:jc w:val="right"/>
              <w:rPr>
                <w:rFonts w:ascii="Times New Roman" w:hAnsi="Times New Roman"/>
                <w:b/>
                <w:bCs/>
                <w:color w:val="000000"/>
                <w:sz w:val="20"/>
                <w:szCs w:val="20"/>
              </w:rPr>
            </w:pPr>
            <w:r w:rsidR="0084467B">
              <w:rPr>
                <w:rFonts w:ascii="Times New Roman" w:hAnsi="Times New Roman"/>
                <w:b/>
                <w:bCs/>
                <w:color w:val="000000"/>
                <w:sz w:val="20"/>
                <w:szCs w:val="20"/>
              </w:rPr>
              <w:t> </w:t>
            </w:r>
          </w:p>
          <w:p w:rsidR="0084467B" w:rsidRPr="00900A95" w:rsidP="0084467B">
            <w:pPr>
              <w:bidi w:val="0"/>
              <w:jc w:val="right"/>
              <w:rPr>
                <w:rFonts w:ascii="Times New Roman" w:hAnsi="Times New Roman"/>
                <w:b/>
                <w:bCs/>
                <w:color w:val="000000"/>
                <w:sz w:val="22"/>
                <w:szCs w:val="22"/>
              </w:rPr>
            </w:pPr>
            <w:r>
              <w:rPr>
                <w:rFonts w:ascii="Times New Roman" w:hAnsi="Times New Roman"/>
                <w:b/>
                <w:bCs/>
                <w:color w:val="000000"/>
                <w:sz w:val="20"/>
                <w:szCs w:val="20"/>
              </w:rPr>
              <w:t>-76 027 948</w:t>
            </w:r>
          </w:p>
        </w:tc>
        <w:tc>
          <w:tcPr>
            <w:tcW w:w="15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76FF6" w:rsidP="0084467B">
            <w:pPr>
              <w:bidi w:val="0"/>
              <w:jc w:val="right"/>
              <w:rPr>
                <w:rFonts w:ascii="Times New Roman" w:hAnsi="Times New Roman"/>
                <w:b/>
                <w:bCs/>
                <w:color w:val="000000"/>
                <w:sz w:val="20"/>
                <w:szCs w:val="20"/>
              </w:rPr>
            </w:pPr>
            <w:r w:rsidR="0084467B">
              <w:rPr>
                <w:rFonts w:ascii="Times New Roman" w:hAnsi="Times New Roman"/>
                <w:b/>
                <w:bCs/>
                <w:color w:val="000000"/>
                <w:sz w:val="20"/>
                <w:szCs w:val="20"/>
              </w:rPr>
              <w:t> </w:t>
            </w:r>
          </w:p>
          <w:p w:rsidR="0084467B" w:rsidRPr="00900A95" w:rsidP="0084467B">
            <w:pPr>
              <w:bidi w:val="0"/>
              <w:jc w:val="right"/>
              <w:rPr>
                <w:rFonts w:ascii="Times New Roman" w:hAnsi="Times New Roman"/>
                <w:b/>
                <w:bCs/>
                <w:color w:val="000000"/>
                <w:sz w:val="22"/>
                <w:szCs w:val="22"/>
              </w:rPr>
            </w:pPr>
            <w:r>
              <w:rPr>
                <w:rFonts w:ascii="Times New Roman" w:hAnsi="Times New Roman"/>
                <w:b/>
                <w:bCs/>
                <w:color w:val="000000"/>
                <w:sz w:val="20"/>
                <w:szCs w:val="20"/>
              </w:rPr>
              <w:t>-168 580 40</w:t>
            </w:r>
            <w:r w:rsidR="000A3DD0">
              <w:rPr>
                <w:rFonts w:ascii="Times New Roman" w:hAnsi="Times New Roman"/>
                <w:b/>
                <w:bCs/>
                <w:color w:val="000000"/>
                <w:sz w:val="20"/>
                <w:szCs w:val="20"/>
              </w:rPr>
              <w:t>7</w:t>
            </w:r>
          </w:p>
        </w:tc>
      </w:tr>
      <w:tr>
        <w:tblPrEx>
          <w:tblW w:w="9851" w:type="dxa"/>
          <w:tblCellMar>
            <w:left w:w="0" w:type="dxa"/>
            <w:right w:w="0" w:type="dxa"/>
          </w:tblCellMar>
        </w:tblPrEx>
        <w:trPr>
          <w:trHeight w:val="70"/>
        </w:trPr>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76FF6" w:rsidRPr="00D414E3" w:rsidP="00A231F2">
            <w:pPr>
              <w:bidi w:val="0"/>
              <w:spacing w:before="60" w:after="60" w:line="70" w:lineRule="atLeast"/>
              <w:rPr>
                <w:rFonts w:ascii="Times New Roman" w:hAnsi="Times New Roman"/>
                <w:sz w:val="22"/>
                <w:szCs w:val="22"/>
              </w:rPr>
            </w:pPr>
            <w:r>
              <w:rPr>
                <w:rFonts w:ascii="Times New Roman" w:hAnsi="Times New Roman"/>
                <w:sz w:val="22"/>
                <w:szCs w:val="22"/>
              </w:rPr>
              <w:t xml:space="preserve">  z toho vplyv na Sociálnu poisťovňu</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76FF6" w:rsidRPr="00BD4A5C" w:rsidP="00A231F2">
            <w:pPr>
              <w:bidi w:val="0"/>
              <w:spacing w:before="60" w:after="60" w:line="70" w:lineRule="atLeast"/>
              <w:jc w:val="right"/>
              <w:rPr>
                <w:rFonts w:ascii="Times New Roman" w:hAnsi="Times New Roman"/>
                <w:sz w:val="22"/>
                <w:szCs w:val="22"/>
              </w:rPr>
            </w:pPr>
            <w:r>
              <w:rPr>
                <w:rFonts w:ascii="Times New Roman" w:hAnsi="Times New Roman"/>
                <w:color w:val="000000"/>
                <w:sz w:val="20"/>
                <w:szCs w:val="20"/>
              </w:rPr>
              <w:t>0</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76FF6" w:rsidRPr="00900A95" w:rsidP="00A231F2">
            <w:pPr>
              <w:bidi w:val="0"/>
              <w:jc w:val="right"/>
              <w:rPr>
                <w:rFonts w:ascii="Times New Roman" w:hAnsi="Times New Roman"/>
                <w:color w:val="000000"/>
                <w:sz w:val="22"/>
                <w:szCs w:val="22"/>
              </w:rPr>
            </w:pPr>
            <w:r>
              <w:rPr>
                <w:rFonts w:ascii="Times New Roman" w:hAnsi="Times New Roman"/>
                <w:color w:val="000000"/>
                <w:sz w:val="20"/>
                <w:szCs w:val="20"/>
              </w:rPr>
              <w:t>32 314 666</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76FF6" w:rsidRPr="0042706F" w:rsidP="0084467B">
            <w:pPr>
              <w:bidi w:val="0"/>
              <w:jc w:val="right"/>
              <w:rPr>
                <w:rFonts w:ascii="Times New Roman" w:hAnsi="Times New Roman"/>
                <w:color w:val="000000"/>
                <w:sz w:val="20"/>
                <w:szCs w:val="20"/>
              </w:rPr>
            </w:pPr>
            <w:r w:rsidRPr="0084467B" w:rsidR="0084467B">
              <w:rPr>
                <w:rFonts w:ascii="Times New Roman" w:hAnsi="Times New Roman"/>
                <w:color w:val="000000"/>
                <w:sz w:val="20"/>
                <w:szCs w:val="20"/>
              </w:rPr>
              <w:t> </w:t>
            </w:r>
          </w:p>
          <w:p w:rsidR="0084467B" w:rsidRPr="000A3DD0" w:rsidP="0084467B">
            <w:pPr>
              <w:bidi w:val="0"/>
              <w:jc w:val="right"/>
              <w:rPr>
                <w:rFonts w:ascii="Times New Roman" w:hAnsi="Times New Roman"/>
                <w:color w:val="000000"/>
                <w:sz w:val="20"/>
                <w:szCs w:val="20"/>
              </w:rPr>
            </w:pPr>
            <w:r w:rsidRPr="000A3DD0">
              <w:rPr>
                <w:rFonts w:ascii="Times New Roman" w:hAnsi="Times New Roman"/>
                <w:color w:val="000000"/>
                <w:sz w:val="20"/>
                <w:szCs w:val="20"/>
              </w:rPr>
              <w:t>-24</w:t>
            </w:r>
            <w:r w:rsidRPr="0042706F">
              <w:rPr>
                <w:rFonts w:ascii="Times New Roman" w:hAnsi="Times New Roman"/>
                <w:color w:val="000000"/>
                <w:sz w:val="20"/>
                <w:szCs w:val="20"/>
              </w:rPr>
              <w:t> </w:t>
            </w:r>
            <w:r w:rsidRPr="000A3DD0">
              <w:rPr>
                <w:rFonts w:ascii="Times New Roman" w:hAnsi="Times New Roman"/>
                <w:color w:val="000000"/>
                <w:sz w:val="20"/>
                <w:szCs w:val="20"/>
              </w:rPr>
              <w:t>018 849</w:t>
            </w:r>
          </w:p>
        </w:tc>
        <w:tc>
          <w:tcPr>
            <w:tcW w:w="15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76FF6" w:rsidRPr="0042706F" w:rsidP="0084467B">
            <w:pPr>
              <w:bidi w:val="0"/>
              <w:jc w:val="right"/>
              <w:rPr>
                <w:rFonts w:ascii="Times New Roman" w:hAnsi="Times New Roman"/>
                <w:color w:val="000000"/>
                <w:sz w:val="20"/>
                <w:szCs w:val="20"/>
              </w:rPr>
            </w:pPr>
            <w:r w:rsidRPr="0084467B" w:rsidR="0084467B">
              <w:rPr>
                <w:rFonts w:ascii="Times New Roman" w:hAnsi="Times New Roman"/>
                <w:color w:val="000000"/>
                <w:sz w:val="20"/>
                <w:szCs w:val="20"/>
              </w:rPr>
              <w:t> </w:t>
            </w:r>
          </w:p>
          <w:p w:rsidR="0084467B" w:rsidRPr="000A3DD0" w:rsidP="0084467B">
            <w:pPr>
              <w:bidi w:val="0"/>
              <w:jc w:val="right"/>
              <w:rPr>
                <w:rFonts w:ascii="Times New Roman" w:hAnsi="Times New Roman"/>
                <w:color w:val="000000"/>
                <w:sz w:val="20"/>
                <w:szCs w:val="20"/>
              </w:rPr>
            </w:pPr>
            <w:r w:rsidRPr="000A3DD0">
              <w:rPr>
                <w:rFonts w:ascii="Times New Roman" w:hAnsi="Times New Roman"/>
                <w:color w:val="000000"/>
                <w:sz w:val="20"/>
                <w:szCs w:val="20"/>
              </w:rPr>
              <w:t>-111</w:t>
            </w:r>
            <w:r w:rsidRPr="0042706F">
              <w:rPr>
                <w:rFonts w:ascii="Times New Roman" w:hAnsi="Times New Roman"/>
                <w:color w:val="000000"/>
                <w:sz w:val="20"/>
                <w:szCs w:val="20"/>
              </w:rPr>
              <w:t> </w:t>
            </w:r>
            <w:r w:rsidRPr="000A3DD0">
              <w:rPr>
                <w:rFonts w:ascii="Times New Roman" w:hAnsi="Times New Roman"/>
                <w:color w:val="000000"/>
                <w:sz w:val="20"/>
                <w:szCs w:val="20"/>
              </w:rPr>
              <w:t>631 021</w:t>
            </w:r>
          </w:p>
        </w:tc>
      </w:tr>
      <w:tr>
        <w:tblPrEx>
          <w:tblW w:w="9851" w:type="dxa"/>
          <w:tblCellMar>
            <w:left w:w="0" w:type="dxa"/>
            <w:right w:w="0" w:type="dxa"/>
          </w:tblCellMar>
        </w:tblPrEx>
        <w:trPr>
          <w:trHeight w:val="70"/>
        </w:trPr>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76FF6" w:rsidP="00A231F2">
            <w:pPr>
              <w:bidi w:val="0"/>
              <w:spacing w:before="60" w:after="60" w:line="70" w:lineRule="atLeast"/>
              <w:rPr>
                <w:rFonts w:ascii="Times New Roman" w:hAnsi="Times New Roman"/>
                <w:sz w:val="22"/>
                <w:szCs w:val="22"/>
              </w:rPr>
            </w:pPr>
            <w:r>
              <w:rPr>
                <w:rFonts w:ascii="Times New Roman" w:hAnsi="Times New Roman"/>
                <w:sz w:val="22"/>
                <w:szCs w:val="22"/>
              </w:rPr>
              <w:t xml:space="preserve">  z toho vplyv na zdravotné poisťovne</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76FF6" w:rsidRPr="00BD4A5C" w:rsidP="00A231F2">
            <w:pPr>
              <w:bidi w:val="0"/>
              <w:spacing w:before="60" w:after="60" w:line="70" w:lineRule="atLeast"/>
              <w:jc w:val="right"/>
              <w:rPr>
                <w:rFonts w:ascii="Times New Roman" w:hAnsi="Times New Roman"/>
                <w:sz w:val="22"/>
                <w:szCs w:val="22"/>
              </w:rPr>
            </w:pPr>
            <w:r>
              <w:rPr>
                <w:rFonts w:ascii="Times New Roman" w:hAnsi="Times New Roman"/>
                <w:color w:val="000000"/>
                <w:sz w:val="20"/>
                <w:szCs w:val="20"/>
              </w:rPr>
              <w:t>0</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76FF6" w:rsidRPr="00BD4A5C" w:rsidP="00A231F2">
            <w:pPr>
              <w:bidi w:val="0"/>
              <w:jc w:val="right"/>
              <w:rPr>
                <w:rFonts w:ascii="Times New Roman" w:hAnsi="Times New Roman"/>
                <w:color w:val="000000"/>
                <w:sz w:val="22"/>
                <w:szCs w:val="22"/>
              </w:rPr>
            </w:pPr>
            <w:r>
              <w:rPr>
                <w:rFonts w:ascii="Times New Roman" w:hAnsi="Times New Roman"/>
                <w:color w:val="000000"/>
                <w:sz w:val="20"/>
                <w:szCs w:val="20"/>
              </w:rPr>
              <w:t>4 800 000</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76FF6" w:rsidRPr="00BD4A5C" w:rsidP="00A231F2">
            <w:pPr>
              <w:bidi w:val="0"/>
              <w:jc w:val="right"/>
              <w:rPr>
                <w:rFonts w:ascii="Times New Roman" w:hAnsi="Times New Roman"/>
                <w:color w:val="000000"/>
                <w:sz w:val="22"/>
                <w:szCs w:val="22"/>
              </w:rPr>
            </w:pPr>
            <w:r>
              <w:rPr>
                <w:rFonts w:ascii="Times New Roman" w:hAnsi="Times New Roman"/>
                <w:color w:val="000000"/>
                <w:sz w:val="20"/>
                <w:szCs w:val="20"/>
              </w:rPr>
              <w:t>0</w:t>
            </w:r>
          </w:p>
        </w:tc>
        <w:tc>
          <w:tcPr>
            <w:tcW w:w="15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76FF6" w:rsidRPr="00BD4A5C" w:rsidP="00A231F2">
            <w:pPr>
              <w:bidi w:val="0"/>
              <w:jc w:val="right"/>
              <w:rPr>
                <w:rFonts w:ascii="Times New Roman" w:hAnsi="Times New Roman"/>
                <w:color w:val="000000"/>
                <w:sz w:val="22"/>
                <w:szCs w:val="22"/>
              </w:rPr>
            </w:pPr>
            <w:r>
              <w:rPr>
                <w:rFonts w:ascii="Times New Roman" w:hAnsi="Times New Roman"/>
                <w:color w:val="000000"/>
                <w:sz w:val="20"/>
                <w:szCs w:val="20"/>
              </w:rPr>
              <w:t>0</w:t>
            </w:r>
          </w:p>
        </w:tc>
      </w:tr>
      <w:tr>
        <w:tblPrEx>
          <w:tblW w:w="9851" w:type="dxa"/>
          <w:tblCellMar>
            <w:left w:w="0" w:type="dxa"/>
            <w:right w:w="0" w:type="dxa"/>
          </w:tblCellMar>
        </w:tblPrEx>
        <w:trPr>
          <w:trHeight w:val="70"/>
        </w:trPr>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76FF6" w:rsidRPr="00D414E3" w:rsidP="00A231F2">
            <w:pPr>
              <w:bidi w:val="0"/>
              <w:spacing w:before="60" w:after="60" w:line="70" w:lineRule="atLeast"/>
              <w:rPr>
                <w:rFonts w:ascii="Times New Roman" w:hAnsi="Times New Roman"/>
              </w:rPr>
            </w:pPr>
            <w:r>
              <w:rPr>
                <w:rFonts w:ascii="Times New Roman" w:hAnsi="Times New Roman"/>
                <w:sz w:val="22"/>
                <w:szCs w:val="22"/>
              </w:rPr>
              <w:t>  z toho vplyv na štátny rozpočet</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76FF6" w:rsidRPr="00772706" w:rsidP="00A231F2">
            <w:pPr>
              <w:bidi w:val="0"/>
              <w:spacing w:before="60" w:after="60" w:line="70" w:lineRule="atLeast"/>
              <w:jc w:val="right"/>
              <w:rPr>
                <w:rFonts w:ascii="Times New Roman" w:hAnsi="Times New Roman"/>
                <w:sz w:val="22"/>
                <w:szCs w:val="22"/>
              </w:rPr>
            </w:pPr>
            <w:r>
              <w:rPr>
                <w:rFonts w:ascii="Times New Roman" w:hAnsi="Times New Roman"/>
                <w:color w:val="000000"/>
                <w:sz w:val="20"/>
                <w:szCs w:val="20"/>
              </w:rPr>
              <w:t>-3 814 569</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76FF6" w:rsidRPr="00322014" w:rsidP="00A231F2">
            <w:pPr>
              <w:bidi w:val="0"/>
              <w:jc w:val="right"/>
              <w:rPr>
                <w:rFonts w:ascii="Times New Roman" w:hAnsi="Times New Roman"/>
                <w:color w:val="000000"/>
                <w:sz w:val="22"/>
                <w:szCs w:val="22"/>
              </w:rPr>
            </w:pPr>
            <w:r>
              <w:rPr>
                <w:rFonts w:ascii="Times New Roman" w:hAnsi="Times New Roman"/>
                <w:color w:val="000000"/>
                <w:sz w:val="20"/>
                <w:szCs w:val="20"/>
              </w:rPr>
              <w:t>6 315 181</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76FF6" w:rsidRPr="00322014" w:rsidP="00A231F2">
            <w:pPr>
              <w:bidi w:val="0"/>
              <w:jc w:val="right"/>
              <w:rPr>
                <w:rFonts w:ascii="Times New Roman" w:hAnsi="Times New Roman"/>
                <w:color w:val="000000"/>
                <w:sz w:val="22"/>
                <w:szCs w:val="22"/>
              </w:rPr>
            </w:pPr>
            <w:r>
              <w:rPr>
                <w:rFonts w:ascii="Times New Roman" w:hAnsi="Times New Roman"/>
                <w:color w:val="000000"/>
                <w:sz w:val="20"/>
                <w:szCs w:val="20"/>
              </w:rPr>
              <w:t>-52 009 100</w:t>
            </w:r>
          </w:p>
        </w:tc>
        <w:tc>
          <w:tcPr>
            <w:tcW w:w="15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76FF6" w:rsidRPr="00322014" w:rsidP="00A231F2">
            <w:pPr>
              <w:bidi w:val="0"/>
              <w:jc w:val="right"/>
              <w:rPr>
                <w:rFonts w:ascii="Times New Roman" w:hAnsi="Times New Roman"/>
                <w:color w:val="000000"/>
                <w:sz w:val="22"/>
                <w:szCs w:val="22"/>
              </w:rPr>
            </w:pPr>
            <w:r>
              <w:rPr>
                <w:rFonts w:ascii="Times New Roman" w:hAnsi="Times New Roman"/>
                <w:color w:val="000000"/>
                <w:sz w:val="20"/>
                <w:szCs w:val="20"/>
              </w:rPr>
              <w:t>-56 949 386</w:t>
            </w:r>
          </w:p>
        </w:tc>
      </w:tr>
      <w:tr>
        <w:tblPrEx>
          <w:tblW w:w="9851" w:type="dxa"/>
          <w:tblCellMar>
            <w:left w:w="0" w:type="dxa"/>
            <w:right w:w="0" w:type="dxa"/>
          </w:tblCellMar>
        </w:tblPrEx>
        <w:trPr>
          <w:trHeight w:val="151"/>
        </w:trPr>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76FF6" w:rsidRPr="00D414E3" w:rsidP="00A231F2">
            <w:pPr>
              <w:bidi w:val="0"/>
              <w:spacing w:before="60" w:after="60" w:line="151" w:lineRule="atLeast"/>
              <w:rPr>
                <w:rFonts w:ascii="Times New Roman" w:hAnsi="Times New Roman"/>
              </w:rPr>
            </w:pPr>
            <w:r w:rsidRPr="00D414E3">
              <w:rPr>
                <w:rFonts w:ascii="Times New Roman" w:hAnsi="Times New Roman"/>
                <w:sz w:val="22"/>
                <w:szCs w:val="22"/>
              </w:rPr>
              <w:t>  financovanie zabezpečené v rozpočte</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76FF6" w:rsidRPr="00772706" w:rsidP="00A231F2">
            <w:pPr>
              <w:bidi w:val="0"/>
              <w:spacing w:before="60" w:after="60" w:line="151" w:lineRule="atLeast"/>
              <w:jc w:val="right"/>
              <w:rPr>
                <w:rFonts w:ascii="Times New Roman" w:hAnsi="Times New Roman"/>
                <w:sz w:val="22"/>
                <w:szCs w:val="22"/>
              </w:rPr>
            </w:pPr>
            <w:r>
              <w:rPr>
                <w:rFonts w:ascii="Times New Roman" w:hAnsi="Times New Roman"/>
                <w:color w:val="000000"/>
                <w:sz w:val="20"/>
                <w:szCs w:val="20"/>
              </w:rPr>
              <w:t>0</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76FF6" w:rsidRPr="00322014" w:rsidP="00A231F2">
            <w:pPr>
              <w:bidi w:val="0"/>
              <w:jc w:val="right"/>
              <w:rPr>
                <w:rFonts w:ascii="Times New Roman" w:hAnsi="Times New Roman"/>
                <w:color w:val="000000"/>
                <w:sz w:val="22"/>
                <w:szCs w:val="22"/>
              </w:rPr>
            </w:pPr>
            <w:r>
              <w:rPr>
                <w:rFonts w:ascii="Times New Roman" w:hAnsi="Times New Roman"/>
                <w:color w:val="000000"/>
                <w:sz w:val="20"/>
                <w:szCs w:val="20"/>
              </w:rPr>
              <w:t>-43 429 848</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76FF6" w:rsidRPr="00322014" w:rsidP="00A231F2">
            <w:pPr>
              <w:bidi w:val="0"/>
              <w:jc w:val="right"/>
              <w:rPr>
                <w:rFonts w:ascii="Times New Roman" w:hAnsi="Times New Roman"/>
                <w:color w:val="000000"/>
                <w:sz w:val="22"/>
                <w:szCs w:val="22"/>
              </w:rPr>
            </w:pPr>
            <w:r w:rsidR="000A3DD0">
              <w:rPr>
                <w:rFonts w:ascii="Times New Roman" w:hAnsi="Times New Roman"/>
                <w:color w:val="000000"/>
                <w:sz w:val="20"/>
                <w:szCs w:val="20"/>
              </w:rPr>
              <w:t>76 027</w:t>
            </w:r>
            <w:r>
              <w:rPr>
                <w:rFonts w:ascii="Times New Roman" w:hAnsi="Times New Roman"/>
                <w:color w:val="000000"/>
                <w:sz w:val="20"/>
                <w:szCs w:val="20"/>
              </w:rPr>
              <w:t xml:space="preserve"> 948</w:t>
            </w:r>
          </w:p>
        </w:tc>
        <w:tc>
          <w:tcPr>
            <w:tcW w:w="15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76FF6" w:rsidRPr="00322014" w:rsidP="00A231F2">
            <w:pPr>
              <w:bidi w:val="0"/>
              <w:jc w:val="right"/>
              <w:rPr>
                <w:rFonts w:ascii="Times New Roman" w:hAnsi="Times New Roman"/>
                <w:color w:val="000000"/>
                <w:sz w:val="22"/>
                <w:szCs w:val="22"/>
              </w:rPr>
            </w:pPr>
            <w:r w:rsidR="000A3DD0">
              <w:rPr>
                <w:rFonts w:ascii="Times New Roman" w:hAnsi="Times New Roman"/>
                <w:color w:val="000000"/>
                <w:sz w:val="20"/>
                <w:szCs w:val="20"/>
              </w:rPr>
              <w:t>168 580 407</w:t>
            </w:r>
          </w:p>
        </w:tc>
      </w:tr>
      <w:tr>
        <w:tblPrEx>
          <w:tblW w:w="9851" w:type="dxa"/>
          <w:tblCellMar>
            <w:left w:w="0" w:type="dxa"/>
            <w:right w:w="0" w:type="dxa"/>
          </w:tblCellMar>
        </w:tblPrEx>
        <w:trPr>
          <w:trHeight w:val="135"/>
        </w:trPr>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43D03" w:rsidRPr="00D414E3" w:rsidP="00A231F2">
            <w:pPr>
              <w:bidi w:val="0"/>
              <w:spacing w:before="60" w:after="60" w:line="135" w:lineRule="atLeast"/>
              <w:rPr>
                <w:rFonts w:ascii="Times New Roman" w:hAnsi="Times New Roman"/>
              </w:rPr>
            </w:pPr>
            <w:r w:rsidRPr="00D414E3">
              <w:rPr>
                <w:rFonts w:ascii="Times New Roman" w:hAnsi="Times New Roman"/>
                <w:sz w:val="22"/>
                <w:szCs w:val="22"/>
              </w:rPr>
              <w:t>  ostatné zdroje financovania</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43D03" w:rsidRPr="00772706" w:rsidP="00A231F2">
            <w:pPr>
              <w:bidi w:val="0"/>
              <w:spacing w:before="60" w:after="60" w:line="135" w:lineRule="atLeast"/>
              <w:jc w:val="right"/>
              <w:rPr>
                <w:rFonts w:ascii="Times New Roman" w:hAnsi="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43D03" w:rsidRPr="00772706" w:rsidP="00A231F2">
            <w:pPr>
              <w:bidi w:val="0"/>
              <w:jc w:val="right"/>
              <w:rPr>
                <w:rFonts w:ascii="Times New Roman" w:hAnsi="Times New Roman"/>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43D03" w:rsidRPr="00772706" w:rsidP="00A231F2">
            <w:pPr>
              <w:bidi w:val="0"/>
              <w:jc w:val="right"/>
              <w:rPr>
                <w:rFonts w:ascii="Times New Roman" w:hAnsi="Times New Roman"/>
                <w:color w:val="000000"/>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43D03" w:rsidRPr="00772706" w:rsidP="00A231F2">
            <w:pPr>
              <w:bidi w:val="0"/>
              <w:jc w:val="right"/>
              <w:rPr>
                <w:rFonts w:ascii="Times New Roman" w:hAnsi="Times New Roman"/>
                <w:color w:val="000000"/>
                <w:sz w:val="22"/>
                <w:szCs w:val="22"/>
              </w:rPr>
            </w:pPr>
          </w:p>
        </w:tc>
      </w:tr>
      <w:tr>
        <w:tblPrEx>
          <w:tblW w:w="9851" w:type="dxa"/>
          <w:tblCellMar>
            <w:left w:w="0" w:type="dxa"/>
            <w:right w:w="0" w:type="dxa"/>
          </w:tblCellMar>
        </w:tblPrEx>
        <w:trPr>
          <w:trHeight w:val="70"/>
        </w:trPr>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76FF6" w:rsidRPr="00D414E3" w:rsidP="00A231F2">
            <w:pPr>
              <w:bidi w:val="0"/>
              <w:spacing w:before="60" w:after="60" w:line="70" w:lineRule="atLeast"/>
              <w:rPr>
                <w:rFonts w:ascii="Times New Roman" w:hAnsi="Times New Roman"/>
              </w:rPr>
            </w:pPr>
            <w:r w:rsidRPr="00D414E3">
              <w:rPr>
                <w:rFonts w:ascii="Times New Roman" w:hAnsi="Times New Roman"/>
                <w:b/>
                <w:bCs/>
                <w:sz w:val="22"/>
                <w:szCs w:val="22"/>
              </w:rPr>
              <w:t>Rozpočtovo nekrytý vplyv / úspora</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76FF6" w:rsidRPr="00772706" w:rsidP="00B61E4D">
            <w:pPr>
              <w:bidi w:val="0"/>
              <w:spacing w:before="60" w:after="60" w:line="70" w:lineRule="atLeast"/>
              <w:jc w:val="right"/>
              <w:rPr>
                <w:rFonts w:ascii="Times New Roman" w:hAnsi="Times New Roman"/>
                <w:b/>
                <w:sz w:val="22"/>
                <w:szCs w:val="22"/>
              </w:rPr>
            </w:pPr>
            <w:r>
              <w:rPr>
                <w:rFonts w:ascii="Times New Roman" w:hAnsi="Times New Roman"/>
                <w:b/>
                <w:bCs/>
                <w:color w:val="000000"/>
                <w:sz w:val="20"/>
                <w:szCs w:val="20"/>
              </w:rPr>
              <w:t>3 814 569</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76FF6" w:rsidRPr="00772706" w:rsidP="00A231F2">
            <w:pPr>
              <w:bidi w:val="0"/>
              <w:jc w:val="right"/>
              <w:rPr>
                <w:rFonts w:ascii="Times New Roman" w:hAnsi="Times New Roman"/>
                <w:b/>
                <w:bCs/>
                <w:color w:val="000000"/>
                <w:sz w:val="22"/>
                <w:szCs w:val="22"/>
              </w:rPr>
            </w:pPr>
            <w:r>
              <w:rPr>
                <w:rFonts w:ascii="Times New Roman" w:hAnsi="Times New Roman"/>
                <w:b/>
                <w:bCs/>
                <w:color w:val="000000"/>
                <w:sz w:val="20"/>
                <w:szCs w:val="20"/>
              </w:rPr>
              <w:t>43 429 848</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76FF6" w:rsidRPr="00772706" w:rsidP="00A231F2">
            <w:pPr>
              <w:bidi w:val="0"/>
              <w:jc w:val="right"/>
              <w:rPr>
                <w:rFonts w:ascii="Times New Roman" w:hAnsi="Times New Roman"/>
                <w:b/>
                <w:bCs/>
                <w:color w:val="000000"/>
                <w:sz w:val="22"/>
                <w:szCs w:val="22"/>
              </w:rPr>
            </w:pPr>
            <w:r w:rsidR="000A3DD0">
              <w:rPr>
                <w:rFonts w:ascii="Times New Roman" w:hAnsi="Times New Roman"/>
                <w:b/>
                <w:bCs/>
                <w:color w:val="000000"/>
                <w:sz w:val="20"/>
                <w:szCs w:val="20"/>
              </w:rPr>
              <w:t>-76 027 948</w:t>
            </w:r>
          </w:p>
        </w:tc>
        <w:tc>
          <w:tcPr>
            <w:tcW w:w="15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76FF6" w:rsidRPr="00772706" w:rsidP="00A231F2">
            <w:pPr>
              <w:bidi w:val="0"/>
              <w:jc w:val="right"/>
              <w:rPr>
                <w:rFonts w:ascii="Times New Roman" w:hAnsi="Times New Roman"/>
                <w:b/>
                <w:bCs/>
                <w:color w:val="000000"/>
                <w:sz w:val="22"/>
                <w:szCs w:val="22"/>
              </w:rPr>
            </w:pPr>
            <w:r w:rsidR="000A3DD0">
              <w:rPr>
                <w:rFonts w:ascii="Times New Roman" w:hAnsi="Times New Roman"/>
                <w:b/>
                <w:bCs/>
                <w:color w:val="000000"/>
                <w:sz w:val="20"/>
                <w:szCs w:val="20"/>
              </w:rPr>
              <w:t>-168 580 407</w:t>
            </w:r>
          </w:p>
        </w:tc>
      </w:tr>
      <w:tr>
        <w:tblPrEx>
          <w:tblW w:w="9851" w:type="dxa"/>
          <w:tblCellMar>
            <w:left w:w="0" w:type="dxa"/>
            <w:right w:w="0" w:type="dxa"/>
          </w:tblCellMar>
        </w:tblPrEx>
        <w:tc>
          <w:tcPr>
            <w:tcW w:w="3614" w:type="dxa"/>
            <w:tcBorders>
              <w:top w:val="nil"/>
              <w:left w:val="nil"/>
              <w:bottom w:val="nil"/>
              <w:right w:val="nil"/>
            </w:tcBorders>
            <w:textDirection w:val="lrTb"/>
            <w:vAlign w:val="center"/>
          </w:tcPr>
          <w:p w:rsidR="00243D03" w:rsidRPr="00C1007E" w:rsidP="00A231F2">
            <w:pPr>
              <w:bidi w:val="0"/>
              <w:rPr>
                <w:rFonts w:ascii="Times New Roman" w:hAnsi="Times New Roman"/>
                <w:sz w:val="2"/>
              </w:rPr>
            </w:pPr>
          </w:p>
        </w:tc>
        <w:tc>
          <w:tcPr>
            <w:tcW w:w="1559" w:type="dxa"/>
            <w:tcBorders>
              <w:top w:val="nil"/>
              <w:left w:val="nil"/>
              <w:bottom w:val="nil"/>
              <w:right w:val="nil"/>
            </w:tcBorders>
            <w:textDirection w:val="lrTb"/>
            <w:vAlign w:val="center"/>
          </w:tcPr>
          <w:p w:rsidR="00243D03" w:rsidRPr="00C1007E" w:rsidP="00A231F2">
            <w:pPr>
              <w:bidi w:val="0"/>
              <w:rPr>
                <w:rFonts w:ascii="Times New Roman" w:hAnsi="Times New Roman"/>
                <w:sz w:val="2"/>
              </w:rPr>
            </w:pPr>
          </w:p>
        </w:tc>
        <w:tc>
          <w:tcPr>
            <w:tcW w:w="1559" w:type="dxa"/>
            <w:tcBorders>
              <w:top w:val="nil"/>
              <w:left w:val="nil"/>
              <w:bottom w:val="nil"/>
              <w:right w:val="nil"/>
            </w:tcBorders>
            <w:textDirection w:val="lrTb"/>
            <w:vAlign w:val="center"/>
          </w:tcPr>
          <w:p w:rsidR="00243D03" w:rsidRPr="00C1007E" w:rsidP="00A231F2">
            <w:pPr>
              <w:bidi w:val="0"/>
              <w:rPr>
                <w:rFonts w:ascii="Times New Roman" w:hAnsi="Times New Roman"/>
                <w:sz w:val="2"/>
              </w:rPr>
            </w:pPr>
          </w:p>
        </w:tc>
        <w:tc>
          <w:tcPr>
            <w:tcW w:w="1559" w:type="dxa"/>
            <w:tcBorders>
              <w:top w:val="nil"/>
              <w:left w:val="nil"/>
              <w:bottom w:val="nil"/>
              <w:right w:val="nil"/>
            </w:tcBorders>
            <w:textDirection w:val="lrTb"/>
            <w:vAlign w:val="center"/>
          </w:tcPr>
          <w:p w:rsidR="00243D03" w:rsidRPr="00C1007E" w:rsidP="00A231F2">
            <w:pPr>
              <w:bidi w:val="0"/>
              <w:rPr>
                <w:rFonts w:ascii="Times New Roman" w:hAnsi="Times New Roman"/>
                <w:sz w:val="2"/>
              </w:rPr>
            </w:pPr>
          </w:p>
        </w:tc>
        <w:tc>
          <w:tcPr>
            <w:tcW w:w="1560" w:type="dxa"/>
            <w:tcBorders>
              <w:top w:val="nil"/>
              <w:left w:val="nil"/>
              <w:bottom w:val="nil"/>
              <w:right w:val="nil"/>
            </w:tcBorders>
            <w:textDirection w:val="lrTb"/>
            <w:vAlign w:val="center"/>
          </w:tcPr>
          <w:p w:rsidR="00243D03" w:rsidRPr="00C1007E" w:rsidP="00A231F2">
            <w:pPr>
              <w:bidi w:val="0"/>
              <w:rPr>
                <w:rFonts w:ascii="Times New Roman" w:hAnsi="Times New Roman"/>
                <w:sz w:val="2"/>
              </w:rPr>
            </w:pPr>
          </w:p>
        </w:tc>
      </w:tr>
    </w:tbl>
    <w:p w:rsidR="004150EC" w:rsidP="00777C47">
      <w:pPr>
        <w:bidi w:val="0"/>
        <w:rPr>
          <w:rFonts w:ascii="Times New Roman" w:hAnsi="Times New Roman"/>
          <w:b/>
          <w:bCs/>
        </w:rPr>
      </w:pPr>
    </w:p>
    <w:p w:rsidR="00A22617" w:rsidP="00A86C7E">
      <w:pPr>
        <w:bidi w:val="0"/>
        <w:jc w:val="both"/>
        <w:rPr>
          <w:rFonts w:ascii="Times New Roman" w:hAnsi="Times New Roman"/>
          <w:b/>
          <w:bCs/>
        </w:rPr>
      </w:pPr>
      <w:r w:rsidRPr="00C1007E">
        <w:rPr>
          <w:rFonts w:ascii="Times New Roman" w:hAnsi="Times New Roman"/>
          <w:b/>
          <w:bCs/>
        </w:rPr>
        <w:t>Návrh na riešenie úbytku príjmov alebo zvýšených výdavkov podľa § 33 ods. 1 zákona č. 523/2004 Z. z. o rozpočtových pravidlách verejnej správy:</w:t>
      </w:r>
    </w:p>
    <w:p w:rsidR="00A22617" w:rsidRPr="00C1007E" w:rsidP="00777C47">
      <w:pPr>
        <w:bidi w:val="0"/>
        <w:rPr>
          <w:rFonts w:ascii="Times New Roman" w:hAnsi="Times New Roman"/>
        </w:rPr>
      </w:pPr>
    </w:p>
    <w:p w:rsidR="00A22617" w:rsidRPr="00C1007E" w:rsidP="00777C47">
      <w:pPr>
        <w:pBdr>
          <w:top w:val="single" w:sz="4" w:space="1" w:color="000000"/>
          <w:left w:val="single" w:sz="4" w:space="4" w:color="000000"/>
          <w:bottom w:val="single" w:sz="4" w:space="1" w:color="000000"/>
          <w:right w:val="single" w:sz="4" w:space="4" w:color="000000"/>
        </w:pBdr>
        <w:bidi w:val="0"/>
        <w:jc w:val="both"/>
        <w:rPr>
          <w:rFonts w:ascii="Times New Roman" w:hAnsi="Times New Roman"/>
        </w:rPr>
      </w:pPr>
      <w:r w:rsidRPr="00C1007E">
        <w:rPr>
          <w:rFonts w:ascii="Times New Roman" w:hAnsi="Times New Roman"/>
          <w:b/>
          <w:bCs/>
        </w:rPr>
        <w:t> </w:t>
      </w:r>
    </w:p>
    <w:p w:rsidR="00A22617" w:rsidP="003F0F1E">
      <w:pPr>
        <w:pBdr>
          <w:top w:val="single" w:sz="4" w:space="1" w:color="000000"/>
          <w:left w:val="single" w:sz="4" w:space="4" w:color="000000"/>
          <w:bottom w:val="single" w:sz="4" w:space="1" w:color="000000"/>
          <w:right w:val="single" w:sz="4" w:space="4" w:color="000000"/>
        </w:pBdr>
        <w:bidi w:val="0"/>
        <w:jc w:val="both"/>
        <w:rPr>
          <w:rFonts w:ascii="Times New Roman" w:hAnsi="Times New Roman"/>
        </w:rPr>
      </w:pPr>
      <w:r>
        <w:rPr>
          <w:rFonts w:ascii="Times New Roman" w:hAnsi="Times New Roman"/>
        </w:rPr>
        <w:t>V</w:t>
      </w:r>
      <w:r w:rsidRPr="00C1007E">
        <w:rPr>
          <w:rFonts w:ascii="Times New Roman" w:hAnsi="Times New Roman"/>
        </w:rPr>
        <w:t>ýpadok príjmov Sociálnej po</w:t>
      </w:r>
      <w:r w:rsidR="00A27B20">
        <w:rPr>
          <w:rFonts w:ascii="Times New Roman" w:hAnsi="Times New Roman"/>
        </w:rPr>
        <w:t xml:space="preserve">isťovne </w:t>
      </w:r>
      <w:r>
        <w:rPr>
          <w:rFonts w:ascii="Times New Roman" w:hAnsi="Times New Roman"/>
        </w:rPr>
        <w:t>bude možné plne vykryť</w:t>
      </w:r>
      <w:r w:rsidRPr="00C1007E">
        <w:rPr>
          <w:rFonts w:ascii="Times New Roman" w:hAnsi="Times New Roman"/>
        </w:rPr>
        <w:t xml:space="preserve"> zo zvýšeného príjmu štátneho rozpočtu prostredníctvom vyššieho výber</w:t>
      </w:r>
      <w:r w:rsidR="007948B9">
        <w:rPr>
          <w:rFonts w:ascii="Times New Roman" w:hAnsi="Times New Roman"/>
        </w:rPr>
        <w:t>u dane z príjmov fyzických osôb</w:t>
      </w:r>
      <w:r>
        <w:rPr>
          <w:rFonts w:ascii="Times New Roman" w:hAnsi="Times New Roman"/>
        </w:rPr>
        <w:t xml:space="preserve">. </w:t>
      </w:r>
      <w:r w:rsidR="00A27B20">
        <w:rPr>
          <w:rFonts w:ascii="Times New Roman" w:hAnsi="Times New Roman"/>
        </w:rPr>
        <w:t>Výpadok príjmu zdravotn</w:t>
      </w:r>
      <w:r w:rsidR="00A0164B">
        <w:rPr>
          <w:rFonts w:ascii="Times New Roman" w:hAnsi="Times New Roman"/>
        </w:rPr>
        <w:t>ých poisťovní bude plne vykrytý</w:t>
      </w:r>
      <w:r w:rsidR="00A27B20">
        <w:rPr>
          <w:rFonts w:ascii="Times New Roman" w:hAnsi="Times New Roman"/>
        </w:rPr>
        <w:t xml:space="preserve"> úpravou % sadzby za poistencov štátu.</w:t>
      </w:r>
    </w:p>
    <w:p w:rsidR="00A22617" w:rsidRPr="003F0F1E" w:rsidP="003F0F1E">
      <w:pPr>
        <w:pBdr>
          <w:top w:val="single" w:sz="4" w:space="1" w:color="000000"/>
          <w:left w:val="single" w:sz="4" w:space="4" w:color="000000"/>
          <w:bottom w:val="single" w:sz="4" w:space="1" w:color="000000"/>
          <w:right w:val="single" w:sz="4" w:space="4" w:color="000000"/>
        </w:pBdr>
        <w:bidi w:val="0"/>
        <w:jc w:val="both"/>
        <w:rPr>
          <w:rFonts w:ascii="Times New Roman" w:hAnsi="Times New Roman"/>
        </w:rPr>
      </w:pPr>
    </w:p>
    <w:p w:rsidR="00A22617" w:rsidP="00777C47">
      <w:pPr>
        <w:bidi w:val="0"/>
        <w:rPr>
          <w:rFonts w:ascii="Times New Roman" w:hAnsi="Times New Roman"/>
          <w:b/>
          <w:bCs/>
          <w:color w:val="0070C0"/>
        </w:rPr>
      </w:pPr>
    </w:p>
    <w:p w:rsidR="005D2E9C" w:rsidRPr="00AA65B1" w:rsidP="00777C47">
      <w:pPr>
        <w:bidi w:val="0"/>
        <w:rPr>
          <w:rFonts w:ascii="Times New Roman" w:hAnsi="Times New Roman"/>
          <w:b/>
          <w:bCs/>
          <w:color w:val="0070C0"/>
        </w:rPr>
      </w:pPr>
    </w:p>
    <w:p w:rsidR="00A22617" w:rsidRPr="00011BF7" w:rsidP="00777C47">
      <w:pPr>
        <w:bidi w:val="0"/>
        <w:rPr>
          <w:rFonts w:ascii="Times New Roman" w:hAnsi="Times New Roman"/>
        </w:rPr>
      </w:pPr>
      <w:r w:rsidRPr="00011BF7">
        <w:rPr>
          <w:rFonts w:ascii="Times New Roman" w:hAnsi="Times New Roman"/>
          <w:b/>
          <w:bCs/>
        </w:rPr>
        <w:t>2.3. Popis a charakteristika návrhu</w:t>
      </w:r>
    </w:p>
    <w:p w:rsidR="00A22617" w:rsidP="00777C47">
      <w:pPr>
        <w:bidi w:val="0"/>
        <w:jc w:val="both"/>
        <w:rPr>
          <w:rFonts w:ascii="Times New Roman" w:hAnsi="Times New Roman"/>
          <w:b/>
          <w:bCs/>
        </w:rPr>
      </w:pPr>
      <w:r w:rsidRPr="00011BF7">
        <w:rPr>
          <w:rFonts w:ascii="Times New Roman" w:hAnsi="Times New Roman"/>
          <w:b/>
          <w:bCs/>
        </w:rPr>
        <w:t>2.3.1. Popis návrhu:</w:t>
      </w:r>
    </w:p>
    <w:p w:rsidR="00A22617" w:rsidP="00777C47">
      <w:pPr>
        <w:bidi w:val="0"/>
        <w:jc w:val="both"/>
        <w:rPr>
          <w:rFonts w:ascii="Times New Roman" w:hAnsi="Times New Roman"/>
          <w:b/>
          <w:bCs/>
        </w:rPr>
      </w:pPr>
    </w:p>
    <w:p w:rsidR="00644FBA" w:rsidP="007B1ACD">
      <w:pPr>
        <w:bidi w:val="0"/>
        <w:jc w:val="both"/>
        <w:rPr>
          <w:rFonts w:ascii="Times New Roman" w:hAnsi="Times New Roman"/>
        </w:rPr>
      </w:pPr>
      <w:r w:rsidR="00A22617">
        <w:rPr>
          <w:rFonts w:ascii="Times New Roman" w:hAnsi="Times New Roman"/>
        </w:rPr>
        <w:t xml:space="preserve">     Hlavným cieľom návrhu je i</w:t>
      </w:r>
      <w:r w:rsidRPr="00011BF7" w:rsidR="00A22617">
        <w:rPr>
          <w:rFonts w:ascii="Times New Roman" w:hAnsi="Times New Roman"/>
        </w:rPr>
        <w:t>mplementácia základných parametrov reformy daňovo– odvodového systému, ktorá je navrhnutá v Koncepcii reformy daňovo-odvodového systému, okrem časti zjednotenia výberu dane z príjmov a poistn</w:t>
      </w:r>
      <w:r>
        <w:rPr>
          <w:rFonts w:ascii="Times New Roman" w:hAnsi="Times New Roman"/>
        </w:rPr>
        <w:t>ého</w:t>
      </w:r>
      <w:r w:rsidRPr="00011BF7" w:rsidR="00A22617">
        <w:rPr>
          <w:rFonts w:ascii="Times New Roman" w:hAnsi="Times New Roman"/>
        </w:rPr>
        <w:t xml:space="preserve">. </w:t>
      </w:r>
      <w:r w:rsidR="00A22617">
        <w:rPr>
          <w:rFonts w:ascii="Times New Roman" w:hAnsi="Times New Roman"/>
        </w:rPr>
        <w:t>Nosnou s</w:t>
      </w:r>
      <w:r w:rsidRPr="00011BF7" w:rsidR="00A22617">
        <w:rPr>
          <w:rFonts w:ascii="Times New Roman" w:hAnsi="Times New Roman"/>
        </w:rPr>
        <w:t xml:space="preserve">účasťou návrhu je zvýšenie hrubých </w:t>
      </w:r>
      <w:r>
        <w:rPr>
          <w:rFonts w:ascii="Times New Roman" w:hAnsi="Times New Roman"/>
        </w:rPr>
        <w:t>príjmov</w:t>
      </w:r>
      <w:r w:rsidRPr="00011BF7" w:rsidR="00A22617">
        <w:rPr>
          <w:rFonts w:ascii="Times New Roman" w:hAnsi="Times New Roman"/>
        </w:rPr>
        <w:t xml:space="preserve"> zamestnancov z dôvodu zrušenia povinnosti </w:t>
      </w:r>
      <w:r>
        <w:rPr>
          <w:rFonts w:ascii="Times New Roman" w:hAnsi="Times New Roman"/>
        </w:rPr>
        <w:t xml:space="preserve">zamestnávateľov </w:t>
      </w:r>
      <w:r w:rsidRPr="00011BF7" w:rsidR="00A22617">
        <w:rPr>
          <w:rFonts w:ascii="Times New Roman" w:hAnsi="Times New Roman"/>
        </w:rPr>
        <w:t>platiť</w:t>
      </w:r>
      <w:r>
        <w:rPr>
          <w:rFonts w:ascii="Times New Roman" w:hAnsi="Times New Roman"/>
        </w:rPr>
        <w:t> príspevky na starobné dôchodkové sporenie a</w:t>
      </w:r>
      <w:r w:rsidRPr="00011BF7">
        <w:rPr>
          <w:rFonts w:ascii="Times New Roman" w:hAnsi="Times New Roman"/>
        </w:rPr>
        <w:t xml:space="preserve"> </w:t>
      </w:r>
      <w:r w:rsidRPr="00011BF7" w:rsidR="00A22617">
        <w:rPr>
          <w:rFonts w:ascii="Times New Roman" w:hAnsi="Times New Roman"/>
        </w:rPr>
        <w:t>poistné na verejné zdravotné</w:t>
      </w:r>
      <w:r w:rsidR="00A22617">
        <w:rPr>
          <w:rFonts w:ascii="Times New Roman" w:hAnsi="Times New Roman"/>
        </w:rPr>
        <w:t xml:space="preserve">, </w:t>
      </w:r>
      <w:r w:rsidRPr="00011BF7" w:rsidR="00A22617">
        <w:rPr>
          <w:rFonts w:ascii="Times New Roman" w:hAnsi="Times New Roman"/>
        </w:rPr>
        <w:t>na sociálne poistenie okrem úrazového poistenia</w:t>
      </w:r>
      <w:r>
        <w:rPr>
          <w:rFonts w:ascii="Times New Roman" w:hAnsi="Times New Roman"/>
        </w:rPr>
        <w:t>, na sociálne zabezpečenie okrem úrazového zabezpečenia</w:t>
      </w:r>
      <w:r w:rsidR="00A22617">
        <w:rPr>
          <w:rFonts w:ascii="Times New Roman" w:hAnsi="Times New Roman"/>
        </w:rPr>
        <w:t xml:space="preserve"> </w:t>
      </w:r>
      <w:r w:rsidRPr="00011BF7" w:rsidR="00A22617">
        <w:rPr>
          <w:rFonts w:ascii="Times New Roman" w:hAnsi="Times New Roman"/>
        </w:rPr>
        <w:t xml:space="preserve">a presunutia tejto povinnosti na zamestnancov, čím dôjde k zjednodušeniu </w:t>
      </w:r>
      <w:r w:rsidR="00A22617">
        <w:rPr>
          <w:rFonts w:ascii="Times New Roman" w:hAnsi="Times New Roman"/>
        </w:rPr>
        <w:t>a sprehľadneniu poistných vzťahov</w:t>
      </w:r>
      <w:r w:rsidRPr="00011BF7" w:rsidR="00A22617">
        <w:rPr>
          <w:rFonts w:ascii="Times New Roman" w:hAnsi="Times New Roman"/>
        </w:rPr>
        <w:t>. Návrh má priame dôsledky na relevantné zníženie administratívnej záťaže všetkých skupín osôb pri súčasnom zjednodušení parametrov systému.</w:t>
      </w:r>
    </w:p>
    <w:p w:rsidR="00644FBA" w:rsidRPr="00011BF7" w:rsidP="007B1ACD">
      <w:pPr>
        <w:bidi w:val="0"/>
        <w:jc w:val="both"/>
        <w:rPr>
          <w:rFonts w:ascii="Times New Roman" w:hAnsi="Times New Roman"/>
        </w:rPr>
      </w:pPr>
      <w:r>
        <w:rPr>
          <w:rFonts w:ascii="Times New Roman" w:hAnsi="Times New Roman"/>
        </w:rPr>
        <w:t xml:space="preserve">     Na základe známej úrovne výšky priemernej mzdy za rok 2010 vo výške 769 eur a ustanovení § 14 ods. 5 a § 15 návrhu zákona o úprave príjmu zo závislej činnosti a o zmene a doplnení niektorých zákonov priemerná mzda za rok 2010 zodpovedá superhrubej priemernej mzde na úrovni 1 033,54 eura. Uvedený parameter vstupuje do ustanovení zákonov, ako aj do kalkulácií uvádzaných v doložke vybraných vplyvov.</w:t>
      </w:r>
    </w:p>
    <w:p w:rsidR="00A22617" w:rsidP="00777C47">
      <w:pPr>
        <w:bidi w:val="0"/>
        <w:jc w:val="both"/>
        <w:rPr>
          <w:rFonts w:ascii="Times New Roman" w:hAnsi="Times New Roman"/>
          <w:b/>
          <w:bCs/>
        </w:rPr>
      </w:pPr>
    </w:p>
    <w:p w:rsidR="00694BC8" w:rsidRPr="00A86C7E" w:rsidP="007B1ACD">
      <w:pPr>
        <w:bidi w:val="0"/>
        <w:spacing w:after="120"/>
        <w:jc w:val="both"/>
        <w:rPr>
          <w:rFonts w:ascii="Times New Roman" w:hAnsi="Times New Roman"/>
          <w:b/>
          <w:bCs/>
          <w:color w:val="0070C0"/>
        </w:rPr>
      </w:pPr>
      <w:r w:rsidRPr="00A86C7E" w:rsidR="00A22617">
        <w:rPr>
          <w:rFonts w:ascii="Times New Roman" w:hAnsi="Times New Roman"/>
          <w:b/>
          <w:bCs/>
          <w:color w:val="0070C0"/>
        </w:rPr>
        <w:t>Popis návrhu vo vzťahu k návrhu novely zákona o dani z</w:t>
      </w:r>
      <w:r>
        <w:rPr>
          <w:rFonts w:ascii="Times New Roman" w:hAnsi="Times New Roman"/>
          <w:b/>
          <w:bCs/>
          <w:color w:val="0070C0"/>
        </w:rPr>
        <w:t> </w:t>
      </w:r>
      <w:r w:rsidRPr="00A86C7E" w:rsidR="00A22617">
        <w:rPr>
          <w:rFonts w:ascii="Times New Roman" w:hAnsi="Times New Roman"/>
          <w:b/>
          <w:bCs/>
          <w:color w:val="0070C0"/>
        </w:rPr>
        <w:t>príjmov</w:t>
      </w:r>
    </w:p>
    <w:p w:rsidR="00A22617" w:rsidP="00C432E7">
      <w:pPr>
        <w:bidi w:val="0"/>
        <w:ind w:firstLine="360"/>
        <w:jc w:val="both"/>
        <w:rPr>
          <w:rFonts w:ascii="Times New Roman" w:hAnsi="Times New Roman"/>
        </w:rPr>
      </w:pPr>
      <w:r>
        <w:rPr>
          <w:rFonts w:ascii="Times New Roman" w:hAnsi="Times New Roman"/>
        </w:rPr>
        <w:t>Na základe uznesenia vlády SR č. 313/2011 ku Koncepcii reformy daňovo-odvodového systému sa do právnych predpisov implementujú jednotlivé prvky reformy daňovo-odvodového systému. Návrh novely zákona o dani z príjmov obsahuje parametrické zmeny, ktoré sa týkajú najmä:</w:t>
      </w:r>
    </w:p>
    <w:p w:rsidR="00A22617" w:rsidP="00C432E7">
      <w:pPr>
        <w:bidi w:val="0"/>
        <w:jc w:val="both"/>
        <w:rPr>
          <w:rFonts w:ascii="Times New Roman" w:hAnsi="Times New Roman"/>
        </w:rPr>
      </w:pPr>
    </w:p>
    <w:p w:rsidR="00A22617" w:rsidP="005D1356">
      <w:pPr>
        <w:numPr>
          <w:numId w:val="10"/>
        </w:numPr>
        <w:tabs>
          <w:tab w:val="left" w:pos="709"/>
        </w:tabs>
        <w:bidi w:val="0"/>
        <w:jc w:val="both"/>
        <w:rPr>
          <w:rFonts w:ascii="Times New Roman" w:hAnsi="Times New Roman"/>
        </w:rPr>
      </w:pPr>
      <w:r w:rsidRPr="006133E2">
        <w:rPr>
          <w:rFonts w:ascii="Times New Roman" w:hAnsi="Times New Roman"/>
          <w:b/>
        </w:rPr>
        <w:t xml:space="preserve">Neznižovania daňového základu o zaplatené </w:t>
      </w:r>
      <w:r>
        <w:rPr>
          <w:rFonts w:ascii="Times New Roman" w:hAnsi="Times New Roman"/>
          <w:b/>
        </w:rPr>
        <w:t xml:space="preserve">poistné na </w:t>
      </w:r>
      <w:r w:rsidRPr="006133E2">
        <w:rPr>
          <w:rFonts w:ascii="Times New Roman" w:hAnsi="Times New Roman"/>
          <w:b/>
        </w:rPr>
        <w:t>sociálne</w:t>
      </w:r>
      <w:r w:rsidR="00194553">
        <w:rPr>
          <w:rFonts w:ascii="Times New Roman" w:hAnsi="Times New Roman"/>
          <w:b/>
        </w:rPr>
        <w:t xml:space="preserve"> poistenie</w:t>
      </w:r>
      <w:r w:rsidRPr="006133E2">
        <w:rPr>
          <w:rFonts w:ascii="Times New Roman" w:hAnsi="Times New Roman"/>
          <w:b/>
        </w:rPr>
        <w:t xml:space="preserve"> a</w:t>
      </w:r>
      <w:r w:rsidR="00194553">
        <w:rPr>
          <w:rFonts w:ascii="Times New Roman" w:hAnsi="Times New Roman"/>
          <w:b/>
        </w:rPr>
        <w:t xml:space="preserve"> na verejné </w:t>
      </w:r>
      <w:r w:rsidRPr="006133E2">
        <w:rPr>
          <w:rFonts w:ascii="Times New Roman" w:hAnsi="Times New Roman"/>
          <w:b/>
        </w:rPr>
        <w:t xml:space="preserve">zdravotné </w:t>
      </w:r>
      <w:r>
        <w:rPr>
          <w:rFonts w:ascii="Times New Roman" w:hAnsi="Times New Roman"/>
          <w:b/>
        </w:rPr>
        <w:t>poistenie</w:t>
      </w:r>
      <w:r w:rsidR="00194553">
        <w:rPr>
          <w:rFonts w:ascii="Times New Roman" w:hAnsi="Times New Roman"/>
          <w:b/>
        </w:rPr>
        <w:t xml:space="preserve"> a o zaplatené príspevky na starobné dôchodkové sporenie</w:t>
      </w:r>
      <w:r>
        <w:rPr>
          <w:rFonts w:ascii="Times New Roman" w:hAnsi="Times New Roman"/>
          <w:b/>
        </w:rPr>
        <w:t xml:space="preserve"> </w:t>
      </w:r>
      <w:r w:rsidRPr="006133E2">
        <w:rPr>
          <w:rFonts w:ascii="Times New Roman" w:hAnsi="Times New Roman"/>
          <w:b/>
        </w:rPr>
        <w:t>(neuplatňovanie zaplaten</w:t>
      </w:r>
      <w:r>
        <w:rPr>
          <w:rFonts w:ascii="Times New Roman" w:hAnsi="Times New Roman"/>
          <w:b/>
        </w:rPr>
        <w:t>ého poistného na sociálne a</w:t>
      </w:r>
      <w:r w:rsidR="00194553">
        <w:rPr>
          <w:rFonts w:ascii="Times New Roman" w:hAnsi="Times New Roman"/>
          <w:b/>
        </w:rPr>
        <w:t xml:space="preserve"> verejné </w:t>
      </w:r>
      <w:r w:rsidRPr="006133E2">
        <w:rPr>
          <w:rFonts w:ascii="Times New Roman" w:hAnsi="Times New Roman"/>
          <w:b/>
        </w:rPr>
        <w:t>zdravotn</w:t>
      </w:r>
      <w:r>
        <w:rPr>
          <w:rFonts w:ascii="Times New Roman" w:hAnsi="Times New Roman"/>
          <w:b/>
        </w:rPr>
        <w:t>é poistenie</w:t>
      </w:r>
      <w:r w:rsidR="00194553">
        <w:rPr>
          <w:rFonts w:ascii="Times New Roman" w:hAnsi="Times New Roman"/>
          <w:b/>
        </w:rPr>
        <w:t xml:space="preserve"> a príspevkov na starobné dôchodkové sporenie</w:t>
      </w:r>
      <w:r>
        <w:rPr>
          <w:rFonts w:ascii="Times New Roman" w:hAnsi="Times New Roman"/>
          <w:b/>
        </w:rPr>
        <w:t xml:space="preserve"> </w:t>
      </w:r>
      <w:r w:rsidRPr="006133E2">
        <w:rPr>
          <w:rFonts w:ascii="Times New Roman" w:hAnsi="Times New Roman"/>
          <w:b/>
        </w:rPr>
        <w:t>do daňových výdavkov)</w:t>
      </w:r>
      <w:r>
        <w:rPr>
          <w:rFonts w:ascii="Times New Roman" w:hAnsi="Times New Roman"/>
        </w:rPr>
        <w:t xml:space="preserve"> – zmena sa týka tak príjmov zo závislej činnosti, ako aj príjmov z podnikania. Cieľom tejto zmeny je dosiahnuť unifikáciu základu dane z aktívnych príjmov s vymeriavacím základom na platenie poistného na sociálne</w:t>
      </w:r>
      <w:r w:rsidR="00194553">
        <w:rPr>
          <w:rFonts w:ascii="Times New Roman" w:hAnsi="Times New Roman"/>
        </w:rPr>
        <w:t xml:space="preserve"> poistenie</w:t>
      </w:r>
      <w:r>
        <w:rPr>
          <w:rFonts w:ascii="Times New Roman" w:hAnsi="Times New Roman"/>
        </w:rPr>
        <w:t xml:space="preserve"> a</w:t>
      </w:r>
      <w:r w:rsidR="00194553">
        <w:rPr>
          <w:rFonts w:ascii="Times New Roman" w:hAnsi="Times New Roman"/>
        </w:rPr>
        <w:t xml:space="preserve"> na </w:t>
      </w:r>
      <w:r w:rsidR="00B10844">
        <w:rPr>
          <w:rFonts w:ascii="Times New Roman" w:hAnsi="Times New Roman"/>
        </w:rPr>
        <w:t xml:space="preserve">verejné </w:t>
      </w:r>
      <w:r>
        <w:rPr>
          <w:rFonts w:ascii="Times New Roman" w:hAnsi="Times New Roman"/>
        </w:rPr>
        <w:t>zdravotné poistenie. Predmetná zmena má rozhodujúci podiel na zvýšení výnosu dane z príjmov fyzických osôb</w:t>
      </w:r>
      <w:r w:rsidR="008E44F5">
        <w:rPr>
          <w:rFonts w:ascii="Times New Roman" w:hAnsi="Times New Roman"/>
        </w:rPr>
        <w:t>.</w:t>
      </w:r>
    </w:p>
    <w:p w:rsidR="00A22617" w:rsidP="00C432E7">
      <w:pPr>
        <w:bidi w:val="0"/>
        <w:ind w:left="360"/>
        <w:jc w:val="both"/>
        <w:rPr>
          <w:rFonts w:ascii="Times New Roman" w:hAnsi="Times New Roman"/>
        </w:rPr>
      </w:pPr>
    </w:p>
    <w:p w:rsidR="00694BC8" w:rsidRPr="00694BC8" w:rsidP="00A86C7E">
      <w:pPr>
        <w:numPr>
          <w:numId w:val="10"/>
        </w:numPr>
        <w:tabs>
          <w:tab w:val="left" w:pos="709"/>
        </w:tabs>
        <w:bidi w:val="0"/>
        <w:jc w:val="both"/>
        <w:rPr>
          <w:rFonts w:ascii="Times New Roman" w:hAnsi="Times New Roman" w:cs="Arial Narrow"/>
        </w:rPr>
      </w:pPr>
      <w:r w:rsidRPr="008E5C18" w:rsidR="00A22617">
        <w:rPr>
          <w:rFonts w:ascii="Times New Roman" w:hAnsi="Times New Roman"/>
          <w:b/>
        </w:rPr>
        <w:t>Obmedzenie tzv. paušálnych výdavkov vo výške 40</w:t>
      </w:r>
      <w:r w:rsidR="00A22617">
        <w:rPr>
          <w:rFonts w:ascii="Times New Roman" w:hAnsi="Times New Roman"/>
          <w:b/>
        </w:rPr>
        <w:t xml:space="preserve"> </w:t>
      </w:r>
      <w:r w:rsidRPr="008E5C18" w:rsidR="00A22617">
        <w:rPr>
          <w:rFonts w:ascii="Times New Roman" w:hAnsi="Times New Roman"/>
          <w:b/>
        </w:rPr>
        <w:t>% najviac do výšky 2 400 eur ročne</w:t>
      </w:r>
      <w:r>
        <w:rPr>
          <w:rFonts w:ascii="Times New Roman" w:hAnsi="Times New Roman"/>
          <w:b/>
        </w:rPr>
        <w:t xml:space="preserve">, </w:t>
      </w:r>
      <w:r w:rsidRPr="00A86C7E">
        <w:rPr>
          <w:rFonts w:ascii="Times New Roman" w:hAnsi="Times New Roman"/>
        </w:rPr>
        <w:t>t. j. naďalej sa budú uplatňovať paušálne výdavky vo výške 40 %, avšak maximál</w:t>
      </w:r>
      <w:r>
        <w:rPr>
          <w:rFonts w:ascii="Times New Roman" w:hAnsi="Times New Roman"/>
        </w:rPr>
        <w:t>n</w:t>
      </w:r>
      <w:r w:rsidRPr="00A86C7E">
        <w:rPr>
          <w:rFonts w:ascii="Times New Roman" w:hAnsi="Times New Roman"/>
        </w:rPr>
        <w:t>e vo výške 12</w:t>
      </w:r>
      <w:r w:rsidR="006727E0">
        <w:rPr>
          <w:rFonts w:ascii="Times New Roman" w:hAnsi="Times New Roman"/>
        </w:rPr>
        <w:t xml:space="preserve"> </w:t>
      </w:r>
      <w:r w:rsidRPr="00A86C7E">
        <w:rPr>
          <w:rFonts w:ascii="Times New Roman" w:hAnsi="Times New Roman"/>
        </w:rPr>
        <w:t>*</w:t>
      </w:r>
      <w:r w:rsidR="006727E0">
        <w:rPr>
          <w:rFonts w:ascii="Times New Roman" w:hAnsi="Times New Roman"/>
        </w:rPr>
        <w:t xml:space="preserve"> </w:t>
      </w:r>
      <w:r w:rsidRPr="00A86C7E">
        <w:rPr>
          <w:rFonts w:ascii="Times New Roman" w:hAnsi="Times New Roman"/>
        </w:rPr>
        <w:t xml:space="preserve">200 eur za rok. </w:t>
      </w:r>
      <w:r>
        <w:rPr>
          <w:rFonts w:ascii="Times New Roman" w:hAnsi="Times New Roman"/>
        </w:rPr>
        <w:t>Z</w:t>
      </w:r>
      <w:r w:rsidRPr="00694BC8">
        <w:rPr>
          <w:rFonts w:ascii="Times New Roman" w:hAnsi="Times New Roman"/>
        </w:rPr>
        <w:t xml:space="preserve">amestnanec má v porovnaní so </w:t>
      </w:r>
      <w:r w:rsidR="008E44F5">
        <w:rPr>
          <w:rFonts w:ascii="Times New Roman" w:hAnsi="Times New Roman"/>
        </w:rPr>
        <w:t>samostatne zárobkovo-činnými osobami (ďalej len „</w:t>
      </w:r>
      <w:r w:rsidRPr="00694BC8">
        <w:rPr>
          <w:rFonts w:ascii="Times New Roman" w:hAnsi="Times New Roman"/>
        </w:rPr>
        <w:t>SZČO</w:t>
      </w:r>
      <w:r w:rsidR="008E44F5">
        <w:rPr>
          <w:rFonts w:ascii="Times New Roman" w:hAnsi="Times New Roman"/>
        </w:rPr>
        <w:t>“)</w:t>
      </w:r>
      <w:r w:rsidRPr="00694BC8">
        <w:rPr>
          <w:rFonts w:ascii="Times New Roman" w:hAnsi="Times New Roman"/>
        </w:rPr>
        <w:t xml:space="preserve"> v súčasnosti výrazne vyššiu daňovú a odvodovú záťaž; samozamestnaní si môžu v rámci paušálnych výdavkov v súčasnosti </w:t>
      </w:r>
      <w:r w:rsidRPr="00A86C7E">
        <w:rPr>
          <w:rFonts w:ascii="Times New Roman" w:hAnsi="Times New Roman"/>
        </w:rPr>
        <w:t xml:space="preserve">znížiť daňový základ a vymeriavací základ na platenie odvodov o 40 </w:t>
      </w:r>
      <w:r w:rsidRPr="00694BC8">
        <w:rPr>
          <w:rFonts w:ascii="Times New Roman" w:hAnsi="Times New Roman"/>
        </w:rPr>
        <w:t>%</w:t>
      </w:r>
      <w:r w:rsidRPr="00A86C7E">
        <w:rPr>
          <w:rFonts w:ascii="Times New Roman" w:hAnsi="Times New Roman"/>
        </w:rPr>
        <w:t xml:space="preserve"> a odvodové zaťaženie je 2 x nižšie</w:t>
      </w:r>
      <w:r w:rsidRPr="00694BC8">
        <w:rPr>
          <w:rFonts w:ascii="Times New Roman" w:hAnsi="Times New Roman"/>
        </w:rPr>
        <w:t>. Dôvodom</w:t>
      </w:r>
      <w:r w:rsidR="008E44F5">
        <w:rPr>
          <w:rFonts w:ascii="Times New Roman" w:hAnsi="Times New Roman"/>
        </w:rPr>
        <w:t xml:space="preserve"> navrhovanej zmeny</w:t>
      </w:r>
      <w:r w:rsidRPr="00694BC8">
        <w:rPr>
          <w:rFonts w:ascii="Times New Roman" w:hAnsi="Times New Roman"/>
        </w:rPr>
        <w:t xml:space="preserve"> je nastavenie rovnakých po</w:t>
      </w:r>
      <w:r>
        <w:rPr>
          <w:rFonts w:ascii="Times New Roman" w:hAnsi="Times New Roman"/>
        </w:rPr>
        <w:t xml:space="preserve">dmienok pre všetky skupiny osôb s rešpektovaním </w:t>
      </w:r>
      <w:r w:rsidR="008E44F5">
        <w:rPr>
          <w:rFonts w:ascii="Times New Roman" w:hAnsi="Times New Roman"/>
        </w:rPr>
        <w:t>špecifických podmienok.</w:t>
      </w:r>
    </w:p>
    <w:p w:rsidR="00A22617" w:rsidP="00A86C7E">
      <w:pPr>
        <w:pStyle w:val="ListParagraph"/>
        <w:bidi w:val="0"/>
        <w:ind w:left="0"/>
        <w:rPr>
          <w:rFonts w:ascii="Times New Roman" w:hAnsi="Times New Roman"/>
        </w:rPr>
      </w:pPr>
    </w:p>
    <w:p w:rsidR="00A22617" w:rsidP="005D1356">
      <w:pPr>
        <w:numPr>
          <w:numId w:val="10"/>
        </w:numPr>
        <w:tabs>
          <w:tab w:val="left" w:pos="709"/>
        </w:tabs>
        <w:bidi w:val="0"/>
        <w:jc w:val="both"/>
        <w:rPr>
          <w:rFonts w:ascii="Times New Roman" w:hAnsi="Times New Roman"/>
          <w:b/>
        </w:rPr>
      </w:pPr>
      <w:r w:rsidRPr="008E5C18">
        <w:rPr>
          <w:rFonts w:ascii="Times New Roman" w:hAnsi="Times New Roman"/>
          <w:b/>
        </w:rPr>
        <w:t>Úprava nezdaniteľnej časti základu dane z 19,2-násobku životného minima na 18-</w:t>
      </w:r>
      <w:r w:rsidRPr="008E5C18">
        <w:rPr>
          <w:rFonts w:ascii="Times New Roman" w:hAnsi="Times New Roman"/>
        </w:rPr>
        <w:t>násobok životného minima</w:t>
      </w:r>
      <w:r w:rsidR="009F6F67">
        <w:rPr>
          <w:rFonts w:ascii="Times New Roman" w:hAnsi="Times New Roman"/>
        </w:rPr>
        <w:t xml:space="preserve"> pre jednu plnoletú fyzickú osobu platného k 1. januáru </w:t>
      </w:r>
      <w:r w:rsidRPr="00992C13" w:rsidR="009F6F67">
        <w:rPr>
          <w:rFonts w:ascii="Times New Roman" w:hAnsi="Times New Roman"/>
        </w:rPr>
        <w:t>príslušného zdaňovacieho obdobia</w:t>
      </w:r>
      <w:r w:rsidRPr="008E5C18">
        <w:rPr>
          <w:rFonts w:ascii="Times New Roman" w:hAnsi="Times New Roman"/>
        </w:rPr>
        <w:t xml:space="preserve"> súvisí s harmonizáciou nároku na nezdaniteľnú časť základu dane pre všetky fyzické osoby bez rozdielu na výšku ich príjmov</w:t>
      </w:r>
      <w:r w:rsidR="008E44F5">
        <w:rPr>
          <w:rFonts w:ascii="Times New Roman" w:hAnsi="Times New Roman"/>
          <w:b/>
        </w:rPr>
        <w:t>.</w:t>
      </w:r>
    </w:p>
    <w:p w:rsidR="00A22617" w:rsidP="00C432E7">
      <w:pPr>
        <w:pStyle w:val="ListParagraph"/>
        <w:bidi w:val="0"/>
        <w:rPr>
          <w:rFonts w:ascii="Times New Roman" w:hAnsi="Times New Roman"/>
          <w:b/>
        </w:rPr>
      </w:pPr>
    </w:p>
    <w:p w:rsidR="00A22617" w:rsidRPr="008E5C18" w:rsidP="005D1356">
      <w:pPr>
        <w:numPr>
          <w:numId w:val="10"/>
        </w:numPr>
        <w:tabs>
          <w:tab w:val="left" w:pos="709"/>
        </w:tabs>
        <w:bidi w:val="0"/>
        <w:jc w:val="both"/>
        <w:rPr>
          <w:rFonts w:ascii="Times New Roman" w:hAnsi="Times New Roman"/>
          <w:b/>
        </w:rPr>
      </w:pPr>
      <w:r w:rsidRPr="008E5C18">
        <w:rPr>
          <w:rFonts w:ascii="Times New Roman" w:hAnsi="Times New Roman"/>
          <w:b/>
        </w:rPr>
        <w:t>Obmedzenie nezdaniteľnej časti základu dane na manželku (manžela) na 18-násobok životného minima</w:t>
      </w:r>
      <w:r w:rsidR="009F6F67">
        <w:rPr>
          <w:rFonts w:ascii="Times New Roman" w:hAnsi="Times New Roman"/>
          <w:b/>
        </w:rPr>
        <w:t xml:space="preserve"> </w:t>
      </w:r>
      <w:r w:rsidR="009F6F67">
        <w:rPr>
          <w:rFonts w:ascii="Times New Roman" w:hAnsi="Times New Roman"/>
        </w:rPr>
        <w:t xml:space="preserve">pre jednu plnoletú fyzickú osobu platného k 1. januáru </w:t>
      </w:r>
      <w:r w:rsidRPr="00992C13" w:rsidR="009F6F67">
        <w:rPr>
          <w:rFonts w:ascii="Times New Roman" w:hAnsi="Times New Roman"/>
        </w:rPr>
        <w:t>príslušného zdaňovacieho obdobia</w:t>
      </w:r>
      <w:r>
        <w:rPr>
          <w:rFonts w:ascii="Times New Roman" w:hAnsi="Times New Roman"/>
          <w:b/>
        </w:rPr>
        <w:t>,</w:t>
      </w:r>
      <w:r w:rsidRPr="008E5C18">
        <w:rPr>
          <w:rFonts w:ascii="Times New Roman" w:hAnsi="Times New Roman"/>
          <w:b/>
        </w:rPr>
        <w:t xml:space="preserve"> a to len v prípade, že takáto osoba sa stará o nezaopatrené dieťa –</w:t>
      </w:r>
      <w:r>
        <w:rPr>
          <w:rFonts w:ascii="Times New Roman" w:hAnsi="Times New Roman"/>
        </w:rPr>
        <w:t xml:space="preserve"> obmedzenie súvisí s ambíciou obmedziť rozsah využívania tejto daňovej výhody pre tie okruhy osôb, ktorých manželka (manžel) sa nestará o deti a nevyvíja žiadnu ekonomickú aktivitu (napr. ženy v domácnosti). </w:t>
      </w:r>
    </w:p>
    <w:p w:rsidR="00A22617" w:rsidP="00C432E7">
      <w:pPr>
        <w:pStyle w:val="ListParagraph"/>
        <w:bidi w:val="0"/>
        <w:rPr>
          <w:rFonts w:ascii="Times New Roman" w:hAnsi="Times New Roman"/>
          <w:b/>
        </w:rPr>
      </w:pPr>
    </w:p>
    <w:p w:rsidR="00D172F9" w:rsidP="005D1356">
      <w:pPr>
        <w:numPr>
          <w:numId w:val="10"/>
        </w:numPr>
        <w:tabs>
          <w:tab w:val="left" w:pos="709"/>
        </w:tabs>
        <w:bidi w:val="0"/>
        <w:jc w:val="both"/>
        <w:rPr>
          <w:rFonts w:ascii="Times New Roman" w:hAnsi="Times New Roman"/>
          <w:b/>
        </w:rPr>
      </w:pPr>
      <w:r>
        <w:rPr>
          <w:rFonts w:ascii="Times New Roman" w:hAnsi="Times New Roman"/>
          <w:b/>
        </w:rPr>
        <w:t xml:space="preserve">Úprava započítavania príjmov manželky (manžela) na účely uplatnenia nezdaniteľnej časti základu dane - </w:t>
      </w:r>
      <w:r>
        <w:rPr>
          <w:rFonts w:ascii="Times New Roman" w:hAnsi="Times New Roman"/>
        </w:rPr>
        <w:t>n</w:t>
      </w:r>
      <w:r w:rsidRPr="00992C13">
        <w:rPr>
          <w:rFonts w:ascii="Times New Roman" w:hAnsi="Times New Roman"/>
        </w:rPr>
        <w:t>a účely uplatnenia nezdaniteľnej časti základu dane podľa</w:t>
      </w:r>
      <w:r>
        <w:rPr>
          <w:rFonts w:ascii="Times New Roman" w:hAnsi="Times New Roman"/>
        </w:rPr>
        <w:t xml:space="preserve"> § 11</w:t>
      </w:r>
      <w:r w:rsidRPr="00992C13">
        <w:rPr>
          <w:rFonts w:ascii="Times New Roman" w:hAnsi="Times New Roman"/>
        </w:rPr>
        <w:t xml:space="preserve"> odseku 1 písm. b) sa do vlastného príjmu manželky (manžela) nezahrnuje daňový bonus podľa § 33, zvýšenie dôchodku pre bezvládnosť, peňažný príspevok na osobnú asistenciu poskytovaný fyzickej osobe s ťažkým zdravotným postihnutím podľa osobitného predpisu, štátne sociálne dávky a štipendium poskytované študujúcim sústavne sa pr</w:t>
      </w:r>
      <w:r>
        <w:rPr>
          <w:rFonts w:ascii="Times New Roman" w:hAnsi="Times New Roman"/>
        </w:rPr>
        <w:t>ipravujúcim na budúce povolanie</w:t>
      </w:r>
      <w:r w:rsidRPr="00992C13">
        <w:rPr>
          <w:rFonts w:ascii="Times New Roman" w:hAnsi="Times New Roman"/>
        </w:rPr>
        <w:t>.</w:t>
      </w:r>
    </w:p>
    <w:p w:rsidR="00D172F9" w:rsidP="00A86C7E">
      <w:pPr>
        <w:pStyle w:val="ListParagraph"/>
        <w:bidi w:val="0"/>
        <w:rPr>
          <w:rFonts w:ascii="Times New Roman" w:hAnsi="Times New Roman"/>
          <w:b/>
        </w:rPr>
      </w:pPr>
    </w:p>
    <w:p w:rsidR="00A22617" w:rsidRPr="00DB7F5D" w:rsidP="005D1356">
      <w:pPr>
        <w:numPr>
          <w:numId w:val="10"/>
        </w:numPr>
        <w:tabs>
          <w:tab w:val="left" w:pos="709"/>
        </w:tabs>
        <w:bidi w:val="0"/>
        <w:jc w:val="both"/>
        <w:rPr>
          <w:rFonts w:ascii="Times New Roman" w:hAnsi="Times New Roman"/>
          <w:b/>
        </w:rPr>
      </w:pPr>
      <w:r>
        <w:rPr>
          <w:rFonts w:ascii="Times New Roman" w:hAnsi="Times New Roman"/>
          <w:b/>
        </w:rPr>
        <w:t>Z</w:t>
      </w:r>
      <w:r w:rsidRPr="008E5C18">
        <w:rPr>
          <w:rFonts w:ascii="Times New Roman" w:hAnsi="Times New Roman"/>
          <w:b/>
        </w:rPr>
        <w:t xml:space="preserve">rušenie klesania nároku na nezdaniteľnú časť základu dane daňovníka v závislosti od rastúceho príjmu (tzv. milionárska daň) </w:t>
      </w:r>
      <w:r>
        <w:rPr>
          <w:rFonts w:ascii="Times New Roman" w:hAnsi="Times New Roman"/>
          <w:b/>
        </w:rPr>
        <w:t>–</w:t>
      </w:r>
      <w:r>
        <w:rPr>
          <w:rFonts w:ascii="Times New Roman" w:hAnsi="Times New Roman"/>
        </w:rPr>
        <w:t xml:space="preserve"> zmena znamená, že nárok na nezdaniteľnú časť základu dane budú mať všetky fyzické osoby bez rozdielu na výšku ich príjmov. </w:t>
      </w:r>
    </w:p>
    <w:p w:rsidR="00A22617" w:rsidP="00C432E7">
      <w:pPr>
        <w:pStyle w:val="ListParagraph"/>
        <w:bidi w:val="0"/>
        <w:rPr>
          <w:rFonts w:ascii="Times New Roman" w:hAnsi="Times New Roman"/>
          <w:b/>
        </w:rPr>
      </w:pPr>
    </w:p>
    <w:p w:rsidR="00A22617" w:rsidRPr="00DB7F5D" w:rsidP="005D1356">
      <w:pPr>
        <w:numPr>
          <w:numId w:val="10"/>
        </w:numPr>
        <w:tabs>
          <w:tab w:val="left" w:pos="709"/>
        </w:tabs>
        <w:bidi w:val="0"/>
        <w:jc w:val="both"/>
        <w:rPr>
          <w:rFonts w:ascii="Times New Roman" w:hAnsi="Times New Roman"/>
          <w:b/>
        </w:rPr>
      </w:pPr>
      <w:r>
        <w:rPr>
          <w:rFonts w:ascii="Times New Roman" w:hAnsi="Times New Roman"/>
          <w:b/>
        </w:rPr>
        <w:t>Z</w:t>
      </w:r>
      <w:r w:rsidRPr="00DB7F5D">
        <w:rPr>
          <w:rFonts w:ascii="Times New Roman" w:hAnsi="Times New Roman"/>
          <w:b/>
        </w:rPr>
        <w:t>rušenie zamestnaneckej prémie</w:t>
      </w:r>
      <w:r>
        <w:rPr>
          <w:rFonts w:ascii="Times New Roman" w:hAnsi="Times New Roman"/>
        </w:rPr>
        <w:t>, ktorá výrazným znížením daňovo-odvodového zaťaženia nízkopríjmových skupín zamestnancov stráca svoj význam</w:t>
      </w:r>
      <w:r w:rsidR="008E44F5">
        <w:rPr>
          <w:rFonts w:ascii="Times New Roman" w:hAnsi="Times New Roman"/>
        </w:rPr>
        <w:t>.</w:t>
      </w:r>
    </w:p>
    <w:p w:rsidR="00A22617" w:rsidP="00C432E7">
      <w:pPr>
        <w:pStyle w:val="ListParagraph"/>
        <w:bidi w:val="0"/>
        <w:rPr>
          <w:rFonts w:ascii="Times New Roman" w:hAnsi="Times New Roman"/>
          <w:b/>
        </w:rPr>
      </w:pPr>
    </w:p>
    <w:p w:rsidR="00A22617" w:rsidRPr="00DB7F5D" w:rsidP="005D1356">
      <w:pPr>
        <w:numPr>
          <w:numId w:val="10"/>
        </w:numPr>
        <w:tabs>
          <w:tab w:val="left" w:pos="709"/>
        </w:tabs>
        <w:bidi w:val="0"/>
        <w:jc w:val="both"/>
        <w:rPr>
          <w:rFonts w:ascii="Times New Roman" w:hAnsi="Times New Roman"/>
          <w:b/>
        </w:rPr>
      </w:pPr>
      <w:r w:rsidRPr="00DB7F5D">
        <w:rPr>
          <w:rFonts w:ascii="Times New Roman" w:hAnsi="Times New Roman"/>
          <w:b/>
        </w:rPr>
        <w:t>Osobitný spôsob odpisovania hmotného majetku daňovníkom, ktorý má príjem z podnikania</w:t>
      </w:r>
      <w:r>
        <w:rPr>
          <w:rFonts w:ascii="Times New Roman" w:hAnsi="Times New Roman"/>
        </w:rPr>
        <w:t xml:space="preserve"> – tzv. liberálne odpisovanie pre</w:t>
      </w:r>
      <w:r w:rsidR="008E44F5">
        <w:rPr>
          <w:rFonts w:ascii="Times New Roman" w:hAnsi="Times New Roman"/>
        </w:rPr>
        <w:t xml:space="preserve"> </w:t>
      </w:r>
      <w:r>
        <w:rPr>
          <w:rFonts w:ascii="Times New Roman" w:hAnsi="Times New Roman"/>
        </w:rPr>
        <w:t>SZČ</w:t>
      </w:r>
      <w:r w:rsidR="008E44F5">
        <w:rPr>
          <w:rFonts w:ascii="Times New Roman" w:hAnsi="Times New Roman"/>
        </w:rPr>
        <w:t xml:space="preserve">O </w:t>
      </w:r>
      <w:r>
        <w:rPr>
          <w:rFonts w:ascii="Times New Roman" w:hAnsi="Times New Roman"/>
        </w:rPr>
        <w:t>znižuje výnos z dane z príjmov fyzických osôb</w:t>
      </w:r>
      <w:r w:rsidR="008E44F5">
        <w:rPr>
          <w:rFonts w:ascii="Times New Roman" w:hAnsi="Times New Roman"/>
        </w:rPr>
        <w:t>.</w:t>
      </w:r>
      <w:r>
        <w:rPr>
          <w:rFonts w:ascii="Times New Roman" w:hAnsi="Times New Roman"/>
        </w:rPr>
        <w:t xml:space="preserve"> </w:t>
      </w:r>
      <w:r w:rsidR="008E44F5">
        <w:rPr>
          <w:rFonts w:ascii="Times New Roman" w:hAnsi="Times New Roman"/>
        </w:rPr>
        <w:t>N</w:t>
      </w:r>
      <w:r w:rsidRPr="007433D7" w:rsidR="008E44F5">
        <w:rPr>
          <w:rFonts w:ascii="Times New Roman" w:hAnsi="Times New Roman"/>
        </w:rPr>
        <w:t>ovonadobudnutý majetok si budú môcť odpísať celý už v prvom roku odpisovania alebo zvoliť in</w:t>
      </w:r>
      <w:r w:rsidR="008E44F5">
        <w:rPr>
          <w:rFonts w:ascii="Times New Roman" w:hAnsi="Times New Roman"/>
        </w:rPr>
        <w:t>ý spôsob</w:t>
      </w:r>
      <w:r w:rsidRPr="007433D7" w:rsidR="008E44F5">
        <w:rPr>
          <w:rFonts w:ascii="Times New Roman" w:hAnsi="Times New Roman"/>
        </w:rPr>
        <w:t xml:space="preserve"> odpisovania</w:t>
      </w:r>
      <w:r w:rsidR="008E44F5">
        <w:rPr>
          <w:rFonts w:ascii="Times New Roman" w:hAnsi="Times New Roman"/>
        </w:rPr>
        <w:t>.</w:t>
      </w:r>
    </w:p>
    <w:p w:rsidR="00A22617" w:rsidP="00C432E7">
      <w:pPr>
        <w:pStyle w:val="ListParagraph"/>
        <w:bidi w:val="0"/>
        <w:rPr>
          <w:rFonts w:ascii="Times New Roman" w:hAnsi="Times New Roman"/>
          <w:b/>
        </w:rPr>
      </w:pPr>
    </w:p>
    <w:p w:rsidR="00A22617" w:rsidRPr="00A86C7E" w:rsidP="005D1356">
      <w:pPr>
        <w:numPr>
          <w:numId w:val="10"/>
        </w:numPr>
        <w:tabs>
          <w:tab w:val="left" w:pos="709"/>
        </w:tabs>
        <w:bidi w:val="0"/>
        <w:jc w:val="both"/>
        <w:rPr>
          <w:rFonts w:ascii="Times New Roman" w:hAnsi="Times New Roman"/>
          <w:b/>
        </w:rPr>
      </w:pPr>
      <w:r>
        <w:rPr>
          <w:rFonts w:ascii="Times New Roman" w:hAnsi="Times New Roman"/>
          <w:b/>
        </w:rPr>
        <w:t>Zrušenie po</w:t>
      </w:r>
      <w:r w:rsidR="00B10844">
        <w:rPr>
          <w:rFonts w:ascii="Times New Roman" w:hAnsi="Times New Roman"/>
          <w:b/>
        </w:rPr>
        <w:t>vinnosti platiť poistné na verejné zdravotné poistenie</w:t>
      </w:r>
      <w:r>
        <w:rPr>
          <w:rFonts w:ascii="Times New Roman" w:hAnsi="Times New Roman"/>
          <w:b/>
        </w:rPr>
        <w:t xml:space="preserve"> z prenájmu – </w:t>
      </w:r>
      <w:r w:rsidRPr="00DB7F5D">
        <w:rPr>
          <w:rFonts w:ascii="Times New Roman" w:hAnsi="Times New Roman"/>
        </w:rPr>
        <w:t>zmena sa prejaví vo zvýšení základu dane z príjmov z prenájmu.</w:t>
      </w:r>
    </w:p>
    <w:p w:rsidR="00EA448E" w:rsidP="00A86C7E">
      <w:pPr>
        <w:pStyle w:val="ListParagraph"/>
        <w:bidi w:val="0"/>
        <w:rPr>
          <w:rFonts w:ascii="Times New Roman" w:hAnsi="Times New Roman"/>
          <w:b/>
        </w:rPr>
      </w:pPr>
    </w:p>
    <w:p w:rsidR="00EA448E" w:rsidRPr="00A86C7E" w:rsidP="00EA448E">
      <w:pPr>
        <w:numPr>
          <w:numId w:val="10"/>
        </w:numPr>
        <w:tabs>
          <w:tab w:val="left" w:pos="709"/>
        </w:tabs>
        <w:bidi w:val="0"/>
        <w:jc w:val="both"/>
        <w:rPr>
          <w:rFonts w:ascii="Times New Roman" w:hAnsi="Times New Roman"/>
        </w:rPr>
      </w:pPr>
      <w:r w:rsidRPr="00A86C7E">
        <w:rPr>
          <w:rFonts w:ascii="Times New Roman" w:hAnsi="Times New Roman"/>
          <w:b/>
        </w:rPr>
        <w:t>Prechod z ročného uplatňovania daňových odpisov hmotného majetku  na mesačné odpisovanie pre všetky formy obstarania majetku</w:t>
      </w:r>
      <w:r w:rsidRPr="00A86C7E">
        <w:rPr>
          <w:rFonts w:ascii="Arial Narrow" w:hAnsi="Arial Narrow" w:cs="Arial"/>
          <w:sz w:val="22"/>
          <w:szCs w:val="22"/>
        </w:rPr>
        <w:t xml:space="preserve"> </w:t>
      </w:r>
      <w:r w:rsidRPr="00A86C7E">
        <w:rPr>
          <w:rFonts w:ascii="Times New Roman" w:hAnsi="Times New Roman"/>
        </w:rPr>
        <w:t>(vrátane zosúladenia doby odpisovania majetku obstaraného prostredníctvom finančného lízingu s ostatnými formami obstarania). Úprava sa bude týkať len dane z príjmov právnických osôb a len novonadobúdaného majetku.</w:t>
      </w:r>
    </w:p>
    <w:p w:rsidR="00EA448E" w:rsidRPr="00A86C7E" w:rsidP="00EA448E">
      <w:pPr>
        <w:pStyle w:val="ListParagraph"/>
        <w:bidi w:val="0"/>
        <w:rPr>
          <w:rFonts w:ascii="Times New Roman" w:hAnsi="Times New Roman"/>
        </w:rPr>
      </w:pPr>
    </w:p>
    <w:p w:rsidR="00EA448E" w:rsidP="00A86C7E">
      <w:pPr>
        <w:numPr>
          <w:numId w:val="10"/>
        </w:numPr>
        <w:tabs>
          <w:tab w:val="left" w:pos="709"/>
        </w:tabs>
        <w:bidi w:val="0"/>
        <w:jc w:val="both"/>
        <w:rPr>
          <w:rFonts w:ascii="Times New Roman" w:hAnsi="Times New Roman"/>
        </w:rPr>
      </w:pPr>
      <w:r w:rsidRPr="00A86C7E">
        <w:rPr>
          <w:rFonts w:ascii="Times New Roman" w:hAnsi="Times New Roman"/>
          <w:b/>
        </w:rPr>
        <w:t>Zmeny súvisiace s rozdelením výpočtu základu dane z príjmov podľa §</w:t>
      </w:r>
      <w:r w:rsidRPr="008E44F5">
        <w:rPr>
          <w:rFonts w:ascii="Times New Roman" w:hAnsi="Times New Roman"/>
          <w:b/>
        </w:rPr>
        <w:t xml:space="preserve"> </w:t>
      </w:r>
      <w:r w:rsidRPr="00A86C7E">
        <w:rPr>
          <w:rFonts w:ascii="Times New Roman" w:hAnsi="Times New Roman"/>
          <w:b/>
        </w:rPr>
        <w:t>6 na tzv. „aktívne a pasívne príjmy“</w:t>
      </w:r>
      <w:r w:rsidRPr="00A86C7E">
        <w:rPr>
          <w:rFonts w:ascii="Times New Roman" w:hAnsi="Times New Roman"/>
        </w:rPr>
        <w:t xml:space="preserve"> – uplatňovanie nezdaniteľných častí len od aktívnych príjmov; zavedenie možnosti vzniku daňovej straty len z príjmov z podnikania alebo inej samostatne zárobkovej </w:t>
      </w:r>
      <w:r w:rsidR="00644FBA">
        <w:rPr>
          <w:rFonts w:ascii="Times New Roman" w:hAnsi="Times New Roman"/>
        </w:rPr>
        <w:t>činnosti a jej uplatnenie len z</w:t>
      </w:r>
      <w:r w:rsidRPr="00A86C7E">
        <w:rPr>
          <w:rFonts w:ascii="Times New Roman" w:hAnsi="Times New Roman"/>
        </w:rPr>
        <w:t xml:space="preserve"> týchto príjmov. </w:t>
      </w:r>
    </w:p>
    <w:p w:rsidR="00034BAC" w:rsidP="00A86C7E">
      <w:pPr>
        <w:pStyle w:val="ListParagraph"/>
        <w:bidi w:val="0"/>
        <w:rPr>
          <w:rFonts w:ascii="Times New Roman" w:hAnsi="Times New Roman"/>
        </w:rPr>
      </w:pPr>
    </w:p>
    <w:p w:rsidR="00034BAC" w:rsidRPr="00A86C7E" w:rsidP="00A86C7E">
      <w:pPr>
        <w:numPr>
          <w:numId w:val="10"/>
        </w:numPr>
        <w:bidi w:val="0"/>
        <w:jc w:val="both"/>
        <w:rPr>
          <w:rFonts w:ascii="Times New Roman" w:hAnsi="Times New Roman"/>
          <w:color w:val="000000"/>
        </w:rPr>
      </w:pPr>
      <w:r w:rsidRPr="00772706">
        <w:rPr>
          <w:rFonts w:ascii="Times New Roman" w:hAnsi="Times New Roman"/>
          <w:b/>
          <w:color w:val="000000"/>
        </w:rPr>
        <w:t xml:space="preserve">Výpadok príjmov </w:t>
      </w:r>
      <w:r>
        <w:rPr>
          <w:rFonts w:ascii="Times New Roman" w:hAnsi="Times New Roman"/>
          <w:b/>
          <w:color w:val="000000"/>
        </w:rPr>
        <w:t xml:space="preserve">na dani </w:t>
      </w:r>
      <w:r w:rsidRPr="00772706">
        <w:rPr>
          <w:rFonts w:ascii="Times New Roman" w:hAnsi="Times New Roman"/>
          <w:b/>
          <w:color w:val="000000"/>
        </w:rPr>
        <w:t>z poistného plateného zamestnávateľom z jedného percenta</w:t>
      </w:r>
      <w:r>
        <w:rPr>
          <w:rFonts w:ascii="Times New Roman" w:hAnsi="Times New Roman"/>
          <w:b/>
        </w:rPr>
        <w:t xml:space="preserve"> zo vstupnej ceny vozidla poskytnutého zamestnávateľom na používanie zamestnancovi na služobné aj súkromné účely</w:t>
      </w:r>
      <w:r>
        <w:rPr>
          <w:rFonts w:ascii="Times New Roman" w:hAnsi="Times New Roman"/>
          <w:color w:val="000000"/>
        </w:rPr>
        <w:t xml:space="preserve"> - v</w:t>
      </w:r>
      <w:r w:rsidRPr="00034BAC">
        <w:rPr>
          <w:rFonts w:ascii="Times New Roman" w:hAnsi="Times New Roman"/>
          <w:color w:val="000000"/>
        </w:rPr>
        <w:t> súčasnosti ak zamestnávateľ poskytne zamestnancovi vozidlo na používanie na služobné aj súkromné účely, z 1 % zo vstupnej ceny tohto vozidla platí daň z príjmov a poistné na verejné zdravotné poistenie a na sociálne poistenie zamestnanec a zamestnávateľ platí poistné na verejné zdravotné poistenie a na sociálne poistenie.</w:t>
      </w:r>
      <w:r>
        <w:rPr>
          <w:rFonts w:ascii="Times New Roman" w:hAnsi="Times New Roman"/>
          <w:color w:val="000000"/>
        </w:rPr>
        <w:t xml:space="preserve"> Keďže poistné prestáva byť odpočítateľnou položkou z príjmov zo závislej činnosti, plánovaný príjem na dani z príjmov bude znížený.</w:t>
      </w:r>
      <w:r w:rsidR="00D47BC4">
        <w:rPr>
          <w:rFonts w:ascii="Times New Roman" w:hAnsi="Times New Roman"/>
          <w:color w:val="000000"/>
        </w:rPr>
        <w:t xml:space="preserve"> Zachovanie súčasného stavu bolo prijaté v súvislosti s podporou poskytovania týchto služieb zamestnávateľov svojim zamestnancom, ako aj z dôvodu zabrániť obchádzanie tejto formy poskytovania vozidla.</w:t>
      </w:r>
    </w:p>
    <w:p w:rsidR="00EA448E" w:rsidP="00A86C7E">
      <w:pPr>
        <w:tabs>
          <w:tab w:val="left" w:pos="709"/>
        </w:tabs>
        <w:bidi w:val="0"/>
        <w:ind w:left="720"/>
        <w:jc w:val="both"/>
        <w:rPr>
          <w:rFonts w:ascii="Times New Roman" w:hAnsi="Times New Roman"/>
          <w:b/>
        </w:rPr>
      </w:pPr>
    </w:p>
    <w:p w:rsidR="005D2E9C" w:rsidP="00A86C7E">
      <w:pPr>
        <w:tabs>
          <w:tab w:val="left" w:pos="709"/>
        </w:tabs>
        <w:bidi w:val="0"/>
        <w:ind w:left="720"/>
        <w:jc w:val="both"/>
        <w:rPr>
          <w:rFonts w:ascii="Times New Roman" w:hAnsi="Times New Roman"/>
          <w:b/>
        </w:rPr>
      </w:pPr>
    </w:p>
    <w:p w:rsidR="00E1104D" w:rsidRPr="00A86C7E" w:rsidP="00E1104D">
      <w:pPr>
        <w:bidi w:val="0"/>
        <w:rPr>
          <w:rFonts w:ascii="Times New Roman" w:hAnsi="Times New Roman"/>
          <w:b/>
          <w:bCs/>
          <w:color w:val="0070C0"/>
        </w:rPr>
      </w:pPr>
      <w:r w:rsidRPr="00A86C7E">
        <w:rPr>
          <w:rFonts w:ascii="Times New Roman" w:hAnsi="Times New Roman"/>
          <w:b/>
          <w:bCs/>
          <w:color w:val="0070C0"/>
        </w:rPr>
        <w:t>Popis návrhu vo vzťahu k návrhu novely zákona o službách zamestnanosti</w:t>
      </w:r>
    </w:p>
    <w:p w:rsidR="00E1104D" w:rsidRPr="005E01D6" w:rsidP="00E1104D">
      <w:pPr>
        <w:bidi w:val="0"/>
        <w:rPr>
          <w:rFonts w:ascii="Times New Roman" w:hAnsi="Times New Roman"/>
          <w:b/>
          <w:bCs/>
        </w:rPr>
      </w:pPr>
    </w:p>
    <w:p w:rsidR="00E1104D" w:rsidRPr="005E01D6" w:rsidP="00A86C7E">
      <w:pPr>
        <w:bidi w:val="0"/>
        <w:jc w:val="both"/>
        <w:rPr>
          <w:rFonts w:ascii="Times New Roman" w:hAnsi="Times New Roman"/>
        </w:rPr>
      </w:pPr>
      <w:r w:rsidR="00391898">
        <w:rPr>
          <w:rFonts w:ascii="Times New Roman" w:hAnsi="Times New Roman"/>
          <w:bCs/>
        </w:rPr>
        <w:t xml:space="preserve">     </w:t>
      </w:r>
      <w:r w:rsidRPr="005E01D6">
        <w:rPr>
          <w:rFonts w:ascii="Times New Roman" w:hAnsi="Times New Roman"/>
          <w:bCs/>
        </w:rPr>
        <w:t>Návrh zákona,</w:t>
      </w:r>
      <w:r w:rsidRPr="005E01D6">
        <w:rPr>
          <w:rFonts w:ascii="Times New Roman" w:hAnsi="Times New Roman" w:cs="Arial"/>
          <w:szCs w:val="22"/>
        </w:rPr>
        <w:t xml:space="preserve"> ktorým sa mení a dopĺňa zákon č. 5/2004 Z. z. o službách zamestnanosti a o zmene a doplnení niektorých zákonov v znení neskorších predpisov,</w:t>
      </w:r>
      <w:r w:rsidRPr="005E01D6">
        <w:rPr>
          <w:rFonts w:ascii="Times New Roman" w:hAnsi="Times New Roman" w:cs="Arial"/>
          <w:color w:val="000000"/>
          <w:szCs w:val="22"/>
        </w:rPr>
        <w:t xml:space="preserve"> </w:t>
      </w:r>
      <w:r w:rsidRPr="005E01D6">
        <w:rPr>
          <w:rFonts w:ascii="Times New Roman" w:hAnsi="Times New Roman"/>
        </w:rPr>
        <w:t>obsahuje zmeny, ktoré sa týkajú najmä:</w:t>
      </w:r>
    </w:p>
    <w:p w:rsidR="00E1104D" w:rsidRPr="005E01D6" w:rsidP="00E1104D">
      <w:pPr>
        <w:bidi w:val="0"/>
        <w:jc w:val="both"/>
        <w:rPr>
          <w:rFonts w:ascii="Times New Roman" w:hAnsi="Times New Roman"/>
        </w:rPr>
      </w:pPr>
    </w:p>
    <w:p w:rsidR="00E1104D" w:rsidRPr="005E01D6" w:rsidP="00E1104D">
      <w:pPr>
        <w:numPr>
          <w:numId w:val="37"/>
        </w:numPr>
        <w:bidi w:val="0"/>
        <w:jc w:val="both"/>
        <w:rPr>
          <w:rFonts w:ascii="Times New Roman" w:hAnsi="Times New Roman"/>
          <w:b/>
          <w:bCs/>
        </w:rPr>
      </w:pPr>
      <w:r w:rsidRPr="005E01D6">
        <w:rPr>
          <w:rFonts w:ascii="Times New Roman" w:hAnsi="Times New Roman"/>
          <w:b/>
          <w:bCs/>
        </w:rPr>
        <w:t>Úpravy maximálneho príjmu uchádzača o zamestnanie počas vedenia v evidencii uchádzačov o zamestnanie</w:t>
      </w:r>
    </w:p>
    <w:p w:rsidR="00E1104D" w:rsidRPr="005E01D6" w:rsidP="00E1104D">
      <w:pPr>
        <w:bidi w:val="0"/>
        <w:jc w:val="both"/>
        <w:rPr>
          <w:rFonts w:ascii="Times New Roman" w:hAnsi="Times New Roman"/>
          <w:b/>
          <w:bCs/>
        </w:rPr>
      </w:pPr>
    </w:p>
    <w:p w:rsidR="00E1104D" w:rsidRPr="005E01D6" w:rsidP="00E1104D">
      <w:pPr>
        <w:bidi w:val="0"/>
        <w:ind w:left="360"/>
        <w:jc w:val="both"/>
        <w:rPr>
          <w:rFonts w:ascii="Times New Roman" w:hAnsi="Times New Roman"/>
        </w:rPr>
      </w:pPr>
      <w:r w:rsidRPr="005E01D6">
        <w:rPr>
          <w:rFonts w:ascii="Times New Roman" w:hAnsi="Times New Roman"/>
        </w:rPr>
        <w:t>Navrhuje sa zvýšenie maximálneho príjmu uchádzača o zamestnanie z vykonávania zárobkovej činnosti na základe pracovnoprávneho vzťahu alebo iného právneho vzťahu, a to zo súčasných 139,90 eur na 190 eur za mesiac. Návrh vychádza z Koncepcie reformy daňovo-odvodového systému v sú</w:t>
      </w:r>
      <w:r w:rsidR="004F66F8">
        <w:rPr>
          <w:rFonts w:ascii="Times New Roman" w:hAnsi="Times New Roman"/>
        </w:rPr>
        <w:t xml:space="preserve">vislosti so zavedením </w:t>
      </w:r>
      <w:r w:rsidRPr="005E01D6">
        <w:rPr>
          <w:rFonts w:ascii="Times New Roman" w:hAnsi="Times New Roman"/>
        </w:rPr>
        <w:t>odpočítateľnej položky</w:t>
      </w:r>
      <w:r w:rsidR="004F66F8">
        <w:rPr>
          <w:rFonts w:ascii="Times New Roman" w:hAnsi="Times New Roman"/>
        </w:rPr>
        <w:t xml:space="preserve"> z vymeriavacieho základu</w:t>
      </w:r>
      <w:r w:rsidRPr="005E01D6">
        <w:rPr>
          <w:rFonts w:ascii="Times New Roman" w:hAnsi="Times New Roman"/>
        </w:rPr>
        <w:t xml:space="preserve"> na príjmy z dohôd </w:t>
      </w:r>
      <w:r w:rsidR="00391898">
        <w:rPr>
          <w:rFonts w:ascii="Times New Roman" w:hAnsi="Times New Roman"/>
        </w:rPr>
        <w:t xml:space="preserve">o prácach vykonávaných mimo pracovného pomeru </w:t>
      </w:r>
      <w:r w:rsidRPr="005E01D6">
        <w:rPr>
          <w:rFonts w:ascii="Times New Roman" w:hAnsi="Times New Roman"/>
        </w:rPr>
        <w:t>do výšky 190 eur za mesiac.</w:t>
      </w:r>
      <w:r w:rsidR="00391898">
        <w:rPr>
          <w:rFonts w:ascii="Times New Roman" w:hAnsi="Times New Roman"/>
        </w:rPr>
        <w:t xml:space="preserve"> </w:t>
      </w:r>
    </w:p>
    <w:p w:rsidR="00E1104D" w:rsidRPr="005E01D6" w:rsidP="00E1104D">
      <w:pPr>
        <w:bidi w:val="0"/>
        <w:ind w:firstLine="360"/>
        <w:jc w:val="both"/>
        <w:rPr>
          <w:rFonts w:ascii="Times New Roman" w:hAnsi="Times New Roman"/>
          <w:b/>
          <w:bCs/>
        </w:rPr>
      </w:pPr>
    </w:p>
    <w:p w:rsidR="00E1104D" w:rsidRPr="005E01D6" w:rsidP="00E1104D">
      <w:pPr>
        <w:numPr>
          <w:numId w:val="37"/>
        </w:numPr>
        <w:bidi w:val="0"/>
        <w:jc w:val="both"/>
        <w:rPr>
          <w:rFonts w:ascii="Times New Roman" w:hAnsi="Times New Roman"/>
          <w:b/>
          <w:bCs/>
        </w:rPr>
      </w:pPr>
      <w:r w:rsidRPr="005E01D6">
        <w:rPr>
          <w:rFonts w:ascii="Times New Roman" w:hAnsi="Times New Roman"/>
          <w:b/>
          <w:bCs/>
        </w:rPr>
        <w:t>Zmeny základne pre výpočet výšky príspevkov aktívnych opatrení na trhu práce iných plnení podľa zákona o službách zamestnanosti</w:t>
      </w:r>
    </w:p>
    <w:p w:rsidR="00E1104D" w:rsidRPr="005E01D6" w:rsidP="00E1104D">
      <w:pPr>
        <w:bidi w:val="0"/>
        <w:jc w:val="both"/>
        <w:rPr>
          <w:rFonts w:ascii="Times New Roman" w:hAnsi="Times New Roman"/>
          <w:b/>
          <w:bCs/>
        </w:rPr>
      </w:pPr>
    </w:p>
    <w:p w:rsidR="00E1104D" w:rsidRPr="005E01D6" w:rsidP="00E1104D">
      <w:pPr>
        <w:tabs>
          <w:tab w:val="left" w:pos="720"/>
        </w:tabs>
        <w:bidi w:val="0"/>
        <w:ind w:left="720" w:hanging="360"/>
        <w:jc w:val="both"/>
        <w:rPr>
          <w:rFonts w:ascii="Times New Roman" w:hAnsi="Times New Roman"/>
        </w:rPr>
      </w:pPr>
      <w:r w:rsidRPr="005E01D6">
        <w:rPr>
          <w:rFonts w:ascii="Times New Roman" w:hAnsi="Times New Roman"/>
        </w:rPr>
        <w:t>a)</w:t>
        <w:tab/>
        <w:t>V prepojení na § 2 písm. a) a d) návrhu zákona o úprave príjmu zo zárobkovej činnosti a o zmene a doplnení niektorých zákonov sa ruší definícia celkovej ceny práce, ktorá na účely zákona o službách zamestnanosti v súčasnosti predstavuje súčet priemernej mzdy zamestnanca v hospodárstve Slovenskej republiky zverejnenej Štatistickým úradom Slovenskej republiky za príslušné obdobie a úhrady preddavku na verejné zdravotné poistenie, poistného na sociálne poistenie a príspevku na starobné dôchodkové sporenie, platených zamestnávateľom a slúži ako základňa pre výpočet výšky príspevkov podľa § 49, 50, 50c, 52, 52a, 56, 56a, 57, 59 a 60 zákona o službách zamestnanosti. V zmysle navrhovanej právnej úpravy sa výšky uvedených príspevkov navrhuje vypočítavať ako príslušné % zo súčtu priemernej mzdy zamestnanca v hospodárstve SR za I. až III. štvrťrok kalendárneho roka, ktorý predchádza kalendárnemu roku, v ktorom sa príspevok poskytuje, a poistného na povinné úrazové poistenie plateného zamestnávateľom.</w:t>
      </w:r>
    </w:p>
    <w:p w:rsidR="00E1104D" w:rsidRPr="005E01D6" w:rsidP="00A86C7E">
      <w:pPr>
        <w:bidi w:val="0"/>
        <w:jc w:val="both"/>
        <w:rPr>
          <w:rFonts w:ascii="Times New Roman" w:hAnsi="Times New Roman"/>
        </w:rPr>
      </w:pPr>
    </w:p>
    <w:p w:rsidR="00E1104D" w:rsidRPr="005E01D6" w:rsidP="00E1104D">
      <w:pPr>
        <w:tabs>
          <w:tab w:val="left" w:pos="720"/>
        </w:tabs>
        <w:bidi w:val="0"/>
        <w:ind w:left="720" w:hanging="360"/>
        <w:jc w:val="both"/>
        <w:rPr>
          <w:rFonts w:ascii="Times New Roman" w:hAnsi="Times New Roman"/>
        </w:rPr>
      </w:pPr>
      <w:r w:rsidRPr="005E01D6">
        <w:rPr>
          <w:rFonts w:ascii="Times New Roman" w:hAnsi="Times New Roman"/>
        </w:rPr>
        <w:t>b)</w:t>
        <w:tab/>
        <w:t>V rámci príspevku na podporu zamestnanosti a na realizáciu opatrení na ochranu pred povodňami a na riešenie následkov mimoriadnej situácie (§ 50j) sa navrhuje zmena základne pre výpočet príspevku, a to z 95 % celkovej ceny práce zamestnanca na 95 % zo súčtu priemernej mzdy zamestnanca a poistného na povinné úrazové poistenie plateného zamestnávateľom. Zároveň sa navrhuje upraviť aj maximálna výšku príspevku, ktorá je v súčasnosti definovaná ako výška celkovej ceny práce vypočítaná z dvojnásobku sumy životného minima (513,25 eur</w:t>
      </w:r>
      <w:r w:rsidR="00391898">
        <w:rPr>
          <w:rFonts w:ascii="Times New Roman" w:hAnsi="Times New Roman"/>
        </w:rPr>
        <w:t>a</w:t>
      </w:r>
      <w:r w:rsidRPr="005E01D6">
        <w:rPr>
          <w:rFonts w:ascii="Times New Roman" w:hAnsi="Times New Roman"/>
        </w:rPr>
        <w:t>). Z dôvodu zrušenia definície celkovej ceny práce, ako aj z dôvodu zjednodušenia výpočtu, sa maximálna výška príspevku navrhuje stanoviť na 2,7-násobok sumy životného minima</w:t>
      </w:r>
      <w:r w:rsidR="009F6F67">
        <w:rPr>
          <w:rFonts w:ascii="Times New Roman" w:hAnsi="Times New Roman"/>
        </w:rPr>
        <w:t xml:space="preserve"> </w:t>
      </w:r>
      <w:r w:rsidRPr="00992C13" w:rsidR="009F6F67">
        <w:rPr>
          <w:rFonts w:ascii="Times New Roman" w:hAnsi="Times New Roman"/>
          <w:color w:val="000000"/>
        </w:rPr>
        <w:t>poskytovaného jednej plnoletej fyzickej</w:t>
      </w:r>
      <w:r w:rsidR="009F6F67">
        <w:rPr>
          <w:rFonts w:ascii="Times New Roman" w:hAnsi="Times New Roman"/>
          <w:color w:val="000000"/>
        </w:rPr>
        <w:t xml:space="preserve"> osobe </w:t>
      </w:r>
      <w:r w:rsidRPr="00992C13" w:rsidR="009F6F67">
        <w:rPr>
          <w:rFonts w:ascii="Times New Roman" w:hAnsi="Times New Roman"/>
          <w:color w:val="000000"/>
        </w:rPr>
        <w:t>platnej k prvému dňu kalendárneho mesiaca, za</w:t>
      </w:r>
      <w:r w:rsidR="009F6F67">
        <w:rPr>
          <w:rFonts w:ascii="Times New Roman" w:hAnsi="Times New Roman"/>
          <w:color w:val="000000"/>
        </w:rPr>
        <w:t xml:space="preserve"> ktorý sa príspevok poskytuje</w:t>
      </w:r>
      <w:r w:rsidRPr="005E01D6">
        <w:rPr>
          <w:rFonts w:ascii="Times New Roman" w:hAnsi="Times New Roman"/>
        </w:rPr>
        <w:t xml:space="preserve"> (512,54 eur</w:t>
      </w:r>
      <w:r w:rsidR="00391898">
        <w:rPr>
          <w:rFonts w:ascii="Times New Roman" w:hAnsi="Times New Roman"/>
        </w:rPr>
        <w:t>a</w:t>
      </w:r>
      <w:r w:rsidRPr="005E01D6">
        <w:rPr>
          <w:rFonts w:ascii="Times New Roman" w:hAnsi="Times New Roman"/>
        </w:rPr>
        <w:t xml:space="preserve">). </w:t>
      </w:r>
    </w:p>
    <w:p w:rsidR="00E1104D" w:rsidRPr="005E01D6" w:rsidP="00E1104D">
      <w:pPr>
        <w:bidi w:val="0"/>
        <w:jc w:val="both"/>
        <w:rPr>
          <w:rFonts w:ascii="Times New Roman" w:hAnsi="Times New Roman"/>
        </w:rPr>
      </w:pPr>
    </w:p>
    <w:p w:rsidR="00E1104D" w:rsidRPr="005E01D6" w:rsidP="00E1104D">
      <w:pPr>
        <w:tabs>
          <w:tab w:val="left" w:pos="720"/>
        </w:tabs>
        <w:bidi w:val="0"/>
        <w:ind w:left="720" w:hanging="360"/>
        <w:jc w:val="both"/>
        <w:rPr>
          <w:rFonts w:ascii="Times New Roman" w:hAnsi="Times New Roman"/>
        </w:rPr>
      </w:pPr>
      <w:r w:rsidRPr="005E01D6">
        <w:rPr>
          <w:rFonts w:ascii="Times New Roman" w:hAnsi="Times New Roman"/>
        </w:rPr>
        <w:t>c)</w:t>
        <w:tab/>
        <w:t xml:space="preserve">V súvislosti so zrušením definície celkovej ceny práce sa mení základňa pre výpočet odvodu za neplnenie povinného podielu zamestnávania občanov so zdravotným postihnutím podľa § 65 zákona o službách zamestnanosti, a to na stanovený násobok súčtu priemernej mzdy zamestnanca v hospodárstve SR za I. až III. štvrťrok kalendárneho roka, ktorý predchádza kalendárnemu roku, v ktorom sa príspevok poskytuje, a poistného na povinné úrazové poistenie plateného zamestnávateľom. </w:t>
      </w:r>
    </w:p>
    <w:p w:rsidR="00E1104D" w:rsidRPr="005E01D6" w:rsidP="00E1104D">
      <w:pPr>
        <w:bidi w:val="0"/>
        <w:jc w:val="both"/>
        <w:rPr>
          <w:rFonts w:ascii="Times New Roman" w:hAnsi="Times New Roman"/>
        </w:rPr>
      </w:pPr>
    </w:p>
    <w:p w:rsidR="00E1104D" w:rsidRPr="005E01D6" w:rsidP="00E1104D">
      <w:pPr>
        <w:numPr>
          <w:numId w:val="37"/>
        </w:numPr>
        <w:bidi w:val="0"/>
        <w:jc w:val="both"/>
        <w:rPr>
          <w:rFonts w:ascii="Times New Roman" w:hAnsi="Times New Roman"/>
          <w:b/>
          <w:bCs/>
        </w:rPr>
      </w:pPr>
      <w:r w:rsidRPr="005E01D6">
        <w:rPr>
          <w:rFonts w:ascii="Times New Roman" w:hAnsi="Times New Roman"/>
          <w:b/>
          <w:bCs/>
        </w:rPr>
        <w:t>Zrušenie príspevku na podporu udržania v zamestnaní zamestnancov s nízkymi mzdami (§ 50a)</w:t>
      </w:r>
    </w:p>
    <w:p w:rsidR="00E1104D" w:rsidRPr="005E01D6" w:rsidP="00E1104D">
      <w:pPr>
        <w:bidi w:val="0"/>
        <w:ind w:left="426"/>
        <w:jc w:val="both"/>
        <w:rPr>
          <w:rFonts w:ascii="Times New Roman" w:hAnsi="Times New Roman"/>
          <w:b/>
          <w:bCs/>
        </w:rPr>
      </w:pPr>
    </w:p>
    <w:p w:rsidR="00E1104D" w:rsidRPr="005E01D6" w:rsidP="00E1104D">
      <w:pPr>
        <w:bidi w:val="0"/>
        <w:ind w:left="426"/>
        <w:jc w:val="both"/>
        <w:rPr>
          <w:rFonts w:ascii="Times New Roman" w:hAnsi="Times New Roman"/>
        </w:rPr>
      </w:pPr>
      <w:r w:rsidRPr="005E01D6">
        <w:rPr>
          <w:rFonts w:ascii="Times New Roman" w:hAnsi="Times New Roman"/>
        </w:rPr>
        <w:t xml:space="preserve">     Zrušenie príspevku podľa § 50a zákona o službách zamestnanosti, ktorý sa poskytuje na úhradu poistných povinností na verejné zdravotné poistenie a na sociálne poistenie platených zamestnávateľom a zamestnancom, sa navrhuje z dôvodu zrušenia povinností zamestnávateľa platiť poistné na verejné zdravotné poistenie, príspevku na starobné dôchodkové sporenie a poistného na sociálne poistenie s výnimkou povinného úrazového poistenia v zmysle návrhu zákona o úprave príjmu zo zárobkovej činnosti.</w:t>
      </w:r>
    </w:p>
    <w:p w:rsidR="00E1104D" w:rsidRPr="005E01D6" w:rsidP="00E1104D">
      <w:pPr>
        <w:bidi w:val="0"/>
        <w:jc w:val="both"/>
        <w:rPr>
          <w:rFonts w:ascii="Times New Roman" w:hAnsi="Times New Roman"/>
        </w:rPr>
      </w:pPr>
    </w:p>
    <w:p w:rsidR="00E1104D" w:rsidRPr="005E01D6" w:rsidP="00E1104D">
      <w:pPr>
        <w:numPr>
          <w:numId w:val="37"/>
        </w:numPr>
        <w:bidi w:val="0"/>
        <w:jc w:val="both"/>
        <w:rPr>
          <w:rFonts w:ascii="Times New Roman" w:hAnsi="Times New Roman"/>
          <w:b/>
          <w:bCs/>
        </w:rPr>
      </w:pPr>
      <w:r w:rsidRPr="005E01D6">
        <w:rPr>
          <w:rFonts w:ascii="Times New Roman" w:hAnsi="Times New Roman"/>
          <w:b/>
          <w:bCs/>
        </w:rPr>
        <w:t>Povinnosti zamestnávateľa pri zamestnávaní občanov so zdravotným postihnutím</w:t>
      </w:r>
    </w:p>
    <w:p w:rsidR="00E1104D" w:rsidRPr="005E01D6" w:rsidP="00E1104D">
      <w:pPr>
        <w:bidi w:val="0"/>
        <w:jc w:val="both"/>
        <w:rPr>
          <w:rFonts w:ascii="Times New Roman" w:hAnsi="Times New Roman"/>
          <w:b/>
          <w:bCs/>
        </w:rPr>
      </w:pPr>
    </w:p>
    <w:p w:rsidR="00E1104D" w:rsidRPr="005E01D6" w:rsidP="00E1104D">
      <w:pPr>
        <w:bidi w:val="0"/>
        <w:ind w:left="360"/>
        <w:jc w:val="both"/>
        <w:rPr>
          <w:rFonts w:ascii="Times New Roman" w:hAnsi="Times New Roman"/>
        </w:rPr>
      </w:pPr>
      <w:r w:rsidRPr="005E01D6">
        <w:rPr>
          <w:rFonts w:ascii="Times New Roman" w:hAnsi="Times New Roman"/>
        </w:rPr>
        <w:t>V § 63 ods. 3 sa navrhuje ustanoviť, aby do celkového počtu zamestnancov, z ktorého si zamestnávateľ vypočítava povinnosť zamestnávať určený povinný podiel počtu občanov so zdravotným postihnutím podľa § 63 ods. 1 písm. d) zákona o službách zamestnanosti, sa okrem zamestnancov, ktorí plnia úlohy zamestnávateľa v zahraničí, nebudú započítavať štátni zamestnanci, ktorí vykonávajú štátnu službu v služobnom pomere podľa osobitných predpisov (zákon č. 346/2005 Z. z., zákon č. 73/1998 Z. z., zákon č. 200/1998 Z. z. a zákon č. 315/2001 Z. z.), a to s cieľom zabezpečenia právneho rámca po ratifikácii listiny Dohovoru Organizácie Spojených národov o právach osôb so zdravotným postihnutím. Dôvodom je skutočnosť, že vyššie uvedené osobitné predpisy, ktoré upravujú vykonávanie štátnej služby v služobnom pomere príslušníkov ozbrojených síl, ozbrojených bezpečnost</w:t>
      </w:r>
      <w:r w:rsidR="005B2B64">
        <w:rPr>
          <w:rFonts w:ascii="Times New Roman" w:hAnsi="Times New Roman"/>
        </w:rPr>
        <w:t>ných zborov, ozbrojených zborov</w:t>
      </w:r>
      <w:r w:rsidRPr="005E01D6">
        <w:rPr>
          <w:rFonts w:ascii="Times New Roman" w:hAnsi="Times New Roman"/>
        </w:rPr>
        <w:t xml:space="preserve"> a  hasičského a  záchranného zboru, si vyžadujú zdravotnú, fyzickú a psychickú spôsobilosť na výkon štátnej služby, ktoré musí občan  spĺňať pri prijatí ako aj po celú dobu vykonávania štátnej služby.</w:t>
      </w:r>
    </w:p>
    <w:p w:rsidR="00A6578D" w:rsidP="00A6578D">
      <w:pPr>
        <w:bidi w:val="0"/>
        <w:jc w:val="both"/>
        <w:rPr>
          <w:rFonts w:ascii="Times New Roman" w:hAnsi="Times New Roman"/>
          <w:b/>
          <w:bCs/>
          <w:color w:val="0070C0"/>
        </w:rPr>
      </w:pPr>
    </w:p>
    <w:p w:rsidR="00A6578D" w:rsidP="00A86C7E">
      <w:pPr>
        <w:bidi w:val="0"/>
        <w:spacing w:after="120"/>
        <w:jc w:val="both"/>
        <w:rPr>
          <w:rFonts w:ascii="Times New Roman" w:hAnsi="Times New Roman"/>
          <w:b/>
          <w:bCs/>
          <w:color w:val="0070C0"/>
        </w:rPr>
      </w:pPr>
      <w:r w:rsidRPr="00772706">
        <w:rPr>
          <w:rFonts w:ascii="Times New Roman" w:hAnsi="Times New Roman"/>
          <w:b/>
          <w:bCs/>
          <w:color w:val="0070C0"/>
        </w:rPr>
        <w:t>Popis ná</w:t>
      </w:r>
      <w:r>
        <w:rPr>
          <w:rFonts w:ascii="Times New Roman" w:hAnsi="Times New Roman"/>
          <w:b/>
          <w:bCs/>
          <w:color w:val="0070C0"/>
        </w:rPr>
        <w:t>vrhu vo vzťahu k návrhu zákona o úprave príjmu zo závislej činnosti</w:t>
      </w:r>
    </w:p>
    <w:p w:rsidR="00A6578D" w:rsidRPr="00DB7F5D" w:rsidP="00A86C7E">
      <w:pPr>
        <w:tabs>
          <w:tab w:val="left" w:pos="709"/>
        </w:tabs>
        <w:bidi w:val="0"/>
        <w:jc w:val="both"/>
        <w:rPr>
          <w:rFonts w:ascii="Times New Roman" w:hAnsi="Times New Roman"/>
          <w:b/>
        </w:rPr>
      </w:pPr>
      <w:r w:rsidRPr="00B77A28" w:rsidR="00493B8E">
        <w:rPr>
          <w:rStyle w:val="PlaceholderText"/>
          <w:color w:val="000000"/>
        </w:rPr>
        <w:t>    </w:t>
      </w:r>
      <w:r w:rsidR="00493B8E">
        <w:rPr>
          <w:rStyle w:val="PlaceholderText"/>
          <w:color w:val="000000"/>
        </w:rPr>
        <w:t xml:space="preserve"> Ustanovujú</w:t>
      </w:r>
      <w:r w:rsidRPr="00161E54" w:rsidR="00493B8E">
        <w:rPr>
          <w:rStyle w:val="PlaceholderText"/>
          <w:color w:val="000000"/>
        </w:rPr>
        <w:t xml:space="preserve"> sa </w:t>
      </w:r>
      <w:r w:rsidR="00493B8E">
        <w:rPr>
          <w:rStyle w:val="PlaceholderText"/>
          <w:color w:val="000000"/>
        </w:rPr>
        <w:t>postupy pri úprave z</w:t>
      </w:r>
      <w:r w:rsidRPr="00161E54" w:rsidR="00493B8E">
        <w:rPr>
          <w:rStyle w:val="PlaceholderText"/>
          <w:color w:val="000000"/>
        </w:rPr>
        <w:t xml:space="preserve">o závislej činnosti </w:t>
      </w:r>
      <w:r w:rsidR="00493B8E">
        <w:rPr>
          <w:rStyle w:val="PlaceholderText"/>
          <w:color w:val="000000"/>
        </w:rPr>
        <w:t>v súvislosti so zrušením poistného plateného zamestnávateľom (okrem úrazového poistenia a úrazového zabezpečenia) a presunom výšky tohto poistného do hrubých príjmov zamestnanca. Týmto postupom dôjde k úprave príjmov zamestnancov z hrubých príjmov na superhrubú úroveň. Pri úprave tých častí príjmu zo závislej činnosti (základné sumy platov, platové tabuľky a pod.), ktoré sú definované v právnych predpisoch, je použitý všeobecný koeficient 1,344 s výnimkou zamestnancov ozbrojených zložiek, kde</w:t>
      </w:r>
      <w:r w:rsidR="00E06C0B">
        <w:rPr>
          <w:rStyle w:val="PlaceholderText"/>
          <w:color w:val="000000"/>
        </w:rPr>
        <w:t xml:space="preserve"> je použitý </w:t>
      </w:r>
      <w:r w:rsidR="00493B8E">
        <w:rPr>
          <w:rStyle w:val="PlaceholderText"/>
          <w:color w:val="000000"/>
        </w:rPr>
        <w:t xml:space="preserve">na prepočet </w:t>
      </w:r>
      <w:r w:rsidR="00C448F0">
        <w:rPr>
          <w:rStyle w:val="PlaceholderText"/>
          <w:color w:val="000000"/>
        </w:rPr>
        <w:t xml:space="preserve">vo všeobecnosti </w:t>
      </w:r>
      <w:r w:rsidR="00493B8E">
        <w:rPr>
          <w:rStyle w:val="PlaceholderText"/>
          <w:color w:val="000000"/>
        </w:rPr>
        <w:t xml:space="preserve">koeficient </w:t>
      </w:r>
      <w:r w:rsidR="00E06C0B">
        <w:rPr>
          <w:rStyle w:val="PlaceholderText"/>
          <w:color w:val="000000"/>
        </w:rPr>
        <w:t xml:space="preserve">1,426 </w:t>
      </w:r>
      <w:r w:rsidR="00493B8E">
        <w:rPr>
          <w:rStyle w:val="PlaceholderText"/>
          <w:color w:val="000000"/>
        </w:rPr>
        <w:t xml:space="preserve"> Zároveň v prepočtoch súm v platových tabuľkách je zohľadnené aj maximálne poistné platené v súčasnosti zamestnávateľom z dôvodu dosiahnutia maxi</w:t>
      </w:r>
      <w:r w:rsidR="00B87F87">
        <w:rPr>
          <w:rStyle w:val="PlaceholderText"/>
          <w:color w:val="000000"/>
        </w:rPr>
        <w:t>málneho vymeriavacieho základu z</w:t>
      </w:r>
      <w:r w:rsidR="00493B8E">
        <w:rPr>
          <w:rStyle w:val="PlaceholderText"/>
          <w:color w:val="000000"/>
        </w:rPr>
        <w:t xml:space="preserve"> tejto časti príjmu. Návrh zákona ustanovuje postup pri úprave </w:t>
      </w:r>
      <w:r w:rsidR="00B87F87">
        <w:rPr>
          <w:rStyle w:val="PlaceholderText"/>
          <w:color w:val="000000"/>
        </w:rPr>
        <w:t>ďalších častí príjmu</w:t>
      </w:r>
      <w:r w:rsidR="00493B8E">
        <w:rPr>
          <w:rStyle w:val="PlaceholderText"/>
          <w:color w:val="000000"/>
        </w:rPr>
        <w:t xml:space="preserve"> zo závislej činnosti</w:t>
      </w:r>
      <w:r w:rsidR="00B87F87">
        <w:rPr>
          <w:rStyle w:val="PlaceholderText"/>
          <w:color w:val="000000"/>
        </w:rPr>
        <w:t xml:space="preserve"> zamestnanca</w:t>
      </w:r>
      <w:r w:rsidR="00493B8E">
        <w:rPr>
          <w:rStyle w:val="PlaceholderText"/>
          <w:color w:val="000000"/>
        </w:rPr>
        <w:t>, ktorých sumy nie sú stanovené právnymi predpismi, a to s možnosťou pre súkromného zamestnávateľa a povinnosťou pre verejného zamestnávateľa použiť tzv. statusový koeficient zamestnanca</w:t>
      </w:r>
      <w:r w:rsidR="007C7CAA">
        <w:rPr>
          <w:rStyle w:val="PlaceholderText"/>
          <w:color w:val="000000"/>
        </w:rPr>
        <w:t>, ktorý je uvedený v prílohách k zákonu o úprave príjmu zo závislej čin</w:t>
      </w:r>
      <w:r w:rsidR="00B87F87">
        <w:rPr>
          <w:rStyle w:val="PlaceholderText"/>
          <w:color w:val="000000"/>
        </w:rPr>
        <w:t xml:space="preserve">nosti. Použitie statusového koeficientu je však závislé od jednotlivých častí príjmu zamestnanca, z ktorých príjem zamestnanca ako celok pozostáva. </w:t>
      </w:r>
    </w:p>
    <w:p w:rsidR="00A22617" w:rsidRPr="00011BF7" w:rsidP="00777C47">
      <w:pPr>
        <w:bidi w:val="0"/>
        <w:jc w:val="both"/>
        <w:rPr>
          <w:rFonts w:ascii="Times New Roman" w:hAnsi="Times New Roman"/>
        </w:rPr>
      </w:pPr>
    </w:p>
    <w:p w:rsidR="00A22617" w:rsidRPr="00B732C6" w:rsidP="00E426DE">
      <w:pPr>
        <w:bidi w:val="0"/>
        <w:spacing w:after="120"/>
        <w:jc w:val="both"/>
        <w:rPr>
          <w:rFonts w:ascii="Times New Roman" w:hAnsi="Times New Roman"/>
          <w:b/>
          <w:bCs/>
        </w:rPr>
      </w:pPr>
      <w:r w:rsidRPr="00A86C7E">
        <w:rPr>
          <w:rFonts w:ascii="Times New Roman" w:hAnsi="Times New Roman"/>
          <w:b/>
          <w:bCs/>
          <w:color w:val="0070C0"/>
        </w:rPr>
        <w:t xml:space="preserve">Popis návrhu vo vzťahu k návrhu novely zákonov </w:t>
      </w:r>
      <w:r w:rsidRPr="00A86C7E">
        <w:rPr>
          <w:rFonts w:ascii="Times New Roman" w:hAnsi="Times New Roman" w:cs="Arial"/>
          <w:b/>
          <w:color w:val="0070C0"/>
          <w:szCs w:val="22"/>
        </w:rPr>
        <w:t>o sociálnom poistení a náhrade príjmu</w:t>
      </w:r>
      <w:r w:rsidRPr="00B732C6">
        <w:rPr>
          <w:rFonts w:ascii="Times New Roman" w:hAnsi="Times New Roman" w:cs="Arial"/>
          <w:b/>
          <w:szCs w:val="22"/>
        </w:rPr>
        <w:t xml:space="preserve"> </w:t>
      </w:r>
      <w:r w:rsidRPr="00A86C7E">
        <w:rPr>
          <w:rFonts w:ascii="Times New Roman" w:hAnsi="Times New Roman" w:cs="Arial"/>
          <w:b/>
          <w:color w:val="0070C0"/>
          <w:szCs w:val="22"/>
        </w:rPr>
        <w:t>pri dočasnej pracovnej neschopnosti zamestnanca</w:t>
      </w:r>
    </w:p>
    <w:p w:rsidR="00A22617" w:rsidRPr="00F35E7B" w:rsidP="00F35E7B">
      <w:pPr>
        <w:bidi w:val="0"/>
        <w:ind w:firstLine="360"/>
        <w:jc w:val="both"/>
        <w:rPr>
          <w:rFonts w:ascii="Times New Roman" w:hAnsi="Times New Roman" w:cs="Arial"/>
          <w:color w:val="000000"/>
          <w:szCs w:val="22"/>
        </w:rPr>
      </w:pPr>
      <w:r w:rsidRPr="00F35E7B">
        <w:rPr>
          <w:rFonts w:ascii="Times New Roman" w:hAnsi="Times New Roman"/>
          <w:bCs/>
        </w:rPr>
        <w:t>Návrh zákona,</w:t>
      </w:r>
      <w:r w:rsidRPr="00F35E7B">
        <w:rPr>
          <w:rFonts w:ascii="Times New Roman" w:hAnsi="Times New Roman" w:cs="Arial"/>
          <w:szCs w:val="22"/>
        </w:rPr>
        <w:t xml:space="preserve"> ktorým sa mení a dopĺňa zákon č. 461/2003 Z. z. o sociálnom poistení v znení neskorších predpisov a ktorým sa mení zákon č. 462/2003 Z. z. o náhrade príjmu pri dočasnej pracovnej </w:t>
      </w:r>
      <w:r w:rsidRPr="00F35E7B">
        <w:rPr>
          <w:rFonts w:ascii="Times New Roman" w:hAnsi="Times New Roman" w:cs="Arial"/>
          <w:color w:val="000000"/>
          <w:szCs w:val="22"/>
        </w:rPr>
        <w:t>neschopnosti zamestnanca a o zmene a doplnení niektorých zákonov v znení neskorších predpisov</w:t>
      </w:r>
      <w:r>
        <w:rPr>
          <w:rFonts w:ascii="Times New Roman" w:hAnsi="Times New Roman" w:cs="Arial"/>
          <w:color w:val="000000"/>
          <w:szCs w:val="22"/>
        </w:rPr>
        <w:t xml:space="preserve"> </w:t>
      </w:r>
      <w:r>
        <w:rPr>
          <w:rFonts w:ascii="Times New Roman" w:hAnsi="Times New Roman"/>
        </w:rPr>
        <w:t>obsahuje zmeny, ktoré sa týkajú najmä:</w:t>
      </w:r>
    </w:p>
    <w:p w:rsidR="00A22617" w:rsidRPr="004B2597" w:rsidP="00F35E7B">
      <w:pPr>
        <w:bidi w:val="0"/>
        <w:jc w:val="both"/>
        <w:rPr>
          <w:rFonts w:ascii="Times New Roman" w:hAnsi="Times New Roman"/>
          <w:color w:val="000000"/>
        </w:rPr>
      </w:pPr>
    </w:p>
    <w:p w:rsidR="00A22617" w:rsidRPr="004B2597" w:rsidP="00C24072">
      <w:pPr>
        <w:numPr>
          <w:numId w:val="12"/>
        </w:numPr>
        <w:tabs>
          <w:tab w:val="left" w:pos="709"/>
        </w:tabs>
        <w:bidi w:val="0"/>
        <w:spacing w:after="120"/>
        <w:ind w:left="714" w:hanging="357"/>
        <w:jc w:val="both"/>
        <w:rPr>
          <w:rFonts w:ascii="Times New Roman" w:hAnsi="Times New Roman"/>
          <w:b/>
          <w:color w:val="000000"/>
        </w:rPr>
      </w:pPr>
      <w:r w:rsidRPr="004B2597">
        <w:rPr>
          <w:rFonts w:ascii="Times New Roman" w:hAnsi="Times New Roman"/>
          <w:b/>
          <w:color w:val="000000"/>
        </w:rPr>
        <w:t>Rozšírenie osobného rozsahu povinne sociálne poistených osôb o:</w:t>
      </w:r>
    </w:p>
    <w:p w:rsidR="00FF0322" w:rsidRPr="00FF0322" w:rsidP="00FF0322">
      <w:pPr>
        <w:numPr>
          <w:ilvl w:val="1"/>
          <w:numId w:val="11"/>
        </w:numPr>
        <w:tabs>
          <w:tab w:val="left" w:pos="993"/>
        </w:tabs>
        <w:bidi w:val="0"/>
        <w:spacing w:after="120"/>
        <w:ind w:left="993" w:hanging="284"/>
        <w:jc w:val="both"/>
        <w:rPr>
          <w:rFonts w:ascii="Times New Roman" w:hAnsi="Times New Roman"/>
          <w:color w:val="000000"/>
        </w:rPr>
      </w:pPr>
      <w:r w:rsidRPr="00F65FCF" w:rsidR="00A22617">
        <w:rPr>
          <w:rFonts w:ascii="Times New Roman" w:hAnsi="Times New Roman"/>
          <w:color w:val="000000"/>
          <w:u w:val="single"/>
        </w:rPr>
        <w:t>fyzické osoby v právnom vzťahu na základe dohôd o  prácach vykonávaných mimo pracovného pomeru</w:t>
      </w:r>
      <w:r w:rsidRPr="004B2597" w:rsidR="00A22617">
        <w:rPr>
          <w:rFonts w:ascii="Times New Roman" w:hAnsi="Times New Roman"/>
          <w:color w:val="000000"/>
        </w:rPr>
        <w:t xml:space="preserve">, t. j. o tzv. </w:t>
      </w:r>
      <w:r w:rsidRPr="004B2597" w:rsidR="00A22617">
        <w:rPr>
          <w:rFonts w:ascii="Times New Roman" w:hAnsi="Times New Roman"/>
          <w:i/>
          <w:color w:val="000000"/>
        </w:rPr>
        <w:t>dohodárov</w:t>
      </w:r>
      <w:r w:rsidRPr="004B2597" w:rsidR="00A22617">
        <w:rPr>
          <w:rFonts w:ascii="Times New Roman" w:hAnsi="Times New Roman"/>
          <w:color w:val="000000"/>
        </w:rPr>
        <w:t xml:space="preserve"> – tieto osoby budú podliehať len povinnému dôchodkovému poisteniu na účely starobného poistenia so sadzbou 10 %. </w:t>
      </w:r>
      <w:r w:rsidR="004F66F8">
        <w:rPr>
          <w:rFonts w:ascii="Times New Roman" w:hAnsi="Times New Roman"/>
          <w:color w:val="000000"/>
        </w:rPr>
        <w:t xml:space="preserve">Uvedené osoby budú mať nárok na </w:t>
      </w:r>
      <w:r w:rsidRPr="004B2597" w:rsidR="00A22617">
        <w:rPr>
          <w:rFonts w:ascii="Times New Roman" w:hAnsi="Times New Roman"/>
          <w:color w:val="000000"/>
        </w:rPr>
        <w:t>odpočítateľnú položku</w:t>
      </w:r>
      <w:r w:rsidR="004F66F8">
        <w:rPr>
          <w:rFonts w:ascii="Times New Roman" w:hAnsi="Times New Roman"/>
          <w:color w:val="000000"/>
        </w:rPr>
        <w:t xml:space="preserve"> z vymeriavacieho základu</w:t>
      </w:r>
      <w:r w:rsidRPr="004B2597" w:rsidR="00A22617">
        <w:rPr>
          <w:rFonts w:ascii="Times New Roman" w:hAnsi="Times New Roman"/>
          <w:color w:val="000000"/>
        </w:rPr>
        <w:t xml:space="preserve"> mesačne najviac </w:t>
      </w:r>
      <w:r w:rsidR="00A22617">
        <w:rPr>
          <w:rFonts w:ascii="Times New Roman" w:hAnsi="Times New Roman"/>
          <w:color w:val="000000"/>
        </w:rPr>
        <w:t>d</w:t>
      </w:r>
      <w:r w:rsidRPr="004B2597" w:rsidR="00A22617">
        <w:rPr>
          <w:rFonts w:ascii="Times New Roman" w:hAnsi="Times New Roman"/>
          <w:color w:val="000000"/>
        </w:rPr>
        <w:t xml:space="preserve">o výšky 190 eur, ktorá sa bude vzťahovať na všetky príjmy na základe </w:t>
      </w:r>
      <w:r w:rsidRPr="00A86C7E" w:rsidR="00A22617">
        <w:rPr>
          <w:rFonts w:ascii="Times New Roman" w:hAnsi="Times New Roman"/>
          <w:color w:val="000000"/>
        </w:rPr>
        <w:t>dohôd o prácach vykonávaných mimo pracovného pomeru a jej výška sa bude znižovať o iné príjmy zo zárobkovej činnosti, z ktorej je fyzická os</w:t>
      </w:r>
      <w:r w:rsidRPr="00A86C7E">
        <w:rPr>
          <w:rFonts w:ascii="Times New Roman" w:hAnsi="Times New Roman"/>
          <w:color w:val="000000"/>
        </w:rPr>
        <w:t>oba povinne dôchodkovo poistená.</w:t>
      </w:r>
      <w:r w:rsidRPr="00A86C7E">
        <w:rPr>
          <w:rFonts w:ascii="Times New Roman" w:hAnsi="Times New Roman"/>
          <w:color w:val="0000FF"/>
        </w:rPr>
        <w:t xml:space="preserve"> </w:t>
      </w:r>
      <w:r w:rsidRPr="00A86C7E">
        <w:rPr>
          <w:rFonts w:ascii="Times New Roman" w:hAnsi="Times New Roman"/>
          <w:color w:val="000000"/>
        </w:rPr>
        <w:t>Podľa</w:t>
      </w:r>
      <w:r w:rsidRPr="00FF0322">
        <w:rPr>
          <w:rFonts w:ascii="Times New Roman" w:hAnsi="Times New Roman"/>
          <w:color w:val="000000"/>
        </w:rPr>
        <w:t xml:space="preserve"> štatistických údajov Sociálnej poisťovne bolo mesačne v roku 2010 priemerne 45 276 dohodárov bez súbehu s inou zárobkovou činnosťou so zárobkom vyšším ako 190 eur a 106 286 dohodárov v súbehu s inou zárobkovou činnosťou (nárok na uplatnenie bude v ich prípade posudzovaný spolu s iným príjmom so zárobkovej činnosti). </w:t>
      </w:r>
    </w:p>
    <w:p w:rsidR="00A22617" w:rsidRPr="004B2597" w:rsidP="00F65FCF">
      <w:pPr>
        <w:numPr>
          <w:ilvl w:val="1"/>
          <w:numId w:val="11"/>
        </w:numPr>
        <w:tabs>
          <w:tab w:val="left" w:pos="993"/>
        </w:tabs>
        <w:bidi w:val="0"/>
        <w:spacing w:after="120"/>
        <w:ind w:left="993" w:hanging="284"/>
        <w:jc w:val="both"/>
        <w:rPr>
          <w:rFonts w:ascii="Times New Roman" w:hAnsi="Times New Roman"/>
          <w:color w:val="000000"/>
        </w:rPr>
      </w:pPr>
      <w:r w:rsidRPr="00F65FCF">
        <w:rPr>
          <w:rFonts w:ascii="Times New Roman" w:hAnsi="Times New Roman"/>
          <w:color w:val="000000"/>
          <w:u w:val="single"/>
        </w:rPr>
        <w:t>fyzické osoby, ktoré budú mať právo na príjem, ktorým je podiel na zisku vyplatený obchodnou spoločnosťou alebo družstvom</w:t>
      </w:r>
      <w:r w:rsidRPr="004B2597">
        <w:rPr>
          <w:rFonts w:ascii="Times New Roman" w:hAnsi="Times New Roman"/>
          <w:color w:val="000000"/>
        </w:rPr>
        <w:t xml:space="preserve"> (s výnimkou podielov na zisku vyplatených obchodnou spoločnosťou alebo družstvom zamestnancom bez účasti na základom imaní tejto spoločnosti alebo družstva, z ktorých sa už v súčasnosti platí poistné na sociálne poistenie) – tieto osoby budú podliehať povinnému dôchodkovému poisteniu so sadzbou 13 %.</w:t>
      </w:r>
    </w:p>
    <w:p w:rsidR="00A22617" w:rsidRPr="004B2597" w:rsidP="00F35E7B">
      <w:pPr>
        <w:bidi w:val="0"/>
        <w:jc w:val="both"/>
        <w:rPr>
          <w:rFonts w:ascii="Times New Roman" w:hAnsi="Times New Roman"/>
          <w:color w:val="000000"/>
          <w:highlight w:val="yellow"/>
        </w:rPr>
      </w:pPr>
    </w:p>
    <w:p w:rsidR="00A22617" w:rsidRPr="004B2597" w:rsidP="00C24072">
      <w:pPr>
        <w:numPr>
          <w:numId w:val="12"/>
        </w:numPr>
        <w:tabs>
          <w:tab w:val="left" w:pos="709"/>
        </w:tabs>
        <w:bidi w:val="0"/>
        <w:spacing w:after="120"/>
        <w:ind w:left="714" w:hanging="357"/>
        <w:jc w:val="both"/>
        <w:rPr>
          <w:rFonts w:ascii="Times New Roman" w:hAnsi="Times New Roman"/>
          <w:b/>
          <w:color w:val="000000"/>
        </w:rPr>
      </w:pPr>
      <w:r w:rsidRPr="004B2597">
        <w:rPr>
          <w:rFonts w:ascii="Times New Roman" w:hAnsi="Times New Roman"/>
          <w:b/>
          <w:color w:val="000000"/>
        </w:rPr>
        <w:t xml:space="preserve">Zmena sadzby poistného na sociálne poistenie pre zamestnancov na 19 % z dôvodu </w:t>
      </w:r>
      <w:r w:rsidR="00940393">
        <w:rPr>
          <w:rFonts w:ascii="Times New Roman" w:hAnsi="Times New Roman"/>
          <w:b/>
          <w:color w:val="000000"/>
        </w:rPr>
        <w:t>úpravy</w:t>
      </w:r>
      <w:r>
        <w:rPr>
          <w:rFonts w:ascii="Times New Roman" w:hAnsi="Times New Roman"/>
          <w:b/>
          <w:color w:val="000000"/>
        </w:rPr>
        <w:t xml:space="preserve"> príjmu na</w:t>
      </w:r>
      <w:r w:rsidRPr="004B2597">
        <w:rPr>
          <w:rFonts w:ascii="Times New Roman" w:hAnsi="Times New Roman"/>
          <w:b/>
          <w:color w:val="000000"/>
        </w:rPr>
        <w:t xml:space="preserve"> tzv. superhrub</w:t>
      </w:r>
      <w:r>
        <w:rPr>
          <w:rFonts w:ascii="Times New Roman" w:hAnsi="Times New Roman"/>
          <w:b/>
          <w:color w:val="000000"/>
        </w:rPr>
        <w:t xml:space="preserve">ú úroveň a z dôvodu zavedenia nových parametrov daňovo-odvodového systému </w:t>
      </w:r>
      <w:r w:rsidRPr="004B2597">
        <w:rPr>
          <w:rFonts w:ascii="Times New Roman" w:hAnsi="Times New Roman"/>
          <w:b/>
          <w:color w:val="000000"/>
        </w:rPr>
        <w:t xml:space="preserve">– </w:t>
      </w:r>
      <w:r w:rsidRPr="004B2597">
        <w:rPr>
          <w:rFonts w:ascii="Times New Roman" w:hAnsi="Times New Roman"/>
          <w:color w:val="000000"/>
        </w:rPr>
        <w:t>uvedená zmena bude mať vplyv na pokles príjmov Sociálnej poisťovne, pričom sa neočakávajú zvýšené výdavky Sociálnej poisťovne z dôvodu, že sa nenavrhuje zmena vymeriavacieho základu pre výpočet dávok sociálneho poistenia v porovnaní so súčasným právnym stavom.</w:t>
      </w:r>
    </w:p>
    <w:p w:rsidR="00A22617" w:rsidRPr="004B2597" w:rsidP="00F35E7B">
      <w:pPr>
        <w:bidi w:val="0"/>
        <w:jc w:val="both"/>
        <w:rPr>
          <w:rFonts w:ascii="Times New Roman" w:hAnsi="Times New Roman"/>
          <w:b/>
          <w:color w:val="000000"/>
        </w:rPr>
      </w:pPr>
    </w:p>
    <w:p w:rsidR="00A22617" w:rsidRPr="004B2597" w:rsidP="00C24072">
      <w:pPr>
        <w:numPr>
          <w:numId w:val="12"/>
        </w:numPr>
        <w:tabs>
          <w:tab w:val="left" w:pos="709"/>
        </w:tabs>
        <w:bidi w:val="0"/>
        <w:spacing w:after="120"/>
        <w:ind w:left="714" w:hanging="357"/>
        <w:jc w:val="both"/>
        <w:rPr>
          <w:rFonts w:ascii="Times New Roman" w:hAnsi="Times New Roman"/>
          <w:b/>
          <w:color w:val="000000"/>
        </w:rPr>
      </w:pPr>
      <w:r w:rsidRPr="004B2597">
        <w:rPr>
          <w:rFonts w:ascii="Times New Roman" w:hAnsi="Times New Roman"/>
          <w:b/>
          <w:color w:val="000000"/>
        </w:rPr>
        <w:t>Nové podmienky sociálneho poistenia pre SZČO:</w:t>
      </w:r>
    </w:p>
    <w:p w:rsidR="00A22617" w:rsidRPr="004B2597" w:rsidP="005D1356">
      <w:pPr>
        <w:numPr>
          <w:numId w:val="13"/>
        </w:numPr>
        <w:tabs>
          <w:tab w:val="left" w:pos="993"/>
        </w:tabs>
        <w:bidi w:val="0"/>
        <w:spacing w:after="120"/>
        <w:ind w:left="993" w:hanging="284"/>
        <w:jc w:val="both"/>
        <w:rPr>
          <w:rFonts w:ascii="Times New Roman" w:hAnsi="Times New Roman"/>
          <w:color w:val="000000"/>
        </w:rPr>
      </w:pPr>
      <w:r w:rsidRPr="004B2597">
        <w:rPr>
          <w:rFonts w:ascii="Times New Roman" w:hAnsi="Times New Roman"/>
          <w:color w:val="000000"/>
        </w:rPr>
        <w:t>zmena sadzby poistného na sociálne poistenie na úroveň 13 %, ktorá bude pokrývať povinné dôchodkové poistenie</w:t>
      </w:r>
      <w:r>
        <w:rPr>
          <w:rFonts w:ascii="Times New Roman" w:hAnsi="Times New Roman"/>
          <w:color w:val="000000"/>
        </w:rPr>
        <w:t>,</w:t>
      </w:r>
    </w:p>
    <w:p w:rsidR="00A22617" w:rsidRPr="004B2597" w:rsidP="005D1356">
      <w:pPr>
        <w:numPr>
          <w:numId w:val="13"/>
        </w:numPr>
        <w:tabs>
          <w:tab w:val="left" w:pos="993"/>
        </w:tabs>
        <w:bidi w:val="0"/>
        <w:spacing w:after="120"/>
        <w:ind w:left="993" w:hanging="284"/>
        <w:jc w:val="both"/>
        <w:rPr>
          <w:rFonts w:ascii="Times New Roman" w:hAnsi="Times New Roman"/>
          <w:color w:val="000000"/>
        </w:rPr>
      </w:pPr>
      <w:r>
        <w:rPr>
          <w:rFonts w:ascii="Times New Roman" w:hAnsi="Times New Roman"/>
          <w:color w:val="000000"/>
        </w:rPr>
        <w:t xml:space="preserve">navrhuje sa platenie poistného na sociálne poistenie odo dňa registrácie na daňové účely spätne, ak príjem SZČO na základe daňového priznania podaného za kalendárny rok, v ktorom sa zaregistrovala, presiahne zákonom ustanovenú hranicu </w:t>
      </w:r>
      <w:r w:rsidRPr="00A86C7E">
        <w:rPr>
          <w:rFonts w:ascii="Times New Roman" w:hAnsi="Times New Roman"/>
          <w:color w:val="000000"/>
        </w:rPr>
        <w:t>(21,</w:t>
      </w:r>
      <w:r w:rsidRPr="00A86C7E" w:rsidR="00904BB2">
        <w:rPr>
          <w:rFonts w:ascii="Times New Roman" w:hAnsi="Times New Roman"/>
          <w:color w:val="000000"/>
        </w:rPr>
        <w:t>5</w:t>
      </w:r>
      <w:r w:rsidRPr="00A86C7E">
        <w:rPr>
          <w:rFonts w:ascii="Times New Roman" w:hAnsi="Times New Roman"/>
          <w:color w:val="000000"/>
        </w:rPr>
        <w:t>-násobok</w:t>
      </w:r>
      <w:r>
        <w:rPr>
          <w:rFonts w:ascii="Times New Roman" w:hAnsi="Times New Roman"/>
          <w:color w:val="000000"/>
        </w:rPr>
        <w:t xml:space="preserve"> sumy životného minima pre jednu plnoletú fyzickú osobu</w:t>
      </w:r>
      <w:r w:rsidRPr="009F6F67" w:rsidR="009F6F67">
        <w:rPr>
          <w:rFonts w:ascii="Times New Roman" w:hAnsi="Times New Roman"/>
          <w:color w:val="000000"/>
        </w:rPr>
        <w:t xml:space="preserve"> </w:t>
      </w:r>
      <w:r w:rsidRPr="008E7A7E" w:rsidR="009F6F67">
        <w:rPr>
          <w:rFonts w:ascii="Times New Roman" w:hAnsi="Times New Roman"/>
          <w:color w:val="000000"/>
        </w:rPr>
        <w:t>platnej k 1. januáru kalendárneho roka, za ktorý sa podáva daňové priznanie</w:t>
      </w:r>
      <w:r>
        <w:rPr>
          <w:rFonts w:ascii="Times New Roman" w:hAnsi="Times New Roman"/>
          <w:color w:val="000000"/>
        </w:rPr>
        <w:t xml:space="preserve">). Poistenie následne trvá až do zrušenia registrácie alebo do 30. júna kalendárneho roka nasledujúceho po kalendárnom roku, za ktorý zákonom ustanovený príjem SZČO nepresiahla, </w:t>
      </w:r>
      <w:r w:rsidRPr="004B2597">
        <w:rPr>
          <w:rFonts w:ascii="Times New Roman" w:hAnsi="Times New Roman"/>
          <w:color w:val="000000"/>
        </w:rPr>
        <w:t xml:space="preserve"> </w:t>
      </w:r>
    </w:p>
    <w:p w:rsidR="00A22617" w:rsidRPr="004B2597" w:rsidP="005D1356">
      <w:pPr>
        <w:numPr>
          <w:numId w:val="13"/>
        </w:numPr>
        <w:tabs>
          <w:tab w:val="left" w:pos="993"/>
        </w:tabs>
        <w:bidi w:val="0"/>
        <w:spacing w:after="120"/>
        <w:ind w:left="993" w:hanging="284"/>
        <w:jc w:val="both"/>
        <w:rPr>
          <w:rFonts w:ascii="Times New Roman" w:hAnsi="Times New Roman"/>
          <w:color w:val="000000"/>
        </w:rPr>
      </w:pPr>
      <w:r w:rsidRPr="004B2597">
        <w:rPr>
          <w:rFonts w:ascii="Times New Roman" w:hAnsi="Times New Roman"/>
          <w:color w:val="000000"/>
        </w:rPr>
        <w:t xml:space="preserve">nová právna úprava vymeriavacieho základu pre SZČO – navrhuje sa </w:t>
      </w:r>
      <w:r>
        <w:rPr>
          <w:rFonts w:ascii="Times New Roman" w:hAnsi="Times New Roman"/>
          <w:color w:val="000000"/>
        </w:rPr>
        <w:t xml:space="preserve">neuplatňovanie </w:t>
      </w:r>
      <w:r w:rsidRPr="004B2597">
        <w:rPr>
          <w:rFonts w:ascii="Times New Roman" w:hAnsi="Times New Roman"/>
          <w:color w:val="000000"/>
        </w:rPr>
        <w:t xml:space="preserve"> konštanty 2, t. z. že vymeriavacím základom SZČO bude jej základ dane </w:t>
      </w:r>
      <w:r w:rsidR="00904BB2">
        <w:rPr>
          <w:rFonts w:ascii="Times New Roman" w:hAnsi="Times New Roman"/>
          <w:color w:val="000000"/>
        </w:rPr>
        <w:t xml:space="preserve">z § 6 ods. 1 a 2 zákona č. 595/2003 Z. z. o dani z príjmov v znení neskorších predpisov </w:t>
      </w:r>
      <w:r w:rsidRPr="004B2597">
        <w:rPr>
          <w:rFonts w:ascii="Times New Roman" w:hAnsi="Times New Roman"/>
          <w:color w:val="000000"/>
        </w:rPr>
        <w:t>neznížený o poistné na verejné zdravotné poistenie</w:t>
      </w:r>
      <w:r w:rsidR="00904BB2">
        <w:rPr>
          <w:rFonts w:ascii="Times New Roman" w:hAnsi="Times New Roman"/>
          <w:color w:val="000000"/>
        </w:rPr>
        <w:t>,</w:t>
      </w:r>
      <w:r w:rsidRPr="004B2597">
        <w:rPr>
          <w:rFonts w:ascii="Times New Roman" w:hAnsi="Times New Roman"/>
          <w:color w:val="000000"/>
        </w:rPr>
        <w:t xml:space="preserve"> poistné na sociálne poistenie</w:t>
      </w:r>
      <w:r w:rsidR="00904BB2">
        <w:rPr>
          <w:rFonts w:ascii="Times New Roman" w:hAnsi="Times New Roman"/>
          <w:color w:val="000000"/>
        </w:rPr>
        <w:t xml:space="preserve"> a príspevky na starobné dôchodkové sporenie.</w:t>
      </w:r>
      <w:r w:rsidRPr="004B2597">
        <w:rPr>
          <w:rFonts w:ascii="Times New Roman" w:hAnsi="Times New Roman"/>
          <w:color w:val="000000"/>
        </w:rPr>
        <w:t xml:space="preserve"> </w:t>
      </w:r>
    </w:p>
    <w:p w:rsidR="00904BB2" w:rsidRPr="00B9559B" w:rsidP="00A86C7E">
      <w:pPr>
        <w:numPr>
          <w:numId w:val="13"/>
        </w:numPr>
        <w:tabs>
          <w:tab w:val="left" w:pos="993"/>
        </w:tabs>
        <w:bidi w:val="0"/>
        <w:spacing w:after="120"/>
        <w:ind w:left="993" w:hanging="284"/>
        <w:jc w:val="both"/>
        <w:rPr>
          <w:rFonts w:ascii="Times New Roman" w:hAnsi="Times New Roman"/>
          <w:color w:val="000000"/>
        </w:rPr>
      </w:pPr>
      <w:r w:rsidR="00A22617">
        <w:rPr>
          <w:rFonts w:ascii="Times New Roman" w:hAnsi="Times New Roman"/>
          <w:color w:val="000000"/>
        </w:rPr>
        <w:t>novo sa ustanovu</w:t>
      </w:r>
      <w:r w:rsidR="00D10182">
        <w:rPr>
          <w:rFonts w:ascii="Times New Roman" w:hAnsi="Times New Roman"/>
          <w:color w:val="000000"/>
        </w:rPr>
        <w:t>je minimálny vymeriavací základ</w:t>
      </w:r>
      <w:r w:rsidRPr="004B2597" w:rsidR="00A22617">
        <w:rPr>
          <w:rFonts w:ascii="Times New Roman" w:hAnsi="Times New Roman"/>
          <w:color w:val="000000"/>
        </w:rPr>
        <w:t xml:space="preserve"> zo súčasných 44,2 % priemernej mesačnej mzdy spred dvoch rokov na 3,3</w:t>
      </w:r>
      <w:r w:rsidR="00A22617">
        <w:rPr>
          <w:rFonts w:ascii="Times New Roman" w:hAnsi="Times New Roman"/>
          <w:color w:val="000000"/>
        </w:rPr>
        <w:t>-</w:t>
      </w:r>
      <w:r w:rsidRPr="004B2597" w:rsidR="00A22617">
        <w:rPr>
          <w:rFonts w:ascii="Times New Roman" w:hAnsi="Times New Roman"/>
          <w:color w:val="000000"/>
        </w:rPr>
        <w:t>násobok sumy životného minima pre jednu plnoletú fyzickú osobu</w:t>
      </w:r>
      <w:r>
        <w:rPr>
          <w:rFonts w:ascii="Times New Roman" w:hAnsi="Times New Roman"/>
          <w:color w:val="000000"/>
        </w:rPr>
        <w:t xml:space="preserve"> platnej k 1. januáru kalendárneho roka, za ktorý sa platí poistné na sociálne poistenie.</w:t>
      </w:r>
    </w:p>
    <w:p w:rsidR="00A22617" w:rsidP="00F35E7B">
      <w:pPr>
        <w:bidi w:val="0"/>
        <w:ind w:left="1440"/>
        <w:jc w:val="both"/>
        <w:rPr>
          <w:rFonts w:ascii="Times New Roman" w:hAnsi="Times New Roman"/>
          <w:color w:val="000000"/>
        </w:rPr>
      </w:pPr>
    </w:p>
    <w:p w:rsidR="00A22617" w:rsidRPr="004B2597" w:rsidP="00C24072">
      <w:pPr>
        <w:numPr>
          <w:numId w:val="12"/>
        </w:numPr>
        <w:tabs>
          <w:tab w:val="left" w:pos="709"/>
        </w:tabs>
        <w:bidi w:val="0"/>
        <w:spacing w:after="120"/>
        <w:ind w:left="714" w:hanging="357"/>
        <w:jc w:val="both"/>
        <w:rPr>
          <w:rFonts w:ascii="Times New Roman" w:hAnsi="Times New Roman"/>
          <w:b/>
          <w:color w:val="000000"/>
        </w:rPr>
      </w:pPr>
      <w:r w:rsidRPr="004B2597">
        <w:rPr>
          <w:rFonts w:ascii="Times New Roman" w:hAnsi="Times New Roman"/>
          <w:b/>
          <w:color w:val="000000"/>
        </w:rPr>
        <w:t>Úprava dobrovoľného poistenia na účely sociálneho poistenia:</w:t>
      </w:r>
    </w:p>
    <w:p w:rsidR="00A22617" w:rsidRPr="004B2597" w:rsidP="005D1356">
      <w:pPr>
        <w:numPr>
          <w:numId w:val="14"/>
        </w:numPr>
        <w:tabs>
          <w:tab w:val="left" w:pos="993"/>
        </w:tabs>
        <w:bidi w:val="0"/>
        <w:spacing w:after="120"/>
        <w:ind w:left="993" w:hanging="284"/>
        <w:jc w:val="both"/>
        <w:rPr>
          <w:rFonts w:ascii="Times New Roman" w:hAnsi="Times New Roman"/>
          <w:color w:val="000000"/>
        </w:rPr>
      </w:pPr>
      <w:r w:rsidRPr="004B2597">
        <w:rPr>
          <w:rFonts w:ascii="Times New Roman" w:hAnsi="Times New Roman"/>
          <w:color w:val="000000"/>
        </w:rPr>
        <w:t>dobrovoľné sociálne poistenie v plnom rozsahu so sadzbou 19 %</w:t>
      </w:r>
      <w:r w:rsidR="00A05F3C">
        <w:rPr>
          <w:rFonts w:ascii="Times New Roman" w:hAnsi="Times New Roman"/>
          <w:color w:val="000000"/>
        </w:rPr>
        <w:t xml:space="preserve"> alebo so sadzbou 10 % na dôchodkové poistenie na účely starobného poistenia</w:t>
      </w:r>
      <w:r w:rsidRPr="004B2597">
        <w:rPr>
          <w:rFonts w:ascii="Times New Roman" w:hAnsi="Times New Roman"/>
          <w:color w:val="000000"/>
        </w:rPr>
        <w:t xml:space="preserve"> bude môcť využiť fyzická osoba, ktorá nie je povinne sociálne poistená a splní zákonom ustanovené podmienky,</w:t>
      </w:r>
    </w:p>
    <w:p w:rsidR="00A22617" w:rsidRPr="004B2597" w:rsidP="005D1356">
      <w:pPr>
        <w:numPr>
          <w:numId w:val="14"/>
        </w:numPr>
        <w:tabs>
          <w:tab w:val="left" w:pos="993"/>
        </w:tabs>
        <w:bidi w:val="0"/>
        <w:spacing w:after="120"/>
        <w:ind w:left="993" w:hanging="284"/>
        <w:jc w:val="both"/>
        <w:rPr>
          <w:rFonts w:ascii="Times New Roman" w:hAnsi="Times New Roman"/>
          <w:color w:val="000000"/>
        </w:rPr>
      </w:pPr>
      <w:r w:rsidRPr="004B2597">
        <w:rPr>
          <w:rFonts w:ascii="Times New Roman" w:hAnsi="Times New Roman"/>
          <w:color w:val="000000"/>
        </w:rPr>
        <w:t>umožní sa len súbeh povinného dôchodkového poistenia na účely starobného poistenia s dobrovoľným dôchodkovým poistením na účely starobného poistenia (so sadzbou 10 % - napr. pre zamestnanca a SZČO, ktorí budú mať záujem si dobrovoľne priplácať na starobné poistenie),</w:t>
      </w:r>
    </w:p>
    <w:p w:rsidR="00A22617" w:rsidRPr="004B2597" w:rsidP="005D1356">
      <w:pPr>
        <w:numPr>
          <w:numId w:val="14"/>
        </w:numPr>
        <w:tabs>
          <w:tab w:val="left" w:pos="993"/>
        </w:tabs>
        <w:bidi w:val="0"/>
        <w:spacing w:after="120"/>
        <w:ind w:left="993" w:hanging="284"/>
        <w:jc w:val="both"/>
        <w:rPr>
          <w:rFonts w:ascii="Times New Roman" w:hAnsi="Times New Roman"/>
          <w:color w:val="000000"/>
        </w:rPr>
      </w:pPr>
      <w:r w:rsidRPr="004B2597">
        <w:rPr>
          <w:rFonts w:ascii="Times New Roman" w:hAnsi="Times New Roman"/>
          <w:color w:val="000000"/>
        </w:rPr>
        <w:t>dobrovoľné nemocenské poistenie a dobrovoľné poistenie v nezamestnanosti bude môcť využiť len poistenec, ktorý je povinne dôchodkovo poistený (so sadzbou 6 % - určené pre SZČO, ktorým podľa navrhovaného stavu nevzniká povinné nemocenské poistenie),</w:t>
      </w:r>
    </w:p>
    <w:p w:rsidR="00A22617" w:rsidRPr="004B2597" w:rsidP="005D1356">
      <w:pPr>
        <w:numPr>
          <w:numId w:val="14"/>
        </w:numPr>
        <w:tabs>
          <w:tab w:val="left" w:pos="993"/>
        </w:tabs>
        <w:bidi w:val="0"/>
        <w:spacing w:after="120"/>
        <w:ind w:left="993" w:hanging="284"/>
        <w:jc w:val="both"/>
        <w:rPr>
          <w:rFonts w:ascii="Times New Roman" w:hAnsi="Times New Roman"/>
          <w:color w:val="000000"/>
        </w:rPr>
      </w:pPr>
      <w:r w:rsidRPr="004B2597">
        <w:rPr>
          <w:rFonts w:ascii="Times New Roman" w:hAnsi="Times New Roman"/>
          <w:color w:val="000000"/>
        </w:rPr>
        <w:t>dobrovoľné nemocenské poistenie, dobrovoľné poistenie v nezamestnanosti a dobrovoľné dôchodkové poistenie na účely invalidného poistenia bude môcť využiť len poistenec, ktorý je povinne dôchodkovo poistený na účely starobného poistenia (so sadzbou 9 % - určené najmä pre dohodárov, ktorým navrhovaná sadzba na povinné sociálne poistenie pokrýva iba dôchodkové poistenie na účely starobného poistenia).</w:t>
      </w:r>
    </w:p>
    <w:p w:rsidR="00A22617" w:rsidRPr="004B2597" w:rsidP="00F35E7B">
      <w:pPr>
        <w:bidi w:val="0"/>
        <w:ind w:left="1440"/>
        <w:jc w:val="both"/>
        <w:rPr>
          <w:rFonts w:ascii="Times New Roman" w:hAnsi="Times New Roman"/>
          <w:color w:val="000000"/>
        </w:rPr>
      </w:pPr>
    </w:p>
    <w:p w:rsidR="00A22617" w:rsidRPr="00B9559B" w:rsidP="00221271">
      <w:pPr>
        <w:numPr>
          <w:numId w:val="12"/>
        </w:numPr>
        <w:tabs>
          <w:tab w:val="left" w:pos="709"/>
        </w:tabs>
        <w:bidi w:val="0"/>
        <w:spacing w:after="120"/>
        <w:ind w:left="714" w:hanging="357"/>
        <w:jc w:val="both"/>
        <w:rPr>
          <w:rFonts w:ascii="Times New Roman" w:hAnsi="Times New Roman"/>
          <w:color w:val="000000"/>
        </w:rPr>
      </w:pPr>
      <w:r w:rsidRPr="004B2597">
        <w:rPr>
          <w:rFonts w:ascii="Times New Roman" w:hAnsi="Times New Roman"/>
          <w:b/>
          <w:color w:val="000000"/>
        </w:rPr>
        <w:t>Zavedenie maximálneho poistného na sociálne poistenie</w:t>
      </w:r>
      <w:r w:rsidRPr="004B2597">
        <w:rPr>
          <w:rFonts w:ascii="Times New Roman" w:hAnsi="Times New Roman"/>
          <w:color w:val="000000"/>
        </w:rPr>
        <w:t xml:space="preserve">, ktorého cieľom je zavedenie jednotnej sumy maximálneho ročného poistného </w:t>
      </w:r>
      <w:r w:rsidRPr="00094A03">
        <w:rPr>
          <w:rFonts w:ascii="Times New Roman" w:hAnsi="Times New Roman"/>
          <w:color w:val="000000"/>
        </w:rPr>
        <w:t>na úrovni 47,</w:t>
      </w:r>
      <w:r w:rsidRPr="00940393">
        <w:rPr>
          <w:rFonts w:ascii="Times New Roman" w:hAnsi="Times New Roman"/>
          <w:color w:val="000000"/>
        </w:rPr>
        <w:t>171</w:t>
      </w:r>
      <w:r w:rsidR="00F82CA6">
        <w:rPr>
          <w:rFonts w:ascii="Times New Roman" w:hAnsi="Times New Roman"/>
          <w:color w:val="000000"/>
        </w:rPr>
        <w:t>6</w:t>
      </w:r>
      <w:r w:rsidRPr="00094A03">
        <w:rPr>
          <w:rFonts w:ascii="Times New Roman" w:hAnsi="Times New Roman"/>
          <w:color w:val="000000"/>
        </w:rPr>
        <w:t>-násobku sumy životného minima pre jednu plnoletú fyzickú osobu</w:t>
      </w:r>
      <w:r w:rsidR="0087740B">
        <w:rPr>
          <w:rFonts w:ascii="Times New Roman" w:hAnsi="Times New Roman"/>
          <w:color w:val="000000"/>
        </w:rPr>
        <w:t xml:space="preserve"> platnú k 1. </w:t>
      </w:r>
      <w:r w:rsidR="00E1104D">
        <w:rPr>
          <w:rFonts w:ascii="Times New Roman" w:hAnsi="Times New Roman"/>
          <w:color w:val="000000"/>
        </w:rPr>
        <w:t>j</w:t>
      </w:r>
      <w:r w:rsidR="0087740B">
        <w:rPr>
          <w:rFonts w:ascii="Times New Roman" w:hAnsi="Times New Roman"/>
          <w:color w:val="000000"/>
        </w:rPr>
        <w:t xml:space="preserve">anuáru kalendárneho roka, za ktorý sa platí poistné. Z </w:t>
      </w:r>
      <w:r w:rsidRPr="00221271">
        <w:rPr>
          <w:rFonts w:ascii="Times New Roman" w:hAnsi="Times New Roman"/>
          <w:color w:val="000000"/>
        </w:rPr>
        <w:t>uvede</w:t>
      </w:r>
      <w:r w:rsidRPr="00B9559B">
        <w:rPr>
          <w:rFonts w:ascii="Times New Roman" w:hAnsi="Times New Roman"/>
          <w:color w:val="000000"/>
        </w:rPr>
        <w:t>ného vyplýva, že dochádza k zjednoteniu výšky maximálnych vymeriavacích základov na sociálne poistenie s výnimkou úrazového poistenia, na ktoré sa bude naďalej vzťahovať neobmedzený vymeriavací základ.</w:t>
      </w:r>
    </w:p>
    <w:p w:rsidR="00A22617" w:rsidRPr="00661C9A" w:rsidP="00A86C7E">
      <w:pPr>
        <w:numPr>
          <w:numId w:val="12"/>
        </w:numPr>
        <w:tabs>
          <w:tab w:val="left" w:pos="709"/>
        </w:tabs>
        <w:bidi w:val="0"/>
        <w:spacing w:after="120"/>
        <w:ind w:left="714" w:hanging="357"/>
        <w:jc w:val="both"/>
        <w:rPr>
          <w:rFonts w:ascii="Times New Roman" w:hAnsi="Times New Roman"/>
          <w:color w:val="000000"/>
        </w:rPr>
      </w:pPr>
      <w:r w:rsidRPr="004B2597">
        <w:rPr>
          <w:rFonts w:ascii="Times New Roman" w:hAnsi="Times New Roman"/>
          <w:b/>
          <w:color w:val="000000"/>
        </w:rPr>
        <w:t>Poskytovanie garančnej dávky ako štátnej sociálnej dávky a úhrada neodvedených príspevkov zamestnávateľom na starobné dôchodkové sporenie zo štátneho rozpočtu.</w:t>
      </w:r>
      <w:r w:rsidRPr="004B2597">
        <w:rPr>
          <w:rFonts w:ascii="Times New Roman" w:hAnsi="Times New Roman"/>
          <w:color w:val="000000"/>
        </w:rPr>
        <w:t xml:space="preserve"> Garančná dávka sa bude poskytovať naďalej v súčasnej podobe, pričom výdavky na predmetnú dávku budú uhrádzané zo štátneho rozpočtu prostredníctvom transferu kapitoly MPSVR SR Sociálnej poisťovni. Príspevky na starobné dôchodkové sporenie, ktoré neodvedie zamestnávateľ za svojich zamestnancov</w:t>
      </w:r>
      <w:r>
        <w:rPr>
          <w:rFonts w:ascii="Times New Roman" w:hAnsi="Times New Roman"/>
          <w:color w:val="000000"/>
        </w:rPr>
        <w:t>,</w:t>
      </w:r>
      <w:r w:rsidRPr="004B2597">
        <w:rPr>
          <w:rFonts w:ascii="Times New Roman" w:hAnsi="Times New Roman"/>
          <w:color w:val="000000"/>
        </w:rPr>
        <w:t xml:space="preserve"> budú hradené zo štátneho rozpočtu prostredníctvom transferu kapitoly MF SR Sociálnej poisťovni.</w:t>
      </w:r>
    </w:p>
    <w:p w:rsidR="00A22617" w:rsidRPr="00661C9A" w:rsidP="00A86C7E">
      <w:pPr>
        <w:numPr>
          <w:numId w:val="12"/>
        </w:numPr>
        <w:tabs>
          <w:tab w:val="left" w:pos="709"/>
        </w:tabs>
        <w:bidi w:val="0"/>
        <w:spacing w:after="120"/>
        <w:ind w:left="714" w:hanging="357"/>
        <w:jc w:val="both"/>
        <w:rPr>
          <w:rFonts w:ascii="Times New Roman" w:hAnsi="Times New Roman"/>
          <w:color w:val="000000"/>
        </w:rPr>
      </w:pPr>
      <w:r w:rsidRPr="006727E0">
        <w:rPr>
          <w:rFonts w:ascii="Times New Roman" w:hAnsi="Times New Roman"/>
          <w:b/>
          <w:color w:val="000000"/>
        </w:rPr>
        <w:t xml:space="preserve">Diferencovaná výška dávky v nezamestnanosti </w:t>
      </w:r>
      <w:r w:rsidRPr="00A86C7E">
        <w:rPr>
          <w:rFonts w:ascii="Times New Roman" w:hAnsi="Times New Roman"/>
          <w:color w:val="000000"/>
        </w:rPr>
        <w:t xml:space="preserve">– výška dávky v nezamestnanosti bude odstupňovaná, najvyššia bude prvé dva mesiace a najnižšia posledné dva mesiace. Dĺžka podporného obdobia ostáva nezmenená, t. j. 6 mesiacov a zároveň ostáva nezmenená výška dávky pre tzv. sezónnych pracovníkov. </w:t>
      </w:r>
    </w:p>
    <w:p w:rsidR="00A22617" w:rsidRPr="004B2597" w:rsidP="00C24072">
      <w:pPr>
        <w:numPr>
          <w:numId w:val="12"/>
        </w:numPr>
        <w:tabs>
          <w:tab w:val="left" w:pos="709"/>
        </w:tabs>
        <w:bidi w:val="0"/>
        <w:spacing w:after="120"/>
        <w:ind w:left="714" w:hanging="357"/>
        <w:jc w:val="both"/>
        <w:rPr>
          <w:rFonts w:ascii="Times New Roman" w:hAnsi="Times New Roman"/>
          <w:color w:val="000000"/>
        </w:rPr>
      </w:pPr>
      <w:r w:rsidRPr="004B2597">
        <w:rPr>
          <w:rFonts w:ascii="Times New Roman" w:hAnsi="Times New Roman"/>
          <w:b/>
          <w:color w:val="000000"/>
        </w:rPr>
        <w:t xml:space="preserve">Prispôsobenie sadzby poistného na sociálne poistenie platenej štátom a Sociálnou poisťovňou za zákonom ustanovený okruh osôb </w:t>
      </w:r>
      <w:r w:rsidRPr="004B2597">
        <w:rPr>
          <w:rFonts w:ascii="Times New Roman" w:hAnsi="Times New Roman"/>
          <w:color w:val="000000"/>
        </w:rPr>
        <w:t>– percentuálna sadzba poistného platená štátom sa navrhuje zmeniť zo súčasných 26 % na 19 % a v prípade Sociálnej poisťovne zo súčasných 18 % na 19 %. Okruh poistencov štátu a Sociálnej poisťovne ostáva nezmenený rovnako ako vymeriavací základ na účely platby štátu a Sociálnej poisťovne.</w:t>
      </w:r>
    </w:p>
    <w:p w:rsidR="00C44944" w:rsidP="0042706F">
      <w:pPr>
        <w:numPr>
          <w:numId w:val="12"/>
        </w:numPr>
        <w:tabs>
          <w:tab w:val="left" w:pos="709"/>
        </w:tabs>
        <w:bidi w:val="0"/>
        <w:spacing w:after="120"/>
        <w:ind w:left="714" w:hanging="357"/>
        <w:jc w:val="both"/>
        <w:rPr>
          <w:rFonts w:ascii="Times New Roman" w:hAnsi="Times New Roman"/>
          <w:b/>
          <w:color w:val="000000"/>
        </w:rPr>
      </w:pPr>
      <w:r w:rsidRPr="00C44944" w:rsidR="00233079">
        <w:rPr>
          <w:rFonts w:ascii="Times New Roman" w:hAnsi="Times New Roman"/>
          <w:b/>
          <w:color w:val="000000"/>
        </w:rPr>
        <w:t>Postupný prechod na valorizačný mechanizmus prostredníctvom dôchodcovskej inflácie</w:t>
      </w:r>
      <w:r>
        <w:rPr>
          <w:rFonts w:ascii="Times New Roman" w:hAnsi="Times New Roman"/>
          <w:b/>
          <w:color w:val="000000"/>
        </w:rPr>
        <w:t xml:space="preserve"> s účinnosťou od 1. januára 2017</w:t>
      </w:r>
      <w:r w:rsidRPr="00C44944" w:rsidR="00233079">
        <w:rPr>
          <w:rFonts w:ascii="Times New Roman" w:hAnsi="Times New Roman"/>
          <w:b/>
          <w:color w:val="000000"/>
        </w:rPr>
        <w:t xml:space="preserve">, pričom počas prechodného obdobia </w:t>
      </w:r>
      <w:r w:rsidRPr="00C44944" w:rsidR="00233079">
        <w:rPr>
          <w:rFonts w:ascii="Times New Roman" w:hAnsi="Times New Roman"/>
          <w:color w:val="000000"/>
        </w:rPr>
        <w:t>(</w:t>
      </w:r>
      <w:r>
        <w:rPr>
          <w:rFonts w:ascii="Times New Roman" w:hAnsi="Times New Roman"/>
          <w:color w:val="000000"/>
        </w:rPr>
        <w:t xml:space="preserve">od roku 2013 </w:t>
      </w:r>
      <w:r w:rsidRPr="00C44944" w:rsidR="00233079">
        <w:rPr>
          <w:rFonts w:ascii="Times New Roman" w:hAnsi="Times New Roman"/>
          <w:color w:val="000000"/>
        </w:rPr>
        <w:t>do konca roku 2016)</w:t>
      </w:r>
      <w:r w:rsidRPr="00C44944" w:rsidR="00233079">
        <w:rPr>
          <w:rFonts w:ascii="Times New Roman" w:hAnsi="Times New Roman"/>
          <w:b/>
          <w:color w:val="000000"/>
        </w:rPr>
        <w:t xml:space="preserve"> sa budú dôchodkové dávky</w:t>
      </w:r>
      <w:r w:rsidRPr="00C44944" w:rsidR="00167C70">
        <w:rPr>
          <w:rFonts w:ascii="Times New Roman" w:hAnsi="Times New Roman"/>
          <w:b/>
          <w:color w:val="000000"/>
        </w:rPr>
        <w:t xml:space="preserve"> </w:t>
      </w:r>
      <w:r w:rsidRPr="00C44944" w:rsidR="00233079">
        <w:rPr>
          <w:rFonts w:ascii="Times New Roman" w:hAnsi="Times New Roman"/>
          <w:b/>
          <w:color w:val="000000"/>
        </w:rPr>
        <w:t xml:space="preserve"> zvyšovať o pevnú sumu ustanovenú v závislosti od priemerného medziročného rastu dôchodcovskej inflácie </w:t>
      </w:r>
      <w:r w:rsidRPr="00C44944" w:rsidR="00357038">
        <w:rPr>
          <w:rFonts w:ascii="Times New Roman" w:hAnsi="Times New Roman"/>
          <w:b/>
          <w:color w:val="000000"/>
        </w:rPr>
        <w:t>a priemernej mesačnej sumy</w:t>
      </w:r>
    </w:p>
    <w:p w:rsidR="00C44944" w:rsidP="0042706F">
      <w:pPr>
        <w:numPr>
          <w:ilvl w:val="1"/>
          <w:numId w:val="12"/>
        </w:numPr>
        <w:tabs>
          <w:tab w:val="left" w:pos="709"/>
        </w:tabs>
        <w:bidi w:val="0"/>
        <w:spacing w:after="120"/>
        <w:jc w:val="both"/>
        <w:rPr>
          <w:rFonts w:ascii="Times New Roman" w:hAnsi="Times New Roman"/>
          <w:b/>
          <w:color w:val="000000"/>
        </w:rPr>
      </w:pPr>
      <w:r w:rsidRPr="00C44944" w:rsidR="00357038">
        <w:rPr>
          <w:rFonts w:ascii="Times New Roman" w:hAnsi="Times New Roman"/>
          <w:b/>
          <w:color w:val="000000"/>
        </w:rPr>
        <w:t>starobného dôchodku</w:t>
      </w:r>
      <w:r w:rsidR="00704438">
        <w:rPr>
          <w:rFonts w:ascii="Times New Roman" w:hAnsi="Times New Roman"/>
          <w:b/>
          <w:color w:val="000000"/>
        </w:rPr>
        <w:t xml:space="preserve"> a predčasného starobného dôchodku</w:t>
      </w:r>
      <w:r>
        <w:rPr>
          <w:rFonts w:ascii="Times New Roman" w:hAnsi="Times New Roman"/>
          <w:b/>
          <w:color w:val="000000"/>
        </w:rPr>
        <w:t xml:space="preserve"> v prípade starobných dôchodkov a predčasných starobných dôchodkov; </w:t>
      </w:r>
    </w:p>
    <w:p w:rsidR="00C44944" w:rsidP="0042706F">
      <w:pPr>
        <w:numPr>
          <w:ilvl w:val="1"/>
          <w:numId w:val="12"/>
        </w:numPr>
        <w:tabs>
          <w:tab w:val="left" w:pos="709"/>
        </w:tabs>
        <w:bidi w:val="0"/>
        <w:spacing w:after="120"/>
        <w:jc w:val="both"/>
        <w:rPr>
          <w:rFonts w:ascii="Times New Roman" w:hAnsi="Times New Roman"/>
          <w:b/>
          <w:color w:val="000000"/>
        </w:rPr>
      </w:pPr>
      <w:r>
        <w:rPr>
          <w:rFonts w:ascii="Times New Roman" w:hAnsi="Times New Roman"/>
          <w:b/>
          <w:color w:val="000000"/>
        </w:rPr>
        <w:t>invalidného dôchodku do 70 % v prípade tzv. čiastočných invalidných dôchodkov;</w:t>
      </w:r>
    </w:p>
    <w:p w:rsidR="00C44944" w:rsidP="0042706F">
      <w:pPr>
        <w:numPr>
          <w:ilvl w:val="1"/>
          <w:numId w:val="12"/>
        </w:numPr>
        <w:tabs>
          <w:tab w:val="left" w:pos="709"/>
        </w:tabs>
        <w:bidi w:val="0"/>
        <w:spacing w:after="120"/>
        <w:jc w:val="both"/>
        <w:rPr>
          <w:rFonts w:ascii="Times New Roman" w:hAnsi="Times New Roman"/>
          <w:b/>
          <w:color w:val="000000"/>
        </w:rPr>
      </w:pPr>
      <w:r>
        <w:rPr>
          <w:rFonts w:ascii="Times New Roman" w:hAnsi="Times New Roman"/>
          <w:b/>
          <w:color w:val="000000"/>
        </w:rPr>
        <w:t>invalidného dôchodku nad 70 % v prípade tzv. plných invalidných dôchodkov.</w:t>
      </w:r>
    </w:p>
    <w:p w:rsidR="009A5D35" w:rsidRPr="00C44944" w:rsidP="0042706F">
      <w:pPr>
        <w:tabs>
          <w:tab w:val="left" w:pos="709"/>
        </w:tabs>
        <w:bidi w:val="0"/>
        <w:spacing w:after="120"/>
        <w:ind w:left="709"/>
        <w:jc w:val="both"/>
        <w:rPr>
          <w:rFonts w:ascii="Times New Roman" w:hAnsi="Times New Roman"/>
          <w:b/>
          <w:color w:val="000000"/>
        </w:rPr>
      </w:pPr>
      <w:r w:rsidR="00C44944">
        <w:rPr>
          <w:rFonts w:ascii="Times New Roman" w:hAnsi="Times New Roman"/>
          <w:b/>
          <w:color w:val="000000"/>
        </w:rPr>
        <w:t>Na vdovské dôchodky a vdovecké dôchodky sa bude vzťahovať 60 % pevnej sumy pre poberateľov starobného dôchodku a na sirotské dôchodky 40 % pevnej sumy pre poberateľov starobného dôchodku.</w:t>
      </w:r>
      <w:r w:rsidRPr="00C44944" w:rsidR="00233079">
        <w:rPr>
          <w:rFonts w:ascii="Times New Roman" w:hAnsi="Times New Roman"/>
          <w:b/>
          <w:color w:val="000000"/>
        </w:rPr>
        <w:t xml:space="preserve"> </w:t>
      </w:r>
      <w:r w:rsidRPr="00C44944" w:rsidR="00233079">
        <w:rPr>
          <w:rFonts w:ascii="Times New Roman" w:hAnsi="Times New Roman"/>
          <w:color w:val="000000"/>
        </w:rPr>
        <w:t xml:space="preserve">Úrazové dávky </w:t>
      </w:r>
      <w:r w:rsidRPr="00C44944" w:rsidR="00357038">
        <w:rPr>
          <w:rFonts w:ascii="Times New Roman" w:hAnsi="Times New Roman"/>
          <w:color w:val="000000"/>
        </w:rPr>
        <w:t>sa navrhuje priamo valorizovať v závislosti od percenta medziročného rastu spotrebiteľských cien s účinnosťou od 1. januára 2013.</w:t>
      </w:r>
    </w:p>
    <w:p w:rsidR="00A22617" w:rsidRPr="00915A63" w:rsidP="00C24072">
      <w:pPr>
        <w:numPr>
          <w:numId w:val="12"/>
        </w:numPr>
        <w:tabs>
          <w:tab w:val="left" w:pos="709"/>
        </w:tabs>
        <w:bidi w:val="0"/>
        <w:spacing w:after="120"/>
        <w:ind w:left="714" w:hanging="357"/>
        <w:jc w:val="both"/>
        <w:rPr>
          <w:rFonts w:ascii="Times New Roman" w:hAnsi="Times New Roman"/>
          <w:color w:val="000000"/>
        </w:rPr>
      </w:pPr>
      <w:r w:rsidRPr="00915A63">
        <w:rPr>
          <w:rFonts w:ascii="Times New Roman" w:hAnsi="Times New Roman"/>
          <w:b/>
          <w:color w:val="000000"/>
        </w:rPr>
        <w:t>Zakomponovanie automatických stabilizátorov do dôchodkového poistenia</w:t>
      </w:r>
      <w:r w:rsidRPr="00B519D9">
        <w:rPr>
          <w:rFonts w:ascii="Times New Roman" w:hAnsi="Times New Roman"/>
          <w:b/>
          <w:color w:val="000000"/>
        </w:rPr>
        <w:t>, ktorých účinn</w:t>
      </w:r>
      <w:r w:rsidRPr="00915A63">
        <w:rPr>
          <w:rFonts w:ascii="Times New Roman" w:hAnsi="Times New Roman"/>
          <w:color w:val="000000"/>
        </w:rPr>
        <w:t>osť sa navrhuje od roku 2016, a to:</w:t>
      </w:r>
    </w:p>
    <w:p w:rsidR="00A22617" w:rsidRPr="00915A63" w:rsidP="00C24072">
      <w:pPr>
        <w:numPr>
          <w:numId w:val="15"/>
        </w:numPr>
        <w:bidi w:val="0"/>
        <w:spacing w:after="120"/>
        <w:ind w:left="1434" w:hanging="357"/>
        <w:jc w:val="both"/>
        <w:rPr>
          <w:rFonts w:ascii="Times New Roman" w:hAnsi="Times New Roman"/>
          <w:color w:val="000000"/>
        </w:rPr>
      </w:pPr>
      <w:r w:rsidRPr="00915A63">
        <w:rPr>
          <w:rFonts w:ascii="Times New Roman" w:hAnsi="Times New Roman"/>
          <w:color w:val="000000"/>
        </w:rPr>
        <w:t xml:space="preserve">úprava dôchodkového veku v závislosti od určeného demografického </w:t>
      </w:r>
      <w:r w:rsidRPr="00915A63" w:rsidR="005205C4">
        <w:rPr>
          <w:rFonts w:ascii="Times New Roman" w:hAnsi="Times New Roman"/>
          <w:color w:val="000000"/>
        </w:rPr>
        <w:t>ukazovateľa</w:t>
      </w:r>
      <w:r w:rsidRPr="00915A63">
        <w:rPr>
          <w:rFonts w:ascii="Times New Roman" w:hAnsi="Times New Roman"/>
          <w:color w:val="000000"/>
        </w:rPr>
        <w:t>,</w:t>
      </w:r>
    </w:p>
    <w:p w:rsidR="00A22617" w:rsidRPr="005E6C58" w:rsidP="00C24072">
      <w:pPr>
        <w:numPr>
          <w:numId w:val="15"/>
        </w:numPr>
        <w:bidi w:val="0"/>
        <w:spacing w:after="120"/>
        <w:ind w:left="1434" w:hanging="357"/>
        <w:jc w:val="both"/>
        <w:rPr>
          <w:rFonts w:ascii="Times New Roman" w:hAnsi="Times New Roman"/>
          <w:color w:val="000000"/>
        </w:rPr>
      </w:pPr>
      <w:r w:rsidRPr="00915A63">
        <w:rPr>
          <w:rFonts w:ascii="Times New Roman" w:hAnsi="Times New Roman"/>
          <w:color w:val="000000"/>
        </w:rPr>
        <w:t>prispôsobovanie dôchodkovej hodnoty určenému</w:t>
      </w:r>
      <w:r w:rsidRPr="005E6C58">
        <w:rPr>
          <w:rFonts w:ascii="Times New Roman" w:hAnsi="Times New Roman"/>
          <w:color w:val="000000"/>
        </w:rPr>
        <w:t> demografickému</w:t>
      </w:r>
      <w:r w:rsidRPr="005E6C58" w:rsidR="001D7210">
        <w:rPr>
          <w:rFonts w:ascii="Times New Roman" w:hAnsi="Times New Roman"/>
          <w:color w:val="000000"/>
        </w:rPr>
        <w:t xml:space="preserve"> </w:t>
      </w:r>
      <w:r w:rsidRPr="005E6C58">
        <w:rPr>
          <w:rFonts w:ascii="Times New Roman" w:hAnsi="Times New Roman"/>
          <w:color w:val="000000"/>
        </w:rPr>
        <w:t>ukazovateľu.</w:t>
      </w:r>
    </w:p>
    <w:p w:rsidR="00A22617" w:rsidRPr="004B2597" w:rsidP="00C24072">
      <w:pPr>
        <w:tabs>
          <w:tab w:val="left" w:pos="709"/>
        </w:tabs>
        <w:bidi w:val="0"/>
        <w:spacing w:after="120"/>
        <w:ind w:left="714"/>
        <w:jc w:val="both"/>
        <w:rPr>
          <w:rFonts w:ascii="Times New Roman" w:hAnsi="Times New Roman"/>
          <w:color w:val="000000"/>
        </w:rPr>
      </w:pPr>
      <w:r w:rsidRPr="005E6C58">
        <w:rPr>
          <w:rFonts w:ascii="Times New Roman" w:hAnsi="Times New Roman"/>
          <w:color w:val="000000"/>
        </w:rPr>
        <w:t>Uvedené zmeny nie sú kvantifikované v do</w:t>
      </w:r>
      <w:r w:rsidRPr="00915A63">
        <w:rPr>
          <w:rFonts w:ascii="Times New Roman" w:hAnsi="Times New Roman"/>
          <w:color w:val="000000"/>
        </w:rPr>
        <w:t>ložke vybraných vplyvov z dôvodu, že ich účinnosť s</w:t>
      </w:r>
      <w:r w:rsidRPr="004B2597">
        <w:rPr>
          <w:rFonts w:ascii="Times New Roman" w:hAnsi="Times New Roman"/>
          <w:color w:val="000000"/>
        </w:rPr>
        <w:t>a navrhuje až od roku 2016.</w:t>
      </w:r>
    </w:p>
    <w:p w:rsidR="00A22617" w:rsidRPr="004B2597" w:rsidP="00C24072">
      <w:pPr>
        <w:numPr>
          <w:numId w:val="12"/>
        </w:numPr>
        <w:tabs>
          <w:tab w:val="left" w:pos="709"/>
        </w:tabs>
        <w:bidi w:val="0"/>
        <w:spacing w:after="120"/>
        <w:ind w:left="714" w:hanging="357"/>
        <w:jc w:val="both"/>
        <w:rPr>
          <w:rFonts w:ascii="Times New Roman" w:hAnsi="Times New Roman"/>
          <w:b/>
          <w:color w:val="000000"/>
        </w:rPr>
      </w:pPr>
      <w:r>
        <w:rPr>
          <w:rFonts w:ascii="Times New Roman" w:hAnsi="Times New Roman"/>
          <w:b/>
          <w:bCs/>
          <w:color w:val="000000"/>
        </w:rPr>
        <w:t>Rozšírenie použitia OMB v hodnote 0,67 na vybraných poistencov vo veku do 20 rokov</w:t>
      </w:r>
      <w:r w:rsidRPr="004B2597">
        <w:rPr>
          <w:rFonts w:ascii="Times New Roman" w:hAnsi="Times New Roman"/>
          <w:b/>
          <w:color w:val="000000"/>
        </w:rPr>
        <w:t xml:space="preserve"> </w:t>
      </w:r>
      <w:r w:rsidRPr="004B2597">
        <w:rPr>
          <w:rFonts w:ascii="Times New Roman" w:hAnsi="Times New Roman"/>
          <w:color w:val="000000"/>
        </w:rPr>
        <w:t>– navrhuje sa osobný mzdový bod v hodnote 0,67 pre fyzické osoby do 20 rokov, ktoré získali obdobie dôchodkového poistenia len formou dobrovoľného dôchodkového poistenia alebo dodatočným doplatením.</w:t>
      </w:r>
    </w:p>
    <w:p w:rsidR="00A22617" w:rsidRPr="004B2597" w:rsidP="00C24072">
      <w:pPr>
        <w:numPr>
          <w:numId w:val="12"/>
        </w:numPr>
        <w:tabs>
          <w:tab w:val="left" w:pos="709"/>
        </w:tabs>
        <w:bidi w:val="0"/>
        <w:spacing w:after="120"/>
        <w:ind w:left="714" w:hanging="357"/>
        <w:jc w:val="both"/>
        <w:rPr>
          <w:rFonts w:ascii="Times New Roman" w:hAnsi="Times New Roman"/>
          <w:b/>
          <w:color w:val="000000"/>
        </w:rPr>
      </w:pPr>
      <w:r>
        <w:rPr>
          <w:rFonts w:ascii="Times New Roman" w:hAnsi="Times New Roman"/>
          <w:b/>
          <w:color w:val="000000"/>
        </w:rPr>
        <w:t xml:space="preserve">Prehĺbenie miery solidarity v priebežne financovanom dôchodkovom systéme prostredníctvom </w:t>
      </w:r>
      <w:r w:rsidR="00F82CA6">
        <w:rPr>
          <w:rFonts w:ascii="Times New Roman" w:hAnsi="Times New Roman"/>
          <w:b/>
          <w:color w:val="000000"/>
        </w:rPr>
        <w:t xml:space="preserve">novej </w:t>
      </w:r>
      <w:r>
        <w:rPr>
          <w:rFonts w:ascii="Times New Roman" w:hAnsi="Times New Roman"/>
          <w:b/>
          <w:color w:val="000000"/>
        </w:rPr>
        <w:t>postupn</w:t>
      </w:r>
      <w:r w:rsidR="00F82CA6">
        <w:rPr>
          <w:rFonts w:ascii="Times New Roman" w:hAnsi="Times New Roman"/>
          <w:b/>
          <w:color w:val="000000"/>
        </w:rPr>
        <w:t>ej</w:t>
      </w:r>
      <w:r>
        <w:rPr>
          <w:rFonts w:ascii="Times New Roman" w:hAnsi="Times New Roman"/>
          <w:b/>
          <w:color w:val="000000"/>
        </w:rPr>
        <w:t xml:space="preserve"> </w:t>
      </w:r>
      <w:r w:rsidR="00F82CA6">
        <w:rPr>
          <w:rFonts w:ascii="Times New Roman" w:hAnsi="Times New Roman"/>
          <w:b/>
          <w:color w:val="000000"/>
        </w:rPr>
        <w:t xml:space="preserve">úpravy </w:t>
      </w:r>
      <w:r>
        <w:rPr>
          <w:rFonts w:ascii="Times New Roman" w:hAnsi="Times New Roman"/>
          <w:b/>
          <w:color w:val="000000"/>
        </w:rPr>
        <w:t xml:space="preserve">koeficientu redukcie priemerného osobného mzdového bodu v hodnote vyššej ako </w:t>
      </w:r>
      <w:r w:rsidR="009B39D6">
        <w:rPr>
          <w:rFonts w:ascii="Times New Roman" w:hAnsi="Times New Roman"/>
          <w:b/>
          <w:color w:val="000000"/>
        </w:rPr>
        <w:t>1</w:t>
      </w:r>
      <w:r w:rsidR="00F82CA6">
        <w:rPr>
          <w:rFonts w:ascii="Times New Roman" w:hAnsi="Times New Roman"/>
          <w:b/>
          <w:color w:val="000000"/>
        </w:rPr>
        <w:t xml:space="preserve"> a taktiež koeficientu úpravy priemerného osobného mzdového bodu v hodnote nižšej ako </w:t>
      </w:r>
      <w:r w:rsidR="009B39D6">
        <w:rPr>
          <w:rFonts w:ascii="Times New Roman" w:hAnsi="Times New Roman"/>
          <w:b/>
          <w:color w:val="000000"/>
        </w:rPr>
        <w:t>1</w:t>
      </w:r>
      <w:r>
        <w:rPr>
          <w:rFonts w:ascii="Times New Roman" w:hAnsi="Times New Roman"/>
          <w:b/>
          <w:color w:val="000000"/>
        </w:rPr>
        <w:t xml:space="preserve">. </w:t>
      </w:r>
      <w:r w:rsidRPr="004B2597">
        <w:rPr>
          <w:rFonts w:ascii="Times New Roman" w:hAnsi="Times New Roman"/>
          <w:color w:val="000000"/>
        </w:rPr>
        <w:t>Účinnosť predmetného opatrenia sa navrhuje od roku 2016.</w:t>
      </w:r>
    </w:p>
    <w:p w:rsidR="00A22617" w:rsidRPr="004B2597" w:rsidP="00895EB3">
      <w:pPr>
        <w:numPr>
          <w:numId w:val="12"/>
        </w:numPr>
        <w:bidi w:val="0"/>
        <w:spacing w:after="120"/>
        <w:ind w:left="714" w:hanging="357"/>
        <w:jc w:val="both"/>
        <w:rPr>
          <w:rFonts w:ascii="Times New Roman" w:hAnsi="Times New Roman"/>
          <w:color w:val="000000"/>
        </w:rPr>
      </w:pPr>
      <w:r w:rsidRPr="004B2597">
        <w:rPr>
          <w:rFonts w:ascii="Times New Roman" w:hAnsi="Times New Roman"/>
          <w:b/>
          <w:color w:val="000000"/>
        </w:rPr>
        <w:t xml:space="preserve">Úprava materského – </w:t>
      </w:r>
      <w:r w:rsidRPr="004B2597">
        <w:rPr>
          <w:rFonts w:ascii="Times New Roman" w:hAnsi="Times New Roman"/>
          <w:color w:val="000000"/>
        </w:rPr>
        <w:t xml:space="preserve">navrhuje sa zvýšenie výšky materského o 5 % na 65 % denného vymeriavacieho základu a zároveň sa navrhuje predĺženie podporného obdobia o 6 týždňov. </w:t>
      </w:r>
      <w:r w:rsidRPr="00FF0322" w:rsidR="00FF0322">
        <w:rPr>
          <w:rFonts w:ascii="Times New Roman" w:hAnsi="Times New Roman"/>
          <w:color w:val="000000"/>
        </w:rPr>
        <w:t>Predpokladá sa, že zmena sa v roku 2012 dotkne mesačne približne 25 960 poberateľov a priemerná výška materského bude predstavovať približne 471 eur.</w:t>
      </w:r>
    </w:p>
    <w:p w:rsidR="00A22617" w:rsidRPr="004B2597" w:rsidP="00F35E7B">
      <w:pPr>
        <w:bidi w:val="0"/>
        <w:rPr>
          <w:rFonts w:ascii="Times New Roman" w:hAnsi="Times New Roman"/>
          <w:color w:val="000000"/>
        </w:rPr>
      </w:pPr>
    </w:p>
    <w:p w:rsidR="00A22617" w:rsidP="00F35E7B">
      <w:pPr>
        <w:bidi w:val="0"/>
        <w:jc w:val="both"/>
        <w:rPr>
          <w:rFonts w:ascii="Times New Roman" w:hAnsi="Times New Roman"/>
          <w:color w:val="000000"/>
        </w:rPr>
      </w:pPr>
      <w:r>
        <w:rPr>
          <w:rFonts w:ascii="Times New Roman" w:hAnsi="Times New Roman"/>
          <w:color w:val="000000"/>
        </w:rPr>
        <w:t xml:space="preserve">     </w:t>
      </w:r>
      <w:r w:rsidRPr="004B2597">
        <w:rPr>
          <w:rFonts w:ascii="Times New Roman" w:hAnsi="Times New Roman"/>
          <w:color w:val="000000"/>
        </w:rPr>
        <w:t>Všetky vyššie uvedené opatrenia budú implementované Sociálnou poisťovňou a aj </w:t>
      </w:r>
      <w:r>
        <w:rPr>
          <w:rFonts w:ascii="Times New Roman" w:hAnsi="Times New Roman"/>
          <w:color w:val="000000"/>
        </w:rPr>
        <w:t xml:space="preserve">rezortmi ozbrojených zložiek </w:t>
      </w:r>
      <w:r w:rsidRPr="004B2597">
        <w:rPr>
          <w:rFonts w:ascii="Times New Roman" w:hAnsi="Times New Roman"/>
          <w:color w:val="000000"/>
        </w:rPr>
        <w:t>v prípade úpravy materského.</w:t>
      </w:r>
    </w:p>
    <w:p w:rsidR="00A22617" w:rsidP="00F35E7B">
      <w:pPr>
        <w:bidi w:val="0"/>
        <w:jc w:val="both"/>
        <w:rPr>
          <w:rFonts w:ascii="Times New Roman" w:hAnsi="Times New Roman"/>
          <w:color w:val="000000"/>
        </w:rPr>
      </w:pPr>
    </w:p>
    <w:p w:rsidR="00644FBA" w:rsidP="00F35E7B">
      <w:pPr>
        <w:bidi w:val="0"/>
        <w:jc w:val="both"/>
        <w:rPr>
          <w:rFonts w:ascii="Times New Roman" w:hAnsi="Times New Roman"/>
          <w:color w:val="000000"/>
        </w:rPr>
      </w:pPr>
    </w:p>
    <w:p w:rsidR="00A22617" w:rsidRPr="00A86C7E" w:rsidP="007D728E">
      <w:pPr>
        <w:bidi w:val="0"/>
        <w:jc w:val="both"/>
        <w:rPr>
          <w:rFonts w:ascii="Times New Roman" w:hAnsi="Times New Roman"/>
          <w:b/>
          <w:bCs/>
          <w:color w:val="0070C0"/>
        </w:rPr>
      </w:pPr>
      <w:r w:rsidRPr="00A86C7E">
        <w:rPr>
          <w:rFonts w:ascii="Times New Roman" w:hAnsi="Times New Roman"/>
          <w:b/>
          <w:bCs/>
          <w:color w:val="0070C0"/>
        </w:rPr>
        <w:t xml:space="preserve">Popis návrhu vo vzťahu k  návrhu novely </w:t>
      </w:r>
      <w:r w:rsidRPr="00A86C7E" w:rsidR="008324CB">
        <w:rPr>
          <w:rFonts w:ascii="Times New Roman" w:hAnsi="Times New Roman"/>
          <w:b/>
          <w:bCs/>
          <w:color w:val="0070C0"/>
        </w:rPr>
        <w:t xml:space="preserve">zákona </w:t>
      </w:r>
      <w:r w:rsidRPr="00A86C7E">
        <w:rPr>
          <w:rFonts w:ascii="Times New Roman" w:hAnsi="Times New Roman"/>
          <w:b/>
          <w:bCs/>
          <w:color w:val="0070C0"/>
        </w:rPr>
        <w:t xml:space="preserve">o zdravotnom poistení </w:t>
      </w:r>
    </w:p>
    <w:p w:rsidR="00A22617" w:rsidP="007D728E">
      <w:pPr>
        <w:bidi w:val="0"/>
        <w:jc w:val="both"/>
        <w:rPr>
          <w:rFonts w:ascii="Times New Roman" w:hAnsi="Times New Roman"/>
        </w:rPr>
      </w:pPr>
    </w:p>
    <w:p w:rsidR="00A22617" w:rsidRPr="00B10844" w:rsidP="00B10844">
      <w:pPr>
        <w:pStyle w:val="ListParagraph"/>
        <w:numPr>
          <w:numId w:val="36"/>
        </w:numPr>
        <w:tabs>
          <w:tab w:val="left" w:pos="709"/>
        </w:tabs>
        <w:bidi w:val="0"/>
        <w:spacing w:after="120"/>
        <w:ind w:left="709" w:hanging="283"/>
        <w:jc w:val="both"/>
        <w:rPr>
          <w:rFonts w:ascii="Times New Roman" w:hAnsi="Times New Roman"/>
          <w:b/>
        </w:rPr>
      </w:pPr>
      <w:r w:rsidRPr="00B10844">
        <w:rPr>
          <w:rFonts w:ascii="Times New Roman" w:hAnsi="Times New Roman"/>
          <w:b/>
        </w:rPr>
        <w:t>Navrhované zmeny v oblasti okruhu poistencov</w:t>
      </w:r>
    </w:p>
    <w:p w:rsidR="00A22617" w:rsidRPr="001649F0" w:rsidP="000935BB">
      <w:pPr>
        <w:numPr>
          <w:numId w:val="25"/>
        </w:numPr>
        <w:tabs>
          <w:tab w:val="left" w:pos="993"/>
        </w:tabs>
        <w:bidi w:val="0"/>
        <w:spacing w:after="120"/>
        <w:ind w:left="993" w:hanging="284"/>
        <w:jc w:val="both"/>
        <w:rPr>
          <w:rFonts w:ascii="Times New Roman" w:hAnsi="Times New Roman"/>
          <w:b/>
        </w:rPr>
      </w:pPr>
      <w:r>
        <w:rPr>
          <w:rFonts w:ascii="Times New Roman" w:hAnsi="Times New Roman"/>
          <w:b/>
        </w:rPr>
        <w:t>Z</w:t>
      </w:r>
      <w:r w:rsidRPr="001649F0">
        <w:rPr>
          <w:rFonts w:ascii="Times New Roman" w:hAnsi="Times New Roman"/>
          <w:b/>
        </w:rPr>
        <w:t>amestnanec</w:t>
      </w:r>
    </w:p>
    <w:p w:rsidR="00A22617" w:rsidP="009D2103">
      <w:pPr>
        <w:bidi w:val="0"/>
        <w:spacing w:after="120"/>
        <w:ind w:left="993"/>
        <w:jc w:val="both"/>
        <w:rPr>
          <w:rFonts w:ascii="Times New Roman" w:hAnsi="Times New Roman"/>
        </w:rPr>
      </w:pPr>
      <w:r>
        <w:rPr>
          <w:rFonts w:ascii="Times New Roman" w:hAnsi="Times New Roman"/>
        </w:rPr>
        <w:t>O</w:t>
      </w:r>
      <w:r w:rsidRPr="001649F0">
        <w:rPr>
          <w:rFonts w:ascii="Times New Roman" w:hAnsi="Times New Roman"/>
        </w:rPr>
        <w:t xml:space="preserve">kruh zamestnancov sa rozšíri na všetky fyzické osoby, ktorých príjem je zdaňovaný </w:t>
      </w:r>
      <w:r>
        <w:rPr>
          <w:rFonts w:ascii="Times New Roman" w:hAnsi="Times New Roman"/>
        </w:rPr>
        <w:t>ako príjem zo závislej činnosti (podľa § 5 zákona č. 595/2003 Z. z.</w:t>
      </w:r>
      <w:r w:rsidR="00D058B2">
        <w:rPr>
          <w:rFonts w:ascii="Times New Roman" w:hAnsi="Times New Roman"/>
        </w:rPr>
        <w:t xml:space="preserve"> o dani z príjmov v znení neskorších predpisov</w:t>
      </w:r>
      <w:r>
        <w:rPr>
          <w:rFonts w:ascii="Times New Roman" w:hAnsi="Times New Roman"/>
        </w:rPr>
        <w:t>)</w:t>
      </w:r>
      <w:r w:rsidR="00D058B2">
        <w:rPr>
          <w:rFonts w:ascii="Times New Roman" w:hAnsi="Times New Roman"/>
        </w:rPr>
        <w:t xml:space="preserve">. Do okruhu týchto osôb nebude </w:t>
      </w:r>
      <w:r>
        <w:rPr>
          <w:rFonts w:ascii="Times New Roman" w:hAnsi="Times New Roman"/>
        </w:rPr>
        <w:t xml:space="preserve">patriť príjem z dohôd </w:t>
      </w:r>
      <w:r w:rsidR="00D058B2">
        <w:rPr>
          <w:rFonts w:ascii="Times New Roman" w:hAnsi="Times New Roman"/>
        </w:rPr>
        <w:t xml:space="preserve">o prácach </w:t>
      </w:r>
      <w:r>
        <w:rPr>
          <w:rFonts w:ascii="Times New Roman" w:hAnsi="Times New Roman"/>
        </w:rPr>
        <w:t>vykonávaných mimo pracovného pomeru, ktor</w:t>
      </w:r>
      <w:r w:rsidR="00221271">
        <w:rPr>
          <w:rFonts w:ascii="Times New Roman" w:hAnsi="Times New Roman"/>
        </w:rPr>
        <w:t>ého</w:t>
      </w:r>
      <w:r w:rsidR="004F66F8">
        <w:rPr>
          <w:rFonts w:ascii="Times New Roman" w:hAnsi="Times New Roman"/>
        </w:rPr>
        <w:t xml:space="preserve"> výška sa rovná sume odpočítateľnej položky z vymeriavacieho základu</w:t>
      </w:r>
      <w:r>
        <w:rPr>
          <w:rFonts w:ascii="Times New Roman" w:hAnsi="Times New Roman"/>
        </w:rPr>
        <w:t>.</w:t>
      </w:r>
      <w:r w:rsidRPr="001649F0">
        <w:rPr>
          <w:rFonts w:ascii="Times New Roman" w:hAnsi="Times New Roman"/>
        </w:rPr>
        <w:t xml:space="preserve"> </w:t>
      </w:r>
      <w:r>
        <w:rPr>
          <w:rFonts w:ascii="Times New Roman" w:hAnsi="Times New Roman"/>
        </w:rPr>
        <w:t xml:space="preserve">Zmeny v zákone o dani z príjmov sa priamo premietnu </w:t>
      </w:r>
      <w:r w:rsidR="00D058B2">
        <w:rPr>
          <w:rFonts w:ascii="Times New Roman" w:hAnsi="Times New Roman"/>
        </w:rPr>
        <w:t>vo vzťahu k</w:t>
      </w:r>
      <w:r>
        <w:rPr>
          <w:rFonts w:ascii="Times New Roman" w:hAnsi="Times New Roman"/>
        </w:rPr>
        <w:t xml:space="preserve"> príjm</w:t>
      </w:r>
      <w:r w:rsidR="00D058B2">
        <w:rPr>
          <w:rFonts w:ascii="Times New Roman" w:hAnsi="Times New Roman"/>
        </w:rPr>
        <w:t>u</w:t>
      </w:r>
      <w:r>
        <w:rPr>
          <w:rFonts w:ascii="Times New Roman" w:hAnsi="Times New Roman"/>
        </w:rPr>
        <w:t xml:space="preserve"> z poistného na </w:t>
      </w:r>
      <w:r w:rsidR="00B10844">
        <w:rPr>
          <w:rFonts w:ascii="Times New Roman" w:hAnsi="Times New Roman"/>
        </w:rPr>
        <w:t xml:space="preserve">verejné </w:t>
      </w:r>
      <w:r>
        <w:rPr>
          <w:rFonts w:ascii="Times New Roman" w:hAnsi="Times New Roman"/>
        </w:rPr>
        <w:t xml:space="preserve">zdravotné poistenie, t.j. oslobodenie príjmu od dane z príjmu je </w:t>
      </w:r>
      <w:r w:rsidR="00D058B2">
        <w:rPr>
          <w:rFonts w:ascii="Times New Roman" w:hAnsi="Times New Roman"/>
        </w:rPr>
        <w:t xml:space="preserve">vo všeobecnosti </w:t>
      </w:r>
      <w:r>
        <w:rPr>
          <w:rFonts w:ascii="Times New Roman" w:hAnsi="Times New Roman"/>
        </w:rPr>
        <w:t xml:space="preserve">oslobodením aj na strane </w:t>
      </w:r>
      <w:r w:rsidR="00B10844">
        <w:rPr>
          <w:rFonts w:ascii="Times New Roman" w:hAnsi="Times New Roman"/>
        </w:rPr>
        <w:t xml:space="preserve">verejného </w:t>
      </w:r>
      <w:r>
        <w:rPr>
          <w:rFonts w:ascii="Times New Roman" w:hAnsi="Times New Roman"/>
        </w:rPr>
        <w:t>zdravotného poistenia</w:t>
      </w:r>
      <w:r w:rsidR="00D058B2">
        <w:rPr>
          <w:rFonts w:ascii="Times New Roman" w:hAnsi="Times New Roman"/>
        </w:rPr>
        <w:t xml:space="preserve"> okrem niektorých výnimiek uvádzaných nižšie</w:t>
      </w:r>
      <w:r w:rsidR="00221271">
        <w:rPr>
          <w:rFonts w:ascii="Times New Roman" w:hAnsi="Times New Roman"/>
        </w:rPr>
        <w:t xml:space="preserve">, ktorými sú: </w:t>
      </w:r>
      <w:r w:rsidRPr="00495F33" w:rsidR="006547D3">
        <w:rPr>
          <w:rFonts w:ascii="Times New Roman" w:hAnsi="Times New Roman"/>
          <w:b/>
        </w:rPr>
        <w:t>príspevky</w:t>
      </w:r>
      <w:r w:rsidRPr="00495F33" w:rsidR="006547D3">
        <w:rPr>
          <w:rFonts w:ascii="Times New Roman" w:hAnsi="Times New Roman"/>
        </w:rPr>
        <w:t xml:space="preserve"> </w:t>
      </w:r>
      <w:r w:rsidR="006547D3">
        <w:rPr>
          <w:rFonts w:ascii="Times New Roman" w:hAnsi="Times New Roman"/>
        </w:rPr>
        <w:t>na doplnkové dôchodkové sporenie</w:t>
      </w:r>
      <w:r w:rsidR="00221271">
        <w:rPr>
          <w:rFonts w:ascii="Times New Roman" w:hAnsi="Times New Roman"/>
        </w:rPr>
        <w:t xml:space="preserve">, </w:t>
      </w:r>
      <w:r w:rsidR="006547D3">
        <w:rPr>
          <w:rFonts w:ascii="Times New Roman" w:hAnsi="Times New Roman"/>
        </w:rPr>
        <w:t xml:space="preserve">ktoré platí zamestnávateľ za zamestnanca </w:t>
      </w:r>
      <w:r w:rsidR="00221271">
        <w:rPr>
          <w:rFonts w:ascii="Times New Roman" w:hAnsi="Times New Roman"/>
        </w:rPr>
        <w:t xml:space="preserve">(zdaňované, nie je súčasťou vymeriavacieho základu </w:t>
      </w:r>
      <w:r w:rsidR="00FA765B">
        <w:rPr>
          <w:rFonts w:ascii="Times New Roman" w:hAnsi="Times New Roman"/>
        </w:rPr>
        <w:t>na verejné zdravotné poistenie) – zmena v novele zákona;</w:t>
      </w:r>
      <w:r w:rsidR="00221271">
        <w:rPr>
          <w:rFonts w:ascii="Times New Roman" w:hAnsi="Times New Roman"/>
        </w:rPr>
        <w:t xml:space="preserve"> </w:t>
      </w:r>
      <w:r w:rsidR="006547D3">
        <w:rPr>
          <w:rFonts w:ascii="Times New Roman" w:hAnsi="Times New Roman"/>
        </w:rPr>
        <w:t xml:space="preserve">príjmy zamestnanca poskytované zamestnávateľom podľa </w:t>
      </w:r>
      <w:r w:rsidRPr="00992C13" w:rsidR="006547D3">
        <w:rPr>
          <w:rFonts w:ascii="Times New Roman" w:hAnsi="Times New Roman"/>
          <w:color w:val="000000"/>
          <w:lang w:eastAsia="en-US"/>
        </w:rPr>
        <w:t>§ 50a zákona č. 5/2004 Z. z. o službách zamestnanosti a o zmene a doplnení niektorých zákonov v znení neskorších predpisov</w:t>
      </w:r>
      <w:r w:rsidR="00221271">
        <w:rPr>
          <w:rFonts w:ascii="Times New Roman" w:hAnsi="Times New Roman"/>
          <w:color w:val="000000"/>
          <w:lang w:eastAsia="en-US"/>
        </w:rPr>
        <w:t xml:space="preserve"> </w:t>
      </w:r>
      <w:r w:rsidR="00221271">
        <w:rPr>
          <w:rFonts w:ascii="Times New Roman" w:hAnsi="Times New Roman"/>
        </w:rPr>
        <w:t>(zdaňované, nie je súčasťou vymeriavacieho základu na verejné zdravotné poistenie)</w:t>
      </w:r>
      <w:r w:rsidR="00FA765B">
        <w:rPr>
          <w:rFonts w:ascii="Times New Roman" w:hAnsi="Times New Roman"/>
        </w:rPr>
        <w:t xml:space="preserve"> – zmena v novele zákona</w:t>
      </w:r>
      <w:r w:rsidRPr="00495F33" w:rsidR="006547D3">
        <w:rPr>
          <w:rFonts w:ascii="Times New Roman" w:hAnsi="Times New Roman"/>
        </w:rPr>
        <w:t xml:space="preserve">. </w:t>
      </w:r>
      <w:r w:rsidR="006547D3">
        <w:rPr>
          <w:rFonts w:ascii="Times New Roman" w:hAnsi="Times New Roman"/>
        </w:rPr>
        <w:t>Pri zamestnancoch ozbrojených zložiek bude zdaňovaný príjem zo závislej činnosti vyňatý z vymeriavacieho základu na platenie poistného na verejné zdravotné poistenie aj pri odchodnom, výsluhovom príspevku a rekreačnej starostlivosti v súlade so zákonom č. 580/2004 Z. z. v znení neskorších predpisov účinnom od 1. augusta 2011</w:t>
      </w:r>
      <w:r w:rsidR="00221271">
        <w:rPr>
          <w:rFonts w:ascii="Times New Roman" w:hAnsi="Times New Roman"/>
        </w:rPr>
        <w:t xml:space="preserve"> (zdaňované, nie je súčasťou vymeriavacieho základu na verejné zdravotné poistenie)</w:t>
      </w:r>
      <w:r w:rsidR="001E343D">
        <w:rPr>
          <w:rFonts w:ascii="Times New Roman" w:hAnsi="Times New Roman"/>
        </w:rPr>
        <w:t xml:space="preserve"> – nejde o zmenu, uplatňuje sa od 1. augusta 2011</w:t>
      </w:r>
      <w:r w:rsidR="006547D3">
        <w:rPr>
          <w:rFonts w:ascii="Times New Roman" w:hAnsi="Times New Roman"/>
        </w:rPr>
        <w:t>.</w:t>
      </w:r>
      <w:r w:rsidR="00221271">
        <w:rPr>
          <w:rFonts w:ascii="Times New Roman" w:hAnsi="Times New Roman"/>
        </w:rPr>
        <w:t xml:space="preserve">  V opačnej situácii je príjem plynúci zamestnancovi ako </w:t>
      </w:r>
      <w:r w:rsidR="00221271">
        <w:rPr>
          <w:rFonts w:ascii="Times New Roman" w:hAnsi="Times New Roman"/>
          <w:b/>
        </w:rPr>
        <w:t xml:space="preserve">podiel na zisku </w:t>
      </w:r>
      <w:r w:rsidRPr="00221271" w:rsidR="00221271">
        <w:rPr>
          <w:rFonts w:ascii="Times New Roman" w:hAnsi="Times New Roman"/>
        </w:rPr>
        <w:t>vyplaten</w:t>
      </w:r>
      <w:r w:rsidR="00221271">
        <w:rPr>
          <w:rFonts w:ascii="Times New Roman" w:hAnsi="Times New Roman"/>
        </w:rPr>
        <w:t>ý</w:t>
      </w:r>
      <w:r w:rsidRPr="000814A1" w:rsidR="00221271">
        <w:rPr>
          <w:rFonts w:ascii="Times New Roman" w:hAnsi="Times New Roman"/>
        </w:rPr>
        <w:t xml:space="preserve"> obchodnou spoločnosťou alebo družstvom zamestnancovi bez účasti na základnom ima</w:t>
      </w:r>
      <w:r w:rsidRPr="00221271" w:rsidR="00221271">
        <w:rPr>
          <w:rFonts w:ascii="Times New Roman" w:hAnsi="Times New Roman"/>
        </w:rPr>
        <w:t>ní tejto spoločnosti</w:t>
      </w:r>
      <w:r w:rsidR="00221271">
        <w:rPr>
          <w:rFonts w:ascii="Times New Roman" w:hAnsi="Times New Roman"/>
        </w:rPr>
        <w:t>, ktorý je oslobodený od dane z príjmov fyzických osôb a vstupuje do vymeriavacieho základu</w:t>
      </w:r>
      <w:r w:rsidR="001E343D">
        <w:rPr>
          <w:rFonts w:ascii="Times New Roman" w:hAnsi="Times New Roman"/>
        </w:rPr>
        <w:t xml:space="preserve"> na verejné zdravotné poistenie – nejde o zmenu, uplatňuje sa aj v súčasnosti.</w:t>
      </w:r>
    </w:p>
    <w:p w:rsidR="00A22617" w:rsidRPr="001649F0" w:rsidP="000935BB">
      <w:pPr>
        <w:numPr>
          <w:numId w:val="25"/>
        </w:numPr>
        <w:tabs>
          <w:tab w:val="left" w:pos="993"/>
        </w:tabs>
        <w:bidi w:val="0"/>
        <w:spacing w:after="120"/>
        <w:ind w:left="993" w:hanging="284"/>
        <w:jc w:val="both"/>
        <w:rPr>
          <w:rFonts w:ascii="Times New Roman" w:hAnsi="Times New Roman"/>
          <w:b/>
        </w:rPr>
      </w:pPr>
      <w:r>
        <w:rPr>
          <w:rFonts w:ascii="Times New Roman" w:hAnsi="Times New Roman"/>
          <w:b/>
        </w:rPr>
        <w:t>Z</w:t>
      </w:r>
      <w:r w:rsidRPr="001649F0">
        <w:rPr>
          <w:rFonts w:ascii="Times New Roman" w:hAnsi="Times New Roman"/>
          <w:b/>
        </w:rPr>
        <w:t>amestnávateľ</w:t>
      </w:r>
    </w:p>
    <w:p w:rsidR="00A22617" w:rsidRPr="001649F0" w:rsidP="00A86C7E">
      <w:pPr>
        <w:bidi w:val="0"/>
        <w:spacing w:after="120"/>
        <w:ind w:left="993"/>
        <w:jc w:val="both"/>
        <w:rPr>
          <w:rFonts w:ascii="Times New Roman" w:hAnsi="Times New Roman"/>
        </w:rPr>
      </w:pPr>
      <w:r>
        <w:rPr>
          <w:rFonts w:ascii="Times New Roman" w:hAnsi="Times New Roman"/>
        </w:rPr>
        <w:t>O</w:t>
      </w:r>
      <w:r w:rsidRPr="001649F0">
        <w:rPr>
          <w:rFonts w:ascii="Times New Roman" w:hAnsi="Times New Roman"/>
        </w:rPr>
        <w:t xml:space="preserve">kruh zamestnávateľov na účely </w:t>
      </w:r>
      <w:r w:rsidR="00B10844">
        <w:rPr>
          <w:rFonts w:ascii="Times New Roman" w:hAnsi="Times New Roman"/>
        </w:rPr>
        <w:t xml:space="preserve">verejného </w:t>
      </w:r>
      <w:r w:rsidRPr="001649F0">
        <w:rPr>
          <w:rFonts w:ascii="Times New Roman" w:hAnsi="Times New Roman"/>
        </w:rPr>
        <w:t>zdravotného poistenia sa rozšíril o osoby vyplácajúce príjmy zamestnancom uvedeným v bode a) a je prispôsobený požiadavkám európskeh</w:t>
      </w:r>
      <w:r>
        <w:rPr>
          <w:rFonts w:ascii="Times New Roman" w:hAnsi="Times New Roman"/>
        </w:rPr>
        <w:t>o práva a medzinárodným zmluvám.</w:t>
      </w:r>
    </w:p>
    <w:p w:rsidR="00A22617" w:rsidRPr="001649F0" w:rsidP="000935BB">
      <w:pPr>
        <w:numPr>
          <w:numId w:val="25"/>
        </w:numPr>
        <w:tabs>
          <w:tab w:val="left" w:pos="993"/>
        </w:tabs>
        <w:bidi w:val="0"/>
        <w:spacing w:after="120"/>
        <w:ind w:left="993" w:hanging="284"/>
        <w:jc w:val="both"/>
        <w:rPr>
          <w:rFonts w:ascii="Times New Roman" w:hAnsi="Times New Roman"/>
          <w:b/>
        </w:rPr>
      </w:pPr>
      <w:r>
        <w:rPr>
          <w:rFonts w:ascii="Times New Roman" w:hAnsi="Times New Roman"/>
          <w:b/>
        </w:rPr>
        <w:t>S</w:t>
      </w:r>
      <w:r w:rsidR="00E129AB">
        <w:rPr>
          <w:rFonts w:ascii="Times New Roman" w:hAnsi="Times New Roman"/>
          <w:b/>
        </w:rPr>
        <w:t>ZČO</w:t>
      </w:r>
    </w:p>
    <w:p w:rsidR="00A22617" w:rsidRPr="00380B1F" w:rsidP="00A86C7E">
      <w:pPr>
        <w:bidi w:val="0"/>
        <w:spacing w:after="120"/>
        <w:ind w:left="993"/>
        <w:jc w:val="both"/>
        <w:rPr>
          <w:rFonts w:ascii="Times New Roman" w:hAnsi="Times New Roman"/>
          <w:b/>
        </w:rPr>
      </w:pPr>
      <w:r>
        <w:rPr>
          <w:rFonts w:ascii="Times New Roman" w:hAnsi="Times New Roman"/>
        </w:rPr>
        <w:t xml:space="preserve">Okruh </w:t>
      </w:r>
      <w:r w:rsidR="00E129AB">
        <w:rPr>
          <w:rFonts w:ascii="Times New Roman" w:hAnsi="Times New Roman"/>
        </w:rPr>
        <w:t>SZČO</w:t>
      </w:r>
      <w:r>
        <w:rPr>
          <w:rFonts w:ascii="Times New Roman" w:hAnsi="Times New Roman"/>
        </w:rPr>
        <w:t xml:space="preserve"> sa priamo viaže na definíciu § 6 </w:t>
      </w:r>
      <w:r w:rsidR="00D058B2">
        <w:rPr>
          <w:rFonts w:ascii="Times New Roman" w:hAnsi="Times New Roman"/>
        </w:rPr>
        <w:t xml:space="preserve">ods. 1 a 2 </w:t>
      </w:r>
      <w:r>
        <w:rPr>
          <w:rFonts w:ascii="Times New Roman" w:hAnsi="Times New Roman"/>
        </w:rPr>
        <w:t xml:space="preserve">zákona č. 595/2003 Z. z. </w:t>
      </w:r>
      <w:r w:rsidR="00D058B2">
        <w:rPr>
          <w:rFonts w:ascii="Times New Roman" w:hAnsi="Times New Roman"/>
        </w:rPr>
        <w:t xml:space="preserve">o dani z príjmov v znení neskorších predpisov </w:t>
      </w:r>
      <w:r>
        <w:rPr>
          <w:rFonts w:ascii="Times New Roman" w:hAnsi="Times New Roman"/>
        </w:rPr>
        <w:t>okrem osôb, ktoré m</w:t>
      </w:r>
      <w:r w:rsidR="00D058B2">
        <w:rPr>
          <w:rFonts w:ascii="Times New Roman" w:hAnsi="Times New Roman"/>
        </w:rPr>
        <w:t xml:space="preserve">ajú príjem z výkonu činnosti osobného asistenta podľa </w:t>
      </w:r>
      <w:r w:rsidRPr="00992C13" w:rsidR="00D058B2">
        <w:rPr>
          <w:rFonts w:ascii="Times New Roman" w:hAnsi="Times New Roman"/>
          <w:color w:val="000000"/>
          <w:lang w:eastAsia="en-US"/>
        </w:rPr>
        <w:t>§ 20 zákona č. 447/2008 Z. z. o peňažných príspevkov na kompenzáciu ťažkého zdravotného postihnutia a o zmene a doplnení niektorých zákonov v znení neskorších predpisov</w:t>
      </w:r>
      <w:r w:rsidR="001E343D">
        <w:rPr>
          <w:rFonts w:ascii="Times New Roman" w:hAnsi="Times New Roman"/>
          <w:color w:val="000000"/>
          <w:lang w:eastAsia="en-US"/>
        </w:rPr>
        <w:t>, pričom nejde o zmenu, nakoľko tieto príjmy sú vylúčené z vymeriavacieho základu na verejné zdravotné poistenie aj podľa platných právnych predpisov.</w:t>
      </w:r>
    </w:p>
    <w:p w:rsidR="00A22617" w:rsidRPr="001649F0" w:rsidP="000935BB">
      <w:pPr>
        <w:numPr>
          <w:numId w:val="25"/>
        </w:numPr>
        <w:tabs>
          <w:tab w:val="left" w:pos="993"/>
        </w:tabs>
        <w:bidi w:val="0"/>
        <w:spacing w:after="120"/>
        <w:ind w:left="993" w:hanging="284"/>
        <w:jc w:val="both"/>
        <w:rPr>
          <w:rFonts w:ascii="Times New Roman" w:hAnsi="Times New Roman"/>
          <w:b/>
        </w:rPr>
      </w:pPr>
      <w:r>
        <w:rPr>
          <w:rFonts w:ascii="Times New Roman" w:hAnsi="Times New Roman"/>
          <w:b/>
        </w:rPr>
        <w:t>O</w:t>
      </w:r>
      <w:r w:rsidRPr="001649F0">
        <w:rPr>
          <w:rFonts w:ascii="Times New Roman" w:hAnsi="Times New Roman"/>
          <w:b/>
        </w:rPr>
        <w:t>soba dobrovoľne nezamestnaná</w:t>
      </w:r>
    </w:p>
    <w:p w:rsidR="00A22617" w:rsidP="00A86C7E">
      <w:pPr>
        <w:bidi w:val="0"/>
        <w:spacing w:after="120"/>
        <w:ind w:left="993"/>
        <w:jc w:val="both"/>
        <w:rPr>
          <w:rFonts w:ascii="Times New Roman" w:hAnsi="Times New Roman"/>
        </w:rPr>
      </w:pPr>
      <w:r>
        <w:rPr>
          <w:rFonts w:ascii="Times New Roman" w:hAnsi="Times New Roman"/>
        </w:rPr>
        <w:t>O</w:t>
      </w:r>
      <w:r w:rsidRPr="001649F0">
        <w:rPr>
          <w:rFonts w:ascii="Times New Roman" w:hAnsi="Times New Roman"/>
        </w:rPr>
        <w:t xml:space="preserve">kruh osôb sa nemení, vždy pôjde o osobu, ktorá nie je zamestnancom, </w:t>
      </w:r>
      <w:r w:rsidR="00E129AB">
        <w:rPr>
          <w:rFonts w:ascii="Times New Roman" w:hAnsi="Times New Roman"/>
        </w:rPr>
        <w:t>SZČO</w:t>
      </w:r>
      <w:r w:rsidRPr="001649F0">
        <w:rPr>
          <w:rFonts w:ascii="Times New Roman" w:hAnsi="Times New Roman"/>
        </w:rPr>
        <w:t xml:space="preserve"> a nie je poistenec štátu</w:t>
      </w:r>
      <w:r>
        <w:rPr>
          <w:rFonts w:ascii="Times New Roman" w:hAnsi="Times New Roman"/>
        </w:rPr>
        <w:t>.</w:t>
      </w:r>
    </w:p>
    <w:p w:rsidR="00A22617" w:rsidP="000935BB">
      <w:pPr>
        <w:numPr>
          <w:numId w:val="25"/>
        </w:numPr>
        <w:tabs>
          <w:tab w:val="left" w:pos="993"/>
        </w:tabs>
        <w:bidi w:val="0"/>
        <w:spacing w:after="120"/>
        <w:ind w:left="993" w:hanging="284"/>
        <w:jc w:val="both"/>
        <w:rPr>
          <w:rFonts w:ascii="Times New Roman" w:hAnsi="Times New Roman"/>
          <w:b/>
        </w:rPr>
      </w:pPr>
      <w:r>
        <w:rPr>
          <w:rFonts w:ascii="Times New Roman" w:hAnsi="Times New Roman"/>
          <w:b/>
        </w:rPr>
        <w:t>O</w:t>
      </w:r>
      <w:r w:rsidRPr="00B176A3">
        <w:rPr>
          <w:rFonts w:ascii="Times New Roman" w:hAnsi="Times New Roman"/>
          <w:b/>
        </w:rPr>
        <w:t>soba, ktorej sa vypláca dividenda</w:t>
      </w:r>
      <w:r>
        <w:rPr>
          <w:rFonts w:ascii="Times New Roman" w:hAnsi="Times New Roman"/>
          <w:b/>
        </w:rPr>
        <w:t xml:space="preserve"> </w:t>
      </w:r>
    </w:p>
    <w:p w:rsidR="00A22617" w:rsidP="00A86C7E">
      <w:pPr>
        <w:bidi w:val="0"/>
        <w:spacing w:after="120"/>
        <w:ind w:left="993"/>
        <w:jc w:val="both"/>
        <w:rPr>
          <w:rFonts w:ascii="Times New Roman" w:hAnsi="Times New Roman"/>
        </w:rPr>
      </w:pPr>
      <w:r>
        <w:rPr>
          <w:rFonts w:ascii="Times New Roman" w:hAnsi="Times New Roman"/>
        </w:rPr>
        <w:t>Ponecháva sa platiteľ, ktorý vypláca dividendy poistencom Slovenskej republiky podľa § 3 ods. 2 zákona o dani z príjmov.</w:t>
      </w:r>
    </w:p>
    <w:p w:rsidR="00A22617" w:rsidRPr="00791384" w:rsidP="000935BB">
      <w:pPr>
        <w:numPr>
          <w:numId w:val="25"/>
        </w:numPr>
        <w:tabs>
          <w:tab w:val="left" w:pos="993"/>
        </w:tabs>
        <w:bidi w:val="0"/>
        <w:spacing w:after="120"/>
        <w:ind w:left="993" w:hanging="284"/>
        <w:jc w:val="both"/>
        <w:rPr>
          <w:rFonts w:ascii="Times New Roman" w:hAnsi="Times New Roman"/>
          <w:b/>
        </w:rPr>
      </w:pPr>
      <w:r>
        <w:rPr>
          <w:rFonts w:ascii="Times New Roman" w:hAnsi="Times New Roman"/>
          <w:b/>
        </w:rPr>
        <w:t xml:space="preserve">Vypúšťajú sa </w:t>
      </w:r>
      <w:r w:rsidRPr="00791384">
        <w:rPr>
          <w:rFonts w:ascii="Times New Roman" w:hAnsi="Times New Roman"/>
          <w:b/>
        </w:rPr>
        <w:t xml:space="preserve">osoby, ktoré </w:t>
      </w:r>
      <w:r>
        <w:rPr>
          <w:rFonts w:ascii="Times New Roman" w:hAnsi="Times New Roman"/>
          <w:b/>
        </w:rPr>
        <w:t xml:space="preserve">majú </w:t>
      </w:r>
      <w:r w:rsidRPr="00791384">
        <w:rPr>
          <w:rFonts w:ascii="Times New Roman" w:hAnsi="Times New Roman"/>
          <w:b/>
        </w:rPr>
        <w:t xml:space="preserve">príjem z kapitálového majetku a príležitostné príjmy </w:t>
      </w:r>
    </w:p>
    <w:p w:rsidR="001E343D" w:rsidP="009D2103">
      <w:pPr>
        <w:bidi w:val="0"/>
        <w:spacing w:after="120"/>
        <w:ind w:left="993"/>
        <w:jc w:val="both"/>
        <w:rPr>
          <w:rFonts w:ascii="Times New Roman" w:hAnsi="Times New Roman"/>
          <w:spacing w:val="-2"/>
        </w:rPr>
      </w:pPr>
      <w:r w:rsidR="00A22617">
        <w:rPr>
          <w:rFonts w:ascii="Times New Roman" w:hAnsi="Times New Roman"/>
        </w:rPr>
        <w:t>I</w:t>
      </w:r>
      <w:r w:rsidRPr="00791384" w:rsidR="00A22617">
        <w:rPr>
          <w:rFonts w:ascii="Times New Roman" w:hAnsi="Times New Roman"/>
        </w:rPr>
        <w:t>de príjem z § 7 a 8 zákona</w:t>
      </w:r>
      <w:r>
        <w:rPr>
          <w:rFonts w:ascii="Times New Roman" w:hAnsi="Times New Roman"/>
        </w:rPr>
        <w:t xml:space="preserve"> č. 595/2003 Z. z. </w:t>
      </w:r>
      <w:r>
        <w:rPr>
          <w:rFonts w:ascii="Times New Roman" w:hAnsi="Times New Roman"/>
          <w:spacing w:val="-2"/>
        </w:rPr>
        <w:t>o dani z príjmov v znení neskorších predpisov, ktorý sa vypúšťa z vymeriavacieho základu na verejné zdravotné poistenie.</w:t>
      </w:r>
    </w:p>
    <w:p w:rsidR="00A22617" w:rsidP="009D2103">
      <w:pPr>
        <w:bidi w:val="0"/>
        <w:spacing w:after="120"/>
        <w:ind w:left="993"/>
        <w:jc w:val="both"/>
        <w:rPr>
          <w:rFonts w:ascii="Times New Roman" w:hAnsi="Times New Roman"/>
          <w:spacing w:val="-2"/>
        </w:rPr>
      </w:pPr>
      <w:r w:rsidRPr="000935BB">
        <w:rPr>
          <w:rFonts w:ascii="Times New Roman" w:hAnsi="Times New Roman"/>
          <w:spacing w:val="-2"/>
        </w:rPr>
        <w:t xml:space="preserve">Oslobodené sú naďalej príjmy, ktoré </w:t>
      </w:r>
      <w:r>
        <w:rPr>
          <w:rFonts w:ascii="Times New Roman" w:hAnsi="Times New Roman"/>
          <w:spacing w:val="-2"/>
        </w:rPr>
        <w:t>sú oslobodené od dane z príjmov a ktoré nie sú predmetom dane z príjmov</w:t>
      </w:r>
      <w:r w:rsidRPr="000935BB">
        <w:rPr>
          <w:rFonts w:ascii="Times New Roman" w:hAnsi="Times New Roman"/>
          <w:spacing w:val="-2"/>
        </w:rPr>
        <w:t xml:space="preserve"> (okrem dividend</w:t>
      </w:r>
      <w:r w:rsidR="00221271">
        <w:rPr>
          <w:rFonts w:ascii="Times New Roman" w:hAnsi="Times New Roman"/>
          <w:spacing w:val="-2"/>
        </w:rPr>
        <w:t xml:space="preserve"> a podielov na zisku</w:t>
      </w:r>
      <w:r w:rsidRPr="000935BB">
        <w:rPr>
          <w:rFonts w:ascii="Times New Roman" w:hAnsi="Times New Roman"/>
          <w:spacing w:val="-2"/>
        </w:rPr>
        <w:t>) a príjmy, z ktorých sa daň vyberá zrážkou (§ 43 zákona č. 595/2003 Z. z.</w:t>
      </w:r>
      <w:r w:rsidR="00221271">
        <w:rPr>
          <w:rFonts w:ascii="Times New Roman" w:hAnsi="Times New Roman"/>
          <w:spacing w:val="-2"/>
        </w:rPr>
        <w:t xml:space="preserve"> o dani z príjmov v znení neskorších predpisov</w:t>
      </w:r>
      <w:r w:rsidRPr="000935BB">
        <w:rPr>
          <w:rFonts w:ascii="Times New Roman" w:hAnsi="Times New Roman"/>
          <w:spacing w:val="-2"/>
        </w:rPr>
        <w:t>)</w:t>
      </w:r>
      <w:r>
        <w:rPr>
          <w:rFonts w:ascii="Times New Roman" w:hAnsi="Times New Roman"/>
          <w:spacing w:val="-2"/>
        </w:rPr>
        <w:t>.</w:t>
      </w:r>
    </w:p>
    <w:p w:rsidR="00A22617" w:rsidRPr="00B10844" w:rsidP="00B10844">
      <w:pPr>
        <w:pStyle w:val="ListParagraph"/>
        <w:keepNext/>
        <w:numPr>
          <w:numId w:val="36"/>
        </w:numPr>
        <w:tabs>
          <w:tab w:val="left" w:pos="709"/>
        </w:tabs>
        <w:bidi w:val="0"/>
        <w:spacing w:after="120"/>
        <w:ind w:hanging="654"/>
        <w:jc w:val="both"/>
        <w:rPr>
          <w:rFonts w:ascii="Times New Roman" w:hAnsi="Times New Roman"/>
          <w:b/>
        </w:rPr>
      </w:pPr>
      <w:r w:rsidRPr="00B10844">
        <w:rPr>
          <w:rFonts w:ascii="Times New Roman" w:hAnsi="Times New Roman"/>
          <w:b/>
        </w:rPr>
        <w:t>Navrhované zmeny v oblasti vymeriavacieho základu</w:t>
      </w:r>
    </w:p>
    <w:p w:rsidR="008A46D0" w:rsidP="008A46D0">
      <w:pPr>
        <w:bidi w:val="0"/>
        <w:spacing w:after="120"/>
        <w:ind w:left="709"/>
        <w:jc w:val="both"/>
        <w:rPr>
          <w:rFonts w:ascii="Times New Roman" w:hAnsi="Times New Roman"/>
        </w:rPr>
      </w:pPr>
      <w:r>
        <w:rPr>
          <w:rFonts w:ascii="Times New Roman" w:hAnsi="Times New Roman"/>
        </w:rPr>
        <w:t xml:space="preserve">     </w:t>
      </w:r>
      <w:r w:rsidR="002800C9">
        <w:rPr>
          <w:rFonts w:ascii="Times New Roman" w:hAnsi="Times New Roman"/>
        </w:rPr>
        <w:t>V zásade sa navrhuje z</w:t>
      </w:r>
      <w:r w:rsidRPr="001649F0" w:rsidR="00A22617">
        <w:rPr>
          <w:rFonts w:ascii="Times New Roman" w:hAnsi="Times New Roman"/>
        </w:rPr>
        <w:t>jednotenie</w:t>
      </w:r>
      <w:r w:rsidR="002800C9">
        <w:rPr>
          <w:rFonts w:ascii="Times New Roman" w:hAnsi="Times New Roman"/>
        </w:rPr>
        <w:t xml:space="preserve"> vymeriavacieho základu pre účely platenia </w:t>
      </w:r>
      <w:r w:rsidR="00B10844">
        <w:rPr>
          <w:rFonts w:ascii="Times New Roman" w:hAnsi="Times New Roman"/>
        </w:rPr>
        <w:t xml:space="preserve">verejného </w:t>
      </w:r>
      <w:r w:rsidR="002800C9">
        <w:rPr>
          <w:rFonts w:ascii="Times New Roman" w:hAnsi="Times New Roman"/>
        </w:rPr>
        <w:t>zdravotného poistenia</w:t>
      </w:r>
      <w:r w:rsidRPr="001649F0" w:rsidR="00A22617">
        <w:rPr>
          <w:rFonts w:ascii="Times New Roman" w:hAnsi="Times New Roman"/>
        </w:rPr>
        <w:t xml:space="preserve"> s</w:t>
      </w:r>
      <w:r w:rsidR="002800C9">
        <w:rPr>
          <w:rFonts w:ascii="Times New Roman" w:hAnsi="Times New Roman"/>
        </w:rPr>
        <w:t>o zákonom o dani z príjm</w:t>
      </w:r>
      <w:r w:rsidR="00B429CC">
        <w:rPr>
          <w:rFonts w:ascii="Times New Roman" w:hAnsi="Times New Roman"/>
        </w:rPr>
        <w:t>ov</w:t>
      </w:r>
      <w:r w:rsidR="002800C9">
        <w:rPr>
          <w:rFonts w:ascii="Times New Roman" w:hAnsi="Times New Roman"/>
        </w:rPr>
        <w:t xml:space="preserve"> a zákonom o sociálnom poistení</w:t>
      </w:r>
      <w:r w:rsidR="00A22617">
        <w:rPr>
          <w:rFonts w:ascii="Times New Roman" w:hAnsi="Times New Roman"/>
        </w:rPr>
        <w:t xml:space="preserve">. </w:t>
      </w:r>
    </w:p>
    <w:p w:rsidR="00033E43" w:rsidP="00221271">
      <w:pPr>
        <w:bidi w:val="0"/>
        <w:spacing w:after="120"/>
        <w:ind w:left="709"/>
        <w:jc w:val="both"/>
        <w:rPr>
          <w:rFonts w:ascii="Times New Roman" w:hAnsi="Times New Roman"/>
        </w:rPr>
      </w:pPr>
      <w:r w:rsidR="008A46D0">
        <w:rPr>
          <w:rFonts w:ascii="Times New Roman" w:hAnsi="Times New Roman"/>
        </w:rPr>
        <w:t xml:space="preserve">     </w:t>
      </w:r>
      <w:r w:rsidR="00A22617">
        <w:rPr>
          <w:rFonts w:ascii="Times New Roman" w:hAnsi="Times New Roman"/>
        </w:rPr>
        <w:t>V</w:t>
      </w:r>
      <w:r w:rsidRPr="001649F0" w:rsidR="00A22617">
        <w:rPr>
          <w:rFonts w:ascii="Times New Roman" w:hAnsi="Times New Roman"/>
        </w:rPr>
        <w:t xml:space="preserve">ymeriavacím základom na platenie </w:t>
      </w:r>
      <w:r w:rsidR="00A22617">
        <w:rPr>
          <w:rFonts w:ascii="Times New Roman" w:hAnsi="Times New Roman"/>
        </w:rPr>
        <w:t>poistného</w:t>
      </w:r>
      <w:r w:rsidRPr="001649F0" w:rsidR="00A22617">
        <w:rPr>
          <w:rFonts w:ascii="Times New Roman" w:hAnsi="Times New Roman"/>
        </w:rPr>
        <w:t xml:space="preserve"> u </w:t>
      </w:r>
      <w:r w:rsidRPr="00274121" w:rsidR="00A22617">
        <w:rPr>
          <w:rFonts w:ascii="Times New Roman" w:hAnsi="Times New Roman"/>
          <w:b/>
        </w:rPr>
        <w:t xml:space="preserve">zamestnanca </w:t>
      </w:r>
      <w:r w:rsidRPr="001649F0" w:rsidR="00A22617">
        <w:rPr>
          <w:rFonts w:ascii="Times New Roman" w:hAnsi="Times New Roman"/>
        </w:rPr>
        <w:t>sa stane jeho</w:t>
      </w:r>
      <w:r w:rsidRPr="00274121" w:rsidR="00A22617">
        <w:rPr>
          <w:rFonts w:ascii="Times New Roman" w:hAnsi="Times New Roman"/>
          <w:b/>
        </w:rPr>
        <w:t xml:space="preserve"> príjem zdaňovaný ako príjem zo závislej činnosti</w:t>
      </w:r>
      <w:r w:rsidR="00B429CC">
        <w:rPr>
          <w:rFonts w:ascii="Times New Roman" w:hAnsi="Times New Roman"/>
          <w:b/>
        </w:rPr>
        <w:t xml:space="preserve"> zvýšený o podiel na zisku </w:t>
      </w:r>
      <w:r w:rsidRPr="00221271" w:rsidR="00B429CC">
        <w:rPr>
          <w:rFonts w:ascii="Times New Roman" w:hAnsi="Times New Roman"/>
        </w:rPr>
        <w:t>vyplaten</w:t>
      </w:r>
      <w:r w:rsidR="00B429CC">
        <w:rPr>
          <w:rFonts w:ascii="Times New Roman" w:hAnsi="Times New Roman"/>
        </w:rPr>
        <w:t>ý</w:t>
      </w:r>
      <w:r w:rsidRPr="00A86C7E" w:rsidR="00B429CC">
        <w:rPr>
          <w:rFonts w:ascii="Times New Roman" w:hAnsi="Times New Roman"/>
        </w:rPr>
        <w:t xml:space="preserve"> obchodnou spoločnosťou alebo družstvom zamestnancovi bez účasti na základnom ima</w:t>
      </w:r>
      <w:r w:rsidRPr="00221271" w:rsidR="00B429CC">
        <w:rPr>
          <w:rFonts w:ascii="Times New Roman" w:hAnsi="Times New Roman"/>
        </w:rPr>
        <w:t>ní tejto spoločnosti</w:t>
      </w:r>
      <w:r w:rsidR="001E343D">
        <w:rPr>
          <w:rFonts w:ascii="Times New Roman" w:hAnsi="Times New Roman"/>
        </w:rPr>
        <w:t xml:space="preserve"> (súčasná právna úprava)</w:t>
      </w:r>
      <w:r w:rsidRPr="00221271" w:rsidR="00B429CC">
        <w:rPr>
          <w:rFonts w:ascii="Times New Roman" w:hAnsi="Times New Roman"/>
        </w:rPr>
        <w:t xml:space="preserve"> </w:t>
      </w:r>
      <w:r w:rsidR="00B429CC">
        <w:rPr>
          <w:rFonts w:ascii="Times New Roman" w:hAnsi="Times New Roman"/>
        </w:rPr>
        <w:t xml:space="preserve">a </w:t>
      </w:r>
      <w:r w:rsidRPr="00A86C7E" w:rsidR="00B429CC">
        <w:rPr>
          <w:rFonts w:ascii="Times New Roman" w:hAnsi="Times New Roman"/>
          <w:b/>
        </w:rPr>
        <w:t>znížený o</w:t>
      </w:r>
      <w:r w:rsidR="004F66F8">
        <w:rPr>
          <w:rFonts w:ascii="Times New Roman" w:hAnsi="Times New Roman"/>
          <w:b/>
        </w:rPr>
        <w:t> </w:t>
      </w:r>
      <w:r w:rsidR="008A46D0">
        <w:rPr>
          <w:rFonts w:ascii="Times New Roman" w:hAnsi="Times New Roman"/>
          <w:b/>
        </w:rPr>
        <w:t xml:space="preserve"> odpočítateľnú </w:t>
      </w:r>
      <w:r w:rsidRPr="00A86C7E" w:rsidR="008A46D0">
        <w:rPr>
          <w:rFonts w:ascii="Times New Roman" w:hAnsi="Times New Roman"/>
        </w:rPr>
        <w:t>položk</w:t>
      </w:r>
      <w:r w:rsidRPr="00221271" w:rsidR="008A46D0">
        <w:rPr>
          <w:rFonts w:ascii="Times New Roman" w:hAnsi="Times New Roman"/>
        </w:rPr>
        <w:t>u</w:t>
      </w:r>
      <w:r w:rsidR="004F66F8">
        <w:rPr>
          <w:rFonts w:ascii="Times New Roman" w:hAnsi="Times New Roman"/>
        </w:rPr>
        <w:t xml:space="preserve"> z vymeriavacieho základu</w:t>
      </w:r>
      <w:r w:rsidRPr="00221271" w:rsidR="008A46D0">
        <w:rPr>
          <w:rFonts w:ascii="Times New Roman" w:hAnsi="Times New Roman"/>
        </w:rPr>
        <w:t xml:space="preserve"> podľa § 13a zákona č. 580/200</w:t>
      </w:r>
      <w:r w:rsidR="008A46D0">
        <w:rPr>
          <w:rFonts w:ascii="Times New Roman" w:hAnsi="Times New Roman"/>
        </w:rPr>
        <w:t>4</w:t>
      </w:r>
      <w:r w:rsidRPr="00A86C7E" w:rsidR="008A46D0">
        <w:rPr>
          <w:rFonts w:ascii="Times New Roman" w:hAnsi="Times New Roman"/>
        </w:rPr>
        <w:t xml:space="preserve"> Z. z. v znení neskorších predpisov</w:t>
      </w:r>
      <w:r w:rsidRPr="00A86C7E" w:rsidR="001E343D">
        <w:rPr>
          <w:rFonts w:ascii="Times New Roman" w:hAnsi="Times New Roman"/>
        </w:rPr>
        <w:t xml:space="preserve"> (zmena v návrhu zákona)</w:t>
      </w:r>
      <w:r w:rsidRPr="00A86C7E" w:rsidR="008A46D0">
        <w:rPr>
          <w:rFonts w:ascii="Times New Roman" w:hAnsi="Times New Roman"/>
        </w:rPr>
        <w:t>,</w:t>
      </w:r>
      <w:r w:rsidRPr="00A86C7E" w:rsidR="008A46D0">
        <w:rPr>
          <w:rFonts w:ascii="Times New Roman" w:hAnsi="Times New Roman"/>
          <w:b/>
        </w:rPr>
        <w:t xml:space="preserve"> o </w:t>
      </w:r>
      <w:r w:rsidRPr="00A86C7E" w:rsidR="00B429CC">
        <w:rPr>
          <w:rFonts w:ascii="Times New Roman" w:hAnsi="Times New Roman"/>
          <w:b/>
        </w:rPr>
        <w:t>príspevky</w:t>
      </w:r>
      <w:r w:rsidRPr="00A86C7E" w:rsidR="00B429CC">
        <w:rPr>
          <w:rFonts w:ascii="Times New Roman" w:hAnsi="Times New Roman"/>
        </w:rPr>
        <w:t xml:space="preserve"> na doplnkové dôchodkové sporenie, ktoré platí zamestnávateľ za zamestnanca </w:t>
      </w:r>
      <w:r w:rsidRPr="00A86C7E" w:rsidR="008A46D0">
        <w:rPr>
          <w:rFonts w:ascii="Times New Roman" w:hAnsi="Times New Roman"/>
        </w:rPr>
        <w:t>a o príjmy</w:t>
      </w:r>
      <w:r w:rsidRPr="00A86C7E" w:rsidR="00B429CC">
        <w:rPr>
          <w:rFonts w:ascii="Times New Roman" w:hAnsi="Times New Roman"/>
        </w:rPr>
        <w:t xml:space="preserve"> zamestnanca </w:t>
      </w:r>
      <w:r w:rsidRPr="00A86C7E" w:rsidR="008A46D0">
        <w:rPr>
          <w:rFonts w:ascii="Times New Roman" w:hAnsi="Times New Roman"/>
        </w:rPr>
        <w:t xml:space="preserve">poskytované zamestnávateľom </w:t>
      </w:r>
      <w:r w:rsidRPr="00A86C7E" w:rsidR="008A46D0">
        <w:rPr>
          <w:rFonts w:ascii="Times New Roman" w:hAnsi="Times New Roman"/>
          <w:b/>
        </w:rPr>
        <w:t xml:space="preserve">podľa </w:t>
      </w:r>
      <w:r w:rsidRPr="00A86C7E" w:rsidR="008A46D0">
        <w:rPr>
          <w:rFonts w:ascii="Times New Roman" w:hAnsi="Times New Roman"/>
          <w:b/>
          <w:color w:val="000000"/>
          <w:lang w:eastAsia="en-US"/>
        </w:rPr>
        <w:t>§ 50a zákona</w:t>
      </w:r>
      <w:r w:rsidRPr="00A86C7E" w:rsidR="008A46D0">
        <w:rPr>
          <w:rFonts w:ascii="Times New Roman" w:hAnsi="Times New Roman"/>
          <w:color w:val="000000"/>
          <w:lang w:eastAsia="en-US"/>
        </w:rPr>
        <w:t xml:space="preserve"> </w:t>
      </w:r>
      <w:r w:rsidRPr="00A86C7E" w:rsidR="008A46D0">
        <w:rPr>
          <w:rFonts w:ascii="Times New Roman" w:hAnsi="Times New Roman"/>
          <w:b/>
          <w:color w:val="000000"/>
          <w:lang w:eastAsia="en-US"/>
        </w:rPr>
        <w:t>č. 5/2004 Z. z</w:t>
      </w:r>
      <w:r w:rsidRPr="00A86C7E" w:rsidR="008A46D0">
        <w:rPr>
          <w:rFonts w:ascii="Times New Roman" w:hAnsi="Times New Roman"/>
          <w:color w:val="000000"/>
          <w:lang w:eastAsia="en-US"/>
        </w:rPr>
        <w:t>. o službách zamestnanosti a o zmene a doplnení niektorých zákonov v znení neskorších predpisov</w:t>
      </w:r>
      <w:r w:rsidRPr="00A86C7E" w:rsidR="001E343D">
        <w:rPr>
          <w:rFonts w:ascii="Times New Roman" w:hAnsi="Times New Roman"/>
          <w:color w:val="000000"/>
          <w:lang w:eastAsia="en-US"/>
        </w:rPr>
        <w:t xml:space="preserve"> (zmena v návrhu zákona)</w:t>
      </w:r>
      <w:r w:rsidRPr="00A86C7E" w:rsidR="00B429CC">
        <w:rPr>
          <w:rFonts w:ascii="Times New Roman" w:hAnsi="Times New Roman"/>
        </w:rPr>
        <w:t xml:space="preserve">. </w:t>
      </w:r>
      <w:r w:rsidRPr="00A86C7E" w:rsidR="00F0537C">
        <w:rPr>
          <w:rFonts w:ascii="Times New Roman" w:hAnsi="Times New Roman"/>
        </w:rPr>
        <w:t xml:space="preserve">Vylúčenie príjmov zamestnanca poskytovaných zamestnávateľom podľa § 50a zákona č. 5/2004 Z. z. o službách v zamestnanosti a o zmene a doplnení niektorých zákonov v znení neskorších predpisov bude realizované v rokoch 2012 a 2013, nakoľko s účinnosťou od 1. januára 2012 sa § 50a vypúšťa zo zákona a z tohto dôvodu uvedené príjmy budú dobiehať dva roky na základe dohôd uzatvorených do 31. decembra 2011. </w:t>
      </w:r>
      <w:r w:rsidRPr="00A86C7E" w:rsidR="008A46D0">
        <w:rPr>
          <w:rFonts w:ascii="Times New Roman" w:hAnsi="Times New Roman"/>
        </w:rPr>
        <w:t>Pri</w:t>
      </w:r>
      <w:r w:rsidR="008A46D0">
        <w:rPr>
          <w:rFonts w:ascii="Times New Roman" w:hAnsi="Times New Roman"/>
        </w:rPr>
        <w:t xml:space="preserve"> zamestnancoch ozbrojených zložiek bude zdaňovaný príjem zo závislej činnosti vyňatý z vymeriavacieho základu na platenie poistného na verejné zdravotné poistenie aj pri </w:t>
      </w:r>
      <w:r w:rsidRPr="00A86C7E" w:rsidR="008A46D0">
        <w:rPr>
          <w:rFonts w:ascii="Times New Roman" w:hAnsi="Times New Roman"/>
          <w:b/>
        </w:rPr>
        <w:t>odchodnom, výsluhovom príspevku a rekreačnej starostlivosti</w:t>
      </w:r>
      <w:r w:rsidR="008A46D0">
        <w:rPr>
          <w:rFonts w:ascii="Times New Roman" w:hAnsi="Times New Roman"/>
        </w:rPr>
        <w:t xml:space="preserve"> v súlade so zákonom č. 580/2004 Z. z. v znení neskorších predpisov účinnom od 1. augusta 2011.</w:t>
      </w:r>
    </w:p>
    <w:p w:rsidR="00033E43" w:rsidRPr="00A86C7E" w:rsidP="00B9559B">
      <w:pPr>
        <w:bidi w:val="0"/>
        <w:spacing w:after="120"/>
        <w:ind w:left="709"/>
        <w:jc w:val="both"/>
        <w:rPr>
          <w:rFonts w:ascii="Times New Roman" w:hAnsi="Times New Roman"/>
          <w:color w:val="000000"/>
          <w:vertAlign w:val="superscript"/>
          <w:lang w:eastAsia="en-US"/>
        </w:rPr>
      </w:pPr>
      <w:r w:rsidR="008A46D0">
        <w:rPr>
          <w:rFonts w:ascii="Times New Roman" w:hAnsi="Times New Roman"/>
        </w:rPr>
        <w:t xml:space="preserve">     Pri príjmoch z podnikania a z inej samostatnej zárobkovej činnosti bude vymeriavací základ na verejné zdravotné poistenie zhodný s</w:t>
      </w:r>
      <w:r>
        <w:rPr>
          <w:rFonts w:ascii="Times New Roman" w:hAnsi="Times New Roman"/>
        </w:rPr>
        <w:t> čiastkovým základom dane z príjmov podľa</w:t>
      </w:r>
      <w:r w:rsidR="008A46D0">
        <w:rPr>
          <w:rFonts w:ascii="Times New Roman" w:hAnsi="Times New Roman"/>
        </w:rPr>
        <w:t xml:space="preserve"> § 6 ods. 1 a 2 zákona č. 595/2003 Z. z. o dani z príjmov v znení neskorších predpisov</w:t>
      </w:r>
      <w:r>
        <w:rPr>
          <w:rFonts w:ascii="Times New Roman" w:hAnsi="Times New Roman"/>
        </w:rPr>
        <w:t>, a to</w:t>
      </w:r>
      <w:r w:rsidR="008A46D0">
        <w:rPr>
          <w:rFonts w:ascii="Times New Roman" w:hAnsi="Times New Roman"/>
        </w:rPr>
        <w:t xml:space="preserve"> s výnimkou príjmov z výkonu činnosti osobného asistenta podľa </w:t>
      </w:r>
      <w:r w:rsidRPr="00992C13" w:rsidR="008A46D0">
        <w:rPr>
          <w:rFonts w:ascii="Times New Roman" w:hAnsi="Times New Roman"/>
          <w:color w:val="000000"/>
          <w:lang w:eastAsia="en-US"/>
        </w:rPr>
        <w:t>§ 20 zákona č. 447/2008 Z. z. o peňažných príspevkov na kompenzáciu ťažkého zdravotného postihnutia a o zmene a doplnení niektorých zákonov v znení neskorších predpisov</w:t>
      </w:r>
      <w:r w:rsidR="001E343D">
        <w:rPr>
          <w:rFonts w:ascii="Times New Roman" w:hAnsi="Times New Roman"/>
          <w:color w:val="000000"/>
          <w:lang w:eastAsia="en-US"/>
        </w:rPr>
        <w:t>, čo zodpovedá súčasnej právnej úprave.</w:t>
      </w:r>
    </w:p>
    <w:p w:rsidR="00033E43" w:rsidP="00B9559B">
      <w:pPr>
        <w:bidi w:val="0"/>
        <w:spacing w:after="120"/>
        <w:ind w:left="709"/>
        <w:jc w:val="both"/>
        <w:rPr>
          <w:rFonts w:ascii="Times New Roman" w:hAnsi="Times New Roman"/>
        </w:rPr>
      </w:pPr>
      <w:r>
        <w:rPr>
          <w:rFonts w:ascii="Times New Roman" w:hAnsi="Times New Roman"/>
        </w:rPr>
        <w:t xml:space="preserve">     Z príjmov, ktoré nie sú predmetom dane z príjmov a svojich charakterom patria do kapitálových príjmov, budú do vymeriavacieho základu na verejné zdravotné poistenie započítavané príjmy z podielov </w:t>
      </w:r>
      <w:r w:rsidR="001E343D">
        <w:rPr>
          <w:rFonts w:ascii="Times New Roman" w:hAnsi="Times New Roman"/>
        </w:rPr>
        <w:t>na zisku a z dividend podľa súčasnej platnej právnej úpravy.</w:t>
      </w:r>
    </w:p>
    <w:p w:rsidR="00221271" w:rsidP="00B9559B">
      <w:pPr>
        <w:bidi w:val="0"/>
        <w:spacing w:after="120"/>
        <w:ind w:left="709"/>
        <w:jc w:val="both"/>
        <w:rPr>
          <w:rFonts w:ascii="Times New Roman" w:hAnsi="Times New Roman"/>
        </w:rPr>
      </w:pPr>
      <w:r w:rsidR="00033E43">
        <w:rPr>
          <w:rFonts w:ascii="Times New Roman" w:hAnsi="Times New Roman"/>
        </w:rPr>
        <w:t xml:space="preserve">     Ostatné zdaňované príjmy, t.j. príjmy z prenájmu (§ 6 ods. 3 zákona č. 595/2003 Z. z. o dani z príjmov v znení neskorších predpisov) a príjmy z § 7 a § 8 zákona č. 595/2003 Z. z. o dani z príjmov v znení neskorších predpisov nebudú vstupovať do vymeriavacieho základu</w:t>
      </w:r>
      <w:r w:rsidR="001E343D">
        <w:rPr>
          <w:rFonts w:ascii="Times New Roman" w:hAnsi="Times New Roman"/>
        </w:rPr>
        <w:t xml:space="preserve"> na verejné zdravotné poistenie, čo predstavuje zmenu oproti súčasnej právnej úprave a táto zmena je premietnutá v návrhu zákona.</w:t>
      </w:r>
    </w:p>
    <w:p w:rsidR="00033E43" w:rsidRPr="001649F0" w:rsidP="00B9559B">
      <w:pPr>
        <w:bidi w:val="0"/>
        <w:spacing w:after="120"/>
        <w:ind w:left="709"/>
        <w:jc w:val="both"/>
        <w:rPr>
          <w:rFonts w:ascii="Times New Roman" w:hAnsi="Times New Roman"/>
        </w:rPr>
      </w:pPr>
      <w:r>
        <w:rPr>
          <w:rFonts w:ascii="Times New Roman" w:hAnsi="Times New Roman"/>
        </w:rPr>
        <w:t xml:space="preserve">     Najdôležitejšie zmeny v zákona o zdravotnom poistení:</w:t>
      </w:r>
    </w:p>
    <w:p w:rsidR="00A22617" w:rsidRPr="000E2DC0" w:rsidP="0042706F">
      <w:pPr>
        <w:numPr>
          <w:numId w:val="26"/>
        </w:numPr>
        <w:tabs>
          <w:tab w:val="left" w:pos="993"/>
        </w:tabs>
        <w:bidi w:val="0"/>
        <w:spacing w:after="120"/>
        <w:ind w:left="993" w:hanging="284"/>
        <w:jc w:val="both"/>
        <w:rPr>
          <w:rFonts w:ascii="Times New Roman" w:hAnsi="Times New Roman"/>
        </w:rPr>
      </w:pPr>
      <w:r w:rsidRPr="00B570FD">
        <w:rPr>
          <w:rFonts w:ascii="Times New Roman" w:hAnsi="Times New Roman"/>
          <w:b/>
          <w:bCs/>
        </w:rPr>
        <w:t xml:space="preserve">Poistné na </w:t>
      </w:r>
      <w:r w:rsidRPr="00B570FD" w:rsidR="008324CB">
        <w:rPr>
          <w:rFonts w:ascii="Times New Roman" w:hAnsi="Times New Roman"/>
          <w:b/>
          <w:bCs/>
        </w:rPr>
        <w:t xml:space="preserve">verejné </w:t>
      </w:r>
      <w:r w:rsidRPr="00B570FD">
        <w:rPr>
          <w:rFonts w:ascii="Times New Roman" w:hAnsi="Times New Roman"/>
          <w:b/>
          <w:bCs/>
        </w:rPr>
        <w:t xml:space="preserve">zdravotné poistenie </w:t>
      </w:r>
      <w:r w:rsidRPr="00B570FD">
        <w:rPr>
          <w:rFonts w:ascii="Times New Roman" w:hAnsi="Times New Roman"/>
          <w:bCs/>
        </w:rPr>
        <w:t xml:space="preserve">bude pre všetkých rovnaké </w:t>
      </w:r>
      <w:r w:rsidRPr="00B570FD">
        <w:rPr>
          <w:rFonts w:ascii="Times New Roman" w:hAnsi="Times New Roman"/>
          <w:b/>
          <w:bCs/>
        </w:rPr>
        <w:t xml:space="preserve">so sadzbou 9 % </w:t>
      </w:r>
      <w:r w:rsidRPr="00B570FD">
        <w:rPr>
          <w:rFonts w:ascii="Times New Roman" w:hAnsi="Times New Roman"/>
          <w:bCs/>
        </w:rPr>
        <w:t xml:space="preserve">s výnimkou poistného na </w:t>
      </w:r>
      <w:r w:rsidRPr="00B570FD" w:rsidR="00CB5E85">
        <w:rPr>
          <w:rFonts w:ascii="Times New Roman" w:hAnsi="Times New Roman"/>
          <w:bCs/>
        </w:rPr>
        <w:t xml:space="preserve">verejné </w:t>
      </w:r>
      <w:r w:rsidRPr="000E2DC0">
        <w:rPr>
          <w:rFonts w:ascii="Times New Roman" w:hAnsi="Times New Roman"/>
        </w:rPr>
        <w:t>zdravotné</w:t>
      </w:r>
      <w:r>
        <w:rPr>
          <w:rFonts w:ascii="Times New Roman" w:hAnsi="Times New Roman"/>
        </w:rPr>
        <w:t xml:space="preserve"> poistenie</w:t>
      </w:r>
      <w:r w:rsidRPr="000E2DC0">
        <w:rPr>
          <w:rFonts w:ascii="Times New Roman" w:hAnsi="Times New Roman"/>
        </w:rPr>
        <w:t xml:space="preserve"> </w:t>
      </w:r>
      <w:r w:rsidRPr="00B570FD">
        <w:rPr>
          <w:rFonts w:ascii="Times New Roman" w:hAnsi="Times New Roman"/>
          <w:b/>
        </w:rPr>
        <w:t>pre zdravotne ťažko postihnutých a osoby, ktoré sú poberateľmi invalidných dôchodkov</w:t>
      </w:r>
      <w:r w:rsidRPr="00B570FD" w:rsidR="00B429CC">
        <w:rPr>
          <w:rFonts w:ascii="Times New Roman" w:hAnsi="Times New Roman"/>
          <w:b/>
        </w:rPr>
        <w:t xml:space="preserve">, </w:t>
      </w:r>
      <w:r w:rsidRPr="00A86C7E" w:rsidR="00B429CC">
        <w:rPr>
          <w:rFonts w:ascii="Times New Roman" w:hAnsi="Times New Roman"/>
        </w:rPr>
        <w:t>kde bude sadzba</w:t>
      </w:r>
      <w:r w:rsidRPr="00B570FD">
        <w:rPr>
          <w:rFonts w:ascii="Times New Roman" w:hAnsi="Times New Roman"/>
          <w:b/>
        </w:rPr>
        <w:t xml:space="preserve"> </w:t>
      </w:r>
      <w:r w:rsidRPr="000E2DC0">
        <w:rPr>
          <w:rFonts w:ascii="Times New Roman" w:hAnsi="Times New Roman"/>
        </w:rPr>
        <w:t>vo výšk</w:t>
      </w:r>
      <w:r w:rsidRPr="00B570FD">
        <w:rPr>
          <w:rFonts w:ascii="Times New Roman" w:hAnsi="Times New Roman"/>
          <w:b/>
        </w:rPr>
        <w:t xml:space="preserve">e 4,5 %. </w:t>
      </w:r>
      <w:r>
        <w:rPr>
          <w:rFonts w:ascii="Times New Roman" w:hAnsi="Times New Roman"/>
        </w:rPr>
        <w:t>Z</w:t>
      </w:r>
      <w:r w:rsidRPr="000E2DC0">
        <w:rPr>
          <w:rFonts w:ascii="Times New Roman" w:hAnsi="Times New Roman"/>
        </w:rPr>
        <w:t xml:space="preserve">avádza sa </w:t>
      </w:r>
      <w:r w:rsidRPr="00B570FD">
        <w:rPr>
          <w:rFonts w:ascii="Times New Roman" w:hAnsi="Times New Roman"/>
          <w:b/>
          <w:bCs/>
        </w:rPr>
        <w:t>odpočítateľná položka</w:t>
      </w:r>
      <w:r w:rsidRPr="00B570FD" w:rsidR="004F66F8">
        <w:rPr>
          <w:rFonts w:ascii="Times New Roman" w:hAnsi="Times New Roman"/>
          <w:b/>
          <w:bCs/>
        </w:rPr>
        <w:t xml:space="preserve"> z vymeriavacieho základu</w:t>
      </w:r>
      <w:r w:rsidRPr="00B570FD">
        <w:rPr>
          <w:rFonts w:ascii="Times New Roman" w:hAnsi="Times New Roman"/>
          <w:b/>
          <w:bCs/>
        </w:rPr>
        <w:t xml:space="preserve"> </w:t>
      </w:r>
      <w:r w:rsidRPr="00B570FD" w:rsidR="004F66F8">
        <w:rPr>
          <w:rFonts w:ascii="Times New Roman" w:hAnsi="Times New Roman"/>
          <w:bCs/>
        </w:rPr>
        <w:t>(ďalej len „O</w:t>
      </w:r>
      <w:r w:rsidRPr="00B570FD">
        <w:rPr>
          <w:rFonts w:ascii="Times New Roman" w:hAnsi="Times New Roman"/>
          <w:bCs/>
        </w:rPr>
        <w:t>P</w:t>
      </w:r>
      <w:r w:rsidRPr="00B570FD" w:rsidR="004F66F8">
        <w:rPr>
          <w:rFonts w:ascii="Times New Roman" w:hAnsi="Times New Roman"/>
          <w:bCs/>
        </w:rPr>
        <w:t>VZ</w:t>
      </w:r>
      <w:r w:rsidRPr="00B570FD">
        <w:rPr>
          <w:rFonts w:ascii="Times New Roman" w:hAnsi="Times New Roman"/>
          <w:bCs/>
        </w:rPr>
        <w:t>“)</w:t>
      </w:r>
      <w:r w:rsidRPr="00B570FD">
        <w:rPr>
          <w:rFonts w:ascii="Times New Roman" w:hAnsi="Times New Roman"/>
          <w:b/>
          <w:bCs/>
        </w:rPr>
        <w:t xml:space="preserve"> na príjmy z</w:t>
      </w:r>
      <w:r w:rsidRPr="00B570FD" w:rsidR="00CB5E85">
        <w:rPr>
          <w:rFonts w:ascii="Times New Roman" w:hAnsi="Times New Roman"/>
          <w:b/>
          <w:bCs/>
        </w:rPr>
        <w:t> </w:t>
      </w:r>
      <w:r w:rsidRPr="00B570FD">
        <w:rPr>
          <w:rFonts w:ascii="Times New Roman" w:hAnsi="Times New Roman"/>
          <w:b/>
          <w:bCs/>
        </w:rPr>
        <w:t>dohôd</w:t>
      </w:r>
      <w:r w:rsidRPr="00B570FD" w:rsidR="00CB5E85">
        <w:rPr>
          <w:rFonts w:ascii="Times New Roman" w:hAnsi="Times New Roman"/>
          <w:b/>
          <w:bCs/>
        </w:rPr>
        <w:t xml:space="preserve"> </w:t>
      </w:r>
      <w:r w:rsidRPr="00B570FD" w:rsidR="00CB5E85">
        <w:rPr>
          <w:rFonts w:ascii="Times New Roman" w:hAnsi="Times New Roman"/>
          <w:bCs/>
        </w:rPr>
        <w:t>o prácach vykonávanými mimo pracovného pomeru (ďalej len „dohôd“), a to</w:t>
      </w:r>
      <w:r w:rsidRPr="000E2DC0">
        <w:rPr>
          <w:rFonts w:ascii="Times New Roman" w:hAnsi="Times New Roman"/>
        </w:rPr>
        <w:t xml:space="preserve"> maximálne do výšky 190 </w:t>
      </w:r>
      <w:r w:rsidR="00CB5E85">
        <w:rPr>
          <w:rFonts w:ascii="Times New Roman" w:hAnsi="Times New Roman"/>
        </w:rPr>
        <w:t>e</w:t>
      </w:r>
      <w:r w:rsidRPr="000E2DC0">
        <w:rPr>
          <w:rFonts w:ascii="Times New Roman" w:hAnsi="Times New Roman"/>
        </w:rPr>
        <w:t>ur mesačne (2</w:t>
      </w:r>
      <w:r>
        <w:rPr>
          <w:rFonts w:ascii="Times New Roman" w:hAnsi="Times New Roman"/>
        </w:rPr>
        <w:t xml:space="preserve"> </w:t>
      </w:r>
      <w:r w:rsidRPr="000E2DC0">
        <w:rPr>
          <w:rFonts w:ascii="Times New Roman" w:hAnsi="Times New Roman"/>
        </w:rPr>
        <w:t xml:space="preserve">280 </w:t>
      </w:r>
      <w:r w:rsidR="00CB5E85">
        <w:rPr>
          <w:rFonts w:ascii="Times New Roman" w:hAnsi="Times New Roman"/>
        </w:rPr>
        <w:t>e</w:t>
      </w:r>
      <w:r w:rsidRPr="000E2DC0">
        <w:rPr>
          <w:rFonts w:ascii="Times New Roman" w:hAnsi="Times New Roman"/>
        </w:rPr>
        <w:t xml:space="preserve">ur ročne). Tento príjem nebude podliehať </w:t>
      </w:r>
      <w:r>
        <w:rPr>
          <w:rFonts w:ascii="Times New Roman" w:hAnsi="Times New Roman"/>
        </w:rPr>
        <w:t xml:space="preserve">poistnému na </w:t>
      </w:r>
      <w:r w:rsidR="00CB5E85">
        <w:rPr>
          <w:rFonts w:ascii="Times New Roman" w:hAnsi="Times New Roman"/>
        </w:rPr>
        <w:t xml:space="preserve">verejné </w:t>
      </w:r>
      <w:r>
        <w:rPr>
          <w:rFonts w:ascii="Times New Roman" w:hAnsi="Times New Roman"/>
        </w:rPr>
        <w:t xml:space="preserve">zdravotné poistenie. </w:t>
      </w:r>
      <w:r w:rsidR="004F66F8">
        <w:rPr>
          <w:rFonts w:ascii="Times New Roman" w:hAnsi="Times New Roman"/>
        </w:rPr>
        <w:t>O</w:t>
      </w:r>
      <w:r w:rsidRPr="000E2DC0">
        <w:rPr>
          <w:rFonts w:ascii="Times New Roman" w:hAnsi="Times New Roman"/>
        </w:rPr>
        <w:t>P</w:t>
      </w:r>
      <w:r w:rsidR="004F66F8">
        <w:rPr>
          <w:rFonts w:ascii="Times New Roman" w:hAnsi="Times New Roman"/>
        </w:rPr>
        <w:t>VZ</w:t>
      </w:r>
      <w:r w:rsidRPr="000E2DC0">
        <w:rPr>
          <w:rFonts w:ascii="Times New Roman" w:hAnsi="Times New Roman"/>
        </w:rPr>
        <w:t xml:space="preserve"> sa bude vzťahovať na každú osobu s príjmom z dohôd, avšak pri osobe so súbehom príjmov (SZČO, zamestnanec, </w:t>
      </w:r>
      <w:r w:rsidR="00D058B2">
        <w:rPr>
          <w:rFonts w:ascii="Times New Roman" w:hAnsi="Times New Roman"/>
        </w:rPr>
        <w:t>fyzická osoba pracujúca na dohodu</w:t>
      </w:r>
      <w:r>
        <w:rPr>
          <w:rFonts w:ascii="Times New Roman" w:hAnsi="Times New Roman"/>
        </w:rPr>
        <w:t>, prijímateľ podielov na zisku, dividend</w:t>
      </w:r>
      <w:r w:rsidRPr="000E2DC0">
        <w:rPr>
          <w:rFonts w:ascii="Times New Roman" w:hAnsi="Times New Roman"/>
        </w:rPr>
        <w:t>)</w:t>
      </w:r>
      <w:r w:rsidR="00CB5E85">
        <w:rPr>
          <w:rFonts w:ascii="Times New Roman" w:hAnsi="Times New Roman"/>
        </w:rPr>
        <w:t>,</w:t>
      </w:r>
      <w:r w:rsidR="004F66F8">
        <w:rPr>
          <w:rFonts w:ascii="Times New Roman" w:hAnsi="Times New Roman"/>
        </w:rPr>
        <w:t xml:space="preserve"> sa bude O</w:t>
      </w:r>
      <w:r w:rsidRPr="000E2DC0">
        <w:rPr>
          <w:rFonts w:ascii="Times New Roman" w:hAnsi="Times New Roman"/>
        </w:rPr>
        <w:t>P</w:t>
      </w:r>
      <w:r w:rsidR="004F66F8">
        <w:rPr>
          <w:rFonts w:ascii="Times New Roman" w:hAnsi="Times New Roman"/>
        </w:rPr>
        <w:t>VZ</w:t>
      </w:r>
      <w:r w:rsidRPr="000E2DC0">
        <w:rPr>
          <w:rFonts w:ascii="Times New Roman" w:hAnsi="Times New Roman"/>
        </w:rPr>
        <w:t xml:space="preserve"> znižovať o výšku príjmu z iných druhov činností</w:t>
      </w:r>
      <w:r>
        <w:rPr>
          <w:rFonts w:ascii="Times New Roman" w:hAnsi="Times New Roman"/>
        </w:rPr>
        <w:t>;</w:t>
      </w:r>
      <w:r w:rsidRPr="000E2DC0">
        <w:rPr>
          <w:rFonts w:ascii="Times New Roman" w:hAnsi="Times New Roman"/>
        </w:rPr>
        <w:t xml:space="preserve"> </w:t>
      </w:r>
    </w:p>
    <w:p w:rsidR="00A22617" w:rsidRPr="000E2DC0" w:rsidP="00221271">
      <w:pPr>
        <w:numPr>
          <w:numId w:val="26"/>
        </w:numPr>
        <w:tabs>
          <w:tab w:val="left" w:pos="993"/>
        </w:tabs>
        <w:bidi w:val="0"/>
        <w:spacing w:after="120"/>
        <w:ind w:left="993" w:hanging="284"/>
        <w:jc w:val="both"/>
        <w:rPr>
          <w:rFonts w:ascii="Times New Roman" w:hAnsi="Times New Roman"/>
        </w:rPr>
      </w:pPr>
      <w:r>
        <w:rPr>
          <w:rFonts w:ascii="Times New Roman" w:hAnsi="Times New Roman"/>
          <w:b/>
          <w:bCs/>
        </w:rPr>
        <w:t>Z</w:t>
      </w:r>
      <w:r w:rsidRPr="000E2DC0">
        <w:rPr>
          <w:rFonts w:ascii="Times New Roman" w:hAnsi="Times New Roman"/>
          <w:b/>
          <w:bCs/>
        </w:rPr>
        <w:t xml:space="preserve"> pasívnych príjmov </w:t>
      </w:r>
      <w:r w:rsidRPr="00A86C7E" w:rsidR="00CB5E85">
        <w:rPr>
          <w:rFonts w:ascii="Times New Roman" w:hAnsi="Times New Roman"/>
          <w:bCs/>
        </w:rPr>
        <w:t>(§ 6 ods. 3, § 7 a § 8 zákona č. 595/2003 Z. z. o dani z príjmov v znení neskorších predpisov)</w:t>
      </w:r>
      <w:r w:rsidR="00CB5E85">
        <w:rPr>
          <w:rFonts w:ascii="Times New Roman" w:hAnsi="Times New Roman"/>
          <w:b/>
          <w:bCs/>
        </w:rPr>
        <w:t xml:space="preserve"> </w:t>
      </w:r>
      <w:r w:rsidRPr="000E2DC0">
        <w:rPr>
          <w:rFonts w:ascii="Times New Roman" w:hAnsi="Times New Roman"/>
          <w:b/>
          <w:bCs/>
        </w:rPr>
        <w:t>sa všeobecne nebud</w:t>
      </w:r>
      <w:r>
        <w:rPr>
          <w:rFonts w:ascii="Times New Roman" w:hAnsi="Times New Roman"/>
          <w:b/>
          <w:bCs/>
        </w:rPr>
        <w:t>e</w:t>
      </w:r>
      <w:r w:rsidRPr="000E2DC0">
        <w:rPr>
          <w:rFonts w:ascii="Times New Roman" w:hAnsi="Times New Roman"/>
          <w:b/>
          <w:bCs/>
        </w:rPr>
        <w:t xml:space="preserve"> platiť </w:t>
      </w:r>
      <w:r>
        <w:rPr>
          <w:rFonts w:ascii="Times New Roman" w:hAnsi="Times New Roman"/>
          <w:b/>
          <w:bCs/>
        </w:rPr>
        <w:t>poistné</w:t>
      </w:r>
      <w:r w:rsidR="00CB5E85">
        <w:rPr>
          <w:rFonts w:ascii="Times New Roman" w:hAnsi="Times New Roman"/>
          <w:b/>
          <w:bCs/>
        </w:rPr>
        <w:t xml:space="preserve">, </w:t>
      </w:r>
      <w:r w:rsidRPr="00A86C7E" w:rsidR="00CB5E85">
        <w:rPr>
          <w:rFonts w:ascii="Times New Roman" w:hAnsi="Times New Roman"/>
          <w:bCs/>
        </w:rPr>
        <w:t>t.j.</w:t>
      </w:r>
      <w:r w:rsidRPr="00221271">
        <w:rPr>
          <w:rFonts w:ascii="Times New Roman" w:hAnsi="Times New Roman"/>
          <w:b/>
          <w:bCs/>
        </w:rPr>
        <w:t xml:space="preserve"> </w:t>
      </w:r>
      <w:r w:rsidR="00CB5E85">
        <w:rPr>
          <w:rFonts w:ascii="Times New Roman" w:hAnsi="Times New Roman"/>
        </w:rPr>
        <w:t>p</w:t>
      </w:r>
      <w:r w:rsidRPr="000E2DC0">
        <w:rPr>
          <w:rFonts w:ascii="Times New Roman" w:hAnsi="Times New Roman"/>
        </w:rPr>
        <w:t xml:space="preserve">ríjmy z prenájmu ani ďalšie kapitálové príjmy nebudú zaťažené žiadnym </w:t>
      </w:r>
      <w:r>
        <w:rPr>
          <w:rFonts w:ascii="Times New Roman" w:hAnsi="Times New Roman"/>
        </w:rPr>
        <w:t>poistným</w:t>
      </w:r>
      <w:r w:rsidR="00CA7115">
        <w:rPr>
          <w:rFonts w:ascii="Times New Roman" w:hAnsi="Times New Roman"/>
        </w:rPr>
        <w:t>.</w:t>
      </w:r>
      <w:r w:rsidRPr="000E2DC0">
        <w:rPr>
          <w:rFonts w:ascii="Times New Roman" w:hAnsi="Times New Roman"/>
        </w:rPr>
        <w:t xml:space="preserve"> </w:t>
      </w:r>
      <w:r w:rsidRPr="00221271">
        <w:rPr>
          <w:rFonts w:ascii="Times New Roman" w:hAnsi="Times New Roman"/>
          <w:b/>
          <w:bCs/>
        </w:rPr>
        <w:t xml:space="preserve">Povinnosť platenia poistného </w:t>
      </w:r>
      <w:r w:rsidRPr="00221271" w:rsidR="00CB5E85">
        <w:rPr>
          <w:rFonts w:ascii="Times New Roman" w:hAnsi="Times New Roman"/>
          <w:b/>
          <w:bCs/>
        </w:rPr>
        <w:t>ostane</w:t>
      </w:r>
      <w:r w:rsidR="00CB5E85">
        <w:rPr>
          <w:rFonts w:ascii="Times New Roman" w:hAnsi="Times New Roman"/>
          <w:b/>
          <w:bCs/>
        </w:rPr>
        <w:t xml:space="preserve"> z týchto príjmov zachovaná</w:t>
      </w:r>
      <w:r w:rsidRPr="00221271" w:rsidR="00CB5E85">
        <w:rPr>
          <w:rFonts w:ascii="Times New Roman" w:hAnsi="Times New Roman"/>
          <w:b/>
          <w:bCs/>
        </w:rPr>
        <w:t xml:space="preserve"> tak ako je v súčasnosti len </w:t>
      </w:r>
      <w:r w:rsidRPr="00B9559B" w:rsidR="00CB5E85">
        <w:rPr>
          <w:rFonts w:ascii="Times New Roman" w:hAnsi="Times New Roman"/>
          <w:b/>
          <w:bCs/>
        </w:rPr>
        <w:t>pri</w:t>
      </w:r>
      <w:r w:rsidRPr="00B9559B">
        <w:rPr>
          <w:rFonts w:ascii="Times New Roman" w:hAnsi="Times New Roman"/>
          <w:b/>
          <w:bCs/>
        </w:rPr>
        <w:t xml:space="preserve"> dividend</w:t>
      </w:r>
      <w:r w:rsidRPr="00B9559B" w:rsidR="00CB5E85">
        <w:rPr>
          <w:rFonts w:ascii="Times New Roman" w:hAnsi="Times New Roman"/>
          <w:b/>
          <w:bCs/>
        </w:rPr>
        <w:t>ách</w:t>
      </w:r>
      <w:r w:rsidRPr="00B9559B">
        <w:rPr>
          <w:rFonts w:ascii="Times New Roman" w:hAnsi="Times New Roman"/>
          <w:b/>
          <w:bCs/>
        </w:rPr>
        <w:t xml:space="preserve"> a podiel</w:t>
      </w:r>
      <w:r w:rsidRPr="00B9559B" w:rsidR="00CB5E85">
        <w:rPr>
          <w:rFonts w:ascii="Times New Roman" w:hAnsi="Times New Roman"/>
          <w:b/>
          <w:bCs/>
        </w:rPr>
        <w:t>och</w:t>
      </w:r>
      <w:r w:rsidRPr="00B9559B">
        <w:rPr>
          <w:rFonts w:ascii="Times New Roman" w:hAnsi="Times New Roman"/>
          <w:b/>
          <w:bCs/>
        </w:rPr>
        <w:t xml:space="preserve"> na zisku</w:t>
      </w:r>
      <w:r w:rsidRPr="000E2DC0">
        <w:rPr>
          <w:rFonts w:ascii="Times New Roman" w:hAnsi="Times New Roman"/>
        </w:rPr>
        <w:t xml:space="preserve">, na ktoré sa bude vzťahovať štandardná sadzba </w:t>
      </w:r>
      <w:r w:rsidR="00CB5E85">
        <w:rPr>
          <w:rFonts w:ascii="Times New Roman" w:hAnsi="Times New Roman"/>
        </w:rPr>
        <w:t xml:space="preserve">poistného na verejné </w:t>
      </w:r>
      <w:r w:rsidRPr="000E2DC0">
        <w:rPr>
          <w:rFonts w:ascii="Times New Roman" w:hAnsi="Times New Roman"/>
        </w:rPr>
        <w:t xml:space="preserve">zdravotné </w:t>
      </w:r>
      <w:r w:rsidR="00940393">
        <w:rPr>
          <w:rFonts w:ascii="Times New Roman" w:hAnsi="Times New Roman"/>
        </w:rPr>
        <w:t>poisteni</w:t>
      </w:r>
      <w:r w:rsidR="00CB5E85">
        <w:rPr>
          <w:rFonts w:ascii="Times New Roman" w:hAnsi="Times New Roman"/>
        </w:rPr>
        <w:t>e</w:t>
      </w:r>
      <w:r w:rsidR="00940393">
        <w:rPr>
          <w:rFonts w:ascii="Times New Roman" w:hAnsi="Times New Roman"/>
        </w:rPr>
        <w:t xml:space="preserve"> (9 %)</w:t>
      </w:r>
      <w:r w:rsidRPr="000E2DC0">
        <w:rPr>
          <w:rFonts w:ascii="Times New Roman" w:hAnsi="Times New Roman"/>
        </w:rPr>
        <w:t xml:space="preserve">, najviac však do výšky maximálneho </w:t>
      </w:r>
      <w:r w:rsidR="00CB5E85">
        <w:rPr>
          <w:rFonts w:ascii="Times New Roman" w:hAnsi="Times New Roman"/>
        </w:rPr>
        <w:t xml:space="preserve">ročného </w:t>
      </w:r>
      <w:r w:rsidRPr="000E2DC0">
        <w:rPr>
          <w:rFonts w:ascii="Times New Roman" w:hAnsi="Times New Roman"/>
        </w:rPr>
        <w:t>poistného</w:t>
      </w:r>
      <w:r w:rsidR="00CB5E85">
        <w:rPr>
          <w:rFonts w:ascii="Times New Roman" w:hAnsi="Times New Roman"/>
        </w:rPr>
        <w:t xml:space="preserve">, </w:t>
      </w:r>
      <w:r w:rsidRPr="000E2DC0">
        <w:rPr>
          <w:rFonts w:ascii="Times New Roman" w:hAnsi="Times New Roman"/>
        </w:rPr>
        <w:t xml:space="preserve">na ktoré sa bude prihliadať pri výpočte </w:t>
      </w:r>
      <w:r w:rsidR="00CB5E85">
        <w:rPr>
          <w:rFonts w:ascii="Times New Roman" w:hAnsi="Times New Roman"/>
        </w:rPr>
        <w:t xml:space="preserve">verejného </w:t>
      </w:r>
      <w:r w:rsidRPr="000E2DC0">
        <w:rPr>
          <w:rFonts w:ascii="Times New Roman" w:hAnsi="Times New Roman"/>
        </w:rPr>
        <w:t>zdravotného poisteni</w:t>
      </w:r>
      <w:r w:rsidR="00FD0EAE">
        <w:rPr>
          <w:rFonts w:ascii="Times New Roman" w:hAnsi="Times New Roman"/>
        </w:rPr>
        <w:t xml:space="preserve">a zo súčtu všetkých príjmov tej </w:t>
      </w:r>
      <w:r w:rsidRPr="000E2DC0">
        <w:rPr>
          <w:rFonts w:ascii="Times New Roman" w:hAnsi="Times New Roman"/>
        </w:rPr>
        <w:t xml:space="preserve">ktorej osoby </w:t>
      </w:r>
      <w:r w:rsidRPr="00221271">
        <w:rPr>
          <w:rFonts w:ascii="Times New Roman" w:hAnsi="Times New Roman"/>
          <w:b/>
          <w:bCs/>
        </w:rPr>
        <w:t>pri podaní jednotného zúčtovania daní a poistného</w:t>
      </w:r>
      <w:r w:rsidRPr="000E2DC0">
        <w:rPr>
          <w:rFonts w:ascii="Times New Roman" w:hAnsi="Times New Roman"/>
        </w:rPr>
        <w:t>;</w:t>
      </w:r>
    </w:p>
    <w:p w:rsidR="00A22617" w:rsidRPr="000E2DC0" w:rsidP="000935BB">
      <w:pPr>
        <w:numPr>
          <w:numId w:val="26"/>
        </w:numPr>
        <w:tabs>
          <w:tab w:val="left" w:pos="993"/>
        </w:tabs>
        <w:bidi w:val="0"/>
        <w:spacing w:after="120"/>
        <w:ind w:left="993" w:hanging="284"/>
        <w:jc w:val="both"/>
        <w:rPr>
          <w:rFonts w:ascii="Times New Roman" w:hAnsi="Times New Roman"/>
        </w:rPr>
      </w:pPr>
      <w:r>
        <w:rPr>
          <w:rFonts w:ascii="Times New Roman" w:hAnsi="Times New Roman"/>
          <w:b/>
          <w:bCs/>
        </w:rPr>
        <w:t>O</w:t>
      </w:r>
      <w:r w:rsidRPr="000E2DC0">
        <w:rPr>
          <w:rFonts w:ascii="Times New Roman" w:hAnsi="Times New Roman"/>
          <w:b/>
          <w:bCs/>
        </w:rPr>
        <w:t xml:space="preserve">slobodenie od dane </w:t>
      </w:r>
      <w:r w:rsidRPr="000E2DC0">
        <w:rPr>
          <w:rFonts w:ascii="Times New Roman" w:hAnsi="Times New Roman"/>
          <w:bCs/>
        </w:rPr>
        <w:t>do výšky</w:t>
      </w:r>
      <w:r w:rsidRPr="000E2DC0">
        <w:rPr>
          <w:rFonts w:ascii="Times New Roman" w:hAnsi="Times New Roman"/>
          <w:b/>
          <w:bCs/>
        </w:rPr>
        <w:t xml:space="preserve"> 500 </w:t>
      </w:r>
      <w:r w:rsidR="00CA7115">
        <w:rPr>
          <w:rFonts w:ascii="Times New Roman" w:hAnsi="Times New Roman"/>
          <w:b/>
          <w:bCs/>
        </w:rPr>
        <w:t>e</w:t>
      </w:r>
      <w:r w:rsidRPr="000E2DC0">
        <w:rPr>
          <w:rFonts w:ascii="Times New Roman" w:hAnsi="Times New Roman"/>
          <w:b/>
          <w:bCs/>
        </w:rPr>
        <w:t xml:space="preserve">ur ročne </w:t>
      </w:r>
      <w:r w:rsidRPr="000E2DC0">
        <w:rPr>
          <w:rFonts w:ascii="Times New Roman" w:hAnsi="Times New Roman"/>
          <w:bCs/>
        </w:rPr>
        <w:t>pri príjmoch, pri ktorých sa zjednotí vymeriavací základ; ide</w:t>
      </w:r>
      <w:r w:rsidRPr="000E2DC0">
        <w:rPr>
          <w:rFonts w:ascii="Times New Roman" w:hAnsi="Times New Roman"/>
        </w:rPr>
        <w:t xml:space="preserve"> o oslobodenie príjmov plynúcich zo závislej činnosti, ktoré majú charakter </w:t>
      </w:r>
      <w:r w:rsidRPr="000E2DC0">
        <w:rPr>
          <w:rFonts w:ascii="Times New Roman" w:hAnsi="Times New Roman"/>
          <w:bCs/>
        </w:rPr>
        <w:t>peňažných alebo nepeňažných benefitov</w:t>
      </w:r>
      <w:r w:rsidRPr="000E2DC0">
        <w:rPr>
          <w:rFonts w:ascii="Times New Roman" w:hAnsi="Times New Roman"/>
        </w:rPr>
        <w:t xml:space="preserve"> (príspevky na káblovú televíziu, zvýhodnené úročenie úverov pre pracovníkov bánk, osobní prepravcovia poskytujúci zľavy na cestovnom, deputáty poskytované bývalým baníkom a pod.), </w:t>
      </w:r>
      <w:r w:rsidRPr="000E2DC0">
        <w:rPr>
          <w:rFonts w:ascii="Times New Roman" w:hAnsi="Times New Roman"/>
          <w:bCs/>
        </w:rPr>
        <w:t>príspevok zo sociálneho fondu</w:t>
      </w:r>
      <w:r w:rsidRPr="000E2DC0">
        <w:rPr>
          <w:rFonts w:ascii="Times New Roman" w:hAnsi="Times New Roman"/>
        </w:rPr>
        <w:t xml:space="preserve"> (na dopravu, na rekreáciu a kultúru a pod.)</w:t>
      </w:r>
      <w:r w:rsidRPr="000E2DC0">
        <w:rPr>
          <w:rFonts w:ascii="Times New Roman" w:hAnsi="Times New Roman"/>
          <w:bCs/>
        </w:rPr>
        <w:t>;</w:t>
      </w:r>
    </w:p>
    <w:p w:rsidR="00A22617" w:rsidRPr="000E2DC0" w:rsidP="000935BB">
      <w:pPr>
        <w:numPr>
          <w:numId w:val="26"/>
        </w:numPr>
        <w:tabs>
          <w:tab w:val="left" w:pos="993"/>
        </w:tabs>
        <w:bidi w:val="0"/>
        <w:spacing w:after="120"/>
        <w:ind w:left="993" w:hanging="284"/>
        <w:jc w:val="both"/>
        <w:rPr>
          <w:rFonts w:ascii="Times New Roman" w:hAnsi="Times New Roman"/>
        </w:rPr>
      </w:pPr>
      <w:r>
        <w:rPr>
          <w:rFonts w:ascii="Times New Roman" w:hAnsi="Times New Roman"/>
          <w:b/>
          <w:bCs/>
        </w:rPr>
        <w:t>O</w:t>
      </w:r>
      <w:r w:rsidRPr="000E2DC0">
        <w:rPr>
          <w:rFonts w:ascii="Times New Roman" w:hAnsi="Times New Roman"/>
          <w:b/>
          <w:bCs/>
        </w:rPr>
        <w:t>dstránenie koeficient</w:t>
      </w:r>
      <w:r w:rsidR="00E56717">
        <w:rPr>
          <w:rFonts w:ascii="Times New Roman" w:hAnsi="Times New Roman"/>
          <w:b/>
          <w:bCs/>
        </w:rPr>
        <w:t>u</w:t>
      </w:r>
      <w:r w:rsidRPr="000E2DC0">
        <w:rPr>
          <w:rFonts w:ascii="Times New Roman" w:hAnsi="Times New Roman"/>
          <w:b/>
          <w:bCs/>
        </w:rPr>
        <w:t xml:space="preserve"> 2,14</w:t>
      </w:r>
      <w:r w:rsidRPr="000E2DC0">
        <w:rPr>
          <w:rFonts w:ascii="Times New Roman" w:hAnsi="Times New Roman"/>
        </w:rPr>
        <w:t xml:space="preserve"> pre výpočet vymeriavacích základov poistného</w:t>
      </w:r>
      <w:r w:rsidR="00CA7115">
        <w:rPr>
          <w:rFonts w:ascii="Times New Roman" w:hAnsi="Times New Roman"/>
        </w:rPr>
        <w:t xml:space="preserve"> na verejné zdravotné poistenie</w:t>
      </w:r>
      <w:r w:rsidRPr="000E2DC0">
        <w:rPr>
          <w:rFonts w:ascii="Times New Roman" w:hAnsi="Times New Roman"/>
        </w:rPr>
        <w:t xml:space="preserve"> pri príjmoch z podnikania;</w:t>
      </w:r>
    </w:p>
    <w:p w:rsidR="00A22617" w:rsidRPr="000E2DC0" w:rsidP="000935BB">
      <w:pPr>
        <w:numPr>
          <w:numId w:val="26"/>
        </w:numPr>
        <w:tabs>
          <w:tab w:val="left" w:pos="993"/>
        </w:tabs>
        <w:bidi w:val="0"/>
        <w:spacing w:after="120"/>
        <w:ind w:left="993" w:hanging="284"/>
        <w:jc w:val="both"/>
        <w:rPr>
          <w:rFonts w:ascii="Times New Roman" w:hAnsi="Times New Roman"/>
        </w:rPr>
      </w:pPr>
      <w:r>
        <w:rPr>
          <w:rFonts w:ascii="Times New Roman" w:hAnsi="Times New Roman"/>
          <w:b/>
          <w:bCs/>
        </w:rPr>
        <w:t>Z</w:t>
      </w:r>
      <w:r w:rsidRPr="000E2DC0">
        <w:rPr>
          <w:rFonts w:ascii="Times New Roman" w:hAnsi="Times New Roman"/>
          <w:b/>
          <w:bCs/>
        </w:rPr>
        <w:t>áklad pre daň</w:t>
      </w:r>
      <w:r w:rsidRPr="000E2DC0">
        <w:rPr>
          <w:rFonts w:ascii="Times New Roman" w:hAnsi="Times New Roman"/>
        </w:rPr>
        <w:t xml:space="preserve"> z príj</w:t>
      </w:r>
      <w:r w:rsidR="00CA7115">
        <w:rPr>
          <w:rFonts w:ascii="Times New Roman" w:hAnsi="Times New Roman"/>
        </w:rPr>
        <w:t>mov</w:t>
      </w:r>
      <w:r w:rsidRPr="000E2DC0">
        <w:rPr>
          <w:rFonts w:ascii="Times New Roman" w:hAnsi="Times New Roman"/>
        </w:rPr>
        <w:t xml:space="preserve"> fyzických osôb</w:t>
      </w:r>
      <w:r w:rsidR="00CA7115">
        <w:rPr>
          <w:rFonts w:ascii="Times New Roman" w:hAnsi="Times New Roman"/>
        </w:rPr>
        <w:t>, ktorý je až na výnimky aj vymeriavacím základom pre verejné zdravotné poistenie,</w:t>
      </w:r>
      <w:r w:rsidRPr="000E2DC0">
        <w:rPr>
          <w:rFonts w:ascii="Times New Roman" w:hAnsi="Times New Roman"/>
        </w:rPr>
        <w:t xml:space="preserve"> </w:t>
      </w:r>
      <w:r w:rsidRPr="000E2DC0">
        <w:rPr>
          <w:rFonts w:ascii="Times New Roman" w:hAnsi="Times New Roman"/>
          <w:b/>
          <w:bCs/>
        </w:rPr>
        <w:t>sa nebude znižovať o</w:t>
      </w:r>
      <w:r w:rsidR="00CA7115">
        <w:rPr>
          <w:rFonts w:ascii="Times New Roman" w:hAnsi="Times New Roman"/>
          <w:b/>
          <w:bCs/>
        </w:rPr>
        <w:t> </w:t>
      </w:r>
      <w:r>
        <w:rPr>
          <w:rFonts w:ascii="Times New Roman" w:hAnsi="Times New Roman"/>
          <w:b/>
          <w:bCs/>
        </w:rPr>
        <w:t>poistné</w:t>
      </w:r>
      <w:r w:rsidR="00CA7115">
        <w:rPr>
          <w:rFonts w:ascii="Times New Roman" w:hAnsi="Times New Roman"/>
          <w:b/>
          <w:bCs/>
        </w:rPr>
        <w:t xml:space="preserve"> </w:t>
      </w:r>
      <w:r w:rsidRPr="00A86C7E" w:rsidR="00CA7115">
        <w:rPr>
          <w:rFonts w:ascii="Times New Roman" w:hAnsi="Times New Roman"/>
          <w:bCs/>
        </w:rPr>
        <w:t>na verejné zdravotné poistenie, na sociálne poistenie, na sociálne zabezpečenie a o prís</w:t>
      </w:r>
      <w:r w:rsidR="00CA7115">
        <w:rPr>
          <w:rFonts w:ascii="Times New Roman" w:hAnsi="Times New Roman"/>
          <w:bCs/>
        </w:rPr>
        <w:t>p</w:t>
      </w:r>
      <w:r w:rsidRPr="00A86C7E" w:rsidR="00CA7115">
        <w:rPr>
          <w:rFonts w:ascii="Times New Roman" w:hAnsi="Times New Roman"/>
          <w:bCs/>
        </w:rPr>
        <w:t>evky na starobné dôchodkové sporenie</w:t>
      </w:r>
      <w:r w:rsidRPr="00A86C7E">
        <w:rPr>
          <w:rFonts w:ascii="Times New Roman" w:hAnsi="Times New Roman"/>
          <w:bCs/>
        </w:rPr>
        <w:t>.</w:t>
      </w:r>
      <w:r w:rsidRPr="000E2DC0">
        <w:rPr>
          <w:rFonts w:ascii="Times New Roman" w:hAnsi="Times New Roman"/>
          <w:b/>
          <w:bCs/>
        </w:rPr>
        <w:t xml:space="preserve"> </w:t>
      </w:r>
      <w:r w:rsidRPr="000E2DC0">
        <w:rPr>
          <w:rFonts w:ascii="Times New Roman" w:hAnsi="Times New Roman"/>
        </w:rPr>
        <w:t xml:space="preserve">SZČO </w:t>
      </w:r>
      <w:r w:rsidRPr="000E2DC0">
        <w:rPr>
          <w:rFonts w:ascii="Times New Roman" w:hAnsi="Times New Roman"/>
          <w:b/>
          <w:bCs/>
        </w:rPr>
        <w:t>nebudú</w:t>
      </w:r>
      <w:r w:rsidRPr="000E2DC0">
        <w:rPr>
          <w:rFonts w:ascii="Times New Roman" w:hAnsi="Times New Roman"/>
        </w:rPr>
        <w:t xml:space="preserve"> mať </w:t>
      </w:r>
      <w:r w:rsidR="00B10844">
        <w:rPr>
          <w:rFonts w:ascii="Times New Roman" w:hAnsi="Times New Roman"/>
        </w:rPr>
        <w:t>v uznateľných daňových výdavkoch</w:t>
      </w:r>
      <w:r w:rsidRPr="000E2DC0">
        <w:rPr>
          <w:rFonts w:ascii="Times New Roman" w:hAnsi="Times New Roman"/>
        </w:rPr>
        <w:t xml:space="preserve"> platby na</w:t>
      </w:r>
      <w:r>
        <w:rPr>
          <w:rFonts w:ascii="Times New Roman" w:hAnsi="Times New Roman"/>
        </w:rPr>
        <w:t xml:space="preserve"> poistné na</w:t>
      </w:r>
      <w:r w:rsidRPr="000E2DC0">
        <w:rPr>
          <w:rFonts w:ascii="Times New Roman" w:hAnsi="Times New Roman"/>
        </w:rPr>
        <w:t xml:space="preserve"> sociálne </w:t>
      </w:r>
      <w:r w:rsidR="00CA7115">
        <w:rPr>
          <w:rFonts w:ascii="Times New Roman" w:hAnsi="Times New Roman"/>
        </w:rPr>
        <w:t xml:space="preserve">poistenie, na sociálne zabezpečenie, na </w:t>
      </w:r>
      <w:r w:rsidR="00B10844">
        <w:rPr>
          <w:rFonts w:ascii="Times New Roman" w:hAnsi="Times New Roman"/>
        </w:rPr>
        <w:t xml:space="preserve">verejné </w:t>
      </w:r>
      <w:r w:rsidRPr="000E2DC0">
        <w:rPr>
          <w:rFonts w:ascii="Times New Roman" w:hAnsi="Times New Roman"/>
        </w:rPr>
        <w:t xml:space="preserve">zdravotné </w:t>
      </w:r>
      <w:r>
        <w:rPr>
          <w:rFonts w:ascii="Times New Roman" w:hAnsi="Times New Roman"/>
        </w:rPr>
        <w:t>poistenie</w:t>
      </w:r>
      <w:r w:rsidR="00CA7115">
        <w:rPr>
          <w:rFonts w:ascii="Times New Roman" w:hAnsi="Times New Roman"/>
        </w:rPr>
        <w:t xml:space="preserve"> a na príspevky na starobné dôchodkové sporenie</w:t>
      </w:r>
      <w:r w:rsidRPr="000E2DC0">
        <w:rPr>
          <w:rFonts w:ascii="Times New Roman" w:hAnsi="Times New Roman"/>
        </w:rPr>
        <w:t xml:space="preserve"> (cieľom je zjednotenie vymeriavacích základov); </w:t>
      </w:r>
    </w:p>
    <w:p w:rsidR="00A22617" w:rsidRPr="00221271" w:rsidP="00221271">
      <w:pPr>
        <w:numPr>
          <w:numId w:val="26"/>
        </w:numPr>
        <w:tabs>
          <w:tab w:val="left" w:pos="993"/>
        </w:tabs>
        <w:bidi w:val="0"/>
        <w:spacing w:after="120"/>
        <w:ind w:left="993" w:hanging="284"/>
        <w:jc w:val="both"/>
        <w:rPr>
          <w:rFonts w:ascii="Times New Roman" w:hAnsi="Times New Roman"/>
          <w:bCs/>
        </w:rPr>
      </w:pPr>
      <w:r>
        <w:rPr>
          <w:rFonts w:ascii="Times New Roman" w:hAnsi="Times New Roman"/>
          <w:b/>
          <w:bCs/>
        </w:rPr>
        <w:t>M</w:t>
      </w:r>
      <w:r w:rsidRPr="000E2DC0">
        <w:rPr>
          <w:rFonts w:ascii="Times New Roman" w:hAnsi="Times New Roman"/>
          <w:b/>
          <w:bCs/>
        </w:rPr>
        <w:t xml:space="preserve">inimálny vymeriavací základ SZČO </w:t>
      </w:r>
      <w:r w:rsidRPr="000E2DC0">
        <w:rPr>
          <w:rFonts w:ascii="Times New Roman" w:hAnsi="Times New Roman"/>
          <w:bCs/>
        </w:rPr>
        <w:t xml:space="preserve">bude </w:t>
      </w:r>
      <w:r w:rsidRPr="000E2DC0">
        <w:rPr>
          <w:rFonts w:ascii="Times New Roman" w:hAnsi="Times New Roman"/>
          <w:b/>
          <w:bCs/>
        </w:rPr>
        <w:t>ekvivalentný 3,3-násobku životného minima</w:t>
      </w:r>
      <w:r w:rsidRPr="005C14D4" w:rsidR="005C14D4">
        <w:rPr>
          <w:rFonts w:ascii="Times New Roman" w:hAnsi="Times New Roman"/>
          <w:color w:val="000000"/>
          <w:lang w:eastAsia="en-US"/>
        </w:rPr>
        <w:t xml:space="preserve"> </w:t>
      </w:r>
      <w:r w:rsidRPr="00992C13" w:rsidR="005C14D4">
        <w:rPr>
          <w:rFonts w:ascii="Times New Roman" w:hAnsi="Times New Roman"/>
          <w:color w:val="000000"/>
          <w:lang w:eastAsia="en-US"/>
        </w:rPr>
        <w:t>pre jednu plnoletú fyzickú osobu</w:t>
      </w:r>
      <w:r w:rsidR="005C14D4">
        <w:rPr>
          <w:rFonts w:ascii="Times New Roman" w:hAnsi="Times New Roman"/>
          <w:b/>
          <w:bCs/>
        </w:rPr>
        <w:t xml:space="preserve"> </w:t>
      </w:r>
      <w:r w:rsidRPr="00992C13" w:rsidR="005C14D4">
        <w:rPr>
          <w:rFonts w:ascii="Times New Roman" w:hAnsi="Times New Roman"/>
          <w:color w:val="000000"/>
          <w:lang w:eastAsia="en-US"/>
        </w:rPr>
        <w:t>platného k 1. januáru kalendárneho roka, za ktorý sa platí poistné</w:t>
      </w:r>
      <w:r w:rsidRPr="000E2DC0">
        <w:rPr>
          <w:rFonts w:ascii="Times New Roman" w:hAnsi="Times New Roman"/>
          <w:b/>
          <w:bCs/>
        </w:rPr>
        <w:t xml:space="preserve">, </w:t>
      </w:r>
      <w:r w:rsidRPr="00A86C7E">
        <w:rPr>
          <w:rFonts w:ascii="Times New Roman" w:hAnsi="Times New Roman"/>
          <w:bCs/>
        </w:rPr>
        <w:t>t. j.</w:t>
      </w:r>
      <w:r w:rsidRPr="000E2DC0">
        <w:rPr>
          <w:rFonts w:ascii="Times New Roman" w:hAnsi="Times New Roman"/>
          <w:b/>
          <w:bCs/>
        </w:rPr>
        <w:t xml:space="preserve"> </w:t>
      </w:r>
      <w:r w:rsidRPr="000E2DC0">
        <w:rPr>
          <w:rFonts w:ascii="Times New Roman" w:hAnsi="Times New Roman"/>
        </w:rPr>
        <w:t>minimálne mesačné poistné na </w:t>
      </w:r>
      <w:r w:rsidR="00E1104D">
        <w:rPr>
          <w:rFonts w:ascii="Times New Roman" w:hAnsi="Times New Roman"/>
        </w:rPr>
        <w:t xml:space="preserve">verejné </w:t>
      </w:r>
      <w:r w:rsidRPr="000E2DC0">
        <w:rPr>
          <w:rFonts w:ascii="Times New Roman" w:hAnsi="Times New Roman"/>
        </w:rPr>
        <w:t>zdravotné poistenie</w:t>
      </w:r>
      <w:r w:rsidR="00B34335">
        <w:rPr>
          <w:rFonts w:ascii="Times New Roman" w:hAnsi="Times New Roman"/>
        </w:rPr>
        <w:t xml:space="preserve"> sa v roku 2012</w:t>
      </w:r>
      <w:r w:rsidRPr="000E2DC0">
        <w:rPr>
          <w:rFonts w:ascii="Times New Roman" w:hAnsi="Times New Roman"/>
        </w:rPr>
        <w:t xml:space="preserve"> </w:t>
      </w:r>
      <w:r w:rsidR="00E1104D">
        <w:rPr>
          <w:rFonts w:ascii="Times New Roman" w:hAnsi="Times New Roman"/>
        </w:rPr>
        <w:t xml:space="preserve">vplyvom zmien z dôvodu </w:t>
      </w:r>
      <w:r w:rsidR="00E40964">
        <w:rPr>
          <w:rFonts w:ascii="Times New Roman" w:hAnsi="Times New Roman"/>
        </w:rPr>
        <w:t xml:space="preserve">daňovo-odvodovej reformy zvýši z úrovne 47,58 </w:t>
      </w:r>
      <w:r w:rsidR="00B34335">
        <w:rPr>
          <w:rFonts w:ascii="Times New Roman" w:hAnsi="Times New Roman"/>
        </w:rPr>
        <w:t>e</w:t>
      </w:r>
      <w:r w:rsidR="00E40964">
        <w:rPr>
          <w:rFonts w:ascii="Times New Roman" w:hAnsi="Times New Roman"/>
        </w:rPr>
        <w:t>ur</w:t>
      </w:r>
      <w:r w:rsidR="006F06D5">
        <w:rPr>
          <w:rFonts w:ascii="Times New Roman" w:hAnsi="Times New Roman"/>
        </w:rPr>
        <w:t>a</w:t>
      </w:r>
      <w:r w:rsidR="00E40964">
        <w:rPr>
          <w:rFonts w:ascii="Times New Roman" w:hAnsi="Times New Roman"/>
        </w:rPr>
        <w:t xml:space="preserve"> na 56,</w:t>
      </w:r>
      <w:r w:rsidR="006F06D5">
        <w:rPr>
          <w:rFonts w:ascii="Times New Roman" w:hAnsi="Times New Roman"/>
        </w:rPr>
        <w:t xml:space="preserve">37 </w:t>
      </w:r>
      <w:r w:rsidR="00B34335">
        <w:rPr>
          <w:rFonts w:ascii="Times New Roman" w:hAnsi="Times New Roman"/>
        </w:rPr>
        <w:t>e</w:t>
      </w:r>
      <w:r w:rsidR="006F06D5">
        <w:rPr>
          <w:rFonts w:ascii="Times New Roman" w:hAnsi="Times New Roman"/>
        </w:rPr>
        <w:t>ura, i keď celkovo minimálne mesačné poistné na sociálne poistenie a na verejné zdravotné poistenie spolu klesne z úrovne 160,24 eura na 137,80 eura</w:t>
      </w:r>
      <w:r w:rsidR="00B34335">
        <w:rPr>
          <w:rFonts w:ascii="Times New Roman" w:hAnsi="Times New Roman"/>
        </w:rPr>
        <w:t xml:space="preserve"> (SZČO zaplatí v roku 2012 menej na poistnom na verejné zdravotné poistenie a na sociálne poistenie o 22,44 eura mesačne/269,28 eura ročne);</w:t>
      </w:r>
    </w:p>
    <w:p w:rsidR="00A22617" w:rsidRPr="000E2DC0" w:rsidP="000935BB">
      <w:pPr>
        <w:numPr>
          <w:numId w:val="26"/>
        </w:numPr>
        <w:tabs>
          <w:tab w:val="left" w:pos="993"/>
        </w:tabs>
        <w:bidi w:val="0"/>
        <w:spacing w:after="120"/>
        <w:ind w:left="993" w:hanging="284"/>
        <w:jc w:val="both"/>
        <w:rPr>
          <w:rFonts w:ascii="Times New Roman" w:hAnsi="Times New Roman"/>
        </w:rPr>
      </w:pPr>
      <w:r>
        <w:rPr>
          <w:rFonts w:ascii="Times New Roman" w:hAnsi="Times New Roman"/>
          <w:b/>
        </w:rPr>
        <w:t>M</w:t>
      </w:r>
      <w:r w:rsidRPr="000E2DC0">
        <w:rPr>
          <w:rFonts w:ascii="Times New Roman" w:hAnsi="Times New Roman"/>
          <w:b/>
        </w:rPr>
        <w:t>aximálny vymeriavací základ</w:t>
      </w:r>
      <w:r w:rsidRPr="000E2DC0">
        <w:rPr>
          <w:rFonts w:ascii="Times New Roman" w:hAnsi="Times New Roman"/>
        </w:rPr>
        <w:t xml:space="preserve"> pre </w:t>
      </w:r>
      <w:r>
        <w:rPr>
          <w:rFonts w:ascii="Times New Roman" w:hAnsi="Times New Roman"/>
        </w:rPr>
        <w:t xml:space="preserve">poistné na </w:t>
      </w:r>
      <w:r w:rsidR="00B34335">
        <w:rPr>
          <w:rFonts w:ascii="Times New Roman" w:hAnsi="Times New Roman"/>
        </w:rPr>
        <w:t xml:space="preserve">verejné </w:t>
      </w:r>
      <w:r>
        <w:rPr>
          <w:rFonts w:ascii="Times New Roman" w:hAnsi="Times New Roman"/>
        </w:rPr>
        <w:t xml:space="preserve">zdravotné poistenie </w:t>
      </w:r>
      <w:r w:rsidRPr="000E2DC0">
        <w:rPr>
          <w:rFonts w:ascii="Times New Roman" w:hAnsi="Times New Roman"/>
          <w:b/>
        </w:rPr>
        <w:t>sa nahrádza novou veličinou „maximálne poistné“.</w:t>
      </w:r>
      <w:r w:rsidRPr="000E2DC0">
        <w:rPr>
          <w:rFonts w:ascii="Times New Roman" w:hAnsi="Times New Roman"/>
        </w:rPr>
        <w:t xml:space="preserve"> Tým sa mierne zvýši odvodové zaťaženie </w:t>
      </w:r>
      <w:r w:rsidRPr="000E2DC0">
        <w:rPr>
          <w:rFonts w:ascii="Times New Roman" w:hAnsi="Times New Roman"/>
          <w:b/>
        </w:rPr>
        <w:t>skutočn</w:t>
      </w:r>
      <w:r w:rsidR="0014360B">
        <w:rPr>
          <w:rFonts w:ascii="Times New Roman" w:hAnsi="Times New Roman"/>
          <w:b/>
        </w:rPr>
        <w:t>e vysokopríjmových osôb</w:t>
      </w:r>
      <w:r w:rsidRPr="000E2DC0">
        <w:rPr>
          <w:rFonts w:ascii="Times New Roman" w:hAnsi="Times New Roman"/>
        </w:rPr>
        <w:t xml:space="preserve"> pri súčasnom znížení daňovo-odvodovej záťaže strednej vrstvy z titulu zrušenia pseudo-milionárskej dane. Urč</w:t>
      </w:r>
      <w:r>
        <w:rPr>
          <w:rFonts w:ascii="Times New Roman" w:hAnsi="Times New Roman"/>
        </w:rPr>
        <w:t>ujú</w:t>
      </w:r>
      <w:r w:rsidRPr="000E2DC0">
        <w:rPr>
          <w:rFonts w:ascii="Times New Roman" w:hAnsi="Times New Roman"/>
        </w:rPr>
        <w:t xml:space="preserve"> sa dve maximálne sumy poistného zvlášť na sociálne poistenie a zvlášť na </w:t>
      </w:r>
      <w:r w:rsidR="00B34335">
        <w:rPr>
          <w:rFonts w:ascii="Times New Roman" w:hAnsi="Times New Roman"/>
        </w:rPr>
        <w:t xml:space="preserve">verejné </w:t>
      </w:r>
      <w:r w:rsidRPr="000E2DC0">
        <w:rPr>
          <w:rFonts w:ascii="Times New Roman" w:hAnsi="Times New Roman"/>
        </w:rPr>
        <w:t xml:space="preserve">zdravotné poistenie, ktoré poistenec zaplatí za jeden kalendárny rok. Maximálne </w:t>
      </w:r>
      <w:r w:rsidR="00B10844">
        <w:rPr>
          <w:rFonts w:ascii="Times New Roman" w:hAnsi="Times New Roman"/>
        </w:rPr>
        <w:t xml:space="preserve">ročné </w:t>
      </w:r>
      <w:r w:rsidRPr="000E2DC0">
        <w:rPr>
          <w:rFonts w:ascii="Times New Roman" w:hAnsi="Times New Roman"/>
        </w:rPr>
        <w:t xml:space="preserve">poistné na </w:t>
      </w:r>
      <w:r w:rsidR="00B10844">
        <w:rPr>
          <w:rFonts w:ascii="Times New Roman" w:hAnsi="Times New Roman"/>
        </w:rPr>
        <w:t xml:space="preserve">verejné </w:t>
      </w:r>
      <w:r w:rsidRPr="000E2DC0">
        <w:rPr>
          <w:rFonts w:ascii="Times New Roman" w:hAnsi="Times New Roman"/>
        </w:rPr>
        <w:t>zdravotné poistenie</w:t>
      </w:r>
      <w:r w:rsidR="0014360B">
        <w:rPr>
          <w:rFonts w:ascii="Times New Roman" w:hAnsi="Times New Roman"/>
        </w:rPr>
        <w:t xml:space="preserve"> bude</w:t>
      </w:r>
      <w:r w:rsidR="00B10844">
        <w:rPr>
          <w:rFonts w:ascii="Times New Roman" w:hAnsi="Times New Roman"/>
        </w:rPr>
        <w:t xml:space="preserve"> 4 241,64 </w:t>
      </w:r>
      <w:r w:rsidR="00000720">
        <w:rPr>
          <w:rFonts w:ascii="Times New Roman" w:hAnsi="Times New Roman"/>
        </w:rPr>
        <w:t>e</w:t>
      </w:r>
      <w:r w:rsidR="00B10844">
        <w:rPr>
          <w:rFonts w:ascii="Times New Roman" w:hAnsi="Times New Roman"/>
        </w:rPr>
        <w:t>ur</w:t>
      </w:r>
      <w:r w:rsidR="00000720">
        <w:rPr>
          <w:rFonts w:ascii="Times New Roman" w:hAnsi="Times New Roman"/>
        </w:rPr>
        <w:t>a</w:t>
      </w:r>
      <w:r w:rsidRPr="000E2DC0">
        <w:rPr>
          <w:rFonts w:ascii="Times New Roman" w:hAnsi="Times New Roman"/>
        </w:rPr>
        <w:t xml:space="preserve"> pre rok 2012. Valorizácia maximálneho poistného bude závisieť od tempa rastu životného minima;</w:t>
      </w:r>
    </w:p>
    <w:p w:rsidR="00A22617" w:rsidRPr="000E2DC0" w:rsidP="000935BB">
      <w:pPr>
        <w:numPr>
          <w:numId w:val="26"/>
        </w:numPr>
        <w:tabs>
          <w:tab w:val="left" w:pos="993"/>
        </w:tabs>
        <w:bidi w:val="0"/>
        <w:spacing w:after="120"/>
        <w:ind w:left="993" w:hanging="284"/>
        <w:jc w:val="both"/>
        <w:rPr>
          <w:rFonts w:ascii="Times New Roman" w:hAnsi="Times New Roman"/>
        </w:rPr>
      </w:pPr>
      <w:r>
        <w:rPr>
          <w:rFonts w:ascii="Times New Roman" w:hAnsi="Times New Roman"/>
        </w:rPr>
        <w:t>P</w:t>
      </w:r>
      <w:r w:rsidRPr="000E2DC0">
        <w:rPr>
          <w:rFonts w:ascii="Times New Roman" w:hAnsi="Times New Roman"/>
        </w:rPr>
        <w:t xml:space="preserve">onecháva sa kategória </w:t>
      </w:r>
      <w:r w:rsidRPr="000E2DC0">
        <w:rPr>
          <w:rFonts w:ascii="Times New Roman" w:hAnsi="Times New Roman"/>
          <w:b/>
        </w:rPr>
        <w:t>samoplatiteľ zdravotného poistenia</w:t>
      </w:r>
      <w:r w:rsidRPr="000E2DC0">
        <w:rPr>
          <w:rFonts w:ascii="Times New Roman" w:hAnsi="Times New Roman"/>
        </w:rPr>
        <w:t xml:space="preserve">, pre ktorých sa výška mesačného poistného nezmení. Upraví sa sadzba na štandardných 9 % a bude naviazaná na pevný koeficient z priemernej superhrubej mzdy spred dvoch rokov (v roku 2012 to bude 9 % z 0,512-násobku z 1 033,54 </w:t>
      </w:r>
      <w:r w:rsidR="00000720">
        <w:rPr>
          <w:rFonts w:ascii="Times New Roman" w:hAnsi="Times New Roman"/>
        </w:rPr>
        <w:t>e</w:t>
      </w:r>
      <w:r w:rsidRPr="000E2DC0">
        <w:rPr>
          <w:rFonts w:ascii="Times New Roman" w:hAnsi="Times New Roman"/>
        </w:rPr>
        <w:t>ur</w:t>
      </w:r>
      <w:r w:rsidR="00000720">
        <w:rPr>
          <w:rFonts w:ascii="Times New Roman" w:hAnsi="Times New Roman"/>
        </w:rPr>
        <w:t>a</w:t>
      </w:r>
      <w:r w:rsidRPr="000E2DC0">
        <w:rPr>
          <w:rFonts w:ascii="Times New Roman" w:hAnsi="Times New Roman"/>
        </w:rPr>
        <w:t>);</w:t>
      </w:r>
    </w:p>
    <w:p w:rsidR="00A22617" w:rsidRPr="00ED3921" w:rsidP="000935BB">
      <w:pPr>
        <w:numPr>
          <w:numId w:val="26"/>
        </w:numPr>
        <w:tabs>
          <w:tab w:val="left" w:pos="993"/>
        </w:tabs>
        <w:bidi w:val="0"/>
        <w:spacing w:after="120"/>
        <w:ind w:left="993" w:hanging="284"/>
        <w:jc w:val="both"/>
        <w:rPr>
          <w:rFonts w:ascii="Times New Roman" w:hAnsi="Times New Roman"/>
        </w:rPr>
      </w:pPr>
      <w:r>
        <w:rPr>
          <w:rFonts w:ascii="Times New Roman" w:hAnsi="Times New Roman"/>
        </w:rPr>
        <w:t>P</w:t>
      </w:r>
      <w:r w:rsidRPr="000E2DC0">
        <w:rPr>
          <w:rFonts w:ascii="Times New Roman" w:hAnsi="Times New Roman"/>
        </w:rPr>
        <w:t xml:space="preserve">re zabezpečenie neutrálneho vplyvu na zdravotné poisťovne </w:t>
      </w:r>
      <w:r w:rsidRPr="00A86C7E">
        <w:rPr>
          <w:rFonts w:ascii="Times New Roman" w:hAnsi="Times New Roman"/>
          <w:b/>
        </w:rPr>
        <w:t>sadzba štátu</w:t>
      </w:r>
      <w:r w:rsidRPr="000E2DC0">
        <w:rPr>
          <w:rFonts w:ascii="Times New Roman" w:hAnsi="Times New Roman"/>
        </w:rPr>
        <w:t xml:space="preserve"> za poistencov štátu </w:t>
      </w:r>
      <w:r w:rsidR="00CA7115">
        <w:rPr>
          <w:rFonts w:ascii="Times New Roman" w:hAnsi="Times New Roman"/>
        </w:rPr>
        <w:t>v roku 2012 bude reflektovať na zmeny realizované v súlade s Koncepciou reformy daňovo-odvodového systému</w:t>
      </w:r>
      <w:r w:rsidR="00CB5E85">
        <w:rPr>
          <w:rFonts w:ascii="Times New Roman" w:hAnsi="Times New Roman"/>
        </w:rPr>
        <w:t xml:space="preserve"> tak, aby z pohľadu rozpočtu zdravotných poisťovní išlo o neutrálny vplyv.</w:t>
      </w:r>
      <w:r w:rsidR="00CA7115">
        <w:rPr>
          <w:rFonts w:ascii="Times New Roman" w:hAnsi="Times New Roman"/>
        </w:rPr>
        <w:t xml:space="preserve"> </w:t>
      </w:r>
      <w:r w:rsidRPr="00AE1225">
        <w:rPr>
          <w:rFonts w:ascii="Times New Roman" w:hAnsi="Times New Roman"/>
        </w:rPr>
        <w:t>Na účely simulácie bol použitý predpoklad z roku 2010, keď sadzba štátu za poistencov štátu dosahovala 4,78</w:t>
      </w:r>
      <w:r>
        <w:rPr>
          <w:rFonts w:ascii="Times New Roman" w:hAnsi="Times New Roman"/>
        </w:rPr>
        <w:t xml:space="preserve"> </w:t>
      </w:r>
      <w:r w:rsidRPr="00AE1225">
        <w:rPr>
          <w:rFonts w:ascii="Times New Roman" w:hAnsi="Times New Roman"/>
        </w:rPr>
        <w:t>%. Tento údaj sa doposiaľ každý rok upravoval na základe politického rozhodnutia, preto je ťažké odhadnúť relevantnú výšku sadzby do budúcnosti</w:t>
      </w:r>
      <w:r w:rsidR="00000720">
        <w:rPr>
          <w:rFonts w:ascii="Times New Roman" w:hAnsi="Times New Roman"/>
        </w:rPr>
        <w:t xml:space="preserve"> a jej výška bude dohodnutá v rámci rokovaní o štátnom rozpočte.</w:t>
      </w:r>
      <w:r w:rsidRPr="00AE1225">
        <w:rPr>
          <w:rFonts w:ascii="Times New Roman" w:hAnsi="Times New Roman"/>
        </w:rPr>
        <w:t xml:space="preserve"> </w:t>
      </w:r>
      <w:r w:rsidRPr="000E2DC0">
        <w:rPr>
          <w:rFonts w:ascii="Times New Roman" w:hAnsi="Times New Roman"/>
        </w:rPr>
        <w:t xml:space="preserve">Financovanie prebehne cez zvýšený príjem štátu z dane z príjmov </w:t>
      </w:r>
      <w:r w:rsidRPr="00ED3921">
        <w:rPr>
          <w:rFonts w:ascii="Times New Roman" w:hAnsi="Times New Roman"/>
        </w:rPr>
        <w:t xml:space="preserve">fyzických osôb. Do úvahy prichádza aj zafixovanie pevnej sumy </w:t>
      </w:r>
      <w:r w:rsidR="00000720">
        <w:rPr>
          <w:rFonts w:ascii="Times New Roman" w:hAnsi="Times New Roman"/>
        </w:rPr>
        <w:t>poistného</w:t>
      </w:r>
      <w:r w:rsidRPr="00ED3921">
        <w:rPr>
          <w:rFonts w:ascii="Times New Roman" w:hAnsi="Times New Roman"/>
        </w:rPr>
        <w:t xml:space="preserve"> na </w:t>
      </w:r>
      <w:r w:rsidR="00000720">
        <w:rPr>
          <w:rFonts w:ascii="Times New Roman" w:hAnsi="Times New Roman"/>
        </w:rPr>
        <w:t xml:space="preserve">verejné </w:t>
      </w:r>
      <w:r w:rsidRPr="00ED3921">
        <w:rPr>
          <w:rFonts w:ascii="Times New Roman" w:hAnsi="Times New Roman"/>
        </w:rPr>
        <w:t>zdravotné poistenie za po</w:t>
      </w:r>
      <w:r w:rsidRPr="003902C8">
        <w:rPr>
          <w:rFonts w:ascii="Times New Roman" w:hAnsi="Times New Roman"/>
        </w:rPr>
        <w:t xml:space="preserve">istencov štátu. </w:t>
      </w:r>
    </w:p>
    <w:p w:rsidR="00A22617" w:rsidP="007D728E">
      <w:pPr>
        <w:bidi w:val="0"/>
        <w:jc w:val="both"/>
        <w:rPr>
          <w:rFonts w:ascii="Times New Roman" w:hAnsi="Times New Roman"/>
        </w:rPr>
      </w:pPr>
    </w:p>
    <w:p w:rsidR="00A22617" w:rsidRPr="00011BF7" w:rsidP="000935BB">
      <w:pPr>
        <w:bidi w:val="0"/>
        <w:spacing w:after="120"/>
        <w:jc w:val="both"/>
        <w:rPr>
          <w:rFonts w:ascii="Times New Roman" w:hAnsi="Times New Roman"/>
        </w:rPr>
      </w:pPr>
      <w:r>
        <w:rPr>
          <w:rFonts w:ascii="Times New Roman" w:hAnsi="Times New Roman"/>
        </w:rPr>
        <w:t xml:space="preserve">     </w:t>
      </w:r>
      <w:r w:rsidRPr="001649F0">
        <w:rPr>
          <w:rFonts w:ascii="Times New Roman" w:hAnsi="Times New Roman"/>
        </w:rPr>
        <w:t xml:space="preserve">Všetky vyššie uvedené opatrenia budú implementované platiteľmi poistného na </w:t>
      </w:r>
      <w:r w:rsidR="00033E43">
        <w:rPr>
          <w:rFonts w:ascii="Times New Roman" w:hAnsi="Times New Roman"/>
        </w:rPr>
        <w:t xml:space="preserve">verejné </w:t>
      </w:r>
      <w:r w:rsidRPr="001649F0">
        <w:rPr>
          <w:rFonts w:ascii="Times New Roman" w:hAnsi="Times New Roman"/>
        </w:rPr>
        <w:t xml:space="preserve">zdravotné poistenie podľa § 11 zákona č. 580/2004 Z. z. </w:t>
      </w:r>
      <w:r w:rsidR="00033E43">
        <w:rPr>
          <w:rFonts w:ascii="Times New Roman" w:hAnsi="Times New Roman"/>
        </w:rPr>
        <w:t>v znení neskorších predpisov</w:t>
      </w:r>
      <w:r w:rsidR="00D058B2">
        <w:rPr>
          <w:rFonts w:ascii="Times New Roman" w:hAnsi="Times New Roman"/>
        </w:rPr>
        <w:t xml:space="preserve"> a zdravotnými poisťovňami.</w:t>
      </w:r>
    </w:p>
    <w:p w:rsidR="00A22617" w:rsidRPr="00011BF7" w:rsidP="00777C47">
      <w:pPr>
        <w:bidi w:val="0"/>
        <w:rPr>
          <w:rFonts w:ascii="Times New Roman" w:hAnsi="Times New Roman"/>
        </w:rPr>
      </w:pPr>
      <w:r w:rsidRPr="00011BF7">
        <w:rPr>
          <w:rFonts w:ascii="Times New Roman" w:hAnsi="Times New Roman"/>
        </w:rPr>
        <w:t> </w:t>
      </w:r>
    </w:p>
    <w:p w:rsidR="00A22617" w:rsidRPr="00011BF7" w:rsidP="00777C47">
      <w:pPr>
        <w:bidi w:val="0"/>
        <w:rPr>
          <w:rFonts w:ascii="Times New Roman" w:hAnsi="Times New Roman"/>
        </w:rPr>
      </w:pPr>
      <w:r w:rsidRPr="00011BF7">
        <w:rPr>
          <w:rFonts w:ascii="Times New Roman" w:hAnsi="Times New Roman"/>
          <w:b/>
          <w:bCs/>
        </w:rPr>
        <w:t>2.3.2. Charakteristika náv</w:t>
      </w:r>
      <w:r>
        <w:rPr>
          <w:rFonts w:ascii="Times New Roman" w:hAnsi="Times New Roman"/>
          <w:b/>
          <w:bCs/>
        </w:rPr>
        <w:t>rhu podľa bodu  2.3.2. Metodiky</w:t>
      </w:r>
      <w:r w:rsidRPr="00011BF7">
        <w:rPr>
          <w:rFonts w:ascii="Times New Roman" w:hAnsi="Times New Roman"/>
          <w:b/>
          <w:bCs/>
        </w:rPr>
        <w:t>:</w:t>
      </w:r>
    </w:p>
    <w:p w:rsidR="00A22617" w:rsidRPr="00011BF7" w:rsidP="00777C47">
      <w:pPr>
        <w:bidi w:val="0"/>
        <w:rPr>
          <w:rFonts w:ascii="Times New Roman" w:hAnsi="Times New Roman"/>
        </w:rPr>
      </w:pPr>
      <w:r w:rsidRPr="00011BF7">
        <w:rPr>
          <w:rFonts w:ascii="Times New Roman" w:hAnsi="Times New Roman"/>
        </w:rPr>
        <w:t> </w:t>
      </w:r>
    </w:p>
    <w:p w:rsidR="00A22617" w:rsidRPr="00011BF7" w:rsidP="00777C47">
      <w:pPr>
        <w:bidi w:val="0"/>
        <w:rPr>
          <w:rFonts w:ascii="Times New Roman" w:hAnsi="Times New Roman"/>
        </w:rPr>
      </w:pPr>
      <w:r w:rsidRPr="00011BF7">
        <w:rPr>
          <w:rFonts w:ascii="Times New Roman" w:hAnsi="Times New Roman"/>
          <w:b/>
          <w:bCs/>
          <w:bdr w:val="single" w:sz="4" w:space="0" w:color="000000" w:frame="1"/>
        </w:rPr>
        <w:t> </w:t>
      </w:r>
      <w:r w:rsidRPr="00011BF7">
        <w:rPr>
          <w:rFonts w:ascii="Times New Roman" w:hAnsi="Times New Roman"/>
          <w:bdr w:val="single" w:sz="4" w:space="0" w:color="000000" w:frame="1"/>
        </w:rPr>
        <w:t xml:space="preserve">X </w:t>
      </w:r>
      <w:r w:rsidRPr="00011BF7">
        <w:rPr>
          <w:rFonts w:ascii="Times New Roman" w:hAnsi="Times New Roman"/>
          <w:b/>
          <w:bCs/>
        </w:rPr>
        <w:t xml:space="preserve">  </w:t>
      </w:r>
      <w:r w:rsidRPr="00011BF7">
        <w:rPr>
          <w:rFonts w:ascii="Times New Roman" w:hAnsi="Times New Roman"/>
        </w:rPr>
        <w:t>zmena sadzby</w:t>
      </w:r>
    </w:p>
    <w:p w:rsidR="00A22617" w:rsidRPr="00011BF7" w:rsidP="00777C47">
      <w:pPr>
        <w:bidi w:val="0"/>
        <w:rPr>
          <w:rFonts w:ascii="Times New Roman" w:hAnsi="Times New Roman"/>
        </w:rPr>
      </w:pPr>
      <w:r w:rsidRPr="00011BF7">
        <w:rPr>
          <w:rFonts w:ascii="Times New Roman" w:hAnsi="Times New Roman"/>
          <w:bdr w:val="single" w:sz="4" w:space="0" w:color="000000" w:frame="1"/>
        </w:rPr>
        <w:t xml:space="preserve"> X </w:t>
      </w:r>
      <w:r w:rsidRPr="00011BF7">
        <w:rPr>
          <w:rFonts w:ascii="Times New Roman" w:hAnsi="Times New Roman"/>
        </w:rPr>
        <w:t>  zmena v nároku</w:t>
      </w:r>
    </w:p>
    <w:p w:rsidR="00A22617" w:rsidRPr="00011BF7" w:rsidP="00777C47">
      <w:pPr>
        <w:bidi w:val="0"/>
        <w:rPr>
          <w:rFonts w:ascii="Times New Roman" w:hAnsi="Times New Roman"/>
        </w:rPr>
      </w:pPr>
      <w:r w:rsidRPr="00011BF7">
        <w:rPr>
          <w:rFonts w:ascii="Times New Roman" w:hAnsi="Times New Roman"/>
          <w:bdr w:val="single" w:sz="4" w:space="0" w:color="000000" w:frame="1"/>
        </w:rPr>
        <w:t xml:space="preserve"> X </w:t>
      </w:r>
      <w:r w:rsidRPr="00011BF7">
        <w:rPr>
          <w:rFonts w:ascii="Times New Roman" w:hAnsi="Times New Roman"/>
        </w:rPr>
        <w:t>  nová služba alebo nariadenie (alebo ich zrušenie)</w:t>
      </w:r>
    </w:p>
    <w:p w:rsidR="00A22617" w:rsidRPr="00011BF7" w:rsidP="00777C47">
      <w:pPr>
        <w:bidi w:val="0"/>
        <w:rPr>
          <w:rFonts w:ascii="Times New Roman" w:hAnsi="Times New Roman"/>
        </w:rPr>
      </w:pPr>
      <w:r w:rsidRPr="00011BF7">
        <w:rPr>
          <w:rFonts w:ascii="Times New Roman" w:hAnsi="Times New Roman"/>
          <w:bdr w:val="single" w:sz="4" w:space="0" w:color="000000" w:frame="1"/>
        </w:rPr>
        <w:t xml:space="preserve"> X </w:t>
      </w:r>
      <w:r w:rsidRPr="00011BF7">
        <w:rPr>
          <w:rFonts w:ascii="Times New Roman" w:hAnsi="Times New Roman"/>
        </w:rPr>
        <w:t>  kombinovaný návrh</w:t>
      </w:r>
    </w:p>
    <w:p w:rsidR="00A22617" w:rsidRPr="00011BF7" w:rsidP="00777C47">
      <w:pPr>
        <w:bidi w:val="0"/>
        <w:rPr>
          <w:rFonts w:ascii="Times New Roman" w:hAnsi="Times New Roman"/>
        </w:rPr>
      </w:pPr>
      <w:r w:rsidRPr="00011BF7">
        <w:rPr>
          <w:rFonts w:ascii="Times New Roman" w:hAnsi="Times New Roman"/>
          <w:bdr w:val="single" w:sz="4" w:space="0" w:color="000000" w:frame="1"/>
        </w:rPr>
        <w:t xml:space="preserve">     </w:t>
      </w:r>
      <w:r w:rsidRPr="00011BF7">
        <w:rPr>
          <w:rFonts w:ascii="Times New Roman" w:hAnsi="Times New Roman"/>
        </w:rPr>
        <w:t xml:space="preserve">  iné </w:t>
      </w:r>
    </w:p>
    <w:p w:rsidR="00A22617" w:rsidRPr="00011BF7" w:rsidP="00777C47">
      <w:pPr>
        <w:bidi w:val="0"/>
        <w:rPr>
          <w:rFonts w:ascii="Times New Roman" w:hAnsi="Times New Roman"/>
        </w:rPr>
      </w:pPr>
    </w:p>
    <w:p w:rsidR="00A22617" w:rsidRPr="00011BF7" w:rsidP="001859B9">
      <w:pPr>
        <w:bidi w:val="0"/>
        <w:spacing w:after="120"/>
        <w:rPr>
          <w:rFonts w:ascii="Times New Roman" w:hAnsi="Times New Roman"/>
        </w:rPr>
      </w:pPr>
      <w:r w:rsidRPr="00011BF7">
        <w:rPr>
          <w:rFonts w:ascii="Times New Roman" w:hAnsi="Times New Roman"/>
        </w:rPr>
        <w:t> </w:t>
      </w:r>
      <w:r w:rsidRPr="00011BF7">
        <w:rPr>
          <w:rFonts w:ascii="Times New Roman" w:hAnsi="Times New Roman"/>
          <w:b/>
          <w:bCs/>
        </w:rPr>
        <w:t>2.3.3. Predpoklady vývoja objemu aktivít:</w:t>
      </w:r>
    </w:p>
    <w:p w:rsidR="00A22617" w:rsidP="00CD1A66">
      <w:pPr>
        <w:autoSpaceDE w:val="0"/>
        <w:autoSpaceDN w:val="0"/>
        <w:bidi w:val="0"/>
        <w:adjustRightInd w:val="0"/>
        <w:ind w:firstLine="284"/>
        <w:jc w:val="both"/>
        <w:rPr>
          <w:rFonts w:ascii="Times New Roman" w:hAnsi="Times New Roman"/>
        </w:rPr>
      </w:pPr>
      <w:r w:rsidRPr="00011BF7">
        <w:rPr>
          <w:rFonts w:ascii="Times New Roman" w:hAnsi="Times New Roman"/>
          <w:sz w:val="18"/>
          <w:szCs w:val="18"/>
        </w:rPr>
        <w:t> </w:t>
      </w:r>
      <w:r w:rsidRPr="00011BF7">
        <w:rPr>
          <w:rFonts w:ascii="Times New Roman" w:hAnsi="Times New Roman"/>
        </w:rPr>
        <w:t>Z </w:t>
      </w:r>
      <w:r w:rsidRPr="00CD1A66">
        <w:rPr>
          <w:rFonts w:ascii="Times New Roman" w:hAnsi="Times New Roman"/>
          <w:szCs w:val="22"/>
        </w:rPr>
        <w:t>dôvodu</w:t>
      </w:r>
      <w:r w:rsidRPr="00011BF7">
        <w:rPr>
          <w:rFonts w:ascii="Times New Roman" w:hAnsi="Times New Roman"/>
        </w:rPr>
        <w:t xml:space="preserve"> </w:t>
      </w:r>
      <w:r>
        <w:rPr>
          <w:rFonts w:ascii="Times New Roman" w:hAnsi="Times New Roman"/>
        </w:rPr>
        <w:t>zrušenia povinnosti platenia poistného zamestnávateľa na verejné zdravotné poistenie, na sociálne poistenie (okrem úrazového poistenia)</w:t>
      </w:r>
      <w:r w:rsidR="00BE156E">
        <w:rPr>
          <w:rFonts w:ascii="Times New Roman" w:hAnsi="Times New Roman"/>
        </w:rPr>
        <w:t xml:space="preserve"> </w:t>
      </w:r>
      <w:r>
        <w:rPr>
          <w:rFonts w:ascii="Times New Roman" w:hAnsi="Times New Roman"/>
        </w:rPr>
        <w:t xml:space="preserve">a príspevkov na starobné dôchodkové sporenie, </w:t>
      </w:r>
      <w:r w:rsidR="00BE156E">
        <w:rPr>
          <w:rFonts w:ascii="Times New Roman" w:hAnsi="Times New Roman"/>
        </w:rPr>
        <w:t xml:space="preserve">z dôvodu </w:t>
      </w:r>
      <w:r>
        <w:rPr>
          <w:rFonts w:ascii="Times New Roman" w:hAnsi="Times New Roman"/>
        </w:rPr>
        <w:t>zavedenia jedného poistného na sociálne poistenie a jedného poistného na verejné zdravotné poistenie</w:t>
      </w:r>
      <w:r w:rsidR="00754F60">
        <w:rPr>
          <w:rFonts w:ascii="Times New Roman" w:hAnsi="Times New Roman"/>
        </w:rPr>
        <w:t>, ako aj z dôvodu</w:t>
      </w:r>
      <w:r>
        <w:rPr>
          <w:rFonts w:ascii="Times New Roman" w:hAnsi="Times New Roman"/>
        </w:rPr>
        <w:t xml:space="preserve"> zrušenia garančného poistenia, dôjde zo strany zamestnávateľov k zníženiu počtu vykazovaných údajov na poistné za zamestnávateľa a za zamestnanca z cca 23 údajov mesačne na 8 údajov mesačne (výpočet údajov v danom členení, predpísanie údajov do účtovníctva, sledovanie realizovaných úhrad a pod.)</w:t>
      </w:r>
      <w:r w:rsidR="00754F60">
        <w:rPr>
          <w:rFonts w:ascii="Times New Roman" w:hAnsi="Times New Roman"/>
        </w:rPr>
        <w:t>,</w:t>
      </w:r>
      <w:r>
        <w:rPr>
          <w:rFonts w:ascii="Times New Roman" w:hAnsi="Times New Roman"/>
        </w:rPr>
        <w:t xml:space="preserve"> a tým aj k zníženiu počtu mesačných platieb</w:t>
      </w:r>
      <w:r w:rsidR="00BE156E">
        <w:rPr>
          <w:rFonts w:ascii="Times New Roman" w:hAnsi="Times New Roman"/>
        </w:rPr>
        <w:t xml:space="preserve"> a </w:t>
      </w:r>
      <w:r>
        <w:rPr>
          <w:rFonts w:ascii="Times New Roman" w:hAnsi="Times New Roman"/>
        </w:rPr>
        <w:t>k zníženiu</w:t>
      </w:r>
      <w:r w:rsidRPr="00011BF7">
        <w:rPr>
          <w:rFonts w:ascii="Times New Roman" w:hAnsi="Times New Roman"/>
        </w:rPr>
        <w:t xml:space="preserve"> ročných platieb</w:t>
      </w:r>
      <w:r>
        <w:rPr>
          <w:rFonts w:ascii="Times New Roman" w:hAnsi="Times New Roman"/>
        </w:rPr>
        <w:t xml:space="preserve">. Obdobná situácia je aj pri </w:t>
      </w:r>
      <w:r w:rsidR="00E129AB">
        <w:rPr>
          <w:rFonts w:ascii="Times New Roman" w:hAnsi="Times New Roman"/>
        </w:rPr>
        <w:t>SZČO</w:t>
      </w:r>
      <w:r>
        <w:rPr>
          <w:rFonts w:ascii="Times New Roman" w:hAnsi="Times New Roman"/>
        </w:rPr>
        <w:t xml:space="preserve">, kde dôjde z titulu zavedenia jedného poistného na sociálne poistenie a poistného na verejné zdravotné poistenie k zrušeniu vykazovania údajov len pri povinnom poistení z 5 údajov na 2 údaje mesačne. Zníženie povinnosti vykazovania údajov sa pri tejto skupine povinných osôb prejaví v ešte väčšom rozsahu v prípade, že </w:t>
      </w:r>
      <w:r w:rsidR="00E129AB">
        <w:rPr>
          <w:rFonts w:ascii="Times New Roman" w:hAnsi="Times New Roman"/>
        </w:rPr>
        <w:t xml:space="preserve">SZČO </w:t>
      </w:r>
      <w:r>
        <w:rPr>
          <w:rFonts w:ascii="Times New Roman" w:hAnsi="Times New Roman"/>
        </w:rPr>
        <w:t>je zároveň zamestnávateľom a prípadne aj  dobrovoľne poistenou osobou. Celý proces zjednodušenia na strane povinných osôb pomôže prispieť aj k zefektívneniu systému fungovania Sociálnej poisťovne a zdravotných poisťovní.</w:t>
      </w:r>
    </w:p>
    <w:p w:rsidR="00A22617" w:rsidP="009C4C52">
      <w:pPr>
        <w:bidi w:val="0"/>
        <w:jc w:val="both"/>
        <w:rPr>
          <w:rFonts w:ascii="Times New Roman" w:hAnsi="Times New Roman"/>
          <w:b/>
          <w:bCs/>
        </w:rPr>
      </w:pPr>
    </w:p>
    <w:p w:rsidR="00A22617" w:rsidP="001859B9">
      <w:pPr>
        <w:bidi w:val="0"/>
        <w:jc w:val="both"/>
        <w:rPr>
          <w:rFonts w:ascii="Times New Roman" w:hAnsi="Times New Roman"/>
          <w:color w:val="000000"/>
        </w:rPr>
      </w:pPr>
      <w:r>
        <w:rPr>
          <w:rFonts w:ascii="Times New Roman" w:hAnsi="Times New Roman"/>
          <w:color w:val="000000"/>
        </w:rPr>
        <w:t xml:space="preserve">     </w:t>
      </w:r>
      <w:r w:rsidRPr="004B2597">
        <w:rPr>
          <w:rFonts w:ascii="Times New Roman" w:hAnsi="Times New Roman"/>
          <w:color w:val="000000"/>
        </w:rPr>
        <w:t>Navrhované legislatívne zmeny v oblasti sociálneho poistenia si vyžiadajú zmenu informačného systému Sociálnej poisťovne najmä z dôvodov zavedenia tzv. supe</w:t>
      </w:r>
      <w:r>
        <w:rPr>
          <w:rFonts w:ascii="Times New Roman" w:hAnsi="Times New Roman"/>
          <w:color w:val="000000"/>
        </w:rPr>
        <w:t>r</w:t>
      </w:r>
      <w:r w:rsidRPr="004B2597">
        <w:rPr>
          <w:rFonts w:ascii="Times New Roman" w:hAnsi="Times New Roman"/>
          <w:color w:val="000000"/>
        </w:rPr>
        <w:t>hrubej mzdy a presunu platenia poistného na sociálne poistenie zo zamestnávateľa na zamestnanca (odvádzať poistné na sociálne poistenie však bude naďalej zamestnávateľ), rozšírenia osobného rozsahu zamestnancov, zmien vymeriavacieho základu hlavne pre SZČO, zavedenia maximálneho poistného na sociálne poistenie, zmien v dobrovoľnom poistení a zrušenia fondového hospodárenia Sociálnej poisťovne.</w:t>
      </w:r>
      <w:r>
        <w:rPr>
          <w:rFonts w:ascii="Times New Roman" w:hAnsi="Times New Roman"/>
          <w:color w:val="000000"/>
        </w:rPr>
        <w:t xml:space="preserve"> </w:t>
      </w:r>
    </w:p>
    <w:p w:rsidR="00A22617" w:rsidRPr="004B2597" w:rsidP="001859B9">
      <w:pPr>
        <w:bidi w:val="0"/>
        <w:jc w:val="both"/>
        <w:rPr>
          <w:rFonts w:ascii="Times New Roman" w:hAnsi="Times New Roman"/>
          <w:color w:val="000000"/>
        </w:rPr>
      </w:pPr>
    </w:p>
    <w:p w:rsidR="00A22617" w:rsidP="001859B9">
      <w:pPr>
        <w:bidi w:val="0"/>
        <w:jc w:val="both"/>
        <w:rPr>
          <w:rFonts w:ascii="Times New Roman" w:hAnsi="Times New Roman"/>
          <w:color w:val="000000"/>
        </w:rPr>
      </w:pPr>
      <w:r>
        <w:rPr>
          <w:rFonts w:ascii="Times New Roman" w:hAnsi="Times New Roman"/>
          <w:color w:val="000000"/>
        </w:rPr>
        <w:t xml:space="preserve">     </w:t>
      </w:r>
      <w:r w:rsidRPr="004B2597">
        <w:rPr>
          <w:rFonts w:ascii="Times New Roman" w:hAnsi="Times New Roman"/>
          <w:color w:val="000000"/>
        </w:rPr>
        <w:t>Objem výdavkov na úpravu informačného systému Sociálnej poisťovne sa predpokladá v roku 2012 v sume cca 4 mil. eur. Predmetné výdavky budú finančne kryté v rámci správneho fondu Sociálnej poisťovne aj zo zostatku minulých rokov z dôvodu, že sa predpokladá nižšia tvorba správneho fondu v bežnom roku ako použitie.</w:t>
      </w:r>
    </w:p>
    <w:p w:rsidR="00A22617" w:rsidP="001859B9">
      <w:pPr>
        <w:bidi w:val="0"/>
        <w:jc w:val="both"/>
        <w:rPr>
          <w:rFonts w:ascii="Times New Roman" w:hAnsi="Times New Roman"/>
          <w:color w:val="000000"/>
        </w:rPr>
      </w:pPr>
    </w:p>
    <w:p w:rsidR="00A22617" w:rsidP="001859B9">
      <w:pPr>
        <w:bidi w:val="0"/>
        <w:jc w:val="both"/>
        <w:rPr>
          <w:rFonts w:ascii="Times New Roman" w:hAnsi="Times New Roman"/>
        </w:rPr>
      </w:pPr>
      <w:r>
        <w:rPr>
          <w:rFonts w:ascii="Times New Roman" w:hAnsi="Times New Roman"/>
        </w:rPr>
        <w:t xml:space="preserve">     </w:t>
      </w:r>
      <w:r w:rsidRPr="001649F0">
        <w:rPr>
          <w:rFonts w:ascii="Times New Roman" w:hAnsi="Times New Roman"/>
        </w:rPr>
        <w:t xml:space="preserve">Navrhované legislatívne zmeny v oblasti verejného zdravotného poistenia si vyžiadajú úpravu informačného systému zdravotných poisťovní najmä z dôvodov </w:t>
      </w:r>
      <w:r>
        <w:rPr>
          <w:rFonts w:ascii="Times New Roman" w:hAnsi="Times New Roman"/>
        </w:rPr>
        <w:t>zúženia</w:t>
      </w:r>
      <w:r w:rsidRPr="001649F0">
        <w:rPr>
          <w:rFonts w:ascii="Times New Roman" w:hAnsi="Times New Roman"/>
        </w:rPr>
        <w:t xml:space="preserve"> osobného rozsahu zamestnancov, zamestnávateľov, </w:t>
      </w:r>
      <w:r w:rsidR="00E129AB">
        <w:rPr>
          <w:rFonts w:ascii="Times New Roman" w:hAnsi="Times New Roman"/>
        </w:rPr>
        <w:t xml:space="preserve">SZČO </w:t>
      </w:r>
      <w:r w:rsidRPr="001649F0">
        <w:rPr>
          <w:rFonts w:ascii="Times New Roman" w:hAnsi="Times New Roman"/>
        </w:rPr>
        <w:t>a ich vymeriavacích základov</w:t>
      </w:r>
      <w:r>
        <w:rPr>
          <w:rFonts w:ascii="Times New Roman" w:hAnsi="Times New Roman"/>
        </w:rPr>
        <w:t>, ako aj zmenou vymeriavacích základov</w:t>
      </w:r>
      <w:r w:rsidRPr="001649F0">
        <w:rPr>
          <w:rFonts w:ascii="Times New Roman" w:hAnsi="Times New Roman"/>
        </w:rPr>
        <w:t>. S uvedeným zmenami súvisí aj mierne zvýšenie administratívnej záťaže zdravotných poisťovní vyplývajúc</w:t>
      </w:r>
      <w:r>
        <w:rPr>
          <w:rFonts w:ascii="Times New Roman" w:hAnsi="Times New Roman"/>
        </w:rPr>
        <w:t>e</w:t>
      </w:r>
      <w:r w:rsidRPr="001649F0">
        <w:rPr>
          <w:rFonts w:ascii="Times New Roman" w:hAnsi="Times New Roman"/>
        </w:rPr>
        <w:t xml:space="preserve"> z evidencie vyššieho počtu krátkodobých poistných vzťahov. Legislatívne zmeny zákona o zdravotnom poistení, ktorými sa rušia výnimky z neplatenia verejného zdravotného poistenia, môžu mať vplyv na počet podaných ročných zúčtovaní zdravotného poistenia, na jednej strane sa síce rozširuje okruh osôb, ktoré nie sú povinné podať ročné zúčtovanie zdravotného poistenia, na druhej strane sa zvýši počet súbehov, napr. zamestnanie a samostatná zárobková činnosť a tým aj povinnosť vykonať ročné zúčtovanie poistného.</w:t>
      </w:r>
    </w:p>
    <w:p w:rsidR="00A22617" w:rsidRPr="004B2597" w:rsidP="001859B9">
      <w:pPr>
        <w:bidi w:val="0"/>
        <w:jc w:val="both"/>
        <w:rPr>
          <w:rFonts w:ascii="Times New Roman" w:hAnsi="Times New Roman"/>
          <w:color w:val="000000"/>
        </w:rPr>
      </w:pPr>
    </w:p>
    <w:p w:rsidR="00A22617" w:rsidP="009C4C52">
      <w:pPr>
        <w:bidi w:val="0"/>
        <w:jc w:val="both"/>
        <w:rPr>
          <w:rFonts w:ascii="Times New Roman" w:hAnsi="Times New Roman"/>
          <w:b/>
          <w:bCs/>
        </w:rPr>
      </w:pPr>
      <w:r>
        <w:rPr>
          <w:rFonts w:ascii="Times New Roman" w:hAnsi="Times New Roman"/>
          <w:color w:val="000000"/>
        </w:rPr>
        <w:t xml:space="preserve">     Obdobne sa zmena informačných systémov dotkne aj ostatných subjektov verejnej správy a podnikateľskej sféry z dôvodu zmeny parametrov pri poistnom na sociálne</w:t>
      </w:r>
      <w:r w:rsidR="00FB6CBB">
        <w:rPr>
          <w:rFonts w:ascii="Times New Roman" w:hAnsi="Times New Roman"/>
          <w:color w:val="000000"/>
        </w:rPr>
        <w:t xml:space="preserve"> poistenie, na sociálne zabezpečenie</w:t>
      </w:r>
      <w:r>
        <w:rPr>
          <w:rFonts w:ascii="Times New Roman" w:hAnsi="Times New Roman"/>
          <w:color w:val="000000"/>
        </w:rPr>
        <w:t xml:space="preserve"> a verejné zdravotné poistenie, ako aj parametrov pri dani z príjmov.</w:t>
      </w:r>
      <w:r w:rsidR="00D10737">
        <w:rPr>
          <w:rFonts w:ascii="Times New Roman" w:hAnsi="Times New Roman"/>
          <w:color w:val="000000"/>
        </w:rPr>
        <w:t xml:space="preserve"> Predpokladáme, že úpravy informačných systémov budú vykonané v rámci uzatvorených zmlúv na upgrade systémov.</w:t>
      </w:r>
    </w:p>
    <w:p w:rsidR="00A22617" w:rsidRPr="00011BF7" w:rsidP="009C4C52">
      <w:pPr>
        <w:bidi w:val="0"/>
        <w:jc w:val="both"/>
        <w:rPr>
          <w:rFonts w:ascii="Times New Roman" w:hAnsi="Times New Roman"/>
          <w:b/>
          <w:bCs/>
        </w:rPr>
      </w:pPr>
    </w:p>
    <w:p w:rsidR="00A22617" w:rsidRPr="00011BF7" w:rsidP="00D868D9">
      <w:pPr>
        <w:keepNext/>
        <w:bidi w:val="0"/>
        <w:rPr>
          <w:rFonts w:ascii="Times New Roman" w:hAnsi="Times New Roman"/>
        </w:rPr>
      </w:pPr>
      <w:r w:rsidRPr="00011BF7">
        <w:rPr>
          <w:rFonts w:ascii="Times New Roman" w:hAnsi="Times New Roman"/>
          <w:b/>
          <w:bCs/>
        </w:rPr>
        <w:t>2.3.4. Výpočty vplyvov na verejné financie</w:t>
      </w:r>
    </w:p>
    <w:p w:rsidR="00A22617" w:rsidP="00777C47">
      <w:pPr>
        <w:bidi w:val="0"/>
        <w:jc w:val="both"/>
        <w:rPr>
          <w:rFonts w:ascii="Times New Roman" w:hAnsi="Times New Roman"/>
          <w:color w:val="0070C0"/>
        </w:rPr>
      </w:pPr>
      <w:r w:rsidRPr="00AA65B1">
        <w:rPr>
          <w:rFonts w:ascii="Times New Roman" w:hAnsi="Times New Roman"/>
          <w:color w:val="0070C0"/>
        </w:rPr>
        <w:t> </w:t>
      </w:r>
    </w:p>
    <w:p w:rsidR="00A22617" w:rsidP="00CD1A66">
      <w:pPr>
        <w:bidi w:val="0"/>
        <w:spacing w:after="120"/>
        <w:jc w:val="both"/>
        <w:rPr>
          <w:rFonts w:ascii="Times New Roman" w:hAnsi="Times New Roman"/>
          <w:b/>
        </w:rPr>
      </w:pPr>
      <w:r>
        <w:rPr>
          <w:rFonts w:ascii="Times New Roman" w:hAnsi="Times New Roman"/>
          <w:b/>
        </w:rPr>
        <w:t>Všeobecný popis najdôležitejších výpočtov</w:t>
      </w:r>
    </w:p>
    <w:p w:rsidR="00A22617" w:rsidRPr="00D324D4" w:rsidP="00D324D4">
      <w:pPr>
        <w:bidi w:val="0"/>
        <w:spacing w:after="120"/>
        <w:ind w:left="567" w:hanging="283"/>
        <w:jc w:val="both"/>
        <w:rPr>
          <w:rFonts w:ascii="Times New Roman" w:hAnsi="Times New Roman"/>
          <w:u w:val="single"/>
        </w:rPr>
      </w:pPr>
      <w:r>
        <w:rPr>
          <w:rFonts w:ascii="Times New Roman" w:hAnsi="Times New Roman"/>
          <w:u w:val="single"/>
        </w:rPr>
        <w:t xml:space="preserve">I. </w:t>
      </w:r>
      <w:r w:rsidRPr="00D324D4">
        <w:rPr>
          <w:rFonts w:ascii="Times New Roman" w:hAnsi="Times New Roman"/>
          <w:u w:val="single"/>
        </w:rPr>
        <w:t>Kvantifikácia príjmov</w:t>
      </w:r>
    </w:p>
    <w:p w:rsidR="00F05D29" w:rsidP="00CD1A66">
      <w:pPr>
        <w:autoSpaceDE w:val="0"/>
        <w:autoSpaceDN w:val="0"/>
        <w:bidi w:val="0"/>
        <w:adjustRightInd w:val="0"/>
        <w:ind w:firstLine="284"/>
        <w:jc w:val="both"/>
        <w:rPr>
          <w:rFonts w:ascii="Times New Roman" w:hAnsi="Times New Roman"/>
          <w:szCs w:val="22"/>
        </w:rPr>
      </w:pPr>
      <w:r w:rsidR="00A22617">
        <w:rPr>
          <w:rFonts w:ascii="Times New Roman" w:hAnsi="Times New Roman"/>
          <w:szCs w:val="22"/>
        </w:rPr>
        <w:t xml:space="preserve">Vplyvom navrhovaných zmien sa predpokladá pokles príjmov Sociálnej poisťovne a zdravotných poisťovní z dôvodu zmeny spôsobu výpočtov vymeriavacích základov, stanovenia nových sadzieb poistného, zmeny prerozdelenia pomeru poistného pre dôchodkovú oblasť medzi I. a II. pilierom pri skupine povinných osôb (napr. pri </w:t>
      </w:r>
      <w:r w:rsidR="00E129AB">
        <w:rPr>
          <w:rFonts w:ascii="Times New Roman" w:hAnsi="Times New Roman"/>
          <w:szCs w:val="22"/>
        </w:rPr>
        <w:t>SZČO</w:t>
      </w:r>
      <w:r w:rsidR="00A22617">
        <w:rPr>
          <w:rFonts w:ascii="Times New Roman" w:hAnsi="Times New Roman"/>
          <w:szCs w:val="22"/>
        </w:rPr>
        <w:t>). Zároveň dôjde vplyvom zmeny vo výpočte daňového základu pre daň z príjmov fyzických osôb (napr. vylúčenie výdavkov na poistné</w:t>
      </w:r>
      <w:r w:rsidR="002B0F9F">
        <w:rPr>
          <w:rFonts w:ascii="Times New Roman" w:hAnsi="Times New Roman"/>
          <w:szCs w:val="22"/>
        </w:rPr>
        <w:t xml:space="preserve"> z daňového základu, ako aj z vymeriavacích </w:t>
      </w:r>
      <w:r w:rsidRPr="00A86C7E" w:rsidR="002B0F9F">
        <w:rPr>
          <w:rFonts w:ascii="Times New Roman" w:hAnsi="Times New Roman"/>
          <w:szCs w:val="22"/>
        </w:rPr>
        <w:t>základov</w:t>
      </w:r>
      <w:r w:rsidRPr="00A86C7E" w:rsidR="00A22617">
        <w:rPr>
          <w:rFonts w:ascii="Times New Roman" w:hAnsi="Times New Roman"/>
          <w:szCs w:val="22"/>
        </w:rPr>
        <w:t>, zmeny v odpisovaní, zmena výšky</w:t>
      </w:r>
      <w:r w:rsidR="00A22617">
        <w:rPr>
          <w:rFonts w:ascii="Times New Roman" w:hAnsi="Times New Roman"/>
          <w:szCs w:val="22"/>
        </w:rPr>
        <w:t xml:space="preserve"> nezdaniteľnej časti základu dane apod.) k zvýšeniu výnosu dane z príjmov fyzických osôb.</w:t>
      </w:r>
      <w:r w:rsidR="003D0C59">
        <w:rPr>
          <w:rFonts w:ascii="Times New Roman" w:hAnsi="Times New Roman"/>
          <w:szCs w:val="22"/>
        </w:rPr>
        <w:t xml:space="preserve"> </w:t>
      </w:r>
    </w:p>
    <w:p w:rsidR="000F7FCB" w:rsidP="00CD1A66">
      <w:pPr>
        <w:autoSpaceDE w:val="0"/>
        <w:autoSpaceDN w:val="0"/>
        <w:bidi w:val="0"/>
        <w:adjustRightInd w:val="0"/>
        <w:ind w:firstLine="284"/>
        <w:jc w:val="both"/>
        <w:rPr>
          <w:rFonts w:ascii="Times New Roman" w:hAnsi="Times New Roman"/>
          <w:szCs w:val="22"/>
        </w:rPr>
      </w:pPr>
    </w:p>
    <w:p w:rsidR="00A22617" w:rsidRPr="00D324D4" w:rsidP="00D324D4">
      <w:pPr>
        <w:bidi w:val="0"/>
        <w:spacing w:after="120"/>
        <w:ind w:left="567" w:hanging="283"/>
        <w:jc w:val="both"/>
        <w:rPr>
          <w:rFonts w:ascii="Times New Roman" w:hAnsi="Times New Roman"/>
          <w:u w:val="single"/>
        </w:rPr>
      </w:pPr>
      <w:r>
        <w:rPr>
          <w:rFonts w:ascii="Times New Roman" w:hAnsi="Times New Roman"/>
          <w:u w:val="single"/>
        </w:rPr>
        <w:t xml:space="preserve">II. </w:t>
      </w:r>
      <w:r w:rsidRPr="00D324D4">
        <w:rPr>
          <w:rFonts w:ascii="Times New Roman" w:hAnsi="Times New Roman"/>
          <w:u w:val="single"/>
        </w:rPr>
        <w:t>Kvantifikácia výdavkov</w:t>
      </w:r>
    </w:p>
    <w:p w:rsidR="004176AB" w:rsidRPr="002F5926" w:rsidP="00A86C7E">
      <w:pPr>
        <w:autoSpaceDE w:val="0"/>
        <w:autoSpaceDN w:val="0"/>
        <w:bidi w:val="0"/>
        <w:adjustRightInd w:val="0"/>
        <w:ind w:firstLine="284"/>
        <w:jc w:val="both"/>
        <w:rPr>
          <w:rFonts w:ascii="Times New Roman" w:hAnsi="Times New Roman"/>
          <w:szCs w:val="22"/>
        </w:rPr>
      </w:pPr>
      <w:r w:rsidR="00A22617">
        <w:rPr>
          <w:rFonts w:ascii="Times New Roman" w:hAnsi="Times New Roman"/>
          <w:szCs w:val="22"/>
        </w:rPr>
        <w:t>Vplyvom navrhovaných zmien sa predpokladajú jednorazové výdavky Sociálnej poisťovne a zdravotných poisťovní z dôvodu zavedenia zmien účinných k 1. januáru 2012 (informačné systémy, administratívne náklady na zmenu tlačív a pod.).</w:t>
      </w:r>
      <w:r w:rsidR="00E94B98">
        <w:rPr>
          <w:rFonts w:ascii="Times New Roman" w:hAnsi="Times New Roman"/>
          <w:szCs w:val="22"/>
        </w:rPr>
        <w:t xml:space="preserve"> Výdavky na úpravy informačných systémov a na agendu súvisiacu s úpravou príjmu zo závislej činnosti budú mať aj ostatné subjekty verejnej správy, pričom sa však predpokladá, že úpravy informačných systémov budú zrealizované v rámci štandardných zmlúv na upgrade informačných systémov uzatvorených medzi subjektom verejnej správy a dodávateľom </w:t>
      </w:r>
      <w:r w:rsidR="003D0C59">
        <w:rPr>
          <w:rFonts w:ascii="Times New Roman" w:hAnsi="Times New Roman"/>
          <w:szCs w:val="22"/>
        </w:rPr>
        <w:t>informačného systému, ktoré sú väčšinou uzatvorené na ročné obdobie aj za účelom zapracovania legislatívnych zmien.</w:t>
      </w:r>
      <w:r>
        <w:rPr>
          <w:rFonts w:ascii="Times New Roman" w:hAnsi="Times New Roman"/>
          <w:szCs w:val="22"/>
        </w:rPr>
        <w:t xml:space="preserve"> Zmeny v personálnej a mzdovej agende súvisiace s úpravou príjmu zo závislej činnosti budú zrealizované v rámci pracovného, resp. služobného času</w:t>
      </w:r>
      <w:r w:rsidR="002F5926">
        <w:rPr>
          <w:rFonts w:ascii="Times New Roman" w:hAnsi="Times New Roman"/>
          <w:szCs w:val="22"/>
        </w:rPr>
        <w:t xml:space="preserve">. </w:t>
      </w:r>
      <w:r>
        <w:rPr>
          <w:rFonts w:ascii="Times New Roman" w:hAnsi="Times New Roman"/>
        </w:rPr>
        <w:t>Z dôvodu prepočtu hrubých miezd zamestnancov o</w:t>
      </w:r>
      <w:r w:rsidRPr="003A631A">
        <w:rPr>
          <w:rFonts w:ascii="Times New Roman" w:hAnsi="Times New Roman"/>
        </w:rPr>
        <w:t>dhad</w:t>
      </w:r>
      <w:r>
        <w:rPr>
          <w:rFonts w:ascii="Times New Roman" w:hAnsi="Times New Roman"/>
        </w:rPr>
        <w:t xml:space="preserve"> výšky administratívnych nákladov na jedného zamestnanca je 0,94 € (odhadovaná časová náročnosť jedného úkonu je 15 minút; pr</w:t>
      </w:r>
      <w:r w:rsidR="002F5926">
        <w:rPr>
          <w:rFonts w:ascii="Times New Roman" w:hAnsi="Times New Roman"/>
        </w:rPr>
        <w:t>iemerná hodinová mzda</w:t>
      </w:r>
      <w:r>
        <w:rPr>
          <w:rFonts w:ascii="Times New Roman" w:hAnsi="Times New Roman"/>
        </w:rPr>
        <w:t xml:space="preserve"> je </w:t>
      </w:r>
      <w:r w:rsidRPr="009F2F4F">
        <w:rPr>
          <w:rFonts w:ascii="Times New Roman" w:hAnsi="Times New Roman"/>
        </w:rPr>
        <w:t>3,59</w:t>
      </w:r>
      <w:r>
        <w:rPr>
          <w:rFonts w:ascii="Times New Roman" w:hAnsi="Times New Roman"/>
        </w:rPr>
        <w:t xml:space="preserve"> €, čo </w:t>
      </w:r>
      <w:r w:rsidRPr="0089781B">
        <w:rPr>
          <w:rFonts w:ascii="Times New Roman" w:hAnsi="Times New Roman"/>
        </w:rPr>
        <w:t>zodpovedá</w:t>
      </w:r>
      <w:r>
        <w:rPr>
          <w:rFonts w:ascii="Times New Roman" w:hAnsi="Times New Roman"/>
        </w:rPr>
        <w:t xml:space="preserve"> mediánu priemernej hodinovej mzdy nižších administratívnych zamestnancov – KZAM 4, v roku 2010. Náklady na materiál na jedného zamestnanca sú odhadované vo výške 0,04 €. S použitím  štandardného nákladového modelu SCM získame náklady na jedného zamestnanca </w:t>
      </w:r>
      <w:r w:rsidRPr="009F2F4F">
        <w:rPr>
          <w:rFonts w:ascii="Times New Roman" w:hAnsi="Times New Roman"/>
        </w:rPr>
        <w:t>0,</w:t>
      </w:r>
      <w:r w:rsidR="002F5926">
        <w:rPr>
          <w:rFonts w:ascii="Times New Roman" w:hAnsi="Times New Roman"/>
        </w:rPr>
        <w:t>94 €), t.j. pre zamestnávateľa</w:t>
      </w:r>
      <w:r>
        <w:rPr>
          <w:rFonts w:ascii="Times New Roman" w:hAnsi="Times New Roman"/>
        </w:rPr>
        <w:t xml:space="preserve">: </w:t>
      </w:r>
    </w:p>
    <w:p w:rsidR="004176AB" w:rsidP="004176AB">
      <w:pPr>
        <w:bidi w:val="0"/>
        <w:spacing w:before="60" w:after="60"/>
        <w:ind w:right="101"/>
        <w:rPr>
          <w:rFonts w:ascii="Times New Roman" w:hAnsi="Times New Roman"/>
        </w:rPr>
      </w:pPr>
      <w:r>
        <w:rPr>
          <w:rFonts w:ascii="Times New Roman" w:hAnsi="Times New Roman"/>
        </w:rPr>
        <w:t>s 1-9 zamestnancami sú náklady 0,94 € - 8,46 €</w:t>
      </w:r>
      <w:r w:rsidR="002F5926">
        <w:rPr>
          <w:rFonts w:ascii="Times New Roman" w:hAnsi="Times New Roman"/>
        </w:rPr>
        <w:t>,</w:t>
      </w:r>
    </w:p>
    <w:p w:rsidR="004176AB" w:rsidP="004176AB">
      <w:pPr>
        <w:bidi w:val="0"/>
        <w:spacing w:before="60" w:after="60"/>
        <w:ind w:right="101"/>
        <w:rPr>
          <w:rFonts w:ascii="Times New Roman" w:hAnsi="Times New Roman"/>
        </w:rPr>
      </w:pPr>
      <w:r>
        <w:rPr>
          <w:rFonts w:ascii="Times New Roman" w:hAnsi="Times New Roman"/>
        </w:rPr>
        <w:t>s 10-49 zamestnancami sú náklady 9,4 € - 46,06 €</w:t>
      </w:r>
      <w:r w:rsidR="002F5926">
        <w:rPr>
          <w:rFonts w:ascii="Times New Roman" w:hAnsi="Times New Roman"/>
        </w:rPr>
        <w:t>,</w:t>
      </w:r>
    </w:p>
    <w:p w:rsidR="004176AB" w:rsidP="004176AB">
      <w:pPr>
        <w:bidi w:val="0"/>
        <w:spacing w:before="60" w:after="60"/>
        <w:ind w:right="101"/>
        <w:rPr>
          <w:rFonts w:ascii="Times New Roman" w:hAnsi="Times New Roman"/>
        </w:rPr>
      </w:pPr>
      <w:r>
        <w:rPr>
          <w:rFonts w:ascii="Times New Roman" w:hAnsi="Times New Roman"/>
        </w:rPr>
        <w:t>s 50-249 zamestnancami sú náklady 47 € - 234,06 €</w:t>
      </w:r>
      <w:r w:rsidR="002F5926">
        <w:rPr>
          <w:rFonts w:ascii="Times New Roman" w:hAnsi="Times New Roman"/>
        </w:rPr>
        <w:t>,</w:t>
      </w:r>
    </w:p>
    <w:p w:rsidR="004176AB" w:rsidP="004176AB">
      <w:pPr>
        <w:bidi w:val="0"/>
        <w:spacing w:before="60" w:after="60"/>
        <w:ind w:right="101"/>
        <w:rPr>
          <w:rFonts w:ascii="Times New Roman" w:hAnsi="Times New Roman"/>
        </w:rPr>
      </w:pPr>
      <w:r>
        <w:rPr>
          <w:rFonts w:ascii="Times New Roman" w:hAnsi="Times New Roman"/>
        </w:rPr>
        <w:t>s 250-499 zamestnancami sú náklady 235 € - 469,06 €</w:t>
      </w:r>
      <w:r w:rsidR="002F5926">
        <w:rPr>
          <w:rFonts w:ascii="Times New Roman" w:hAnsi="Times New Roman"/>
        </w:rPr>
        <w:t>,</w:t>
      </w:r>
    </w:p>
    <w:p w:rsidR="004176AB" w:rsidP="004176AB">
      <w:pPr>
        <w:bidi w:val="0"/>
        <w:spacing w:before="60" w:after="60"/>
        <w:ind w:right="101"/>
        <w:rPr>
          <w:rFonts w:ascii="Times New Roman" w:hAnsi="Times New Roman"/>
        </w:rPr>
      </w:pPr>
      <w:r>
        <w:rPr>
          <w:rFonts w:ascii="Times New Roman" w:hAnsi="Times New Roman"/>
        </w:rPr>
        <w:t>s 500-999 zamestnancami sú náklady470 € - 939,06 €</w:t>
      </w:r>
      <w:r w:rsidR="002F5926">
        <w:rPr>
          <w:rFonts w:ascii="Times New Roman" w:hAnsi="Times New Roman"/>
        </w:rPr>
        <w:t>,</w:t>
      </w:r>
    </w:p>
    <w:p w:rsidR="004176AB" w:rsidP="004176AB">
      <w:pPr>
        <w:bidi w:val="0"/>
        <w:spacing w:before="60" w:after="60"/>
        <w:ind w:right="101"/>
        <w:rPr>
          <w:rFonts w:ascii="Times New Roman" w:hAnsi="Times New Roman"/>
        </w:rPr>
      </w:pPr>
      <w:r>
        <w:rPr>
          <w:rFonts w:ascii="Times New Roman" w:hAnsi="Times New Roman"/>
        </w:rPr>
        <w:t>s viac než 1000 zamestnancami viac než 940 €.</w:t>
      </w:r>
    </w:p>
    <w:p w:rsidR="004176AB" w:rsidP="00CD1A66">
      <w:pPr>
        <w:autoSpaceDE w:val="0"/>
        <w:autoSpaceDN w:val="0"/>
        <w:bidi w:val="0"/>
        <w:adjustRightInd w:val="0"/>
        <w:ind w:firstLine="284"/>
        <w:jc w:val="both"/>
        <w:rPr>
          <w:rFonts w:ascii="Times New Roman" w:hAnsi="Times New Roman"/>
          <w:szCs w:val="22"/>
        </w:rPr>
      </w:pPr>
      <w:r w:rsidR="002F5926">
        <w:rPr>
          <w:rFonts w:ascii="Times New Roman" w:hAnsi="Times New Roman"/>
          <w:szCs w:val="22"/>
        </w:rPr>
        <w:t>Uvedené výdavky budú čerpané v rámci rozpočtovaných bežných výdavkov. Tieto jednorazové výdavky budú v nasledujúcich obdobiach eliminované znížením administratívnych výdavkov v súvislosti s opatreniami navrhnutými v zákone o úprave príjmov zo závislej činnosti a o zmene a doplnení niektorých výdavkov a jeho jednotlivých článkoch.</w:t>
      </w:r>
    </w:p>
    <w:p w:rsidR="00F75C24" w:rsidP="00CD1A66">
      <w:pPr>
        <w:autoSpaceDE w:val="0"/>
        <w:autoSpaceDN w:val="0"/>
        <w:bidi w:val="0"/>
        <w:adjustRightInd w:val="0"/>
        <w:ind w:firstLine="284"/>
        <w:jc w:val="both"/>
        <w:rPr>
          <w:rFonts w:ascii="Times New Roman" w:hAnsi="Times New Roman"/>
          <w:szCs w:val="22"/>
        </w:rPr>
      </w:pPr>
    </w:p>
    <w:p w:rsidR="001F3190" w:rsidRPr="008F67C8" w:rsidP="00A86C7E">
      <w:pPr>
        <w:numPr>
          <w:ilvl w:val="2"/>
          <w:numId w:val="11"/>
        </w:numPr>
        <w:autoSpaceDE w:val="0"/>
        <w:autoSpaceDN w:val="0"/>
        <w:bidi w:val="0"/>
        <w:adjustRightInd w:val="0"/>
        <w:ind w:left="426" w:hanging="426"/>
        <w:jc w:val="both"/>
        <w:rPr>
          <w:rFonts w:ascii="Times New Roman" w:hAnsi="Times New Roman"/>
          <w:b/>
          <w:bCs/>
          <w:color w:val="0070C0"/>
        </w:rPr>
      </w:pPr>
      <w:r w:rsidRPr="00A86C7E" w:rsidR="008F67C8">
        <w:rPr>
          <w:rFonts w:ascii="Times New Roman" w:hAnsi="Times New Roman"/>
          <w:b/>
          <w:color w:val="0070C0"/>
        </w:rPr>
        <w:t>Najdôležitejšie výpočty</w:t>
      </w:r>
      <w:r w:rsidRPr="00A86C7E" w:rsidR="008F67C8">
        <w:rPr>
          <w:rFonts w:ascii="Times New Roman" w:hAnsi="Times New Roman"/>
          <w:b/>
          <w:bCs/>
          <w:color w:val="0070C0"/>
        </w:rPr>
        <w:t xml:space="preserve"> vo vzťahu k návrhu novely zákona o</w:t>
      </w:r>
      <w:r w:rsidR="008F67C8">
        <w:rPr>
          <w:rFonts w:ascii="Times New Roman" w:hAnsi="Times New Roman"/>
          <w:b/>
          <w:bCs/>
          <w:color w:val="0070C0"/>
        </w:rPr>
        <w:t> dani z príjmov</w:t>
      </w:r>
    </w:p>
    <w:p w:rsidR="00A22617" w:rsidP="00777C47">
      <w:pPr>
        <w:bidi w:val="0"/>
        <w:jc w:val="both"/>
        <w:rPr>
          <w:rFonts w:ascii="Times New Roman" w:hAnsi="Times New Roman"/>
          <w:color w:val="0070C0"/>
        </w:rPr>
      </w:pPr>
    </w:p>
    <w:p w:rsidR="000F7FCB" w:rsidP="00A86C7E">
      <w:pPr>
        <w:numPr>
          <w:numId w:val="48"/>
        </w:numPr>
        <w:bidi w:val="0"/>
        <w:spacing w:after="120"/>
        <w:ind w:left="426" w:hanging="426"/>
        <w:jc w:val="both"/>
        <w:rPr>
          <w:rFonts w:ascii="Times New Roman" w:hAnsi="Times New Roman"/>
          <w:u w:val="single"/>
        </w:rPr>
      </w:pPr>
      <w:r w:rsidRPr="00BE181A">
        <w:rPr>
          <w:rFonts w:ascii="Times New Roman" w:hAnsi="Times New Roman"/>
          <w:u w:val="single"/>
        </w:rPr>
        <w:t>Kvantifikácia príjmov</w:t>
      </w:r>
    </w:p>
    <w:p w:rsidR="000F7FCB" w:rsidP="00A86C7E">
      <w:pPr>
        <w:numPr>
          <w:numId w:val="50"/>
        </w:numPr>
        <w:tabs>
          <w:tab w:val="left" w:pos="709"/>
        </w:tabs>
        <w:bidi w:val="0"/>
        <w:jc w:val="both"/>
        <w:rPr>
          <w:rFonts w:ascii="Times New Roman" w:hAnsi="Times New Roman"/>
        </w:rPr>
      </w:pPr>
      <w:r w:rsidRPr="006133E2">
        <w:rPr>
          <w:rFonts w:ascii="Times New Roman" w:hAnsi="Times New Roman"/>
          <w:b/>
        </w:rPr>
        <w:t xml:space="preserve">Neznižovania daňového základu o zaplatené </w:t>
      </w:r>
      <w:r>
        <w:rPr>
          <w:rFonts w:ascii="Times New Roman" w:hAnsi="Times New Roman"/>
          <w:b/>
        </w:rPr>
        <w:t xml:space="preserve">poistné na </w:t>
      </w:r>
      <w:r w:rsidRPr="006133E2">
        <w:rPr>
          <w:rFonts w:ascii="Times New Roman" w:hAnsi="Times New Roman"/>
          <w:b/>
        </w:rPr>
        <w:t>sociálne</w:t>
      </w:r>
      <w:r>
        <w:rPr>
          <w:rFonts w:ascii="Times New Roman" w:hAnsi="Times New Roman"/>
          <w:b/>
        </w:rPr>
        <w:t xml:space="preserve"> poistenie</w:t>
      </w:r>
      <w:r w:rsidRPr="006133E2">
        <w:rPr>
          <w:rFonts w:ascii="Times New Roman" w:hAnsi="Times New Roman"/>
          <w:b/>
        </w:rPr>
        <w:t xml:space="preserve"> a</w:t>
      </w:r>
      <w:r>
        <w:rPr>
          <w:rFonts w:ascii="Times New Roman" w:hAnsi="Times New Roman"/>
          <w:b/>
        </w:rPr>
        <w:t xml:space="preserve"> na </w:t>
      </w:r>
      <w:r w:rsidRPr="000F7FCB">
        <w:rPr>
          <w:rFonts w:ascii="Times New Roman" w:hAnsi="Times New Roman"/>
          <w:b/>
        </w:rPr>
        <w:t>verejné zdravotné poistenie a o zaplatené príspevky na starobné dôchodkové sporenie (neuplatňovanie zaplateného poistného na sociálne a verejné zdravotné poistenie a príspevkov na starobné dôchodkové sporenie do daňových výdavkov)</w:t>
      </w:r>
      <w:r>
        <w:rPr>
          <w:rFonts w:ascii="Times New Roman" w:hAnsi="Times New Roman"/>
        </w:rPr>
        <w:t xml:space="preserve"> – zmena sa týka tak príjmov zo závislej činnosti, ako aj príjmov z podnikania. Predmetná zmena má rozhodujúci podiel na zvýšení výnosu dane z prí</w:t>
      </w:r>
      <w:r w:rsidR="001F3190">
        <w:rPr>
          <w:rFonts w:ascii="Times New Roman" w:hAnsi="Times New Roman"/>
        </w:rPr>
        <w:t>jmov fyzických osôb.</w:t>
      </w:r>
    </w:p>
    <w:p w:rsidR="000F7FCB" w:rsidP="000F7FCB">
      <w:pPr>
        <w:bidi w:val="0"/>
        <w:ind w:left="360"/>
        <w:jc w:val="both"/>
        <w:rPr>
          <w:rFonts w:ascii="Times New Roman" w:hAnsi="Times New Roman"/>
        </w:rPr>
      </w:pPr>
    </w:p>
    <w:p w:rsidR="000F7FCB" w:rsidP="00A86C7E">
      <w:pPr>
        <w:numPr>
          <w:numId w:val="50"/>
        </w:numPr>
        <w:tabs>
          <w:tab w:val="left" w:pos="709"/>
        </w:tabs>
        <w:bidi w:val="0"/>
        <w:jc w:val="both"/>
        <w:rPr>
          <w:rFonts w:ascii="Times New Roman" w:hAnsi="Times New Roman"/>
        </w:rPr>
      </w:pPr>
      <w:r w:rsidRPr="008E5C18">
        <w:rPr>
          <w:rFonts w:ascii="Times New Roman" w:hAnsi="Times New Roman"/>
          <w:b/>
        </w:rPr>
        <w:t>Obmedzenie tzv. paušálnych výdavkov vo výške 40</w:t>
      </w:r>
      <w:r>
        <w:rPr>
          <w:rFonts w:ascii="Times New Roman" w:hAnsi="Times New Roman"/>
          <w:b/>
        </w:rPr>
        <w:t xml:space="preserve"> </w:t>
      </w:r>
      <w:r w:rsidRPr="008E5C18">
        <w:rPr>
          <w:rFonts w:ascii="Times New Roman" w:hAnsi="Times New Roman"/>
          <w:b/>
        </w:rPr>
        <w:t>% najviac do výšky 2 400 eur ročne</w:t>
      </w:r>
      <w:r>
        <w:rPr>
          <w:rFonts w:ascii="Times New Roman" w:hAnsi="Times New Roman"/>
        </w:rPr>
        <w:t xml:space="preserve"> – zmena sa premietne vo zvýšenom príjme dane z príjmov fyzických osôb z podnikania vo výške 34,9 mil. eura v roku 2012, 36,2 mil. eura v roku 2013 a 38,3 mil. eura v roku 2014.</w:t>
      </w:r>
    </w:p>
    <w:p w:rsidR="000F7FCB" w:rsidP="000F7FCB">
      <w:pPr>
        <w:pStyle w:val="ListParagraph"/>
        <w:bidi w:val="0"/>
        <w:rPr>
          <w:rFonts w:ascii="Times New Roman" w:hAnsi="Times New Roman"/>
        </w:rPr>
      </w:pPr>
    </w:p>
    <w:p w:rsidR="000F7FCB" w:rsidP="00A86C7E">
      <w:pPr>
        <w:numPr>
          <w:numId w:val="50"/>
        </w:numPr>
        <w:tabs>
          <w:tab w:val="left" w:pos="709"/>
        </w:tabs>
        <w:bidi w:val="0"/>
        <w:jc w:val="both"/>
        <w:rPr>
          <w:rFonts w:ascii="Times New Roman" w:hAnsi="Times New Roman"/>
          <w:b/>
        </w:rPr>
      </w:pPr>
      <w:r w:rsidRPr="008E5C18">
        <w:rPr>
          <w:rFonts w:ascii="Times New Roman" w:hAnsi="Times New Roman"/>
          <w:b/>
        </w:rPr>
        <w:t>Úprava nezdaniteľnej časti základu dane z 19,2-násobku životného minima na 18-</w:t>
      </w:r>
      <w:r w:rsidRPr="008E5C18">
        <w:rPr>
          <w:rFonts w:ascii="Times New Roman" w:hAnsi="Times New Roman"/>
        </w:rPr>
        <w:t>násobok životného minima</w:t>
      </w:r>
      <w:r w:rsidR="005C14D4">
        <w:rPr>
          <w:rFonts w:ascii="Times New Roman" w:hAnsi="Times New Roman"/>
        </w:rPr>
        <w:t xml:space="preserve"> pre jednu plnoletú fyzickú osobu </w:t>
      </w:r>
      <w:r w:rsidRPr="00992C13" w:rsidR="005C14D4">
        <w:rPr>
          <w:rFonts w:ascii="Times New Roman" w:hAnsi="Times New Roman"/>
        </w:rPr>
        <w:t>platného k 1. januáru príslušného zdaňovacieho obdobia</w:t>
      </w:r>
      <w:r w:rsidRPr="008E5C18">
        <w:rPr>
          <w:rFonts w:ascii="Times New Roman" w:hAnsi="Times New Roman"/>
        </w:rPr>
        <w:t xml:space="preserve"> súvisí s harmonizáciou nároku na nezdaniteľnú časť základu dane pre všetky fyzické osoby bez rozdielu na výšku ich príjmov</w:t>
      </w:r>
      <w:r w:rsidR="001F3190">
        <w:rPr>
          <w:rFonts w:ascii="Times New Roman" w:hAnsi="Times New Roman"/>
          <w:b/>
        </w:rPr>
        <w:t>.</w:t>
      </w:r>
    </w:p>
    <w:p w:rsidR="000F7FCB" w:rsidP="000F7FCB">
      <w:pPr>
        <w:pStyle w:val="ListParagraph"/>
        <w:bidi w:val="0"/>
        <w:rPr>
          <w:rFonts w:ascii="Times New Roman" w:hAnsi="Times New Roman"/>
          <w:b/>
        </w:rPr>
      </w:pPr>
    </w:p>
    <w:p w:rsidR="000F7FCB" w:rsidRPr="008E5C18" w:rsidP="00A86C7E">
      <w:pPr>
        <w:numPr>
          <w:numId w:val="50"/>
        </w:numPr>
        <w:tabs>
          <w:tab w:val="left" w:pos="709"/>
        </w:tabs>
        <w:bidi w:val="0"/>
        <w:jc w:val="both"/>
        <w:rPr>
          <w:rFonts w:ascii="Times New Roman" w:hAnsi="Times New Roman"/>
          <w:b/>
        </w:rPr>
      </w:pPr>
      <w:r w:rsidRPr="008E5C18">
        <w:rPr>
          <w:rFonts w:ascii="Times New Roman" w:hAnsi="Times New Roman"/>
          <w:b/>
        </w:rPr>
        <w:t>Obmedzenie nezdaniteľnej časti základu dane na manželku (manžela) na 18-násobok životného minima</w:t>
      </w:r>
      <w:r w:rsidR="005C14D4">
        <w:rPr>
          <w:rFonts w:ascii="Times New Roman" w:hAnsi="Times New Roman"/>
          <w:b/>
        </w:rPr>
        <w:t xml:space="preserve"> </w:t>
      </w:r>
      <w:r w:rsidR="005C14D4">
        <w:rPr>
          <w:rFonts w:ascii="Times New Roman" w:hAnsi="Times New Roman"/>
        </w:rPr>
        <w:t xml:space="preserve">pre jednu plnoletú fyzickú osobu </w:t>
      </w:r>
      <w:r w:rsidRPr="00992C13" w:rsidR="005C14D4">
        <w:rPr>
          <w:rFonts w:ascii="Times New Roman" w:hAnsi="Times New Roman"/>
        </w:rPr>
        <w:t>platného k 1. januáru príslušného zdaňovacieho obdobia</w:t>
      </w:r>
      <w:r>
        <w:rPr>
          <w:rFonts w:ascii="Times New Roman" w:hAnsi="Times New Roman"/>
          <w:b/>
        </w:rPr>
        <w:t>,</w:t>
      </w:r>
      <w:r w:rsidRPr="008E5C18">
        <w:rPr>
          <w:rFonts w:ascii="Times New Roman" w:hAnsi="Times New Roman"/>
          <w:b/>
        </w:rPr>
        <w:t xml:space="preserve"> a to len v prípade, že takáto osoba sa stará o nezaopatrené dieťa –</w:t>
      </w:r>
      <w:r>
        <w:rPr>
          <w:rFonts w:ascii="Times New Roman" w:hAnsi="Times New Roman"/>
        </w:rPr>
        <w:t xml:space="preserve"> obmedzenie súvisí s ambíciou obmedziť rozsah využívania tejto daňovej výhody pre tie okruhy osôb, ktorých manželka (manžel) sa nestará o deti a nevyvíja žiadnu ekonomickú aktivitu (napr. ženy v domácnosti). Zmena prinesie 1,9 mil. eura v roku 2012, 15,1 mil. eura v roku 2013 a 14,1 mil. eura</w:t>
      </w:r>
      <w:r w:rsidR="001F3190">
        <w:rPr>
          <w:rFonts w:ascii="Times New Roman" w:hAnsi="Times New Roman"/>
        </w:rPr>
        <w:t xml:space="preserve"> v roku 2014.</w:t>
      </w:r>
    </w:p>
    <w:p w:rsidR="000F7FCB" w:rsidP="000F7FCB">
      <w:pPr>
        <w:pStyle w:val="ListParagraph"/>
        <w:bidi w:val="0"/>
        <w:rPr>
          <w:rFonts w:ascii="Times New Roman" w:hAnsi="Times New Roman"/>
          <w:b/>
        </w:rPr>
      </w:pPr>
    </w:p>
    <w:p w:rsidR="00D172F9" w:rsidRPr="008B0F92" w:rsidP="00A86C7E">
      <w:pPr>
        <w:numPr>
          <w:numId w:val="50"/>
        </w:numPr>
        <w:tabs>
          <w:tab w:val="left" w:pos="709"/>
        </w:tabs>
        <w:bidi w:val="0"/>
        <w:jc w:val="both"/>
        <w:rPr>
          <w:rFonts w:ascii="Times New Roman" w:hAnsi="Times New Roman"/>
          <w:b/>
        </w:rPr>
      </w:pPr>
      <w:r>
        <w:rPr>
          <w:rFonts w:ascii="Times New Roman" w:hAnsi="Times New Roman"/>
          <w:b/>
        </w:rPr>
        <w:t xml:space="preserve">Úprava započítavania príjmov manželky (manžela) na účely uplatnenia nezdaniteľnej časti základu dane - </w:t>
      </w:r>
      <w:r>
        <w:rPr>
          <w:rFonts w:ascii="Times New Roman" w:hAnsi="Times New Roman"/>
        </w:rPr>
        <w:t>n</w:t>
      </w:r>
      <w:r w:rsidRPr="00992C13">
        <w:rPr>
          <w:rFonts w:ascii="Times New Roman" w:hAnsi="Times New Roman"/>
        </w:rPr>
        <w:t>a účely uplatnenia nezdaniteľnej časti základu dane podľa</w:t>
      </w:r>
      <w:r>
        <w:rPr>
          <w:rFonts w:ascii="Times New Roman" w:hAnsi="Times New Roman"/>
        </w:rPr>
        <w:t xml:space="preserve"> § 11</w:t>
      </w:r>
      <w:r w:rsidRPr="00992C13">
        <w:rPr>
          <w:rFonts w:ascii="Times New Roman" w:hAnsi="Times New Roman"/>
        </w:rPr>
        <w:t xml:space="preserve"> odseku 1 písm. b) sa do vlastného príjmu manželky (manžela) nezahrnuje daňový bonus podľa § 33, zvýšenie dôchodku pre bezvládnosť, peňažný príspevok na osobnú asistenciu poskytovaný fyzickej osobe s ťažkým zdravotným postihnutím podľa osobitného predpisu, štátne sociálne dávky a štipendium poskytované študujúcim sústavne sa pr</w:t>
      </w:r>
      <w:r>
        <w:rPr>
          <w:rFonts w:ascii="Times New Roman" w:hAnsi="Times New Roman"/>
        </w:rPr>
        <w:t>ipravujúcim na budúce povolanie</w:t>
      </w:r>
      <w:r w:rsidRPr="00722BA0">
        <w:rPr>
          <w:rFonts w:ascii="Times New Roman" w:hAnsi="Times New Roman"/>
        </w:rPr>
        <w:t>. Zahrnutím</w:t>
      </w:r>
      <w:r w:rsidRPr="008B0F92">
        <w:rPr>
          <w:rFonts w:ascii="Times New Roman" w:hAnsi="Times New Roman"/>
        </w:rPr>
        <w:t xml:space="preserve"> peňažného príspevku na osobnú asistenciu do príjmov manželky (manžela) na účely uplatnenia nezdaniteľnej časti základu dane</w:t>
      </w:r>
      <w:r w:rsidRPr="008B0F92" w:rsidR="00D06F52">
        <w:rPr>
          <w:rFonts w:ascii="Times New Roman" w:hAnsi="Times New Roman"/>
        </w:rPr>
        <w:t xml:space="preserve"> na manželku (manžela)</w:t>
      </w:r>
      <w:r w:rsidRPr="008B0F92">
        <w:rPr>
          <w:rFonts w:ascii="Times New Roman" w:hAnsi="Times New Roman"/>
        </w:rPr>
        <w:t xml:space="preserve"> dochádza k zníženiu výnosu dane z</w:t>
      </w:r>
      <w:r w:rsidRPr="008B0F92" w:rsidR="00D06F52">
        <w:rPr>
          <w:rFonts w:ascii="Times New Roman" w:hAnsi="Times New Roman"/>
        </w:rPr>
        <w:t> </w:t>
      </w:r>
      <w:r w:rsidRPr="008B0F92">
        <w:rPr>
          <w:rFonts w:ascii="Times New Roman" w:hAnsi="Times New Roman"/>
        </w:rPr>
        <w:t>príjmov</w:t>
      </w:r>
      <w:r w:rsidRPr="008B0F92" w:rsidR="00D06F52">
        <w:rPr>
          <w:rFonts w:ascii="Times New Roman" w:hAnsi="Times New Roman"/>
        </w:rPr>
        <w:t xml:space="preserve"> na úrovni 0,1 mil. eur v roku 2012, na úrovni 0,7 mil. eur v roku 2013 a 0,8 mil. eur v roku 2014.</w:t>
      </w:r>
    </w:p>
    <w:p w:rsidR="00D172F9" w:rsidP="00A86C7E">
      <w:pPr>
        <w:pStyle w:val="ListParagraph"/>
        <w:bidi w:val="0"/>
        <w:rPr>
          <w:rFonts w:ascii="Times New Roman" w:hAnsi="Times New Roman"/>
          <w:b/>
        </w:rPr>
      </w:pPr>
    </w:p>
    <w:p w:rsidR="000F7FCB" w:rsidRPr="00DB7F5D" w:rsidP="00A86C7E">
      <w:pPr>
        <w:numPr>
          <w:numId w:val="50"/>
        </w:numPr>
        <w:tabs>
          <w:tab w:val="left" w:pos="709"/>
        </w:tabs>
        <w:bidi w:val="0"/>
        <w:jc w:val="both"/>
        <w:rPr>
          <w:rFonts w:ascii="Times New Roman" w:hAnsi="Times New Roman"/>
          <w:b/>
        </w:rPr>
      </w:pPr>
      <w:r>
        <w:rPr>
          <w:rFonts w:ascii="Times New Roman" w:hAnsi="Times New Roman"/>
          <w:b/>
        </w:rPr>
        <w:t>Z</w:t>
      </w:r>
      <w:r w:rsidRPr="008E5C18">
        <w:rPr>
          <w:rFonts w:ascii="Times New Roman" w:hAnsi="Times New Roman"/>
          <w:b/>
        </w:rPr>
        <w:t xml:space="preserve">rušenie klesania nároku na nezdaniteľnú časť základu dane daňovníka v závislosti od rastúceho príjmu (tzv. milionárska daň) </w:t>
      </w:r>
      <w:r>
        <w:rPr>
          <w:rFonts w:ascii="Times New Roman" w:hAnsi="Times New Roman"/>
          <w:b/>
        </w:rPr>
        <w:t>–</w:t>
      </w:r>
      <w:r>
        <w:rPr>
          <w:rFonts w:ascii="Times New Roman" w:hAnsi="Times New Roman"/>
        </w:rPr>
        <w:t xml:space="preserve"> zmena znamená, že nárok na nezdaniteľnú časť základu dane budú mať všetky fyzické osoby bez rozdielu na výšku ich príjmov. Zmena bude mať negatívny vplyv na výnos z dane z príjmov fyzických osôb o 30,4 mil. eura v roku 2012, o 34 mil. eur v roku </w:t>
      </w:r>
      <w:smartTag w:uri="urn:schemas-microsoft-com:office:smarttags" w:element="metricconverter">
        <w:smartTagPr>
          <w:attr w:name="ProductID" w:val="2013 a"/>
        </w:smartTagPr>
        <w:r>
          <w:rPr>
            <w:rFonts w:ascii="Times New Roman" w:hAnsi="Times New Roman"/>
          </w:rPr>
          <w:t>2013 a</w:t>
        </w:r>
      </w:smartTag>
      <w:r>
        <w:rPr>
          <w:rFonts w:ascii="Times New Roman" w:hAnsi="Times New Roman"/>
        </w:rPr>
        <w:t xml:space="preserve"> o 38,3 mil. eura</w:t>
      </w:r>
      <w:r w:rsidR="001F3190">
        <w:rPr>
          <w:rFonts w:ascii="Times New Roman" w:hAnsi="Times New Roman"/>
        </w:rPr>
        <w:t xml:space="preserve"> v roku 2014.</w:t>
      </w:r>
    </w:p>
    <w:p w:rsidR="000F7FCB" w:rsidP="000F7FCB">
      <w:pPr>
        <w:pStyle w:val="ListParagraph"/>
        <w:bidi w:val="0"/>
        <w:rPr>
          <w:rFonts w:ascii="Times New Roman" w:hAnsi="Times New Roman"/>
          <w:b/>
        </w:rPr>
      </w:pPr>
    </w:p>
    <w:p w:rsidR="000F7FCB" w:rsidRPr="00DB7F5D" w:rsidP="00A86C7E">
      <w:pPr>
        <w:numPr>
          <w:numId w:val="50"/>
        </w:numPr>
        <w:tabs>
          <w:tab w:val="left" w:pos="709"/>
        </w:tabs>
        <w:bidi w:val="0"/>
        <w:jc w:val="both"/>
        <w:rPr>
          <w:rFonts w:ascii="Times New Roman" w:hAnsi="Times New Roman"/>
          <w:b/>
        </w:rPr>
      </w:pPr>
      <w:r>
        <w:rPr>
          <w:rFonts w:ascii="Times New Roman" w:hAnsi="Times New Roman"/>
          <w:b/>
        </w:rPr>
        <w:t>Z</w:t>
      </w:r>
      <w:r w:rsidRPr="00DB7F5D">
        <w:rPr>
          <w:rFonts w:ascii="Times New Roman" w:hAnsi="Times New Roman"/>
          <w:b/>
        </w:rPr>
        <w:t>rušenie zamestnaneckej prémie</w:t>
      </w:r>
      <w:r>
        <w:rPr>
          <w:rFonts w:ascii="Times New Roman" w:hAnsi="Times New Roman"/>
        </w:rPr>
        <w:t xml:space="preserve">, ktorá výrazným znížením daňovo-odvodového zaťaženia nízkopríjmových skupín </w:t>
      </w:r>
      <w:r w:rsidR="001F3190">
        <w:rPr>
          <w:rFonts w:ascii="Times New Roman" w:hAnsi="Times New Roman"/>
        </w:rPr>
        <w:t>zamestnancov stráca svoj význam.</w:t>
      </w:r>
    </w:p>
    <w:p w:rsidR="000F7FCB" w:rsidP="000F7FCB">
      <w:pPr>
        <w:pStyle w:val="ListParagraph"/>
        <w:bidi w:val="0"/>
        <w:rPr>
          <w:rFonts w:ascii="Times New Roman" w:hAnsi="Times New Roman"/>
          <w:b/>
        </w:rPr>
      </w:pPr>
    </w:p>
    <w:p w:rsidR="000F7FCB" w:rsidRPr="00DB7F5D" w:rsidP="00A86C7E">
      <w:pPr>
        <w:numPr>
          <w:numId w:val="50"/>
        </w:numPr>
        <w:tabs>
          <w:tab w:val="left" w:pos="709"/>
        </w:tabs>
        <w:bidi w:val="0"/>
        <w:jc w:val="both"/>
        <w:rPr>
          <w:rFonts w:ascii="Times New Roman" w:hAnsi="Times New Roman"/>
          <w:b/>
        </w:rPr>
      </w:pPr>
      <w:r w:rsidRPr="00DB7F5D">
        <w:rPr>
          <w:rFonts w:ascii="Times New Roman" w:hAnsi="Times New Roman"/>
          <w:b/>
        </w:rPr>
        <w:t>Osobitný spôsob odpisovania hmotného majetku daňovníkom, ktorý má príjem z podnikania</w:t>
      </w:r>
      <w:r>
        <w:rPr>
          <w:rFonts w:ascii="Times New Roman" w:hAnsi="Times New Roman"/>
        </w:rPr>
        <w:t xml:space="preserve"> – tzv. liberálne odpisovanie pre SZČO</w:t>
      </w:r>
      <w:r w:rsidR="00803BF5">
        <w:rPr>
          <w:rFonts w:ascii="Times New Roman" w:hAnsi="Times New Roman"/>
        </w:rPr>
        <w:t xml:space="preserve"> </w:t>
      </w:r>
      <w:r>
        <w:rPr>
          <w:rFonts w:ascii="Times New Roman" w:hAnsi="Times New Roman"/>
        </w:rPr>
        <w:t xml:space="preserve">znižuje výnos z dane z príjmov fyzických osôb o 5 mil. eur v roku 2012, o 5,5 mil. eura v roku </w:t>
      </w:r>
      <w:r w:rsidR="001F3190">
        <w:rPr>
          <w:rFonts w:ascii="Times New Roman" w:hAnsi="Times New Roman"/>
        </w:rPr>
        <w:t>2013 a o 6 mil. eur v roku 2014.</w:t>
      </w:r>
    </w:p>
    <w:p w:rsidR="000F7FCB" w:rsidP="000F7FCB">
      <w:pPr>
        <w:pStyle w:val="ListParagraph"/>
        <w:bidi w:val="0"/>
        <w:rPr>
          <w:rFonts w:ascii="Times New Roman" w:hAnsi="Times New Roman"/>
          <w:b/>
        </w:rPr>
      </w:pPr>
    </w:p>
    <w:p w:rsidR="000F7FCB" w:rsidRPr="00A86C7E" w:rsidP="00A86C7E">
      <w:pPr>
        <w:numPr>
          <w:numId w:val="50"/>
        </w:numPr>
        <w:tabs>
          <w:tab w:val="left" w:pos="709"/>
        </w:tabs>
        <w:bidi w:val="0"/>
        <w:jc w:val="both"/>
        <w:rPr>
          <w:rFonts w:ascii="Times New Roman" w:hAnsi="Times New Roman"/>
          <w:b/>
        </w:rPr>
      </w:pPr>
      <w:r>
        <w:rPr>
          <w:rFonts w:ascii="Times New Roman" w:hAnsi="Times New Roman"/>
          <w:b/>
        </w:rPr>
        <w:t xml:space="preserve">Zrušenie povinnosti platiť poistné na verejné zdravotné poistenie z prenájmu – </w:t>
      </w:r>
      <w:r w:rsidRPr="00DB7F5D">
        <w:rPr>
          <w:rFonts w:ascii="Times New Roman" w:hAnsi="Times New Roman"/>
        </w:rPr>
        <w:t>zmena sa prejaví vo zvýšení základu dane z príjmov z prenájmu, čo zvýši daňovú povinnosť osôb majúcich príjmy z prenájmu o 3,8 mil. eur v roku 2012.</w:t>
      </w:r>
    </w:p>
    <w:p w:rsidR="000F7FCB" w:rsidP="00A86C7E">
      <w:pPr>
        <w:pStyle w:val="ListParagraph"/>
        <w:bidi w:val="0"/>
        <w:rPr>
          <w:rFonts w:ascii="Times New Roman" w:hAnsi="Times New Roman"/>
          <w:b/>
        </w:rPr>
      </w:pPr>
    </w:p>
    <w:p w:rsidR="000F7FCB" w:rsidRPr="00A86C7E" w:rsidP="00A86C7E">
      <w:pPr>
        <w:numPr>
          <w:numId w:val="50"/>
        </w:numPr>
        <w:tabs>
          <w:tab w:val="left" w:pos="709"/>
        </w:tabs>
        <w:bidi w:val="0"/>
        <w:jc w:val="both"/>
        <w:rPr>
          <w:rFonts w:ascii="Times New Roman" w:hAnsi="Times New Roman"/>
        </w:rPr>
      </w:pPr>
      <w:r w:rsidRPr="00A86C7E">
        <w:rPr>
          <w:rFonts w:ascii="Times New Roman" w:hAnsi="Times New Roman"/>
          <w:b/>
        </w:rPr>
        <w:t>Prechod z ročného uplatňovania daňových odpisov hmotného majetku  na mesačné odpisovanie pre všetky formy obstarania majetku</w:t>
      </w:r>
      <w:r w:rsidRPr="00A86C7E">
        <w:rPr>
          <w:rFonts w:ascii="Arial Narrow" w:hAnsi="Arial Narrow" w:cs="Arial"/>
          <w:sz w:val="22"/>
          <w:szCs w:val="22"/>
        </w:rPr>
        <w:t xml:space="preserve"> </w:t>
      </w:r>
      <w:r w:rsidRPr="00A86C7E">
        <w:rPr>
          <w:rFonts w:ascii="Times New Roman" w:hAnsi="Times New Roman"/>
        </w:rPr>
        <w:t>(vrátane zosúladenia doby odpisovania majetku obstaraného prostredníctvom finančného lízingu s ostatnými formami obstarania). Úprava sa bude týkať len dane z príjmov právnických osôb a len novonadobúdaného majetku. Opatrenie sa premietne vo zvýšenom príjme dane z príjmov právnických osôb vo výške 53,6 mil. eur</w:t>
      </w:r>
      <w:r>
        <w:rPr>
          <w:rFonts w:ascii="Times New Roman" w:hAnsi="Times New Roman"/>
        </w:rPr>
        <w:t>a</w:t>
      </w:r>
      <w:r w:rsidRPr="00A86C7E">
        <w:rPr>
          <w:rFonts w:ascii="Times New Roman" w:hAnsi="Times New Roman"/>
        </w:rPr>
        <w:t xml:space="preserve"> v roku 2012, 49,3 mil. eur</w:t>
      </w:r>
      <w:r>
        <w:rPr>
          <w:rFonts w:ascii="Times New Roman" w:hAnsi="Times New Roman"/>
        </w:rPr>
        <w:t>a</w:t>
      </w:r>
      <w:r w:rsidRPr="00A86C7E">
        <w:rPr>
          <w:rFonts w:ascii="Times New Roman" w:hAnsi="Times New Roman"/>
        </w:rPr>
        <w:t xml:space="preserve"> v roku 2013 a 48,9 mil. eur</w:t>
      </w:r>
      <w:r>
        <w:rPr>
          <w:rFonts w:ascii="Times New Roman" w:hAnsi="Times New Roman"/>
        </w:rPr>
        <w:t>a</w:t>
      </w:r>
      <w:r w:rsidRPr="00A86C7E">
        <w:rPr>
          <w:rFonts w:ascii="Times New Roman" w:hAnsi="Times New Roman"/>
        </w:rPr>
        <w:t xml:space="preserve"> v roku 2014. V kvantifikácii sa predpokladá, že v 1 roku sa efektívne do výdavkov dostane odpis za 6 mesiacov. Vo výpočte je zohľadnený podiel stratových spoločností (konzervatívny predpoklad 50</w:t>
      </w:r>
      <w:r>
        <w:rPr>
          <w:rFonts w:ascii="Times New Roman" w:hAnsi="Times New Roman"/>
        </w:rPr>
        <w:t xml:space="preserve"> </w:t>
      </w:r>
      <w:r w:rsidRPr="00A86C7E">
        <w:rPr>
          <w:rFonts w:ascii="Times New Roman" w:hAnsi="Times New Roman"/>
        </w:rPr>
        <w:t xml:space="preserve">%), pri ktorých návrh opatrenia nebude mať vplyv na základ dane. Mesačný odpis je vypočítaný ako 1/12 ročného odpisu. Koeficienty odpisovania pri rovnomernom aj zrýchlenom odpisovaní zostanú zachované. </w:t>
      </w:r>
    </w:p>
    <w:p w:rsidR="000F7FCB" w:rsidRPr="00A86C7E" w:rsidP="000F7FCB">
      <w:pPr>
        <w:pStyle w:val="ListParagraph"/>
        <w:bidi w:val="0"/>
        <w:rPr>
          <w:rFonts w:ascii="Times New Roman" w:hAnsi="Times New Roman"/>
        </w:rPr>
      </w:pPr>
    </w:p>
    <w:p w:rsidR="000F7FCB" w:rsidP="00A86C7E">
      <w:pPr>
        <w:numPr>
          <w:numId w:val="50"/>
        </w:numPr>
        <w:tabs>
          <w:tab w:val="left" w:pos="709"/>
        </w:tabs>
        <w:bidi w:val="0"/>
        <w:jc w:val="both"/>
        <w:rPr>
          <w:rFonts w:ascii="Times New Roman" w:hAnsi="Times New Roman"/>
        </w:rPr>
      </w:pPr>
      <w:r w:rsidRPr="00A86C7E">
        <w:rPr>
          <w:rFonts w:ascii="Times New Roman" w:hAnsi="Times New Roman"/>
          <w:b/>
        </w:rPr>
        <w:t>Zmeny súvisiace s rozdelením výpočtu základu dane z príjmov podľa §</w:t>
      </w:r>
      <w:r>
        <w:rPr>
          <w:rFonts w:ascii="Times New Roman" w:hAnsi="Times New Roman"/>
          <w:b/>
        </w:rPr>
        <w:t xml:space="preserve"> </w:t>
      </w:r>
      <w:r w:rsidRPr="00A86C7E">
        <w:rPr>
          <w:rFonts w:ascii="Times New Roman" w:hAnsi="Times New Roman"/>
          <w:b/>
        </w:rPr>
        <w:t>6 na tzv. „aktívne a pasívne príjmy“</w:t>
      </w:r>
      <w:r w:rsidRPr="00A86C7E">
        <w:rPr>
          <w:rFonts w:ascii="Times New Roman" w:hAnsi="Times New Roman"/>
        </w:rPr>
        <w:t xml:space="preserve"> – uplatňovanie nezdaniteľných častí len od aktívnych príjmov; zavedenie možnosti vzniku daňovej straty len z príjmov z podnikania alebo inej samostatne zárobkovej </w:t>
      </w:r>
      <w:r>
        <w:rPr>
          <w:rFonts w:ascii="Times New Roman" w:hAnsi="Times New Roman"/>
        </w:rPr>
        <w:t>činnosti a jej uplatnenie len z</w:t>
      </w:r>
      <w:r w:rsidRPr="00A86C7E">
        <w:rPr>
          <w:rFonts w:ascii="Times New Roman" w:hAnsi="Times New Roman"/>
        </w:rPr>
        <w:t xml:space="preserve"> týchto príjmov. Zmena nebude mať vplyv na výnos d</w:t>
      </w:r>
      <w:r w:rsidRPr="00B9559B">
        <w:rPr>
          <w:rFonts w:ascii="Times New Roman" w:hAnsi="Times New Roman"/>
        </w:rPr>
        <w:t>ane z príjmov</w:t>
      </w:r>
      <w:r w:rsidRPr="00A86C7E">
        <w:rPr>
          <w:rFonts w:ascii="Times New Roman" w:hAnsi="Times New Roman"/>
        </w:rPr>
        <w:t>.</w:t>
      </w:r>
    </w:p>
    <w:p w:rsidR="00034BAC" w:rsidP="00A86C7E">
      <w:pPr>
        <w:pStyle w:val="ListParagraph"/>
        <w:bidi w:val="0"/>
        <w:rPr>
          <w:rFonts w:ascii="Times New Roman" w:hAnsi="Times New Roman"/>
        </w:rPr>
      </w:pPr>
    </w:p>
    <w:p w:rsidR="00034BAC" w:rsidRPr="00772706" w:rsidP="00034BAC">
      <w:pPr>
        <w:numPr>
          <w:numId w:val="50"/>
        </w:numPr>
        <w:bidi w:val="0"/>
        <w:jc w:val="both"/>
        <w:rPr>
          <w:rFonts w:ascii="Times New Roman" w:hAnsi="Times New Roman"/>
          <w:color w:val="000000"/>
        </w:rPr>
      </w:pPr>
      <w:r w:rsidRPr="00772706">
        <w:rPr>
          <w:rFonts w:ascii="Times New Roman" w:hAnsi="Times New Roman"/>
          <w:b/>
          <w:color w:val="000000"/>
        </w:rPr>
        <w:t xml:space="preserve">Výpadok príjmov </w:t>
      </w:r>
      <w:r>
        <w:rPr>
          <w:rFonts w:ascii="Times New Roman" w:hAnsi="Times New Roman"/>
          <w:b/>
          <w:color w:val="000000"/>
        </w:rPr>
        <w:t xml:space="preserve">na dani </w:t>
      </w:r>
      <w:r w:rsidRPr="00772706">
        <w:rPr>
          <w:rFonts w:ascii="Times New Roman" w:hAnsi="Times New Roman"/>
          <w:b/>
          <w:color w:val="000000"/>
        </w:rPr>
        <w:t>z poistného plateného zamestnávateľom z jedného percenta</w:t>
      </w:r>
      <w:r>
        <w:rPr>
          <w:rFonts w:ascii="Times New Roman" w:hAnsi="Times New Roman"/>
          <w:b/>
        </w:rPr>
        <w:t xml:space="preserve"> zo vstupnej ceny vozidla poskytnutého zamestnávateľom na používanie zamestnancovi na služobné aj súkromné účely</w:t>
      </w:r>
    </w:p>
    <w:p w:rsidR="00034BAC" w:rsidP="00A86C7E">
      <w:pPr>
        <w:tabs>
          <w:tab w:val="left" w:pos="709"/>
        </w:tabs>
        <w:bidi w:val="0"/>
        <w:ind w:left="720"/>
        <w:jc w:val="both"/>
        <w:rPr>
          <w:rFonts w:ascii="Times New Roman" w:hAnsi="Times New Roman"/>
          <w:color w:val="000000"/>
        </w:rPr>
      </w:pPr>
      <w:r>
        <w:rPr>
          <w:rFonts w:ascii="Times New Roman" w:hAnsi="Times New Roman"/>
          <w:color w:val="000000"/>
        </w:rPr>
        <w:t>V súčasnosti ak zamestnávateľ poskytne zamestnancovi vozidlo na používanie na služobné aj súkromné účely, z 1 % zo vstupnej ceny tohto vozidla platí daň z príjmov a poistné na verejné zdravotné poistenie a na sociálne poistenie zamestnanec a zamestnávateľ platí poistné na verejné zdravotné poistenie a na sociálne poistenie. Vzhľadom k tomu, že pri úprave príjmu zo závislej činnosti nedochádza k zvýšeniu 1 % o koeficient 1,344, ktorý zodpovedá výške poistného plateného zamestnávateľom, ako aj vzhľadom k tomu, že poistné nie je možné odpočítať z príjmov</w:t>
      </w:r>
      <w:r w:rsidRPr="008B0F92">
        <w:rPr>
          <w:rFonts w:ascii="Times New Roman" w:hAnsi="Times New Roman"/>
          <w:color w:val="000000"/>
        </w:rPr>
        <w:t>, prejaví sa uvedené v znížení výnosu dane z</w:t>
      </w:r>
      <w:r w:rsidRPr="008B0F92" w:rsidR="00D06F52">
        <w:rPr>
          <w:rFonts w:ascii="Times New Roman" w:hAnsi="Times New Roman"/>
          <w:color w:val="000000"/>
        </w:rPr>
        <w:t> </w:t>
      </w:r>
      <w:r w:rsidRPr="008B0F92">
        <w:rPr>
          <w:rFonts w:ascii="Times New Roman" w:hAnsi="Times New Roman"/>
          <w:color w:val="000000"/>
        </w:rPr>
        <w:t>príjmov</w:t>
      </w:r>
      <w:r w:rsidRPr="008B0F92" w:rsidR="00D06F52">
        <w:rPr>
          <w:rFonts w:ascii="Times New Roman" w:hAnsi="Times New Roman"/>
          <w:color w:val="000000"/>
        </w:rPr>
        <w:t xml:space="preserve"> na úrovni 1,1 mil. eur v roku 2012, 1,2 mil. eur v roku 2013 a 1, 3 mil. eur v roku 2014.</w:t>
      </w:r>
      <w:r>
        <w:rPr>
          <w:rFonts w:ascii="Times New Roman" w:hAnsi="Times New Roman"/>
          <w:color w:val="000000"/>
        </w:rPr>
        <w:t xml:space="preserve"> </w:t>
      </w:r>
    </w:p>
    <w:p w:rsidR="000F7FCB" w:rsidP="000F7FCB">
      <w:pPr>
        <w:pStyle w:val="ListParagraph"/>
        <w:bidi w:val="0"/>
        <w:rPr>
          <w:rFonts w:ascii="Times New Roman" w:hAnsi="Times New Roman"/>
        </w:rPr>
      </w:pPr>
    </w:p>
    <w:p w:rsidR="008F67C8" w:rsidP="008F67C8">
      <w:pPr>
        <w:numPr>
          <w:numId w:val="48"/>
        </w:numPr>
        <w:bidi w:val="0"/>
        <w:spacing w:after="120"/>
        <w:ind w:left="426" w:hanging="426"/>
        <w:jc w:val="both"/>
        <w:rPr>
          <w:rFonts w:ascii="Times New Roman" w:hAnsi="Times New Roman"/>
          <w:u w:val="single"/>
        </w:rPr>
      </w:pPr>
      <w:r>
        <w:rPr>
          <w:rFonts w:ascii="Times New Roman" w:hAnsi="Times New Roman"/>
          <w:u w:val="single"/>
        </w:rPr>
        <w:t>Kvantifikácia výdavkov</w:t>
      </w:r>
    </w:p>
    <w:p w:rsidR="008F67C8" w:rsidRPr="00A86C7E" w:rsidP="00A86C7E">
      <w:pPr>
        <w:pStyle w:val="ListParagraph"/>
        <w:bidi w:val="0"/>
        <w:ind w:left="426"/>
        <w:rPr>
          <w:rFonts w:ascii="Times New Roman" w:hAnsi="Times New Roman"/>
        </w:rPr>
      </w:pPr>
      <w:r>
        <w:rPr>
          <w:rFonts w:ascii="Times New Roman" w:hAnsi="Times New Roman"/>
        </w:rPr>
        <w:t>Pre túto oblasť nie sú kvantifikované výdavky.</w:t>
      </w:r>
    </w:p>
    <w:p w:rsidR="000F7FCB" w:rsidP="00A86C7E">
      <w:pPr>
        <w:tabs>
          <w:tab w:val="left" w:pos="709"/>
        </w:tabs>
        <w:bidi w:val="0"/>
        <w:ind w:left="720"/>
        <w:jc w:val="both"/>
        <w:rPr>
          <w:rFonts w:ascii="Times New Roman" w:hAnsi="Times New Roman"/>
          <w:b/>
        </w:rPr>
      </w:pPr>
    </w:p>
    <w:p w:rsidR="000F7FCB" w:rsidRPr="00A86C7E" w:rsidP="00A86C7E">
      <w:pPr>
        <w:numPr>
          <w:ilvl w:val="2"/>
          <w:numId w:val="11"/>
        </w:numPr>
        <w:autoSpaceDE w:val="0"/>
        <w:autoSpaceDN w:val="0"/>
        <w:bidi w:val="0"/>
        <w:adjustRightInd w:val="0"/>
        <w:ind w:left="426" w:hanging="426"/>
        <w:jc w:val="both"/>
        <w:rPr>
          <w:rFonts w:ascii="Times New Roman" w:hAnsi="Times New Roman"/>
          <w:b/>
          <w:bCs/>
          <w:color w:val="0070C0"/>
        </w:rPr>
      </w:pPr>
      <w:r w:rsidRPr="00772706" w:rsidR="008F67C8">
        <w:rPr>
          <w:rFonts w:ascii="Times New Roman" w:hAnsi="Times New Roman"/>
          <w:b/>
          <w:color w:val="0070C0"/>
        </w:rPr>
        <w:t>Najdôležitejšie výpočty</w:t>
      </w:r>
      <w:r w:rsidRPr="00772706" w:rsidR="008F67C8">
        <w:rPr>
          <w:rFonts w:ascii="Times New Roman" w:hAnsi="Times New Roman"/>
          <w:b/>
          <w:bCs/>
          <w:color w:val="0070C0"/>
        </w:rPr>
        <w:t xml:space="preserve"> vo vzťahu k</w:t>
      </w:r>
      <w:r w:rsidR="008F67C8">
        <w:rPr>
          <w:rFonts w:ascii="Times New Roman" w:hAnsi="Times New Roman"/>
          <w:b/>
          <w:bCs/>
          <w:color w:val="0070C0"/>
        </w:rPr>
        <w:t xml:space="preserve"> </w:t>
      </w:r>
      <w:r w:rsidRPr="00A86C7E">
        <w:rPr>
          <w:rFonts w:ascii="Times New Roman" w:hAnsi="Times New Roman"/>
          <w:b/>
          <w:bCs/>
          <w:color w:val="0070C0"/>
        </w:rPr>
        <w:t>návrhu novely zákona o službách zamestnanosti</w:t>
      </w:r>
    </w:p>
    <w:p w:rsidR="000F7FCB" w:rsidP="000F7FCB">
      <w:pPr>
        <w:bidi w:val="0"/>
        <w:rPr>
          <w:rFonts w:ascii="Times New Roman" w:hAnsi="Times New Roman"/>
          <w:b/>
          <w:bCs/>
        </w:rPr>
      </w:pPr>
    </w:p>
    <w:p w:rsidR="00FC2081" w:rsidRPr="005E01D6" w:rsidP="00FC2081">
      <w:pPr>
        <w:bidi w:val="0"/>
        <w:rPr>
          <w:rFonts w:ascii="Times New Roman" w:hAnsi="Times New Roman"/>
          <w:b/>
          <w:bCs/>
        </w:rPr>
      </w:pPr>
      <w:r w:rsidRPr="005E01D6">
        <w:rPr>
          <w:rFonts w:ascii="Times New Roman" w:hAnsi="Times New Roman"/>
          <w:b/>
          <w:bCs/>
        </w:rPr>
        <w:t>kapitola 22-MPSVR SR</w:t>
      </w:r>
    </w:p>
    <w:p w:rsidR="00FC2081" w:rsidRPr="005E01D6" w:rsidP="00FC2081">
      <w:pPr>
        <w:bidi w:val="0"/>
        <w:rPr>
          <w:rFonts w:ascii="Times New Roman" w:hAnsi="Times New Roman"/>
          <w:b/>
          <w:bCs/>
        </w:rPr>
      </w:pPr>
      <w:r w:rsidRPr="005E01D6">
        <w:rPr>
          <w:rFonts w:ascii="Times New Roman" w:hAnsi="Times New Roman"/>
          <w:b/>
          <w:bCs/>
        </w:rPr>
        <w:t>program 06G – Ľudské zdroje</w:t>
      </w:r>
    </w:p>
    <w:p w:rsidR="00FC2081" w:rsidP="00A86C7E">
      <w:pPr>
        <w:tabs>
          <w:tab w:val="right" w:pos="9690"/>
        </w:tabs>
        <w:bidi w:val="0"/>
        <w:rPr>
          <w:rFonts w:ascii="Times New Roman" w:hAnsi="Times New Roman"/>
          <w:b/>
          <w:bCs/>
        </w:rPr>
      </w:pPr>
      <w:r w:rsidRPr="005E01D6">
        <w:rPr>
          <w:rFonts w:ascii="Times New Roman" w:hAnsi="Times New Roman"/>
          <w:b/>
          <w:bCs/>
        </w:rPr>
        <w:t>zdroj financovania príspevkov aktívnej politiky trhu práce: ESF a ŠR v pomere 85:15</w:t>
      </w:r>
      <w:r>
        <w:rPr>
          <w:rFonts w:ascii="Times New Roman" w:hAnsi="Times New Roman"/>
          <w:b/>
          <w:bCs/>
        </w:rPr>
        <w:tab/>
      </w:r>
    </w:p>
    <w:p w:rsidR="00FC2081" w:rsidP="00A86C7E">
      <w:pPr>
        <w:tabs>
          <w:tab w:val="right" w:pos="9690"/>
        </w:tabs>
        <w:bidi w:val="0"/>
        <w:rPr>
          <w:rFonts w:ascii="Times New Roman" w:hAnsi="Times New Roman"/>
          <w:b/>
          <w:bCs/>
        </w:rPr>
      </w:pPr>
    </w:p>
    <w:p w:rsidR="00FC2081" w:rsidRPr="005E01D6" w:rsidP="00A86C7E">
      <w:pPr>
        <w:tabs>
          <w:tab w:val="right" w:pos="9690"/>
        </w:tabs>
        <w:bidi w:val="0"/>
        <w:rPr>
          <w:rFonts w:ascii="Times New Roman" w:hAnsi="Times New Roman"/>
          <w:b/>
          <w:bCs/>
        </w:rPr>
      </w:pPr>
      <w:r>
        <w:rPr>
          <w:rFonts w:ascii="Times New Roman" w:hAnsi="Times New Roman"/>
          <w:bCs/>
        </w:rPr>
        <w:t xml:space="preserve">     </w:t>
      </w:r>
      <w:r w:rsidRPr="005E01D6">
        <w:rPr>
          <w:rFonts w:ascii="Times New Roman" w:hAnsi="Times New Roman"/>
          <w:bCs/>
        </w:rPr>
        <w:t>Návrh zákona,</w:t>
      </w:r>
      <w:r w:rsidRPr="005E01D6">
        <w:rPr>
          <w:rFonts w:ascii="Times New Roman" w:hAnsi="Times New Roman" w:cs="Arial"/>
          <w:szCs w:val="22"/>
        </w:rPr>
        <w:t xml:space="preserve"> ktorým sa mení a dopĺňa zákon č. 5/2004 Z. z. o službách zamestnanosti a o zmene a doplnení niektorých zákonov v znení neskorších predpisov,</w:t>
      </w:r>
      <w:r w:rsidRPr="005E01D6">
        <w:rPr>
          <w:rFonts w:ascii="Times New Roman" w:hAnsi="Times New Roman" w:cs="Arial"/>
          <w:color w:val="000000"/>
          <w:szCs w:val="22"/>
        </w:rPr>
        <w:t xml:space="preserve"> </w:t>
      </w:r>
      <w:r w:rsidRPr="005E01D6">
        <w:rPr>
          <w:rFonts w:ascii="Times New Roman" w:hAnsi="Times New Roman"/>
        </w:rPr>
        <w:t>obsahuje zmeny, ktoré sa týkajú najmä:</w:t>
      </w:r>
    </w:p>
    <w:p w:rsidR="00FC2081" w:rsidP="000F7FCB">
      <w:pPr>
        <w:bidi w:val="0"/>
        <w:rPr>
          <w:rFonts w:ascii="Times New Roman" w:hAnsi="Times New Roman"/>
          <w:b/>
          <w:bCs/>
        </w:rPr>
      </w:pPr>
    </w:p>
    <w:p w:rsidR="00FC2081" w:rsidP="00A86C7E">
      <w:pPr>
        <w:numPr>
          <w:numId w:val="52"/>
        </w:numPr>
        <w:tabs>
          <w:tab w:val="left" w:pos="284"/>
        </w:tabs>
        <w:bidi w:val="0"/>
        <w:spacing w:after="120"/>
        <w:ind w:left="426" w:hanging="426"/>
        <w:jc w:val="both"/>
        <w:rPr>
          <w:rFonts w:ascii="Times New Roman" w:hAnsi="Times New Roman"/>
          <w:u w:val="single"/>
        </w:rPr>
      </w:pPr>
      <w:r w:rsidRPr="00BE181A">
        <w:rPr>
          <w:rFonts w:ascii="Times New Roman" w:hAnsi="Times New Roman"/>
          <w:u w:val="single"/>
        </w:rPr>
        <w:t>Kvantifikácia príjmov</w:t>
      </w:r>
    </w:p>
    <w:p w:rsidR="000F7FCB" w:rsidRPr="005E01D6" w:rsidP="000F7FCB">
      <w:pPr>
        <w:bidi w:val="0"/>
        <w:rPr>
          <w:rFonts w:ascii="Times New Roman" w:hAnsi="Times New Roman"/>
          <w:b/>
          <w:bCs/>
        </w:rPr>
      </w:pPr>
    </w:p>
    <w:p w:rsidR="000F7FCB" w:rsidP="00A86C7E">
      <w:pPr>
        <w:numPr>
          <w:numId w:val="51"/>
        </w:numPr>
        <w:tabs>
          <w:tab w:val="clear" w:pos="360"/>
        </w:tabs>
        <w:bidi w:val="0"/>
        <w:ind w:left="709" w:hanging="425"/>
        <w:jc w:val="both"/>
        <w:rPr>
          <w:rFonts w:ascii="Times New Roman" w:hAnsi="Times New Roman"/>
          <w:b/>
          <w:bCs/>
        </w:rPr>
      </w:pPr>
      <w:r w:rsidRPr="005E01D6">
        <w:rPr>
          <w:rFonts w:ascii="Times New Roman" w:hAnsi="Times New Roman"/>
          <w:b/>
          <w:bCs/>
        </w:rPr>
        <w:t>Zmeny základne pre výpočet výšky príspevkov aktívnych opatrení na trhu práce iných plnení podľa zákona o službách zamestnanosti</w:t>
      </w:r>
    </w:p>
    <w:p w:rsidR="00FC2081" w:rsidP="00A86C7E">
      <w:pPr>
        <w:bidi w:val="0"/>
        <w:ind w:left="360"/>
        <w:jc w:val="both"/>
        <w:rPr>
          <w:rFonts w:ascii="Times New Roman" w:hAnsi="Times New Roman"/>
          <w:b/>
          <w:bCs/>
        </w:rPr>
      </w:pPr>
    </w:p>
    <w:p w:rsidR="00FC2081" w:rsidRPr="00803BF5" w:rsidP="00A86C7E">
      <w:pPr>
        <w:bidi w:val="0"/>
        <w:ind w:left="709"/>
        <w:jc w:val="both"/>
        <w:rPr>
          <w:rFonts w:ascii="Times New Roman" w:hAnsi="Times New Roman"/>
        </w:rPr>
      </w:pPr>
      <w:r w:rsidR="00803BF5">
        <w:rPr>
          <w:rFonts w:ascii="Times New Roman" w:hAnsi="Times New Roman"/>
        </w:rPr>
        <w:t xml:space="preserve">     </w:t>
      </w:r>
      <w:r w:rsidRPr="005E01D6">
        <w:rPr>
          <w:rFonts w:ascii="Times New Roman" w:hAnsi="Times New Roman"/>
        </w:rPr>
        <w:t xml:space="preserve">V súvislosti so zrušením definície celkovej ceny práce sa mení základňa pre výpočet odvodu za neplnenie povinného podielu zamestnávania občanov so zdravotným postihnutím podľa § 65 zákona o službách zamestnanosti, a to na stanovený násobok súčtu priemernej mzdy zamestnanca v hospodárstve SR za I. až III. štvrťrok kalendárneho roka, ktorý predchádza kalendárnemu roku, v ktorom sa príspevok poskytuje, a poistného na povinné úrazové poistenie plateného zamestnávateľom. Navrhovanou zmenou tak v rokoch 2012 – 2014 dôjde k miernemu zvýšeniu odvodu za nezamestnávanie 1 občana so zdravotným postihnutím v priemere o 0,08 </w:t>
      </w:r>
      <w:r w:rsidRPr="00803BF5">
        <w:rPr>
          <w:rFonts w:ascii="Times New Roman" w:hAnsi="Times New Roman"/>
        </w:rPr>
        <w:t xml:space="preserve">eura. </w:t>
      </w:r>
      <w:r w:rsidRPr="00A86C7E">
        <w:rPr>
          <w:rFonts w:ascii="Times New Roman" w:hAnsi="Times New Roman"/>
        </w:rPr>
        <w:t>Príjem štátneho rozpočtu sa tak ročne môže zvýšiť</w:t>
      </w:r>
      <w:r w:rsidRPr="00803BF5">
        <w:rPr>
          <w:rFonts w:ascii="Times New Roman" w:hAnsi="Times New Roman"/>
        </w:rPr>
        <w:t xml:space="preserve"> v priemere o 412,07 eura.</w:t>
      </w:r>
    </w:p>
    <w:p w:rsidR="00FC2081" w:rsidP="00A86C7E">
      <w:pPr>
        <w:bidi w:val="0"/>
        <w:ind w:left="360"/>
        <w:jc w:val="both"/>
        <w:rPr>
          <w:rFonts w:ascii="Times New Roman" w:hAnsi="Times New Roman"/>
        </w:rPr>
      </w:pPr>
    </w:p>
    <w:p w:rsidR="00FC2081" w:rsidRPr="00A86C7E" w:rsidP="00A86C7E">
      <w:pPr>
        <w:numPr>
          <w:numId w:val="52"/>
        </w:numPr>
        <w:bidi w:val="0"/>
        <w:spacing w:after="120"/>
        <w:ind w:left="426" w:hanging="426"/>
        <w:jc w:val="both"/>
        <w:rPr>
          <w:rFonts w:ascii="Times New Roman" w:hAnsi="Times New Roman"/>
          <w:u w:val="single"/>
        </w:rPr>
      </w:pPr>
      <w:r w:rsidRPr="00BE181A">
        <w:rPr>
          <w:rFonts w:ascii="Times New Roman" w:hAnsi="Times New Roman"/>
          <w:u w:val="single"/>
        </w:rPr>
        <w:t xml:space="preserve">Kvantifikácia </w:t>
      </w:r>
      <w:r w:rsidR="00803BF5">
        <w:rPr>
          <w:rFonts w:ascii="Times New Roman" w:hAnsi="Times New Roman"/>
          <w:u w:val="single"/>
        </w:rPr>
        <w:t>výdavkov</w:t>
      </w:r>
    </w:p>
    <w:p w:rsidR="00FC2081" w:rsidP="00A86C7E">
      <w:pPr>
        <w:bidi w:val="0"/>
        <w:ind w:left="360"/>
        <w:jc w:val="both"/>
        <w:rPr>
          <w:rFonts w:ascii="Times New Roman" w:hAnsi="Times New Roman"/>
          <w:b/>
          <w:bCs/>
        </w:rPr>
      </w:pPr>
    </w:p>
    <w:p w:rsidR="00FC2081" w:rsidP="00A86C7E">
      <w:pPr>
        <w:numPr>
          <w:numId w:val="53"/>
        </w:numPr>
        <w:tabs>
          <w:tab w:val="clear" w:pos="360"/>
        </w:tabs>
        <w:bidi w:val="0"/>
        <w:ind w:left="709" w:hanging="425"/>
        <w:jc w:val="both"/>
        <w:rPr>
          <w:rFonts w:ascii="Times New Roman" w:hAnsi="Times New Roman"/>
          <w:b/>
          <w:bCs/>
        </w:rPr>
      </w:pPr>
      <w:r w:rsidRPr="005E01D6">
        <w:rPr>
          <w:rFonts w:ascii="Times New Roman" w:hAnsi="Times New Roman"/>
          <w:b/>
          <w:bCs/>
        </w:rPr>
        <w:t>Zmeny základne pre výpočet výšky príspevkov aktívnych opatrení na trhu práce iných plnení podľa zákona o službách zamestnanosti</w:t>
      </w:r>
    </w:p>
    <w:p w:rsidR="00FC2081" w:rsidRPr="005E01D6" w:rsidP="00A86C7E">
      <w:pPr>
        <w:bidi w:val="0"/>
        <w:ind w:left="360"/>
        <w:jc w:val="both"/>
        <w:rPr>
          <w:rFonts w:ascii="Times New Roman" w:hAnsi="Times New Roman"/>
          <w:b/>
          <w:bCs/>
        </w:rPr>
      </w:pPr>
    </w:p>
    <w:p w:rsidR="000F7FCB" w:rsidRPr="005E01D6" w:rsidP="000F7FCB">
      <w:pPr>
        <w:tabs>
          <w:tab w:val="left" w:pos="720"/>
        </w:tabs>
        <w:bidi w:val="0"/>
        <w:ind w:left="720" w:hanging="360"/>
        <w:jc w:val="both"/>
        <w:rPr>
          <w:rFonts w:ascii="Times New Roman" w:hAnsi="Times New Roman"/>
        </w:rPr>
      </w:pPr>
      <w:r w:rsidRPr="005E01D6">
        <w:rPr>
          <w:rFonts w:ascii="Times New Roman" w:hAnsi="Times New Roman"/>
        </w:rPr>
        <w:t>a)</w:t>
        <w:tab/>
        <w:t>V prepojení na § 2 písm. a) a d) návrhu zákona o úprave príjmu zo zárobkovej činnosti a o zmene a doplnení niektorých zákonov sa ruší definícia celkovej ceny práce, ktorá na účely zákona o službách zamestnanosti v súčasnosti predstavuje súčet priemernej mzdy zamestnanca v hospodárstve Slovenskej republiky zverejnenej Štatistickým úradom Slovenskej republiky za príslušné obdobie a úhrady preddavku na verejné zdravotné poistenie, poistného na sociálne poistenie a príspevku na starobné dôchodkové sporenie, platených zamestnávateľom a slúži ako základňa pre výpočet výšky príspevkov podľa § 49, 50, 50c, 52, 52a, 56, 56a, 57, 59 a 60 zákona o službách zamestnanosti. V zmysle navrhovanej právnej úpravy sa výšky uvedených príspevkov navrhuje vypočítavať ako príslušné % zo súčtu priemernej mzdy zamestnanca v hospodárstve SR za I. až III. štvrťrok kalendárneho roka, ktorý predchádza kalendárnemu roku, v ktorom sa príspevok poskytuje, a poistného na povinné úrazové poistenie plateného zamestnávateľom.</w:t>
      </w:r>
    </w:p>
    <w:p w:rsidR="000F7FCB" w:rsidRPr="005E01D6" w:rsidP="000F7FCB">
      <w:pPr>
        <w:bidi w:val="0"/>
        <w:ind w:firstLine="360"/>
        <w:jc w:val="both"/>
        <w:rPr>
          <w:rFonts w:ascii="Times New Roman" w:hAnsi="Times New Roman"/>
        </w:rPr>
      </w:pPr>
    </w:p>
    <w:p w:rsidR="000F7FCB" w:rsidRPr="005E01D6" w:rsidP="000F7FCB">
      <w:pPr>
        <w:bidi w:val="0"/>
        <w:ind w:left="720"/>
        <w:jc w:val="both"/>
        <w:rPr>
          <w:rFonts w:ascii="Times New Roman" w:hAnsi="Times New Roman"/>
        </w:rPr>
      </w:pPr>
      <w:r w:rsidRPr="005E01D6">
        <w:rPr>
          <w:rFonts w:ascii="Times New Roman" w:hAnsi="Times New Roman"/>
        </w:rPr>
        <w:t>Predpokladaná výška celkovej ceny práce pre rok 2012, vypočítaná z predpokladanej výšky priemernej mzdy zamestnanca v hospodárstve SR za I. až III. štvrťrok 2011 (770,04 eur</w:t>
      </w:r>
      <w:r>
        <w:rPr>
          <w:rFonts w:ascii="Times New Roman" w:hAnsi="Times New Roman"/>
        </w:rPr>
        <w:t>a</w:t>
      </w:r>
      <w:r w:rsidRPr="005E01D6">
        <w:rPr>
          <w:rFonts w:ascii="Times New Roman" w:hAnsi="Times New Roman"/>
        </w:rPr>
        <w:t>), by predstavovala sumu 1 041,07 eur</w:t>
      </w:r>
      <w:r>
        <w:rPr>
          <w:rFonts w:ascii="Times New Roman" w:hAnsi="Times New Roman"/>
        </w:rPr>
        <w:t>a</w:t>
      </w:r>
      <w:r w:rsidRPr="005E01D6">
        <w:rPr>
          <w:rFonts w:ascii="Times New Roman" w:hAnsi="Times New Roman"/>
        </w:rPr>
        <w:t>.</w:t>
      </w:r>
    </w:p>
    <w:p w:rsidR="000F7FCB" w:rsidRPr="005E01D6" w:rsidP="000F7FCB">
      <w:pPr>
        <w:bidi w:val="0"/>
        <w:ind w:left="720"/>
        <w:jc w:val="both"/>
        <w:rPr>
          <w:rFonts w:ascii="Times New Roman" w:hAnsi="Times New Roman"/>
        </w:rPr>
      </w:pPr>
    </w:p>
    <w:p w:rsidR="000F7FCB" w:rsidRPr="005E01D6" w:rsidP="000F7FCB">
      <w:pPr>
        <w:bidi w:val="0"/>
        <w:ind w:left="720"/>
        <w:jc w:val="both"/>
        <w:rPr>
          <w:rFonts w:ascii="Times New Roman" w:hAnsi="Times New Roman"/>
        </w:rPr>
      </w:pPr>
      <w:r w:rsidRPr="005E01D6">
        <w:rPr>
          <w:rFonts w:ascii="Times New Roman" w:hAnsi="Times New Roman"/>
        </w:rPr>
        <w:t>Súčet priemernej mzdy zamestnanca v hospodárstve SR za I. až III. štvrťrok 2011 a poistného na povinné úrazové poistenie plateného zamestnávateľom sa predpokladá vo výške 1 041,14 eur</w:t>
      </w:r>
      <w:r>
        <w:rPr>
          <w:rFonts w:ascii="Times New Roman" w:hAnsi="Times New Roman"/>
        </w:rPr>
        <w:t>a</w:t>
      </w:r>
      <w:r w:rsidRPr="005E01D6">
        <w:rPr>
          <w:rFonts w:ascii="Times New Roman" w:hAnsi="Times New Roman"/>
        </w:rPr>
        <w:t>.</w:t>
      </w:r>
    </w:p>
    <w:p w:rsidR="000F7FCB" w:rsidRPr="005E01D6" w:rsidP="000F7FCB">
      <w:pPr>
        <w:bidi w:val="0"/>
        <w:ind w:firstLine="360"/>
        <w:jc w:val="both"/>
        <w:rPr>
          <w:rFonts w:ascii="Times New Roman" w:hAnsi="Times New Roman"/>
        </w:rPr>
      </w:pPr>
    </w:p>
    <w:p w:rsidR="000F7FCB" w:rsidRPr="005E01D6" w:rsidP="000F7FCB">
      <w:pPr>
        <w:bidi w:val="0"/>
        <w:ind w:left="720"/>
        <w:jc w:val="both"/>
        <w:rPr>
          <w:rFonts w:ascii="Times New Roman" w:hAnsi="Times New Roman"/>
        </w:rPr>
      </w:pPr>
      <w:r w:rsidRPr="005E01D6">
        <w:rPr>
          <w:rFonts w:ascii="Times New Roman" w:hAnsi="Times New Roman"/>
        </w:rPr>
        <w:t xml:space="preserve">Základňa pre výpočet výšky jednotlivých </w:t>
      </w:r>
      <w:r w:rsidRPr="00803BF5">
        <w:rPr>
          <w:rFonts w:ascii="Times New Roman" w:hAnsi="Times New Roman"/>
        </w:rPr>
        <w:t>príspevkov sa tak oproti súčasného právnemu stavu zvýši o 0,07 eura, čím dôjde k zvýšeniu výšky príspevkov na 1 pracovné miesto od 0,01 do 1,09 eura. Navrhovanou zmenou sa v rokoch 2012 – 2014 predpokladajú zvýšené výdavky na uvedené príspevky o 7 110,37 eura ročne pri predpokladanom počte 71 197 podporených pracovných miest, resp. uchádzačov o zamestnanie.</w:t>
      </w:r>
    </w:p>
    <w:p w:rsidR="000F7FCB" w:rsidRPr="005E01D6" w:rsidP="000F7FCB">
      <w:pPr>
        <w:bidi w:val="0"/>
        <w:ind w:firstLine="360"/>
        <w:jc w:val="both"/>
        <w:rPr>
          <w:rFonts w:ascii="Times New Roman" w:hAnsi="Times New Roman"/>
        </w:rPr>
      </w:pPr>
    </w:p>
    <w:p w:rsidR="000F7FCB" w:rsidRPr="005E01D6" w:rsidP="00FC2081">
      <w:pPr>
        <w:tabs>
          <w:tab w:val="left" w:pos="720"/>
        </w:tabs>
        <w:bidi w:val="0"/>
        <w:ind w:left="720" w:hanging="360"/>
        <w:jc w:val="both"/>
        <w:rPr>
          <w:rFonts w:ascii="Times New Roman" w:hAnsi="Times New Roman"/>
        </w:rPr>
      </w:pPr>
      <w:r w:rsidRPr="005E01D6">
        <w:rPr>
          <w:rFonts w:ascii="Times New Roman" w:hAnsi="Times New Roman"/>
        </w:rPr>
        <w:t>b)</w:t>
        <w:tab/>
        <w:t>V rámci príspevku na podporu zamestnanosti a na realizáciu opatrení na ochranu pred povodňami a na riešenie následkov mimoriadnej situácie (§ 50j) sa navrhuje zmena základne pre výpočet príspevku, a to z 95 % celkovej ceny práce zamestnanca na 95 % zo súčtu priemernej mzdy zamestnanca a poistného na povinné úrazové poistenie plateného zamestnávateľom. Zároveň sa navrhuje upraviť aj maximálna výšku príspevku, ktorá je v súčasnosti definovaná ako výška celkovej ceny práce vypočítaná z dvojnásobku sumy životného minima (513,25 eur</w:t>
      </w:r>
      <w:r>
        <w:rPr>
          <w:rFonts w:ascii="Times New Roman" w:hAnsi="Times New Roman"/>
        </w:rPr>
        <w:t>a</w:t>
      </w:r>
      <w:r w:rsidRPr="005E01D6">
        <w:rPr>
          <w:rFonts w:ascii="Times New Roman" w:hAnsi="Times New Roman"/>
        </w:rPr>
        <w:t xml:space="preserve">). Z dôvodu zrušenia definície celkovej ceny práce, ako aj z dôvodu zjednodušenia výpočtu, sa maximálna výška príspevku navrhuje stanoviť na 2,7-násobok sumy </w:t>
      </w:r>
      <w:r w:rsidRPr="00803BF5">
        <w:rPr>
          <w:rFonts w:ascii="Times New Roman" w:hAnsi="Times New Roman"/>
        </w:rPr>
        <w:t>životného minima</w:t>
      </w:r>
      <w:r w:rsidR="005C14D4">
        <w:rPr>
          <w:rFonts w:ascii="Times New Roman" w:hAnsi="Times New Roman"/>
        </w:rPr>
        <w:t xml:space="preserve"> </w:t>
      </w:r>
      <w:r w:rsidRPr="00992C13" w:rsidR="005C14D4">
        <w:rPr>
          <w:rFonts w:ascii="Times New Roman" w:hAnsi="Times New Roman"/>
          <w:color w:val="000000"/>
        </w:rPr>
        <w:t>poskytovaného jednej plnoletej fyzickej osobe podľa osobitného predpisu</w:t>
      </w:r>
      <w:r w:rsidR="005C14D4">
        <w:rPr>
          <w:rFonts w:ascii="Times New Roman" w:hAnsi="Times New Roman"/>
          <w:color w:val="000000"/>
          <w:vertAlign w:val="superscript"/>
        </w:rPr>
        <w:t xml:space="preserve"> </w:t>
      </w:r>
      <w:r w:rsidRPr="00992C13" w:rsidR="005C14D4">
        <w:rPr>
          <w:rFonts w:ascii="Times New Roman" w:hAnsi="Times New Roman"/>
          <w:color w:val="000000"/>
        </w:rPr>
        <w:t>platnej k prvému dňu kalendárneho mesiaca, za ktorý sa príspevok poskytuje</w:t>
      </w:r>
      <w:r w:rsidRPr="00803BF5">
        <w:rPr>
          <w:rFonts w:ascii="Times New Roman" w:hAnsi="Times New Roman"/>
        </w:rPr>
        <w:t xml:space="preserve"> (512,54 eura). Navrhovanou zmenou tak v rokoch 2012 – 2014 dôjde k zníženiu priemernej výšky príspevku o 0,35 eura, čo pri predpokladanom priemernom ročnom počte 5 284 podporených pracovných miest predpokladá úsporu 11 155,51 eura v priemere ročne.</w:t>
      </w:r>
    </w:p>
    <w:p w:rsidR="000F7FCB" w:rsidRPr="005E01D6" w:rsidP="000F7FCB">
      <w:pPr>
        <w:bidi w:val="0"/>
        <w:jc w:val="both"/>
        <w:rPr>
          <w:rFonts w:ascii="Times New Roman" w:hAnsi="Times New Roman"/>
        </w:rPr>
      </w:pPr>
    </w:p>
    <w:p w:rsidR="000F7FCB" w:rsidRPr="005E01D6" w:rsidP="00A86C7E">
      <w:pPr>
        <w:numPr>
          <w:numId w:val="53"/>
        </w:numPr>
        <w:tabs>
          <w:tab w:val="clear" w:pos="360"/>
        </w:tabs>
        <w:bidi w:val="0"/>
        <w:ind w:left="709" w:hanging="425"/>
        <w:jc w:val="both"/>
        <w:rPr>
          <w:rFonts w:ascii="Times New Roman" w:hAnsi="Times New Roman"/>
          <w:b/>
          <w:bCs/>
        </w:rPr>
      </w:pPr>
      <w:r w:rsidRPr="005E01D6">
        <w:rPr>
          <w:rFonts w:ascii="Times New Roman" w:hAnsi="Times New Roman"/>
          <w:b/>
          <w:bCs/>
        </w:rPr>
        <w:t>Zrušenie príspevku na podporu udržania v zamestnaní zamestnancov s nízkymi mzdami (§ 50a)</w:t>
      </w:r>
    </w:p>
    <w:p w:rsidR="000F7FCB" w:rsidRPr="005E01D6" w:rsidP="00A86C7E">
      <w:pPr>
        <w:bidi w:val="0"/>
        <w:jc w:val="both"/>
        <w:rPr>
          <w:rFonts w:ascii="Times New Roman" w:hAnsi="Times New Roman"/>
        </w:rPr>
      </w:pPr>
    </w:p>
    <w:p w:rsidR="000F7FCB" w:rsidRPr="005E01D6" w:rsidP="00803BF5">
      <w:pPr>
        <w:bidi w:val="0"/>
        <w:ind w:left="709"/>
        <w:jc w:val="both"/>
        <w:rPr>
          <w:rFonts w:ascii="Times New Roman" w:hAnsi="Times New Roman"/>
        </w:rPr>
      </w:pPr>
      <w:r w:rsidRPr="005E01D6">
        <w:rPr>
          <w:rFonts w:ascii="Times New Roman" w:hAnsi="Times New Roman"/>
        </w:rPr>
        <w:t xml:space="preserve">     Vzhľadom na to, že príspevok </w:t>
      </w:r>
      <w:r w:rsidR="00FC2081">
        <w:rPr>
          <w:rFonts w:ascii="Times New Roman" w:hAnsi="Times New Roman"/>
        </w:rPr>
        <w:t xml:space="preserve">na podporu udržania v zamestnaní zamestnancov s nízkymi mzdami (§ 50a) </w:t>
      </w:r>
      <w:r w:rsidRPr="005E01D6">
        <w:rPr>
          <w:rFonts w:ascii="Times New Roman" w:hAnsi="Times New Roman"/>
        </w:rPr>
        <w:t>sa v zmysle zákona o službách zamestnanosti</w:t>
      </w:r>
      <w:r w:rsidR="00FC2081">
        <w:rPr>
          <w:rFonts w:ascii="Times New Roman" w:hAnsi="Times New Roman"/>
        </w:rPr>
        <w:t xml:space="preserve"> ruší k 1. januáru 2012, v súčasnosti poskytovaný príspevok sa </w:t>
      </w:r>
      <w:r w:rsidRPr="005E01D6">
        <w:rPr>
          <w:rFonts w:ascii="Times New Roman" w:hAnsi="Times New Roman"/>
        </w:rPr>
        <w:t>poskytuje</w:t>
      </w:r>
      <w:r w:rsidR="00FC2081">
        <w:rPr>
          <w:rFonts w:ascii="Times New Roman" w:hAnsi="Times New Roman"/>
        </w:rPr>
        <w:t xml:space="preserve"> sa </w:t>
      </w:r>
      <w:r w:rsidRPr="005E01D6">
        <w:rPr>
          <w:rFonts w:ascii="Times New Roman" w:hAnsi="Times New Roman"/>
        </w:rPr>
        <w:t>počas obdobia najviac 2 rokov, pričom v roku 2011 sa príspevok poskytuje na podporu udržania 1 811 zamestnancov (stav k 31. máju 2011) na základe dohôd, ktoré sa môžu ešte uzatvárať do konca tohto roka s platnosťou až do roku 2013, navrhuje sa v rámci prechodných ustanovení k zákonu o službách zamestnanosti (§ 72t) ustanoviť, že dohody uzatvorené do 31. decembra 2011 sa budú posudzovať podľa predpisov účinných do 31. decembra 2011. Výška príspevku sa navrhuje prepočítať ako príslušné % zo mzdy zamestnanca tak, aby výška zodpovedala výške poistného na verejné zdravotné poistenie a na sociálne poistenie platených zamestnávateľom a zamestnancom.</w:t>
      </w:r>
    </w:p>
    <w:p w:rsidR="000F7FCB" w:rsidRPr="005E01D6" w:rsidP="00803BF5">
      <w:pPr>
        <w:bidi w:val="0"/>
        <w:ind w:left="709"/>
        <w:jc w:val="both"/>
        <w:rPr>
          <w:rFonts w:ascii="Times New Roman" w:hAnsi="Times New Roman"/>
        </w:rPr>
      </w:pPr>
    </w:p>
    <w:p w:rsidR="000F7FCB" w:rsidRPr="005E01D6" w:rsidP="00803BF5">
      <w:pPr>
        <w:bidi w:val="0"/>
        <w:ind w:left="709"/>
        <w:jc w:val="both"/>
        <w:rPr>
          <w:rFonts w:ascii="Times New Roman" w:hAnsi="Times New Roman"/>
        </w:rPr>
      </w:pPr>
      <w:r w:rsidR="00803BF5">
        <w:rPr>
          <w:rFonts w:ascii="Times New Roman" w:hAnsi="Times New Roman"/>
        </w:rPr>
        <w:t xml:space="preserve">     </w:t>
      </w:r>
      <w:r w:rsidRPr="005E01D6">
        <w:rPr>
          <w:rFonts w:ascii="Times New Roman" w:hAnsi="Times New Roman"/>
        </w:rPr>
        <w:t xml:space="preserve">V súvislosti s touto úpravou sa, vzhľadom na postupné znižovanie počtu podporovaných zamestnancov v zmysle dohôd uzatvorených do 31. decembra 2011, predpokladá v rokoch 2012 </w:t>
      </w:r>
      <w:r w:rsidRPr="00803BF5">
        <w:rPr>
          <w:rFonts w:ascii="Times New Roman" w:hAnsi="Times New Roman"/>
        </w:rPr>
        <w:t>a 2013 úspora výdavkov na toto opatrenie v priemere o 2,7 mil. eura a 5,7 mil. eura. V roku</w:t>
      </w:r>
      <w:r w:rsidRPr="005E01D6">
        <w:rPr>
          <w:rFonts w:ascii="Times New Roman" w:hAnsi="Times New Roman"/>
        </w:rPr>
        <w:t xml:space="preserve"> 2014 sa príspevok nebude poskytovať už ani v zmysle dohôd uzatvorených do 31. decembra 2011, čo predpokladá úsporu vo výške 9,1 mil. eur.</w:t>
      </w:r>
    </w:p>
    <w:p w:rsidR="000F7FCB" w:rsidRPr="005E01D6" w:rsidP="000F7FCB">
      <w:pPr>
        <w:bidi w:val="0"/>
        <w:jc w:val="both"/>
        <w:rPr>
          <w:rFonts w:ascii="Times New Roman" w:hAnsi="Times New Roman"/>
        </w:rPr>
      </w:pPr>
    </w:p>
    <w:p w:rsidR="000F7FCB" w:rsidRPr="005E01D6" w:rsidP="000F7FCB">
      <w:pPr>
        <w:bidi w:val="0"/>
        <w:ind w:left="284"/>
        <w:jc w:val="both"/>
        <w:rPr>
          <w:rFonts w:ascii="Times New Roman" w:hAnsi="Times New Roman"/>
          <w:b/>
          <w:bCs/>
        </w:rPr>
      </w:pPr>
      <w:r w:rsidRPr="005E01D6">
        <w:rPr>
          <w:rFonts w:ascii="Times New Roman" w:hAnsi="Times New Roman"/>
          <w:b/>
          <w:bCs/>
        </w:rPr>
        <w:t>Predpokladaný vplyv na rozpočet kapitoly 22-MPSVR SR v rokoch 2012 – 2014 na</w:t>
      </w:r>
      <w:r w:rsidR="00803BF5">
        <w:rPr>
          <w:rFonts w:ascii="Times New Roman" w:hAnsi="Times New Roman"/>
          <w:b/>
          <w:bCs/>
        </w:rPr>
        <w:t xml:space="preserve"> základe uvádzaných zmien:</w:t>
      </w:r>
    </w:p>
    <w:p w:rsidR="000F7FCB" w:rsidRPr="005E01D6" w:rsidP="000F7FCB">
      <w:pPr>
        <w:bidi w:val="0"/>
        <w:ind w:left="284"/>
        <w:jc w:val="both"/>
        <w:rPr>
          <w:rFonts w:ascii="Times New Roman" w:hAnsi="Times New Roman"/>
        </w:rPr>
      </w:pPr>
      <w:r w:rsidRPr="005E01D6">
        <w:rPr>
          <w:rFonts w:ascii="Times New Roman" w:hAnsi="Times New Roman"/>
        </w:rPr>
        <w:tab/>
        <w:tab/>
        <w:tab/>
        <w:tab/>
        <w:tab/>
        <w:tab/>
        <w:tab/>
        <w:tab/>
        <w:tab/>
      </w:r>
      <w:r w:rsidR="00803BF5">
        <w:rPr>
          <w:rFonts w:ascii="Times New Roman" w:hAnsi="Times New Roman"/>
        </w:rPr>
        <w:t xml:space="preserve">                           </w:t>
      </w:r>
      <w:r w:rsidRPr="005E01D6">
        <w:rPr>
          <w:rFonts w:ascii="Times New Roman" w:hAnsi="Times New Roman"/>
        </w:rPr>
        <w:t>v eur</w:t>
      </w:r>
    </w:p>
    <w:tbl>
      <w:tblPr>
        <w:tblStyle w:val="TableNormal"/>
        <w:tblW w:w="0" w:type="auto"/>
        <w:tblInd w:w="1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2790"/>
        <w:gridCol w:w="2790"/>
      </w:tblGrid>
      <w:tr>
        <w:tblPrEx>
          <w:tblW w:w="0" w:type="auto"/>
          <w:tblInd w:w="1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368" w:type="dxa"/>
            <w:tcBorders>
              <w:top w:val="single" w:sz="4" w:space="0" w:color="auto"/>
              <w:left w:val="single" w:sz="4" w:space="0" w:color="auto"/>
              <w:bottom w:val="single" w:sz="4" w:space="0" w:color="auto"/>
              <w:right w:val="single" w:sz="4" w:space="0" w:color="auto"/>
            </w:tcBorders>
            <w:textDirection w:val="lrTb"/>
            <w:vAlign w:val="top"/>
          </w:tcPr>
          <w:p w:rsidR="000F7FCB" w:rsidRPr="005E01D6" w:rsidP="00D172F9">
            <w:pPr>
              <w:bidi w:val="0"/>
              <w:ind w:left="284"/>
              <w:jc w:val="both"/>
              <w:rPr>
                <w:rFonts w:ascii="Times New Roman" w:hAnsi="Times New Roman"/>
                <w:b/>
                <w:bCs/>
              </w:rPr>
            </w:pPr>
            <w:r w:rsidRPr="005E01D6">
              <w:rPr>
                <w:rFonts w:ascii="Times New Roman" w:hAnsi="Times New Roman"/>
                <w:b/>
                <w:bCs/>
              </w:rPr>
              <w:t>Rok</w:t>
            </w:r>
          </w:p>
        </w:tc>
        <w:tc>
          <w:tcPr>
            <w:tcW w:w="2790" w:type="dxa"/>
            <w:tcBorders>
              <w:top w:val="single" w:sz="4" w:space="0" w:color="auto"/>
              <w:left w:val="single" w:sz="4" w:space="0" w:color="auto"/>
              <w:bottom w:val="single" w:sz="4" w:space="0" w:color="auto"/>
              <w:right w:val="single" w:sz="4" w:space="0" w:color="auto"/>
            </w:tcBorders>
            <w:textDirection w:val="lrTb"/>
            <w:vAlign w:val="top"/>
          </w:tcPr>
          <w:p w:rsidR="000F7FCB" w:rsidRPr="005E01D6" w:rsidP="00D172F9">
            <w:pPr>
              <w:bidi w:val="0"/>
              <w:ind w:left="284"/>
              <w:jc w:val="center"/>
              <w:rPr>
                <w:rFonts w:ascii="Times New Roman" w:hAnsi="Times New Roman"/>
                <w:b/>
                <w:bCs/>
              </w:rPr>
            </w:pPr>
            <w:r w:rsidRPr="005E01D6">
              <w:rPr>
                <w:rFonts w:ascii="Times New Roman" w:hAnsi="Times New Roman"/>
                <w:b/>
                <w:bCs/>
              </w:rPr>
              <w:t>Výdavky</w:t>
            </w:r>
          </w:p>
        </w:tc>
        <w:tc>
          <w:tcPr>
            <w:tcW w:w="2790" w:type="dxa"/>
            <w:tcBorders>
              <w:top w:val="single" w:sz="4" w:space="0" w:color="auto"/>
              <w:left w:val="single" w:sz="4" w:space="0" w:color="auto"/>
              <w:bottom w:val="single" w:sz="4" w:space="0" w:color="auto"/>
              <w:right w:val="single" w:sz="4" w:space="0" w:color="auto"/>
            </w:tcBorders>
            <w:textDirection w:val="lrTb"/>
            <w:vAlign w:val="top"/>
          </w:tcPr>
          <w:p w:rsidR="000F7FCB" w:rsidRPr="005E01D6" w:rsidP="00D172F9">
            <w:pPr>
              <w:bidi w:val="0"/>
              <w:ind w:left="284"/>
              <w:jc w:val="center"/>
              <w:rPr>
                <w:rFonts w:ascii="Times New Roman" w:hAnsi="Times New Roman"/>
                <w:b/>
                <w:bCs/>
              </w:rPr>
            </w:pPr>
            <w:r w:rsidRPr="005E01D6">
              <w:rPr>
                <w:rFonts w:ascii="Times New Roman" w:hAnsi="Times New Roman"/>
                <w:b/>
                <w:bCs/>
              </w:rPr>
              <w:t>Príjmy</w:t>
            </w:r>
          </w:p>
        </w:tc>
      </w:tr>
      <w:tr>
        <w:tblPrEx>
          <w:tblW w:w="0" w:type="auto"/>
          <w:tblInd w:w="1844" w:type="dxa"/>
          <w:tblLook w:val="01E0"/>
        </w:tblPrEx>
        <w:tc>
          <w:tcPr>
            <w:tcW w:w="1368" w:type="dxa"/>
            <w:tcBorders>
              <w:top w:val="single" w:sz="4" w:space="0" w:color="auto"/>
              <w:left w:val="single" w:sz="4" w:space="0" w:color="auto"/>
              <w:bottom w:val="single" w:sz="4" w:space="0" w:color="auto"/>
              <w:right w:val="single" w:sz="4" w:space="0" w:color="auto"/>
            </w:tcBorders>
            <w:textDirection w:val="lrTb"/>
            <w:vAlign w:val="top"/>
          </w:tcPr>
          <w:p w:rsidR="000F7FCB" w:rsidRPr="005E01D6" w:rsidP="00D172F9">
            <w:pPr>
              <w:bidi w:val="0"/>
              <w:ind w:left="284"/>
              <w:jc w:val="both"/>
              <w:rPr>
                <w:rFonts w:ascii="Times New Roman" w:hAnsi="Times New Roman"/>
              </w:rPr>
            </w:pPr>
            <w:r w:rsidRPr="005E01D6">
              <w:rPr>
                <w:rFonts w:ascii="Times New Roman" w:hAnsi="Times New Roman"/>
              </w:rPr>
              <w:t>2012</w:t>
            </w:r>
          </w:p>
        </w:tc>
        <w:tc>
          <w:tcPr>
            <w:tcW w:w="2790" w:type="dxa"/>
            <w:tcBorders>
              <w:top w:val="single" w:sz="4" w:space="0" w:color="auto"/>
              <w:left w:val="single" w:sz="4" w:space="0" w:color="auto"/>
              <w:bottom w:val="single" w:sz="4" w:space="0" w:color="auto"/>
              <w:right w:val="single" w:sz="4" w:space="0" w:color="auto"/>
            </w:tcBorders>
            <w:textDirection w:val="lrTb"/>
            <w:vAlign w:val="top"/>
          </w:tcPr>
          <w:p w:rsidR="000F7FCB" w:rsidRPr="005E01D6" w:rsidP="00D172F9">
            <w:pPr>
              <w:bidi w:val="0"/>
              <w:ind w:left="284"/>
              <w:jc w:val="right"/>
              <w:rPr>
                <w:rFonts w:ascii="Times New Roman" w:hAnsi="Times New Roman"/>
              </w:rPr>
            </w:pPr>
            <w:r w:rsidRPr="005E01D6">
              <w:rPr>
                <w:rFonts w:ascii="Times New Roman" w:hAnsi="Times New Roman"/>
              </w:rPr>
              <w:t>- 2 674 111,71</w:t>
            </w:r>
          </w:p>
        </w:tc>
        <w:tc>
          <w:tcPr>
            <w:tcW w:w="2790" w:type="dxa"/>
            <w:tcBorders>
              <w:top w:val="single" w:sz="4" w:space="0" w:color="auto"/>
              <w:left w:val="single" w:sz="4" w:space="0" w:color="auto"/>
              <w:bottom w:val="single" w:sz="4" w:space="0" w:color="auto"/>
              <w:right w:val="single" w:sz="4" w:space="0" w:color="auto"/>
            </w:tcBorders>
            <w:textDirection w:val="lrTb"/>
            <w:vAlign w:val="top"/>
          </w:tcPr>
          <w:p w:rsidR="000F7FCB" w:rsidRPr="005E01D6" w:rsidP="00D172F9">
            <w:pPr>
              <w:bidi w:val="0"/>
              <w:ind w:left="284"/>
              <w:jc w:val="right"/>
              <w:rPr>
                <w:rFonts w:ascii="Times New Roman" w:hAnsi="Times New Roman"/>
              </w:rPr>
            </w:pPr>
            <w:r w:rsidRPr="005E01D6">
              <w:rPr>
                <w:rFonts w:ascii="Times New Roman" w:hAnsi="Times New Roman"/>
              </w:rPr>
              <w:t>357,07</w:t>
            </w:r>
          </w:p>
        </w:tc>
      </w:tr>
      <w:tr>
        <w:tblPrEx>
          <w:tblW w:w="0" w:type="auto"/>
          <w:tblInd w:w="1844" w:type="dxa"/>
          <w:tblLook w:val="01E0"/>
        </w:tblPrEx>
        <w:tc>
          <w:tcPr>
            <w:tcW w:w="1368" w:type="dxa"/>
            <w:tcBorders>
              <w:top w:val="single" w:sz="4" w:space="0" w:color="auto"/>
              <w:left w:val="single" w:sz="4" w:space="0" w:color="auto"/>
              <w:bottom w:val="single" w:sz="4" w:space="0" w:color="auto"/>
              <w:right w:val="single" w:sz="4" w:space="0" w:color="auto"/>
            </w:tcBorders>
            <w:textDirection w:val="lrTb"/>
            <w:vAlign w:val="top"/>
          </w:tcPr>
          <w:p w:rsidR="000F7FCB" w:rsidRPr="005E01D6" w:rsidP="00D172F9">
            <w:pPr>
              <w:bidi w:val="0"/>
              <w:ind w:left="284"/>
              <w:jc w:val="both"/>
              <w:rPr>
                <w:rFonts w:ascii="Times New Roman" w:hAnsi="Times New Roman"/>
              </w:rPr>
            </w:pPr>
            <w:r w:rsidRPr="005E01D6">
              <w:rPr>
                <w:rFonts w:ascii="Times New Roman" w:hAnsi="Times New Roman"/>
              </w:rPr>
              <w:t>2013</w:t>
            </w:r>
          </w:p>
        </w:tc>
        <w:tc>
          <w:tcPr>
            <w:tcW w:w="2790" w:type="dxa"/>
            <w:tcBorders>
              <w:top w:val="single" w:sz="4" w:space="0" w:color="auto"/>
              <w:left w:val="single" w:sz="4" w:space="0" w:color="auto"/>
              <w:bottom w:val="single" w:sz="4" w:space="0" w:color="auto"/>
              <w:right w:val="single" w:sz="4" w:space="0" w:color="auto"/>
            </w:tcBorders>
            <w:textDirection w:val="lrTb"/>
            <w:vAlign w:val="top"/>
          </w:tcPr>
          <w:p w:rsidR="000F7FCB" w:rsidRPr="005E01D6" w:rsidP="00D172F9">
            <w:pPr>
              <w:bidi w:val="0"/>
              <w:ind w:left="284"/>
              <w:jc w:val="right"/>
              <w:rPr>
                <w:rFonts w:ascii="Times New Roman" w:hAnsi="Times New Roman"/>
              </w:rPr>
            </w:pPr>
            <w:r w:rsidRPr="005E01D6">
              <w:rPr>
                <w:rFonts w:ascii="Times New Roman" w:hAnsi="Times New Roman"/>
              </w:rPr>
              <w:t>- 5 704 624,52</w:t>
            </w:r>
          </w:p>
        </w:tc>
        <w:tc>
          <w:tcPr>
            <w:tcW w:w="2790" w:type="dxa"/>
            <w:tcBorders>
              <w:top w:val="single" w:sz="4" w:space="0" w:color="auto"/>
              <w:left w:val="single" w:sz="4" w:space="0" w:color="auto"/>
              <w:bottom w:val="single" w:sz="4" w:space="0" w:color="auto"/>
              <w:right w:val="single" w:sz="4" w:space="0" w:color="auto"/>
            </w:tcBorders>
            <w:textDirection w:val="lrTb"/>
            <w:vAlign w:val="top"/>
          </w:tcPr>
          <w:p w:rsidR="000F7FCB" w:rsidRPr="005E01D6" w:rsidP="00D172F9">
            <w:pPr>
              <w:bidi w:val="0"/>
              <w:ind w:left="284"/>
              <w:jc w:val="right"/>
              <w:rPr>
                <w:rFonts w:ascii="Times New Roman" w:hAnsi="Times New Roman"/>
              </w:rPr>
            </w:pPr>
            <w:r w:rsidRPr="005E01D6">
              <w:rPr>
                <w:rFonts w:ascii="Times New Roman" w:hAnsi="Times New Roman"/>
              </w:rPr>
              <w:t>402,11</w:t>
            </w:r>
          </w:p>
        </w:tc>
      </w:tr>
      <w:tr>
        <w:tblPrEx>
          <w:tblW w:w="0" w:type="auto"/>
          <w:tblInd w:w="1844" w:type="dxa"/>
          <w:tblLook w:val="01E0"/>
        </w:tblPrEx>
        <w:tc>
          <w:tcPr>
            <w:tcW w:w="1368" w:type="dxa"/>
            <w:tcBorders>
              <w:top w:val="single" w:sz="4" w:space="0" w:color="auto"/>
              <w:left w:val="single" w:sz="4" w:space="0" w:color="auto"/>
              <w:bottom w:val="single" w:sz="4" w:space="0" w:color="auto"/>
              <w:right w:val="single" w:sz="4" w:space="0" w:color="auto"/>
            </w:tcBorders>
            <w:textDirection w:val="lrTb"/>
            <w:vAlign w:val="top"/>
          </w:tcPr>
          <w:p w:rsidR="000F7FCB" w:rsidRPr="005E01D6" w:rsidP="00D172F9">
            <w:pPr>
              <w:bidi w:val="0"/>
              <w:ind w:left="284"/>
              <w:jc w:val="both"/>
              <w:rPr>
                <w:rFonts w:ascii="Times New Roman" w:hAnsi="Times New Roman"/>
              </w:rPr>
            </w:pPr>
            <w:r w:rsidRPr="005E01D6">
              <w:rPr>
                <w:rFonts w:ascii="Times New Roman" w:hAnsi="Times New Roman"/>
              </w:rPr>
              <w:t>2014</w:t>
            </w:r>
          </w:p>
        </w:tc>
        <w:tc>
          <w:tcPr>
            <w:tcW w:w="2790" w:type="dxa"/>
            <w:tcBorders>
              <w:top w:val="single" w:sz="4" w:space="0" w:color="auto"/>
              <w:left w:val="single" w:sz="4" w:space="0" w:color="auto"/>
              <w:bottom w:val="single" w:sz="4" w:space="0" w:color="auto"/>
              <w:right w:val="single" w:sz="4" w:space="0" w:color="auto"/>
            </w:tcBorders>
            <w:textDirection w:val="lrTb"/>
            <w:vAlign w:val="top"/>
          </w:tcPr>
          <w:p w:rsidR="000F7FCB" w:rsidRPr="005E01D6" w:rsidP="00D172F9">
            <w:pPr>
              <w:bidi w:val="0"/>
              <w:ind w:left="284"/>
              <w:jc w:val="right"/>
              <w:rPr>
                <w:rFonts w:ascii="Times New Roman" w:hAnsi="Times New Roman"/>
              </w:rPr>
            </w:pPr>
            <w:r w:rsidRPr="005E01D6">
              <w:rPr>
                <w:rFonts w:ascii="Times New Roman" w:hAnsi="Times New Roman"/>
              </w:rPr>
              <w:t>- 9 128 051,25</w:t>
            </w:r>
          </w:p>
        </w:tc>
        <w:tc>
          <w:tcPr>
            <w:tcW w:w="2790" w:type="dxa"/>
            <w:tcBorders>
              <w:top w:val="single" w:sz="4" w:space="0" w:color="auto"/>
              <w:left w:val="single" w:sz="4" w:space="0" w:color="auto"/>
              <w:bottom w:val="single" w:sz="4" w:space="0" w:color="auto"/>
              <w:right w:val="single" w:sz="4" w:space="0" w:color="auto"/>
            </w:tcBorders>
            <w:textDirection w:val="lrTb"/>
            <w:vAlign w:val="top"/>
          </w:tcPr>
          <w:p w:rsidR="000F7FCB" w:rsidRPr="005E01D6" w:rsidP="00D172F9">
            <w:pPr>
              <w:bidi w:val="0"/>
              <w:ind w:left="284"/>
              <w:jc w:val="right"/>
              <w:rPr>
                <w:rFonts w:ascii="Times New Roman" w:hAnsi="Times New Roman"/>
              </w:rPr>
            </w:pPr>
            <w:r w:rsidRPr="005E01D6">
              <w:rPr>
                <w:rFonts w:ascii="Times New Roman" w:hAnsi="Times New Roman"/>
              </w:rPr>
              <w:t>477,02</w:t>
            </w:r>
          </w:p>
        </w:tc>
      </w:tr>
      <w:tr>
        <w:tblPrEx>
          <w:tblW w:w="0" w:type="auto"/>
          <w:tblInd w:w="1844" w:type="dxa"/>
          <w:tblLook w:val="01E0"/>
        </w:tblPrEx>
        <w:tc>
          <w:tcPr>
            <w:tcW w:w="1368" w:type="dxa"/>
            <w:tcBorders>
              <w:top w:val="single" w:sz="4" w:space="0" w:color="auto"/>
              <w:left w:val="single" w:sz="4" w:space="0" w:color="auto"/>
              <w:bottom w:val="single" w:sz="4" w:space="0" w:color="auto"/>
              <w:right w:val="single" w:sz="4" w:space="0" w:color="auto"/>
            </w:tcBorders>
            <w:textDirection w:val="lrTb"/>
            <w:vAlign w:val="top"/>
          </w:tcPr>
          <w:p w:rsidR="000F7FCB" w:rsidRPr="005E01D6" w:rsidP="00D172F9">
            <w:pPr>
              <w:bidi w:val="0"/>
              <w:ind w:left="284"/>
              <w:jc w:val="both"/>
              <w:rPr>
                <w:rFonts w:ascii="Times New Roman" w:hAnsi="Times New Roman"/>
                <w:b/>
                <w:bCs/>
              </w:rPr>
            </w:pPr>
            <w:r w:rsidRPr="005E01D6">
              <w:rPr>
                <w:rFonts w:ascii="Times New Roman" w:hAnsi="Times New Roman"/>
                <w:b/>
                <w:bCs/>
              </w:rPr>
              <w:t>Spolu</w:t>
            </w:r>
          </w:p>
        </w:tc>
        <w:tc>
          <w:tcPr>
            <w:tcW w:w="2790" w:type="dxa"/>
            <w:tcBorders>
              <w:top w:val="single" w:sz="4" w:space="0" w:color="auto"/>
              <w:left w:val="single" w:sz="4" w:space="0" w:color="auto"/>
              <w:bottom w:val="single" w:sz="4" w:space="0" w:color="auto"/>
              <w:right w:val="single" w:sz="4" w:space="0" w:color="auto"/>
            </w:tcBorders>
            <w:textDirection w:val="lrTb"/>
            <w:vAlign w:val="top"/>
          </w:tcPr>
          <w:p w:rsidR="000F7FCB" w:rsidRPr="005E01D6" w:rsidP="00D172F9">
            <w:pPr>
              <w:bidi w:val="0"/>
              <w:ind w:left="284"/>
              <w:jc w:val="right"/>
              <w:rPr>
                <w:rFonts w:ascii="Times New Roman" w:hAnsi="Times New Roman"/>
                <w:b/>
                <w:bCs/>
              </w:rPr>
            </w:pPr>
            <w:r w:rsidRPr="005E01D6">
              <w:rPr>
                <w:rFonts w:ascii="Times New Roman" w:hAnsi="Times New Roman"/>
                <w:b/>
                <w:bCs/>
              </w:rPr>
              <w:t>-17 506 787,48</w:t>
            </w:r>
          </w:p>
        </w:tc>
        <w:tc>
          <w:tcPr>
            <w:tcW w:w="2790" w:type="dxa"/>
            <w:tcBorders>
              <w:top w:val="single" w:sz="4" w:space="0" w:color="auto"/>
              <w:left w:val="single" w:sz="4" w:space="0" w:color="auto"/>
              <w:bottom w:val="single" w:sz="4" w:space="0" w:color="auto"/>
              <w:right w:val="single" w:sz="4" w:space="0" w:color="auto"/>
            </w:tcBorders>
            <w:textDirection w:val="lrTb"/>
            <w:vAlign w:val="top"/>
          </w:tcPr>
          <w:p w:rsidR="000F7FCB" w:rsidRPr="005E01D6" w:rsidP="00D172F9">
            <w:pPr>
              <w:bidi w:val="0"/>
              <w:ind w:left="284"/>
              <w:jc w:val="right"/>
              <w:rPr>
                <w:rFonts w:ascii="Times New Roman" w:hAnsi="Times New Roman"/>
                <w:b/>
                <w:bCs/>
              </w:rPr>
            </w:pPr>
            <w:r w:rsidRPr="005E01D6">
              <w:rPr>
                <w:rFonts w:ascii="Times New Roman" w:hAnsi="Times New Roman"/>
                <w:b/>
                <w:bCs/>
              </w:rPr>
              <w:t>1 236,20</w:t>
            </w:r>
          </w:p>
        </w:tc>
      </w:tr>
    </w:tbl>
    <w:p w:rsidR="005D0CAB" w:rsidP="00A86C7E">
      <w:pPr>
        <w:autoSpaceDE w:val="0"/>
        <w:autoSpaceDN w:val="0"/>
        <w:bidi w:val="0"/>
        <w:adjustRightInd w:val="0"/>
        <w:ind w:left="426"/>
        <w:jc w:val="both"/>
        <w:rPr>
          <w:rFonts w:ascii="Times New Roman" w:hAnsi="Times New Roman"/>
          <w:b/>
          <w:bCs/>
          <w:color w:val="0070C0"/>
        </w:rPr>
      </w:pPr>
    </w:p>
    <w:p w:rsidR="005D0CAB" w:rsidRPr="005D0CAB" w:rsidP="00A86C7E">
      <w:pPr>
        <w:autoSpaceDE w:val="0"/>
        <w:autoSpaceDN w:val="0"/>
        <w:bidi w:val="0"/>
        <w:adjustRightInd w:val="0"/>
        <w:ind w:left="426"/>
        <w:jc w:val="both"/>
        <w:rPr>
          <w:rFonts w:ascii="Times New Roman" w:hAnsi="Times New Roman"/>
          <w:b/>
          <w:bCs/>
          <w:color w:val="0070C0"/>
        </w:rPr>
      </w:pPr>
    </w:p>
    <w:p w:rsidR="00D47BC4" w:rsidP="00A86C7E">
      <w:pPr>
        <w:numPr>
          <w:ilvl w:val="2"/>
          <w:numId w:val="11"/>
        </w:numPr>
        <w:autoSpaceDE w:val="0"/>
        <w:autoSpaceDN w:val="0"/>
        <w:bidi w:val="0"/>
        <w:adjustRightInd w:val="0"/>
        <w:ind w:left="426" w:hanging="426"/>
        <w:jc w:val="both"/>
        <w:rPr>
          <w:rFonts w:ascii="Times New Roman" w:hAnsi="Times New Roman"/>
          <w:b/>
          <w:bCs/>
          <w:color w:val="0070C0"/>
        </w:rPr>
      </w:pPr>
      <w:r w:rsidRPr="00772706" w:rsidR="00A6578D">
        <w:rPr>
          <w:rFonts w:ascii="Times New Roman" w:hAnsi="Times New Roman"/>
          <w:b/>
          <w:color w:val="0070C0"/>
        </w:rPr>
        <w:t>Najdôležitejšie výpočty</w:t>
      </w:r>
      <w:r w:rsidRPr="00772706" w:rsidR="00A6578D">
        <w:rPr>
          <w:rFonts w:ascii="Times New Roman" w:hAnsi="Times New Roman"/>
          <w:b/>
          <w:bCs/>
          <w:color w:val="0070C0"/>
        </w:rPr>
        <w:t xml:space="preserve"> vo vzťahu k</w:t>
      </w:r>
      <w:r w:rsidR="00A6578D">
        <w:rPr>
          <w:rFonts w:ascii="Times New Roman" w:hAnsi="Times New Roman"/>
          <w:b/>
          <w:bCs/>
          <w:color w:val="0070C0"/>
        </w:rPr>
        <w:t xml:space="preserve"> </w:t>
      </w:r>
      <w:r w:rsidRPr="00772706" w:rsidR="00A6578D">
        <w:rPr>
          <w:rFonts w:ascii="Times New Roman" w:hAnsi="Times New Roman"/>
          <w:b/>
          <w:bCs/>
          <w:color w:val="0070C0"/>
        </w:rPr>
        <w:t xml:space="preserve">návrhu </w:t>
      </w:r>
      <w:r w:rsidR="00A6578D">
        <w:rPr>
          <w:rFonts w:ascii="Times New Roman" w:hAnsi="Times New Roman"/>
          <w:b/>
          <w:bCs/>
          <w:color w:val="0070C0"/>
        </w:rPr>
        <w:t>zákona o úprave príjmu zo závislej činnosti a o zmene a doplnení niektorých zákonov</w:t>
      </w:r>
    </w:p>
    <w:p w:rsidR="00A6578D" w:rsidP="00A86C7E">
      <w:pPr>
        <w:autoSpaceDE w:val="0"/>
        <w:autoSpaceDN w:val="0"/>
        <w:bidi w:val="0"/>
        <w:adjustRightInd w:val="0"/>
        <w:jc w:val="both"/>
        <w:rPr>
          <w:rFonts w:ascii="Times New Roman" w:hAnsi="Times New Roman"/>
          <w:b/>
          <w:bCs/>
          <w:color w:val="0070C0"/>
        </w:rPr>
      </w:pPr>
    </w:p>
    <w:p w:rsidR="0067510B" w:rsidP="00A86C7E">
      <w:pPr>
        <w:numPr>
          <w:numId w:val="59"/>
        </w:numPr>
        <w:tabs>
          <w:tab w:val="left" w:pos="284"/>
        </w:tabs>
        <w:bidi w:val="0"/>
        <w:spacing w:after="120"/>
        <w:ind w:hanging="1004"/>
        <w:jc w:val="both"/>
        <w:rPr>
          <w:rFonts w:ascii="Times New Roman" w:hAnsi="Times New Roman"/>
          <w:u w:val="single"/>
        </w:rPr>
      </w:pPr>
      <w:r w:rsidRPr="00BE181A">
        <w:rPr>
          <w:rFonts w:ascii="Times New Roman" w:hAnsi="Times New Roman"/>
          <w:u w:val="single"/>
        </w:rPr>
        <w:t>Kvantifikácia príjmov</w:t>
      </w:r>
    </w:p>
    <w:p w:rsidR="006727E0" w:rsidRPr="005E01D6" w:rsidP="0067510B">
      <w:pPr>
        <w:bidi w:val="0"/>
        <w:rPr>
          <w:rFonts w:ascii="Times New Roman" w:hAnsi="Times New Roman"/>
          <w:b/>
          <w:bCs/>
        </w:rPr>
      </w:pPr>
    </w:p>
    <w:p w:rsidR="0067510B" w:rsidP="00A86C7E">
      <w:pPr>
        <w:bidi w:val="0"/>
        <w:ind w:firstLine="284"/>
        <w:jc w:val="both"/>
        <w:rPr>
          <w:rFonts w:ascii="Times New Roman" w:hAnsi="Times New Roman"/>
          <w:b/>
          <w:bCs/>
        </w:rPr>
      </w:pPr>
      <w:r w:rsidRPr="00A86C7E" w:rsidR="006F0C00">
        <w:rPr>
          <w:rFonts w:ascii="Times New Roman" w:hAnsi="Times New Roman"/>
          <w:b/>
          <w:bCs/>
        </w:rPr>
        <w:t xml:space="preserve">Úprava pravidelnej </w:t>
      </w:r>
      <w:r w:rsidR="00852DBB">
        <w:rPr>
          <w:rFonts w:ascii="Times New Roman" w:hAnsi="Times New Roman"/>
          <w:b/>
          <w:bCs/>
        </w:rPr>
        <w:t xml:space="preserve">a nepravidelnej </w:t>
      </w:r>
      <w:r w:rsidRPr="00A86C7E" w:rsidR="006F0C00">
        <w:rPr>
          <w:rFonts w:ascii="Times New Roman" w:hAnsi="Times New Roman"/>
          <w:b/>
          <w:bCs/>
        </w:rPr>
        <w:t>zložky príjmu verejným zamestnávateľom</w:t>
      </w:r>
    </w:p>
    <w:p w:rsidR="0067510B" w:rsidP="00A86C7E">
      <w:pPr>
        <w:bidi w:val="0"/>
        <w:ind w:left="284"/>
        <w:jc w:val="both"/>
        <w:rPr>
          <w:rFonts w:ascii="Times New Roman" w:hAnsi="Times New Roman"/>
        </w:rPr>
      </w:pPr>
      <w:r w:rsidR="006727E0">
        <w:rPr>
          <w:rFonts w:ascii="Times New Roman" w:hAnsi="Times New Roman"/>
        </w:rPr>
        <w:t xml:space="preserve">     </w:t>
      </w:r>
      <w:r w:rsidRPr="005E01D6">
        <w:rPr>
          <w:rFonts w:ascii="Times New Roman" w:hAnsi="Times New Roman"/>
        </w:rPr>
        <w:t>V</w:t>
      </w:r>
      <w:r w:rsidR="00852DBB">
        <w:rPr>
          <w:rFonts w:ascii="Times New Roman" w:hAnsi="Times New Roman"/>
        </w:rPr>
        <w:t> nadväznosti na postup uvedený v § 8 a 9 zákona o úprave príjmu</w:t>
      </w:r>
      <w:r w:rsidR="00826089">
        <w:rPr>
          <w:rFonts w:ascii="Times New Roman" w:hAnsi="Times New Roman"/>
        </w:rPr>
        <w:t xml:space="preserve"> zo závislej činnosti,</w:t>
      </w:r>
      <w:r w:rsidR="00852DBB">
        <w:rPr>
          <w:rFonts w:ascii="Times New Roman" w:hAnsi="Times New Roman"/>
        </w:rPr>
        <w:t xml:space="preserve"> </w:t>
      </w:r>
      <w:r w:rsidR="008F7AB5">
        <w:rPr>
          <w:rFonts w:ascii="Times New Roman" w:hAnsi="Times New Roman"/>
        </w:rPr>
        <w:t>podľa ktorého má verejný zamestnávateľ upraviť</w:t>
      </w:r>
      <w:r w:rsidR="00A51EC4">
        <w:rPr>
          <w:rFonts w:ascii="Times New Roman" w:hAnsi="Times New Roman"/>
        </w:rPr>
        <w:t xml:space="preserve"> </w:t>
      </w:r>
      <w:r w:rsidRPr="00A86C7E" w:rsidR="00A51EC4">
        <w:rPr>
          <w:rFonts w:ascii="Times New Roman" w:hAnsi="Times New Roman"/>
        </w:rPr>
        <w:t>pravidelné a nepravidelné zložky</w:t>
      </w:r>
      <w:r w:rsidR="008F7AB5">
        <w:rPr>
          <w:rFonts w:ascii="Times New Roman" w:hAnsi="Times New Roman"/>
        </w:rPr>
        <w:t xml:space="preserve"> príjm</w:t>
      </w:r>
      <w:r w:rsidR="00A51EC4">
        <w:rPr>
          <w:rFonts w:ascii="Times New Roman" w:hAnsi="Times New Roman"/>
        </w:rPr>
        <w:t>u</w:t>
      </w:r>
      <w:r w:rsidR="008F7AB5">
        <w:rPr>
          <w:rFonts w:ascii="Times New Roman" w:hAnsi="Times New Roman"/>
        </w:rPr>
        <w:t xml:space="preserve"> </w:t>
      </w:r>
      <w:r w:rsidR="00840244">
        <w:rPr>
          <w:rFonts w:ascii="Times New Roman" w:hAnsi="Times New Roman"/>
        </w:rPr>
        <w:t>svojich zamestnancov,</w:t>
      </w:r>
      <w:r w:rsidR="008F7AB5">
        <w:rPr>
          <w:rFonts w:ascii="Times New Roman" w:hAnsi="Times New Roman"/>
        </w:rPr>
        <w:t xml:space="preserve"> </w:t>
      </w:r>
      <w:r w:rsidR="005D54CC">
        <w:rPr>
          <w:rFonts w:ascii="Times New Roman" w:hAnsi="Times New Roman"/>
        </w:rPr>
        <w:t>môže dôjsť k určitému zvýšeniu príjmov zamestnancov v dôsledku nemožnosti uplatniť zákonom navrhnutý postup</w:t>
      </w:r>
      <w:r w:rsidR="00722BA0">
        <w:rPr>
          <w:rFonts w:ascii="Times New Roman" w:hAnsi="Times New Roman"/>
        </w:rPr>
        <w:t>o</w:t>
      </w:r>
      <w:r w:rsidR="005D54CC">
        <w:rPr>
          <w:rFonts w:ascii="Times New Roman" w:hAnsi="Times New Roman"/>
        </w:rPr>
        <w:t>m pri úprave jednotlivých zložiek príjmu zamestnanca.</w:t>
      </w:r>
    </w:p>
    <w:p w:rsidR="000E38F2" w:rsidRPr="006727E0" w:rsidP="00A86C7E">
      <w:pPr>
        <w:bidi w:val="0"/>
        <w:ind w:left="284"/>
        <w:jc w:val="both"/>
        <w:rPr>
          <w:rFonts w:ascii="Times New Roman" w:hAnsi="Times New Roman"/>
        </w:rPr>
      </w:pPr>
    </w:p>
    <w:p w:rsidR="0067510B" w:rsidP="0067510B">
      <w:pPr>
        <w:bidi w:val="0"/>
        <w:ind w:left="360"/>
        <w:jc w:val="both"/>
        <w:rPr>
          <w:rFonts w:ascii="Times New Roman" w:hAnsi="Times New Roman"/>
        </w:rPr>
      </w:pPr>
    </w:p>
    <w:p w:rsidR="0067510B" w:rsidRPr="00FC2081" w:rsidP="00A86C7E">
      <w:pPr>
        <w:numPr>
          <w:numId w:val="59"/>
        </w:numPr>
        <w:bidi w:val="0"/>
        <w:spacing w:after="120"/>
        <w:ind w:left="426" w:hanging="426"/>
        <w:jc w:val="both"/>
        <w:rPr>
          <w:rFonts w:ascii="Times New Roman" w:hAnsi="Times New Roman"/>
          <w:u w:val="single"/>
        </w:rPr>
      </w:pPr>
      <w:r w:rsidRPr="00BE181A">
        <w:rPr>
          <w:rFonts w:ascii="Times New Roman" w:hAnsi="Times New Roman"/>
          <w:u w:val="single"/>
        </w:rPr>
        <w:t xml:space="preserve">Kvantifikácia </w:t>
      </w:r>
      <w:r>
        <w:rPr>
          <w:rFonts w:ascii="Times New Roman" w:hAnsi="Times New Roman"/>
          <w:u w:val="single"/>
        </w:rPr>
        <w:t>výdavkov</w:t>
      </w:r>
    </w:p>
    <w:p w:rsidR="0067510B" w:rsidP="0067510B">
      <w:pPr>
        <w:bidi w:val="0"/>
        <w:ind w:left="360"/>
        <w:jc w:val="both"/>
        <w:rPr>
          <w:rFonts w:ascii="Times New Roman" w:hAnsi="Times New Roman"/>
          <w:b/>
          <w:bCs/>
        </w:rPr>
      </w:pPr>
    </w:p>
    <w:p w:rsidR="00840244" w:rsidP="00A86C7E">
      <w:pPr>
        <w:tabs>
          <w:tab w:val="left" w:pos="709"/>
        </w:tabs>
        <w:autoSpaceDE w:val="0"/>
        <w:autoSpaceDN w:val="0"/>
        <w:bidi w:val="0"/>
        <w:adjustRightInd w:val="0"/>
        <w:jc w:val="both"/>
        <w:rPr>
          <w:rFonts w:ascii="Times New Roman" w:hAnsi="Times New Roman"/>
          <w:b/>
          <w:bCs/>
        </w:rPr>
      </w:pPr>
      <w:r w:rsidR="006727E0">
        <w:rPr>
          <w:rFonts w:ascii="Times New Roman" w:hAnsi="Times New Roman"/>
          <w:b/>
          <w:bCs/>
        </w:rPr>
        <w:t xml:space="preserve">     </w:t>
      </w:r>
      <w:r w:rsidRPr="006F0C00">
        <w:rPr>
          <w:rFonts w:ascii="Times New Roman" w:hAnsi="Times New Roman"/>
          <w:b/>
          <w:bCs/>
        </w:rPr>
        <w:t xml:space="preserve">Úprava pravidelnej </w:t>
      </w:r>
      <w:r>
        <w:rPr>
          <w:rFonts w:ascii="Times New Roman" w:hAnsi="Times New Roman"/>
          <w:b/>
          <w:bCs/>
        </w:rPr>
        <w:t xml:space="preserve">a nepravidelnej </w:t>
      </w:r>
      <w:r w:rsidRPr="006F0C00">
        <w:rPr>
          <w:rFonts w:ascii="Times New Roman" w:hAnsi="Times New Roman"/>
          <w:b/>
          <w:bCs/>
        </w:rPr>
        <w:t>zložky príjmu verejným zamestnávateľom</w:t>
      </w:r>
    </w:p>
    <w:p w:rsidR="00E36E71" w:rsidP="00A86C7E">
      <w:pPr>
        <w:bidi w:val="0"/>
        <w:ind w:left="284"/>
        <w:jc w:val="both"/>
        <w:rPr>
          <w:rFonts w:ascii="Times New Roman" w:hAnsi="Times New Roman"/>
          <w:bCs/>
        </w:rPr>
      </w:pPr>
      <w:r w:rsidR="006727E0">
        <w:rPr>
          <w:rFonts w:ascii="Times New Roman" w:hAnsi="Times New Roman"/>
        </w:rPr>
        <w:t xml:space="preserve">     </w:t>
      </w:r>
      <w:r w:rsidRPr="00A86C7E" w:rsidR="00A51EC4">
        <w:rPr>
          <w:rFonts w:ascii="Times New Roman" w:hAnsi="Times New Roman"/>
        </w:rPr>
        <w:t>Úprava</w:t>
      </w:r>
      <w:r w:rsidR="00A51EC4">
        <w:rPr>
          <w:rFonts w:ascii="Times New Roman" w:hAnsi="Times New Roman"/>
        </w:rPr>
        <w:t xml:space="preserve"> </w:t>
      </w:r>
      <w:r w:rsidRPr="00A51EC4" w:rsidR="00A51EC4">
        <w:rPr>
          <w:rFonts w:ascii="Times New Roman" w:hAnsi="Times New Roman"/>
        </w:rPr>
        <w:t>pravideln</w:t>
      </w:r>
      <w:r w:rsidR="00A51EC4">
        <w:rPr>
          <w:rFonts w:ascii="Times New Roman" w:hAnsi="Times New Roman"/>
        </w:rPr>
        <w:t xml:space="preserve">ých </w:t>
      </w:r>
      <w:r w:rsidRPr="00A51EC4" w:rsidR="00A51EC4">
        <w:rPr>
          <w:rFonts w:ascii="Times New Roman" w:hAnsi="Times New Roman"/>
        </w:rPr>
        <w:t>a</w:t>
      </w:r>
      <w:r w:rsidR="00A51EC4">
        <w:rPr>
          <w:rFonts w:ascii="Times New Roman" w:hAnsi="Times New Roman"/>
        </w:rPr>
        <w:t> </w:t>
      </w:r>
      <w:r w:rsidRPr="00A51EC4" w:rsidR="00A51EC4">
        <w:rPr>
          <w:rFonts w:ascii="Times New Roman" w:hAnsi="Times New Roman"/>
        </w:rPr>
        <w:t>nepravideln</w:t>
      </w:r>
      <w:r w:rsidR="00A51EC4">
        <w:rPr>
          <w:rFonts w:ascii="Times New Roman" w:hAnsi="Times New Roman"/>
        </w:rPr>
        <w:t xml:space="preserve">ých zložiek príjmov </w:t>
      </w:r>
      <w:r w:rsidR="00730A4A">
        <w:rPr>
          <w:rFonts w:ascii="Times New Roman" w:hAnsi="Times New Roman"/>
        </w:rPr>
        <w:t xml:space="preserve">zamestnancov verejnými zamestnávateľmi v zmysle postupu uvedenom v § 8 a 9 zákona </w:t>
      </w:r>
      <w:r w:rsidR="00C8586E">
        <w:rPr>
          <w:rFonts w:ascii="Times New Roman" w:hAnsi="Times New Roman"/>
        </w:rPr>
        <w:t>úprave príjmu</w:t>
      </w:r>
      <w:r w:rsidR="00B6415B">
        <w:rPr>
          <w:rFonts w:ascii="Times New Roman" w:hAnsi="Times New Roman"/>
        </w:rPr>
        <w:t xml:space="preserve"> zo závislej činnosti,</w:t>
      </w:r>
      <w:r w:rsidR="00C8586E">
        <w:rPr>
          <w:rFonts w:ascii="Times New Roman" w:hAnsi="Times New Roman"/>
        </w:rPr>
        <w:t xml:space="preserve"> </w:t>
      </w:r>
      <w:r w:rsidR="00730A4A">
        <w:rPr>
          <w:rFonts w:ascii="Times New Roman" w:hAnsi="Times New Roman"/>
        </w:rPr>
        <w:t>resp. v nadväznosti na použitie koeficientov uvedených v prílohe č. 1 k tomuto zákonu</w:t>
      </w:r>
      <w:r w:rsidR="009252A5">
        <w:rPr>
          <w:rFonts w:ascii="Times New Roman" w:hAnsi="Times New Roman"/>
        </w:rPr>
        <w:t xml:space="preserve"> </w:t>
      </w:r>
      <w:r w:rsidR="00B6415B">
        <w:rPr>
          <w:rFonts w:ascii="Times New Roman" w:hAnsi="Times New Roman"/>
        </w:rPr>
        <w:t xml:space="preserve">oproti použitiu </w:t>
      </w:r>
      <w:r w:rsidRPr="00B9559B" w:rsidR="00AA2A59">
        <w:rPr>
          <w:rFonts w:ascii="Times New Roman" w:hAnsi="Times New Roman"/>
          <w:bCs/>
        </w:rPr>
        <w:t xml:space="preserve">koeficientu 1,344 </w:t>
      </w:r>
      <w:r w:rsidR="00B6415B">
        <w:rPr>
          <w:rFonts w:ascii="Times New Roman" w:hAnsi="Times New Roman"/>
          <w:bCs/>
        </w:rPr>
        <w:t xml:space="preserve">v právnych predpisoch, </w:t>
      </w:r>
      <w:r w:rsidR="00AA2A59">
        <w:rPr>
          <w:rFonts w:ascii="Times New Roman" w:hAnsi="Times New Roman"/>
          <w:bCs/>
        </w:rPr>
        <w:t xml:space="preserve">si </w:t>
      </w:r>
      <w:r w:rsidR="005D54CC">
        <w:rPr>
          <w:rFonts w:ascii="Times New Roman" w:hAnsi="Times New Roman"/>
          <w:bCs/>
        </w:rPr>
        <w:t xml:space="preserve">môže </w:t>
      </w:r>
      <w:r w:rsidR="00AA2A59">
        <w:rPr>
          <w:rFonts w:ascii="Times New Roman" w:hAnsi="Times New Roman"/>
          <w:bCs/>
        </w:rPr>
        <w:t>vyžiada</w:t>
      </w:r>
      <w:r w:rsidR="005D54CC">
        <w:rPr>
          <w:rFonts w:ascii="Times New Roman" w:hAnsi="Times New Roman"/>
          <w:bCs/>
        </w:rPr>
        <w:t>ť</w:t>
      </w:r>
      <w:r w:rsidR="00AA2A59">
        <w:rPr>
          <w:rFonts w:ascii="Times New Roman" w:hAnsi="Times New Roman"/>
          <w:bCs/>
        </w:rPr>
        <w:t xml:space="preserve"> zvýšenie mzdových výdavkov subjektov verejnej správy. </w:t>
      </w:r>
    </w:p>
    <w:p w:rsidR="00840244" w:rsidP="00A86C7E">
      <w:pPr>
        <w:tabs>
          <w:tab w:val="left" w:pos="426"/>
        </w:tabs>
        <w:autoSpaceDE w:val="0"/>
        <w:autoSpaceDN w:val="0"/>
        <w:bidi w:val="0"/>
        <w:adjustRightInd w:val="0"/>
        <w:jc w:val="both"/>
        <w:rPr>
          <w:rFonts w:ascii="Times New Roman" w:hAnsi="Times New Roman"/>
          <w:b/>
          <w:bCs/>
          <w:color w:val="0070C0"/>
        </w:rPr>
      </w:pPr>
    </w:p>
    <w:p w:rsidR="003E1DF8" w:rsidRPr="00A86C7E" w:rsidP="00A86C7E">
      <w:pPr>
        <w:autoSpaceDE w:val="0"/>
        <w:autoSpaceDN w:val="0"/>
        <w:bidi w:val="0"/>
        <w:adjustRightInd w:val="0"/>
        <w:jc w:val="both"/>
        <w:rPr>
          <w:rFonts w:ascii="Times New Roman" w:hAnsi="Times New Roman"/>
          <w:b/>
          <w:bCs/>
        </w:rPr>
        <w:sectPr w:rsidSect="00E8387D">
          <w:footerReference w:type="even" r:id="rId6"/>
          <w:footerReference w:type="default" r:id="rId7"/>
          <w:pgSz w:w="11906" w:h="16838"/>
          <w:pgMar w:top="1134" w:right="1417" w:bottom="993" w:left="1417" w:header="708" w:footer="708" w:gutter="0"/>
          <w:lnNumType w:distance="0"/>
          <w:pgNumType w:start="0"/>
          <w:cols w:space="708"/>
          <w:noEndnote w:val="0"/>
          <w:titlePg/>
          <w:bidi w:val="0"/>
          <w:docGrid w:linePitch="360"/>
        </w:sectPr>
      </w:pPr>
      <w:r w:rsidR="00111474">
        <w:rPr>
          <w:rFonts w:ascii="Times New Roman" w:hAnsi="Times New Roman"/>
          <w:b/>
        </w:rPr>
        <w:tab/>
        <w:tab/>
        <w:tab/>
        <w:tab/>
        <w:tab/>
        <w:tab/>
        <w:tab/>
        <w:tab/>
        <w:tab/>
        <w:tab/>
        <w:tab/>
        <w:tab/>
      </w:r>
    </w:p>
    <w:p w:rsidR="00183E3A" w:rsidP="006727E0">
      <w:pPr>
        <w:bidi w:val="0"/>
        <w:rPr>
          <w:rFonts w:ascii="Times New Roman" w:hAnsi="Times New Roman"/>
          <w:sz w:val="22"/>
          <w:szCs w:val="22"/>
        </w:rPr>
      </w:pPr>
      <w:r w:rsidR="00111474">
        <w:rPr>
          <w:rFonts w:ascii="Times New Roman" w:hAnsi="Times New Roman"/>
          <w:b/>
        </w:rPr>
        <w:tab/>
        <w:tab/>
        <w:tab/>
        <w:tab/>
      </w:r>
      <w:r w:rsidR="006727E0">
        <w:rPr>
          <w:rFonts w:ascii="Times New Roman" w:hAnsi="Times New Roman"/>
          <w:b/>
        </w:rPr>
        <w:tab/>
        <w:tab/>
        <w:tab/>
        <w:tab/>
        <w:tab/>
        <w:tab/>
        <w:tab/>
        <w:tab/>
        <w:tab/>
        <w:tab/>
        <w:tab/>
      </w:r>
      <w:r w:rsidR="006727E0">
        <w:rPr>
          <w:rFonts w:ascii="Times New Roman" w:hAnsi="Times New Roman"/>
          <w:sz w:val="22"/>
          <w:szCs w:val="22"/>
        </w:rPr>
        <w:t xml:space="preserve">Tabuľka č. </w:t>
      </w:r>
      <w:r w:rsidR="005D2E9C">
        <w:rPr>
          <w:rFonts w:ascii="Times New Roman" w:hAnsi="Times New Roman"/>
          <w:sz w:val="22"/>
          <w:szCs w:val="22"/>
        </w:rPr>
        <w:t>3</w:t>
      </w:r>
    </w:p>
    <w:tbl>
      <w:tblPr>
        <w:tblStyle w:val="TableNormal"/>
        <w:tblW w:w="13056" w:type="dxa"/>
        <w:tblInd w:w="93" w:type="dxa"/>
        <w:tblLook w:val="00A0"/>
      </w:tblPr>
      <w:tblGrid>
        <w:gridCol w:w="10"/>
        <w:gridCol w:w="998"/>
        <w:gridCol w:w="4110"/>
        <w:gridCol w:w="1572"/>
        <w:gridCol w:w="1559"/>
        <w:gridCol w:w="1560"/>
        <w:gridCol w:w="1559"/>
        <w:gridCol w:w="1688"/>
      </w:tblGrid>
      <w:tr>
        <w:tblPrEx>
          <w:tblW w:w="13056" w:type="dxa"/>
          <w:tblInd w:w="93" w:type="dxa"/>
          <w:tblLook w:val="00A0"/>
        </w:tblPrEx>
        <w:trPr>
          <w:gridBefore w:val="1"/>
          <w:wBefore w:w="10" w:type="dxa"/>
          <w:trHeight w:val="315"/>
        </w:trPr>
        <w:tc>
          <w:tcPr>
            <w:tcW w:w="998" w:type="dxa"/>
            <w:tcBorders>
              <w:top w:val="single" w:sz="4" w:space="0" w:color="auto"/>
              <w:left w:val="single" w:sz="4" w:space="0" w:color="auto"/>
              <w:bottom w:val="nil"/>
              <w:right w:val="nil"/>
            </w:tcBorders>
            <w:shd w:val="clear" w:color="000000" w:fill="000000"/>
            <w:noWrap/>
            <w:textDirection w:val="lrTb"/>
            <w:vAlign w:val="bottom"/>
          </w:tcPr>
          <w:p w:rsidR="00A231F2" w:rsidRPr="00772706" w:rsidP="00A231F2">
            <w:pPr>
              <w:bidi w:val="0"/>
              <w:spacing w:before="60" w:after="60"/>
              <w:rPr>
                <w:rFonts w:ascii="Times New Roman" w:hAnsi="Times New Roman"/>
                <w:b/>
                <w:bCs/>
                <w:color w:val="FFFFFF"/>
                <w:sz w:val="20"/>
                <w:szCs w:val="20"/>
                <w:lang w:eastAsia="en-US"/>
              </w:rPr>
            </w:pPr>
            <w:r w:rsidRPr="00772706">
              <w:rPr>
                <w:rFonts w:ascii="Times New Roman" w:hAnsi="Times New Roman"/>
                <w:b/>
                <w:bCs/>
                <w:color w:val="FFFFFF"/>
                <w:sz w:val="20"/>
                <w:szCs w:val="20"/>
                <w:lang w:eastAsia="en-US"/>
              </w:rPr>
              <w:t> </w:t>
            </w:r>
          </w:p>
        </w:tc>
        <w:tc>
          <w:tcPr>
            <w:tcW w:w="4110" w:type="dxa"/>
            <w:tcBorders>
              <w:top w:val="single" w:sz="4" w:space="0" w:color="auto"/>
              <w:left w:val="nil"/>
              <w:bottom w:val="nil"/>
              <w:right w:val="nil"/>
            </w:tcBorders>
            <w:shd w:val="clear" w:color="000000" w:fill="000000"/>
            <w:noWrap/>
            <w:textDirection w:val="lrTb"/>
            <w:vAlign w:val="bottom"/>
          </w:tcPr>
          <w:p w:rsidR="00A231F2" w:rsidRPr="00772706" w:rsidP="00A231F2">
            <w:pPr>
              <w:bidi w:val="0"/>
              <w:spacing w:before="60" w:after="60"/>
              <w:rPr>
                <w:rFonts w:ascii="Times New Roman" w:hAnsi="Times New Roman"/>
                <w:b/>
                <w:bCs/>
                <w:color w:val="FFFFFF"/>
                <w:sz w:val="20"/>
                <w:szCs w:val="20"/>
                <w:lang w:eastAsia="en-US"/>
              </w:rPr>
            </w:pPr>
            <w:r w:rsidRPr="00772706">
              <w:rPr>
                <w:rFonts w:ascii="Times New Roman" w:hAnsi="Times New Roman"/>
                <w:b/>
                <w:bCs/>
                <w:color w:val="FFFFFF"/>
                <w:sz w:val="20"/>
                <w:szCs w:val="20"/>
              </w:rPr>
              <w:t>Príjmy (</w:t>
            </w:r>
            <w:r>
              <w:rPr>
                <w:rFonts w:ascii="Times New Roman" w:hAnsi="Times New Roman"/>
                <w:b/>
                <w:bCs/>
                <w:color w:val="FFFFFF"/>
                <w:sz w:val="20"/>
                <w:szCs w:val="20"/>
              </w:rPr>
              <w:t xml:space="preserve">ESA 95, </w:t>
            </w:r>
            <w:r w:rsidRPr="00772706">
              <w:rPr>
                <w:rFonts w:ascii="Times New Roman" w:hAnsi="Times New Roman"/>
                <w:b/>
                <w:bCs/>
                <w:color w:val="FFFFFF"/>
                <w:sz w:val="20"/>
                <w:szCs w:val="20"/>
              </w:rPr>
              <w:t>v eurách)</w:t>
            </w:r>
          </w:p>
        </w:tc>
        <w:tc>
          <w:tcPr>
            <w:tcW w:w="6250" w:type="dxa"/>
            <w:gridSpan w:val="4"/>
            <w:tcBorders>
              <w:top w:val="single" w:sz="4" w:space="0" w:color="auto"/>
              <w:left w:val="nil"/>
              <w:bottom w:val="nil"/>
              <w:right w:val="nil"/>
            </w:tcBorders>
            <w:shd w:val="clear" w:color="000000" w:fill="000000"/>
            <w:noWrap/>
            <w:textDirection w:val="lrTb"/>
            <w:vAlign w:val="bottom"/>
          </w:tcPr>
          <w:p w:rsidR="00A231F2" w:rsidRPr="00772706" w:rsidP="00A231F2">
            <w:pPr>
              <w:bidi w:val="0"/>
              <w:spacing w:before="120" w:after="120"/>
              <w:jc w:val="center"/>
              <w:rPr>
                <w:rFonts w:ascii="Times New Roman" w:hAnsi="Times New Roman"/>
                <w:b/>
                <w:bCs/>
                <w:color w:val="FFFFFF"/>
                <w:sz w:val="20"/>
                <w:szCs w:val="20"/>
                <w:lang w:eastAsia="en-US"/>
              </w:rPr>
            </w:pPr>
            <w:r w:rsidRPr="00772706">
              <w:rPr>
                <w:rFonts w:ascii="Times New Roman" w:hAnsi="Times New Roman"/>
                <w:b/>
                <w:bCs/>
                <w:color w:val="FFFFFF"/>
                <w:sz w:val="20"/>
                <w:szCs w:val="20"/>
              </w:rPr>
              <w:t>Vplyv na rozpočet verejnej správy</w:t>
            </w:r>
          </w:p>
        </w:tc>
        <w:tc>
          <w:tcPr>
            <w:tcW w:w="1688" w:type="dxa"/>
            <w:vMerge w:val="restart"/>
            <w:tcBorders>
              <w:top w:val="single" w:sz="4" w:space="0" w:color="auto"/>
              <w:left w:val="nil"/>
              <w:bottom w:val="none" w:sz="0" w:space="0" w:color="auto"/>
              <w:right w:val="nil"/>
            </w:tcBorders>
            <w:shd w:val="clear" w:color="000000" w:fill="000000"/>
            <w:textDirection w:val="lrTb"/>
            <w:vAlign w:val="center"/>
          </w:tcPr>
          <w:p w:rsidR="00A231F2" w:rsidRPr="00772706" w:rsidP="00A231F2">
            <w:pPr>
              <w:pStyle w:val="NormalWeb"/>
              <w:bidi w:val="0"/>
              <w:spacing w:before="60" w:beforeAutospacing="0" w:after="60" w:afterAutospacing="0"/>
              <w:jc w:val="center"/>
              <w:rPr>
                <w:rFonts w:ascii="Times New Roman" w:hAnsi="Times New Roman"/>
                <w:sz w:val="20"/>
                <w:szCs w:val="20"/>
              </w:rPr>
            </w:pPr>
            <w:r w:rsidRPr="00772706">
              <w:rPr>
                <w:rFonts w:ascii="Times New Roman" w:hAnsi="Times New Roman"/>
                <w:b/>
                <w:bCs/>
                <w:color w:val="FFFFFF"/>
                <w:sz w:val="20"/>
                <w:szCs w:val="20"/>
              </w:rPr>
              <w:t>Poznámka</w:t>
            </w:r>
          </w:p>
        </w:tc>
      </w:tr>
      <w:tr>
        <w:tblPrEx>
          <w:tblW w:w="13056" w:type="dxa"/>
          <w:tblInd w:w="93" w:type="dxa"/>
          <w:tblLook w:val="00A0"/>
        </w:tblPrEx>
        <w:trPr>
          <w:gridBefore w:val="1"/>
          <w:wBefore w:w="10" w:type="dxa"/>
          <w:trHeight w:val="315"/>
        </w:trPr>
        <w:tc>
          <w:tcPr>
            <w:tcW w:w="998" w:type="dxa"/>
            <w:tcBorders>
              <w:top w:val="nil"/>
              <w:left w:val="single" w:sz="4" w:space="0" w:color="auto"/>
              <w:bottom w:val="nil"/>
              <w:right w:val="nil"/>
            </w:tcBorders>
            <w:shd w:val="clear" w:color="000000" w:fill="000000"/>
            <w:noWrap/>
            <w:textDirection w:val="lrTb"/>
            <w:vAlign w:val="bottom"/>
          </w:tcPr>
          <w:p w:rsidR="00A231F2" w:rsidRPr="00772706" w:rsidP="00A231F2">
            <w:pPr>
              <w:bidi w:val="0"/>
              <w:spacing w:before="60" w:after="60"/>
              <w:rPr>
                <w:rFonts w:ascii="Times New Roman" w:hAnsi="Times New Roman"/>
                <w:b/>
                <w:bCs/>
                <w:color w:val="FFFFFF"/>
                <w:sz w:val="20"/>
                <w:szCs w:val="20"/>
                <w:lang w:eastAsia="en-US"/>
              </w:rPr>
            </w:pPr>
            <w:r w:rsidRPr="00772706">
              <w:rPr>
                <w:rFonts w:ascii="Times New Roman" w:hAnsi="Times New Roman"/>
                <w:b/>
                <w:bCs/>
                <w:color w:val="FFFFFF"/>
                <w:sz w:val="20"/>
                <w:szCs w:val="20"/>
                <w:lang w:eastAsia="en-US"/>
              </w:rPr>
              <w:t> </w:t>
            </w:r>
          </w:p>
        </w:tc>
        <w:tc>
          <w:tcPr>
            <w:tcW w:w="4110" w:type="dxa"/>
            <w:tcBorders>
              <w:top w:val="nil"/>
              <w:left w:val="nil"/>
              <w:bottom w:val="nil"/>
              <w:right w:val="nil"/>
            </w:tcBorders>
            <w:shd w:val="clear" w:color="000000" w:fill="000000"/>
            <w:noWrap/>
            <w:textDirection w:val="lrTb"/>
            <w:vAlign w:val="bottom"/>
          </w:tcPr>
          <w:p w:rsidR="00A231F2" w:rsidRPr="00772706" w:rsidP="00A231F2">
            <w:pPr>
              <w:bidi w:val="0"/>
              <w:spacing w:before="120" w:after="120"/>
              <w:rPr>
                <w:rFonts w:ascii="Times New Roman" w:hAnsi="Times New Roman"/>
                <w:b/>
                <w:bCs/>
                <w:color w:val="FFFFFF"/>
                <w:sz w:val="20"/>
                <w:szCs w:val="20"/>
                <w:u w:val="single"/>
                <w:lang w:eastAsia="en-US"/>
              </w:rPr>
            </w:pPr>
            <w:r w:rsidRPr="00772706">
              <w:rPr>
                <w:rFonts w:ascii="Times New Roman" w:hAnsi="Times New Roman"/>
                <w:b/>
                <w:bCs/>
                <w:color w:val="FFFFFF"/>
                <w:sz w:val="20"/>
                <w:szCs w:val="20"/>
                <w:u w:val="single"/>
                <w:lang w:eastAsia="en-US"/>
              </w:rPr>
              <w:t xml:space="preserve">Štátny rozpočet (MF SR) </w:t>
            </w:r>
          </w:p>
        </w:tc>
        <w:tc>
          <w:tcPr>
            <w:tcW w:w="1572" w:type="dxa"/>
            <w:tcBorders>
              <w:top w:val="nil"/>
              <w:left w:val="nil"/>
              <w:bottom w:val="nil"/>
              <w:right w:val="nil"/>
            </w:tcBorders>
            <w:shd w:val="clear" w:color="000000" w:fill="000000"/>
            <w:noWrap/>
            <w:textDirection w:val="lrTb"/>
            <w:vAlign w:val="bottom"/>
          </w:tcPr>
          <w:p w:rsidR="00A231F2" w:rsidRPr="00772706" w:rsidP="00A231F2">
            <w:pPr>
              <w:bidi w:val="0"/>
              <w:spacing w:before="120" w:after="120"/>
              <w:jc w:val="center"/>
              <w:rPr>
                <w:rFonts w:ascii="Times New Roman" w:hAnsi="Times New Roman"/>
                <w:b/>
                <w:bCs/>
                <w:color w:val="FFFFFF"/>
                <w:sz w:val="20"/>
                <w:szCs w:val="20"/>
                <w:lang w:eastAsia="en-US"/>
              </w:rPr>
            </w:pPr>
            <w:r w:rsidRPr="00772706">
              <w:rPr>
                <w:rFonts w:ascii="Times New Roman" w:hAnsi="Times New Roman"/>
                <w:b/>
                <w:bCs/>
                <w:color w:val="FFFFFF"/>
                <w:sz w:val="20"/>
                <w:szCs w:val="20"/>
                <w:lang w:eastAsia="en-US"/>
              </w:rPr>
              <w:t>2011</w:t>
            </w:r>
          </w:p>
        </w:tc>
        <w:tc>
          <w:tcPr>
            <w:tcW w:w="1559" w:type="dxa"/>
            <w:tcBorders>
              <w:top w:val="nil"/>
              <w:left w:val="nil"/>
              <w:bottom w:val="nil"/>
              <w:right w:val="nil"/>
            </w:tcBorders>
            <w:shd w:val="clear" w:color="000000" w:fill="000000"/>
            <w:noWrap/>
            <w:textDirection w:val="lrTb"/>
            <w:vAlign w:val="bottom"/>
          </w:tcPr>
          <w:p w:rsidR="00A231F2" w:rsidRPr="00772706" w:rsidP="00A231F2">
            <w:pPr>
              <w:bidi w:val="0"/>
              <w:spacing w:before="120" w:after="120"/>
              <w:jc w:val="center"/>
              <w:rPr>
                <w:rFonts w:ascii="Times New Roman" w:hAnsi="Times New Roman"/>
                <w:b/>
                <w:bCs/>
                <w:color w:val="FFFFFF"/>
                <w:sz w:val="20"/>
                <w:szCs w:val="20"/>
                <w:lang w:eastAsia="en-US"/>
              </w:rPr>
            </w:pPr>
            <w:r w:rsidRPr="00772706">
              <w:rPr>
                <w:rFonts w:ascii="Times New Roman" w:hAnsi="Times New Roman"/>
                <w:b/>
                <w:bCs/>
                <w:color w:val="FFFFFF"/>
                <w:sz w:val="20"/>
                <w:szCs w:val="20"/>
                <w:lang w:eastAsia="en-US"/>
              </w:rPr>
              <w:t>2012</w:t>
            </w:r>
          </w:p>
        </w:tc>
        <w:tc>
          <w:tcPr>
            <w:tcW w:w="1560" w:type="dxa"/>
            <w:tcBorders>
              <w:top w:val="nil"/>
              <w:left w:val="nil"/>
              <w:bottom w:val="nil"/>
              <w:right w:val="nil"/>
            </w:tcBorders>
            <w:shd w:val="clear" w:color="000000" w:fill="000000"/>
            <w:noWrap/>
            <w:textDirection w:val="lrTb"/>
            <w:vAlign w:val="bottom"/>
          </w:tcPr>
          <w:p w:rsidR="00A231F2" w:rsidRPr="00772706" w:rsidP="00A231F2">
            <w:pPr>
              <w:bidi w:val="0"/>
              <w:spacing w:before="120" w:after="120"/>
              <w:jc w:val="center"/>
              <w:rPr>
                <w:rFonts w:ascii="Times New Roman" w:hAnsi="Times New Roman"/>
                <w:b/>
                <w:bCs/>
                <w:color w:val="FFFFFF"/>
                <w:sz w:val="20"/>
                <w:szCs w:val="20"/>
                <w:lang w:eastAsia="en-US"/>
              </w:rPr>
            </w:pPr>
            <w:r w:rsidRPr="00772706">
              <w:rPr>
                <w:rFonts w:ascii="Times New Roman" w:hAnsi="Times New Roman"/>
                <w:b/>
                <w:bCs/>
                <w:color w:val="FFFFFF"/>
                <w:sz w:val="20"/>
                <w:szCs w:val="20"/>
                <w:lang w:eastAsia="en-US"/>
              </w:rPr>
              <w:t>2013</w:t>
            </w:r>
          </w:p>
        </w:tc>
        <w:tc>
          <w:tcPr>
            <w:tcW w:w="1559" w:type="dxa"/>
            <w:tcBorders>
              <w:top w:val="nil"/>
              <w:left w:val="nil"/>
              <w:bottom w:val="nil"/>
              <w:right w:val="nil"/>
            </w:tcBorders>
            <w:shd w:val="clear" w:color="000000" w:fill="000000"/>
            <w:noWrap/>
            <w:textDirection w:val="lrTb"/>
            <w:vAlign w:val="bottom"/>
          </w:tcPr>
          <w:p w:rsidR="00A231F2" w:rsidRPr="00772706" w:rsidP="00A231F2">
            <w:pPr>
              <w:bidi w:val="0"/>
              <w:spacing w:before="120" w:after="120"/>
              <w:jc w:val="center"/>
              <w:rPr>
                <w:rFonts w:ascii="Times New Roman" w:hAnsi="Times New Roman"/>
                <w:b/>
                <w:bCs/>
                <w:color w:val="FFFFFF"/>
                <w:sz w:val="20"/>
                <w:szCs w:val="20"/>
                <w:lang w:eastAsia="en-US"/>
              </w:rPr>
            </w:pPr>
            <w:r w:rsidRPr="00772706">
              <w:rPr>
                <w:rFonts w:ascii="Times New Roman" w:hAnsi="Times New Roman"/>
                <w:b/>
                <w:bCs/>
                <w:color w:val="FFFFFF"/>
                <w:sz w:val="20"/>
                <w:szCs w:val="20"/>
                <w:lang w:eastAsia="en-US"/>
              </w:rPr>
              <w:t>2014</w:t>
            </w:r>
          </w:p>
        </w:tc>
        <w:tc>
          <w:tcPr>
            <w:tcW w:w="1688" w:type="dxa"/>
            <w:vMerge/>
            <w:tcBorders>
              <w:top w:val="none" w:sz="0" w:space="0" w:color="auto"/>
              <w:left w:val="nil"/>
              <w:bottom w:val="nil"/>
              <w:right w:val="nil"/>
            </w:tcBorders>
            <w:shd w:val="clear" w:color="000000" w:fill="000000"/>
            <w:textDirection w:val="lrTb"/>
            <w:vAlign w:val="center"/>
          </w:tcPr>
          <w:p w:rsidR="00A231F2" w:rsidRPr="00772706" w:rsidP="00A231F2">
            <w:pPr>
              <w:bidi w:val="0"/>
              <w:spacing w:before="60" w:after="60"/>
              <w:rPr>
                <w:rFonts w:ascii="Times New Roman" w:hAnsi="Times New Roman"/>
                <w:sz w:val="20"/>
                <w:szCs w:val="20"/>
              </w:rPr>
            </w:pPr>
          </w:p>
        </w:tc>
      </w:tr>
      <w:tr>
        <w:tblPrEx>
          <w:tblW w:w="13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00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976FF6" w:rsidRPr="00772706" w:rsidP="00A231F2">
            <w:pPr>
              <w:bidi w:val="0"/>
              <w:spacing w:before="60" w:after="60"/>
              <w:jc w:val="right"/>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100+200</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976FF6" w:rsidRPr="00772706" w:rsidP="00A231F2">
            <w:pPr>
              <w:bidi w:val="0"/>
              <w:spacing w:before="60" w:after="60"/>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Celkový vplyv na príjmy</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976FF6" w:rsidRPr="00772706"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3 814 569</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976FF6" w:rsidRPr="00772706"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1 664 119 051</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976FF6" w:rsidRPr="00772706"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1 781 817 674</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976FF6" w:rsidRPr="00772706"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1 906 722 838</w:t>
            </w:r>
          </w:p>
        </w:tc>
        <w:tc>
          <w:tcPr>
            <w:tcW w:w="1688" w:type="dxa"/>
            <w:vMerge w:val="restart"/>
            <w:tcBorders>
              <w:top w:val="single" w:sz="4" w:space="0" w:color="auto"/>
              <w:left w:val="single" w:sz="4" w:space="0" w:color="auto"/>
              <w:bottom w:val="single" w:sz="4" w:space="0" w:color="auto"/>
              <w:right w:val="single" w:sz="4" w:space="0" w:color="auto"/>
            </w:tcBorders>
            <w:textDirection w:val="lrTb"/>
            <w:vAlign w:val="top"/>
          </w:tcPr>
          <w:p w:rsidR="00976FF6" w:rsidRPr="00772706" w:rsidP="00A231F2">
            <w:pPr>
              <w:bidi w:val="0"/>
              <w:spacing w:before="60" w:after="60"/>
              <w:jc w:val="right"/>
              <w:rPr>
                <w:rFonts w:ascii="Times New Roman" w:hAnsi="Times New Roman"/>
                <w:b/>
                <w:bCs/>
                <w:color w:val="000000"/>
                <w:sz w:val="20"/>
                <w:szCs w:val="20"/>
                <w:lang w:eastAsia="zh-CN"/>
              </w:rPr>
            </w:pPr>
          </w:p>
        </w:tc>
      </w:tr>
      <w:tr>
        <w:tblPrEx>
          <w:tblW w:w="13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00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976FF6" w:rsidRPr="00772706" w:rsidP="00A231F2">
            <w:pPr>
              <w:bidi w:val="0"/>
              <w:spacing w:before="60" w:after="60"/>
              <w:jc w:val="right"/>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100</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976FF6" w:rsidRPr="00772706" w:rsidP="00A231F2">
            <w:pPr>
              <w:bidi w:val="0"/>
              <w:spacing w:before="60" w:after="60"/>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Daňové príjmy</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976FF6" w:rsidRPr="00772706"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3 814 569</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976FF6" w:rsidRPr="00772706"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1 644 396 161</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976FF6" w:rsidRPr="00772706"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1 761 723 649</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976FF6" w:rsidRPr="00772706"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1 886 628 813</w:t>
            </w:r>
          </w:p>
        </w:tc>
        <w:tc>
          <w:tcPr>
            <w:tcW w:w="1688" w:type="dxa"/>
            <w:vMerge/>
            <w:tcBorders>
              <w:top w:val="single" w:sz="4" w:space="0" w:color="auto"/>
              <w:left w:val="single" w:sz="4" w:space="0" w:color="auto"/>
              <w:bottom w:val="single" w:sz="4" w:space="0" w:color="auto"/>
              <w:right w:val="single" w:sz="4" w:space="0" w:color="auto"/>
            </w:tcBorders>
            <w:textDirection w:val="lrTb"/>
            <w:vAlign w:val="top"/>
          </w:tcPr>
          <w:p w:rsidR="00976FF6" w:rsidRPr="00772706" w:rsidP="00A231F2">
            <w:pPr>
              <w:bidi w:val="0"/>
              <w:spacing w:before="60" w:after="60"/>
              <w:jc w:val="right"/>
              <w:rPr>
                <w:rFonts w:ascii="Times New Roman" w:hAnsi="Times New Roman"/>
                <w:b/>
                <w:bCs/>
                <w:color w:val="000000"/>
                <w:sz w:val="20"/>
                <w:szCs w:val="20"/>
                <w:lang w:eastAsia="zh-CN"/>
              </w:rPr>
            </w:pPr>
          </w:p>
        </w:tc>
      </w:tr>
      <w:tr>
        <w:tblPrEx>
          <w:tblW w:w="13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00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976FF6" w:rsidRPr="00772706"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111</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976FF6" w:rsidRPr="00772706"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DPFO</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976FF6"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3 814 569</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976FF6"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1 590 752 749</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976FF6"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1 712 373 849</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976FF6"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1 837 704 390</w:t>
            </w:r>
          </w:p>
        </w:tc>
        <w:tc>
          <w:tcPr>
            <w:tcW w:w="1688" w:type="dxa"/>
            <w:vMerge/>
            <w:tcBorders>
              <w:top w:val="single" w:sz="4" w:space="0" w:color="auto"/>
              <w:left w:val="single" w:sz="4" w:space="0" w:color="auto"/>
              <w:bottom w:val="single" w:sz="4" w:space="0" w:color="auto"/>
              <w:right w:val="single" w:sz="4" w:space="0" w:color="auto"/>
            </w:tcBorders>
            <w:textDirection w:val="lrTb"/>
            <w:vAlign w:val="top"/>
          </w:tcPr>
          <w:p w:rsidR="00976FF6" w:rsidRPr="00772706" w:rsidP="00A231F2">
            <w:pPr>
              <w:bidi w:val="0"/>
              <w:spacing w:before="60" w:after="60"/>
              <w:jc w:val="right"/>
              <w:rPr>
                <w:rFonts w:ascii="Times New Roman" w:hAnsi="Times New Roman"/>
                <w:color w:val="000000"/>
                <w:sz w:val="20"/>
                <w:szCs w:val="20"/>
                <w:lang w:eastAsia="zh-CN"/>
              </w:rPr>
            </w:pPr>
          </w:p>
        </w:tc>
      </w:tr>
      <w:tr>
        <w:tblPrEx>
          <w:tblW w:w="13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00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772706"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111001</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A86C7E" w:rsidP="00A231F2">
            <w:pPr>
              <w:bidi w:val="0"/>
              <w:spacing w:before="60" w:after="60"/>
              <w:rPr>
                <w:rFonts w:ascii="Times New Roman" w:hAnsi="Times New Roman"/>
                <w:color w:val="000000"/>
                <w:sz w:val="20"/>
                <w:szCs w:val="20"/>
                <w:lang w:eastAsia="zh-CN"/>
              </w:rPr>
            </w:pPr>
            <w:r w:rsidRPr="00A86C7E">
              <w:rPr>
                <w:rFonts w:ascii="Times New Roman" w:hAnsi="Times New Roman"/>
                <w:color w:val="000000"/>
                <w:sz w:val="20"/>
                <w:szCs w:val="20"/>
                <w:lang w:eastAsia="zh-CN"/>
              </w:rPr>
              <w:t xml:space="preserve"> - zo závislej činnosti</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1 518 905 419</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1 636 813 272</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1 756 591 454</w:t>
            </w:r>
          </w:p>
        </w:tc>
        <w:tc>
          <w:tcPr>
            <w:tcW w:w="1688" w:type="dxa"/>
            <w:vMerge/>
            <w:tcBorders>
              <w:top w:val="single" w:sz="4" w:space="0" w:color="auto"/>
              <w:left w:val="single" w:sz="4" w:space="0" w:color="auto"/>
              <w:bottom w:val="single" w:sz="4" w:space="0" w:color="auto"/>
              <w:right w:val="single" w:sz="4" w:space="0" w:color="auto"/>
            </w:tcBorders>
            <w:textDirection w:val="lrTb"/>
            <w:vAlign w:val="top"/>
          </w:tcPr>
          <w:p w:rsidR="00B603A8" w:rsidRPr="00772706" w:rsidP="00A231F2">
            <w:pPr>
              <w:bidi w:val="0"/>
              <w:spacing w:before="60" w:after="60"/>
              <w:jc w:val="right"/>
              <w:rPr>
                <w:rFonts w:ascii="Times New Roman" w:hAnsi="Times New Roman"/>
                <w:color w:val="000000"/>
                <w:sz w:val="20"/>
                <w:szCs w:val="20"/>
                <w:lang w:eastAsia="zh-CN"/>
              </w:rPr>
            </w:pPr>
          </w:p>
        </w:tc>
      </w:tr>
      <w:tr>
        <w:tblPrEx>
          <w:tblW w:w="13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00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 </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A86C7E" w:rsidP="00A231F2">
            <w:pPr>
              <w:bidi w:val="0"/>
              <w:spacing w:before="60" w:after="60"/>
              <w:rPr>
                <w:rFonts w:ascii="Times New Roman" w:hAnsi="Times New Roman"/>
                <w:color w:val="000000"/>
                <w:sz w:val="20"/>
                <w:szCs w:val="20"/>
                <w:lang w:eastAsia="zh-CN"/>
              </w:rPr>
            </w:pPr>
            <w:r w:rsidRPr="00A86C7E">
              <w:rPr>
                <w:rFonts w:ascii="Times New Roman" w:hAnsi="Times New Roman"/>
                <w:color w:val="000000"/>
                <w:sz w:val="20"/>
                <w:szCs w:val="20"/>
                <w:lang w:eastAsia="zh-CN"/>
              </w:rPr>
              <w:t xml:space="preserve">   - z toho: motorové vozidlo</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-1 067 638</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-1 149 741</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-1 248 655</w:t>
            </w:r>
          </w:p>
        </w:tc>
        <w:tc>
          <w:tcPr>
            <w:tcW w:w="1688" w:type="dxa"/>
            <w:vMerge/>
            <w:tcBorders>
              <w:top w:val="single" w:sz="4" w:space="0" w:color="auto"/>
              <w:left w:val="single" w:sz="4" w:space="0" w:color="auto"/>
              <w:bottom w:val="single" w:sz="4" w:space="0" w:color="auto"/>
              <w:right w:val="single" w:sz="4" w:space="0" w:color="auto"/>
            </w:tcBorders>
            <w:textDirection w:val="lrTb"/>
            <w:vAlign w:val="top"/>
          </w:tcPr>
          <w:p w:rsidR="00832B7E" w:rsidRPr="00772706" w:rsidP="00A231F2">
            <w:pPr>
              <w:bidi w:val="0"/>
              <w:spacing w:before="60" w:after="60"/>
              <w:jc w:val="right"/>
              <w:rPr>
                <w:rFonts w:ascii="Times New Roman" w:hAnsi="Times New Roman"/>
                <w:color w:val="000000"/>
                <w:sz w:val="20"/>
                <w:szCs w:val="20"/>
                <w:lang w:eastAsia="zh-CN"/>
              </w:rPr>
            </w:pPr>
          </w:p>
        </w:tc>
      </w:tr>
      <w:tr>
        <w:tblPrEx>
          <w:tblW w:w="13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00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 </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A86C7E" w:rsidP="00A231F2">
            <w:pPr>
              <w:bidi w:val="0"/>
              <w:spacing w:before="60" w:after="60"/>
              <w:rPr>
                <w:rFonts w:ascii="Times New Roman" w:hAnsi="Times New Roman"/>
                <w:color w:val="000000"/>
                <w:sz w:val="20"/>
                <w:szCs w:val="20"/>
                <w:lang w:eastAsia="zh-CN"/>
              </w:rPr>
            </w:pPr>
            <w:r w:rsidRPr="00A86C7E">
              <w:rPr>
                <w:rFonts w:ascii="Times New Roman" w:hAnsi="Times New Roman"/>
                <w:color w:val="000000"/>
                <w:sz w:val="20"/>
                <w:szCs w:val="20"/>
                <w:lang w:eastAsia="zh-CN"/>
              </w:rPr>
              <w:t xml:space="preserve">   - z toho: osobní asistenti (uplatnenie NČZD)</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-578 799</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-600 214</w:t>
            </w:r>
          </w:p>
        </w:tc>
        <w:tc>
          <w:tcPr>
            <w:tcW w:w="1688" w:type="dxa"/>
            <w:vMerge/>
            <w:tcBorders>
              <w:top w:val="single" w:sz="4" w:space="0" w:color="auto"/>
              <w:left w:val="single" w:sz="4" w:space="0" w:color="auto"/>
              <w:bottom w:val="single" w:sz="4" w:space="0" w:color="auto"/>
              <w:right w:val="single" w:sz="4" w:space="0" w:color="auto"/>
            </w:tcBorders>
            <w:textDirection w:val="lrTb"/>
            <w:vAlign w:val="top"/>
          </w:tcPr>
          <w:p w:rsidR="00832B7E" w:rsidRPr="00772706" w:rsidP="00A231F2">
            <w:pPr>
              <w:bidi w:val="0"/>
              <w:spacing w:before="60" w:after="60"/>
              <w:jc w:val="right"/>
              <w:rPr>
                <w:rFonts w:ascii="Times New Roman" w:hAnsi="Times New Roman"/>
                <w:color w:val="000000"/>
                <w:sz w:val="20"/>
                <w:szCs w:val="20"/>
                <w:lang w:eastAsia="zh-CN"/>
              </w:rPr>
            </w:pPr>
          </w:p>
        </w:tc>
      </w:tr>
      <w:tr>
        <w:tblPrEx>
          <w:tblW w:w="13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00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111002</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A86C7E" w:rsidP="00A231F2">
            <w:pPr>
              <w:bidi w:val="0"/>
              <w:spacing w:before="60" w:after="60"/>
              <w:rPr>
                <w:rFonts w:ascii="Times New Roman" w:hAnsi="Times New Roman"/>
                <w:color w:val="000000"/>
                <w:sz w:val="20"/>
                <w:szCs w:val="20"/>
                <w:lang w:eastAsia="zh-CN"/>
              </w:rPr>
            </w:pPr>
            <w:r w:rsidRPr="00A86C7E">
              <w:rPr>
                <w:rFonts w:ascii="Times New Roman" w:hAnsi="Times New Roman"/>
                <w:color w:val="000000"/>
                <w:sz w:val="20"/>
                <w:szCs w:val="20"/>
                <w:lang w:eastAsia="zh-CN"/>
              </w:rPr>
              <w:t xml:space="preserve">  - z podnikania a inej SZČO</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3 814 569</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71 847 331</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75 560 577</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81 112 937</w:t>
            </w:r>
          </w:p>
        </w:tc>
        <w:tc>
          <w:tcPr>
            <w:tcW w:w="1688" w:type="dxa"/>
            <w:vMerge/>
            <w:tcBorders>
              <w:top w:val="single" w:sz="4" w:space="0" w:color="auto"/>
              <w:left w:val="single" w:sz="4" w:space="0" w:color="auto"/>
              <w:bottom w:val="single" w:sz="4" w:space="0" w:color="auto"/>
              <w:right w:val="single" w:sz="4" w:space="0" w:color="auto"/>
            </w:tcBorders>
            <w:textDirection w:val="lrTb"/>
            <w:vAlign w:val="top"/>
          </w:tcPr>
          <w:p w:rsidR="00832B7E" w:rsidRPr="00772706" w:rsidP="00A231F2">
            <w:pPr>
              <w:bidi w:val="0"/>
              <w:spacing w:before="60" w:after="60"/>
              <w:jc w:val="right"/>
              <w:rPr>
                <w:rFonts w:ascii="Times New Roman" w:hAnsi="Times New Roman"/>
                <w:color w:val="000000"/>
                <w:sz w:val="20"/>
                <w:szCs w:val="20"/>
                <w:lang w:eastAsia="zh-CN"/>
              </w:rPr>
            </w:pPr>
          </w:p>
        </w:tc>
      </w:tr>
      <w:tr>
        <w:tblPrEx>
          <w:tblW w:w="13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00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 </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A86C7E" w:rsidP="00A231F2">
            <w:pPr>
              <w:bidi w:val="0"/>
              <w:spacing w:before="60" w:after="60"/>
              <w:rPr>
                <w:rFonts w:ascii="Times New Roman" w:hAnsi="Times New Roman"/>
                <w:color w:val="000000"/>
                <w:sz w:val="20"/>
                <w:szCs w:val="20"/>
                <w:lang w:eastAsia="zh-CN"/>
              </w:rPr>
            </w:pPr>
            <w:r w:rsidRPr="00A86C7E">
              <w:rPr>
                <w:rFonts w:ascii="Times New Roman" w:hAnsi="Times New Roman"/>
                <w:color w:val="000000"/>
                <w:sz w:val="20"/>
                <w:szCs w:val="20"/>
                <w:lang w:eastAsia="zh-CN"/>
              </w:rPr>
              <w:t xml:space="preserve">      - z toho: osobní asistenti (uplatnenie NČZD)</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-144 700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-150 054</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-155 756</w:t>
            </w:r>
          </w:p>
        </w:tc>
        <w:tc>
          <w:tcPr>
            <w:tcW w:w="1688" w:type="dxa"/>
            <w:vMerge/>
            <w:tcBorders>
              <w:top w:val="single" w:sz="4" w:space="0" w:color="auto"/>
              <w:left w:val="single" w:sz="4" w:space="0" w:color="auto"/>
              <w:bottom w:val="single" w:sz="4" w:space="0" w:color="auto"/>
              <w:right w:val="single" w:sz="4" w:space="0" w:color="auto"/>
            </w:tcBorders>
            <w:textDirection w:val="lrTb"/>
            <w:vAlign w:val="top"/>
          </w:tcPr>
          <w:p w:rsidR="00832B7E" w:rsidRPr="00772706" w:rsidP="00A231F2">
            <w:pPr>
              <w:bidi w:val="0"/>
              <w:spacing w:before="60" w:after="60"/>
              <w:jc w:val="right"/>
              <w:rPr>
                <w:rFonts w:ascii="Times New Roman" w:hAnsi="Times New Roman"/>
                <w:color w:val="000000"/>
                <w:sz w:val="20"/>
                <w:szCs w:val="20"/>
                <w:lang w:eastAsia="zh-CN"/>
              </w:rPr>
            </w:pPr>
          </w:p>
        </w:tc>
      </w:tr>
      <w:tr>
        <w:tblPrEx>
          <w:tblW w:w="13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00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111003</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 xml:space="preserve">  - výnos dane poukázaný územnej samospráve</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688" w:type="dxa"/>
            <w:vMerge/>
            <w:tcBorders>
              <w:top w:val="single" w:sz="4" w:space="0" w:color="auto"/>
              <w:left w:val="single" w:sz="4" w:space="0" w:color="auto"/>
              <w:bottom w:val="single" w:sz="4" w:space="0" w:color="auto"/>
              <w:right w:val="single" w:sz="4" w:space="0" w:color="auto"/>
            </w:tcBorders>
            <w:textDirection w:val="lrTb"/>
            <w:vAlign w:val="top"/>
          </w:tcPr>
          <w:p w:rsidR="00832B7E" w:rsidRPr="00772706" w:rsidP="00A231F2">
            <w:pPr>
              <w:bidi w:val="0"/>
              <w:spacing w:before="60" w:after="60"/>
              <w:jc w:val="right"/>
              <w:rPr>
                <w:rFonts w:ascii="Times New Roman" w:hAnsi="Times New Roman"/>
                <w:color w:val="000000"/>
                <w:sz w:val="20"/>
                <w:szCs w:val="20"/>
                <w:lang w:eastAsia="zh-CN"/>
              </w:rPr>
            </w:pPr>
          </w:p>
        </w:tc>
      </w:tr>
      <w:tr>
        <w:tblPrEx>
          <w:tblW w:w="13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00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112</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DPPO</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53 643 412</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49 349 800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48 924 423</w:t>
            </w:r>
          </w:p>
        </w:tc>
        <w:tc>
          <w:tcPr>
            <w:tcW w:w="1688" w:type="dxa"/>
            <w:vMerge/>
            <w:tcBorders>
              <w:top w:val="single" w:sz="4" w:space="0" w:color="auto"/>
              <w:left w:val="single" w:sz="4" w:space="0" w:color="auto"/>
              <w:bottom w:val="single" w:sz="4" w:space="0" w:color="auto"/>
              <w:right w:val="single" w:sz="4" w:space="0" w:color="auto"/>
            </w:tcBorders>
            <w:textDirection w:val="lrTb"/>
            <w:vAlign w:val="top"/>
          </w:tcPr>
          <w:p w:rsidR="00832B7E" w:rsidRPr="00772706" w:rsidP="00A231F2">
            <w:pPr>
              <w:bidi w:val="0"/>
              <w:spacing w:before="60" w:after="60"/>
              <w:jc w:val="right"/>
              <w:rPr>
                <w:rFonts w:ascii="Times New Roman" w:hAnsi="Times New Roman"/>
                <w:color w:val="000000"/>
                <w:sz w:val="20"/>
                <w:szCs w:val="20"/>
                <w:lang w:eastAsia="zh-CN"/>
              </w:rPr>
            </w:pPr>
          </w:p>
        </w:tc>
      </w:tr>
      <w:tr>
        <w:tblPrEx>
          <w:tblW w:w="13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00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200</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Nedaňové príjmy</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19 722 890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20 094 025</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20 094 025</w:t>
            </w:r>
          </w:p>
        </w:tc>
        <w:tc>
          <w:tcPr>
            <w:tcW w:w="1688" w:type="dxa"/>
            <w:vMerge/>
            <w:tcBorders>
              <w:top w:val="single" w:sz="4" w:space="0" w:color="auto"/>
              <w:left w:val="single" w:sz="4" w:space="0" w:color="auto"/>
              <w:bottom w:val="single" w:sz="4" w:space="0" w:color="auto"/>
              <w:right w:val="single" w:sz="4" w:space="0" w:color="auto"/>
            </w:tcBorders>
            <w:textDirection w:val="lrTb"/>
            <w:vAlign w:val="top"/>
          </w:tcPr>
          <w:p w:rsidR="00832B7E" w:rsidRPr="00772706" w:rsidP="00A231F2">
            <w:pPr>
              <w:bidi w:val="0"/>
              <w:spacing w:before="60" w:after="60"/>
              <w:jc w:val="right"/>
              <w:rPr>
                <w:rFonts w:ascii="Times New Roman" w:hAnsi="Times New Roman"/>
                <w:b/>
                <w:bCs/>
                <w:color w:val="000000"/>
                <w:sz w:val="20"/>
                <w:szCs w:val="20"/>
                <w:lang w:eastAsia="zh-CN"/>
              </w:rPr>
            </w:pPr>
          </w:p>
        </w:tc>
      </w:tr>
      <w:tr>
        <w:tblPrEx>
          <w:tblW w:w="13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00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292</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Ostatné príjmy</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19 722 890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20 094 025</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20 094 025</w:t>
            </w:r>
          </w:p>
        </w:tc>
        <w:tc>
          <w:tcPr>
            <w:tcW w:w="1688" w:type="dxa"/>
            <w:vMerge/>
            <w:tcBorders>
              <w:top w:val="single" w:sz="4" w:space="0" w:color="auto"/>
              <w:left w:val="single" w:sz="4" w:space="0" w:color="auto"/>
              <w:bottom w:val="single" w:sz="4" w:space="0" w:color="auto"/>
              <w:right w:val="single" w:sz="4" w:space="0" w:color="auto"/>
            </w:tcBorders>
            <w:textDirection w:val="lrTb"/>
            <w:vAlign w:val="top"/>
          </w:tcPr>
          <w:p w:rsidR="00832B7E" w:rsidRPr="00772706" w:rsidP="00A231F2">
            <w:pPr>
              <w:bidi w:val="0"/>
              <w:spacing w:before="60" w:after="60"/>
              <w:jc w:val="right"/>
              <w:rPr>
                <w:rFonts w:ascii="Times New Roman" w:hAnsi="Times New Roman"/>
                <w:color w:val="000000"/>
                <w:sz w:val="20"/>
                <w:szCs w:val="20"/>
                <w:lang w:eastAsia="zh-CN"/>
              </w:rPr>
            </w:pPr>
          </w:p>
        </w:tc>
      </w:tr>
      <w:tr>
        <w:tblPrEx>
          <w:tblW w:w="13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00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292027</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Iné</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19 722 890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20 094 025</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832B7E"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20 094 025</w:t>
            </w:r>
          </w:p>
        </w:tc>
        <w:tc>
          <w:tcPr>
            <w:tcW w:w="1688" w:type="dxa"/>
            <w:vMerge/>
            <w:tcBorders>
              <w:top w:val="single" w:sz="4" w:space="0" w:color="auto"/>
              <w:left w:val="single" w:sz="4" w:space="0" w:color="auto"/>
              <w:bottom w:val="single" w:sz="4" w:space="0" w:color="auto"/>
              <w:right w:val="single" w:sz="4" w:space="0" w:color="auto"/>
            </w:tcBorders>
            <w:textDirection w:val="lrTb"/>
            <w:vAlign w:val="top"/>
          </w:tcPr>
          <w:p w:rsidR="00832B7E" w:rsidRPr="00772706" w:rsidP="00A231F2">
            <w:pPr>
              <w:bidi w:val="0"/>
              <w:spacing w:before="60" w:after="60"/>
              <w:jc w:val="right"/>
              <w:rPr>
                <w:rFonts w:ascii="Times New Roman" w:hAnsi="Times New Roman"/>
                <w:color w:val="000000"/>
                <w:sz w:val="20"/>
                <w:szCs w:val="20"/>
                <w:lang w:eastAsia="zh-CN"/>
              </w:rPr>
            </w:pPr>
          </w:p>
        </w:tc>
      </w:tr>
    </w:tbl>
    <w:p w:rsidR="00267792" w:rsidP="00F62085">
      <w:pPr>
        <w:pStyle w:val="NormalWeb"/>
        <w:bidi w:val="0"/>
        <w:spacing w:before="0" w:beforeAutospacing="0" w:after="120" w:afterAutospacing="0"/>
        <w:ind w:right="190"/>
        <w:jc w:val="both"/>
        <w:rPr>
          <w:rFonts w:ascii="Times New Roman" w:hAnsi="Times New Roman"/>
          <w:b/>
          <w:bCs/>
        </w:rPr>
      </w:pPr>
    </w:p>
    <w:p w:rsidR="00267792" w:rsidP="00A86C7E">
      <w:pPr>
        <w:pStyle w:val="NormalWeb"/>
        <w:bidi w:val="0"/>
        <w:spacing w:before="0" w:beforeAutospacing="0" w:after="120" w:afterAutospacing="0"/>
        <w:ind w:left="7788" w:right="190" w:firstLine="708"/>
        <w:jc w:val="center"/>
        <w:rPr>
          <w:rFonts w:ascii="Times New Roman" w:hAnsi="Times New Roman"/>
          <w:b/>
          <w:bCs/>
        </w:rPr>
      </w:pPr>
      <w:r>
        <w:rPr>
          <w:rFonts w:ascii="Times New Roman" w:hAnsi="Times New Roman"/>
          <w:b/>
          <w:bCs/>
        </w:rPr>
        <w:br w:type="page"/>
      </w:r>
      <w:r w:rsidR="006727E0">
        <w:rPr>
          <w:rFonts w:ascii="Times New Roman" w:hAnsi="Times New Roman"/>
          <w:sz w:val="22"/>
          <w:szCs w:val="22"/>
        </w:rPr>
        <w:t xml:space="preserve">Tabuľka č. </w:t>
      </w:r>
      <w:r w:rsidR="005D2E9C">
        <w:rPr>
          <w:rFonts w:ascii="Times New Roman" w:hAnsi="Times New Roman"/>
          <w:sz w:val="22"/>
          <w:szCs w:val="22"/>
        </w:rPr>
        <w:t>4</w:t>
      </w:r>
    </w:p>
    <w:tbl>
      <w:tblPr>
        <w:tblStyle w:val="TableNormal"/>
        <w:tblW w:w="13056" w:type="dxa"/>
        <w:tblInd w:w="93" w:type="dxa"/>
        <w:tblLook w:val="00A0"/>
      </w:tblPr>
      <w:tblGrid>
        <w:gridCol w:w="10"/>
        <w:gridCol w:w="998"/>
        <w:gridCol w:w="4110"/>
        <w:gridCol w:w="1572"/>
        <w:gridCol w:w="1559"/>
        <w:gridCol w:w="1560"/>
        <w:gridCol w:w="1559"/>
        <w:gridCol w:w="1688"/>
      </w:tblGrid>
      <w:tr>
        <w:tblPrEx>
          <w:tblW w:w="13056" w:type="dxa"/>
          <w:tblInd w:w="93" w:type="dxa"/>
          <w:tblLook w:val="00A0"/>
        </w:tblPrEx>
        <w:trPr>
          <w:gridBefore w:val="1"/>
          <w:wBefore w:w="10" w:type="dxa"/>
          <w:trHeight w:val="315"/>
        </w:trPr>
        <w:tc>
          <w:tcPr>
            <w:tcW w:w="998" w:type="dxa"/>
            <w:tcBorders>
              <w:top w:val="single" w:sz="4" w:space="0" w:color="auto"/>
              <w:left w:val="single" w:sz="4" w:space="0" w:color="auto"/>
              <w:bottom w:val="nil"/>
              <w:right w:val="nil"/>
            </w:tcBorders>
            <w:shd w:val="clear" w:color="000000" w:fill="000000"/>
            <w:noWrap/>
            <w:textDirection w:val="lrTb"/>
            <w:vAlign w:val="bottom"/>
          </w:tcPr>
          <w:p w:rsidR="00A231F2" w:rsidRPr="00267792" w:rsidP="00A231F2">
            <w:pPr>
              <w:bidi w:val="0"/>
              <w:spacing w:before="60" w:after="60"/>
              <w:rPr>
                <w:rFonts w:ascii="Times New Roman" w:hAnsi="Times New Roman"/>
                <w:b/>
                <w:bCs/>
                <w:color w:val="FFFFFF"/>
                <w:sz w:val="20"/>
                <w:szCs w:val="20"/>
                <w:lang w:eastAsia="en-US"/>
              </w:rPr>
            </w:pPr>
            <w:r w:rsidRPr="00267792">
              <w:rPr>
                <w:rFonts w:ascii="Times New Roman" w:hAnsi="Times New Roman"/>
                <w:b/>
                <w:bCs/>
                <w:color w:val="FFFFFF"/>
                <w:sz w:val="20"/>
                <w:szCs w:val="20"/>
                <w:lang w:eastAsia="en-US"/>
              </w:rPr>
              <w:t> </w:t>
            </w:r>
          </w:p>
        </w:tc>
        <w:tc>
          <w:tcPr>
            <w:tcW w:w="4110" w:type="dxa"/>
            <w:tcBorders>
              <w:top w:val="single" w:sz="4" w:space="0" w:color="auto"/>
              <w:left w:val="nil"/>
              <w:bottom w:val="nil"/>
              <w:right w:val="nil"/>
            </w:tcBorders>
            <w:shd w:val="clear" w:color="000000" w:fill="000000"/>
            <w:noWrap/>
            <w:textDirection w:val="lrTb"/>
            <w:vAlign w:val="bottom"/>
          </w:tcPr>
          <w:p w:rsidR="00A231F2" w:rsidRPr="00267792" w:rsidP="00A231F2">
            <w:pPr>
              <w:bidi w:val="0"/>
              <w:spacing w:before="60" w:after="60"/>
              <w:rPr>
                <w:rFonts w:ascii="Times New Roman" w:hAnsi="Times New Roman"/>
                <w:b/>
                <w:bCs/>
                <w:color w:val="FFFFFF"/>
                <w:sz w:val="20"/>
                <w:szCs w:val="20"/>
                <w:lang w:eastAsia="en-US"/>
              </w:rPr>
            </w:pPr>
            <w:r w:rsidRPr="00267792">
              <w:rPr>
                <w:rFonts w:ascii="Times New Roman" w:hAnsi="Times New Roman"/>
                <w:b/>
                <w:bCs/>
                <w:color w:val="FFFFFF"/>
                <w:sz w:val="20"/>
                <w:szCs w:val="20"/>
              </w:rPr>
              <w:t xml:space="preserve">Výdavky </w:t>
            </w:r>
            <w:r w:rsidRPr="00705F05">
              <w:rPr>
                <w:rFonts w:ascii="Times New Roman" w:hAnsi="Times New Roman"/>
                <w:b/>
                <w:bCs/>
                <w:color w:val="FFFFFF"/>
                <w:sz w:val="20"/>
                <w:szCs w:val="20"/>
              </w:rPr>
              <w:t>(</w:t>
            </w:r>
            <w:r>
              <w:rPr>
                <w:rFonts w:ascii="Times New Roman" w:hAnsi="Times New Roman"/>
                <w:b/>
                <w:bCs/>
                <w:color w:val="FFFFFF"/>
                <w:sz w:val="20"/>
                <w:szCs w:val="20"/>
              </w:rPr>
              <w:t xml:space="preserve">ESA 95, </w:t>
            </w:r>
            <w:r w:rsidRPr="00705F05">
              <w:rPr>
                <w:rFonts w:ascii="Times New Roman" w:hAnsi="Times New Roman"/>
                <w:b/>
                <w:bCs/>
                <w:color w:val="FFFFFF"/>
                <w:sz w:val="20"/>
                <w:szCs w:val="20"/>
              </w:rPr>
              <w:t>v eurách)</w:t>
            </w:r>
          </w:p>
        </w:tc>
        <w:tc>
          <w:tcPr>
            <w:tcW w:w="6250" w:type="dxa"/>
            <w:gridSpan w:val="4"/>
            <w:tcBorders>
              <w:top w:val="single" w:sz="4" w:space="0" w:color="auto"/>
              <w:left w:val="nil"/>
              <w:bottom w:val="nil"/>
              <w:right w:val="nil"/>
            </w:tcBorders>
            <w:shd w:val="clear" w:color="000000" w:fill="000000"/>
            <w:noWrap/>
            <w:textDirection w:val="lrTb"/>
            <w:vAlign w:val="bottom"/>
          </w:tcPr>
          <w:p w:rsidR="00A231F2" w:rsidRPr="00267792" w:rsidP="00A231F2">
            <w:pPr>
              <w:bidi w:val="0"/>
              <w:spacing w:before="120" w:after="120"/>
              <w:jc w:val="center"/>
              <w:rPr>
                <w:rFonts w:ascii="Times New Roman" w:hAnsi="Times New Roman"/>
                <w:b/>
                <w:bCs/>
                <w:color w:val="FFFFFF"/>
                <w:sz w:val="20"/>
                <w:szCs w:val="20"/>
                <w:lang w:eastAsia="en-US"/>
              </w:rPr>
            </w:pPr>
            <w:r w:rsidRPr="00267792">
              <w:rPr>
                <w:rFonts w:ascii="Times New Roman" w:hAnsi="Times New Roman"/>
                <w:b/>
                <w:bCs/>
                <w:color w:val="FFFFFF"/>
                <w:sz w:val="20"/>
                <w:szCs w:val="20"/>
              </w:rPr>
              <w:t>Vplyv na rozpočet verejnej správy</w:t>
            </w:r>
          </w:p>
        </w:tc>
        <w:tc>
          <w:tcPr>
            <w:tcW w:w="1688" w:type="dxa"/>
            <w:vMerge w:val="restart"/>
            <w:tcBorders>
              <w:top w:val="single" w:sz="4" w:space="0" w:color="auto"/>
              <w:left w:val="nil"/>
              <w:bottom w:val="none" w:sz="0" w:space="0" w:color="auto"/>
              <w:right w:val="nil"/>
            </w:tcBorders>
            <w:shd w:val="clear" w:color="000000" w:fill="000000"/>
            <w:textDirection w:val="lrTb"/>
            <w:vAlign w:val="center"/>
          </w:tcPr>
          <w:p w:rsidR="00A231F2" w:rsidRPr="00772706" w:rsidP="00A231F2">
            <w:pPr>
              <w:pStyle w:val="NormalWeb"/>
              <w:bidi w:val="0"/>
              <w:spacing w:before="60" w:beforeAutospacing="0" w:after="60" w:afterAutospacing="0"/>
              <w:jc w:val="center"/>
              <w:rPr>
                <w:rFonts w:ascii="Times New Roman" w:hAnsi="Times New Roman"/>
                <w:sz w:val="20"/>
                <w:szCs w:val="20"/>
              </w:rPr>
            </w:pPr>
            <w:r w:rsidRPr="00772706">
              <w:rPr>
                <w:rFonts w:ascii="Times New Roman" w:hAnsi="Times New Roman"/>
                <w:b/>
                <w:bCs/>
                <w:color w:val="FFFFFF"/>
                <w:sz w:val="20"/>
                <w:szCs w:val="20"/>
              </w:rPr>
              <w:t>Poznámka</w:t>
            </w:r>
          </w:p>
        </w:tc>
      </w:tr>
      <w:tr>
        <w:tblPrEx>
          <w:tblW w:w="13056" w:type="dxa"/>
          <w:tblInd w:w="93" w:type="dxa"/>
          <w:tblLook w:val="00A0"/>
        </w:tblPrEx>
        <w:trPr>
          <w:gridBefore w:val="1"/>
          <w:wBefore w:w="10" w:type="dxa"/>
          <w:trHeight w:val="315"/>
        </w:trPr>
        <w:tc>
          <w:tcPr>
            <w:tcW w:w="998" w:type="dxa"/>
            <w:tcBorders>
              <w:top w:val="nil"/>
              <w:left w:val="single" w:sz="4" w:space="0" w:color="auto"/>
              <w:bottom w:val="nil"/>
              <w:right w:val="nil"/>
            </w:tcBorders>
            <w:shd w:val="clear" w:color="000000" w:fill="000000"/>
            <w:noWrap/>
            <w:textDirection w:val="lrTb"/>
            <w:vAlign w:val="bottom"/>
          </w:tcPr>
          <w:p w:rsidR="00A231F2" w:rsidRPr="00267792" w:rsidP="00A231F2">
            <w:pPr>
              <w:bidi w:val="0"/>
              <w:spacing w:before="60" w:after="60"/>
              <w:rPr>
                <w:rFonts w:ascii="Times New Roman" w:hAnsi="Times New Roman"/>
                <w:b/>
                <w:bCs/>
                <w:color w:val="FFFFFF"/>
                <w:sz w:val="20"/>
                <w:szCs w:val="20"/>
                <w:lang w:eastAsia="en-US"/>
              </w:rPr>
            </w:pPr>
            <w:r w:rsidRPr="00267792">
              <w:rPr>
                <w:rFonts w:ascii="Times New Roman" w:hAnsi="Times New Roman"/>
                <w:b/>
                <w:bCs/>
                <w:color w:val="FFFFFF"/>
                <w:sz w:val="20"/>
                <w:szCs w:val="20"/>
                <w:lang w:eastAsia="en-US"/>
              </w:rPr>
              <w:t> </w:t>
            </w:r>
          </w:p>
        </w:tc>
        <w:tc>
          <w:tcPr>
            <w:tcW w:w="4110" w:type="dxa"/>
            <w:tcBorders>
              <w:top w:val="nil"/>
              <w:left w:val="nil"/>
              <w:bottom w:val="nil"/>
              <w:right w:val="nil"/>
            </w:tcBorders>
            <w:shd w:val="clear" w:color="000000" w:fill="000000"/>
            <w:noWrap/>
            <w:textDirection w:val="lrTb"/>
            <w:vAlign w:val="bottom"/>
          </w:tcPr>
          <w:p w:rsidR="00A231F2" w:rsidRPr="00267792" w:rsidP="00A231F2">
            <w:pPr>
              <w:bidi w:val="0"/>
              <w:spacing w:before="120" w:after="120"/>
              <w:rPr>
                <w:rFonts w:ascii="Times New Roman" w:hAnsi="Times New Roman"/>
                <w:b/>
                <w:bCs/>
                <w:color w:val="FFFFFF"/>
                <w:sz w:val="20"/>
                <w:szCs w:val="20"/>
                <w:u w:val="single"/>
                <w:lang w:eastAsia="en-US"/>
              </w:rPr>
            </w:pPr>
            <w:r w:rsidRPr="00267792">
              <w:rPr>
                <w:rFonts w:ascii="Times New Roman" w:hAnsi="Times New Roman"/>
                <w:b/>
                <w:bCs/>
                <w:color w:val="FFFFFF"/>
                <w:sz w:val="20"/>
                <w:szCs w:val="20"/>
                <w:u w:val="single"/>
                <w:lang w:eastAsia="en-US"/>
              </w:rPr>
              <w:t xml:space="preserve">Štátny rozpočet (MF SR) </w:t>
            </w:r>
          </w:p>
        </w:tc>
        <w:tc>
          <w:tcPr>
            <w:tcW w:w="1572" w:type="dxa"/>
            <w:tcBorders>
              <w:top w:val="nil"/>
              <w:left w:val="nil"/>
              <w:bottom w:val="nil"/>
              <w:right w:val="nil"/>
            </w:tcBorders>
            <w:shd w:val="clear" w:color="000000" w:fill="000000"/>
            <w:noWrap/>
            <w:textDirection w:val="lrTb"/>
            <w:vAlign w:val="bottom"/>
          </w:tcPr>
          <w:p w:rsidR="00A231F2" w:rsidRPr="00267792" w:rsidP="00A231F2">
            <w:pPr>
              <w:bidi w:val="0"/>
              <w:spacing w:before="120" w:after="120"/>
              <w:jc w:val="center"/>
              <w:rPr>
                <w:rFonts w:ascii="Times New Roman" w:hAnsi="Times New Roman"/>
                <w:b/>
                <w:bCs/>
                <w:color w:val="FFFFFF"/>
                <w:sz w:val="20"/>
                <w:szCs w:val="20"/>
                <w:lang w:eastAsia="en-US"/>
              </w:rPr>
            </w:pPr>
            <w:r w:rsidRPr="00267792">
              <w:rPr>
                <w:rFonts w:ascii="Times New Roman" w:hAnsi="Times New Roman"/>
                <w:b/>
                <w:bCs/>
                <w:color w:val="FFFFFF"/>
                <w:sz w:val="20"/>
                <w:szCs w:val="20"/>
                <w:lang w:eastAsia="en-US"/>
              </w:rPr>
              <w:t>2011</w:t>
            </w:r>
          </w:p>
        </w:tc>
        <w:tc>
          <w:tcPr>
            <w:tcW w:w="1559" w:type="dxa"/>
            <w:tcBorders>
              <w:top w:val="nil"/>
              <w:left w:val="nil"/>
              <w:bottom w:val="nil"/>
              <w:right w:val="nil"/>
            </w:tcBorders>
            <w:shd w:val="clear" w:color="000000" w:fill="000000"/>
            <w:noWrap/>
            <w:textDirection w:val="lrTb"/>
            <w:vAlign w:val="bottom"/>
          </w:tcPr>
          <w:p w:rsidR="00A231F2" w:rsidRPr="00267792" w:rsidP="00A231F2">
            <w:pPr>
              <w:bidi w:val="0"/>
              <w:spacing w:before="120" w:after="120"/>
              <w:jc w:val="center"/>
              <w:rPr>
                <w:rFonts w:ascii="Times New Roman" w:hAnsi="Times New Roman"/>
                <w:b/>
                <w:bCs/>
                <w:color w:val="FFFFFF"/>
                <w:sz w:val="20"/>
                <w:szCs w:val="20"/>
                <w:lang w:eastAsia="en-US"/>
              </w:rPr>
            </w:pPr>
            <w:r w:rsidRPr="00267792">
              <w:rPr>
                <w:rFonts w:ascii="Times New Roman" w:hAnsi="Times New Roman"/>
                <w:b/>
                <w:bCs/>
                <w:color w:val="FFFFFF"/>
                <w:sz w:val="20"/>
                <w:szCs w:val="20"/>
                <w:lang w:eastAsia="en-US"/>
              </w:rPr>
              <w:t>2012</w:t>
            </w:r>
          </w:p>
        </w:tc>
        <w:tc>
          <w:tcPr>
            <w:tcW w:w="1560" w:type="dxa"/>
            <w:tcBorders>
              <w:top w:val="nil"/>
              <w:left w:val="nil"/>
              <w:bottom w:val="nil"/>
              <w:right w:val="nil"/>
            </w:tcBorders>
            <w:shd w:val="clear" w:color="000000" w:fill="000000"/>
            <w:noWrap/>
            <w:textDirection w:val="lrTb"/>
            <w:vAlign w:val="bottom"/>
          </w:tcPr>
          <w:p w:rsidR="00A231F2" w:rsidRPr="00267792" w:rsidP="00A231F2">
            <w:pPr>
              <w:bidi w:val="0"/>
              <w:spacing w:before="120" w:after="120"/>
              <w:jc w:val="center"/>
              <w:rPr>
                <w:rFonts w:ascii="Times New Roman" w:hAnsi="Times New Roman"/>
                <w:b/>
                <w:bCs/>
                <w:color w:val="FFFFFF"/>
                <w:sz w:val="20"/>
                <w:szCs w:val="20"/>
                <w:lang w:eastAsia="en-US"/>
              </w:rPr>
            </w:pPr>
            <w:r w:rsidRPr="00267792">
              <w:rPr>
                <w:rFonts w:ascii="Times New Roman" w:hAnsi="Times New Roman"/>
                <w:b/>
                <w:bCs/>
                <w:color w:val="FFFFFF"/>
                <w:sz w:val="20"/>
                <w:szCs w:val="20"/>
                <w:lang w:eastAsia="en-US"/>
              </w:rPr>
              <w:t>2013</w:t>
            </w:r>
          </w:p>
        </w:tc>
        <w:tc>
          <w:tcPr>
            <w:tcW w:w="1559" w:type="dxa"/>
            <w:tcBorders>
              <w:top w:val="nil"/>
              <w:left w:val="nil"/>
              <w:bottom w:val="nil"/>
              <w:right w:val="nil"/>
            </w:tcBorders>
            <w:shd w:val="clear" w:color="000000" w:fill="000000"/>
            <w:noWrap/>
            <w:textDirection w:val="lrTb"/>
            <w:vAlign w:val="bottom"/>
          </w:tcPr>
          <w:p w:rsidR="00A231F2" w:rsidRPr="00772706" w:rsidP="00A231F2">
            <w:pPr>
              <w:bidi w:val="0"/>
              <w:spacing w:before="120" w:after="120"/>
              <w:jc w:val="center"/>
              <w:rPr>
                <w:rFonts w:ascii="Times New Roman" w:hAnsi="Times New Roman"/>
                <w:b/>
                <w:bCs/>
                <w:color w:val="FFFFFF"/>
                <w:sz w:val="20"/>
                <w:szCs w:val="20"/>
                <w:lang w:eastAsia="en-US"/>
              </w:rPr>
            </w:pPr>
            <w:r w:rsidRPr="00772706">
              <w:rPr>
                <w:rFonts w:ascii="Times New Roman" w:hAnsi="Times New Roman"/>
                <w:b/>
                <w:bCs/>
                <w:color w:val="FFFFFF"/>
                <w:sz w:val="20"/>
                <w:szCs w:val="20"/>
                <w:lang w:eastAsia="en-US"/>
              </w:rPr>
              <w:t>2014</w:t>
            </w:r>
          </w:p>
        </w:tc>
        <w:tc>
          <w:tcPr>
            <w:tcW w:w="1688" w:type="dxa"/>
            <w:vMerge/>
            <w:tcBorders>
              <w:top w:val="none" w:sz="0" w:space="0" w:color="auto"/>
              <w:left w:val="nil"/>
              <w:bottom w:val="nil"/>
              <w:right w:val="nil"/>
            </w:tcBorders>
            <w:shd w:val="clear" w:color="000000" w:fill="000000"/>
            <w:textDirection w:val="lrTb"/>
            <w:vAlign w:val="center"/>
          </w:tcPr>
          <w:p w:rsidR="00A231F2" w:rsidRPr="00772706" w:rsidP="00A231F2">
            <w:pPr>
              <w:bidi w:val="0"/>
              <w:spacing w:before="60" w:after="60"/>
              <w:rPr>
                <w:rFonts w:ascii="Times New Roman" w:hAnsi="Times New Roman"/>
                <w:sz w:val="20"/>
                <w:szCs w:val="20"/>
              </w:rPr>
            </w:pPr>
          </w:p>
        </w:tc>
      </w:tr>
      <w:tr>
        <w:tblPrEx>
          <w:tblW w:w="13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00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67792" w:rsidP="00A231F2">
            <w:pPr>
              <w:bidi w:val="0"/>
              <w:spacing w:before="60" w:after="60"/>
              <w:jc w:val="right"/>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600</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67792" w:rsidP="00A231F2">
            <w:pPr>
              <w:bidi w:val="0"/>
              <w:spacing w:before="60" w:after="60"/>
              <w:rPr>
                <w:rFonts w:ascii="Times New Roman" w:hAnsi="Times New Roman"/>
                <w:b/>
                <w:bCs/>
                <w:color w:val="000000"/>
                <w:sz w:val="20"/>
                <w:szCs w:val="20"/>
                <w:lang w:eastAsia="zh-CN"/>
              </w:rPr>
            </w:pPr>
            <w:r w:rsidRPr="0082023A">
              <w:rPr>
                <w:rFonts w:ascii="Times New Roman" w:hAnsi="Times New Roman"/>
                <w:b/>
                <w:bCs/>
                <w:color w:val="000000"/>
                <w:sz w:val="20"/>
                <w:szCs w:val="20"/>
                <w:lang w:eastAsia="zh-CN"/>
              </w:rPr>
              <w:t>Bežné výdavky</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67792"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67792"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1 670 434 233</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67792"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1 729 808 575</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67792"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1 849 773 453</w:t>
            </w:r>
          </w:p>
        </w:tc>
        <w:tc>
          <w:tcPr>
            <w:tcW w:w="1688" w:type="dxa"/>
            <w:vMerge w:val="restart"/>
            <w:tcBorders>
              <w:top w:val="single" w:sz="4" w:space="0" w:color="auto"/>
              <w:left w:val="single" w:sz="4" w:space="0" w:color="auto"/>
              <w:bottom w:val="single" w:sz="4" w:space="0" w:color="auto"/>
              <w:right w:val="single" w:sz="4" w:space="0" w:color="auto"/>
            </w:tcBorders>
            <w:textDirection w:val="lrTb"/>
            <w:vAlign w:val="top"/>
          </w:tcPr>
          <w:p w:rsidR="00B603A8" w:rsidRPr="00267792" w:rsidP="00A231F2">
            <w:pPr>
              <w:bidi w:val="0"/>
              <w:spacing w:before="60" w:after="60"/>
              <w:jc w:val="right"/>
              <w:rPr>
                <w:rFonts w:ascii="Times New Roman" w:hAnsi="Times New Roman"/>
                <w:b/>
                <w:bCs/>
                <w:color w:val="000000"/>
                <w:sz w:val="20"/>
                <w:szCs w:val="20"/>
                <w:lang w:eastAsia="zh-CN"/>
              </w:rPr>
            </w:pPr>
          </w:p>
        </w:tc>
      </w:tr>
      <w:tr>
        <w:tblPrEx>
          <w:tblW w:w="13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00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67792" w:rsidP="00A231F2">
            <w:pPr>
              <w:bidi w:val="0"/>
              <w:spacing w:before="60" w:after="60"/>
              <w:jc w:val="right"/>
              <w:rPr>
                <w:rFonts w:ascii="Times New Roman" w:hAnsi="Times New Roman"/>
                <w:b/>
                <w:bCs/>
                <w:color w:val="000000"/>
                <w:sz w:val="20"/>
                <w:szCs w:val="20"/>
                <w:lang w:eastAsia="zh-CN"/>
              </w:rPr>
            </w:pPr>
            <w:r w:rsidRPr="00772706">
              <w:rPr>
                <w:rFonts w:ascii="Times New Roman" w:hAnsi="Times New Roman"/>
                <w:color w:val="000000"/>
                <w:sz w:val="20"/>
                <w:szCs w:val="20"/>
                <w:lang w:eastAsia="zh-CN"/>
              </w:rPr>
              <w:t>640</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67792" w:rsidP="00A231F2">
            <w:pPr>
              <w:bidi w:val="0"/>
              <w:spacing w:before="60" w:after="60"/>
              <w:rPr>
                <w:rFonts w:ascii="Times New Roman" w:hAnsi="Times New Roman"/>
                <w:b/>
                <w:bCs/>
                <w:color w:val="000000"/>
                <w:sz w:val="20"/>
                <w:szCs w:val="20"/>
                <w:lang w:eastAsia="zh-CN"/>
              </w:rPr>
            </w:pPr>
            <w:r w:rsidRPr="00772706">
              <w:rPr>
                <w:rFonts w:ascii="Times New Roman" w:hAnsi="Times New Roman"/>
                <w:color w:val="000000"/>
                <w:sz w:val="20"/>
                <w:szCs w:val="20"/>
                <w:lang w:eastAsia="zh-CN"/>
              </w:rPr>
              <w:t>Bežné transfery</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67792"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67792"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1 670 434 233</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67792"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1 729 808 575</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67792"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1 849 773 453</w:t>
            </w:r>
          </w:p>
        </w:tc>
        <w:tc>
          <w:tcPr>
            <w:tcW w:w="1688" w:type="dxa"/>
            <w:vMerge/>
            <w:tcBorders>
              <w:top w:val="single" w:sz="4" w:space="0" w:color="auto"/>
              <w:left w:val="single" w:sz="4" w:space="0" w:color="auto"/>
              <w:bottom w:val="single" w:sz="4" w:space="0" w:color="auto"/>
              <w:right w:val="single" w:sz="4" w:space="0" w:color="auto"/>
            </w:tcBorders>
            <w:textDirection w:val="lrTb"/>
            <w:vAlign w:val="top"/>
          </w:tcPr>
          <w:p w:rsidR="00B603A8" w:rsidRPr="00772706" w:rsidP="00A231F2">
            <w:pPr>
              <w:bidi w:val="0"/>
              <w:spacing w:before="60" w:after="60"/>
              <w:jc w:val="right"/>
              <w:rPr>
                <w:rFonts w:ascii="Times New Roman" w:hAnsi="Times New Roman"/>
                <w:b/>
                <w:bCs/>
                <w:color w:val="000000"/>
                <w:sz w:val="20"/>
                <w:szCs w:val="20"/>
                <w:lang w:eastAsia="zh-CN"/>
              </w:rPr>
            </w:pPr>
          </w:p>
        </w:tc>
      </w:tr>
      <w:tr>
        <w:tblPrEx>
          <w:tblW w:w="13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00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67792"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641</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67792"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Transfery v rámci verejnej správy</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1 407 973 446</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1 466 826 825</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1 572 843 463</w:t>
            </w:r>
          </w:p>
        </w:tc>
        <w:tc>
          <w:tcPr>
            <w:tcW w:w="1688" w:type="dxa"/>
            <w:vMerge/>
            <w:tcBorders>
              <w:top w:val="single" w:sz="4" w:space="0" w:color="auto"/>
              <w:left w:val="single" w:sz="4" w:space="0" w:color="auto"/>
              <w:bottom w:val="single" w:sz="4" w:space="0" w:color="auto"/>
              <w:right w:val="single" w:sz="4" w:space="0" w:color="auto"/>
            </w:tcBorders>
            <w:textDirection w:val="lrTb"/>
            <w:vAlign w:val="top"/>
          </w:tcPr>
          <w:p w:rsidR="00B603A8" w:rsidRPr="00772706" w:rsidP="00A231F2">
            <w:pPr>
              <w:bidi w:val="0"/>
              <w:spacing w:before="60" w:after="60"/>
              <w:jc w:val="right"/>
              <w:rPr>
                <w:rFonts w:ascii="Times New Roman" w:hAnsi="Times New Roman"/>
                <w:color w:val="000000"/>
                <w:sz w:val="20"/>
                <w:szCs w:val="20"/>
                <w:lang w:eastAsia="zh-CN"/>
              </w:rPr>
            </w:pPr>
          </w:p>
        </w:tc>
      </w:tr>
      <w:tr>
        <w:tblPrEx>
          <w:tblW w:w="13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00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67792"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642</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67792"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Transfery jednotlivcom a neziskovým PO</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264 397 592</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267 113 495</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283 541 253</w:t>
            </w:r>
          </w:p>
        </w:tc>
        <w:tc>
          <w:tcPr>
            <w:tcW w:w="1688" w:type="dxa"/>
            <w:vMerge/>
            <w:tcBorders>
              <w:top w:val="single" w:sz="4" w:space="0" w:color="auto"/>
              <w:left w:val="single" w:sz="4" w:space="0" w:color="auto"/>
              <w:bottom w:val="single" w:sz="4" w:space="0" w:color="auto"/>
              <w:right w:val="single" w:sz="4" w:space="0" w:color="auto"/>
            </w:tcBorders>
            <w:textDirection w:val="lrTb"/>
            <w:vAlign w:val="top"/>
          </w:tcPr>
          <w:p w:rsidR="00B603A8" w:rsidRPr="00772706" w:rsidP="00A231F2">
            <w:pPr>
              <w:bidi w:val="0"/>
              <w:spacing w:before="60" w:after="60"/>
              <w:jc w:val="right"/>
              <w:rPr>
                <w:rFonts w:ascii="Times New Roman" w:hAnsi="Times New Roman"/>
                <w:color w:val="000000"/>
                <w:sz w:val="20"/>
                <w:szCs w:val="20"/>
                <w:lang w:eastAsia="zh-CN"/>
              </w:rPr>
            </w:pPr>
          </w:p>
        </w:tc>
      </w:tr>
      <w:tr>
        <w:tblPrEx>
          <w:tblW w:w="13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00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67792"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642031</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67792"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 xml:space="preserve">   - poistné platené štátom</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226 101 071</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237 849 857</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261 878 809</w:t>
            </w:r>
          </w:p>
        </w:tc>
        <w:tc>
          <w:tcPr>
            <w:tcW w:w="1688" w:type="dxa"/>
            <w:vMerge/>
            <w:tcBorders>
              <w:top w:val="single" w:sz="4" w:space="0" w:color="auto"/>
              <w:left w:val="single" w:sz="4" w:space="0" w:color="auto"/>
              <w:bottom w:val="single" w:sz="4" w:space="0" w:color="auto"/>
              <w:right w:val="single" w:sz="4" w:space="0" w:color="auto"/>
            </w:tcBorders>
            <w:textDirection w:val="lrTb"/>
            <w:vAlign w:val="top"/>
          </w:tcPr>
          <w:p w:rsidR="00B603A8" w:rsidRPr="00772706" w:rsidP="00A231F2">
            <w:pPr>
              <w:bidi w:val="0"/>
              <w:spacing w:before="60" w:after="60"/>
              <w:jc w:val="right"/>
              <w:rPr>
                <w:rFonts w:ascii="Times New Roman" w:hAnsi="Times New Roman"/>
                <w:color w:val="000000"/>
                <w:sz w:val="20"/>
                <w:szCs w:val="20"/>
                <w:lang w:eastAsia="zh-CN"/>
              </w:rPr>
            </w:pPr>
          </w:p>
        </w:tc>
      </w:tr>
      <w:tr>
        <w:tblPrEx>
          <w:tblW w:w="13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00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772706" w:rsidP="00A231F2">
            <w:pPr>
              <w:bidi w:val="0"/>
              <w:spacing w:before="60" w:after="60"/>
              <w:jc w:val="right"/>
              <w:rPr>
                <w:rFonts w:ascii="Times New Roman" w:hAnsi="Times New Roman"/>
                <w:color w:val="000000"/>
                <w:sz w:val="20"/>
                <w:szCs w:val="20"/>
                <w:lang w:eastAsia="zh-CN"/>
              </w:rPr>
            </w:pP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 xml:space="preserve">      - z toho:</w:t>
            </w:r>
            <w:r>
              <w:rPr>
                <w:rFonts w:ascii="Times New Roman" w:hAnsi="Times New Roman"/>
                <w:color w:val="000000"/>
                <w:sz w:val="20"/>
                <w:szCs w:val="20"/>
                <w:lang w:eastAsia="zh-CN"/>
              </w:rPr>
              <w:t xml:space="preserve"> sociálne poistenie</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-48 658 733</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-51 359 726</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-54 710 331</w:t>
            </w:r>
          </w:p>
        </w:tc>
        <w:tc>
          <w:tcPr>
            <w:tcW w:w="1688" w:type="dxa"/>
            <w:vMerge/>
            <w:tcBorders>
              <w:top w:val="single" w:sz="4" w:space="0" w:color="auto"/>
              <w:left w:val="single" w:sz="4" w:space="0" w:color="auto"/>
              <w:bottom w:val="single" w:sz="4" w:space="0" w:color="auto"/>
              <w:right w:val="single" w:sz="4" w:space="0" w:color="auto"/>
            </w:tcBorders>
            <w:textDirection w:val="lrTb"/>
            <w:vAlign w:val="top"/>
          </w:tcPr>
          <w:p w:rsidR="007D1EE8" w:rsidRPr="00772706" w:rsidP="00A231F2">
            <w:pPr>
              <w:bidi w:val="0"/>
              <w:spacing w:before="60" w:after="60"/>
              <w:jc w:val="right"/>
              <w:rPr>
                <w:rFonts w:ascii="Times New Roman" w:hAnsi="Times New Roman"/>
                <w:color w:val="000000"/>
                <w:sz w:val="20"/>
                <w:szCs w:val="20"/>
                <w:lang w:eastAsia="zh-CN"/>
              </w:rPr>
            </w:pPr>
          </w:p>
        </w:tc>
      </w:tr>
      <w:tr>
        <w:tblPrEx>
          <w:tblW w:w="13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00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772706" w:rsidP="00A231F2">
            <w:pPr>
              <w:bidi w:val="0"/>
              <w:spacing w:before="60" w:after="60"/>
              <w:jc w:val="right"/>
              <w:rPr>
                <w:rFonts w:ascii="Times New Roman" w:hAnsi="Times New Roman"/>
                <w:color w:val="000000"/>
                <w:sz w:val="20"/>
                <w:szCs w:val="20"/>
                <w:lang w:eastAsia="zh-CN"/>
              </w:rPr>
            </w:pP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A86C7E" w:rsidP="00A231F2">
            <w:pPr>
              <w:bidi w:val="0"/>
              <w:spacing w:before="60" w:after="60"/>
              <w:rPr>
                <w:rFonts w:ascii="Times New Roman" w:hAnsi="Times New Roman"/>
                <w:color w:val="000000"/>
                <w:sz w:val="20"/>
                <w:szCs w:val="20"/>
                <w:lang w:eastAsia="zh-CN"/>
              </w:rPr>
            </w:pPr>
            <w:r w:rsidRPr="00A86C7E">
              <w:rPr>
                <w:rFonts w:ascii="Times New Roman" w:hAnsi="Times New Roman"/>
                <w:color w:val="000000"/>
                <w:sz w:val="20"/>
                <w:szCs w:val="20"/>
                <w:lang w:eastAsia="zh-CN"/>
              </w:rPr>
              <w:t xml:space="preserve">      - z toho: zdravotné poistenie</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274 759 804</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289 209 583</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316 589 140</w:t>
            </w:r>
          </w:p>
        </w:tc>
        <w:tc>
          <w:tcPr>
            <w:tcW w:w="1688" w:type="dxa"/>
            <w:vMerge/>
            <w:tcBorders>
              <w:top w:val="single" w:sz="4" w:space="0" w:color="auto"/>
              <w:left w:val="single" w:sz="4" w:space="0" w:color="auto"/>
              <w:bottom w:val="single" w:sz="4" w:space="0" w:color="auto"/>
              <w:right w:val="single" w:sz="4" w:space="0" w:color="auto"/>
            </w:tcBorders>
            <w:textDirection w:val="lrTb"/>
            <w:vAlign w:val="top"/>
          </w:tcPr>
          <w:p w:rsidR="00B603A8" w:rsidRPr="00772706" w:rsidP="00A231F2">
            <w:pPr>
              <w:bidi w:val="0"/>
              <w:spacing w:before="60" w:after="60"/>
              <w:jc w:val="right"/>
              <w:rPr>
                <w:rFonts w:ascii="Times New Roman" w:hAnsi="Times New Roman"/>
                <w:color w:val="000000"/>
                <w:sz w:val="20"/>
                <w:szCs w:val="20"/>
                <w:lang w:eastAsia="zh-CN"/>
              </w:rPr>
            </w:pPr>
          </w:p>
        </w:tc>
      </w:tr>
      <w:tr>
        <w:tblPrEx>
          <w:tblW w:w="13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00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772706" w:rsidP="00A231F2">
            <w:pPr>
              <w:bidi w:val="0"/>
              <w:spacing w:before="60" w:after="60"/>
              <w:jc w:val="right"/>
              <w:rPr>
                <w:rFonts w:ascii="Times New Roman" w:hAnsi="Times New Roman"/>
                <w:color w:val="000000"/>
                <w:sz w:val="20"/>
                <w:szCs w:val="20"/>
                <w:lang w:eastAsia="zh-CN"/>
              </w:rPr>
            </w:pP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A86C7E" w:rsidP="00A231F2">
            <w:pPr>
              <w:bidi w:val="0"/>
              <w:spacing w:before="60" w:after="60"/>
              <w:rPr>
                <w:rFonts w:ascii="Times New Roman" w:hAnsi="Times New Roman"/>
                <w:color w:val="000000"/>
                <w:sz w:val="20"/>
                <w:szCs w:val="20"/>
                <w:lang w:eastAsia="zh-CN"/>
              </w:rPr>
            </w:pPr>
            <w:r w:rsidRPr="00A86C7E">
              <w:rPr>
                <w:rFonts w:ascii="Times New Roman" w:hAnsi="Times New Roman"/>
                <w:color w:val="000000"/>
                <w:sz w:val="20"/>
                <w:szCs w:val="20"/>
                <w:lang w:eastAsia="zh-CN"/>
              </w:rPr>
              <w:t xml:space="preserve">   - iné transfery</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-9 065 172</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-20 139 482</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-30 161 768</w:t>
            </w:r>
          </w:p>
        </w:tc>
        <w:tc>
          <w:tcPr>
            <w:tcW w:w="1688" w:type="dxa"/>
            <w:vMerge/>
            <w:tcBorders>
              <w:top w:val="single" w:sz="4" w:space="0" w:color="auto"/>
              <w:left w:val="single" w:sz="4" w:space="0" w:color="auto"/>
              <w:bottom w:val="single" w:sz="4" w:space="0" w:color="auto"/>
              <w:right w:val="single" w:sz="4" w:space="0" w:color="auto"/>
            </w:tcBorders>
            <w:textDirection w:val="lrTb"/>
            <w:vAlign w:val="top"/>
          </w:tcPr>
          <w:p w:rsidR="007D1EE8" w:rsidRPr="00772706" w:rsidP="00A231F2">
            <w:pPr>
              <w:bidi w:val="0"/>
              <w:spacing w:before="60" w:after="60"/>
              <w:jc w:val="right"/>
              <w:rPr>
                <w:rFonts w:ascii="Times New Roman" w:hAnsi="Times New Roman"/>
                <w:color w:val="000000"/>
                <w:sz w:val="20"/>
                <w:szCs w:val="20"/>
                <w:lang w:eastAsia="zh-CN"/>
              </w:rPr>
            </w:pPr>
          </w:p>
        </w:tc>
      </w:tr>
      <w:tr>
        <w:tblPrEx>
          <w:tblW w:w="13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00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642042</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A86C7E" w:rsidP="00A231F2">
            <w:pPr>
              <w:bidi w:val="0"/>
              <w:spacing w:before="60" w:after="60"/>
              <w:rPr>
                <w:rFonts w:ascii="Times New Roman" w:hAnsi="Times New Roman"/>
                <w:color w:val="000000"/>
                <w:sz w:val="20"/>
                <w:szCs w:val="20"/>
                <w:lang w:eastAsia="zh-CN"/>
              </w:rPr>
            </w:pPr>
            <w:r w:rsidRPr="00A86C7E">
              <w:rPr>
                <w:rFonts w:ascii="Times New Roman" w:hAnsi="Times New Roman"/>
                <w:color w:val="000000"/>
                <w:sz w:val="20"/>
                <w:szCs w:val="20"/>
                <w:lang w:eastAsia="zh-CN"/>
              </w:rPr>
              <w:t xml:space="preserve">          - nesystémové dávky - valorizácia</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-447 158</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-1 140 297</w:t>
            </w:r>
          </w:p>
        </w:tc>
        <w:tc>
          <w:tcPr>
            <w:tcW w:w="1688" w:type="dxa"/>
            <w:vMerge/>
            <w:tcBorders>
              <w:top w:val="single" w:sz="4" w:space="0" w:color="auto"/>
              <w:left w:val="single" w:sz="4" w:space="0" w:color="auto"/>
              <w:bottom w:val="single" w:sz="4" w:space="0" w:color="auto"/>
              <w:right w:val="single" w:sz="4" w:space="0" w:color="auto"/>
            </w:tcBorders>
            <w:textDirection w:val="lrTb"/>
            <w:vAlign w:val="top"/>
          </w:tcPr>
          <w:p w:rsidR="007D1EE8" w:rsidRPr="00772706" w:rsidP="00A231F2">
            <w:pPr>
              <w:bidi w:val="0"/>
              <w:spacing w:before="60" w:after="60"/>
              <w:jc w:val="right"/>
              <w:rPr>
                <w:rFonts w:ascii="Times New Roman" w:hAnsi="Times New Roman"/>
                <w:color w:val="000000"/>
                <w:sz w:val="20"/>
                <w:szCs w:val="20"/>
                <w:lang w:eastAsia="zh-CN"/>
              </w:rPr>
            </w:pPr>
          </w:p>
        </w:tc>
      </w:tr>
      <w:tr>
        <w:tblPrEx>
          <w:tblW w:w="13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00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642041</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A86C7E" w:rsidP="00A231F2">
            <w:pPr>
              <w:bidi w:val="0"/>
              <w:spacing w:before="60" w:after="60"/>
              <w:rPr>
                <w:rFonts w:ascii="Times New Roman" w:hAnsi="Times New Roman"/>
                <w:color w:val="000000"/>
                <w:sz w:val="20"/>
                <w:szCs w:val="20"/>
                <w:lang w:eastAsia="zh-CN"/>
              </w:rPr>
            </w:pPr>
            <w:r w:rsidRPr="00A86C7E">
              <w:rPr>
                <w:rFonts w:ascii="Times New Roman" w:hAnsi="Times New Roman"/>
                <w:color w:val="000000"/>
                <w:sz w:val="20"/>
                <w:szCs w:val="20"/>
                <w:lang w:eastAsia="zh-CN"/>
              </w:rPr>
              <w:t xml:space="preserve">          - úspora na rodičovskom príspevku</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-9 231 310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-19 868 430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-29 209 200</w:t>
            </w:r>
          </w:p>
        </w:tc>
        <w:tc>
          <w:tcPr>
            <w:tcW w:w="1688" w:type="dxa"/>
            <w:vMerge/>
            <w:tcBorders>
              <w:top w:val="single" w:sz="4" w:space="0" w:color="auto"/>
              <w:left w:val="single" w:sz="4" w:space="0" w:color="auto"/>
              <w:bottom w:val="single" w:sz="4" w:space="0" w:color="auto"/>
              <w:right w:val="single" w:sz="4" w:space="0" w:color="auto"/>
            </w:tcBorders>
            <w:textDirection w:val="lrTb"/>
            <w:vAlign w:val="top"/>
          </w:tcPr>
          <w:p w:rsidR="007D1EE8" w:rsidRPr="00772706" w:rsidP="00A231F2">
            <w:pPr>
              <w:bidi w:val="0"/>
              <w:spacing w:before="60" w:after="60"/>
              <w:jc w:val="right"/>
              <w:rPr>
                <w:rFonts w:ascii="Times New Roman" w:hAnsi="Times New Roman"/>
                <w:color w:val="000000"/>
                <w:sz w:val="20"/>
                <w:szCs w:val="20"/>
                <w:lang w:eastAsia="zh-CN"/>
              </w:rPr>
            </w:pPr>
          </w:p>
        </w:tc>
      </w:tr>
      <w:tr>
        <w:tblPrEx>
          <w:tblW w:w="13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00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b/>
                <w:bCs/>
                <w:color w:val="000000"/>
                <w:sz w:val="20"/>
                <w:szCs w:val="20"/>
                <w:lang w:eastAsia="zh-CN"/>
              </w:rPr>
            </w:pPr>
            <w:r w:rsidRPr="00772706">
              <w:rPr>
                <w:rFonts w:ascii="Times New Roman" w:hAnsi="Times New Roman"/>
                <w:color w:val="000000"/>
                <w:sz w:val="20"/>
                <w:szCs w:val="20"/>
                <w:lang w:eastAsia="zh-CN"/>
              </w:rPr>
              <w:t>642008</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A86C7E" w:rsidP="00A231F2">
            <w:pPr>
              <w:bidi w:val="0"/>
              <w:spacing w:before="60" w:after="60"/>
              <w:rPr>
                <w:rFonts w:ascii="Times New Roman" w:hAnsi="Times New Roman"/>
                <w:b/>
                <w:bCs/>
                <w:color w:val="000000"/>
                <w:sz w:val="20"/>
                <w:szCs w:val="20"/>
                <w:lang w:eastAsia="zh-CN"/>
              </w:rPr>
            </w:pPr>
            <w:r w:rsidRPr="00A86C7E">
              <w:rPr>
                <w:rFonts w:ascii="Times New Roman" w:hAnsi="Times New Roman"/>
                <w:color w:val="000000"/>
                <w:sz w:val="20"/>
                <w:szCs w:val="20"/>
                <w:lang w:eastAsia="zh-CN"/>
              </w:rPr>
              <w:t xml:space="preserve">          - materské - osobitný systém</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166 138</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176 106</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187 729</w:t>
            </w:r>
          </w:p>
        </w:tc>
        <w:tc>
          <w:tcPr>
            <w:tcW w:w="1688" w:type="dxa"/>
            <w:vMerge/>
            <w:tcBorders>
              <w:top w:val="single" w:sz="4" w:space="0" w:color="auto"/>
              <w:left w:val="single" w:sz="4" w:space="0" w:color="auto"/>
              <w:bottom w:val="single" w:sz="4" w:space="0" w:color="auto"/>
              <w:right w:val="single" w:sz="4" w:space="0" w:color="auto"/>
            </w:tcBorders>
            <w:textDirection w:val="lrTb"/>
            <w:vAlign w:val="top"/>
          </w:tcPr>
          <w:p w:rsidR="007D1EE8" w:rsidRPr="00772706" w:rsidP="00A231F2">
            <w:pPr>
              <w:bidi w:val="0"/>
              <w:spacing w:before="60" w:after="60"/>
              <w:jc w:val="right"/>
              <w:rPr>
                <w:rFonts w:ascii="Times New Roman" w:hAnsi="Times New Roman"/>
                <w:b/>
                <w:bCs/>
                <w:color w:val="000000"/>
                <w:sz w:val="20"/>
                <w:szCs w:val="20"/>
                <w:lang w:eastAsia="zh-CN"/>
              </w:rPr>
            </w:pPr>
          </w:p>
        </w:tc>
      </w:tr>
      <w:tr>
        <w:tblPrEx>
          <w:tblW w:w="13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00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b/>
                <w:bCs/>
                <w:color w:val="000000"/>
                <w:sz w:val="20"/>
                <w:szCs w:val="20"/>
                <w:lang w:eastAsia="zh-CN"/>
              </w:rPr>
            </w:pPr>
            <w:r w:rsidRPr="00772706">
              <w:rPr>
                <w:rFonts w:ascii="Times New Roman" w:hAnsi="Times New Roman"/>
                <w:color w:val="000000"/>
                <w:sz w:val="20"/>
                <w:szCs w:val="20"/>
                <w:lang w:eastAsia="zh-CN"/>
              </w:rPr>
              <w:t>642018</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A86C7E" w:rsidP="00A231F2">
            <w:pPr>
              <w:bidi w:val="0"/>
              <w:spacing w:before="60" w:after="60"/>
              <w:rPr>
                <w:rFonts w:ascii="Times New Roman" w:hAnsi="Times New Roman"/>
                <w:b/>
                <w:bCs/>
                <w:color w:val="000000"/>
                <w:sz w:val="20"/>
                <w:szCs w:val="20"/>
                <w:lang w:eastAsia="zh-CN"/>
              </w:rPr>
            </w:pPr>
            <w:r w:rsidRPr="00A86C7E">
              <w:rPr>
                <w:rFonts w:ascii="Times New Roman" w:hAnsi="Times New Roman"/>
                <w:color w:val="000000"/>
                <w:sz w:val="20"/>
                <w:szCs w:val="20"/>
                <w:lang w:eastAsia="zh-CN"/>
              </w:rPr>
              <w:t xml:space="preserve">   - na garančnú dávku</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48 099 000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50 976 000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54 341 000</w:t>
            </w:r>
          </w:p>
        </w:tc>
        <w:tc>
          <w:tcPr>
            <w:tcW w:w="1688" w:type="dxa"/>
            <w:vMerge/>
            <w:tcBorders>
              <w:top w:val="single" w:sz="4" w:space="0" w:color="auto"/>
              <w:left w:val="single" w:sz="4" w:space="0" w:color="auto"/>
              <w:bottom w:val="single" w:sz="4" w:space="0" w:color="auto"/>
              <w:right w:val="single" w:sz="4" w:space="0" w:color="auto"/>
            </w:tcBorders>
            <w:textDirection w:val="lrTb"/>
            <w:vAlign w:val="top"/>
          </w:tcPr>
          <w:p w:rsidR="007D1EE8" w:rsidRPr="00772706" w:rsidP="00A231F2">
            <w:pPr>
              <w:bidi w:val="0"/>
              <w:spacing w:before="60" w:after="60"/>
              <w:jc w:val="right"/>
              <w:rPr>
                <w:rFonts w:ascii="Times New Roman" w:hAnsi="Times New Roman"/>
                <w:b/>
                <w:bCs/>
                <w:color w:val="000000"/>
                <w:sz w:val="20"/>
                <w:szCs w:val="20"/>
                <w:lang w:eastAsia="zh-CN"/>
              </w:rPr>
            </w:pPr>
          </w:p>
        </w:tc>
      </w:tr>
      <w:tr>
        <w:tblPrEx>
          <w:tblW w:w="13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00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b/>
                <w:bCs/>
                <w:color w:val="000000"/>
                <w:sz w:val="20"/>
                <w:szCs w:val="20"/>
                <w:lang w:eastAsia="zh-CN"/>
              </w:rPr>
            </w:pPr>
            <w:r w:rsidRPr="00772706">
              <w:rPr>
                <w:rFonts w:ascii="Times New Roman" w:hAnsi="Times New Roman"/>
                <w:color w:val="000000"/>
                <w:sz w:val="20"/>
                <w:szCs w:val="20"/>
                <w:lang w:eastAsia="zh-CN"/>
              </w:rPr>
              <w:t>642032</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A86C7E" w:rsidP="00A231F2">
            <w:pPr>
              <w:bidi w:val="0"/>
              <w:spacing w:before="60" w:after="60"/>
              <w:rPr>
                <w:rFonts w:ascii="Times New Roman" w:hAnsi="Times New Roman"/>
                <w:b/>
                <w:bCs/>
                <w:color w:val="000000"/>
                <w:sz w:val="20"/>
                <w:szCs w:val="20"/>
                <w:lang w:eastAsia="zh-CN"/>
              </w:rPr>
            </w:pPr>
            <w:r w:rsidRPr="00A86C7E">
              <w:rPr>
                <w:rFonts w:ascii="Times New Roman" w:hAnsi="Times New Roman"/>
                <w:color w:val="000000"/>
                <w:sz w:val="20"/>
                <w:szCs w:val="20"/>
                <w:lang w:eastAsia="zh-CN"/>
              </w:rPr>
              <w:t xml:space="preserve">   - zrušenie príspevku o službách zamest. (§50a, zmena základne pre príspevky)</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-737 307</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-1 572 880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-2 516 788</w:t>
            </w:r>
          </w:p>
        </w:tc>
        <w:tc>
          <w:tcPr>
            <w:tcW w:w="1688" w:type="dxa"/>
            <w:vMerge/>
            <w:tcBorders>
              <w:top w:val="single" w:sz="4" w:space="0" w:color="auto"/>
              <w:left w:val="single" w:sz="4" w:space="0" w:color="auto"/>
              <w:bottom w:val="single" w:sz="4" w:space="0" w:color="auto"/>
              <w:right w:val="single" w:sz="4" w:space="0" w:color="auto"/>
            </w:tcBorders>
            <w:textDirection w:val="lrTb"/>
            <w:vAlign w:val="top"/>
          </w:tcPr>
          <w:p w:rsidR="007D1EE8" w:rsidRPr="00772706" w:rsidP="00A231F2">
            <w:pPr>
              <w:bidi w:val="0"/>
              <w:spacing w:before="60" w:after="60"/>
              <w:jc w:val="right"/>
              <w:rPr>
                <w:rFonts w:ascii="Times New Roman" w:hAnsi="Times New Roman"/>
                <w:b/>
                <w:bCs/>
                <w:color w:val="000000"/>
                <w:sz w:val="20"/>
                <w:szCs w:val="20"/>
                <w:lang w:eastAsia="zh-CN"/>
              </w:rPr>
            </w:pPr>
          </w:p>
        </w:tc>
      </w:tr>
      <w:tr>
        <w:tblPrEx>
          <w:tblW w:w="13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00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b/>
                <w:bCs/>
                <w:color w:val="000000"/>
                <w:sz w:val="20"/>
                <w:szCs w:val="20"/>
                <w:lang w:eastAsia="zh-CN"/>
              </w:rPr>
            </w:pPr>
            <w:r w:rsidRPr="00772706">
              <w:rPr>
                <w:rFonts w:ascii="Times New Roman" w:hAnsi="Times New Roman"/>
                <w:color w:val="000000"/>
                <w:sz w:val="20"/>
                <w:szCs w:val="20"/>
                <w:lang w:eastAsia="zh-CN"/>
              </w:rPr>
              <w:t>644</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A86C7E" w:rsidP="00A231F2">
            <w:pPr>
              <w:bidi w:val="0"/>
              <w:spacing w:before="60" w:after="60"/>
              <w:rPr>
                <w:rFonts w:ascii="Times New Roman" w:hAnsi="Times New Roman"/>
                <w:b/>
                <w:bCs/>
                <w:color w:val="000000"/>
                <w:sz w:val="20"/>
                <w:szCs w:val="20"/>
                <w:lang w:eastAsia="zh-CN"/>
              </w:rPr>
            </w:pPr>
            <w:r w:rsidRPr="00A86C7E">
              <w:rPr>
                <w:rFonts w:ascii="Times New Roman" w:hAnsi="Times New Roman"/>
                <w:color w:val="000000"/>
                <w:sz w:val="20"/>
                <w:szCs w:val="20"/>
                <w:lang w:eastAsia="zh-CN"/>
              </w:rPr>
              <w:t>Transfery nefinančným subjektom</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-1 936 805</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-4 131 745</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-6 611 263</w:t>
            </w:r>
          </w:p>
        </w:tc>
        <w:tc>
          <w:tcPr>
            <w:tcW w:w="1688" w:type="dxa"/>
            <w:vMerge/>
            <w:tcBorders>
              <w:top w:val="single" w:sz="4" w:space="0" w:color="auto"/>
              <w:left w:val="single" w:sz="4" w:space="0" w:color="auto"/>
              <w:bottom w:val="single" w:sz="4" w:space="0" w:color="auto"/>
              <w:right w:val="single" w:sz="4" w:space="0" w:color="auto"/>
            </w:tcBorders>
            <w:textDirection w:val="lrTb"/>
            <w:vAlign w:val="top"/>
          </w:tcPr>
          <w:p w:rsidR="007D1EE8" w:rsidRPr="00772706" w:rsidP="00A231F2">
            <w:pPr>
              <w:bidi w:val="0"/>
              <w:spacing w:before="60" w:after="60"/>
              <w:jc w:val="right"/>
              <w:rPr>
                <w:rFonts w:ascii="Times New Roman" w:hAnsi="Times New Roman"/>
                <w:b/>
                <w:bCs/>
                <w:color w:val="000000"/>
                <w:sz w:val="20"/>
                <w:szCs w:val="20"/>
                <w:lang w:eastAsia="zh-CN"/>
              </w:rPr>
            </w:pPr>
          </w:p>
        </w:tc>
      </w:tr>
      <w:tr>
        <w:tblPrEx>
          <w:tblW w:w="13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00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644002</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A86C7E" w:rsidP="00A231F2">
            <w:pPr>
              <w:bidi w:val="0"/>
              <w:spacing w:before="60" w:after="60"/>
              <w:rPr>
                <w:rFonts w:ascii="Times New Roman" w:hAnsi="Times New Roman"/>
                <w:color w:val="000000"/>
                <w:sz w:val="20"/>
                <w:szCs w:val="20"/>
                <w:lang w:eastAsia="zh-CN"/>
              </w:rPr>
            </w:pPr>
            <w:r w:rsidRPr="00A86C7E">
              <w:rPr>
                <w:rFonts w:ascii="Times New Roman" w:hAnsi="Times New Roman"/>
                <w:color w:val="000000"/>
                <w:sz w:val="20"/>
                <w:szCs w:val="20"/>
                <w:lang w:eastAsia="zh-CN"/>
              </w:rPr>
              <w:t xml:space="preserve">   - zrušenie príspevku o službách zamest. (§50a, zmena základe pre príspevky)</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-1 936 805</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-4 131 745</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7D1EE8" w:rsidRPr="0026779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-6 611 263</w:t>
            </w:r>
          </w:p>
        </w:tc>
        <w:tc>
          <w:tcPr>
            <w:tcW w:w="1688" w:type="dxa"/>
            <w:vMerge/>
            <w:tcBorders>
              <w:top w:val="single" w:sz="4" w:space="0" w:color="auto"/>
              <w:left w:val="single" w:sz="4" w:space="0" w:color="auto"/>
              <w:bottom w:val="single" w:sz="4" w:space="0" w:color="auto"/>
              <w:right w:val="single" w:sz="4" w:space="0" w:color="auto"/>
            </w:tcBorders>
            <w:textDirection w:val="lrTb"/>
            <w:vAlign w:val="top"/>
          </w:tcPr>
          <w:p w:rsidR="007D1EE8" w:rsidRPr="00772706" w:rsidP="00A231F2">
            <w:pPr>
              <w:bidi w:val="0"/>
              <w:spacing w:before="60" w:after="60"/>
              <w:jc w:val="right"/>
              <w:rPr>
                <w:rFonts w:ascii="Times New Roman" w:hAnsi="Times New Roman"/>
                <w:color w:val="000000"/>
                <w:sz w:val="20"/>
                <w:szCs w:val="20"/>
                <w:lang w:eastAsia="zh-CN"/>
              </w:rPr>
            </w:pPr>
          </w:p>
        </w:tc>
      </w:tr>
    </w:tbl>
    <w:p w:rsidR="00F62085" w:rsidP="00F62085">
      <w:pPr>
        <w:pStyle w:val="NormalWeb"/>
        <w:bidi w:val="0"/>
        <w:spacing w:before="0" w:beforeAutospacing="0" w:after="120" w:afterAutospacing="0"/>
        <w:ind w:right="190"/>
        <w:jc w:val="both"/>
        <w:rPr>
          <w:rFonts w:ascii="Times New Roman" w:hAnsi="Times New Roman"/>
          <w:b/>
          <w:bCs/>
        </w:rPr>
      </w:pPr>
    </w:p>
    <w:p w:rsidR="003E1DF8" w:rsidP="00F62085">
      <w:pPr>
        <w:pStyle w:val="NormalWeb"/>
        <w:bidi w:val="0"/>
        <w:spacing w:before="0" w:beforeAutospacing="0" w:after="120" w:afterAutospacing="0"/>
        <w:ind w:right="190"/>
        <w:jc w:val="both"/>
        <w:rPr>
          <w:rFonts w:ascii="Times New Roman" w:hAnsi="Times New Roman"/>
          <w:b/>
          <w:bCs/>
        </w:rPr>
        <w:sectPr w:rsidSect="00A86C7E">
          <w:pgSz w:w="16838" w:h="11906" w:orient="landscape" w:code="9"/>
          <w:pgMar w:top="1418" w:right="1134" w:bottom="1418" w:left="992" w:header="709" w:footer="709" w:gutter="0"/>
          <w:lnNumType w:distance="0"/>
          <w:pgNumType w:start="0"/>
          <w:cols w:space="708"/>
          <w:noEndnote w:val="0"/>
          <w:titlePg/>
          <w:bidi w:val="0"/>
          <w:docGrid w:linePitch="360"/>
        </w:sectPr>
      </w:pPr>
    </w:p>
    <w:p w:rsidR="003E1DF8" w:rsidP="00F62085">
      <w:pPr>
        <w:pStyle w:val="NormalWeb"/>
        <w:bidi w:val="0"/>
        <w:spacing w:before="0" w:beforeAutospacing="0" w:after="120" w:afterAutospacing="0"/>
        <w:ind w:right="190"/>
        <w:jc w:val="both"/>
        <w:rPr>
          <w:rFonts w:ascii="Times New Roman" w:hAnsi="Times New Roman"/>
          <w:b/>
          <w:bCs/>
        </w:rPr>
      </w:pPr>
    </w:p>
    <w:p w:rsidR="00722BA0" w:rsidP="00A86C7E">
      <w:pPr>
        <w:pStyle w:val="NormalWeb"/>
        <w:bidi w:val="0"/>
        <w:spacing w:before="0" w:beforeAutospacing="0" w:after="120" w:afterAutospacing="0"/>
        <w:ind w:right="190"/>
        <w:jc w:val="both"/>
        <w:rPr>
          <w:rFonts w:ascii="Times New Roman" w:hAnsi="Times New Roman"/>
          <w:b/>
          <w:bCs/>
        </w:rPr>
      </w:pPr>
    </w:p>
    <w:p w:rsidR="00D05D12" w:rsidP="00A86C7E">
      <w:pPr>
        <w:pStyle w:val="NormalWeb"/>
        <w:bidi w:val="0"/>
        <w:spacing w:before="0" w:beforeAutospacing="0" w:after="120" w:afterAutospacing="0"/>
        <w:ind w:right="190"/>
        <w:jc w:val="both"/>
        <w:rPr>
          <w:rFonts w:ascii="Times New Roman" w:hAnsi="Times New Roman"/>
          <w:b/>
          <w:bCs/>
        </w:rPr>
      </w:pPr>
      <w:r w:rsidRPr="00037B9E" w:rsidR="005976F0">
        <w:rPr>
          <w:rFonts w:ascii="Times New Roman" w:hAnsi="Times New Roman"/>
          <w:b/>
          <w:bCs/>
        </w:rPr>
        <w:t xml:space="preserve">Poznámka: </w:t>
      </w:r>
    </w:p>
    <w:p w:rsidR="005976F0" w:rsidP="00A86C7E">
      <w:pPr>
        <w:pStyle w:val="NormalWeb"/>
        <w:numPr>
          <w:numId w:val="57"/>
        </w:numPr>
        <w:bidi w:val="0"/>
        <w:spacing w:before="0" w:beforeAutospacing="0" w:after="120" w:afterAutospacing="0"/>
        <w:ind w:right="190"/>
        <w:jc w:val="both"/>
        <w:rPr>
          <w:rFonts w:ascii="Times New Roman" w:hAnsi="Times New Roman"/>
          <w:bCs/>
        </w:rPr>
      </w:pPr>
      <w:r w:rsidRPr="00641AB2">
        <w:rPr>
          <w:rFonts w:ascii="Times New Roman" w:hAnsi="Times New Roman"/>
          <w:bCs/>
        </w:rPr>
        <w:t>Uvedeným návrhom novely zákona o dani z príjmov nedôjde k zmene zamestnanosti vo verejnej správe. Rovnako nedôjde k zmene osobných výdavkov. Synergický efekt vplyvom všetkých zmien v rámci daňovo-odvodového systému na zamestnanosť by mal byť pozitívny, nakoľko dochádza k výraznému znižovaniu daňovo-odvodového zaťaženia nízkopríjmových skupín zamestnancov, čo je atraktívne najmä pre nízkokvalifikovaných nezamestnaných. Ďalším aspektom stimulujúcim rast zamestnanosti by malo byť výrazné zníženie administratívneho zaťaženia, čo by sa v strednodobom horizonte mohlo prejaviť v celkovom zlepšení podnikateľského prostredia na Slovensku, a teda aj v podobe lepšej tvorby pracovných miest</w:t>
      </w:r>
      <w:r>
        <w:rPr>
          <w:rFonts w:ascii="Times New Roman" w:hAnsi="Times New Roman"/>
          <w:bCs/>
        </w:rPr>
        <w:t>.</w:t>
      </w:r>
    </w:p>
    <w:p w:rsidR="00722BA0" w:rsidP="00722BA0">
      <w:pPr>
        <w:pStyle w:val="NormalWeb"/>
        <w:bidi w:val="0"/>
        <w:spacing w:before="0" w:beforeAutospacing="0" w:after="120" w:afterAutospacing="0"/>
        <w:ind w:left="720" w:right="190"/>
        <w:jc w:val="both"/>
        <w:rPr>
          <w:rFonts w:ascii="Times New Roman" w:hAnsi="Times New Roman"/>
          <w:bCs/>
        </w:rPr>
      </w:pPr>
    </w:p>
    <w:p w:rsidR="008570F1" w:rsidP="00A86C7E">
      <w:pPr>
        <w:pStyle w:val="NormalWeb"/>
        <w:numPr>
          <w:numId w:val="57"/>
        </w:numPr>
        <w:bidi w:val="0"/>
        <w:spacing w:before="0" w:beforeAutospacing="0" w:after="120" w:afterAutospacing="0"/>
        <w:ind w:right="190"/>
        <w:jc w:val="both"/>
        <w:rPr>
          <w:rFonts w:ascii="Times New Roman" w:hAnsi="Times New Roman"/>
          <w:bCs/>
        </w:rPr>
      </w:pPr>
      <w:r w:rsidR="00231CCB">
        <w:rPr>
          <w:rFonts w:ascii="Times New Roman" w:hAnsi="Times New Roman"/>
          <w:bCs/>
        </w:rPr>
        <w:t>Vplyv na územnú</w:t>
      </w:r>
      <w:r>
        <w:rPr>
          <w:rFonts w:ascii="Times New Roman" w:hAnsi="Times New Roman"/>
          <w:bCs/>
        </w:rPr>
        <w:t xml:space="preserve"> samosprávu:</w:t>
      </w:r>
    </w:p>
    <w:p w:rsidR="00231CCB" w:rsidP="00A86C7E">
      <w:pPr>
        <w:pStyle w:val="NormalWeb"/>
        <w:numPr>
          <w:numId w:val="58"/>
        </w:numPr>
        <w:bidi w:val="0"/>
        <w:spacing w:before="0" w:beforeAutospacing="0" w:after="120" w:afterAutospacing="0"/>
        <w:ind w:right="190"/>
        <w:jc w:val="both"/>
        <w:rPr>
          <w:rFonts w:ascii="Times New Roman" w:hAnsi="Times New Roman"/>
          <w:bCs/>
        </w:rPr>
      </w:pPr>
      <w:r>
        <w:rPr>
          <w:rFonts w:ascii="Times New Roman" w:hAnsi="Times New Roman"/>
          <w:bCs/>
        </w:rPr>
        <w:t>K prerozdeleniu dane z príjmov fyzickej osoby:</w:t>
      </w:r>
    </w:p>
    <w:p w:rsidR="00D05D12" w:rsidP="00A86C7E">
      <w:pPr>
        <w:pStyle w:val="NormalWeb"/>
        <w:bidi w:val="0"/>
        <w:spacing w:before="0" w:beforeAutospacing="0" w:after="120" w:afterAutospacing="0"/>
        <w:ind w:left="1080" w:right="190"/>
        <w:jc w:val="both"/>
        <w:rPr>
          <w:rFonts w:ascii="Times New Roman" w:hAnsi="Times New Roman"/>
          <w:bCs/>
        </w:rPr>
      </w:pPr>
      <w:r>
        <w:rPr>
          <w:rFonts w:ascii="Times New Roman" w:hAnsi="Times New Roman"/>
          <w:bCs/>
        </w:rPr>
        <w:t>Výnos dane z</w:t>
      </w:r>
      <w:r w:rsidR="008570F1">
        <w:rPr>
          <w:rFonts w:ascii="Times New Roman" w:hAnsi="Times New Roman"/>
          <w:bCs/>
        </w:rPr>
        <w:t> </w:t>
      </w:r>
      <w:r>
        <w:rPr>
          <w:rFonts w:ascii="Times New Roman" w:hAnsi="Times New Roman"/>
          <w:bCs/>
        </w:rPr>
        <w:t>príjmov</w:t>
      </w:r>
      <w:r w:rsidR="008570F1">
        <w:rPr>
          <w:rFonts w:ascii="Times New Roman" w:hAnsi="Times New Roman"/>
          <w:bCs/>
        </w:rPr>
        <w:t xml:space="preserve"> fyzickej osoby</w:t>
      </w:r>
      <w:r>
        <w:rPr>
          <w:rFonts w:ascii="Times New Roman" w:hAnsi="Times New Roman"/>
          <w:bCs/>
        </w:rPr>
        <w:t xml:space="preserve"> poukázaný </w:t>
      </w:r>
      <w:r w:rsidR="00231CCB">
        <w:rPr>
          <w:rFonts w:ascii="Times New Roman" w:hAnsi="Times New Roman"/>
          <w:bCs/>
        </w:rPr>
        <w:t>územnej</w:t>
      </w:r>
      <w:r>
        <w:rPr>
          <w:rFonts w:ascii="Times New Roman" w:hAnsi="Times New Roman"/>
          <w:bCs/>
        </w:rPr>
        <w:t xml:space="preserve"> samospráve nebude vplyvom navrhovaných opatrení zmenený oproti súčasnému stavu. I keď navrhovanými opatreniami dochádza k zvýšenému výnosu dane z</w:t>
      </w:r>
      <w:r w:rsidR="008570F1">
        <w:rPr>
          <w:rFonts w:ascii="Times New Roman" w:hAnsi="Times New Roman"/>
          <w:bCs/>
        </w:rPr>
        <w:t> </w:t>
      </w:r>
      <w:r>
        <w:rPr>
          <w:rFonts w:ascii="Times New Roman" w:hAnsi="Times New Roman"/>
          <w:bCs/>
        </w:rPr>
        <w:t>príjmov</w:t>
      </w:r>
      <w:r w:rsidR="008570F1">
        <w:rPr>
          <w:rFonts w:ascii="Times New Roman" w:hAnsi="Times New Roman"/>
          <w:bCs/>
        </w:rPr>
        <w:t xml:space="preserve"> fyzických osôb v roku 2012 o </w:t>
      </w:r>
      <w:r w:rsidRPr="00DD31C7" w:rsidR="00DD31C7">
        <w:rPr>
          <w:rFonts w:ascii="Times New Roman" w:hAnsi="Times New Roman"/>
          <w:bCs/>
        </w:rPr>
        <w:t>1</w:t>
      </w:r>
      <w:r w:rsidR="00144717">
        <w:rPr>
          <w:rFonts w:ascii="Times New Roman" w:hAnsi="Times New Roman"/>
          <w:bCs/>
        </w:rPr>
        <w:t> </w:t>
      </w:r>
      <w:r w:rsidRPr="00DD31C7" w:rsidR="00DD31C7">
        <w:rPr>
          <w:rFonts w:ascii="Times New Roman" w:hAnsi="Times New Roman"/>
          <w:bCs/>
        </w:rPr>
        <w:t>5</w:t>
      </w:r>
      <w:r w:rsidR="00144717">
        <w:rPr>
          <w:rFonts w:ascii="Times New Roman" w:hAnsi="Times New Roman"/>
          <w:bCs/>
        </w:rPr>
        <w:t>90 752 749</w:t>
      </w:r>
      <w:r w:rsidRPr="00DD31C7" w:rsidR="00DD31C7">
        <w:rPr>
          <w:rFonts w:ascii="Times New Roman" w:hAnsi="Times New Roman"/>
          <w:bCs/>
        </w:rPr>
        <w:t xml:space="preserve"> </w:t>
      </w:r>
      <w:r w:rsidR="008570F1">
        <w:rPr>
          <w:rFonts w:ascii="Times New Roman" w:hAnsi="Times New Roman"/>
          <w:bCs/>
        </w:rPr>
        <w:t>eur, v roku 2013 o </w:t>
      </w:r>
      <w:r w:rsidRPr="00DD31C7" w:rsidR="00DD31C7">
        <w:rPr>
          <w:rFonts w:ascii="Times New Roman" w:hAnsi="Times New Roman"/>
          <w:bCs/>
        </w:rPr>
        <w:t>1</w:t>
      </w:r>
      <w:r w:rsidR="00144717">
        <w:rPr>
          <w:rFonts w:ascii="Times New Roman" w:hAnsi="Times New Roman"/>
          <w:bCs/>
        </w:rPr>
        <w:t> </w:t>
      </w:r>
      <w:r w:rsidRPr="00DD31C7" w:rsidR="00DD31C7">
        <w:rPr>
          <w:rFonts w:ascii="Times New Roman" w:hAnsi="Times New Roman"/>
          <w:bCs/>
        </w:rPr>
        <w:t>71</w:t>
      </w:r>
      <w:r w:rsidR="00144717">
        <w:rPr>
          <w:rFonts w:ascii="Times New Roman" w:hAnsi="Times New Roman"/>
          <w:bCs/>
        </w:rPr>
        <w:t>2 373 849</w:t>
      </w:r>
      <w:r w:rsidR="00322014">
        <w:rPr>
          <w:rFonts w:ascii="Times New Roman" w:hAnsi="Times New Roman"/>
          <w:bCs/>
        </w:rPr>
        <w:t xml:space="preserve"> </w:t>
      </w:r>
      <w:r w:rsidR="008570F1">
        <w:rPr>
          <w:rFonts w:ascii="Times New Roman" w:hAnsi="Times New Roman"/>
          <w:bCs/>
        </w:rPr>
        <w:t>eur a v roku 2014 o</w:t>
      </w:r>
      <w:r w:rsidR="00144717">
        <w:rPr>
          <w:rFonts w:ascii="Times New Roman" w:hAnsi="Times New Roman"/>
          <w:bCs/>
        </w:rPr>
        <w:t> 1 837 704 390</w:t>
      </w:r>
      <w:r w:rsidR="00322014">
        <w:rPr>
          <w:rFonts w:ascii="Times New Roman" w:hAnsi="Times New Roman"/>
          <w:bCs/>
        </w:rPr>
        <w:t xml:space="preserve"> </w:t>
      </w:r>
      <w:r w:rsidR="008570F1">
        <w:rPr>
          <w:rFonts w:ascii="Times New Roman" w:hAnsi="Times New Roman"/>
          <w:bCs/>
        </w:rPr>
        <w:t xml:space="preserve">eur, z ktorého by v súlade s platným znením zákona č. 564/2003 Z. z. o rozpočtovom určení výnosu dane z príjmov územnej samospráve a o zmene a doplnení niektorých zákonov v znení neskorších predpisov mala byť poukázaná </w:t>
      </w:r>
      <w:r w:rsidR="00322014">
        <w:rPr>
          <w:rFonts w:ascii="Times New Roman" w:hAnsi="Times New Roman"/>
          <w:bCs/>
        </w:rPr>
        <w:t>územnej</w:t>
      </w:r>
      <w:r w:rsidR="008570F1">
        <w:rPr>
          <w:rFonts w:ascii="Times New Roman" w:hAnsi="Times New Roman"/>
          <w:bCs/>
        </w:rPr>
        <w:t xml:space="preserve"> samospráve</w:t>
      </w:r>
      <w:r w:rsidR="00322014">
        <w:rPr>
          <w:rFonts w:ascii="Times New Roman" w:hAnsi="Times New Roman"/>
          <w:bCs/>
        </w:rPr>
        <w:t xml:space="preserve"> vo výške 93,8 %, t.j.</w:t>
      </w:r>
      <w:r w:rsidR="008570F1">
        <w:rPr>
          <w:rFonts w:ascii="Times New Roman" w:hAnsi="Times New Roman"/>
          <w:bCs/>
        </w:rPr>
        <w:t xml:space="preserve"> v roku 2011 suma vo výške </w:t>
      </w:r>
      <w:r w:rsidR="00E26B61">
        <w:rPr>
          <w:rFonts w:ascii="Times New Roman" w:hAnsi="Times New Roman"/>
          <w:bCs/>
        </w:rPr>
        <w:t>1</w:t>
      </w:r>
      <w:r w:rsidR="00144717">
        <w:rPr>
          <w:rFonts w:ascii="Times New Roman" w:hAnsi="Times New Roman"/>
          <w:bCs/>
        </w:rPr>
        <w:t> </w:t>
      </w:r>
      <w:r w:rsidR="00E26B61">
        <w:rPr>
          <w:rFonts w:ascii="Times New Roman" w:hAnsi="Times New Roman"/>
          <w:bCs/>
        </w:rPr>
        <w:t>49</w:t>
      </w:r>
      <w:r w:rsidR="00144717">
        <w:rPr>
          <w:rFonts w:ascii="Times New Roman" w:hAnsi="Times New Roman"/>
          <w:bCs/>
        </w:rPr>
        <w:t>2 126 078,56</w:t>
      </w:r>
      <w:r w:rsidR="008570F1">
        <w:rPr>
          <w:rFonts w:ascii="Times New Roman" w:hAnsi="Times New Roman"/>
          <w:bCs/>
        </w:rPr>
        <w:t xml:space="preserve"> eura, v roku 2012 suma vo výške </w:t>
      </w:r>
      <w:r w:rsidR="00144717">
        <w:rPr>
          <w:rFonts w:ascii="Times New Roman" w:hAnsi="Times New Roman"/>
          <w:bCs/>
        </w:rPr>
        <w:t>1 606 206 670,36</w:t>
      </w:r>
      <w:r w:rsidR="008570F1">
        <w:rPr>
          <w:rFonts w:ascii="Times New Roman" w:hAnsi="Times New Roman"/>
          <w:bCs/>
        </w:rPr>
        <w:t xml:space="preserve"> eura a v roku 2013 suma vo výške </w:t>
      </w:r>
      <w:r w:rsidR="00144717">
        <w:rPr>
          <w:rFonts w:ascii="Times New Roman" w:hAnsi="Times New Roman"/>
          <w:bCs/>
        </w:rPr>
        <w:t>1 723 766 717,82</w:t>
      </w:r>
      <w:r w:rsidR="008570F1">
        <w:rPr>
          <w:rFonts w:ascii="Times New Roman" w:hAnsi="Times New Roman"/>
          <w:bCs/>
        </w:rPr>
        <w:t xml:space="preserve"> eura, vzhľadom na potrebu financovania výpadku príjmov v oblasti poistných systémov, budú tieto sumy prerozdelené do systému sociálneho poistenia a do systému </w:t>
      </w:r>
      <w:r w:rsidR="00E26B61">
        <w:rPr>
          <w:rFonts w:ascii="Times New Roman" w:hAnsi="Times New Roman"/>
          <w:bCs/>
        </w:rPr>
        <w:t>verejného zdravotného poistenia, prípadne na iné opatrenia uvádzané v tejto doložke vybraných vplyvov v súlade s opatreniami uvedenými v predkladanom návrhu zákona o úprave príjmov zo závislej činnosti a o zmene a doplnení niektorých zákonov.</w:t>
      </w:r>
      <w:r w:rsidR="008570F1">
        <w:rPr>
          <w:rFonts w:ascii="Times New Roman" w:hAnsi="Times New Roman"/>
          <w:bCs/>
        </w:rPr>
        <w:t xml:space="preserve"> V súvislosti s uvedeným bude potrebné </w:t>
      </w:r>
      <w:r w:rsidR="00CD2AC8">
        <w:rPr>
          <w:rFonts w:ascii="Times New Roman" w:hAnsi="Times New Roman"/>
          <w:bCs/>
        </w:rPr>
        <w:t>pripraviť</w:t>
      </w:r>
      <w:r w:rsidR="008570F1">
        <w:rPr>
          <w:rFonts w:ascii="Times New Roman" w:hAnsi="Times New Roman"/>
          <w:bCs/>
        </w:rPr>
        <w:t xml:space="preserve"> novelu zákona č. </w:t>
      </w:r>
      <w:r w:rsidR="00CD2AC8">
        <w:rPr>
          <w:rFonts w:ascii="Times New Roman" w:hAnsi="Times New Roman"/>
          <w:bCs/>
        </w:rPr>
        <w:t>č. 564/2003 Z. z. o rozpočtovom určení výnosu dane z príjmov územnej samospráve a o zmene a doplnení niektorých zákonov v znení neskorších predpisov, ktorá bude riešená ako súčasť problematiky rozpočtu verejnej správy na roky 2012 – 2014.</w:t>
      </w:r>
    </w:p>
    <w:p w:rsidR="008570F1" w:rsidP="00A86C7E">
      <w:pPr>
        <w:pStyle w:val="NormalWeb"/>
        <w:numPr>
          <w:numId w:val="58"/>
        </w:numPr>
        <w:bidi w:val="0"/>
        <w:spacing w:before="0" w:beforeAutospacing="0" w:after="120" w:afterAutospacing="0"/>
        <w:ind w:right="190"/>
        <w:jc w:val="both"/>
        <w:rPr>
          <w:rFonts w:ascii="Times New Roman" w:hAnsi="Times New Roman"/>
          <w:bCs/>
        </w:rPr>
      </w:pPr>
      <w:r w:rsidR="00E26B61">
        <w:rPr>
          <w:rFonts w:ascii="Times New Roman" w:hAnsi="Times New Roman"/>
          <w:bCs/>
        </w:rPr>
        <w:t xml:space="preserve">Vplyv </w:t>
      </w:r>
      <w:r w:rsidR="00231CCB">
        <w:rPr>
          <w:rFonts w:ascii="Times New Roman" w:hAnsi="Times New Roman"/>
          <w:bCs/>
        </w:rPr>
        <w:t>na rozpočet územnej</w:t>
      </w:r>
      <w:r w:rsidR="00E26B61">
        <w:rPr>
          <w:rFonts w:ascii="Times New Roman" w:hAnsi="Times New Roman"/>
          <w:bCs/>
        </w:rPr>
        <w:t xml:space="preserve"> samosprávy na zabezpečenie zmien predložených v návrhu zákona je obdobný ako pri ostatných verejných zamestnávateľoch. Výdavky potrebné na úpravu informačných systémov a na realizáciu úkonov súvisiacich s úpravou príjmu zo závislej činnosti sú súčasťou bežných výdavkov verejnej samosprávy, v rámci ktorých sú každoročne plánované finančné prostriedky na zapracovanie legislatívnych zmien v informačných systémoch prostredníctvom zmlúv medzi príslušným subjektom verejnej samosprávy a dodávateľom informačného systému a na vykonávanie potrebných úkonov súvisiacich s personálnou a mzdovou </w:t>
      </w:r>
      <w:r w:rsidR="00A6578D">
        <w:rPr>
          <w:rFonts w:ascii="Times New Roman" w:hAnsi="Times New Roman"/>
          <w:bCs/>
        </w:rPr>
        <w:t>agendou, ktorú budú zabezpečovať zamestnanci verejnej samosprávy v rámci plánovaných mzdových výdavkov.</w:t>
      </w:r>
      <w:r w:rsidR="00E26B61">
        <w:rPr>
          <w:rFonts w:ascii="Times New Roman" w:hAnsi="Times New Roman"/>
          <w:bCs/>
        </w:rPr>
        <w:t xml:space="preserve">  </w:t>
      </w:r>
    </w:p>
    <w:p w:rsidR="00144717" w:rsidP="00DA1E24">
      <w:pPr>
        <w:autoSpaceDE w:val="0"/>
        <w:autoSpaceDN w:val="0"/>
        <w:bidi w:val="0"/>
        <w:adjustRightInd w:val="0"/>
        <w:jc w:val="both"/>
        <w:rPr>
          <w:rFonts w:ascii="Times New Roman" w:hAnsi="Times New Roman"/>
          <w:bCs/>
        </w:rPr>
      </w:pPr>
    </w:p>
    <w:p w:rsidR="00A6578D" w:rsidP="00DA1E24">
      <w:pPr>
        <w:autoSpaceDE w:val="0"/>
        <w:autoSpaceDN w:val="0"/>
        <w:bidi w:val="0"/>
        <w:adjustRightInd w:val="0"/>
        <w:jc w:val="both"/>
        <w:rPr>
          <w:rFonts w:ascii="Times New Roman" w:hAnsi="Times New Roman"/>
          <w:b/>
        </w:rPr>
      </w:pPr>
    </w:p>
    <w:p w:rsidR="00A22617" w:rsidRPr="00A86C7E" w:rsidP="00DA1E24">
      <w:pPr>
        <w:autoSpaceDE w:val="0"/>
        <w:autoSpaceDN w:val="0"/>
        <w:bidi w:val="0"/>
        <w:adjustRightInd w:val="0"/>
        <w:jc w:val="both"/>
        <w:rPr>
          <w:rFonts w:ascii="Times New Roman" w:hAnsi="Times New Roman"/>
          <w:b/>
          <w:bCs/>
          <w:color w:val="0070C0"/>
        </w:rPr>
      </w:pPr>
      <w:r w:rsidRPr="00A86C7E">
        <w:rPr>
          <w:rFonts w:ascii="Times New Roman" w:hAnsi="Times New Roman"/>
          <w:b/>
          <w:color w:val="0070C0"/>
        </w:rPr>
        <w:t>Najdôležitejšie výpočty</w:t>
      </w:r>
      <w:r w:rsidRPr="00A86C7E">
        <w:rPr>
          <w:rFonts w:ascii="Times New Roman" w:hAnsi="Times New Roman"/>
          <w:b/>
          <w:bCs/>
          <w:color w:val="0070C0"/>
        </w:rPr>
        <w:t xml:space="preserve"> vo vzťahu k n</w:t>
      </w:r>
      <w:r w:rsidRPr="00A86C7E" w:rsidR="00FD0EAE">
        <w:rPr>
          <w:rFonts w:ascii="Times New Roman" w:hAnsi="Times New Roman"/>
          <w:b/>
          <w:bCs/>
          <w:color w:val="0070C0"/>
        </w:rPr>
        <w:t>ávrhu novely zákona o</w:t>
      </w:r>
      <w:r w:rsidRPr="00A86C7E">
        <w:rPr>
          <w:rFonts w:ascii="Times New Roman" w:hAnsi="Times New Roman"/>
          <w:b/>
          <w:bCs/>
          <w:color w:val="0070C0"/>
        </w:rPr>
        <w:t> sociálnom poistení a zákona o náhrade príjmu pri dočasnej pracovnej neschopnosti zamestnanca</w:t>
      </w:r>
    </w:p>
    <w:p w:rsidR="00A22617" w:rsidP="00DA1E24">
      <w:pPr>
        <w:autoSpaceDE w:val="0"/>
        <w:autoSpaceDN w:val="0"/>
        <w:bidi w:val="0"/>
        <w:adjustRightInd w:val="0"/>
        <w:jc w:val="both"/>
        <w:rPr>
          <w:rFonts w:ascii="Times New Roman" w:hAnsi="Times New Roman"/>
          <w:color w:val="000000"/>
          <w:szCs w:val="22"/>
        </w:rPr>
      </w:pPr>
    </w:p>
    <w:p w:rsidR="00A22617" w:rsidRPr="004B2597" w:rsidP="00672509">
      <w:pPr>
        <w:autoSpaceDE w:val="0"/>
        <w:autoSpaceDN w:val="0"/>
        <w:bidi w:val="0"/>
        <w:adjustRightInd w:val="0"/>
        <w:ind w:firstLine="284"/>
        <w:jc w:val="both"/>
        <w:rPr>
          <w:rFonts w:ascii="Times New Roman" w:hAnsi="Times New Roman"/>
          <w:color w:val="000000"/>
        </w:rPr>
      </w:pPr>
      <w:r w:rsidRPr="00672509">
        <w:rPr>
          <w:rFonts w:ascii="Times New Roman" w:hAnsi="Times New Roman"/>
          <w:szCs w:val="22"/>
        </w:rPr>
        <w:t>Kvantifikácia</w:t>
      </w:r>
      <w:r w:rsidRPr="004B2597">
        <w:rPr>
          <w:rFonts w:ascii="Times New Roman" w:hAnsi="Times New Roman"/>
          <w:color w:val="000000"/>
          <w:szCs w:val="22"/>
        </w:rPr>
        <w:t xml:space="preserve"> vplyvov opatrení návrhu </w:t>
      </w:r>
      <w:r w:rsidRPr="004B2597">
        <w:rPr>
          <w:rFonts w:ascii="Times New Roman" w:hAnsi="Times New Roman"/>
          <w:color w:val="000000"/>
        </w:rPr>
        <w:t xml:space="preserve">zákona, ktorým sa mení a dopĺňa zákon č. 461/2003 Z. z. o sociálnom  poistení v znení neskorších  predpisov a ktorým sa mení zákon č. 462/2003 Z. z. o náhrade príjmu pri dočasnej pracovnej neschopnosti zamestnanca a o zmene a doplnení niektorých zákonov v znení neskorších predpisov </w:t>
      </w:r>
      <w:r w:rsidRPr="004B2597">
        <w:rPr>
          <w:rFonts w:ascii="Times New Roman" w:hAnsi="Times New Roman"/>
          <w:color w:val="000000"/>
          <w:szCs w:val="22"/>
        </w:rPr>
        <w:t xml:space="preserve">predpokladá </w:t>
      </w:r>
      <w:r w:rsidR="00D16C50">
        <w:rPr>
          <w:rFonts w:ascii="Times New Roman" w:hAnsi="Times New Roman"/>
          <w:color w:val="000000"/>
          <w:szCs w:val="22"/>
        </w:rPr>
        <w:t>transfer zo štátneho rozpočtu vo výške výpadku príjmov z poistného od ekonomicky aktívnych osôb, a to 1 40</w:t>
      </w:r>
      <w:r w:rsidR="00E033EA">
        <w:rPr>
          <w:rFonts w:ascii="Times New Roman" w:hAnsi="Times New Roman"/>
          <w:color w:val="000000"/>
          <w:szCs w:val="22"/>
        </w:rPr>
        <w:t>7</w:t>
      </w:r>
      <w:r w:rsidR="00D16C50">
        <w:rPr>
          <w:rFonts w:ascii="Times New Roman" w:hAnsi="Times New Roman"/>
          <w:color w:val="000000"/>
          <w:szCs w:val="22"/>
        </w:rPr>
        <w:t xml:space="preserve"> mil. eur v roku 2012; 1 46</w:t>
      </w:r>
      <w:r w:rsidR="00E033EA">
        <w:rPr>
          <w:rFonts w:ascii="Times New Roman" w:hAnsi="Times New Roman"/>
          <w:color w:val="000000"/>
          <w:szCs w:val="22"/>
        </w:rPr>
        <w:t>6</w:t>
      </w:r>
      <w:r w:rsidR="00D16C50">
        <w:rPr>
          <w:rFonts w:ascii="Times New Roman" w:hAnsi="Times New Roman"/>
          <w:color w:val="000000"/>
          <w:szCs w:val="22"/>
        </w:rPr>
        <w:t xml:space="preserve"> mil. eur v roku 2013 a 1 57</w:t>
      </w:r>
      <w:r w:rsidR="00154C11">
        <w:rPr>
          <w:rFonts w:ascii="Times New Roman" w:hAnsi="Times New Roman"/>
          <w:color w:val="000000"/>
          <w:szCs w:val="22"/>
        </w:rPr>
        <w:t>2</w:t>
      </w:r>
      <w:r w:rsidR="00D16C50">
        <w:rPr>
          <w:rFonts w:ascii="Times New Roman" w:hAnsi="Times New Roman"/>
          <w:color w:val="000000"/>
          <w:szCs w:val="22"/>
        </w:rPr>
        <w:t xml:space="preserve"> mil. eur v roku 2014. </w:t>
      </w:r>
      <w:r w:rsidRPr="004B2597">
        <w:rPr>
          <w:rFonts w:ascii="Times New Roman" w:hAnsi="Times New Roman"/>
          <w:color w:val="000000"/>
        </w:rPr>
        <w:t>Z dôvodu nižších príjmov na sociálne poistenie bol kvantifikovaný vplyv na tvorbu správneho fondu Sociálnej poisťovne vo výške 2,4 % z prijatého poistného a 0,5 % z postúpených príspevkov na starobné dôchodkové sporenie</w:t>
      </w:r>
      <w:r w:rsidRPr="001D57ED">
        <w:rPr>
          <w:rFonts w:ascii="Times New Roman" w:hAnsi="Times New Roman"/>
          <w:color w:val="000000"/>
        </w:rPr>
        <w:t>.</w:t>
      </w:r>
      <w:r w:rsidRPr="004B2597">
        <w:rPr>
          <w:rFonts w:ascii="Times New Roman" w:hAnsi="Times New Roman"/>
          <w:color w:val="000000"/>
        </w:rPr>
        <w:t xml:space="preserve"> Predpokladá sa celkový negatívny </w:t>
      </w:r>
      <w:r w:rsidR="00915610">
        <w:rPr>
          <w:rFonts w:ascii="Times New Roman" w:hAnsi="Times New Roman"/>
          <w:color w:val="000000"/>
        </w:rPr>
        <w:t>vplyv</w:t>
      </w:r>
      <w:r w:rsidRPr="004B2597">
        <w:rPr>
          <w:rFonts w:ascii="Times New Roman" w:hAnsi="Times New Roman"/>
          <w:color w:val="000000"/>
        </w:rPr>
        <w:t xml:space="preserve"> na bilanciu správneho fondu Sociálnej poisťovne</w:t>
      </w:r>
      <w:r>
        <w:rPr>
          <w:rFonts w:ascii="Times New Roman" w:hAnsi="Times New Roman"/>
          <w:color w:val="000000"/>
        </w:rPr>
        <w:t xml:space="preserve"> v bežnom roku</w:t>
      </w:r>
      <w:r w:rsidRPr="004B2597">
        <w:rPr>
          <w:rFonts w:ascii="Times New Roman" w:hAnsi="Times New Roman"/>
          <w:color w:val="000000"/>
        </w:rPr>
        <w:t xml:space="preserve"> v roku 2012 vo výške </w:t>
      </w:r>
      <w:r>
        <w:rPr>
          <w:rFonts w:ascii="Times New Roman" w:hAnsi="Times New Roman"/>
          <w:color w:val="000000"/>
        </w:rPr>
        <w:t>3</w:t>
      </w:r>
      <w:r w:rsidR="00D16C50">
        <w:rPr>
          <w:rFonts w:ascii="Times New Roman" w:hAnsi="Times New Roman"/>
          <w:color w:val="000000"/>
        </w:rPr>
        <w:t>4,8</w:t>
      </w:r>
      <w:r w:rsidRPr="004B2597">
        <w:rPr>
          <w:rFonts w:ascii="Times New Roman" w:hAnsi="Times New Roman"/>
          <w:color w:val="000000"/>
        </w:rPr>
        <w:t xml:space="preserve"> mil. eur</w:t>
      </w:r>
      <w:r w:rsidR="00915610">
        <w:rPr>
          <w:rFonts w:ascii="Times New Roman" w:hAnsi="Times New Roman"/>
          <w:color w:val="000000"/>
        </w:rPr>
        <w:t>a,</w:t>
      </w:r>
      <w:r w:rsidRPr="004B2597">
        <w:rPr>
          <w:rFonts w:ascii="Times New Roman" w:hAnsi="Times New Roman"/>
          <w:color w:val="000000"/>
        </w:rPr>
        <w:t xml:space="preserve"> v roku 2013 vo výške </w:t>
      </w:r>
      <w:r>
        <w:rPr>
          <w:rFonts w:ascii="Times New Roman" w:hAnsi="Times New Roman"/>
          <w:color w:val="000000"/>
        </w:rPr>
        <w:t>3</w:t>
      </w:r>
      <w:r w:rsidR="00D16C50">
        <w:rPr>
          <w:rFonts w:ascii="Times New Roman" w:hAnsi="Times New Roman"/>
          <w:color w:val="000000"/>
        </w:rPr>
        <w:t>6,3</w:t>
      </w:r>
      <w:r w:rsidRPr="004B2597">
        <w:rPr>
          <w:rFonts w:ascii="Times New Roman" w:hAnsi="Times New Roman"/>
          <w:color w:val="000000"/>
        </w:rPr>
        <w:t xml:space="preserve"> mil. eur</w:t>
      </w:r>
      <w:r w:rsidR="00915610">
        <w:rPr>
          <w:rFonts w:ascii="Times New Roman" w:hAnsi="Times New Roman"/>
          <w:color w:val="000000"/>
        </w:rPr>
        <w:t>a</w:t>
      </w:r>
      <w:r w:rsidRPr="004B2597">
        <w:rPr>
          <w:rFonts w:ascii="Times New Roman" w:hAnsi="Times New Roman"/>
          <w:color w:val="000000"/>
        </w:rPr>
        <w:t xml:space="preserve"> a v roku 2014 vo výške </w:t>
      </w:r>
      <w:r>
        <w:rPr>
          <w:rFonts w:ascii="Times New Roman" w:hAnsi="Times New Roman"/>
          <w:color w:val="000000"/>
        </w:rPr>
        <w:t>3</w:t>
      </w:r>
      <w:r w:rsidR="00D16C50">
        <w:rPr>
          <w:rFonts w:ascii="Times New Roman" w:hAnsi="Times New Roman"/>
          <w:color w:val="000000"/>
        </w:rPr>
        <w:t>8,9</w:t>
      </w:r>
      <w:r w:rsidRPr="004B2597">
        <w:rPr>
          <w:rFonts w:ascii="Times New Roman" w:hAnsi="Times New Roman"/>
          <w:color w:val="000000"/>
        </w:rPr>
        <w:t xml:space="preserve"> mil. eur</w:t>
      </w:r>
      <w:r w:rsidR="00915610">
        <w:rPr>
          <w:rFonts w:ascii="Times New Roman" w:hAnsi="Times New Roman"/>
          <w:color w:val="000000"/>
        </w:rPr>
        <w:t>a</w:t>
      </w:r>
      <w:r>
        <w:rPr>
          <w:rFonts w:ascii="Times New Roman" w:hAnsi="Times New Roman"/>
          <w:color w:val="000000"/>
        </w:rPr>
        <w:t>.</w:t>
      </w:r>
      <w:r w:rsidRPr="004B2597">
        <w:rPr>
          <w:rFonts w:ascii="Times New Roman" w:hAnsi="Times New Roman"/>
          <w:color w:val="000000"/>
        </w:rPr>
        <w:t xml:space="preserve">  </w:t>
      </w:r>
    </w:p>
    <w:p w:rsidR="00A22617" w:rsidRPr="004B2597" w:rsidP="00DA1E24">
      <w:pPr>
        <w:autoSpaceDE w:val="0"/>
        <w:autoSpaceDN w:val="0"/>
        <w:bidi w:val="0"/>
        <w:adjustRightInd w:val="0"/>
        <w:jc w:val="both"/>
        <w:rPr>
          <w:rFonts w:ascii="Times New Roman" w:hAnsi="Times New Roman"/>
          <w:color w:val="000000"/>
          <w:szCs w:val="22"/>
        </w:rPr>
      </w:pPr>
    </w:p>
    <w:p w:rsidR="00A22617" w:rsidRPr="00BE181A" w:rsidP="00BE181A">
      <w:pPr>
        <w:bidi w:val="0"/>
        <w:spacing w:after="120"/>
        <w:ind w:left="567" w:hanging="283"/>
        <w:jc w:val="both"/>
        <w:rPr>
          <w:rFonts w:ascii="Times New Roman" w:hAnsi="Times New Roman"/>
          <w:u w:val="single"/>
        </w:rPr>
      </w:pPr>
      <w:r>
        <w:rPr>
          <w:rFonts w:ascii="Times New Roman" w:hAnsi="Times New Roman"/>
          <w:u w:val="single"/>
        </w:rPr>
        <w:t xml:space="preserve">I. </w:t>
      </w:r>
      <w:r w:rsidRPr="00BE181A">
        <w:rPr>
          <w:rFonts w:ascii="Times New Roman" w:hAnsi="Times New Roman"/>
          <w:u w:val="single"/>
        </w:rPr>
        <w:t>Kvantifikácia príjmov</w:t>
      </w:r>
    </w:p>
    <w:p w:rsidR="00A22617" w:rsidRPr="004B2597" w:rsidP="00672509">
      <w:pPr>
        <w:autoSpaceDE w:val="0"/>
        <w:autoSpaceDN w:val="0"/>
        <w:bidi w:val="0"/>
        <w:adjustRightInd w:val="0"/>
        <w:ind w:firstLine="284"/>
        <w:jc w:val="both"/>
        <w:rPr>
          <w:rFonts w:ascii="Times New Roman" w:hAnsi="Times New Roman"/>
          <w:color w:val="000000"/>
          <w:szCs w:val="22"/>
        </w:rPr>
      </w:pPr>
      <w:r w:rsidRPr="00672509">
        <w:rPr>
          <w:rFonts w:ascii="Times New Roman" w:hAnsi="Times New Roman"/>
          <w:szCs w:val="22"/>
        </w:rPr>
        <w:t>Kvantifikácia</w:t>
      </w:r>
      <w:r w:rsidRPr="004B2597">
        <w:rPr>
          <w:rFonts w:ascii="Times New Roman" w:hAnsi="Times New Roman"/>
          <w:color w:val="000000"/>
          <w:szCs w:val="22"/>
        </w:rPr>
        <w:t xml:space="preserve"> vychádza z predpokladu, že všetky navrhované opatrenia budú platiť súčasne. Počíta sa teda s kombináciou vplyvov a nie je možné považovať nižšie uvedenú kvantifikáciu len ako mechanický súčet vplyvov jednotlivých opatrení. Z uvedeného dôvodu je kvantifikácia relatívne komplexná, pričom z dôvodu absencie niektorých údajov bolo nutné pri niektorých opatreniach urobiť viacero expertných predpokladov.</w:t>
      </w:r>
    </w:p>
    <w:p w:rsidR="00A22617" w:rsidRPr="004B2597" w:rsidP="00DA1E24">
      <w:pPr>
        <w:autoSpaceDE w:val="0"/>
        <w:autoSpaceDN w:val="0"/>
        <w:bidi w:val="0"/>
        <w:adjustRightInd w:val="0"/>
        <w:jc w:val="both"/>
        <w:rPr>
          <w:rFonts w:ascii="Times New Roman" w:hAnsi="Times New Roman"/>
          <w:color w:val="000000"/>
          <w:szCs w:val="22"/>
        </w:rPr>
      </w:pPr>
    </w:p>
    <w:p w:rsidR="00A22617" w:rsidRPr="00672509" w:rsidP="00672509">
      <w:pPr>
        <w:numPr>
          <w:numId w:val="18"/>
        </w:numPr>
        <w:tabs>
          <w:tab w:val="left" w:pos="709"/>
        </w:tabs>
        <w:bidi w:val="0"/>
        <w:spacing w:after="120"/>
        <w:jc w:val="both"/>
        <w:rPr>
          <w:rFonts w:ascii="Times New Roman" w:hAnsi="Times New Roman"/>
          <w:b/>
          <w:color w:val="000000"/>
        </w:rPr>
      </w:pPr>
      <w:r w:rsidRPr="00672509">
        <w:rPr>
          <w:rFonts w:ascii="Times New Roman" w:hAnsi="Times New Roman"/>
          <w:b/>
          <w:color w:val="000000"/>
        </w:rPr>
        <w:t>Rozšírenie osobného rozsahu povinne sociálne poistených osôb o:</w:t>
      </w:r>
    </w:p>
    <w:p w:rsidR="00A22617" w:rsidRPr="00672509" w:rsidP="00A86C7E">
      <w:pPr>
        <w:numPr>
          <w:numId w:val="19"/>
        </w:numPr>
        <w:tabs>
          <w:tab w:val="left" w:pos="993"/>
          <w:tab w:val="left" w:pos="1701"/>
        </w:tabs>
        <w:bidi w:val="0"/>
        <w:spacing w:after="120"/>
        <w:ind w:left="993" w:hanging="284"/>
        <w:jc w:val="both"/>
        <w:rPr>
          <w:rFonts w:ascii="Times New Roman" w:hAnsi="Times New Roman"/>
          <w:color w:val="000000"/>
          <w:u w:val="single"/>
        </w:rPr>
      </w:pPr>
      <w:r w:rsidRPr="00672509">
        <w:rPr>
          <w:rFonts w:ascii="Times New Roman" w:hAnsi="Times New Roman"/>
          <w:color w:val="000000"/>
          <w:u w:val="single"/>
        </w:rPr>
        <w:t xml:space="preserve"> fyzické osoby vykonávajúce prácu na základe dohôd </w:t>
      </w:r>
      <w:r w:rsidR="00915610">
        <w:rPr>
          <w:rFonts w:ascii="Times New Roman" w:hAnsi="Times New Roman"/>
          <w:color w:val="000000"/>
          <w:u w:val="single"/>
        </w:rPr>
        <w:t xml:space="preserve">o prácach vykonávaných </w:t>
      </w:r>
      <w:r w:rsidRPr="00672509">
        <w:rPr>
          <w:rFonts w:ascii="Times New Roman" w:hAnsi="Times New Roman"/>
          <w:color w:val="000000"/>
          <w:u w:val="single"/>
        </w:rPr>
        <w:t>mimo pracovného pomeru</w:t>
      </w:r>
    </w:p>
    <w:p w:rsidR="00A22617" w:rsidRPr="004B2597" w:rsidP="00A86C7E">
      <w:pPr>
        <w:tabs>
          <w:tab w:val="left" w:pos="1701"/>
        </w:tabs>
        <w:bidi w:val="0"/>
        <w:spacing w:after="120"/>
        <w:ind w:left="709"/>
        <w:jc w:val="both"/>
        <w:rPr>
          <w:rFonts w:ascii="Times New Roman" w:hAnsi="Times New Roman"/>
          <w:color w:val="000000"/>
        </w:rPr>
      </w:pPr>
      <w:r w:rsidRPr="004B2597">
        <w:rPr>
          <w:rFonts w:ascii="Times New Roman" w:hAnsi="Times New Roman"/>
          <w:color w:val="000000"/>
        </w:rPr>
        <w:t>Na účely kvantifikácie sa vychádzalo z reálnych štatistických údajov zo Sociálnej poisťovne za rok 2010, ktoré členia tzv. dohodárov podľa vymeriavacieho základu. Podľa uvedeného bolo mesačne v roku 2010 priemerne 201 335 dohodárov bez súbehu s inou zárobkovou činnosťou a 106 286 v súbehu s inou zárobkovou činnosťou. Pre určenú skupinu osôb bola</w:t>
      </w:r>
      <w:r w:rsidR="004F66F8">
        <w:rPr>
          <w:rFonts w:ascii="Times New Roman" w:hAnsi="Times New Roman"/>
          <w:color w:val="000000"/>
        </w:rPr>
        <w:t xml:space="preserve"> použitá sadzba 10 % a </w:t>
      </w:r>
      <w:r w:rsidRPr="004B2597">
        <w:rPr>
          <w:rFonts w:ascii="Times New Roman" w:hAnsi="Times New Roman"/>
          <w:color w:val="000000"/>
        </w:rPr>
        <w:t>odpočítateľná položka</w:t>
      </w:r>
      <w:r w:rsidR="004F66F8">
        <w:rPr>
          <w:rFonts w:ascii="Times New Roman" w:hAnsi="Times New Roman"/>
          <w:color w:val="000000"/>
        </w:rPr>
        <w:t xml:space="preserve"> z vymeriavacieho základu</w:t>
      </w:r>
      <w:r w:rsidRPr="004B2597">
        <w:rPr>
          <w:rFonts w:ascii="Times New Roman" w:hAnsi="Times New Roman"/>
          <w:color w:val="000000"/>
        </w:rPr>
        <w:t xml:space="preserve"> 190 eur, ktorá bola degresívne znížená pre tzv. dohodárov v súbehu. </w:t>
      </w:r>
    </w:p>
    <w:p w:rsidR="00A22617" w:rsidRPr="00672509" w:rsidP="00A86C7E">
      <w:pPr>
        <w:numPr>
          <w:numId w:val="19"/>
        </w:numPr>
        <w:tabs>
          <w:tab w:val="left" w:pos="993"/>
          <w:tab w:val="left" w:pos="1701"/>
        </w:tabs>
        <w:bidi w:val="0"/>
        <w:spacing w:after="120"/>
        <w:ind w:left="993" w:hanging="284"/>
        <w:jc w:val="both"/>
        <w:rPr>
          <w:rFonts w:ascii="Times New Roman" w:hAnsi="Times New Roman"/>
          <w:color w:val="000000"/>
          <w:u w:val="single"/>
        </w:rPr>
      </w:pPr>
      <w:r w:rsidRPr="00672509">
        <w:rPr>
          <w:rFonts w:ascii="Times New Roman" w:hAnsi="Times New Roman"/>
          <w:color w:val="000000"/>
          <w:u w:val="single"/>
        </w:rPr>
        <w:t>fyzické osoby, ktoré budú mať právo na príjem, ktorým je podiel na zisku vyplatený obchodnou spoločnosťou alebo družstvom</w:t>
      </w:r>
    </w:p>
    <w:p w:rsidR="00A22617" w:rsidRPr="0053270B" w:rsidP="00A86C7E">
      <w:pPr>
        <w:tabs>
          <w:tab w:val="left" w:pos="1701"/>
        </w:tabs>
        <w:bidi w:val="0"/>
        <w:spacing w:after="120"/>
        <w:ind w:left="709"/>
        <w:jc w:val="both"/>
        <w:rPr>
          <w:rFonts w:ascii="Times New Roman" w:hAnsi="Times New Roman"/>
          <w:color w:val="000000"/>
        </w:rPr>
      </w:pPr>
      <w:r w:rsidRPr="004B2597">
        <w:rPr>
          <w:rFonts w:ascii="Times New Roman" w:hAnsi="Times New Roman"/>
          <w:color w:val="000000"/>
        </w:rPr>
        <w:t xml:space="preserve">Na základe vývoja údajov o vyplatených dividendách do roku 2009 v posledných rokoch a vplyvu krízy na roky 2010 – 2011 sa ako základ pre výpočet vplyvov na rok 2011 použil údaj o vyplatených dividendách </w:t>
      </w:r>
      <w:r w:rsidRPr="0053270B">
        <w:rPr>
          <w:rFonts w:ascii="Times New Roman" w:hAnsi="Times New Roman"/>
          <w:color w:val="000000"/>
        </w:rPr>
        <w:t>za rok 2006 (pre fyzické osoby približne 246 mil. eur).</w:t>
      </w:r>
      <w:r w:rsidRPr="004B2597">
        <w:rPr>
          <w:rFonts w:ascii="Times New Roman" w:hAnsi="Times New Roman"/>
          <w:color w:val="000000"/>
        </w:rPr>
        <w:t xml:space="preserve"> </w:t>
      </w:r>
      <w:r w:rsidR="00D16C50">
        <w:rPr>
          <w:rFonts w:ascii="Times New Roman" w:hAnsi="Times New Roman"/>
          <w:color w:val="000000"/>
        </w:rPr>
        <w:t>Na výpočet bola ďalej použitá znížená sadzba poistného na sociálne poistenie vo výške 13 % a vychádzalo sa z expertného odhadu, že 45 % z objemu dividend bude zaťažených poistným.</w:t>
      </w:r>
    </w:p>
    <w:p w:rsidR="00A22617" w:rsidRPr="004B2597" w:rsidP="00A86C7E">
      <w:pPr>
        <w:tabs>
          <w:tab w:val="left" w:pos="1701"/>
        </w:tabs>
        <w:bidi w:val="0"/>
        <w:jc w:val="both"/>
        <w:rPr>
          <w:rFonts w:ascii="Times New Roman" w:hAnsi="Times New Roman"/>
          <w:b/>
          <w:color w:val="000000"/>
        </w:rPr>
      </w:pPr>
    </w:p>
    <w:p w:rsidR="00A22617" w:rsidRPr="00672509" w:rsidP="00A86C7E">
      <w:pPr>
        <w:numPr>
          <w:numId w:val="18"/>
        </w:numPr>
        <w:tabs>
          <w:tab w:val="left" w:pos="709"/>
          <w:tab w:val="left" w:pos="1701"/>
        </w:tabs>
        <w:bidi w:val="0"/>
        <w:spacing w:after="120"/>
        <w:jc w:val="both"/>
        <w:rPr>
          <w:rFonts w:ascii="Times New Roman" w:hAnsi="Times New Roman"/>
          <w:b/>
          <w:color w:val="000000"/>
        </w:rPr>
      </w:pPr>
      <w:r w:rsidRPr="00672509">
        <w:rPr>
          <w:rFonts w:ascii="Times New Roman" w:hAnsi="Times New Roman"/>
          <w:b/>
          <w:color w:val="000000"/>
        </w:rPr>
        <w:t>Zmena sadzby poistného na sociálne poistenie pre zamestnancov na 19 % z</w:t>
      </w:r>
      <w:r>
        <w:rPr>
          <w:rFonts w:ascii="Times New Roman" w:hAnsi="Times New Roman"/>
          <w:b/>
          <w:color w:val="000000"/>
        </w:rPr>
        <w:t xml:space="preserve"> dôvodu zavedenia príjmu na </w:t>
      </w:r>
      <w:r w:rsidRPr="00672509">
        <w:rPr>
          <w:rFonts w:ascii="Times New Roman" w:hAnsi="Times New Roman"/>
          <w:b/>
          <w:color w:val="000000"/>
        </w:rPr>
        <w:t>tzv. superhrub</w:t>
      </w:r>
      <w:r>
        <w:rPr>
          <w:rFonts w:ascii="Times New Roman" w:hAnsi="Times New Roman"/>
          <w:b/>
          <w:color w:val="000000"/>
        </w:rPr>
        <w:t>ú úroveň</w:t>
      </w:r>
      <w:r w:rsidR="00E62E7A">
        <w:rPr>
          <w:rFonts w:ascii="Times New Roman" w:hAnsi="Times New Roman"/>
          <w:b/>
          <w:color w:val="000000"/>
        </w:rPr>
        <w:t xml:space="preserve"> </w:t>
      </w:r>
      <w:r w:rsidR="0014360B">
        <w:rPr>
          <w:rFonts w:ascii="Times New Roman" w:hAnsi="Times New Roman"/>
          <w:b/>
          <w:color w:val="000000"/>
        </w:rPr>
        <w:t>a z dôvodu zavedenia nových parametrov daňovo-odvodového systému</w:t>
      </w:r>
    </w:p>
    <w:p w:rsidR="00A22617" w:rsidRPr="004B2597" w:rsidP="00A86C7E">
      <w:pPr>
        <w:tabs>
          <w:tab w:val="left" w:pos="1701"/>
        </w:tabs>
        <w:bidi w:val="0"/>
        <w:spacing w:after="120"/>
        <w:ind w:left="709"/>
        <w:jc w:val="both"/>
        <w:rPr>
          <w:rFonts w:ascii="Times New Roman" w:hAnsi="Times New Roman"/>
          <w:color w:val="000000"/>
        </w:rPr>
      </w:pPr>
      <w:r w:rsidRPr="004B2597">
        <w:rPr>
          <w:rFonts w:ascii="Times New Roman" w:hAnsi="Times New Roman"/>
          <w:color w:val="000000"/>
        </w:rPr>
        <w:t>Na výpočet nových príjmov za zamestnancov bola použitá sadzba poistného na sociálne poistenie vo výške 19 %, mesačný vymeriavací základ z východísk rozpočtu  Sociálnej poisťovne bol upravený na 1 033,</w:t>
      </w:r>
      <w:r w:rsidR="00D16C50">
        <w:rPr>
          <w:rFonts w:ascii="Times New Roman" w:hAnsi="Times New Roman"/>
          <w:color w:val="000000"/>
        </w:rPr>
        <w:t>54</w:t>
      </w:r>
      <w:r w:rsidRPr="004B2597">
        <w:rPr>
          <w:rFonts w:ascii="Times New Roman" w:hAnsi="Times New Roman"/>
          <w:color w:val="000000"/>
        </w:rPr>
        <w:t xml:space="preserve"> eur</w:t>
      </w:r>
      <w:r w:rsidR="00D16C50">
        <w:rPr>
          <w:rFonts w:ascii="Times New Roman" w:hAnsi="Times New Roman"/>
          <w:color w:val="000000"/>
        </w:rPr>
        <w:t>a</w:t>
      </w:r>
      <w:r w:rsidRPr="004B2597">
        <w:rPr>
          <w:rFonts w:ascii="Times New Roman" w:hAnsi="Times New Roman"/>
          <w:color w:val="000000"/>
        </w:rPr>
        <w:t xml:space="preserve"> pre rok 2012 (koeficient 1,344 a </w:t>
      </w:r>
      <w:r w:rsidRPr="008A1A21">
        <w:rPr>
          <w:rFonts w:ascii="Times New Roman" w:hAnsi="Times New Roman"/>
          <w:color w:val="000000"/>
        </w:rPr>
        <w:t>maximálne pois</w:t>
      </w:r>
      <w:r>
        <w:rPr>
          <w:rFonts w:ascii="Times New Roman" w:hAnsi="Times New Roman"/>
          <w:color w:val="000000"/>
        </w:rPr>
        <w:t>tné ročne na úrovni 47,</w:t>
      </w:r>
      <w:r w:rsidRPr="0014360B">
        <w:rPr>
          <w:rFonts w:ascii="Times New Roman" w:hAnsi="Times New Roman"/>
          <w:color w:val="000000"/>
        </w:rPr>
        <w:t>171</w:t>
      </w:r>
      <w:r w:rsidR="00D16C50">
        <w:rPr>
          <w:rFonts w:ascii="Times New Roman" w:hAnsi="Times New Roman"/>
          <w:color w:val="000000"/>
        </w:rPr>
        <w:t>6-</w:t>
      </w:r>
      <w:r>
        <w:rPr>
          <w:rFonts w:ascii="Times New Roman" w:hAnsi="Times New Roman"/>
          <w:color w:val="000000"/>
        </w:rPr>
        <w:t xml:space="preserve">násobku sumy životného minima </w:t>
      </w:r>
      <w:r w:rsidRPr="008E7A7E" w:rsidR="005C14D4">
        <w:rPr>
          <w:rFonts w:ascii="Times New Roman" w:hAnsi="Times New Roman"/>
          <w:color w:val="000000"/>
        </w:rPr>
        <w:t>pre jednu plnoletú fyzickú osobu podľa osobitného predpisu platnú k 1. januáru kalendárneho roka, za ktorý sa platí poistné</w:t>
      </w:r>
      <w:r>
        <w:rPr>
          <w:rFonts w:ascii="Times New Roman" w:hAnsi="Times New Roman"/>
          <w:color w:val="000000"/>
        </w:rPr>
        <w:t>)</w:t>
      </w:r>
      <w:r w:rsidRPr="004B2597">
        <w:rPr>
          <w:rFonts w:ascii="Times New Roman" w:hAnsi="Times New Roman"/>
          <w:color w:val="000000"/>
        </w:rPr>
        <w:t xml:space="preserve"> a vychádzalo sa z počtu 1 656 187 platiacich zamestnancov pre rok 2012. Sadzba na starobné dôchodkové sporenie bola určená na 6,7 %, čo znamená iba nepatrný nárast príspevkov na starobné dôchodkové sporenie. </w:t>
      </w:r>
    </w:p>
    <w:p w:rsidR="00A22617" w:rsidRPr="004B2597" w:rsidP="00A86C7E">
      <w:pPr>
        <w:tabs>
          <w:tab w:val="left" w:pos="1701"/>
        </w:tabs>
        <w:bidi w:val="0"/>
        <w:rPr>
          <w:rFonts w:ascii="Times New Roman" w:hAnsi="Times New Roman"/>
          <w:i/>
          <w:color w:val="000000"/>
        </w:rPr>
      </w:pPr>
    </w:p>
    <w:p w:rsidR="00A22617" w:rsidRPr="0053270B" w:rsidP="00A86C7E">
      <w:pPr>
        <w:keepNext/>
        <w:numPr>
          <w:numId w:val="18"/>
        </w:numPr>
        <w:tabs>
          <w:tab w:val="left" w:pos="709"/>
          <w:tab w:val="left" w:pos="1701"/>
        </w:tabs>
        <w:bidi w:val="0"/>
        <w:spacing w:after="120"/>
        <w:ind w:left="714" w:hanging="357"/>
        <w:jc w:val="both"/>
        <w:rPr>
          <w:rFonts w:ascii="Times New Roman" w:hAnsi="Times New Roman"/>
          <w:b/>
          <w:color w:val="000000"/>
        </w:rPr>
      </w:pPr>
      <w:r w:rsidRPr="0053270B">
        <w:rPr>
          <w:rFonts w:ascii="Times New Roman" w:hAnsi="Times New Roman"/>
          <w:b/>
          <w:color w:val="000000"/>
        </w:rPr>
        <w:t>Nové podmienky sociálneho poistenia pre SZČO</w:t>
      </w:r>
    </w:p>
    <w:p w:rsidR="00A22617" w:rsidRPr="004B2597" w:rsidP="00A86C7E">
      <w:pPr>
        <w:tabs>
          <w:tab w:val="left" w:pos="1701"/>
        </w:tabs>
        <w:bidi w:val="0"/>
        <w:spacing w:after="120"/>
        <w:ind w:left="709"/>
        <w:jc w:val="both"/>
        <w:rPr>
          <w:rFonts w:ascii="Times New Roman" w:hAnsi="Times New Roman"/>
          <w:color w:val="000000"/>
        </w:rPr>
      </w:pPr>
      <w:r w:rsidRPr="004B2597">
        <w:rPr>
          <w:rFonts w:ascii="Times New Roman" w:hAnsi="Times New Roman"/>
          <w:color w:val="000000"/>
        </w:rPr>
        <w:t>Vplyvom zmien vyplývajúcich z návrhu zákona (</w:t>
      </w:r>
      <w:r>
        <w:rPr>
          <w:rFonts w:ascii="Times New Roman" w:hAnsi="Times New Roman"/>
          <w:color w:val="000000"/>
        </w:rPr>
        <w:t xml:space="preserve">neuplatňovanie </w:t>
      </w:r>
      <w:r w:rsidRPr="004B2597">
        <w:rPr>
          <w:rFonts w:ascii="Times New Roman" w:hAnsi="Times New Roman"/>
          <w:color w:val="000000"/>
        </w:rPr>
        <w:t>konštanty 2 pre úpravu čiastkového základu dane používaného na určenie vymeriavacieho základu na sociálne poistenie, minimálny vymeriavací základ vo výške 3,3</w:t>
      </w:r>
      <w:r>
        <w:rPr>
          <w:rFonts w:ascii="Times New Roman" w:hAnsi="Times New Roman"/>
          <w:color w:val="000000"/>
        </w:rPr>
        <w:t>-</w:t>
      </w:r>
      <w:r w:rsidRPr="004B2597">
        <w:rPr>
          <w:rFonts w:ascii="Times New Roman" w:hAnsi="Times New Roman"/>
          <w:color w:val="000000"/>
        </w:rPr>
        <w:t>násobku sumy platného životného minima pre jednu plnoletú fyzickú osobu</w:t>
      </w:r>
      <w:r w:rsidR="005C14D4">
        <w:rPr>
          <w:rFonts w:ascii="Times New Roman" w:hAnsi="Times New Roman"/>
          <w:color w:val="000000"/>
        </w:rPr>
        <w:t xml:space="preserve"> </w:t>
      </w:r>
      <w:r w:rsidRPr="008E7A7E" w:rsidR="005C14D4">
        <w:rPr>
          <w:rFonts w:ascii="Times New Roman" w:hAnsi="Times New Roman"/>
          <w:color w:val="000000"/>
        </w:rPr>
        <w:t>platnej k  1. januáru kalendárneho roka, za ktorý sa platí poistné na sociálne poistenie</w:t>
      </w:r>
      <w:r w:rsidRPr="004B2597">
        <w:rPr>
          <w:rFonts w:ascii="Times New Roman" w:hAnsi="Times New Roman"/>
          <w:color w:val="000000"/>
        </w:rPr>
        <w:t xml:space="preserve"> a maximálne poistné) predpokladá sa  zvýšenie priemerného vymeriavacieho základu SZČO na 725,3 eura. Na účely kvantifikácie bola ďalej použitá sadzba poistného na sociálne poistenie 13 % a počet 233 965 platiacich SZČO. Sadzba na starobné dôchodkové sporenie bola určená na 6,7 %, čo vzhľadom na výrazný nárast vymeriavacieho základu u SZČO bude znamenať zodpovedajúci rast príspevkov pre starobné dôchodkové sporenie.   </w:t>
      </w:r>
    </w:p>
    <w:p w:rsidR="00A22617" w:rsidRPr="004B2597" w:rsidP="00A86C7E">
      <w:pPr>
        <w:tabs>
          <w:tab w:val="left" w:pos="1701"/>
        </w:tabs>
        <w:bidi w:val="0"/>
        <w:spacing w:after="120"/>
        <w:ind w:left="709"/>
        <w:jc w:val="both"/>
        <w:rPr>
          <w:rFonts w:ascii="Times New Roman" w:hAnsi="Times New Roman"/>
          <w:color w:val="000000"/>
        </w:rPr>
      </w:pPr>
      <w:r w:rsidRPr="004B2597">
        <w:rPr>
          <w:rFonts w:ascii="Times New Roman" w:hAnsi="Times New Roman"/>
          <w:color w:val="000000"/>
        </w:rPr>
        <w:t>Pre kvantifikáciu vzniku poistenia odo dňa začatia výkonu</w:t>
      </w:r>
      <w:r w:rsidR="00D05D12">
        <w:rPr>
          <w:rFonts w:ascii="Times New Roman" w:hAnsi="Times New Roman"/>
          <w:color w:val="000000"/>
        </w:rPr>
        <w:t xml:space="preserve"> SZČO </w:t>
      </w:r>
      <w:r w:rsidRPr="004B2597">
        <w:rPr>
          <w:rFonts w:ascii="Times New Roman" w:hAnsi="Times New Roman"/>
          <w:color w:val="000000"/>
        </w:rPr>
        <w:t>s tým, že poistné by bolo doplatené v nasledujúcom kalendárnom roku po podaní daňového priznania</w:t>
      </w:r>
      <w:r>
        <w:rPr>
          <w:rFonts w:ascii="Times New Roman" w:hAnsi="Times New Roman"/>
          <w:color w:val="000000"/>
        </w:rPr>
        <w:t>,</w:t>
      </w:r>
      <w:r w:rsidRPr="004B2597">
        <w:rPr>
          <w:rFonts w:ascii="Times New Roman" w:hAnsi="Times New Roman"/>
          <w:color w:val="000000"/>
        </w:rPr>
        <w:t xml:space="preserve"> sa predpokladá 11 100 dotknutých osôb s minimálnym vymeriavacím základom a sadzbou poistného na sociálne poistenie 13 %. Prvýkrát zaplatené poistné by bolo teda až v roku 2013.  </w:t>
      </w:r>
    </w:p>
    <w:p w:rsidR="00A22617" w:rsidRPr="004B2597" w:rsidP="00A86C7E">
      <w:pPr>
        <w:tabs>
          <w:tab w:val="left" w:pos="1701"/>
        </w:tabs>
        <w:bidi w:val="0"/>
        <w:jc w:val="both"/>
        <w:rPr>
          <w:rFonts w:ascii="Times New Roman" w:hAnsi="Times New Roman"/>
          <w:b/>
          <w:color w:val="000000"/>
        </w:rPr>
      </w:pPr>
    </w:p>
    <w:p w:rsidR="00A22617" w:rsidRPr="0053270B" w:rsidP="00A86C7E">
      <w:pPr>
        <w:keepNext/>
        <w:numPr>
          <w:numId w:val="18"/>
        </w:numPr>
        <w:tabs>
          <w:tab w:val="left" w:pos="709"/>
          <w:tab w:val="left" w:pos="1701"/>
        </w:tabs>
        <w:bidi w:val="0"/>
        <w:spacing w:after="120"/>
        <w:ind w:left="714" w:hanging="357"/>
        <w:jc w:val="both"/>
        <w:rPr>
          <w:rFonts w:ascii="Times New Roman" w:hAnsi="Times New Roman"/>
          <w:b/>
          <w:color w:val="000000"/>
        </w:rPr>
      </w:pPr>
      <w:r w:rsidRPr="0053270B">
        <w:rPr>
          <w:rFonts w:ascii="Times New Roman" w:hAnsi="Times New Roman"/>
          <w:b/>
          <w:color w:val="000000"/>
        </w:rPr>
        <w:t>Zavedenie maximálneho poistného na sociálne poistenie</w:t>
      </w:r>
    </w:p>
    <w:p w:rsidR="00A22617" w:rsidRPr="004B2597" w:rsidP="00A86C7E">
      <w:pPr>
        <w:tabs>
          <w:tab w:val="left" w:pos="1701"/>
        </w:tabs>
        <w:bidi w:val="0"/>
        <w:spacing w:after="120"/>
        <w:ind w:left="709"/>
        <w:jc w:val="both"/>
        <w:rPr>
          <w:rFonts w:ascii="Times New Roman" w:hAnsi="Times New Roman"/>
          <w:color w:val="000000"/>
        </w:rPr>
      </w:pPr>
      <w:r w:rsidRPr="004B2597">
        <w:rPr>
          <w:rFonts w:ascii="Times New Roman" w:hAnsi="Times New Roman"/>
          <w:color w:val="000000"/>
        </w:rPr>
        <w:t xml:space="preserve">Predmetná zmena bola zohľadnená pri kvantifikáciách </w:t>
      </w:r>
      <w:r>
        <w:rPr>
          <w:rFonts w:ascii="Times New Roman" w:hAnsi="Times New Roman"/>
          <w:color w:val="000000"/>
        </w:rPr>
        <w:t>týkajúcich sa r</w:t>
      </w:r>
      <w:r w:rsidRPr="002850F6">
        <w:rPr>
          <w:rFonts w:ascii="Times New Roman" w:hAnsi="Times New Roman"/>
          <w:color w:val="000000"/>
        </w:rPr>
        <w:t>ozšírenia osobného rozsahu povinne sociálne poistených osôb, zmeny sadzby poistného na sociálne poistenie pre zamestnancov na 19 % z tzv. superhrubej mzdy</w:t>
      </w:r>
      <w:r w:rsidRPr="004B2597">
        <w:rPr>
          <w:rFonts w:ascii="Times New Roman" w:hAnsi="Times New Roman"/>
          <w:color w:val="000000"/>
        </w:rPr>
        <w:t xml:space="preserve"> </w:t>
      </w:r>
      <w:r>
        <w:rPr>
          <w:rFonts w:ascii="Times New Roman" w:hAnsi="Times New Roman"/>
          <w:color w:val="000000"/>
        </w:rPr>
        <w:t xml:space="preserve">a </w:t>
      </w:r>
      <w:r w:rsidRPr="002850F6">
        <w:rPr>
          <w:rFonts w:ascii="Times New Roman" w:hAnsi="Times New Roman"/>
          <w:color w:val="000000"/>
        </w:rPr>
        <w:t>nových podmienok sociálneho poistenia pre SZČO</w:t>
      </w:r>
      <w:r w:rsidRPr="004B2597">
        <w:rPr>
          <w:rFonts w:ascii="Times New Roman" w:hAnsi="Times New Roman"/>
          <w:color w:val="000000"/>
        </w:rPr>
        <w:t xml:space="preserve">. </w:t>
      </w:r>
    </w:p>
    <w:p w:rsidR="00A22617" w:rsidRPr="004B2597" w:rsidP="00A86C7E">
      <w:pPr>
        <w:tabs>
          <w:tab w:val="left" w:pos="1701"/>
        </w:tabs>
        <w:bidi w:val="0"/>
        <w:jc w:val="both"/>
        <w:rPr>
          <w:rFonts w:ascii="Times New Roman" w:hAnsi="Times New Roman"/>
          <w:b/>
          <w:color w:val="000000"/>
        </w:rPr>
      </w:pPr>
    </w:p>
    <w:p w:rsidR="00A22617" w:rsidRPr="0053270B" w:rsidP="00A86C7E">
      <w:pPr>
        <w:keepNext/>
        <w:numPr>
          <w:numId w:val="18"/>
        </w:numPr>
        <w:tabs>
          <w:tab w:val="left" w:pos="709"/>
          <w:tab w:val="left" w:pos="1701"/>
        </w:tabs>
        <w:bidi w:val="0"/>
        <w:spacing w:after="120"/>
        <w:ind w:left="714" w:hanging="357"/>
        <w:jc w:val="both"/>
        <w:rPr>
          <w:rFonts w:ascii="Times New Roman" w:hAnsi="Times New Roman"/>
          <w:b/>
          <w:color w:val="000000"/>
        </w:rPr>
      </w:pPr>
      <w:r w:rsidRPr="0053270B">
        <w:rPr>
          <w:rFonts w:ascii="Times New Roman" w:hAnsi="Times New Roman"/>
          <w:b/>
          <w:color w:val="000000"/>
        </w:rPr>
        <w:t>Poskytovanie garančnej dávky ako štátnej sociálnej dávky a úhrada neodvedených príspevkov zamestnávateľom na starobné dôchodkové sporenie zo štátneho rozpočtu</w:t>
      </w:r>
    </w:p>
    <w:p w:rsidR="00A22617" w:rsidRPr="004B2597" w:rsidP="00A86C7E">
      <w:pPr>
        <w:tabs>
          <w:tab w:val="left" w:pos="1701"/>
        </w:tabs>
        <w:bidi w:val="0"/>
        <w:spacing w:after="120"/>
        <w:ind w:left="709"/>
        <w:jc w:val="both"/>
        <w:rPr>
          <w:rFonts w:ascii="Times New Roman" w:hAnsi="Times New Roman"/>
          <w:color w:val="000000"/>
        </w:rPr>
      </w:pPr>
      <w:r w:rsidRPr="004B2597">
        <w:rPr>
          <w:rFonts w:ascii="Times New Roman" w:hAnsi="Times New Roman"/>
          <w:color w:val="000000"/>
        </w:rPr>
        <w:t xml:space="preserve"> V súvislosti s úhradou neodvedených príspevkov zamestnávateľom na starobné dôchodkové sporenie zo štátneho rozpočtu sa predpokladá, že predmetné príspevky zaplatené zamestnávateľom po 60. dňoch budú príjmom štátneho rozpočtu znížené o tvorbu správneho fondu Sociálnej poisťovne (z dôvodu, že vymáhanie bude v pôsobnosti Sociálnej poisťovne) v objeme 19,7 mil. eur</w:t>
      </w:r>
      <w:r w:rsidR="00B45C5E">
        <w:rPr>
          <w:rFonts w:ascii="Times New Roman" w:hAnsi="Times New Roman"/>
          <w:color w:val="000000"/>
        </w:rPr>
        <w:t>a</w:t>
      </w:r>
      <w:r w:rsidRPr="004B2597">
        <w:rPr>
          <w:rFonts w:ascii="Times New Roman" w:hAnsi="Times New Roman"/>
          <w:color w:val="000000"/>
        </w:rPr>
        <w:t xml:space="preserve"> pre rok 2012, 20,1 mil. eur</w:t>
      </w:r>
      <w:r w:rsidR="00B45C5E">
        <w:rPr>
          <w:rFonts w:ascii="Times New Roman" w:hAnsi="Times New Roman"/>
          <w:color w:val="000000"/>
        </w:rPr>
        <w:t>a</w:t>
      </w:r>
      <w:r w:rsidRPr="004B2597">
        <w:rPr>
          <w:rFonts w:ascii="Times New Roman" w:hAnsi="Times New Roman"/>
          <w:color w:val="000000"/>
        </w:rPr>
        <w:t xml:space="preserve"> pre rok 2013 a 20,1 mil. eur</w:t>
      </w:r>
      <w:r w:rsidR="00B45C5E">
        <w:rPr>
          <w:rFonts w:ascii="Times New Roman" w:hAnsi="Times New Roman"/>
          <w:color w:val="000000"/>
        </w:rPr>
        <w:t>a</w:t>
      </w:r>
      <w:r w:rsidRPr="004B2597">
        <w:rPr>
          <w:rFonts w:ascii="Times New Roman" w:hAnsi="Times New Roman"/>
          <w:color w:val="000000"/>
        </w:rPr>
        <w:t xml:space="preserve"> pre rok 2014. Na účely kvantifikácie sa vychádzalo z východísk rozpočtu Sociálnej poisťovne na roky 2012 až 2014, nakoľko tieto príjmy sú podľa súčasného právneho stavu príjmami Sociálnej poisťovne.</w:t>
      </w:r>
    </w:p>
    <w:p w:rsidR="00A22617" w:rsidRPr="004B2597" w:rsidP="00A86C7E">
      <w:pPr>
        <w:tabs>
          <w:tab w:val="left" w:pos="1701"/>
        </w:tabs>
        <w:bidi w:val="0"/>
        <w:jc w:val="both"/>
        <w:rPr>
          <w:rFonts w:ascii="Times New Roman" w:hAnsi="Times New Roman"/>
          <w:b/>
          <w:i/>
          <w:color w:val="000000"/>
        </w:rPr>
      </w:pPr>
    </w:p>
    <w:p w:rsidR="00A22617" w:rsidRPr="002850F6" w:rsidP="00A86C7E">
      <w:pPr>
        <w:keepNext/>
        <w:numPr>
          <w:numId w:val="18"/>
        </w:numPr>
        <w:tabs>
          <w:tab w:val="left" w:pos="709"/>
          <w:tab w:val="left" w:pos="1701"/>
        </w:tabs>
        <w:bidi w:val="0"/>
        <w:spacing w:after="120"/>
        <w:ind w:left="714" w:hanging="357"/>
        <w:jc w:val="both"/>
        <w:rPr>
          <w:rFonts w:ascii="Times New Roman" w:hAnsi="Times New Roman"/>
          <w:b/>
          <w:color w:val="000000"/>
        </w:rPr>
      </w:pPr>
      <w:r w:rsidRPr="002850F6">
        <w:rPr>
          <w:rFonts w:ascii="Times New Roman" w:hAnsi="Times New Roman"/>
          <w:b/>
          <w:color w:val="000000"/>
        </w:rPr>
        <w:t>Prispôsobenie sadzby poistného na sociálne poistenie platenej štátom a Sociálnou poisťovňou za zákonom ustanovený okruh osôb</w:t>
      </w:r>
    </w:p>
    <w:p w:rsidR="00CB71D1" w:rsidP="00A86C7E">
      <w:pPr>
        <w:tabs>
          <w:tab w:val="left" w:pos="1701"/>
        </w:tabs>
        <w:bidi w:val="0"/>
        <w:spacing w:after="120"/>
        <w:ind w:left="709"/>
        <w:jc w:val="both"/>
        <w:rPr>
          <w:rFonts w:ascii="Times New Roman" w:hAnsi="Times New Roman"/>
          <w:color w:val="000000"/>
        </w:rPr>
      </w:pPr>
      <w:r w:rsidRPr="004B2597" w:rsidR="00A22617">
        <w:rPr>
          <w:rFonts w:ascii="Times New Roman" w:hAnsi="Times New Roman"/>
          <w:color w:val="000000"/>
        </w:rPr>
        <w:t>Východiská rozpočtu Sociálnej poisťovne predpokladajú 173 629 poistencov štátu v roku 2012; 178 388 osôb v roku 2013 a 181 693 osôb v roku 2014. Zároveň východiská rozpočtu Sociálnej poisťovne predpokladajú 2 157 poberateľov úrazovej renty v roku 2012, za ktorých platí poistné Sociálna poisťovňa, 2 351 poberateľov v roku 2013 a 2 550 poberateľov v roku 2014. Kvantifikácia vychádza zo skutočnosti, že súčasná sadzba štátu 26 % na dôchodkové poistenie bude znížená na 19 %, sadzba Sociálnej poisťovne 18 % na starobné poistenie bude zvýšená na 19 %, pri zachovaní sadzby 6,7 % na starobné dôchodkové sporenie.</w:t>
      </w:r>
      <w:r>
        <w:rPr>
          <w:rFonts w:ascii="Times New Roman" w:hAnsi="Times New Roman"/>
          <w:color w:val="000000"/>
        </w:rPr>
        <w:t xml:space="preserve"> </w:t>
      </w:r>
    </w:p>
    <w:p w:rsidR="00CB71D1" w:rsidRPr="00A86C7E" w:rsidP="00A86C7E">
      <w:pPr>
        <w:numPr>
          <w:numId w:val="18"/>
        </w:numPr>
        <w:bidi w:val="0"/>
        <w:ind w:left="714" w:hanging="357"/>
        <w:jc w:val="both"/>
        <w:rPr>
          <w:rFonts w:ascii="Times New Roman" w:hAnsi="Times New Roman"/>
          <w:color w:val="000000"/>
        </w:rPr>
      </w:pPr>
      <w:r w:rsidRPr="00A86C7E">
        <w:rPr>
          <w:rFonts w:ascii="Times New Roman" w:hAnsi="Times New Roman"/>
          <w:b/>
          <w:color w:val="000000"/>
        </w:rPr>
        <w:t>Výpadok príjmov z poistného plateného zamestnávateľom z jedného percenta</w:t>
      </w:r>
      <w:r>
        <w:rPr>
          <w:rFonts w:ascii="Times New Roman" w:hAnsi="Times New Roman"/>
          <w:b/>
        </w:rPr>
        <w:t xml:space="preserve"> zo vstupnej ceny vozidla poskytnutého zamestnávateľom na používanie zamestnancovi na služobné aj súkromné účely</w:t>
      </w:r>
      <w:r w:rsidR="000E38F2">
        <w:rPr>
          <w:rFonts w:ascii="Times New Roman" w:hAnsi="Times New Roman"/>
          <w:b/>
        </w:rPr>
        <w:t>.</w:t>
      </w:r>
    </w:p>
    <w:p w:rsidR="008E381C" w:rsidRPr="004B2597" w:rsidP="00A86C7E">
      <w:pPr>
        <w:tabs>
          <w:tab w:val="left" w:pos="1701"/>
        </w:tabs>
        <w:bidi w:val="0"/>
        <w:spacing w:after="120"/>
        <w:ind w:left="708"/>
        <w:jc w:val="both"/>
        <w:rPr>
          <w:rFonts w:ascii="Times New Roman" w:hAnsi="Times New Roman"/>
          <w:color w:val="000000"/>
        </w:rPr>
      </w:pPr>
      <w:r w:rsidR="00CB71D1">
        <w:rPr>
          <w:rFonts w:ascii="Times New Roman" w:hAnsi="Times New Roman"/>
          <w:color w:val="000000"/>
        </w:rPr>
        <w:t xml:space="preserve">V súčasnosti ak zamestnávateľ poskytne zamestnancovi vozidlo na používanie na služobné aj súkromné účely, z 1 % zo vstupnej ceny tohto vozidla platí poistné zamestnanec aj zamestnávateľ. Vzhľadom k tomu, že pri úprave príjmu zo závislej činnosti nedochádza k zvýšeniu 1 %, </w:t>
      </w:r>
      <w:r w:rsidRPr="008B0F92">
        <w:rPr>
          <w:rFonts w:ascii="Times New Roman" w:hAnsi="Times New Roman"/>
          <w:color w:val="000000"/>
        </w:rPr>
        <w:t xml:space="preserve">prejaví sa uvedené vo výpadku príjmov Sociálnej poisťovne z dôvodu toho, že nedošlo k presunu poistného na sociálne poistenie </w:t>
      </w:r>
      <w:r w:rsidRPr="008B0F92" w:rsidR="00FA765B">
        <w:rPr>
          <w:rFonts w:ascii="Times New Roman" w:hAnsi="Times New Roman"/>
          <w:color w:val="000000"/>
        </w:rPr>
        <w:t xml:space="preserve">plateného </w:t>
      </w:r>
      <w:r w:rsidRPr="008B0F92">
        <w:rPr>
          <w:rFonts w:ascii="Times New Roman" w:hAnsi="Times New Roman"/>
          <w:color w:val="000000"/>
        </w:rPr>
        <w:t>zamestnávateľom na zamestnanca</w:t>
      </w:r>
      <w:r w:rsidRPr="008B0F92" w:rsidR="00D06F52">
        <w:rPr>
          <w:rFonts w:ascii="Times New Roman" w:hAnsi="Times New Roman"/>
          <w:color w:val="000000"/>
        </w:rPr>
        <w:t>. Výpadok príjmov S</w:t>
      </w:r>
      <w:r w:rsidRPr="008B0F92" w:rsidR="003E2554">
        <w:rPr>
          <w:rFonts w:ascii="Times New Roman" w:hAnsi="Times New Roman"/>
          <w:color w:val="000000"/>
        </w:rPr>
        <w:t>ociálnej poisťovne</w:t>
      </w:r>
      <w:r w:rsidRPr="008B0F92" w:rsidR="00D06F52">
        <w:rPr>
          <w:rFonts w:ascii="Times New Roman" w:hAnsi="Times New Roman"/>
          <w:color w:val="000000"/>
        </w:rPr>
        <w:t xml:space="preserve"> v roku 2012 sa predpokladá na úrovni 1,1 mil. eur, v roku 2013 približne 1,2 mil. eur a v roku 2014 na úrovni 1,3 mil</w:t>
      </w:r>
      <w:r w:rsidRPr="008B0F92">
        <w:rPr>
          <w:rFonts w:ascii="Times New Roman" w:hAnsi="Times New Roman"/>
          <w:color w:val="000000"/>
        </w:rPr>
        <w:t>.</w:t>
      </w:r>
      <w:r w:rsidRPr="008B0F92" w:rsidR="00D06F52">
        <w:rPr>
          <w:rFonts w:ascii="Times New Roman" w:hAnsi="Times New Roman"/>
          <w:color w:val="000000"/>
        </w:rPr>
        <w:t xml:space="preserve"> eur.</w:t>
      </w:r>
    </w:p>
    <w:p w:rsidR="00A22617" w:rsidRPr="004B2597" w:rsidP="00A86C7E">
      <w:pPr>
        <w:autoSpaceDE w:val="0"/>
        <w:autoSpaceDN w:val="0"/>
        <w:bidi w:val="0"/>
        <w:adjustRightInd w:val="0"/>
        <w:ind w:left="708"/>
        <w:jc w:val="both"/>
        <w:rPr>
          <w:rFonts w:ascii="Times New Roman" w:hAnsi="Times New Roman"/>
          <w:b/>
          <w:color w:val="000000"/>
          <w:szCs w:val="22"/>
        </w:rPr>
      </w:pPr>
    </w:p>
    <w:p w:rsidR="00A22617" w:rsidRPr="00672509" w:rsidP="00A86C7E">
      <w:pPr>
        <w:keepNext/>
        <w:bidi w:val="0"/>
        <w:spacing w:after="120"/>
        <w:ind w:left="567" w:hanging="283"/>
        <w:jc w:val="both"/>
        <w:rPr>
          <w:rFonts w:ascii="Times New Roman" w:hAnsi="Times New Roman"/>
          <w:u w:val="single"/>
        </w:rPr>
      </w:pPr>
      <w:r>
        <w:rPr>
          <w:rFonts w:ascii="Times New Roman" w:hAnsi="Times New Roman"/>
          <w:u w:val="single"/>
        </w:rPr>
        <w:t xml:space="preserve">II. </w:t>
      </w:r>
      <w:r w:rsidRPr="00672509">
        <w:rPr>
          <w:rFonts w:ascii="Times New Roman" w:hAnsi="Times New Roman"/>
          <w:u w:val="single"/>
        </w:rPr>
        <w:t>Kvantifikácia výdavkov</w:t>
      </w:r>
    </w:p>
    <w:p w:rsidR="00A22617" w:rsidRPr="004B2597" w:rsidP="00A86C7E">
      <w:pPr>
        <w:keepNext/>
        <w:autoSpaceDE w:val="0"/>
        <w:autoSpaceDN w:val="0"/>
        <w:bidi w:val="0"/>
        <w:adjustRightInd w:val="0"/>
        <w:ind w:firstLine="284"/>
        <w:jc w:val="both"/>
        <w:rPr>
          <w:rFonts w:ascii="Times New Roman" w:hAnsi="Times New Roman"/>
          <w:color w:val="000000"/>
          <w:szCs w:val="22"/>
        </w:rPr>
      </w:pPr>
      <w:r w:rsidRPr="004B2597">
        <w:rPr>
          <w:rFonts w:ascii="Times New Roman" w:hAnsi="Times New Roman"/>
          <w:color w:val="000000"/>
          <w:szCs w:val="22"/>
        </w:rPr>
        <w:t>Niektoré opatrenia v návrhu zákona o sociálnom poistení budú mať vplyv na nárast výdavkov Sociálnej poisťovne, nakoľko dávky sociálneho poistenia závisia od výšky vymeriavacieho základu, z ktorého sa platí poistné. V tejto časti je preto popísaný spôsob výpočtu výdavkov Sociálnej poisťovne pre predmetné opatrenia.</w:t>
      </w:r>
    </w:p>
    <w:p w:rsidR="00A22617" w:rsidRPr="004B2597" w:rsidP="00DA1E24">
      <w:pPr>
        <w:bidi w:val="0"/>
        <w:jc w:val="both"/>
        <w:rPr>
          <w:rFonts w:ascii="Times New Roman" w:hAnsi="Times New Roman"/>
          <w:color w:val="000000"/>
        </w:rPr>
      </w:pPr>
    </w:p>
    <w:p w:rsidR="00A22617" w:rsidRPr="00BE6B59" w:rsidP="00BE6B59">
      <w:pPr>
        <w:keepNext/>
        <w:numPr>
          <w:numId w:val="20"/>
        </w:numPr>
        <w:tabs>
          <w:tab w:val="left" w:pos="709"/>
        </w:tabs>
        <w:bidi w:val="0"/>
        <w:spacing w:after="120"/>
        <w:jc w:val="both"/>
        <w:rPr>
          <w:rFonts w:ascii="Times New Roman" w:hAnsi="Times New Roman"/>
          <w:b/>
          <w:color w:val="000000"/>
        </w:rPr>
      </w:pPr>
      <w:r w:rsidRPr="00BE6B59">
        <w:rPr>
          <w:rFonts w:ascii="Times New Roman" w:hAnsi="Times New Roman"/>
          <w:b/>
          <w:color w:val="000000"/>
        </w:rPr>
        <w:t>Úprava dobrovoľného poistenia na účely sociálneho poistenia</w:t>
      </w:r>
    </w:p>
    <w:p w:rsidR="00A22617" w:rsidRPr="004B2597" w:rsidP="00BE6B59">
      <w:pPr>
        <w:bidi w:val="0"/>
        <w:spacing w:after="120"/>
        <w:ind w:left="709"/>
        <w:jc w:val="both"/>
        <w:rPr>
          <w:rFonts w:ascii="Times New Roman" w:hAnsi="Times New Roman"/>
          <w:color w:val="000000"/>
        </w:rPr>
      </w:pPr>
      <w:r w:rsidRPr="004B2597">
        <w:rPr>
          <w:rFonts w:ascii="Times New Roman" w:hAnsi="Times New Roman"/>
          <w:color w:val="000000"/>
        </w:rPr>
        <w:t>Z východísk rozpočtu Sociálnej poisťovne na roky 2012 až 2014 boli určené predpokladané výdavky na nemocenské poistenie a poistenie v nezamestnanosti pre dobrovoľne poistené osoby vo výške 90,6 mil. eur</w:t>
      </w:r>
      <w:r w:rsidR="00454E80">
        <w:rPr>
          <w:rFonts w:ascii="Times New Roman" w:hAnsi="Times New Roman"/>
          <w:color w:val="000000"/>
        </w:rPr>
        <w:t>a</w:t>
      </w:r>
      <w:r w:rsidRPr="004B2597">
        <w:rPr>
          <w:rFonts w:ascii="Times New Roman" w:hAnsi="Times New Roman"/>
          <w:color w:val="000000"/>
        </w:rPr>
        <w:t xml:space="preserve"> v roku 2012; 99,1 mil. eur</w:t>
      </w:r>
      <w:r w:rsidR="00454E80">
        <w:rPr>
          <w:rFonts w:ascii="Times New Roman" w:hAnsi="Times New Roman"/>
          <w:color w:val="000000"/>
        </w:rPr>
        <w:t>a</w:t>
      </w:r>
      <w:r w:rsidRPr="004B2597">
        <w:rPr>
          <w:rFonts w:ascii="Times New Roman" w:hAnsi="Times New Roman"/>
          <w:color w:val="000000"/>
        </w:rPr>
        <w:t xml:space="preserve"> v roku 2013 a 108,3 mil. eur</w:t>
      </w:r>
      <w:r w:rsidR="00454E80">
        <w:rPr>
          <w:rFonts w:ascii="Times New Roman" w:hAnsi="Times New Roman"/>
          <w:color w:val="000000"/>
        </w:rPr>
        <w:t>a</w:t>
      </w:r>
      <w:r w:rsidRPr="004B2597">
        <w:rPr>
          <w:rFonts w:ascii="Times New Roman" w:hAnsi="Times New Roman"/>
          <w:color w:val="000000"/>
        </w:rPr>
        <w:t xml:space="preserve"> v roku 2014. V prvom roku sa počíta s nezmenenými výdavkami na dávku v nezamestnanosti, s výdavkami na nemocenské poistenie pre</w:t>
      </w:r>
      <w:r w:rsidR="00E129AB">
        <w:rPr>
          <w:rFonts w:ascii="Times New Roman" w:hAnsi="Times New Roman"/>
          <w:color w:val="000000"/>
        </w:rPr>
        <w:t xml:space="preserve"> SZČO </w:t>
      </w:r>
      <w:r w:rsidRPr="004B2597">
        <w:rPr>
          <w:rFonts w:ascii="Times New Roman" w:hAnsi="Times New Roman"/>
          <w:color w:val="000000"/>
        </w:rPr>
        <w:t>vo výške 40 %, s nezmenenými výdavkami na dávku materské pre dobrovoľne poistených aj SZČO, s 25 % nábehom starých výdavkov pre dobrovoľne poistené osoby a s nábehom nových prípadov zvýšených o 1,4</w:t>
      </w:r>
      <w:r w:rsidR="00454E80">
        <w:rPr>
          <w:rFonts w:ascii="Times New Roman" w:hAnsi="Times New Roman"/>
          <w:color w:val="000000"/>
        </w:rPr>
        <w:t>-</w:t>
      </w:r>
      <w:r w:rsidRPr="004B2597">
        <w:rPr>
          <w:rFonts w:ascii="Times New Roman" w:hAnsi="Times New Roman"/>
          <w:color w:val="000000"/>
        </w:rPr>
        <w:t xml:space="preserve">násobok rastu vymeriavacieho základu. Obdobne sa postupovalo v nasledujúcich rokoch.     </w:t>
      </w:r>
    </w:p>
    <w:p w:rsidR="00A22617" w:rsidRPr="004B2597" w:rsidP="00DA1E24">
      <w:pPr>
        <w:bidi w:val="0"/>
        <w:jc w:val="both"/>
        <w:rPr>
          <w:rFonts w:ascii="Times New Roman" w:hAnsi="Times New Roman"/>
          <w:color w:val="000000"/>
        </w:rPr>
      </w:pPr>
    </w:p>
    <w:p w:rsidR="00A22617" w:rsidRPr="00BE6B59" w:rsidP="00BE6B59">
      <w:pPr>
        <w:keepNext/>
        <w:numPr>
          <w:numId w:val="20"/>
        </w:numPr>
        <w:tabs>
          <w:tab w:val="left" w:pos="709"/>
        </w:tabs>
        <w:bidi w:val="0"/>
        <w:spacing w:after="120"/>
        <w:jc w:val="both"/>
        <w:rPr>
          <w:rFonts w:ascii="Times New Roman" w:hAnsi="Times New Roman"/>
          <w:b/>
          <w:color w:val="000000"/>
        </w:rPr>
      </w:pPr>
      <w:r w:rsidRPr="00BE6B59">
        <w:rPr>
          <w:rFonts w:ascii="Times New Roman" w:hAnsi="Times New Roman"/>
          <w:b/>
          <w:color w:val="000000"/>
        </w:rPr>
        <w:t>Poskytovanie garančnej dávky ako štátnej sociálnej dávky a úhrada neodvedených príspevkov zamestnávateľom na starobné dôchodkové sporenie zo štátneho rozpočtu</w:t>
      </w:r>
    </w:p>
    <w:p w:rsidR="00A22617" w:rsidRPr="004B2597" w:rsidP="00BE6B59">
      <w:pPr>
        <w:bidi w:val="0"/>
        <w:spacing w:after="120"/>
        <w:ind w:left="709"/>
        <w:jc w:val="both"/>
        <w:rPr>
          <w:rFonts w:ascii="Times New Roman" w:hAnsi="Times New Roman"/>
          <w:color w:val="000000"/>
        </w:rPr>
      </w:pPr>
      <w:r w:rsidRPr="004B2597">
        <w:rPr>
          <w:rFonts w:ascii="Times New Roman" w:hAnsi="Times New Roman"/>
          <w:color w:val="000000"/>
        </w:rPr>
        <w:t>Na základe východísk rozpočtu Sociálnej poisťovne na roky 2012 až 2014 sa predpokladajú výdavky Sociálnej poisťovne na garančnú dávku a na úhradu neodvedených príspevkov zamestnávateľom na starobné dôchodkové sporenie v objeme 48,1 mil. eur</w:t>
      </w:r>
      <w:r w:rsidR="00454E80">
        <w:rPr>
          <w:rFonts w:ascii="Times New Roman" w:hAnsi="Times New Roman"/>
          <w:color w:val="000000"/>
        </w:rPr>
        <w:t>a</w:t>
      </w:r>
      <w:r w:rsidRPr="004B2597">
        <w:rPr>
          <w:rFonts w:ascii="Times New Roman" w:hAnsi="Times New Roman"/>
          <w:color w:val="000000"/>
        </w:rPr>
        <w:t xml:space="preserve"> pre rok 2012, 51,0 mil. eur</w:t>
      </w:r>
      <w:r w:rsidR="00454E80">
        <w:rPr>
          <w:rFonts w:ascii="Times New Roman" w:hAnsi="Times New Roman"/>
          <w:color w:val="000000"/>
        </w:rPr>
        <w:t>a</w:t>
      </w:r>
      <w:r w:rsidRPr="004B2597">
        <w:rPr>
          <w:rFonts w:ascii="Times New Roman" w:hAnsi="Times New Roman"/>
          <w:color w:val="000000"/>
        </w:rPr>
        <w:t xml:space="preserve"> pre rok 2013 a 54,3 mil. eur</w:t>
      </w:r>
      <w:r w:rsidR="00454E80">
        <w:rPr>
          <w:rFonts w:ascii="Times New Roman" w:hAnsi="Times New Roman"/>
          <w:color w:val="000000"/>
        </w:rPr>
        <w:t>a</w:t>
      </w:r>
      <w:r w:rsidRPr="004B2597">
        <w:rPr>
          <w:rFonts w:ascii="Times New Roman" w:hAnsi="Times New Roman"/>
          <w:color w:val="000000"/>
        </w:rPr>
        <w:t xml:space="preserve"> pre rok 2014, ktoré podľa navrhovanej zmeny budú uhrádzané zo štátneho rozpočtu, čiže budú výdavkom kapitoly MPSVR SR v prípade garančnej dávky a MF SR v prípade úhrady neodvedených príspevkov zamestnávateľom na starobné dôchodkové sporenie a Sociálna poisťovňa bude navrhované opatrenia iba vykonávať. </w:t>
      </w:r>
    </w:p>
    <w:p w:rsidR="00A22617" w:rsidRPr="004B2597" w:rsidP="00DA1E24">
      <w:pPr>
        <w:bidi w:val="0"/>
        <w:jc w:val="both"/>
        <w:rPr>
          <w:rFonts w:ascii="Times New Roman" w:hAnsi="Times New Roman"/>
          <w:color w:val="000000"/>
        </w:rPr>
      </w:pPr>
    </w:p>
    <w:p w:rsidR="00A22617" w:rsidRPr="00BE6B59" w:rsidP="00BE6B59">
      <w:pPr>
        <w:keepNext/>
        <w:numPr>
          <w:numId w:val="20"/>
        </w:numPr>
        <w:tabs>
          <w:tab w:val="left" w:pos="709"/>
        </w:tabs>
        <w:bidi w:val="0"/>
        <w:spacing w:after="120"/>
        <w:jc w:val="both"/>
        <w:rPr>
          <w:rFonts w:ascii="Times New Roman" w:hAnsi="Times New Roman"/>
          <w:b/>
          <w:color w:val="000000"/>
        </w:rPr>
      </w:pPr>
      <w:r w:rsidRPr="00BE6B59">
        <w:rPr>
          <w:rFonts w:ascii="Times New Roman" w:hAnsi="Times New Roman"/>
          <w:b/>
          <w:color w:val="000000"/>
        </w:rPr>
        <w:t>Diferencovaná výška dávky v nezamestnanosti</w:t>
      </w:r>
    </w:p>
    <w:p w:rsidR="00A22617" w:rsidRPr="004B2597" w:rsidP="00BE6B59">
      <w:pPr>
        <w:bidi w:val="0"/>
        <w:spacing w:after="120"/>
        <w:ind w:left="709"/>
        <w:jc w:val="both"/>
        <w:rPr>
          <w:rFonts w:ascii="Times New Roman" w:hAnsi="Times New Roman"/>
          <w:color w:val="000000"/>
        </w:rPr>
      </w:pPr>
      <w:r w:rsidRPr="004B2597">
        <w:rPr>
          <w:rFonts w:ascii="Times New Roman" w:hAnsi="Times New Roman"/>
          <w:color w:val="000000"/>
        </w:rPr>
        <w:t>Kvantifikácia vychádza z percentuálneho rozloženia poberateľov dávky v nezamestnanosti podľa dĺžky doby jej poberania a podľa vekových skupín v roku 2010, keď do jedného mesiaca bolo 7 % poberateľov; od jedného do dvoch mesiacov 8 %; od dvoch do troch mesiacov 7 %; od troch do štyroch mesiacov 9 %; od štyroch do piatich mesiacov 7 % a od piatich do šiestich mesiacov 62 %. Pre prvé dva mesiace sa počíta so sadzbou dávky 65 %, pre druhé dva mesiace 45 % a posledné dva mesiace 35 %</w:t>
      </w:r>
      <w:r w:rsidR="00142B27">
        <w:rPr>
          <w:rFonts w:ascii="Times New Roman" w:hAnsi="Times New Roman"/>
          <w:color w:val="000000"/>
        </w:rPr>
        <w:t>.</w:t>
      </w:r>
      <w:r w:rsidRPr="004B2597">
        <w:rPr>
          <w:rFonts w:ascii="Times New Roman" w:hAnsi="Times New Roman"/>
          <w:color w:val="000000"/>
        </w:rPr>
        <w:t xml:space="preserve"> Z východísk rozpočtu Sociálnej poisťovne a simulatívnym nábehom navrhovaného právneho stavu je získané príslušné percentuálne zvýšenie výdavkov Sociálnej poisťovne. V prvom roku účinnosti 2012 sa počíta s ponechaním sumy dávky v nezamestnanosti pre dávky priznané na základe právnych predpisov účinných v minulom roku, tzn. staré prípady priznané pred 1.</w:t>
      </w:r>
      <w:r w:rsidR="005F1670">
        <w:rPr>
          <w:rFonts w:ascii="Times New Roman" w:hAnsi="Times New Roman"/>
          <w:color w:val="000000"/>
        </w:rPr>
        <w:t xml:space="preserve"> januárom </w:t>
      </w:r>
      <w:r w:rsidRPr="004B2597">
        <w:rPr>
          <w:rFonts w:ascii="Times New Roman" w:hAnsi="Times New Roman"/>
          <w:color w:val="000000"/>
        </w:rPr>
        <w:t>2012.</w:t>
      </w:r>
    </w:p>
    <w:p w:rsidR="00A22617" w:rsidRPr="004B2597" w:rsidP="00DA1E24">
      <w:pPr>
        <w:bidi w:val="0"/>
        <w:jc w:val="both"/>
        <w:rPr>
          <w:rFonts w:ascii="Times New Roman" w:hAnsi="Times New Roman"/>
          <w:color w:val="000000"/>
        </w:rPr>
      </w:pPr>
    </w:p>
    <w:p w:rsidR="00A22617" w:rsidRPr="00BE6B59" w:rsidP="00BE6B59">
      <w:pPr>
        <w:keepNext/>
        <w:numPr>
          <w:numId w:val="20"/>
        </w:numPr>
        <w:tabs>
          <w:tab w:val="left" w:pos="709"/>
        </w:tabs>
        <w:bidi w:val="0"/>
        <w:spacing w:after="120"/>
        <w:jc w:val="both"/>
        <w:rPr>
          <w:rFonts w:ascii="Times New Roman" w:hAnsi="Times New Roman"/>
          <w:b/>
          <w:color w:val="000000"/>
        </w:rPr>
      </w:pPr>
      <w:r w:rsidRPr="00BE6B59">
        <w:rPr>
          <w:rFonts w:ascii="Times New Roman" w:hAnsi="Times New Roman"/>
          <w:b/>
          <w:color w:val="000000"/>
        </w:rPr>
        <w:t>P</w:t>
      </w:r>
      <w:r w:rsidR="00C44944">
        <w:rPr>
          <w:rFonts w:ascii="Times New Roman" w:hAnsi="Times New Roman"/>
          <w:b/>
          <w:color w:val="000000"/>
        </w:rPr>
        <w:t>ostupný p</w:t>
      </w:r>
      <w:r w:rsidRPr="00BE6B59">
        <w:rPr>
          <w:rFonts w:ascii="Times New Roman" w:hAnsi="Times New Roman"/>
          <w:b/>
          <w:color w:val="000000"/>
        </w:rPr>
        <w:t>rechod na valorizačný mechanizmus prostredníctvom dôchodcovskej inflácie s účinnosťou od 1. januára 201</w:t>
      </w:r>
      <w:r w:rsidR="00C44944">
        <w:rPr>
          <w:rFonts w:ascii="Times New Roman" w:hAnsi="Times New Roman"/>
          <w:b/>
          <w:color w:val="000000"/>
        </w:rPr>
        <w:t>7, pričom počas prechodného obdobia (2013 až 2016)</w:t>
      </w:r>
      <w:r w:rsidR="002379CE">
        <w:rPr>
          <w:rFonts w:ascii="Times New Roman" w:hAnsi="Times New Roman"/>
          <w:b/>
          <w:color w:val="000000"/>
        </w:rPr>
        <w:t xml:space="preserve"> sa navrhuje zvyšovať</w:t>
      </w:r>
      <w:r w:rsidR="00C44944">
        <w:rPr>
          <w:rFonts w:ascii="Times New Roman" w:hAnsi="Times New Roman"/>
          <w:b/>
          <w:color w:val="000000"/>
        </w:rPr>
        <w:t xml:space="preserve"> dôchodkové dávky o pevnú sumu</w:t>
      </w:r>
      <w:r w:rsidR="000E38F2">
        <w:rPr>
          <w:rFonts w:ascii="Times New Roman" w:hAnsi="Times New Roman"/>
          <w:b/>
          <w:color w:val="000000"/>
        </w:rPr>
        <w:t>.</w:t>
      </w:r>
    </w:p>
    <w:p w:rsidR="00A22617" w:rsidP="00BE6B59">
      <w:pPr>
        <w:bidi w:val="0"/>
        <w:spacing w:after="120"/>
        <w:ind w:left="709"/>
        <w:jc w:val="both"/>
        <w:rPr>
          <w:rFonts w:ascii="Times New Roman" w:hAnsi="Times New Roman"/>
          <w:color w:val="000000"/>
        </w:rPr>
      </w:pPr>
      <w:r w:rsidRPr="004B2597">
        <w:rPr>
          <w:rFonts w:ascii="Times New Roman" w:hAnsi="Times New Roman"/>
          <w:color w:val="000000"/>
        </w:rPr>
        <w:t>V súlade s</w:t>
      </w:r>
      <w:r w:rsidR="0014082E">
        <w:rPr>
          <w:rFonts w:ascii="Times New Roman" w:hAnsi="Times New Roman"/>
          <w:color w:val="000000"/>
        </w:rPr>
        <w:t xml:space="preserve"> aktuálnou makroekonomickou prognózou IFP z júna 2011 </w:t>
      </w:r>
      <w:r w:rsidRPr="004B2597">
        <w:rPr>
          <w:rFonts w:ascii="Times New Roman" w:hAnsi="Times New Roman"/>
          <w:color w:val="000000"/>
        </w:rPr>
        <w:t>kvantifikácia predpokladala valorizáciu v roku 2013 vo výške 4,5 % a v roku 2014 vo výške 4,</w:t>
      </w:r>
      <w:r w:rsidR="0014082E">
        <w:rPr>
          <w:rFonts w:ascii="Times New Roman" w:hAnsi="Times New Roman"/>
          <w:color w:val="000000"/>
        </w:rPr>
        <w:t>9</w:t>
      </w:r>
      <w:r w:rsidRPr="004B2597">
        <w:rPr>
          <w:rFonts w:ascii="Times New Roman" w:hAnsi="Times New Roman"/>
          <w:color w:val="000000"/>
        </w:rPr>
        <w:t xml:space="preserve"> %. Tieto percentuálne zvýšenia znamenajú výdavky na dôchodkové dávky v sume 2</w:t>
      </w:r>
      <w:r w:rsidR="0014082E">
        <w:rPr>
          <w:rFonts w:ascii="Times New Roman" w:hAnsi="Times New Roman"/>
          <w:color w:val="000000"/>
        </w:rPr>
        <w:t>60,3</w:t>
      </w:r>
      <w:r w:rsidRPr="004B2597">
        <w:rPr>
          <w:rFonts w:ascii="Times New Roman" w:hAnsi="Times New Roman"/>
          <w:color w:val="000000"/>
        </w:rPr>
        <w:t xml:space="preserve"> mil. eur</w:t>
      </w:r>
      <w:r w:rsidR="005F1670">
        <w:rPr>
          <w:rFonts w:ascii="Times New Roman" w:hAnsi="Times New Roman"/>
          <w:color w:val="000000"/>
        </w:rPr>
        <w:t>a</w:t>
      </w:r>
      <w:r w:rsidRPr="004B2597">
        <w:rPr>
          <w:rFonts w:ascii="Times New Roman" w:hAnsi="Times New Roman"/>
          <w:color w:val="000000"/>
        </w:rPr>
        <w:t xml:space="preserve"> v roku 2013 a 29</w:t>
      </w:r>
      <w:r w:rsidR="0014082E">
        <w:rPr>
          <w:rFonts w:ascii="Times New Roman" w:hAnsi="Times New Roman"/>
          <w:color w:val="000000"/>
        </w:rPr>
        <w:t>9</w:t>
      </w:r>
      <w:r w:rsidRPr="004B2597">
        <w:rPr>
          <w:rFonts w:ascii="Times New Roman" w:hAnsi="Times New Roman"/>
          <w:color w:val="000000"/>
        </w:rPr>
        <w:t>,</w:t>
      </w:r>
      <w:r w:rsidR="0014082E">
        <w:rPr>
          <w:rFonts w:ascii="Times New Roman" w:hAnsi="Times New Roman"/>
          <w:color w:val="000000"/>
        </w:rPr>
        <w:t>9</w:t>
      </w:r>
      <w:r w:rsidRPr="004B2597">
        <w:rPr>
          <w:rFonts w:ascii="Times New Roman" w:hAnsi="Times New Roman"/>
          <w:color w:val="000000"/>
        </w:rPr>
        <w:t xml:space="preserve"> mil. eur</w:t>
      </w:r>
      <w:r w:rsidR="005F1670">
        <w:rPr>
          <w:rFonts w:ascii="Times New Roman" w:hAnsi="Times New Roman"/>
          <w:color w:val="000000"/>
        </w:rPr>
        <w:t>a</w:t>
      </w:r>
      <w:r w:rsidRPr="004B2597">
        <w:rPr>
          <w:rFonts w:ascii="Times New Roman" w:hAnsi="Times New Roman"/>
          <w:color w:val="000000"/>
        </w:rPr>
        <w:t xml:space="preserve"> v roku 2014. Pre výpočet nových výdavkov na valorizáciu dôchodkových dávok bol použitý index rastu spotrebiteľských cien pre domácnosti dôchodcov 3,</w:t>
      </w:r>
      <w:r w:rsidR="0014082E">
        <w:rPr>
          <w:rFonts w:ascii="Times New Roman" w:hAnsi="Times New Roman"/>
          <w:color w:val="000000"/>
        </w:rPr>
        <w:t>8</w:t>
      </w:r>
      <w:r w:rsidRPr="004B2597">
        <w:rPr>
          <w:rFonts w:ascii="Times New Roman" w:hAnsi="Times New Roman"/>
          <w:color w:val="000000"/>
        </w:rPr>
        <w:t xml:space="preserve"> % pre rok 2013 a 3,</w:t>
      </w:r>
      <w:r w:rsidR="0014082E">
        <w:rPr>
          <w:rFonts w:ascii="Times New Roman" w:hAnsi="Times New Roman"/>
          <w:color w:val="000000"/>
        </w:rPr>
        <w:t>6</w:t>
      </w:r>
      <w:r w:rsidRPr="004B2597">
        <w:rPr>
          <w:rFonts w:ascii="Times New Roman" w:hAnsi="Times New Roman"/>
          <w:color w:val="000000"/>
        </w:rPr>
        <w:t xml:space="preserve"> % pre rok 2014  podľa prognózy IFP. Na účely valorizácie úrazových dávok bol použitý index rastu spotrebiteľských cien 3,</w:t>
      </w:r>
      <w:r w:rsidR="0014082E">
        <w:rPr>
          <w:rFonts w:ascii="Times New Roman" w:hAnsi="Times New Roman"/>
          <w:color w:val="000000"/>
        </w:rPr>
        <w:t>5</w:t>
      </w:r>
      <w:r w:rsidRPr="004B2597">
        <w:rPr>
          <w:rFonts w:ascii="Times New Roman" w:hAnsi="Times New Roman"/>
          <w:color w:val="000000"/>
        </w:rPr>
        <w:t xml:space="preserve"> % pre rok 2013 a 3,</w:t>
      </w:r>
      <w:r w:rsidR="0014082E">
        <w:rPr>
          <w:rFonts w:ascii="Times New Roman" w:hAnsi="Times New Roman"/>
          <w:color w:val="000000"/>
        </w:rPr>
        <w:t>5</w:t>
      </w:r>
      <w:r w:rsidRPr="004B2597">
        <w:rPr>
          <w:rFonts w:ascii="Times New Roman" w:hAnsi="Times New Roman"/>
          <w:color w:val="000000"/>
        </w:rPr>
        <w:t xml:space="preserve"> % pre rok 2014 taktiež podľa prognózy IFP.</w:t>
      </w:r>
      <w:r w:rsidR="001B6511">
        <w:rPr>
          <w:rFonts w:ascii="Times New Roman" w:hAnsi="Times New Roman"/>
          <w:color w:val="000000"/>
        </w:rPr>
        <w:t xml:space="preserve"> </w:t>
      </w:r>
    </w:p>
    <w:p w:rsidR="00A22617" w:rsidRPr="004B2597" w:rsidP="000E38F2">
      <w:pPr>
        <w:bidi w:val="0"/>
        <w:spacing w:after="120"/>
        <w:ind w:left="709"/>
        <w:jc w:val="both"/>
        <w:rPr>
          <w:rFonts w:ascii="Times New Roman" w:hAnsi="Times New Roman"/>
          <w:color w:val="000000"/>
        </w:rPr>
      </w:pPr>
      <w:r w:rsidR="00FA72C0">
        <w:rPr>
          <w:rFonts w:ascii="Times New Roman" w:hAnsi="Times New Roman"/>
          <w:color w:val="000000"/>
        </w:rPr>
        <w:t xml:space="preserve">     </w:t>
      </w:r>
    </w:p>
    <w:p w:rsidR="00A22617" w:rsidRPr="00BE6B59" w:rsidP="00550D57">
      <w:pPr>
        <w:keepNext/>
        <w:numPr>
          <w:numId w:val="20"/>
        </w:numPr>
        <w:tabs>
          <w:tab w:val="left" w:pos="709"/>
        </w:tabs>
        <w:bidi w:val="0"/>
        <w:spacing w:after="120"/>
        <w:jc w:val="both"/>
        <w:rPr>
          <w:rFonts w:ascii="Times New Roman" w:hAnsi="Times New Roman"/>
          <w:b/>
          <w:color w:val="000000"/>
        </w:rPr>
      </w:pPr>
      <w:r>
        <w:rPr>
          <w:rFonts w:ascii="Times New Roman" w:hAnsi="Times New Roman"/>
          <w:b/>
          <w:bCs/>
          <w:color w:val="000000"/>
        </w:rPr>
        <w:t>Rozšírenie použitia OMB v hodnote 0,67 na vybraných poistencov vo veku do 20 rokov</w:t>
      </w:r>
      <w:r w:rsidRPr="00BE6B59">
        <w:rPr>
          <w:rFonts w:ascii="Times New Roman" w:hAnsi="Times New Roman"/>
          <w:b/>
          <w:color w:val="000000"/>
        </w:rPr>
        <w:t xml:space="preserve"> </w:t>
      </w:r>
    </w:p>
    <w:p w:rsidR="00A22617" w:rsidRPr="004B2597" w:rsidP="00BE6B59">
      <w:pPr>
        <w:bidi w:val="0"/>
        <w:spacing w:after="120"/>
        <w:ind w:left="709"/>
        <w:jc w:val="both"/>
        <w:rPr>
          <w:rFonts w:ascii="Times New Roman" w:hAnsi="Times New Roman"/>
          <w:color w:val="000000"/>
        </w:rPr>
      </w:pPr>
      <w:r w:rsidRPr="004B2597">
        <w:rPr>
          <w:rFonts w:ascii="Times New Roman" w:hAnsi="Times New Roman"/>
          <w:color w:val="000000"/>
        </w:rPr>
        <w:t xml:space="preserve">Kvantifikácia vychádza z predpokladu, že ročne v kategórii poistencov do 20 rokov bude priznaných 160 invalidných dôchodkov, pričom vplyvom novej zmeny dôjde k zníženiu jeho mesačnej výšky o 162,8 eura. V ďalších rokoch sa počítalo s nábehom nových prípadov a valorizáciou v súlade s makroekonomickou prognózou IFP. </w:t>
      </w:r>
    </w:p>
    <w:p w:rsidR="00A22617" w:rsidRPr="004B2597" w:rsidP="00DA1E24">
      <w:pPr>
        <w:autoSpaceDE w:val="0"/>
        <w:autoSpaceDN w:val="0"/>
        <w:bidi w:val="0"/>
        <w:adjustRightInd w:val="0"/>
        <w:jc w:val="both"/>
        <w:rPr>
          <w:rFonts w:ascii="Times New Roman" w:hAnsi="Times New Roman"/>
          <w:color w:val="000000"/>
          <w:szCs w:val="22"/>
        </w:rPr>
      </w:pPr>
    </w:p>
    <w:p w:rsidR="00A22617" w:rsidRPr="00550D57" w:rsidP="00550D57">
      <w:pPr>
        <w:keepNext/>
        <w:numPr>
          <w:numId w:val="20"/>
        </w:numPr>
        <w:tabs>
          <w:tab w:val="left" w:pos="709"/>
        </w:tabs>
        <w:bidi w:val="0"/>
        <w:spacing w:after="120"/>
        <w:jc w:val="both"/>
        <w:rPr>
          <w:rFonts w:ascii="Times New Roman" w:hAnsi="Times New Roman"/>
          <w:b/>
          <w:color w:val="000000"/>
        </w:rPr>
      </w:pPr>
      <w:r w:rsidRPr="00550D57">
        <w:rPr>
          <w:rFonts w:ascii="Times New Roman" w:hAnsi="Times New Roman"/>
          <w:b/>
          <w:color w:val="000000"/>
        </w:rPr>
        <w:t>Úprava materského</w:t>
      </w:r>
    </w:p>
    <w:p w:rsidR="00656390" w:rsidP="00AF73A5">
      <w:pPr>
        <w:bidi w:val="0"/>
        <w:spacing w:after="120"/>
        <w:ind w:left="709"/>
        <w:jc w:val="both"/>
        <w:rPr>
          <w:rFonts w:ascii="Times New Roman" w:hAnsi="Times New Roman"/>
          <w:color w:val="000000"/>
        </w:rPr>
      </w:pPr>
      <w:r w:rsidRPr="004B2597" w:rsidR="00A22617">
        <w:rPr>
          <w:rFonts w:ascii="Times New Roman" w:hAnsi="Times New Roman"/>
          <w:color w:val="000000"/>
        </w:rPr>
        <w:t>Vo východiskách rozpočtu Sociálnej poisťovne na roky 2012 až 2014 sú predpokladané výdavky na nemocenské dávky vo výške 468,2 mil. eur</w:t>
      </w:r>
      <w:r w:rsidR="005F1670">
        <w:rPr>
          <w:rFonts w:ascii="Times New Roman" w:hAnsi="Times New Roman"/>
          <w:color w:val="000000"/>
        </w:rPr>
        <w:t>a</w:t>
      </w:r>
      <w:r w:rsidRPr="004B2597" w:rsidR="00A22617">
        <w:rPr>
          <w:rFonts w:ascii="Times New Roman" w:hAnsi="Times New Roman"/>
          <w:color w:val="000000"/>
        </w:rPr>
        <w:t xml:space="preserve"> v roku 2012; 518,4 mil. eur</w:t>
      </w:r>
      <w:r w:rsidR="005F1670">
        <w:rPr>
          <w:rFonts w:ascii="Times New Roman" w:hAnsi="Times New Roman"/>
          <w:color w:val="000000"/>
        </w:rPr>
        <w:t>a</w:t>
      </w:r>
      <w:r w:rsidRPr="004B2597" w:rsidR="00A22617">
        <w:rPr>
          <w:rFonts w:ascii="Times New Roman" w:hAnsi="Times New Roman"/>
          <w:color w:val="000000"/>
        </w:rPr>
        <w:t xml:space="preserve"> v roku 2013 a 571,8 mil. eur</w:t>
      </w:r>
      <w:r w:rsidR="005F1670">
        <w:rPr>
          <w:rFonts w:ascii="Times New Roman" w:hAnsi="Times New Roman"/>
          <w:color w:val="000000"/>
        </w:rPr>
        <w:t>a</w:t>
      </w:r>
      <w:r w:rsidRPr="004B2597" w:rsidR="00A22617">
        <w:rPr>
          <w:rFonts w:ascii="Times New Roman" w:hAnsi="Times New Roman"/>
          <w:color w:val="000000"/>
        </w:rPr>
        <w:t xml:space="preserve"> v roku 2014. Kvantifikácia ďalej vychádzala z predpokladu, že dávka materské má celkovú váhu 29,2 % z uvedených celkových výdavkov, pričom nové výdavky boli určené prostredníctvom koeficientu 1,27. Pri výpočte celkového finančného vplyvu na verejnú správu bola zohľadnená úspora pre štátny rozpočet (kapitolu MPSVR SR) z dôvodu nižšieho čerpania rodičovského a vyššie výdavky pre rozpočtové kapitoly osobitného systému (MO SR, MF SR, MS SR a MV SR)</w:t>
      </w:r>
      <w:r w:rsidR="00A22617">
        <w:rPr>
          <w:rFonts w:ascii="Times New Roman" w:hAnsi="Times New Roman"/>
          <w:color w:val="000000"/>
        </w:rPr>
        <w:t>.</w:t>
      </w:r>
    </w:p>
    <w:p w:rsidR="004A4D30" w:rsidP="00AF73A5">
      <w:pPr>
        <w:bidi w:val="0"/>
        <w:spacing w:after="120"/>
        <w:ind w:left="709"/>
        <w:jc w:val="both"/>
        <w:rPr>
          <w:rFonts w:ascii="Times New Roman" w:hAnsi="Times New Roman"/>
          <w:color w:val="000000"/>
        </w:rPr>
        <w:sectPr w:rsidSect="00E8387D">
          <w:headerReference w:type="default" r:id="rId8"/>
          <w:footerReference w:type="even" r:id="rId9"/>
          <w:footerReference w:type="default" r:id="rId10"/>
          <w:headerReference w:type="first" r:id="rId11"/>
          <w:pgSz w:w="11906" w:h="16838"/>
          <w:pgMar w:top="1134" w:right="1417" w:bottom="993" w:left="1417" w:header="708" w:footer="708" w:gutter="0"/>
          <w:lnNumType w:distance="0"/>
          <w:pgNumType w:start="0"/>
          <w:cols w:space="708"/>
          <w:noEndnote w:val="0"/>
          <w:titlePg/>
          <w:bidi w:val="0"/>
          <w:docGrid w:linePitch="360"/>
        </w:sectPr>
      </w:pPr>
    </w:p>
    <w:p w:rsidR="004A4D30" w:rsidP="006727E0">
      <w:pPr>
        <w:pStyle w:val="NormalWeb"/>
        <w:bidi w:val="0"/>
        <w:spacing w:before="0" w:beforeAutospacing="0" w:after="120" w:afterAutospacing="0"/>
        <w:ind w:right="-1"/>
        <w:jc w:val="right"/>
        <w:rPr>
          <w:rFonts w:ascii="Times New Roman" w:hAnsi="Times New Roman"/>
          <w:sz w:val="22"/>
          <w:szCs w:val="22"/>
        </w:rPr>
      </w:pPr>
      <w:r w:rsidR="006727E0">
        <w:rPr>
          <w:rFonts w:ascii="Times New Roman" w:hAnsi="Times New Roman"/>
          <w:sz w:val="22"/>
          <w:szCs w:val="22"/>
        </w:rPr>
        <w:t xml:space="preserve">Tabuľka č. </w:t>
      </w:r>
      <w:r w:rsidR="005D2E9C">
        <w:rPr>
          <w:rFonts w:ascii="Times New Roman" w:hAnsi="Times New Roman"/>
          <w:sz w:val="22"/>
          <w:szCs w:val="22"/>
        </w:rPr>
        <w:t>5</w:t>
      </w:r>
    </w:p>
    <w:tbl>
      <w:tblPr>
        <w:tblStyle w:val="TableNormal"/>
        <w:tblW w:w="13056" w:type="dxa"/>
        <w:tblInd w:w="939" w:type="dxa"/>
        <w:tblLook w:val="00A0"/>
      </w:tblPr>
      <w:tblGrid>
        <w:gridCol w:w="9"/>
        <w:gridCol w:w="1260"/>
        <w:gridCol w:w="4110"/>
        <w:gridCol w:w="1572"/>
        <w:gridCol w:w="1559"/>
        <w:gridCol w:w="1560"/>
        <w:gridCol w:w="1559"/>
        <w:gridCol w:w="1427"/>
      </w:tblGrid>
      <w:tr>
        <w:tblPrEx>
          <w:tblW w:w="13056" w:type="dxa"/>
          <w:tblInd w:w="939" w:type="dxa"/>
          <w:tblLook w:val="00A0"/>
        </w:tblPrEx>
        <w:trPr>
          <w:gridBefore w:val="1"/>
          <w:wBefore w:w="9" w:type="dxa"/>
          <w:trHeight w:val="315"/>
        </w:trPr>
        <w:tc>
          <w:tcPr>
            <w:tcW w:w="1260" w:type="dxa"/>
            <w:tcBorders>
              <w:top w:val="single" w:sz="4" w:space="0" w:color="auto"/>
              <w:left w:val="single" w:sz="4" w:space="0" w:color="auto"/>
              <w:bottom w:val="nil"/>
              <w:right w:val="nil"/>
            </w:tcBorders>
            <w:shd w:val="clear" w:color="000000" w:fill="000000"/>
            <w:noWrap/>
            <w:textDirection w:val="lrTb"/>
            <w:vAlign w:val="bottom"/>
          </w:tcPr>
          <w:p w:rsidR="00A231F2" w:rsidRPr="00705F05" w:rsidP="00A231F2">
            <w:pPr>
              <w:bidi w:val="0"/>
              <w:spacing w:before="60" w:after="60"/>
              <w:rPr>
                <w:rFonts w:ascii="Times New Roman" w:hAnsi="Times New Roman"/>
                <w:b/>
                <w:bCs/>
                <w:color w:val="FFFFFF"/>
                <w:sz w:val="20"/>
                <w:szCs w:val="20"/>
                <w:lang w:eastAsia="en-US"/>
              </w:rPr>
            </w:pPr>
            <w:r w:rsidRPr="00705F05">
              <w:rPr>
                <w:rFonts w:ascii="Times New Roman" w:hAnsi="Times New Roman"/>
                <w:b/>
                <w:bCs/>
                <w:color w:val="FFFFFF"/>
                <w:sz w:val="20"/>
                <w:szCs w:val="20"/>
                <w:lang w:eastAsia="en-US"/>
              </w:rPr>
              <w:t> </w:t>
            </w:r>
          </w:p>
        </w:tc>
        <w:tc>
          <w:tcPr>
            <w:tcW w:w="4110" w:type="dxa"/>
            <w:tcBorders>
              <w:top w:val="single" w:sz="4" w:space="0" w:color="auto"/>
              <w:left w:val="nil"/>
              <w:bottom w:val="nil"/>
              <w:right w:val="nil"/>
            </w:tcBorders>
            <w:shd w:val="clear" w:color="000000" w:fill="000000"/>
            <w:noWrap/>
            <w:textDirection w:val="lrTb"/>
            <w:vAlign w:val="bottom"/>
          </w:tcPr>
          <w:p w:rsidR="00A231F2" w:rsidRPr="00705F05" w:rsidP="00A231F2">
            <w:pPr>
              <w:bidi w:val="0"/>
              <w:spacing w:before="60" w:after="60"/>
              <w:rPr>
                <w:rFonts w:ascii="Times New Roman" w:hAnsi="Times New Roman"/>
                <w:b/>
                <w:bCs/>
                <w:color w:val="FFFFFF"/>
                <w:sz w:val="20"/>
                <w:szCs w:val="20"/>
                <w:lang w:eastAsia="en-US"/>
              </w:rPr>
            </w:pPr>
            <w:r w:rsidRPr="00705F05">
              <w:rPr>
                <w:rFonts w:ascii="Times New Roman" w:hAnsi="Times New Roman"/>
                <w:b/>
                <w:bCs/>
                <w:color w:val="FFFFFF"/>
                <w:sz w:val="20"/>
                <w:szCs w:val="20"/>
              </w:rPr>
              <w:t>Príjmy (</w:t>
            </w:r>
            <w:r>
              <w:rPr>
                <w:rFonts w:ascii="Times New Roman" w:hAnsi="Times New Roman"/>
                <w:b/>
                <w:bCs/>
                <w:color w:val="FFFFFF"/>
                <w:sz w:val="20"/>
                <w:szCs w:val="20"/>
              </w:rPr>
              <w:t xml:space="preserve">ESA 95, </w:t>
            </w:r>
            <w:r w:rsidRPr="00705F05">
              <w:rPr>
                <w:rFonts w:ascii="Times New Roman" w:hAnsi="Times New Roman"/>
                <w:b/>
                <w:bCs/>
                <w:color w:val="FFFFFF"/>
                <w:sz w:val="20"/>
                <w:szCs w:val="20"/>
              </w:rPr>
              <w:t>v eurách)</w:t>
            </w:r>
          </w:p>
        </w:tc>
        <w:tc>
          <w:tcPr>
            <w:tcW w:w="6250" w:type="dxa"/>
            <w:gridSpan w:val="4"/>
            <w:tcBorders>
              <w:top w:val="single" w:sz="4" w:space="0" w:color="auto"/>
              <w:left w:val="nil"/>
              <w:bottom w:val="nil"/>
              <w:right w:val="nil"/>
            </w:tcBorders>
            <w:shd w:val="clear" w:color="000000" w:fill="000000"/>
            <w:noWrap/>
            <w:textDirection w:val="lrTb"/>
            <w:vAlign w:val="bottom"/>
          </w:tcPr>
          <w:p w:rsidR="00A231F2" w:rsidRPr="00705F05" w:rsidP="00A231F2">
            <w:pPr>
              <w:bidi w:val="0"/>
              <w:spacing w:before="120" w:after="120"/>
              <w:jc w:val="center"/>
              <w:rPr>
                <w:rFonts w:ascii="Times New Roman" w:hAnsi="Times New Roman"/>
                <w:b/>
                <w:bCs/>
                <w:color w:val="FFFFFF"/>
                <w:sz w:val="20"/>
                <w:szCs w:val="20"/>
                <w:lang w:eastAsia="en-US"/>
              </w:rPr>
            </w:pPr>
            <w:r w:rsidRPr="00705F05">
              <w:rPr>
                <w:rFonts w:ascii="Times New Roman" w:hAnsi="Times New Roman"/>
                <w:b/>
                <w:bCs/>
                <w:color w:val="FFFFFF"/>
                <w:sz w:val="20"/>
                <w:szCs w:val="20"/>
              </w:rPr>
              <w:t>Vplyv na rozpočet verejnej správy</w:t>
            </w:r>
          </w:p>
        </w:tc>
        <w:tc>
          <w:tcPr>
            <w:tcW w:w="1427" w:type="dxa"/>
            <w:vMerge w:val="restart"/>
            <w:tcBorders>
              <w:top w:val="single" w:sz="4" w:space="0" w:color="auto"/>
              <w:left w:val="nil"/>
              <w:bottom w:val="none" w:sz="0" w:space="0" w:color="auto"/>
              <w:right w:val="nil"/>
            </w:tcBorders>
            <w:shd w:val="clear" w:color="000000" w:fill="000000"/>
            <w:textDirection w:val="lrTb"/>
            <w:vAlign w:val="center"/>
          </w:tcPr>
          <w:p w:rsidR="00A231F2" w:rsidRPr="00705F05" w:rsidP="00A231F2">
            <w:pPr>
              <w:pStyle w:val="NormalWeb"/>
              <w:bidi w:val="0"/>
              <w:spacing w:before="60" w:beforeAutospacing="0" w:after="60" w:afterAutospacing="0"/>
              <w:jc w:val="center"/>
              <w:rPr>
                <w:rFonts w:ascii="Times New Roman" w:hAnsi="Times New Roman"/>
                <w:sz w:val="20"/>
                <w:szCs w:val="20"/>
              </w:rPr>
            </w:pPr>
            <w:r w:rsidRPr="00705F05">
              <w:rPr>
                <w:rFonts w:ascii="Times New Roman" w:hAnsi="Times New Roman"/>
                <w:b/>
                <w:bCs/>
                <w:color w:val="FFFFFF"/>
                <w:sz w:val="20"/>
                <w:szCs w:val="20"/>
              </w:rPr>
              <w:t>Poznámka</w:t>
            </w:r>
          </w:p>
        </w:tc>
      </w:tr>
      <w:tr>
        <w:tblPrEx>
          <w:tblW w:w="13056" w:type="dxa"/>
          <w:tblInd w:w="939" w:type="dxa"/>
          <w:tblLook w:val="00A0"/>
        </w:tblPrEx>
        <w:trPr>
          <w:gridBefore w:val="1"/>
          <w:wBefore w:w="9" w:type="dxa"/>
          <w:trHeight w:val="315"/>
        </w:trPr>
        <w:tc>
          <w:tcPr>
            <w:tcW w:w="1260" w:type="dxa"/>
            <w:tcBorders>
              <w:top w:val="nil"/>
              <w:left w:val="single" w:sz="4" w:space="0" w:color="auto"/>
              <w:bottom w:val="nil"/>
              <w:right w:val="nil"/>
            </w:tcBorders>
            <w:shd w:val="clear" w:color="000000" w:fill="000000"/>
            <w:noWrap/>
            <w:textDirection w:val="lrTb"/>
            <w:vAlign w:val="bottom"/>
          </w:tcPr>
          <w:p w:rsidR="00A231F2" w:rsidRPr="00705F05" w:rsidP="00A231F2">
            <w:pPr>
              <w:bidi w:val="0"/>
              <w:spacing w:before="60" w:after="60"/>
              <w:rPr>
                <w:rFonts w:ascii="Times New Roman" w:hAnsi="Times New Roman"/>
                <w:b/>
                <w:bCs/>
                <w:color w:val="FFFFFF"/>
                <w:sz w:val="20"/>
                <w:szCs w:val="20"/>
                <w:lang w:eastAsia="en-US"/>
              </w:rPr>
            </w:pPr>
            <w:r w:rsidRPr="00705F05">
              <w:rPr>
                <w:rFonts w:ascii="Times New Roman" w:hAnsi="Times New Roman"/>
                <w:b/>
                <w:bCs/>
                <w:color w:val="FFFFFF"/>
                <w:sz w:val="20"/>
                <w:szCs w:val="20"/>
                <w:lang w:eastAsia="en-US"/>
              </w:rPr>
              <w:t> </w:t>
            </w:r>
          </w:p>
        </w:tc>
        <w:tc>
          <w:tcPr>
            <w:tcW w:w="4110" w:type="dxa"/>
            <w:tcBorders>
              <w:top w:val="nil"/>
              <w:left w:val="nil"/>
              <w:bottom w:val="nil"/>
              <w:right w:val="nil"/>
            </w:tcBorders>
            <w:shd w:val="clear" w:color="000000" w:fill="000000"/>
            <w:noWrap/>
            <w:textDirection w:val="lrTb"/>
            <w:vAlign w:val="bottom"/>
          </w:tcPr>
          <w:p w:rsidR="00A231F2" w:rsidRPr="00705F05" w:rsidP="00A231F2">
            <w:pPr>
              <w:bidi w:val="0"/>
              <w:spacing w:before="120" w:after="120"/>
              <w:rPr>
                <w:rFonts w:ascii="Times New Roman" w:hAnsi="Times New Roman"/>
                <w:b/>
                <w:bCs/>
                <w:color w:val="FFFFFF"/>
                <w:sz w:val="20"/>
                <w:szCs w:val="20"/>
                <w:u w:val="single"/>
                <w:lang w:eastAsia="en-US"/>
              </w:rPr>
            </w:pPr>
            <w:r>
              <w:rPr>
                <w:rFonts w:ascii="Times New Roman" w:hAnsi="Times New Roman"/>
                <w:b/>
                <w:bCs/>
                <w:color w:val="FFFFFF"/>
                <w:sz w:val="20"/>
                <w:szCs w:val="20"/>
                <w:u w:val="single"/>
                <w:lang w:eastAsia="en-US"/>
              </w:rPr>
              <w:t>Sociálna poisťovňa</w:t>
            </w:r>
          </w:p>
        </w:tc>
        <w:tc>
          <w:tcPr>
            <w:tcW w:w="1572" w:type="dxa"/>
            <w:tcBorders>
              <w:top w:val="nil"/>
              <w:left w:val="nil"/>
              <w:bottom w:val="nil"/>
              <w:right w:val="nil"/>
            </w:tcBorders>
            <w:shd w:val="clear" w:color="000000" w:fill="000000"/>
            <w:noWrap/>
            <w:textDirection w:val="lrTb"/>
            <w:vAlign w:val="bottom"/>
          </w:tcPr>
          <w:p w:rsidR="00A231F2" w:rsidRPr="00705F05" w:rsidP="00A231F2">
            <w:pPr>
              <w:bidi w:val="0"/>
              <w:spacing w:before="120" w:after="120"/>
              <w:jc w:val="center"/>
              <w:rPr>
                <w:rFonts w:ascii="Times New Roman" w:hAnsi="Times New Roman"/>
                <w:b/>
                <w:bCs/>
                <w:color w:val="FFFFFF"/>
                <w:sz w:val="20"/>
                <w:szCs w:val="20"/>
                <w:lang w:eastAsia="en-US"/>
              </w:rPr>
            </w:pPr>
            <w:r w:rsidRPr="00705F05">
              <w:rPr>
                <w:rFonts w:ascii="Times New Roman" w:hAnsi="Times New Roman"/>
                <w:b/>
                <w:bCs/>
                <w:color w:val="FFFFFF"/>
                <w:sz w:val="20"/>
                <w:szCs w:val="20"/>
                <w:lang w:eastAsia="en-US"/>
              </w:rPr>
              <w:t>2011</w:t>
            </w:r>
          </w:p>
        </w:tc>
        <w:tc>
          <w:tcPr>
            <w:tcW w:w="1559" w:type="dxa"/>
            <w:tcBorders>
              <w:top w:val="nil"/>
              <w:left w:val="nil"/>
              <w:bottom w:val="nil"/>
              <w:right w:val="nil"/>
            </w:tcBorders>
            <w:shd w:val="clear" w:color="000000" w:fill="000000"/>
            <w:noWrap/>
            <w:textDirection w:val="lrTb"/>
            <w:vAlign w:val="bottom"/>
          </w:tcPr>
          <w:p w:rsidR="00A231F2" w:rsidRPr="00705F05" w:rsidP="00A231F2">
            <w:pPr>
              <w:bidi w:val="0"/>
              <w:spacing w:before="120" w:after="120"/>
              <w:jc w:val="center"/>
              <w:rPr>
                <w:rFonts w:ascii="Times New Roman" w:hAnsi="Times New Roman"/>
                <w:b/>
                <w:bCs/>
                <w:color w:val="FFFFFF"/>
                <w:sz w:val="20"/>
                <w:szCs w:val="20"/>
                <w:lang w:eastAsia="en-US"/>
              </w:rPr>
            </w:pPr>
            <w:r w:rsidRPr="00705F05">
              <w:rPr>
                <w:rFonts w:ascii="Times New Roman" w:hAnsi="Times New Roman"/>
                <w:b/>
                <w:bCs/>
                <w:color w:val="FFFFFF"/>
                <w:sz w:val="20"/>
                <w:szCs w:val="20"/>
                <w:lang w:eastAsia="en-US"/>
              </w:rPr>
              <w:t>2012</w:t>
            </w:r>
          </w:p>
        </w:tc>
        <w:tc>
          <w:tcPr>
            <w:tcW w:w="1560" w:type="dxa"/>
            <w:tcBorders>
              <w:top w:val="nil"/>
              <w:left w:val="nil"/>
              <w:bottom w:val="nil"/>
              <w:right w:val="nil"/>
            </w:tcBorders>
            <w:shd w:val="clear" w:color="000000" w:fill="000000"/>
            <w:noWrap/>
            <w:textDirection w:val="lrTb"/>
            <w:vAlign w:val="bottom"/>
          </w:tcPr>
          <w:p w:rsidR="00A231F2" w:rsidRPr="00705F05" w:rsidP="00A231F2">
            <w:pPr>
              <w:bidi w:val="0"/>
              <w:spacing w:before="120" w:after="120"/>
              <w:jc w:val="center"/>
              <w:rPr>
                <w:rFonts w:ascii="Times New Roman" w:hAnsi="Times New Roman"/>
                <w:b/>
                <w:bCs/>
                <w:color w:val="FFFFFF"/>
                <w:sz w:val="20"/>
                <w:szCs w:val="20"/>
                <w:lang w:eastAsia="en-US"/>
              </w:rPr>
            </w:pPr>
            <w:r w:rsidRPr="00705F05">
              <w:rPr>
                <w:rFonts w:ascii="Times New Roman" w:hAnsi="Times New Roman"/>
                <w:b/>
                <w:bCs/>
                <w:color w:val="FFFFFF"/>
                <w:sz w:val="20"/>
                <w:szCs w:val="20"/>
                <w:lang w:eastAsia="en-US"/>
              </w:rPr>
              <w:t>2013</w:t>
            </w:r>
          </w:p>
        </w:tc>
        <w:tc>
          <w:tcPr>
            <w:tcW w:w="1559" w:type="dxa"/>
            <w:tcBorders>
              <w:top w:val="nil"/>
              <w:left w:val="nil"/>
              <w:bottom w:val="nil"/>
              <w:right w:val="nil"/>
            </w:tcBorders>
            <w:shd w:val="clear" w:color="000000" w:fill="000000"/>
            <w:noWrap/>
            <w:textDirection w:val="lrTb"/>
            <w:vAlign w:val="bottom"/>
          </w:tcPr>
          <w:p w:rsidR="00A231F2" w:rsidRPr="00705F05" w:rsidP="00A231F2">
            <w:pPr>
              <w:bidi w:val="0"/>
              <w:spacing w:before="120" w:after="120"/>
              <w:jc w:val="center"/>
              <w:rPr>
                <w:rFonts w:ascii="Times New Roman" w:hAnsi="Times New Roman"/>
                <w:b/>
                <w:bCs/>
                <w:color w:val="FFFFFF"/>
                <w:sz w:val="20"/>
                <w:szCs w:val="20"/>
                <w:lang w:eastAsia="en-US"/>
              </w:rPr>
            </w:pPr>
            <w:r w:rsidRPr="00705F05">
              <w:rPr>
                <w:rFonts w:ascii="Times New Roman" w:hAnsi="Times New Roman"/>
                <w:b/>
                <w:bCs/>
                <w:color w:val="FFFFFF"/>
                <w:sz w:val="20"/>
                <w:szCs w:val="20"/>
                <w:lang w:eastAsia="en-US"/>
              </w:rPr>
              <w:t>2014</w:t>
            </w:r>
          </w:p>
        </w:tc>
        <w:tc>
          <w:tcPr>
            <w:tcW w:w="1427" w:type="dxa"/>
            <w:vMerge/>
            <w:tcBorders>
              <w:top w:val="none" w:sz="0" w:space="0" w:color="auto"/>
              <w:left w:val="nil"/>
              <w:bottom w:val="nil"/>
              <w:right w:val="nil"/>
            </w:tcBorders>
            <w:shd w:val="clear" w:color="000000" w:fill="000000"/>
            <w:textDirection w:val="lrTb"/>
            <w:vAlign w:val="center"/>
          </w:tcPr>
          <w:p w:rsidR="00A231F2" w:rsidRPr="00705F05" w:rsidP="00A231F2">
            <w:pPr>
              <w:bidi w:val="0"/>
              <w:spacing w:before="60" w:after="60"/>
              <w:rPr>
                <w:rFonts w:ascii="Times New Roman" w:hAnsi="Times New Roman"/>
                <w:sz w:val="20"/>
                <w:szCs w:val="20"/>
              </w:rPr>
            </w:pPr>
          </w:p>
        </w:tc>
      </w:tr>
      <w:tr>
        <w:tblPrEx>
          <w:tblW w:w="13056"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E412C" w:rsidRPr="00823883" w:rsidP="00A231F2">
            <w:pPr>
              <w:bidi w:val="0"/>
              <w:spacing w:before="60" w:after="60"/>
              <w:jc w:val="right"/>
              <w:rPr>
                <w:rFonts w:ascii="Times New Roman" w:hAnsi="Times New Roman"/>
                <w:b/>
                <w:bCs/>
                <w:color w:val="000000"/>
                <w:sz w:val="20"/>
                <w:szCs w:val="20"/>
                <w:lang w:eastAsia="zh-CN"/>
              </w:rPr>
            </w:pPr>
            <w:r w:rsidRPr="00823883">
              <w:rPr>
                <w:rFonts w:ascii="Times New Roman" w:hAnsi="Times New Roman"/>
                <w:b/>
                <w:bCs/>
                <w:color w:val="000000"/>
                <w:sz w:val="20"/>
                <w:szCs w:val="20"/>
                <w:lang w:eastAsia="zh-CN"/>
              </w:rPr>
              <w:t>100+300+400</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CE412C" w:rsidRPr="00823883" w:rsidP="00A231F2">
            <w:pPr>
              <w:bidi w:val="0"/>
              <w:spacing w:before="60" w:after="60"/>
              <w:rPr>
                <w:rFonts w:ascii="Times New Roman" w:hAnsi="Times New Roman"/>
                <w:b/>
                <w:bCs/>
                <w:color w:val="000000"/>
                <w:sz w:val="20"/>
                <w:szCs w:val="20"/>
                <w:lang w:eastAsia="zh-CN"/>
              </w:rPr>
            </w:pPr>
            <w:r w:rsidRPr="00823883">
              <w:rPr>
                <w:rFonts w:ascii="Times New Roman" w:hAnsi="Times New Roman"/>
                <w:b/>
                <w:bCs/>
                <w:color w:val="000000"/>
                <w:sz w:val="20"/>
                <w:szCs w:val="20"/>
                <w:lang w:eastAsia="zh-CN"/>
              </w:rPr>
              <w:t>Celkový vplyv na príjmy</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CE412C" w:rsidRPr="00823883"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CE412C" w:rsidRPr="00823883"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-68 381 623</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CE412C" w:rsidRPr="00823883"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-71 453 751</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CE412C" w:rsidRPr="00772706"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-74 804 356</w:t>
            </w:r>
          </w:p>
        </w:tc>
        <w:tc>
          <w:tcPr>
            <w:tcW w:w="1427" w:type="dxa"/>
            <w:vMerge w:val="restart"/>
            <w:tcBorders>
              <w:top w:val="single" w:sz="4" w:space="0" w:color="auto"/>
              <w:left w:val="single" w:sz="4" w:space="0" w:color="auto"/>
              <w:bottom w:val="single" w:sz="4" w:space="0" w:color="auto"/>
              <w:right w:val="single" w:sz="4" w:space="0" w:color="auto"/>
            </w:tcBorders>
            <w:textDirection w:val="lrTb"/>
            <w:vAlign w:val="top"/>
          </w:tcPr>
          <w:p w:rsidR="00CE412C" w:rsidRPr="00705F05" w:rsidP="00A231F2">
            <w:pPr>
              <w:bidi w:val="0"/>
              <w:spacing w:before="60" w:after="60"/>
              <w:jc w:val="right"/>
              <w:rPr>
                <w:rFonts w:ascii="Times New Roman" w:hAnsi="Times New Roman"/>
                <w:b/>
                <w:bCs/>
                <w:color w:val="000000"/>
                <w:sz w:val="20"/>
                <w:szCs w:val="20"/>
                <w:lang w:eastAsia="zh-CN"/>
              </w:rPr>
            </w:pPr>
          </w:p>
        </w:tc>
      </w:tr>
      <w:tr>
        <w:tblPrEx>
          <w:tblW w:w="13056"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b/>
                <w:bCs/>
                <w:color w:val="000000"/>
                <w:sz w:val="20"/>
                <w:szCs w:val="20"/>
                <w:lang w:eastAsia="zh-CN"/>
              </w:rPr>
            </w:pPr>
            <w:r w:rsidRPr="00823883">
              <w:rPr>
                <w:rFonts w:ascii="Times New Roman" w:hAnsi="Times New Roman"/>
                <w:b/>
                <w:bCs/>
                <w:color w:val="000000"/>
                <w:sz w:val="20"/>
                <w:szCs w:val="20"/>
                <w:lang w:eastAsia="zh-CN"/>
              </w:rPr>
              <w:t>100</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rPr>
                <w:rFonts w:ascii="Times New Roman" w:hAnsi="Times New Roman"/>
                <w:b/>
                <w:bCs/>
                <w:color w:val="000000"/>
                <w:sz w:val="20"/>
                <w:szCs w:val="20"/>
                <w:lang w:eastAsia="zh-CN"/>
              </w:rPr>
            </w:pPr>
            <w:r w:rsidRPr="00823883">
              <w:rPr>
                <w:rFonts w:ascii="Times New Roman" w:hAnsi="Times New Roman"/>
                <w:b/>
                <w:bCs/>
                <w:color w:val="000000"/>
                <w:sz w:val="20"/>
                <w:szCs w:val="20"/>
                <w:lang w:eastAsia="zh-CN"/>
              </w:rPr>
              <w:t>Daňové príjmy</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-1 456 632 179</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-1 518 186 550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772706"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-1 627 553 794</w:t>
            </w:r>
          </w:p>
        </w:tc>
        <w:tc>
          <w:tcPr>
            <w:tcW w:w="1427" w:type="dxa"/>
            <w:vMerge/>
            <w:tcBorders>
              <w:top w:val="single" w:sz="4" w:space="0" w:color="auto"/>
              <w:left w:val="single" w:sz="4" w:space="0" w:color="auto"/>
              <w:bottom w:val="single" w:sz="4" w:space="0" w:color="auto"/>
              <w:right w:val="single" w:sz="4" w:space="0" w:color="auto"/>
            </w:tcBorders>
            <w:textDirection w:val="lrTb"/>
            <w:vAlign w:val="top"/>
          </w:tcPr>
          <w:p w:rsidR="00B603A8" w:rsidRPr="00705F05" w:rsidP="00A231F2">
            <w:pPr>
              <w:bidi w:val="0"/>
              <w:spacing w:before="60" w:after="60"/>
              <w:jc w:val="right"/>
              <w:rPr>
                <w:rFonts w:ascii="Times New Roman" w:hAnsi="Times New Roman"/>
                <w:b/>
                <w:bCs/>
                <w:color w:val="000000"/>
                <w:sz w:val="20"/>
                <w:szCs w:val="20"/>
                <w:lang w:eastAsia="zh-CN"/>
              </w:rPr>
            </w:pPr>
          </w:p>
        </w:tc>
      </w:tr>
      <w:tr>
        <w:tblPrEx>
          <w:tblW w:w="13056"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150</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Poistné</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-1 456 632 179</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-1 518 186 550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-1 627 553 794</w:t>
            </w:r>
          </w:p>
        </w:tc>
        <w:tc>
          <w:tcPr>
            <w:tcW w:w="1427" w:type="dxa"/>
            <w:vMerge/>
            <w:tcBorders>
              <w:top w:val="single" w:sz="4" w:space="0" w:color="auto"/>
              <w:left w:val="single" w:sz="4" w:space="0" w:color="auto"/>
              <w:bottom w:val="single" w:sz="4" w:space="0" w:color="auto"/>
              <w:right w:val="single" w:sz="4" w:space="0" w:color="auto"/>
            </w:tcBorders>
            <w:textDirection w:val="lrTb"/>
            <w:vAlign w:val="top"/>
          </w:tcPr>
          <w:p w:rsidR="00B603A8" w:rsidRPr="00705F05" w:rsidP="00A231F2">
            <w:pPr>
              <w:bidi w:val="0"/>
              <w:spacing w:before="60" w:after="60"/>
              <w:jc w:val="right"/>
              <w:rPr>
                <w:rFonts w:ascii="Times New Roman" w:hAnsi="Times New Roman"/>
                <w:color w:val="000000"/>
                <w:sz w:val="20"/>
                <w:szCs w:val="20"/>
                <w:lang w:eastAsia="zh-CN"/>
              </w:rPr>
            </w:pPr>
          </w:p>
        </w:tc>
      </w:tr>
      <w:tr>
        <w:tblPrEx>
          <w:tblW w:w="13056"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603A8"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lang w:eastAsia="zh-CN"/>
              </w:rPr>
              <w:t>151-153</w:t>
            </w:r>
          </w:p>
          <w:p w:rsidR="00B603A8" w:rsidRPr="00823883"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 xml:space="preserve"> 155-158</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Sociálne poistenie</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-1 456 632 179</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-1 518 186 550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-1 627 553 794</w:t>
            </w:r>
          </w:p>
        </w:tc>
        <w:tc>
          <w:tcPr>
            <w:tcW w:w="1427" w:type="dxa"/>
            <w:vMerge/>
            <w:tcBorders>
              <w:top w:val="single" w:sz="4" w:space="0" w:color="auto"/>
              <w:left w:val="single" w:sz="4" w:space="0" w:color="auto"/>
              <w:bottom w:val="single" w:sz="4" w:space="0" w:color="auto"/>
              <w:right w:val="single" w:sz="4" w:space="0" w:color="auto"/>
            </w:tcBorders>
            <w:textDirection w:val="lrTb"/>
            <w:vAlign w:val="top"/>
          </w:tcPr>
          <w:p w:rsidR="00B603A8" w:rsidRPr="00705F05" w:rsidP="00A231F2">
            <w:pPr>
              <w:bidi w:val="0"/>
              <w:spacing w:before="60" w:after="60"/>
              <w:jc w:val="right"/>
              <w:rPr>
                <w:rFonts w:ascii="Times New Roman" w:hAnsi="Times New Roman"/>
                <w:color w:val="000000"/>
                <w:sz w:val="20"/>
                <w:szCs w:val="20"/>
                <w:lang w:eastAsia="zh-CN"/>
              </w:rPr>
            </w:pPr>
          </w:p>
        </w:tc>
      </w:tr>
      <w:tr>
        <w:tblPrEx>
          <w:tblW w:w="13056"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603A8"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lang w:eastAsia="zh-CN"/>
              </w:rPr>
              <w:t>151-153</w:t>
            </w:r>
          </w:p>
          <w:p w:rsidR="00B603A8" w:rsidRPr="00823883"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155-158</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A86C7E" w:rsidP="00A231F2">
            <w:pPr>
              <w:bidi w:val="0"/>
              <w:spacing w:before="60" w:after="60"/>
              <w:rPr>
                <w:rFonts w:ascii="Times New Roman" w:hAnsi="Times New Roman"/>
                <w:color w:val="000000"/>
                <w:sz w:val="20"/>
                <w:szCs w:val="20"/>
                <w:lang w:eastAsia="zh-CN"/>
              </w:rPr>
            </w:pPr>
            <w:r w:rsidRPr="00A86C7E">
              <w:rPr>
                <w:rFonts w:ascii="Times New Roman" w:hAnsi="Times New Roman"/>
                <w:color w:val="000000"/>
                <w:sz w:val="20"/>
                <w:szCs w:val="20"/>
                <w:lang w:eastAsia="zh-CN"/>
              </w:rPr>
              <w:t xml:space="preserve">   - EAO</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-1 407 973 446</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-1 466 826 825</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-1 572 843 463</w:t>
            </w:r>
          </w:p>
        </w:tc>
        <w:tc>
          <w:tcPr>
            <w:tcW w:w="1427" w:type="dxa"/>
            <w:vMerge/>
            <w:tcBorders>
              <w:top w:val="single" w:sz="4" w:space="0" w:color="auto"/>
              <w:left w:val="single" w:sz="4" w:space="0" w:color="auto"/>
              <w:bottom w:val="single" w:sz="4" w:space="0" w:color="auto"/>
              <w:right w:val="single" w:sz="4" w:space="0" w:color="auto"/>
            </w:tcBorders>
            <w:textDirection w:val="lrTb"/>
            <w:vAlign w:val="top"/>
          </w:tcPr>
          <w:p w:rsidR="00B603A8" w:rsidRPr="00705F05" w:rsidP="00A231F2">
            <w:pPr>
              <w:bidi w:val="0"/>
              <w:spacing w:before="60" w:after="60"/>
              <w:jc w:val="right"/>
              <w:rPr>
                <w:rFonts w:ascii="Times New Roman" w:hAnsi="Times New Roman"/>
                <w:color w:val="000000"/>
                <w:sz w:val="20"/>
                <w:szCs w:val="20"/>
                <w:lang w:eastAsia="zh-CN"/>
              </w:rPr>
            </w:pPr>
          </w:p>
        </w:tc>
      </w:tr>
      <w:tr>
        <w:tblPrEx>
          <w:tblW w:w="13056"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E412C" w:rsidRPr="00823883" w:rsidP="00A231F2">
            <w:pPr>
              <w:bidi w:val="0"/>
              <w:spacing w:before="60" w:after="60"/>
              <w:jc w:val="right"/>
              <w:rPr>
                <w:rFonts w:ascii="Times New Roman" w:hAnsi="Times New Roman"/>
                <w:color w:val="000000"/>
                <w:sz w:val="20"/>
                <w:szCs w:val="20"/>
                <w:lang w:eastAsia="zh-CN"/>
              </w:rPr>
            </w:pP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CE412C" w:rsidRPr="00A86C7E" w:rsidP="00A231F2">
            <w:pPr>
              <w:bidi w:val="0"/>
              <w:spacing w:before="60" w:after="60"/>
              <w:rPr>
                <w:rFonts w:ascii="Times New Roman" w:hAnsi="Times New Roman"/>
                <w:color w:val="000000"/>
                <w:sz w:val="20"/>
                <w:szCs w:val="20"/>
                <w:lang w:eastAsia="zh-CN"/>
              </w:rPr>
            </w:pPr>
            <w:r w:rsidRPr="00A86C7E">
              <w:rPr>
                <w:rFonts w:ascii="Times New Roman" w:hAnsi="Times New Roman"/>
                <w:color w:val="000000"/>
                <w:sz w:val="20"/>
                <w:szCs w:val="20"/>
                <w:lang w:eastAsia="zh-CN"/>
              </w:rPr>
              <w:t xml:space="preserve">      - z toho: motorové vozidlo</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CE412C"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CE412C"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-1 067 638</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CE412C"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-1 149 741</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CE412C"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-1 248 655</w:t>
            </w:r>
          </w:p>
        </w:tc>
        <w:tc>
          <w:tcPr>
            <w:tcW w:w="1427" w:type="dxa"/>
            <w:vMerge/>
            <w:tcBorders>
              <w:top w:val="single" w:sz="4" w:space="0" w:color="auto"/>
              <w:left w:val="single" w:sz="4" w:space="0" w:color="auto"/>
              <w:bottom w:val="single" w:sz="4" w:space="0" w:color="auto"/>
              <w:right w:val="single" w:sz="4" w:space="0" w:color="auto"/>
            </w:tcBorders>
            <w:textDirection w:val="lrTb"/>
            <w:vAlign w:val="top"/>
          </w:tcPr>
          <w:p w:rsidR="00CE412C" w:rsidRPr="00705F05" w:rsidP="00A231F2">
            <w:pPr>
              <w:bidi w:val="0"/>
              <w:spacing w:before="60" w:after="60"/>
              <w:jc w:val="right"/>
              <w:rPr>
                <w:rFonts w:ascii="Times New Roman" w:hAnsi="Times New Roman"/>
                <w:color w:val="000000"/>
                <w:sz w:val="20"/>
                <w:szCs w:val="20"/>
                <w:lang w:eastAsia="zh-CN"/>
              </w:rPr>
            </w:pPr>
          </w:p>
        </w:tc>
      </w:tr>
      <w:tr>
        <w:tblPrEx>
          <w:tblW w:w="13056"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603A8"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lang w:eastAsia="zh-CN"/>
              </w:rPr>
              <w:t>152-153</w:t>
            </w:r>
          </w:p>
          <w:p w:rsidR="00B603A8" w:rsidRPr="00823883"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157-158</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A86C7E" w:rsidP="00A231F2">
            <w:pPr>
              <w:bidi w:val="0"/>
              <w:spacing w:before="60" w:after="60"/>
              <w:rPr>
                <w:rFonts w:ascii="Times New Roman" w:hAnsi="Times New Roman"/>
                <w:color w:val="000000"/>
                <w:sz w:val="20"/>
                <w:szCs w:val="20"/>
                <w:lang w:eastAsia="zh-CN"/>
              </w:rPr>
            </w:pPr>
            <w:r w:rsidRPr="00A86C7E">
              <w:rPr>
                <w:rFonts w:ascii="Times New Roman" w:hAnsi="Times New Roman"/>
                <w:color w:val="000000"/>
                <w:sz w:val="20"/>
                <w:szCs w:val="20"/>
                <w:lang w:eastAsia="zh-CN"/>
              </w:rPr>
              <w:t xml:space="preserve">   - poistné platené štátom</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-48 658 733</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-51 359 726</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-54 710 331</w:t>
            </w:r>
          </w:p>
        </w:tc>
        <w:tc>
          <w:tcPr>
            <w:tcW w:w="1427" w:type="dxa"/>
            <w:vMerge/>
            <w:tcBorders>
              <w:top w:val="single" w:sz="4" w:space="0" w:color="auto"/>
              <w:left w:val="single" w:sz="4" w:space="0" w:color="auto"/>
              <w:bottom w:val="single" w:sz="4" w:space="0" w:color="auto"/>
              <w:right w:val="single" w:sz="4" w:space="0" w:color="auto"/>
            </w:tcBorders>
            <w:textDirection w:val="lrTb"/>
            <w:vAlign w:val="top"/>
          </w:tcPr>
          <w:p w:rsidR="00B603A8" w:rsidRPr="00705F05" w:rsidP="00A231F2">
            <w:pPr>
              <w:bidi w:val="0"/>
              <w:spacing w:before="60" w:after="60"/>
              <w:jc w:val="right"/>
              <w:rPr>
                <w:rFonts w:ascii="Times New Roman" w:hAnsi="Times New Roman"/>
                <w:color w:val="000000"/>
                <w:sz w:val="20"/>
                <w:szCs w:val="20"/>
                <w:lang w:eastAsia="zh-CN"/>
              </w:rPr>
            </w:pPr>
          </w:p>
        </w:tc>
      </w:tr>
      <w:tr>
        <w:tblPrEx>
          <w:tblW w:w="13056"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color w:val="000000"/>
                <w:sz w:val="20"/>
                <w:szCs w:val="20"/>
                <w:lang w:eastAsia="zh-CN"/>
              </w:rPr>
            </w:pPr>
            <w:r w:rsidRPr="00823883">
              <w:rPr>
                <w:rFonts w:ascii="Times New Roman" w:hAnsi="Times New Roman"/>
                <w:b/>
                <w:bCs/>
                <w:color w:val="000000"/>
                <w:sz w:val="20"/>
                <w:szCs w:val="20"/>
                <w:lang w:eastAsia="zh-CN"/>
              </w:rPr>
              <w:t>300</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rPr>
                <w:rFonts w:ascii="Times New Roman" w:hAnsi="Times New Roman"/>
                <w:color w:val="000000"/>
                <w:sz w:val="20"/>
                <w:szCs w:val="20"/>
                <w:lang w:eastAsia="zh-CN"/>
              </w:rPr>
            </w:pPr>
            <w:r w:rsidRPr="00823883">
              <w:rPr>
                <w:rFonts w:ascii="Times New Roman" w:hAnsi="Times New Roman"/>
                <w:b/>
                <w:bCs/>
                <w:color w:val="000000"/>
                <w:sz w:val="20"/>
                <w:szCs w:val="20"/>
                <w:lang w:eastAsia="zh-CN"/>
              </w:rPr>
              <w:t>Granty a transfery</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772706" w:rsidP="00A231F2">
            <w:pPr>
              <w:bidi w:val="0"/>
              <w:spacing w:before="60" w:after="60"/>
              <w:jc w:val="right"/>
              <w:rPr>
                <w:rFonts w:ascii="Times New Roman" w:hAnsi="Times New Roman"/>
                <w:b/>
                <w:color w:val="000000"/>
                <w:sz w:val="20"/>
                <w:szCs w:val="20"/>
                <w:lang w:eastAsia="zh-CN"/>
              </w:rPr>
            </w:pPr>
            <w:r>
              <w:rPr>
                <w:rFonts w:ascii="Times New Roman" w:hAnsi="Times New Roman"/>
                <w:b/>
                <w:bCs/>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b/>
                <w:bCs/>
                <w:color w:val="000000"/>
                <w:sz w:val="20"/>
                <w:szCs w:val="20"/>
              </w:rPr>
              <w:t>1 407 973 446</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b/>
                <w:bCs/>
                <w:color w:val="000000"/>
                <w:sz w:val="20"/>
                <w:szCs w:val="20"/>
              </w:rPr>
              <w:t>1 466 826 825</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b/>
                <w:bCs/>
                <w:color w:val="000000"/>
                <w:sz w:val="20"/>
                <w:szCs w:val="20"/>
              </w:rPr>
              <w:t>1 572 843 463</w:t>
            </w:r>
          </w:p>
        </w:tc>
        <w:tc>
          <w:tcPr>
            <w:tcW w:w="1427" w:type="dxa"/>
            <w:vMerge/>
            <w:tcBorders>
              <w:top w:val="single" w:sz="4" w:space="0" w:color="auto"/>
              <w:left w:val="single" w:sz="4" w:space="0" w:color="auto"/>
              <w:bottom w:val="single" w:sz="4" w:space="0" w:color="auto"/>
              <w:right w:val="single" w:sz="4" w:space="0" w:color="auto"/>
            </w:tcBorders>
            <w:textDirection w:val="lrTb"/>
            <w:vAlign w:val="top"/>
          </w:tcPr>
          <w:p w:rsidR="00B603A8" w:rsidRPr="00705F05" w:rsidP="00A231F2">
            <w:pPr>
              <w:bidi w:val="0"/>
              <w:spacing w:before="60" w:after="60"/>
              <w:jc w:val="right"/>
              <w:rPr>
                <w:rFonts w:ascii="Times New Roman" w:hAnsi="Times New Roman"/>
                <w:color w:val="000000"/>
                <w:sz w:val="20"/>
                <w:szCs w:val="20"/>
                <w:lang w:eastAsia="zh-CN"/>
              </w:rPr>
            </w:pPr>
          </w:p>
        </w:tc>
      </w:tr>
      <w:tr>
        <w:tblPrEx>
          <w:tblW w:w="13056"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312</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Transfery v rámci verejnej správy</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1 407 973 446</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1 466 826 825</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1 572 843 463</w:t>
            </w:r>
          </w:p>
        </w:tc>
        <w:tc>
          <w:tcPr>
            <w:tcW w:w="1427" w:type="dxa"/>
            <w:vMerge/>
            <w:tcBorders>
              <w:top w:val="single" w:sz="4" w:space="0" w:color="auto"/>
              <w:left w:val="single" w:sz="4" w:space="0" w:color="auto"/>
              <w:bottom w:val="single" w:sz="4" w:space="0" w:color="auto"/>
              <w:right w:val="single" w:sz="4" w:space="0" w:color="auto"/>
            </w:tcBorders>
            <w:textDirection w:val="lrTb"/>
            <w:vAlign w:val="top"/>
          </w:tcPr>
          <w:p w:rsidR="00B603A8" w:rsidRPr="00705F05" w:rsidP="00A231F2">
            <w:pPr>
              <w:bidi w:val="0"/>
              <w:spacing w:before="60" w:after="60"/>
              <w:jc w:val="right"/>
              <w:rPr>
                <w:rFonts w:ascii="Times New Roman" w:hAnsi="Times New Roman"/>
                <w:color w:val="000000"/>
                <w:sz w:val="20"/>
                <w:szCs w:val="20"/>
                <w:lang w:eastAsia="zh-CN"/>
              </w:rPr>
            </w:pPr>
          </w:p>
        </w:tc>
      </w:tr>
      <w:tr>
        <w:tblPrEx>
          <w:tblW w:w="13056"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312009</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Transfery v rámci verejnej správy</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1 407 973 446</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1 466 826 825</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1 572 843 463</w:t>
            </w:r>
          </w:p>
        </w:tc>
        <w:tc>
          <w:tcPr>
            <w:tcW w:w="1427" w:type="dxa"/>
            <w:vMerge/>
            <w:tcBorders>
              <w:top w:val="single" w:sz="4" w:space="0" w:color="auto"/>
              <w:left w:val="single" w:sz="4" w:space="0" w:color="auto"/>
              <w:bottom w:val="single" w:sz="4" w:space="0" w:color="auto"/>
              <w:right w:val="single" w:sz="4" w:space="0" w:color="auto"/>
            </w:tcBorders>
            <w:textDirection w:val="lrTb"/>
            <w:vAlign w:val="top"/>
          </w:tcPr>
          <w:p w:rsidR="00B603A8" w:rsidRPr="00705F05" w:rsidP="00A231F2">
            <w:pPr>
              <w:bidi w:val="0"/>
              <w:spacing w:before="60" w:after="60"/>
              <w:jc w:val="right"/>
              <w:rPr>
                <w:rFonts w:ascii="Times New Roman" w:hAnsi="Times New Roman"/>
                <w:color w:val="000000"/>
                <w:sz w:val="20"/>
                <w:szCs w:val="20"/>
                <w:lang w:eastAsia="zh-CN"/>
              </w:rPr>
            </w:pPr>
          </w:p>
        </w:tc>
      </w:tr>
      <w:tr>
        <w:tblPrEx>
          <w:tblW w:w="13056"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823883" w:rsidP="00A231F2">
            <w:pPr>
              <w:bidi w:val="0"/>
              <w:spacing w:before="60" w:after="60"/>
              <w:jc w:val="right"/>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400</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823883" w:rsidP="00A231F2">
            <w:pPr>
              <w:bidi w:val="0"/>
              <w:spacing w:before="60" w:after="60"/>
              <w:rPr>
                <w:rFonts w:ascii="Times New Roman" w:hAnsi="Times New Roman"/>
                <w:b/>
                <w:bCs/>
                <w:color w:val="000000"/>
                <w:sz w:val="20"/>
                <w:szCs w:val="20"/>
                <w:lang w:eastAsia="zh-CN"/>
              </w:rPr>
            </w:pPr>
            <w:r w:rsidRPr="00823883">
              <w:rPr>
                <w:rFonts w:ascii="Times New Roman" w:hAnsi="Times New Roman"/>
                <w:b/>
                <w:bCs/>
                <w:color w:val="000000"/>
                <w:sz w:val="20"/>
                <w:szCs w:val="20"/>
                <w:lang w:eastAsia="zh-CN"/>
              </w:rPr>
              <w:t>Príjmy z transakcií s fin. aktívami a pasívami</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823883"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823883"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-19 722 890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823883"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-20 094 025</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772706"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-20 094 025</w:t>
            </w:r>
          </w:p>
        </w:tc>
        <w:tc>
          <w:tcPr>
            <w:tcW w:w="1427" w:type="dxa"/>
            <w:vMerge/>
            <w:tcBorders>
              <w:top w:val="single" w:sz="4" w:space="0" w:color="auto"/>
              <w:left w:val="single" w:sz="4" w:space="0" w:color="auto"/>
              <w:bottom w:val="single" w:sz="4" w:space="0" w:color="auto"/>
              <w:right w:val="single" w:sz="4" w:space="0" w:color="auto"/>
            </w:tcBorders>
            <w:textDirection w:val="lrTb"/>
            <w:vAlign w:val="top"/>
          </w:tcPr>
          <w:p w:rsidR="00C232D3" w:rsidRPr="00705F05" w:rsidP="00A231F2">
            <w:pPr>
              <w:bidi w:val="0"/>
              <w:spacing w:before="60" w:after="60"/>
              <w:jc w:val="right"/>
              <w:rPr>
                <w:rFonts w:ascii="Times New Roman" w:hAnsi="Times New Roman"/>
                <w:b/>
                <w:bCs/>
                <w:color w:val="000000"/>
                <w:sz w:val="20"/>
                <w:szCs w:val="20"/>
                <w:lang w:eastAsia="zh-CN"/>
              </w:rPr>
            </w:pPr>
          </w:p>
        </w:tc>
      </w:tr>
      <w:tr>
        <w:tblPrEx>
          <w:tblW w:w="13056"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823883"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411</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823883"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Od úverovaných subjektov</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-19 722 890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-20 094 025</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-20 094 025</w:t>
            </w:r>
          </w:p>
        </w:tc>
        <w:tc>
          <w:tcPr>
            <w:tcW w:w="1427" w:type="dxa"/>
            <w:vMerge/>
            <w:tcBorders>
              <w:top w:val="single" w:sz="4" w:space="0" w:color="auto"/>
              <w:left w:val="single" w:sz="4" w:space="0" w:color="auto"/>
              <w:bottom w:val="single" w:sz="4" w:space="0" w:color="auto"/>
              <w:right w:val="single" w:sz="4" w:space="0" w:color="auto"/>
            </w:tcBorders>
            <w:textDirection w:val="lrTb"/>
            <w:vAlign w:val="top"/>
          </w:tcPr>
          <w:p w:rsidR="00C232D3" w:rsidRPr="00705F05" w:rsidP="00A231F2">
            <w:pPr>
              <w:bidi w:val="0"/>
              <w:spacing w:before="60" w:after="60"/>
              <w:jc w:val="right"/>
              <w:rPr>
                <w:rFonts w:ascii="Times New Roman" w:hAnsi="Times New Roman"/>
                <w:color w:val="000000"/>
                <w:sz w:val="20"/>
                <w:szCs w:val="20"/>
                <w:lang w:eastAsia="zh-CN"/>
              </w:rPr>
            </w:pPr>
          </w:p>
        </w:tc>
      </w:tr>
      <w:tr>
        <w:tblPrEx>
          <w:tblW w:w="13056"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823883"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411008</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823883"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Od zamestnávateľov z garančného poistenia</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-19 722 890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-20 094 025</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-20 094 025</w:t>
            </w:r>
          </w:p>
        </w:tc>
        <w:tc>
          <w:tcPr>
            <w:tcW w:w="1427" w:type="dxa"/>
            <w:vMerge/>
            <w:tcBorders>
              <w:top w:val="single" w:sz="4" w:space="0" w:color="auto"/>
              <w:left w:val="single" w:sz="4" w:space="0" w:color="auto"/>
              <w:bottom w:val="single" w:sz="4" w:space="0" w:color="auto"/>
              <w:right w:val="single" w:sz="4" w:space="0" w:color="auto"/>
            </w:tcBorders>
            <w:textDirection w:val="lrTb"/>
            <w:vAlign w:val="top"/>
          </w:tcPr>
          <w:p w:rsidR="00C232D3" w:rsidRPr="00705F05" w:rsidP="00A231F2">
            <w:pPr>
              <w:bidi w:val="0"/>
              <w:spacing w:before="60" w:after="60"/>
              <w:jc w:val="right"/>
              <w:rPr>
                <w:rFonts w:ascii="Times New Roman" w:hAnsi="Times New Roman"/>
                <w:color w:val="000000"/>
                <w:sz w:val="20"/>
                <w:szCs w:val="20"/>
                <w:lang w:eastAsia="zh-CN"/>
              </w:rPr>
            </w:pPr>
          </w:p>
        </w:tc>
      </w:tr>
      <w:tr>
        <w:tblPrEx>
          <w:tblW w:w="13056"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823883" w:rsidP="00A231F2">
            <w:pPr>
              <w:bidi w:val="0"/>
              <w:spacing w:before="60" w:after="60"/>
              <w:jc w:val="right"/>
              <w:rPr>
                <w:rFonts w:ascii="Times New Roman" w:hAnsi="Times New Roman"/>
                <w:color w:val="000000"/>
                <w:sz w:val="20"/>
                <w:szCs w:val="20"/>
                <w:lang w:eastAsia="zh-CN"/>
              </w:rPr>
            </w:pPr>
            <w:r w:rsidRPr="00823883">
              <w:rPr>
                <w:rFonts w:ascii="Times New Roman" w:hAnsi="Times New Roman"/>
                <w:b/>
                <w:bCs/>
                <w:color w:val="000000"/>
                <w:sz w:val="20"/>
                <w:szCs w:val="20"/>
                <w:lang w:eastAsia="zh-CN"/>
              </w:rPr>
              <w:t>100+300</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823883" w:rsidP="00A231F2">
            <w:pPr>
              <w:bidi w:val="0"/>
              <w:spacing w:before="60" w:after="60"/>
              <w:rPr>
                <w:rFonts w:ascii="Times New Roman" w:hAnsi="Times New Roman"/>
                <w:color w:val="000000"/>
                <w:sz w:val="20"/>
                <w:szCs w:val="20"/>
                <w:lang w:eastAsia="zh-CN"/>
              </w:rPr>
            </w:pPr>
            <w:r w:rsidRPr="00823883">
              <w:rPr>
                <w:rFonts w:ascii="Times New Roman" w:hAnsi="Times New Roman"/>
                <w:b/>
                <w:bCs/>
                <w:color w:val="000000"/>
                <w:sz w:val="20"/>
                <w:szCs w:val="20"/>
                <w:lang w:eastAsia="zh-CN"/>
              </w:rPr>
              <w:t>Celkový vplyv bez 400,800</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772706" w:rsidP="00A231F2">
            <w:pPr>
              <w:bidi w:val="0"/>
              <w:spacing w:before="60" w:after="60"/>
              <w:jc w:val="right"/>
              <w:rPr>
                <w:rFonts w:ascii="Times New Roman" w:hAnsi="Times New Roman"/>
                <w:b/>
                <w:color w:val="000000"/>
                <w:sz w:val="20"/>
                <w:szCs w:val="20"/>
                <w:lang w:eastAsia="zh-CN"/>
              </w:rPr>
            </w:pPr>
            <w:r>
              <w:rPr>
                <w:rFonts w:ascii="Times New Roman" w:hAnsi="Times New Roman"/>
                <w:b/>
                <w:bCs/>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b/>
                <w:bCs/>
                <w:color w:val="000000"/>
                <w:sz w:val="20"/>
                <w:szCs w:val="20"/>
              </w:rPr>
              <w:t>-48 658 733</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b/>
                <w:bCs/>
                <w:color w:val="000000"/>
                <w:sz w:val="20"/>
                <w:szCs w:val="20"/>
              </w:rPr>
              <w:t>-51 359 726</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823883" w:rsidP="00A231F2">
            <w:pPr>
              <w:bidi w:val="0"/>
              <w:spacing w:before="60" w:after="60"/>
              <w:jc w:val="right"/>
              <w:rPr>
                <w:rFonts w:ascii="Times New Roman" w:hAnsi="Times New Roman"/>
                <w:color w:val="000000"/>
                <w:sz w:val="20"/>
                <w:szCs w:val="20"/>
                <w:lang w:eastAsia="zh-CN"/>
              </w:rPr>
            </w:pPr>
            <w:r>
              <w:rPr>
                <w:rFonts w:ascii="Times New Roman" w:hAnsi="Times New Roman"/>
                <w:b/>
                <w:bCs/>
                <w:color w:val="000000"/>
                <w:sz w:val="20"/>
                <w:szCs w:val="20"/>
              </w:rPr>
              <w:t>-54 710 331</w:t>
            </w:r>
          </w:p>
        </w:tc>
        <w:tc>
          <w:tcPr>
            <w:tcW w:w="1427" w:type="dxa"/>
            <w:vMerge/>
            <w:tcBorders>
              <w:top w:val="single" w:sz="4" w:space="0" w:color="auto"/>
              <w:left w:val="single" w:sz="4" w:space="0" w:color="auto"/>
              <w:bottom w:val="single" w:sz="4" w:space="0" w:color="auto"/>
              <w:right w:val="single" w:sz="4" w:space="0" w:color="auto"/>
            </w:tcBorders>
            <w:textDirection w:val="lrTb"/>
            <w:vAlign w:val="top"/>
          </w:tcPr>
          <w:p w:rsidR="00C232D3" w:rsidRPr="00705F05" w:rsidP="00A231F2">
            <w:pPr>
              <w:bidi w:val="0"/>
              <w:spacing w:before="60" w:after="60"/>
              <w:jc w:val="right"/>
              <w:rPr>
                <w:rFonts w:ascii="Times New Roman" w:hAnsi="Times New Roman"/>
                <w:color w:val="000000"/>
                <w:sz w:val="20"/>
                <w:szCs w:val="20"/>
                <w:lang w:eastAsia="zh-CN"/>
              </w:rPr>
            </w:pPr>
          </w:p>
        </w:tc>
      </w:tr>
    </w:tbl>
    <w:p w:rsidR="004A4D30" w:rsidP="004A4D30">
      <w:pPr>
        <w:pStyle w:val="NormalWeb"/>
        <w:bidi w:val="0"/>
        <w:spacing w:before="0" w:beforeAutospacing="0" w:after="120" w:afterAutospacing="0"/>
        <w:ind w:right="190"/>
        <w:jc w:val="both"/>
        <w:rPr>
          <w:rFonts w:ascii="Times New Roman" w:hAnsi="Times New Roman"/>
          <w:b/>
          <w:bCs/>
        </w:rPr>
      </w:pPr>
    </w:p>
    <w:p w:rsidR="00C31DF4" w:rsidP="00C31DF4">
      <w:pPr>
        <w:pStyle w:val="NormalWeb"/>
        <w:bidi w:val="0"/>
        <w:spacing w:before="0" w:beforeAutospacing="0" w:after="120" w:afterAutospacing="0"/>
        <w:ind w:right="-1"/>
        <w:jc w:val="right"/>
        <w:rPr>
          <w:rFonts w:ascii="Times New Roman" w:hAnsi="Times New Roman"/>
          <w:sz w:val="22"/>
          <w:szCs w:val="22"/>
        </w:rPr>
      </w:pPr>
      <w:r w:rsidR="002E1BD7">
        <w:rPr>
          <w:rFonts w:ascii="Times New Roman" w:hAnsi="Times New Roman"/>
          <w:sz w:val="22"/>
          <w:szCs w:val="22"/>
        </w:rPr>
        <w:br w:type="page"/>
      </w:r>
      <w:r w:rsidR="006727E0">
        <w:rPr>
          <w:rFonts w:ascii="Times New Roman" w:hAnsi="Times New Roman"/>
          <w:sz w:val="22"/>
          <w:szCs w:val="22"/>
        </w:rPr>
        <w:t xml:space="preserve">Tabuľka č. </w:t>
      </w:r>
      <w:r w:rsidR="005D2E9C">
        <w:rPr>
          <w:rFonts w:ascii="Times New Roman" w:hAnsi="Times New Roman"/>
          <w:sz w:val="22"/>
          <w:szCs w:val="22"/>
        </w:rPr>
        <w:t>6</w:t>
      </w:r>
    </w:p>
    <w:tbl>
      <w:tblPr>
        <w:tblStyle w:val="TableNormal"/>
        <w:tblW w:w="13056" w:type="dxa"/>
        <w:tblInd w:w="939" w:type="dxa"/>
        <w:tblLook w:val="00A0"/>
      </w:tblPr>
      <w:tblGrid>
        <w:gridCol w:w="9"/>
        <w:gridCol w:w="1260"/>
        <w:gridCol w:w="4110"/>
        <w:gridCol w:w="1572"/>
        <w:gridCol w:w="1559"/>
        <w:gridCol w:w="1560"/>
        <w:gridCol w:w="1559"/>
        <w:gridCol w:w="1427"/>
      </w:tblGrid>
      <w:tr>
        <w:tblPrEx>
          <w:tblW w:w="13056" w:type="dxa"/>
          <w:tblInd w:w="939" w:type="dxa"/>
          <w:tblLook w:val="00A0"/>
        </w:tblPrEx>
        <w:trPr>
          <w:gridBefore w:val="1"/>
          <w:wBefore w:w="9" w:type="dxa"/>
          <w:trHeight w:val="315"/>
        </w:trPr>
        <w:tc>
          <w:tcPr>
            <w:tcW w:w="1260" w:type="dxa"/>
            <w:tcBorders>
              <w:top w:val="single" w:sz="4" w:space="0" w:color="auto"/>
              <w:left w:val="single" w:sz="4" w:space="0" w:color="auto"/>
              <w:bottom w:val="nil"/>
              <w:right w:val="nil"/>
            </w:tcBorders>
            <w:shd w:val="clear" w:color="000000" w:fill="000000"/>
            <w:noWrap/>
            <w:textDirection w:val="lrTb"/>
            <w:vAlign w:val="bottom"/>
          </w:tcPr>
          <w:p w:rsidR="00A231F2" w:rsidRPr="002E1BD7" w:rsidP="00A231F2">
            <w:pPr>
              <w:bidi w:val="0"/>
              <w:spacing w:before="60" w:after="60"/>
              <w:rPr>
                <w:rFonts w:ascii="Times New Roman" w:hAnsi="Times New Roman"/>
                <w:b/>
                <w:bCs/>
                <w:color w:val="FFFFFF"/>
                <w:sz w:val="20"/>
                <w:szCs w:val="20"/>
                <w:lang w:eastAsia="en-US"/>
              </w:rPr>
            </w:pPr>
            <w:r w:rsidRPr="002E1BD7">
              <w:rPr>
                <w:rFonts w:ascii="Times New Roman" w:hAnsi="Times New Roman"/>
                <w:b/>
                <w:bCs/>
                <w:color w:val="FFFFFF"/>
                <w:sz w:val="20"/>
                <w:szCs w:val="20"/>
                <w:lang w:eastAsia="en-US"/>
              </w:rPr>
              <w:t> </w:t>
            </w:r>
          </w:p>
        </w:tc>
        <w:tc>
          <w:tcPr>
            <w:tcW w:w="4110" w:type="dxa"/>
            <w:tcBorders>
              <w:top w:val="single" w:sz="4" w:space="0" w:color="auto"/>
              <w:left w:val="nil"/>
              <w:bottom w:val="nil"/>
              <w:right w:val="nil"/>
            </w:tcBorders>
            <w:shd w:val="clear" w:color="000000" w:fill="000000"/>
            <w:noWrap/>
            <w:textDirection w:val="lrTb"/>
            <w:vAlign w:val="bottom"/>
          </w:tcPr>
          <w:p w:rsidR="00A231F2" w:rsidRPr="002E1BD7" w:rsidP="00A231F2">
            <w:pPr>
              <w:bidi w:val="0"/>
              <w:spacing w:before="60" w:after="60"/>
              <w:rPr>
                <w:rFonts w:ascii="Times New Roman" w:hAnsi="Times New Roman"/>
                <w:b/>
                <w:bCs/>
                <w:color w:val="FFFFFF"/>
                <w:sz w:val="20"/>
                <w:szCs w:val="20"/>
                <w:lang w:eastAsia="en-US"/>
              </w:rPr>
            </w:pPr>
            <w:r w:rsidRPr="002E1BD7">
              <w:rPr>
                <w:rFonts w:ascii="Times New Roman" w:hAnsi="Times New Roman"/>
                <w:b/>
                <w:bCs/>
                <w:color w:val="FFFFFF"/>
                <w:sz w:val="20"/>
                <w:szCs w:val="20"/>
              </w:rPr>
              <w:t xml:space="preserve">Príjmy </w:t>
            </w:r>
            <w:r w:rsidRPr="00705F05">
              <w:rPr>
                <w:rFonts w:ascii="Times New Roman" w:hAnsi="Times New Roman"/>
                <w:b/>
                <w:bCs/>
                <w:color w:val="FFFFFF"/>
                <w:sz w:val="20"/>
                <w:szCs w:val="20"/>
              </w:rPr>
              <w:t>(</w:t>
            </w:r>
            <w:r>
              <w:rPr>
                <w:rFonts w:ascii="Times New Roman" w:hAnsi="Times New Roman"/>
                <w:b/>
                <w:bCs/>
                <w:color w:val="FFFFFF"/>
                <w:sz w:val="20"/>
                <w:szCs w:val="20"/>
              </w:rPr>
              <w:t xml:space="preserve">ESA 95, </w:t>
            </w:r>
            <w:r w:rsidRPr="00705F05">
              <w:rPr>
                <w:rFonts w:ascii="Times New Roman" w:hAnsi="Times New Roman"/>
                <w:b/>
                <w:bCs/>
                <w:color w:val="FFFFFF"/>
                <w:sz w:val="20"/>
                <w:szCs w:val="20"/>
              </w:rPr>
              <w:t>v eurách)</w:t>
            </w:r>
          </w:p>
        </w:tc>
        <w:tc>
          <w:tcPr>
            <w:tcW w:w="6250" w:type="dxa"/>
            <w:gridSpan w:val="4"/>
            <w:tcBorders>
              <w:top w:val="single" w:sz="4" w:space="0" w:color="auto"/>
              <w:left w:val="nil"/>
              <w:bottom w:val="nil"/>
              <w:right w:val="nil"/>
            </w:tcBorders>
            <w:shd w:val="clear" w:color="000000" w:fill="000000"/>
            <w:noWrap/>
            <w:textDirection w:val="lrTb"/>
            <w:vAlign w:val="bottom"/>
          </w:tcPr>
          <w:p w:rsidR="00A231F2" w:rsidRPr="002E1BD7" w:rsidP="00A231F2">
            <w:pPr>
              <w:bidi w:val="0"/>
              <w:spacing w:before="120" w:after="120"/>
              <w:jc w:val="center"/>
              <w:rPr>
                <w:rFonts w:ascii="Times New Roman" w:hAnsi="Times New Roman"/>
                <w:b/>
                <w:bCs/>
                <w:color w:val="FFFFFF"/>
                <w:sz w:val="20"/>
                <w:szCs w:val="20"/>
                <w:lang w:eastAsia="en-US"/>
              </w:rPr>
            </w:pPr>
            <w:r w:rsidRPr="002E1BD7">
              <w:rPr>
                <w:rFonts w:ascii="Times New Roman" w:hAnsi="Times New Roman"/>
                <w:b/>
                <w:bCs/>
                <w:color w:val="FFFFFF"/>
                <w:sz w:val="20"/>
                <w:szCs w:val="20"/>
              </w:rPr>
              <w:t>Vplyv na rozpočet verejnej správy</w:t>
            </w:r>
          </w:p>
        </w:tc>
        <w:tc>
          <w:tcPr>
            <w:tcW w:w="1427" w:type="dxa"/>
            <w:vMerge w:val="restart"/>
            <w:tcBorders>
              <w:top w:val="single" w:sz="4" w:space="0" w:color="auto"/>
              <w:left w:val="nil"/>
              <w:bottom w:val="none" w:sz="0" w:space="0" w:color="auto"/>
              <w:right w:val="nil"/>
            </w:tcBorders>
            <w:shd w:val="clear" w:color="000000" w:fill="000000"/>
            <w:textDirection w:val="lrTb"/>
            <w:vAlign w:val="center"/>
          </w:tcPr>
          <w:p w:rsidR="00A231F2" w:rsidRPr="00772706" w:rsidP="00A231F2">
            <w:pPr>
              <w:pStyle w:val="NormalWeb"/>
              <w:bidi w:val="0"/>
              <w:spacing w:before="60" w:beforeAutospacing="0" w:after="60" w:afterAutospacing="0"/>
              <w:jc w:val="center"/>
              <w:rPr>
                <w:rFonts w:ascii="Times New Roman" w:hAnsi="Times New Roman"/>
                <w:sz w:val="20"/>
                <w:szCs w:val="20"/>
              </w:rPr>
            </w:pPr>
            <w:r w:rsidRPr="002E1BD7">
              <w:rPr>
                <w:rFonts w:ascii="Times New Roman" w:hAnsi="Times New Roman"/>
                <w:b/>
                <w:bCs/>
                <w:color w:val="FFFFFF"/>
                <w:sz w:val="20"/>
                <w:szCs w:val="20"/>
              </w:rPr>
              <w:t>Poznámka</w:t>
            </w:r>
          </w:p>
        </w:tc>
      </w:tr>
      <w:tr>
        <w:tblPrEx>
          <w:tblW w:w="13056" w:type="dxa"/>
          <w:tblInd w:w="939" w:type="dxa"/>
          <w:tblLook w:val="00A0"/>
        </w:tblPrEx>
        <w:trPr>
          <w:gridBefore w:val="1"/>
          <w:wBefore w:w="9" w:type="dxa"/>
          <w:trHeight w:val="315"/>
        </w:trPr>
        <w:tc>
          <w:tcPr>
            <w:tcW w:w="1260" w:type="dxa"/>
            <w:tcBorders>
              <w:top w:val="nil"/>
              <w:left w:val="single" w:sz="4" w:space="0" w:color="auto"/>
              <w:bottom w:val="nil"/>
              <w:right w:val="nil"/>
            </w:tcBorders>
            <w:shd w:val="clear" w:color="000000" w:fill="000000"/>
            <w:noWrap/>
            <w:textDirection w:val="lrTb"/>
            <w:vAlign w:val="bottom"/>
          </w:tcPr>
          <w:p w:rsidR="00A231F2" w:rsidRPr="00772706" w:rsidP="00A231F2">
            <w:pPr>
              <w:bidi w:val="0"/>
              <w:spacing w:before="60" w:after="60"/>
              <w:rPr>
                <w:rFonts w:ascii="Times New Roman" w:hAnsi="Times New Roman"/>
                <w:b/>
                <w:bCs/>
                <w:color w:val="FFFFFF"/>
                <w:sz w:val="20"/>
                <w:szCs w:val="20"/>
                <w:lang w:eastAsia="en-US"/>
              </w:rPr>
            </w:pPr>
            <w:r w:rsidRPr="00772706">
              <w:rPr>
                <w:rFonts w:ascii="Times New Roman" w:hAnsi="Times New Roman"/>
                <w:b/>
                <w:bCs/>
                <w:color w:val="FFFFFF"/>
                <w:sz w:val="20"/>
                <w:szCs w:val="20"/>
                <w:lang w:eastAsia="en-US"/>
              </w:rPr>
              <w:t> </w:t>
            </w:r>
          </w:p>
        </w:tc>
        <w:tc>
          <w:tcPr>
            <w:tcW w:w="4110" w:type="dxa"/>
            <w:tcBorders>
              <w:top w:val="nil"/>
              <w:left w:val="nil"/>
              <w:bottom w:val="nil"/>
              <w:right w:val="nil"/>
            </w:tcBorders>
            <w:shd w:val="clear" w:color="000000" w:fill="000000"/>
            <w:noWrap/>
            <w:textDirection w:val="lrTb"/>
            <w:vAlign w:val="bottom"/>
          </w:tcPr>
          <w:p w:rsidR="00A231F2" w:rsidRPr="00772706" w:rsidP="00A231F2">
            <w:pPr>
              <w:bidi w:val="0"/>
              <w:spacing w:before="120" w:after="120"/>
              <w:rPr>
                <w:rFonts w:ascii="Times New Roman" w:hAnsi="Times New Roman"/>
                <w:b/>
                <w:bCs/>
                <w:color w:val="FFFFFF"/>
                <w:sz w:val="20"/>
                <w:szCs w:val="20"/>
                <w:u w:val="single"/>
                <w:lang w:eastAsia="en-US"/>
              </w:rPr>
            </w:pPr>
            <w:r w:rsidRPr="00772706">
              <w:rPr>
                <w:rFonts w:ascii="Times New Roman" w:hAnsi="Times New Roman"/>
                <w:b/>
                <w:bCs/>
                <w:color w:val="FFFFFF"/>
                <w:sz w:val="20"/>
                <w:szCs w:val="20"/>
                <w:u w:val="single"/>
                <w:lang w:eastAsia="en-US"/>
              </w:rPr>
              <w:t>Verejná správa</w:t>
            </w:r>
          </w:p>
        </w:tc>
        <w:tc>
          <w:tcPr>
            <w:tcW w:w="1572" w:type="dxa"/>
            <w:tcBorders>
              <w:top w:val="nil"/>
              <w:left w:val="nil"/>
              <w:bottom w:val="nil"/>
              <w:right w:val="nil"/>
            </w:tcBorders>
            <w:shd w:val="clear" w:color="000000" w:fill="000000"/>
            <w:noWrap/>
            <w:textDirection w:val="lrTb"/>
            <w:vAlign w:val="bottom"/>
          </w:tcPr>
          <w:p w:rsidR="00A231F2" w:rsidRPr="00772706" w:rsidP="00A231F2">
            <w:pPr>
              <w:bidi w:val="0"/>
              <w:spacing w:before="120" w:after="120"/>
              <w:jc w:val="center"/>
              <w:rPr>
                <w:rFonts w:ascii="Times New Roman" w:hAnsi="Times New Roman"/>
                <w:b/>
                <w:bCs/>
                <w:color w:val="FFFFFF"/>
                <w:sz w:val="20"/>
                <w:szCs w:val="20"/>
                <w:lang w:eastAsia="en-US"/>
              </w:rPr>
            </w:pPr>
            <w:r w:rsidRPr="00772706">
              <w:rPr>
                <w:rFonts w:ascii="Times New Roman" w:hAnsi="Times New Roman"/>
                <w:b/>
                <w:bCs/>
                <w:color w:val="FFFFFF"/>
                <w:sz w:val="20"/>
                <w:szCs w:val="20"/>
                <w:lang w:eastAsia="en-US"/>
              </w:rPr>
              <w:t>2011</w:t>
            </w:r>
          </w:p>
        </w:tc>
        <w:tc>
          <w:tcPr>
            <w:tcW w:w="1559" w:type="dxa"/>
            <w:tcBorders>
              <w:top w:val="nil"/>
              <w:left w:val="nil"/>
              <w:bottom w:val="nil"/>
              <w:right w:val="nil"/>
            </w:tcBorders>
            <w:shd w:val="clear" w:color="000000" w:fill="000000"/>
            <w:noWrap/>
            <w:textDirection w:val="lrTb"/>
            <w:vAlign w:val="bottom"/>
          </w:tcPr>
          <w:p w:rsidR="00A231F2" w:rsidRPr="00772706" w:rsidP="00A231F2">
            <w:pPr>
              <w:bidi w:val="0"/>
              <w:spacing w:before="120" w:after="120"/>
              <w:jc w:val="center"/>
              <w:rPr>
                <w:rFonts w:ascii="Times New Roman" w:hAnsi="Times New Roman"/>
                <w:b/>
                <w:bCs/>
                <w:color w:val="FFFFFF"/>
                <w:sz w:val="20"/>
                <w:szCs w:val="20"/>
                <w:lang w:eastAsia="en-US"/>
              </w:rPr>
            </w:pPr>
            <w:r w:rsidRPr="00772706">
              <w:rPr>
                <w:rFonts w:ascii="Times New Roman" w:hAnsi="Times New Roman"/>
                <w:b/>
                <w:bCs/>
                <w:color w:val="FFFFFF"/>
                <w:sz w:val="20"/>
                <w:szCs w:val="20"/>
                <w:lang w:eastAsia="en-US"/>
              </w:rPr>
              <w:t>2012</w:t>
            </w:r>
          </w:p>
        </w:tc>
        <w:tc>
          <w:tcPr>
            <w:tcW w:w="1560" w:type="dxa"/>
            <w:tcBorders>
              <w:top w:val="nil"/>
              <w:left w:val="nil"/>
              <w:bottom w:val="nil"/>
              <w:right w:val="nil"/>
            </w:tcBorders>
            <w:shd w:val="clear" w:color="000000" w:fill="000000"/>
            <w:noWrap/>
            <w:textDirection w:val="lrTb"/>
            <w:vAlign w:val="bottom"/>
          </w:tcPr>
          <w:p w:rsidR="00A231F2" w:rsidRPr="00772706" w:rsidP="00A231F2">
            <w:pPr>
              <w:bidi w:val="0"/>
              <w:spacing w:before="120" w:after="120"/>
              <w:jc w:val="center"/>
              <w:rPr>
                <w:rFonts w:ascii="Times New Roman" w:hAnsi="Times New Roman"/>
                <w:b/>
                <w:bCs/>
                <w:color w:val="FFFFFF"/>
                <w:sz w:val="20"/>
                <w:szCs w:val="20"/>
                <w:lang w:eastAsia="en-US"/>
              </w:rPr>
            </w:pPr>
            <w:r w:rsidRPr="00772706">
              <w:rPr>
                <w:rFonts w:ascii="Times New Roman" w:hAnsi="Times New Roman"/>
                <w:b/>
                <w:bCs/>
                <w:color w:val="FFFFFF"/>
                <w:sz w:val="20"/>
                <w:szCs w:val="20"/>
                <w:lang w:eastAsia="en-US"/>
              </w:rPr>
              <w:t>2013</w:t>
            </w:r>
          </w:p>
        </w:tc>
        <w:tc>
          <w:tcPr>
            <w:tcW w:w="1559" w:type="dxa"/>
            <w:tcBorders>
              <w:top w:val="nil"/>
              <w:left w:val="nil"/>
              <w:bottom w:val="nil"/>
              <w:right w:val="nil"/>
            </w:tcBorders>
            <w:shd w:val="clear" w:color="000000" w:fill="000000"/>
            <w:noWrap/>
            <w:textDirection w:val="lrTb"/>
            <w:vAlign w:val="bottom"/>
          </w:tcPr>
          <w:p w:rsidR="00A231F2" w:rsidRPr="00772706" w:rsidP="00A231F2">
            <w:pPr>
              <w:bidi w:val="0"/>
              <w:spacing w:before="120" w:after="120"/>
              <w:jc w:val="center"/>
              <w:rPr>
                <w:rFonts w:ascii="Times New Roman" w:hAnsi="Times New Roman"/>
                <w:b/>
                <w:bCs/>
                <w:color w:val="FFFFFF"/>
                <w:sz w:val="20"/>
                <w:szCs w:val="20"/>
                <w:lang w:eastAsia="en-US"/>
              </w:rPr>
            </w:pPr>
            <w:r w:rsidRPr="00772706">
              <w:rPr>
                <w:rFonts w:ascii="Times New Roman" w:hAnsi="Times New Roman"/>
                <w:b/>
                <w:bCs/>
                <w:color w:val="FFFFFF"/>
                <w:sz w:val="20"/>
                <w:szCs w:val="20"/>
                <w:lang w:eastAsia="en-US"/>
              </w:rPr>
              <w:t>2014</w:t>
            </w:r>
          </w:p>
        </w:tc>
        <w:tc>
          <w:tcPr>
            <w:tcW w:w="1427" w:type="dxa"/>
            <w:vMerge/>
            <w:tcBorders>
              <w:top w:val="none" w:sz="0" w:space="0" w:color="auto"/>
              <w:left w:val="nil"/>
              <w:bottom w:val="nil"/>
              <w:right w:val="nil"/>
            </w:tcBorders>
            <w:shd w:val="clear" w:color="000000" w:fill="000000"/>
            <w:textDirection w:val="lrTb"/>
            <w:vAlign w:val="center"/>
          </w:tcPr>
          <w:p w:rsidR="00A231F2" w:rsidRPr="00772706" w:rsidP="00A231F2">
            <w:pPr>
              <w:bidi w:val="0"/>
              <w:spacing w:before="60" w:after="60"/>
              <w:rPr>
                <w:rFonts w:ascii="Times New Roman" w:hAnsi="Times New Roman"/>
                <w:sz w:val="20"/>
                <w:szCs w:val="20"/>
              </w:rPr>
            </w:pPr>
          </w:p>
        </w:tc>
      </w:tr>
      <w:tr>
        <w:tblPrEx>
          <w:tblW w:w="13056"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E412C" w:rsidRPr="00772706" w:rsidP="00A231F2">
            <w:pPr>
              <w:bidi w:val="0"/>
              <w:spacing w:before="60" w:after="60"/>
              <w:jc w:val="right"/>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100+300+400</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CE412C" w:rsidRPr="00772706" w:rsidP="00A231F2">
            <w:pPr>
              <w:bidi w:val="0"/>
              <w:spacing w:before="60" w:after="60"/>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Celkový vplyv na príjmy</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CE412C" w:rsidRPr="002E1BD7"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CE412C" w:rsidRPr="002E1BD7"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-68 381 623</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CE412C" w:rsidRPr="002E1BD7"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-71 453 751</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CE412C" w:rsidRPr="00772706"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-74 804 356</w:t>
            </w:r>
          </w:p>
        </w:tc>
        <w:tc>
          <w:tcPr>
            <w:tcW w:w="1427" w:type="dxa"/>
            <w:vMerge w:val="restart"/>
            <w:tcBorders>
              <w:top w:val="single" w:sz="4" w:space="0" w:color="auto"/>
              <w:left w:val="single" w:sz="4" w:space="0" w:color="auto"/>
              <w:bottom w:val="single" w:sz="4" w:space="0" w:color="auto"/>
              <w:right w:val="single" w:sz="4" w:space="0" w:color="auto"/>
            </w:tcBorders>
            <w:textDirection w:val="lrTb"/>
            <w:vAlign w:val="top"/>
          </w:tcPr>
          <w:p w:rsidR="00CE412C" w:rsidRPr="00772706" w:rsidP="00A231F2">
            <w:pPr>
              <w:bidi w:val="0"/>
              <w:spacing w:before="60" w:after="60"/>
              <w:jc w:val="right"/>
              <w:rPr>
                <w:rFonts w:ascii="Times New Roman" w:hAnsi="Times New Roman"/>
                <w:b/>
                <w:bCs/>
                <w:color w:val="000000"/>
                <w:sz w:val="20"/>
                <w:szCs w:val="20"/>
                <w:lang w:eastAsia="zh-CN"/>
              </w:rPr>
            </w:pPr>
          </w:p>
        </w:tc>
      </w:tr>
      <w:tr>
        <w:tblPrEx>
          <w:tblW w:w="13056"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772706" w:rsidP="00A231F2">
            <w:pPr>
              <w:bidi w:val="0"/>
              <w:spacing w:before="60" w:after="60"/>
              <w:jc w:val="right"/>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100</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772706" w:rsidP="00A231F2">
            <w:pPr>
              <w:bidi w:val="0"/>
              <w:spacing w:before="60" w:after="60"/>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Daňové príjmy</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E1BD7"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E1BD7"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-1 456 632 179</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E1BD7"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-1 518 186 550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772706"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-1 627 553 794</w:t>
            </w:r>
          </w:p>
        </w:tc>
        <w:tc>
          <w:tcPr>
            <w:tcW w:w="1427" w:type="dxa"/>
            <w:vMerge/>
            <w:tcBorders>
              <w:top w:val="single" w:sz="4" w:space="0" w:color="auto"/>
              <w:left w:val="single" w:sz="4" w:space="0" w:color="auto"/>
              <w:bottom w:val="single" w:sz="4" w:space="0" w:color="auto"/>
              <w:right w:val="single" w:sz="4" w:space="0" w:color="auto"/>
            </w:tcBorders>
            <w:textDirection w:val="lrTb"/>
            <w:vAlign w:val="top"/>
          </w:tcPr>
          <w:p w:rsidR="00B603A8" w:rsidRPr="00772706" w:rsidP="00A231F2">
            <w:pPr>
              <w:bidi w:val="0"/>
              <w:spacing w:before="60" w:after="60"/>
              <w:jc w:val="right"/>
              <w:rPr>
                <w:rFonts w:ascii="Times New Roman" w:hAnsi="Times New Roman"/>
                <w:b/>
                <w:bCs/>
                <w:color w:val="000000"/>
                <w:sz w:val="20"/>
                <w:szCs w:val="20"/>
                <w:lang w:eastAsia="zh-CN"/>
              </w:rPr>
            </w:pPr>
          </w:p>
        </w:tc>
      </w:tr>
      <w:tr>
        <w:tblPrEx>
          <w:tblW w:w="13056"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E1BD7"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150</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E1BD7"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Poistné</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-1 456 632 179</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-1 518 186 550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-1 627 553 794</w:t>
            </w:r>
          </w:p>
        </w:tc>
        <w:tc>
          <w:tcPr>
            <w:tcW w:w="1427" w:type="dxa"/>
            <w:vMerge/>
            <w:tcBorders>
              <w:top w:val="single" w:sz="4" w:space="0" w:color="auto"/>
              <w:left w:val="single" w:sz="4" w:space="0" w:color="auto"/>
              <w:bottom w:val="single" w:sz="4" w:space="0" w:color="auto"/>
              <w:right w:val="single" w:sz="4" w:space="0" w:color="auto"/>
            </w:tcBorders>
            <w:textDirection w:val="lrTb"/>
            <w:vAlign w:val="top"/>
          </w:tcPr>
          <w:p w:rsidR="00B603A8" w:rsidRPr="00772706" w:rsidP="00A231F2">
            <w:pPr>
              <w:bidi w:val="0"/>
              <w:spacing w:before="60" w:after="60"/>
              <w:jc w:val="right"/>
              <w:rPr>
                <w:rFonts w:ascii="Times New Roman" w:hAnsi="Times New Roman"/>
                <w:color w:val="000000"/>
                <w:sz w:val="20"/>
                <w:szCs w:val="20"/>
                <w:lang w:eastAsia="zh-CN"/>
              </w:rPr>
            </w:pPr>
          </w:p>
        </w:tc>
      </w:tr>
      <w:tr>
        <w:tblPrEx>
          <w:tblW w:w="13056"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E1BD7"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151-153, 155-158</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E1BD7"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Sociálne poistenie</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-1 456 632 179</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-1 518 186 550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-1 627 553 794</w:t>
            </w:r>
          </w:p>
        </w:tc>
        <w:tc>
          <w:tcPr>
            <w:tcW w:w="1427" w:type="dxa"/>
            <w:vMerge/>
            <w:tcBorders>
              <w:top w:val="single" w:sz="4" w:space="0" w:color="auto"/>
              <w:left w:val="single" w:sz="4" w:space="0" w:color="auto"/>
              <w:bottom w:val="single" w:sz="4" w:space="0" w:color="auto"/>
              <w:right w:val="single" w:sz="4" w:space="0" w:color="auto"/>
            </w:tcBorders>
            <w:textDirection w:val="lrTb"/>
            <w:vAlign w:val="top"/>
          </w:tcPr>
          <w:p w:rsidR="00B603A8" w:rsidRPr="00772706" w:rsidP="00A231F2">
            <w:pPr>
              <w:bidi w:val="0"/>
              <w:spacing w:before="60" w:after="60"/>
              <w:jc w:val="right"/>
              <w:rPr>
                <w:rFonts w:ascii="Times New Roman" w:hAnsi="Times New Roman"/>
                <w:color w:val="000000"/>
                <w:sz w:val="20"/>
                <w:szCs w:val="20"/>
                <w:lang w:eastAsia="zh-CN"/>
              </w:rPr>
            </w:pPr>
          </w:p>
        </w:tc>
      </w:tr>
      <w:tr>
        <w:tblPrEx>
          <w:tblW w:w="13056"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E1BD7"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151-153, 155-158</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A86C7E" w:rsidP="00A231F2">
            <w:pPr>
              <w:bidi w:val="0"/>
              <w:spacing w:before="60" w:after="60"/>
              <w:rPr>
                <w:rFonts w:ascii="Times New Roman" w:hAnsi="Times New Roman"/>
                <w:color w:val="000000"/>
                <w:sz w:val="20"/>
                <w:szCs w:val="20"/>
                <w:lang w:eastAsia="zh-CN"/>
              </w:rPr>
            </w:pPr>
            <w:r w:rsidRPr="00A86C7E">
              <w:rPr>
                <w:rFonts w:ascii="Times New Roman" w:hAnsi="Times New Roman"/>
                <w:color w:val="000000"/>
                <w:sz w:val="20"/>
                <w:szCs w:val="20"/>
                <w:lang w:eastAsia="zh-CN"/>
              </w:rPr>
              <w:t xml:space="preserve">   - EAO</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-1 407 973 446</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-1 466 826 825</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B603A8"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-1 572 843 463</w:t>
            </w:r>
          </w:p>
        </w:tc>
        <w:tc>
          <w:tcPr>
            <w:tcW w:w="1427" w:type="dxa"/>
            <w:vMerge/>
            <w:tcBorders>
              <w:top w:val="single" w:sz="4" w:space="0" w:color="auto"/>
              <w:left w:val="single" w:sz="4" w:space="0" w:color="auto"/>
              <w:bottom w:val="single" w:sz="4" w:space="0" w:color="auto"/>
              <w:right w:val="single" w:sz="4" w:space="0" w:color="auto"/>
            </w:tcBorders>
            <w:textDirection w:val="lrTb"/>
            <w:vAlign w:val="top"/>
          </w:tcPr>
          <w:p w:rsidR="00B603A8" w:rsidRPr="00772706" w:rsidP="00A231F2">
            <w:pPr>
              <w:bidi w:val="0"/>
              <w:spacing w:before="60" w:after="60"/>
              <w:jc w:val="right"/>
              <w:rPr>
                <w:rFonts w:ascii="Times New Roman" w:hAnsi="Times New Roman"/>
                <w:color w:val="000000"/>
                <w:sz w:val="20"/>
                <w:szCs w:val="20"/>
                <w:lang w:eastAsia="zh-CN"/>
              </w:rPr>
            </w:pPr>
          </w:p>
        </w:tc>
      </w:tr>
      <w:tr>
        <w:tblPrEx>
          <w:tblW w:w="13056"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E412C" w:rsidRPr="00772706" w:rsidP="00A231F2">
            <w:pPr>
              <w:bidi w:val="0"/>
              <w:spacing w:before="60" w:after="60"/>
              <w:jc w:val="right"/>
              <w:rPr>
                <w:rFonts w:ascii="Times New Roman" w:hAnsi="Times New Roman"/>
                <w:color w:val="000000"/>
                <w:sz w:val="20"/>
                <w:szCs w:val="20"/>
                <w:lang w:eastAsia="zh-CN"/>
              </w:rPr>
            </w:pP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CE412C" w:rsidRPr="00A86C7E" w:rsidP="00A231F2">
            <w:pPr>
              <w:bidi w:val="0"/>
              <w:spacing w:before="60" w:after="60"/>
              <w:rPr>
                <w:rFonts w:ascii="Times New Roman" w:hAnsi="Times New Roman"/>
                <w:color w:val="000000"/>
                <w:sz w:val="20"/>
                <w:szCs w:val="20"/>
                <w:lang w:eastAsia="zh-CN"/>
              </w:rPr>
            </w:pPr>
            <w:r w:rsidRPr="00A86C7E">
              <w:rPr>
                <w:rFonts w:ascii="Times New Roman" w:hAnsi="Times New Roman"/>
                <w:color w:val="000000"/>
                <w:sz w:val="20"/>
                <w:szCs w:val="20"/>
                <w:lang w:eastAsia="zh-CN"/>
              </w:rPr>
              <w:t xml:space="preserve">      - z toho: motorové vozidlo</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CE412C"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CE412C"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-1 067 638</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CE412C"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-1 149 741</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CE412C"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-1 248 655</w:t>
            </w:r>
          </w:p>
        </w:tc>
        <w:tc>
          <w:tcPr>
            <w:tcW w:w="1427" w:type="dxa"/>
            <w:vMerge/>
            <w:tcBorders>
              <w:top w:val="single" w:sz="4" w:space="0" w:color="auto"/>
              <w:left w:val="single" w:sz="4" w:space="0" w:color="auto"/>
              <w:bottom w:val="single" w:sz="4" w:space="0" w:color="auto"/>
              <w:right w:val="single" w:sz="4" w:space="0" w:color="auto"/>
            </w:tcBorders>
            <w:textDirection w:val="lrTb"/>
            <w:vAlign w:val="top"/>
          </w:tcPr>
          <w:p w:rsidR="00CE412C" w:rsidRPr="00772706" w:rsidP="00A231F2">
            <w:pPr>
              <w:bidi w:val="0"/>
              <w:spacing w:before="60" w:after="60"/>
              <w:jc w:val="right"/>
              <w:rPr>
                <w:rFonts w:ascii="Times New Roman" w:hAnsi="Times New Roman"/>
                <w:color w:val="000000"/>
                <w:sz w:val="20"/>
                <w:szCs w:val="20"/>
                <w:lang w:eastAsia="zh-CN"/>
              </w:rPr>
            </w:pPr>
          </w:p>
        </w:tc>
      </w:tr>
      <w:tr>
        <w:tblPrEx>
          <w:tblW w:w="13056"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E412C" w:rsidRPr="002E1BD7"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152-153,157-158</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CE412C" w:rsidRPr="00A86C7E" w:rsidP="00A231F2">
            <w:pPr>
              <w:bidi w:val="0"/>
              <w:spacing w:before="60" w:after="60"/>
              <w:rPr>
                <w:rFonts w:ascii="Times New Roman" w:hAnsi="Times New Roman"/>
                <w:color w:val="000000"/>
                <w:sz w:val="20"/>
                <w:szCs w:val="20"/>
                <w:lang w:eastAsia="zh-CN"/>
              </w:rPr>
            </w:pPr>
            <w:r w:rsidRPr="00A86C7E">
              <w:rPr>
                <w:rFonts w:ascii="Times New Roman" w:hAnsi="Times New Roman"/>
                <w:color w:val="000000"/>
                <w:sz w:val="20"/>
                <w:szCs w:val="20"/>
                <w:lang w:eastAsia="zh-CN"/>
              </w:rPr>
              <w:t xml:space="preserve">   - poistné platené štátom</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CE412C"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CE412C"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-48 658 733</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CE412C"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-51 359 726</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CE412C"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-54 710 331</w:t>
            </w:r>
          </w:p>
        </w:tc>
        <w:tc>
          <w:tcPr>
            <w:tcW w:w="1427" w:type="dxa"/>
            <w:vMerge/>
            <w:tcBorders>
              <w:top w:val="single" w:sz="4" w:space="0" w:color="auto"/>
              <w:left w:val="single" w:sz="4" w:space="0" w:color="auto"/>
              <w:bottom w:val="single" w:sz="4" w:space="0" w:color="auto"/>
              <w:right w:val="single" w:sz="4" w:space="0" w:color="auto"/>
            </w:tcBorders>
            <w:textDirection w:val="lrTb"/>
            <w:vAlign w:val="top"/>
          </w:tcPr>
          <w:p w:rsidR="00CE412C" w:rsidRPr="00772706" w:rsidP="00A231F2">
            <w:pPr>
              <w:bidi w:val="0"/>
              <w:spacing w:before="60" w:after="60"/>
              <w:jc w:val="right"/>
              <w:rPr>
                <w:rFonts w:ascii="Times New Roman" w:hAnsi="Times New Roman"/>
                <w:color w:val="000000"/>
                <w:sz w:val="20"/>
                <w:szCs w:val="20"/>
                <w:lang w:eastAsia="zh-CN"/>
              </w:rPr>
            </w:pPr>
          </w:p>
        </w:tc>
      </w:tr>
      <w:tr>
        <w:tblPrEx>
          <w:tblW w:w="13056"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772706"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b/>
                <w:bCs/>
                <w:color w:val="000000"/>
                <w:sz w:val="20"/>
                <w:szCs w:val="20"/>
                <w:lang w:eastAsia="zh-CN"/>
              </w:rPr>
              <w:t>300</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772706" w:rsidP="00A231F2">
            <w:pPr>
              <w:bidi w:val="0"/>
              <w:spacing w:before="60" w:after="60"/>
              <w:rPr>
                <w:rFonts w:ascii="Times New Roman" w:hAnsi="Times New Roman"/>
                <w:color w:val="000000"/>
                <w:sz w:val="20"/>
                <w:szCs w:val="20"/>
                <w:lang w:eastAsia="zh-CN"/>
              </w:rPr>
            </w:pPr>
            <w:r w:rsidRPr="00772706">
              <w:rPr>
                <w:rFonts w:ascii="Times New Roman" w:hAnsi="Times New Roman"/>
                <w:b/>
                <w:bCs/>
                <w:color w:val="000000"/>
                <w:sz w:val="20"/>
                <w:szCs w:val="20"/>
                <w:lang w:eastAsia="zh-CN"/>
              </w:rPr>
              <w:t>Granty a transfery</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2E1BD7" w:rsidP="00A231F2">
            <w:pPr>
              <w:bidi w:val="0"/>
              <w:spacing w:before="60" w:after="60"/>
              <w:jc w:val="right"/>
              <w:rPr>
                <w:rFonts w:ascii="Times New Roman" w:hAnsi="Times New Roman"/>
                <w:b/>
                <w:color w:val="000000"/>
                <w:sz w:val="20"/>
                <w:szCs w:val="20"/>
                <w:lang w:eastAsia="zh-CN"/>
              </w:rPr>
            </w:pPr>
            <w:r>
              <w:rPr>
                <w:rFonts w:ascii="Times New Roman" w:hAnsi="Times New Roman"/>
                <w:b/>
                <w:bCs/>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b/>
                <w:bCs/>
                <w:color w:val="000000"/>
                <w:sz w:val="20"/>
                <w:szCs w:val="20"/>
              </w:rPr>
              <w:t>1 407 973 446</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b/>
                <w:bCs/>
                <w:color w:val="000000"/>
                <w:sz w:val="20"/>
                <w:szCs w:val="20"/>
              </w:rPr>
              <w:t>1 466 826 825</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b/>
                <w:bCs/>
                <w:color w:val="000000"/>
                <w:sz w:val="20"/>
                <w:szCs w:val="20"/>
              </w:rPr>
              <w:t>1 572 843 463</w:t>
            </w:r>
          </w:p>
        </w:tc>
        <w:tc>
          <w:tcPr>
            <w:tcW w:w="1427" w:type="dxa"/>
            <w:vMerge/>
            <w:tcBorders>
              <w:top w:val="single" w:sz="4" w:space="0" w:color="auto"/>
              <w:left w:val="single" w:sz="4" w:space="0" w:color="auto"/>
              <w:bottom w:val="single" w:sz="4" w:space="0" w:color="auto"/>
              <w:right w:val="single" w:sz="4" w:space="0" w:color="auto"/>
            </w:tcBorders>
            <w:textDirection w:val="lrTb"/>
            <w:vAlign w:val="top"/>
          </w:tcPr>
          <w:p w:rsidR="004E39C6" w:rsidRPr="00772706" w:rsidP="00A231F2">
            <w:pPr>
              <w:bidi w:val="0"/>
              <w:spacing w:before="60" w:after="60"/>
              <w:jc w:val="right"/>
              <w:rPr>
                <w:rFonts w:ascii="Times New Roman" w:hAnsi="Times New Roman"/>
                <w:color w:val="000000"/>
                <w:sz w:val="20"/>
                <w:szCs w:val="20"/>
                <w:lang w:eastAsia="zh-CN"/>
              </w:rPr>
            </w:pPr>
          </w:p>
        </w:tc>
      </w:tr>
      <w:tr>
        <w:tblPrEx>
          <w:tblW w:w="13056"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2E1BD7"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312</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2E1BD7"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Transfery v rámci verejnej správy</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1 407 973 446</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1 466 826 825</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1 572 843 463</w:t>
            </w:r>
          </w:p>
        </w:tc>
        <w:tc>
          <w:tcPr>
            <w:tcW w:w="1427" w:type="dxa"/>
            <w:vMerge/>
            <w:tcBorders>
              <w:top w:val="single" w:sz="4" w:space="0" w:color="auto"/>
              <w:left w:val="single" w:sz="4" w:space="0" w:color="auto"/>
              <w:bottom w:val="single" w:sz="4" w:space="0" w:color="auto"/>
              <w:right w:val="single" w:sz="4" w:space="0" w:color="auto"/>
            </w:tcBorders>
            <w:textDirection w:val="lrTb"/>
            <w:vAlign w:val="top"/>
          </w:tcPr>
          <w:p w:rsidR="004E39C6" w:rsidRPr="00772706" w:rsidP="00A231F2">
            <w:pPr>
              <w:bidi w:val="0"/>
              <w:spacing w:before="60" w:after="60"/>
              <w:jc w:val="right"/>
              <w:rPr>
                <w:rFonts w:ascii="Times New Roman" w:hAnsi="Times New Roman"/>
                <w:color w:val="000000"/>
                <w:sz w:val="20"/>
                <w:szCs w:val="20"/>
                <w:lang w:eastAsia="zh-CN"/>
              </w:rPr>
            </w:pPr>
          </w:p>
        </w:tc>
      </w:tr>
      <w:tr>
        <w:tblPrEx>
          <w:tblW w:w="13056"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2E1BD7"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312009</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2E1BD7"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Transfery v rámci verejnej správy</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1 407 973 446</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1 466 826 825</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1 572 843 463</w:t>
            </w:r>
          </w:p>
        </w:tc>
        <w:tc>
          <w:tcPr>
            <w:tcW w:w="1427" w:type="dxa"/>
            <w:vMerge/>
            <w:tcBorders>
              <w:top w:val="single" w:sz="4" w:space="0" w:color="auto"/>
              <w:left w:val="single" w:sz="4" w:space="0" w:color="auto"/>
              <w:bottom w:val="single" w:sz="4" w:space="0" w:color="auto"/>
              <w:right w:val="single" w:sz="4" w:space="0" w:color="auto"/>
            </w:tcBorders>
            <w:textDirection w:val="lrTb"/>
            <w:vAlign w:val="top"/>
          </w:tcPr>
          <w:p w:rsidR="004E39C6" w:rsidRPr="00772706" w:rsidP="00A231F2">
            <w:pPr>
              <w:bidi w:val="0"/>
              <w:spacing w:before="60" w:after="60"/>
              <w:jc w:val="right"/>
              <w:rPr>
                <w:rFonts w:ascii="Times New Roman" w:hAnsi="Times New Roman"/>
                <w:color w:val="000000"/>
                <w:sz w:val="20"/>
                <w:szCs w:val="20"/>
                <w:lang w:eastAsia="zh-CN"/>
              </w:rPr>
            </w:pPr>
          </w:p>
        </w:tc>
      </w:tr>
      <w:tr>
        <w:tblPrEx>
          <w:tblW w:w="13056"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2E1BD7" w:rsidP="00A231F2">
            <w:pPr>
              <w:bidi w:val="0"/>
              <w:spacing w:before="60" w:after="60"/>
              <w:jc w:val="right"/>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400</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2E1BD7" w:rsidP="00A231F2">
            <w:pPr>
              <w:bidi w:val="0"/>
              <w:spacing w:before="60" w:after="60"/>
              <w:rPr>
                <w:rFonts w:ascii="Times New Roman" w:hAnsi="Times New Roman"/>
                <w:b/>
                <w:bCs/>
                <w:color w:val="000000"/>
                <w:sz w:val="20"/>
                <w:szCs w:val="20"/>
                <w:lang w:eastAsia="zh-CN"/>
              </w:rPr>
            </w:pPr>
            <w:r w:rsidRPr="002E1BD7">
              <w:rPr>
                <w:rFonts w:ascii="Times New Roman" w:hAnsi="Times New Roman"/>
                <w:b/>
                <w:bCs/>
                <w:color w:val="000000"/>
                <w:sz w:val="20"/>
                <w:szCs w:val="20"/>
                <w:lang w:eastAsia="zh-CN"/>
              </w:rPr>
              <w:t>Príjmy z transakcií s fin. aktívami a pasívami</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2E1BD7"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2E1BD7"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-19 722 890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2E1BD7"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-20 094 025</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772706"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-20 094 025</w:t>
            </w:r>
          </w:p>
        </w:tc>
        <w:tc>
          <w:tcPr>
            <w:tcW w:w="1427" w:type="dxa"/>
            <w:vMerge/>
            <w:tcBorders>
              <w:top w:val="single" w:sz="4" w:space="0" w:color="auto"/>
              <w:left w:val="single" w:sz="4" w:space="0" w:color="auto"/>
              <w:bottom w:val="single" w:sz="4" w:space="0" w:color="auto"/>
              <w:right w:val="single" w:sz="4" w:space="0" w:color="auto"/>
            </w:tcBorders>
            <w:textDirection w:val="lrTb"/>
            <w:vAlign w:val="top"/>
          </w:tcPr>
          <w:p w:rsidR="00C232D3" w:rsidRPr="00772706" w:rsidP="00A231F2">
            <w:pPr>
              <w:bidi w:val="0"/>
              <w:spacing w:before="60" w:after="60"/>
              <w:jc w:val="right"/>
              <w:rPr>
                <w:rFonts w:ascii="Times New Roman" w:hAnsi="Times New Roman"/>
                <w:b/>
                <w:bCs/>
                <w:color w:val="000000"/>
                <w:sz w:val="20"/>
                <w:szCs w:val="20"/>
                <w:lang w:eastAsia="zh-CN"/>
              </w:rPr>
            </w:pPr>
          </w:p>
        </w:tc>
      </w:tr>
      <w:tr>
        <w:tblPrEx>
          <w:tblW w:w="13056"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2E1BD7"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411</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2E1BD7"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Od úverovaných subjektov</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-19 722 890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-20 094 025</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-20 094 025</w:t>
            </w:r>
          </w:p>
        </w:tc>
        <w:tc>
          <w:tcPr>
            <w:tcW w:w="1427" w:type="dxa"/>
            <w:vMerge/>
            <w:tcBorders>
              <w:top w:val="single" w:sz="4" w:space="0" w:color="auto"/>
              <w:left w:val="single" w:sz="4" w:space="0" w:color="auto"/>
              <w:bottom w:val="single" w:sz="4" w:space="0" w:color="auto"/>
              <w:right w:val="single" w:sz="4" w:space="0" w:color="auto"/>
            </w:tcBorders>
            <w:textDirection w:val="lrTb"/>
            <w:vAlign w:val="top"/>
          </w:tcPr>
          <w:p w:rsidR="00C232D3" w:rsidRPr="00772706" w:rsidP="00A231F2">
            <w:pPr>
              <w:bidi w:val="0"/>
              <w:spacing w:before="60" w:after="60"/>
              <w:jc w:val="right"/>
              <w:rPr>
                <w:rFonts w:ascii="Times New Roman" w:hAnsi="Times New Roman"/>
                <w:color w:val="000000"/>
                <w:sz w:val="20"/>
                <w:szCs w:val="20"/>
                <w:lang w:eastAsia="zh-CN"/>
              </w:rPr>
            </w:pPr>
          </w:p>
        </w:tc>
      </w:tr>
      <w:tr>
        <w:tblPrEx>
          <w:tblW w:w="13056"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2E1BD7"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411008</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2E1BD7"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Od zamestnávateľov z garančného poistenia</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-19 722 890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-20 094 025</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-20 094 025</w:t>
            </w:r>
          </w:p>
        </w:tc>
        <w:tc>
          <w:tcPr>
            <w:tcW w:w="1427" w:type="dxa"/>
            <w:vMerge/>
            <w:tcBorders>
              <w:top w:val="single" w:sz="4" w:space="0" w:color="auto"/>
              <w:left w:val="single" w:sz="4" w:space="0" w:color="auto"/>
              <w:bottom w:val="single" w:sz="4" w:space="0" w:color="auto"/>
              <w:right w:val="single" w:sz="4" w:space="0" w:color="auto"/>
            </w:tcBorders>
            <w:textDirection w:val="lrTb"/>
            <w:vAlign w:val="top"/>
          </w:tcPr>
          <w:p w:rsidR="00C232D3" w:rsidRPr="00772706" w:rsidP="00A231F2">
            <w:pPr>
              <w:bidi w:val="0"/>
              <w:spacing w:before="60" w:after="60"/>
              <w:jc w:val="right"/>
              <w:rPr>
                <w:rFonts w:ascii="Times New Roman" w:hAnsi="Times New Roman"/>
                <w:color w:val="000000"/>
                <w:sz w:val="20"/>
                <w:szCs w:val="20"/>
                <w:lang w:eastAsia="zh-CN"/>
              </w:rPr>
            </w:pPr>
          </w:p>
        </w:tc>
      </w:tr>
      <w:tr>
        <w:tblPrEx>
          <w:tblW w:w="13056"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772706"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b/>
                <w:bCs/>
                <w:color w:val="000000"/>
                <w:sz w:val="20"/>
                <w:szCs w:val="20"/>
                <w:lang w:eastAsia="zh-CN"/>
              </w:rPr>
              <w:t>100+300</w:t>
            </w:r>
          </w:p>
        </w:tc>
        <w:tc>
          <w:tcPr>
            <w:tcW w:w="4110"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772706" w:rsidP="00A231F2">
            <w:pPr>
              <w:bidi w:val="0"/>
              <w:spacing w:before="60" w:after="60"/>
              <w:rPr>
                <w:rFonts w:ascii="Times New Roman" w:hAnsi="Times New Roman"/>
                <w:color w:val="000000"/>
                <w:sz w:val="20"/>
                <w:szCs w:val="20"/>
                <w:lang w:eastAsia="zh-CN"/>
              </w:rPr>
            </w:pPr>
            <w:r w:rsidRPr="00772706">
              <w:rPr>
                <w:rFonts w:ascii="Times New Roman" w:hAnsi="Times New Roman"/>
                <w:b/>
                <w:bCs/>
                <w:color w:val="000000"/>
                <w:sz w:val="20"/>
                <w:szCs w:val="20"/>
                <w:lang w:eastAsia="zh-CN"/>
              </w:rPr>
              <w:t>Celkový vplyv bez 400,800</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2E1BD7" w:rsidP="00A231F2">
            <w:pPr>
              <w:bidi w:val="0"/>
              <w:spacing w:before="60" w:after="60"/>
              <w:jc w:val="right"/>
              <w:rPr>
                <w:rFonts w:ascii="Times New Roman" w:hAnsi="Times New Roman"/>
                <w:b/>
                <w:color w:val="000000"/>
                <w:sz w:val="20"/>
                <w:szCs w:val="20"/>
                <w:lang w:eastAsia="zh-CN"/>
              </w:rPr>
            </w:pPr>
            <w:r>
              <w:rPr>
                <w:rFonts w:ascii="Times New Roman" w:hAnsi="Times New Roman"/>
                <w:b/>
                <w:bCs/>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b/>
                <w:bCs/>
                <w:color w:val="000000"/>
                <w:sz w:val="20"/>
                <w:szCs w:val="20"/>
              </w:rPr>
              <w:t>-48 658 733</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2E1BD7" w:rsidP="00A231F2">
            <w:pPr>
              <w:bidi w:val="0"/>
              <w:spacing w:before="60" w:after="60"/>
              <w:jc w:val="right"/>
              <w:rPr>
                <w:rFonts w:ascii="Times New Roman" w:hAnsi="Times New Roman"/>
                <w:color w:val="000000"/>
                <w:sz w:val="20"/>
                <w:szCs w:val="20"/>
                <w:lang w:eastAsia="zh-CN"/>
              </w:rPr>
            </w:pPr>
            <w:r>
              <w:rPr>
                <w:rFonts w:ascii="Times New Roman" w:hAnsi="Times New Roman"/>
                <w:b/>
                <w:bCs/>
                <w:color w:val="000000"/>
                <w:sz w:val="20"/>
                <w:szCs w:val="20"/>
              </w:rPr>
              <w:t>-51 359 726</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C232D3"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b/>
                <w:bCs/>
                <w:color w:val="000000"/>
                <w:sz w:val="20"/>
                <w:szCs w:val="20"/>
              </w:rPr>
              <w:t>-54 710 331</w:t>
            </w:r>
          </w:p>
        </w:tc>
        <w:tc>
          <w:tcPr>
            <w:tcW w:w="1427" w:type="dxa"/>
            <w:vMerge/>
            <w:tcBorders>
              <w:top w:val="single" w:sz="4" w:space="0" w:color="auto"/>
              <w:left w:val="single" w:sz="4" w:space="0" w:color="auto"/>
              <w:bottom w:val="single" w:sz="4" w:space="0" w:color="auto"/>
              <w:right w:val="single" w:sz="4" w:space="0" w:color="auto"/>
            </w:tcBorders>
            <w:textDirection w:val="lrTb"/>
            <w:vAlign w:val="top"/>
          </w:tcPr>
          <w:p w:rsidR="00C232D3" w:rsidRPr="00772706" w:rsidP="00A231F2">
            <w:pPr>
              <w:bidi w:val="0"/>
              <w:spacing w:before="60" w:after="60"/>
              <w:jc w:val="right"/>
              <w:rPr>
                <w:rFonts w:ascii="Times New Roman" w:hAnsi="Times New Roman"/>
                <w:color w:val="000000"/>
                <w:sz w:val="20"/>
                <w:szCs w:val="20"/>
                <w:lang w:eastAsia="zh-CN"/>
              </w:rPr>
            </w:pPr>
          </w:p>
        </w:tc>
      </w:tr>
    </w:tbl>
    <w:p w:rsidR="004A4D30" w:rsidP="006727E0">
      <w:pPr>
        <w:pStyle w:val="NormalWeb"/>
        <w:bidi w:val="0"/>
        <w:spacing w:before="0" w:beforeAutospacing="0" w:after="120" w:afterAutospacing="0"/>
        <w:ind w:right="-143"/>
        <w:jc w:val="right"/>
        <w:rPr>
          <w:rFonts w:ascii="Times New Roman" w:hAnsi="Times New Roman"/>
          <w:b/>
          <w:bCs/>
        </w:rPr>
      </w:pPr>
      <w:r>
        <w:rPr>
          <w:rFonts w:ascii="Times New Roman" w:hAnsi="Times New Roman"/>
          <w:b/>
          <w:bCs/>
        </w:rPr>
        <w:br w:type="page"/>
      </w:r>
      <w:r w:rsidR="006727E0">
        <w:rPr>
          <w:rFonts w:ascii="Times New Roman" w:hAnsi="Times New Roman"/>
          <w:sz w:val="22"/>
          <w:szCs w:val="22"/>
        </w:rPr>
        <w:t xml:space="preserve">Tabuľka č. </w:t>
      </w:r>
      <w:r w:rsidR="005D2E9C">
        <w:rPr>
          <w:rFonts w:ascii="Times New Roman" w:hAnsi="Times New Roman"/>
          <w:sz w:val="22"/>
          <w:szCs w:val="22"/>
        </w:rPr>
        <w:t>7</w:t>
      </w:r>
    </w:p>
    <w:tbl>
      <w:tblPr>
        <w:tblStyle w:val="TableNormal"/>
        <w:tblW w:w="13183" w:type="dxa"/>
        <w:tblInd w:w="959" w:type="dxa"/>
        <w:tblLook w:val="00A0"/>
      </w:tblPr>
      <w:tblGrid>
        <w:gridCol w:w="1255"/>
        <w:gridCol w:w="13"/>
        <w:gridCol w:w="4100"/>
        <w:gridCol w:w="10"/>
        <w:gridCol w:w="1562"/>
        <w:gridCol w:w="10"/>
        <w:gridCol w:w="1549"/>
        <w:gridCol w:w="10"/>
        <w:gridCol w:w="1550"/>
        <w:gridCol w:w="10"/>
        <w:gridCol w:w="1549"/>
        <w:gridCol w:w="10"/>
        <w:gridCol w:w="1555"/>
      </w:tblGrid>
      <w:tr>
        <w:tblPrEx>
          <w:tblW w:w="13183" w:type="dxa"/>
          <w:tblInd w:w="959" w:type="dxa"/>
          <w:tblLook w:val="00A0"/>
        </w:tblPrEx>
        <w:trPr>
          <w:trHeight w:val="315"/>
        </w:trPr>
        <w:tc>
          <w:tcPr>
            <w:tcW w:w="1255" w:type="dxa"/>
            <w:tcBorders>
              <w:top w:val="single" w:sz="4" w:space="0" w:color="auto"/>
              <w:left w:val="single" w:sz="4" w:space="0" w:color="auto"/>
              <w:bottom w:val="nil"/>
              <w:right w:val="nil"/>
            </w:tcBorders>
            <w:shd w:val="clear" w:color="000000" w:fill="000000"/>
            <w:noWrap/>
            <w:textDirection w:val="lrTb"/>
            <w:vAlign w:val="bottom"/>
          </w:tcPr>
          <w:p w:rsidR="00A231F2" w:rsidRPr="00EB4034" w:rsidP="00A231F2">
            <w:pPr>
              <w:bidi w:val="0"/>
              <w:spacing w:before="60" w:after="60"/>
              <w:rPr>
                <w:rFonts w:ascii="Times New Roman" w:hAnsi="Times New Roman"/>
                <w:b/>
                <w:bCs/>
                <w:color w:val="FFFFFF"/>
                <w:sz w:val="20"/>
                <w:szCs w:val="20"/>
                <w:lang w:eastAsia="en-US"/>
              </w:rPr>
            </w:pPr>
            <w:r w:rsidRPr="00EB4034">
              <w:rPr>
                <w:rFonts w:ascii="Times New Roman" w:hAnsi="Times New Roman"/>
                <w:b/>
                <w:bCs/>
                <w:color w:val="FFFFFF"/>
                <w:sz w:val="20"/>
                <w:szCs w:val="20"/>
                <w:lang w:eastAsia="en-US"/>
              </w:rPr>
              <w:t> </w:t>
            </w:r>
          </w:p>
        </w:tc>
        <w:tc>
          <w:tcPr>
            <w:tcW w:w="4113" w:type="dxa"/>
            <w:gridSpan w:val="2"/>
            <w:tcBorders>
              <w:top w:val="single" w:sz="4" w:space="0" w:color="auto"/>
              <w:left w:val="nil"/>
              <w:bottom w:val="nil"/>
              <w:right w:val="nil"/>
            </w:tcBorders>
            <w:shd w:val="clear" w:color="000000" w:fill="000000"/>
            <w:noWrap/>
            <w:textDirection w:val="lrTb"/>
            <w:vAlign w:val="bottom"/>
          </w:tcPr>
          <w:p w:rsidR="00A231F2" w:rsidRPr="00EB4034" w:rsidP="00A231F2">
            <w:pPr>
              <w:bidi w:val="0"/>
              <w:spacing w:before="60" w:after="60"/>
              <w:rPr>
                <w:rFonts w:ascii="Times New Roman" w:hAnsi="Times New Roman"/>
                <w:b/>
                <w:bCs/>
                <w:color w:val="FFFFFF"/>
                <w:sz w:val="20"/>
                <w:szCs w:val="20"/>
                <w:lang w:eastAsia="en-US"/>
              </w:rPr>
            </w:pPr>
            <w:r w:rsidRPr="00EB4034">
              <w:rPr>
                <w:rFonts w:ascii="Times New Roman" w:hAnsi="Times New Roman"/>
                <w:b/>
                <w:bCs/>
                <w:color w:val="FFFFFF"/>
                <w:sz w:val="20"/>
                <w:szCs w:val="20"/>
              </w:rPr>
              <w:t xml:space="preserve">Výdavky </w:t>
            </w:r>
            <w:r w:rsidRPr="00705F05">
              <w:rPr>
                <w:rFonts w:ascii="Times New Roman" w:hAnsi="Times New Roman"/>
                <w:b/>
                <w:bCs/>
                <w:color w:val="FFFFFF"/>
                <w:sz w:val="20"/>
                <w:szCs w:val="20"/>
              </w:rPr>
              <w:t>(</w:t>
            </w:r>
            <w:r>
              <w:rPr>
                <w:rFonts w:ascii="Times New Roman" w:hAnsi="Times New Roman"/>
                <w:b/>
                <w:bCs/>
                <w:color w:val="FFFFFF"/>
                <w:sz w:val="20"/>
                <w:szCs w:val="20"/>
              </w:rPr>
              <w:t xml:space="preserve">ESA 95, </w:t>
            </w:r>
            <w:r w:rsidRPr="00705F05">
              <w:rPr>
                <w:rFonts w:ascii="Times New Roman" w:hAnsi="Times New Roman"/>
                <w:b/>
                <w:bCs/>
                <w:color w:val="FFFFFF"/>
                <w:sz w:val="20"/>
                <w:szCs w:val="20"/>
              </w:rPr>
              <w:t>v eurách)</w:t>
            </w:r>
          </w:p>
        </w:tc>
        <w:tc>
          <w:tcPr>
            <w:tcW w:w="6250" w:type="dxa"/>
            <w:gridSpan w:val="8"/>
            <w:tcBorders>
              <w:top w:val="single" w:sz="4" w:space="0" w:color="auto"/>
              <w:left w:val="nil"/>
              <w:bottom w:val="nil"/>
              <w:right w:val="nil"/>
            </w:tcBorders>
            <w:shd w:val="clear" w:color="000000" w:fill="000000"/>
            <w:noWrap/>
            <w:textDirection w:val="lrTb"/>
            <w:vAlign w:val="bottom"/>
          </w:tcPr>
          <w:p w:rsidR="00A231F2" w:rsidRPr="00EB4034" w:rsidP="00A231F2">
            <w:pPr>
              <w:bidi w:val="0"/>
              <w:spacing w:before="120" w:after="120"/>
              <w:jc w:val="center"/>
              <w:rPr>
                <w:rFonts w:ascii="Times New Roman" w:hAnsi="Times New Roman"/>
                <w:b/>
                <w:bCs/>
                <w:color w:val="FFFFFF"/>
                <w:sz w:val="20"/>
                <w:szCs w:val="20"/>
                <w:lang w:eastAsia="en-US"/>
              </w:rPr>
            </w:pPr>
            <w:r w:rsidRPr="00EB4034">
              <w:rPr>
                <w:rFonts w:ascii="Times New Roman" w:hAnsi="Times New Roman"/>
                <w:b/>
                <w:bCs/>
                <w:color w:val="FFFFFF"/>
                <w:sz w:val="20"/>
                <w:szCs w:val="20"/>
              </w:rPr>
              <w:t>Vplyv na rozpočet verejnej správy</w:t>
            </w:r>
          </w:p>
        </w:tc>
        <w:tc>
          <w:tcPr>
            <w:tcW w:w="1565" w:type="dxa"/>
            <w:gridSpan w:val="2"/>
            <w:vMerge w:val="restart"/>
            <w:tcBorders>
              <w:top w:val="single" w:sz="4" w:space="0" w:color="auto"/>
              <w:left w:val="nil"/>
              <w:bottom w:val="none" w:sz="0" w:space="0" w:color="auto"/>
              <w:right w:val="nil"/>
            </w:tcBorders>
            <w:shd w:val="clear" w:color="000000" w:fill="000000"/>
            <w:textDirection w:val="lrTb"/>
            <w:vAlign w:val="center"/>
          </w:tcPr>
          <w:p w:rsidR="00A231F2" w:rsidRPr="00772706" w:rsidP="00A231F2">
            <w:pPr>
              <w:pStyle w:val="NormalWeb"/>
              <w:bidi w:val="0"/>
              <w:spacing w:before="60" w:beforeAutospacing="0" w:after="60" w:afterAutospacing="0"/>
              <w:jc w:val="center"/>
              <w:rPr>
                <w:rFonts w:ascii="Times New Roman" w:hAnsi="Times New Roman"/>
                <w:sz w:val="20"/>
                <w:szCs w:val="20"/>
              </w:rPr>
            </w:pPr>
            <w:r w:rsidRPr="00EB4034">
              <w:rPr>
                <w:rFonts w:ascii="Times New Roman" w:hAnsi="Times New Roman"/>
                <w:b/>
                <w:bCs/>
                <w:color w:val="FFFFFF"/>
                <w:sz w:val="20"/>
                <w:szCs w:val="20"/>
              </w:rPr>
              <w:t>Poznámka</w:t>
            </w:r>
          </w:p>
        </w:tc>
      </w:tr>
      <w:tr>
        <w:tblPrEx>
          <w:tblW w:w="13183" w:type="dxa"/>
          <w:tblInd w:w="959" w:type="dxa"/>
          <w:tblLook w:val="00A0"/>
        </w:tblPrEx>
        <w:trPr>
          <w:trHeight w:val="315"/>
        </w:trPr>
        <w:tc>
          <w:tcPr>
            <w:tcW w:w="1255" w:type="dxa"/>
            <w:tcBorders>
              <w:top w:val="nil"/>
              <w:left w:val="single" w:sz="4" w:space="0" w:color="auto"/>
              <w:bottom w:val="nil"/>
              <w:right w:val="nil"/>
            </w:tcBorders>
            <w:shd w:val="clear" w:color="000000" w:fill="000000"/>
            <w:noWrap/>
            <w:textDirection w:val="lrTb"/>
            <w:vAlign w:val="bottom"/>
          </w:tcPr>
          <w:p w:rsidR="00A231F2" w:rsidRPr="00EB4034" w:rsidP="00A231F2">
            <w:pPr>
              <w:bidi w:val="0"/>
              <w:spacing w:before="60" w:after="60"/>
              <w:rPr>
                <w:rFonts w:ascii="Times New Roman" w:hAnsi="Times New Roman"/>
                <w:b/>
                <w:bCs/>
                <w:color w:val="FFFFFF"/>
                <w:sz w:val="20"/>
                <w:szCs w:val="20"/>
                <w:lang w:eastAsia="en-US"/>
              </w:rPr>
            </w:pPr>
            <w:r w:rsidRPr="00EB4034">
              <w:rPr>
                <w:rFonts w:ascii="Times New Roman" w:hAnsi="Times New Roman"/>
                <w:b/>
                <w:bCs/>
                <w:color w:val="FFFFFF"/>
                <w:sz w:val="20"/>
                <w:szCs w:val="20"/>
                <w:lang w:eastAsia="en-US"/>
              </w:rPr>
              <w:t> </w:t>
            </w:r>
          </w:p>
        </w:tc>
        <w:tc>
          <w:tcPr>
            <w:tcW w:w="4113" w:type="dxa"/>
            <w:gridSpan w:val="2"/>
            <w:tcBorders>
              <w:top w:val="nil"/>
              <w:left w:val="nil"/>
              <w:bottom w:val="nil"/>
              <w:right w:val="nil"/>
            </w:tcBorders>
            <w:shd w:val="clear" w:color="000000" w:fill="000000"/>
            <w:noWrap/>
            <w:textDirection w:val="lrTb"/>
            <w:vAlign w:val="bottom"/>
          </w:tcPr>
          <w:p w:rsidR="00A231F2" w:rsidRPr="00EB4034" w:rsidP="00A231F2">
            <w:pPr>
              <w:bidi w:val="0"/>
              <w:spacing w:before="120" w:after="120"/>
              <w:rPr>
                <w:rFonts w:ascii="Times New Roman" w:hAnsi="Times New Roman"/>
                <w:b/>
                <w:bCs/>
                <w:color w:val="FFFFFF"/>
                <w:sz w:val="20"/>
                <w:szCs w:val="20"/>
                <w:u w:val="single"/>
                <w:lang w:eastAsia="en-US"/>
              </w:rPr>
            </w:pPr>
            <w:r w:rsidRPr="00EB4034">
              <w:rPr>
                <w:rFonts w:ascii="Times New Roman" w:hAnsi="Times New Roman"/>
                <w:b/>
                <w:bCs/>
                <w:color w:val="FFFFFF"/>
                <w:sz w:val="20"/>
                <w:szCs w:val="20"/>
                <w:u w:val="single"/>
                <w:lang w:eastAsia="en-US"/>
              </w:rPr>
              <w:t>Štátny rozpočet</w:t>
            </w:r>
          </w:p>
        </w:tc>
        <w:tc>
          <w:tcPr>
            <w:tcW w:w="1572" w:type="dxa"/>
            <w:gridSpan w:val="2"/>
            <w:tcBorders>
              <w:top w:val="nil"/>
              <w:left w:val="nil"/>
              <w:bottom w:val="nil"/>
              <w:right w:val="nil"/>
            </w:tcBorders>
            <w:shd w:val="clear" w:color="000000" w:fill="000000"/>
            <w:noWrap/>
            <w:textDirection w:val="lrTb"/>
            <w:vAlign w:val="bottom"/>
          </w:tcPr>
          <w:p w:rsidR="00A231F2" w:rsidRPr="00EB4034" w:rsidP="00A231F2">
            <w:pPr>
              <w:bidi w:val="0"/>
              <w:spacing w:before="120" w:after="120"/>
              <w:jc w:val="center"/>
              <w:rPr>
                <w:rFonts w:ascii="Times New Roman" w:hAnsi="Times New Roman"/>
                <w:b/>
                <w:bCs/>
                <w:color w:val="FFFFFF"/>
                <w:sz w:val="20"/>
                <w:szCs w:val="20"/>
                <w:lang w:eastAsia="en-US"/>
              </w:rPr>
            </w:pPr>
            <w:r w:rsidRPr="00EB4034">
              <w:rPr>
                <w:rFonts w:ascii="Times New Roman" w:hAnsi="Times New Roman"/>
                <w:b/>
                <w:bCs/>
                <w:color w:val="FFFFFF"/>
                <w:sz w:val="20"/>
                <w:szCs w:val="20"/>
                <w:lang w:eastAsia="en-US"/>
              </w:rPr>
              <w:t>2011</w:t>
            </w:r>
          </w:p>
        </w:tc>
        <w:tc>
          <w:tcPr>
            <w:tcW w:w="1559" w:type="dxa"/>
            <w:gridSpan w:val="2"/>
            <w:tcBorders>
              <w:top w:val="nil"/>
              <w:left w:val="nil"/>
              <w:bottom w:val="nil"/>
              <w:right w:val="nil"/>
            </w:tcBorders>
            <w:shd w:val="clear" w:color="000000" w:fill="000000"/>
            <w:noWrap/>
            <w:textDirection w:val="lrTb"/>
            <w:vAlign w:val="bottom"/>
          </w:tcPr>
          <w:p w:rsidR="00A231F2" w:rsidRPr="00EB4034" w:rsidP="00A231F2">
            <w:pPr>
              <w:bidi w:val="0"/>
              <w:spacing w:before="120" w:after="120"/>
              <w:jc w:val="center"/>
              <w:rPr>
                <w:rFonts w:ascii="Times New Roman" w:hAnsi="Times New Roman"/>
                <w:b/>
                <w:bCs/>
                <w:color w:val="FFFFFF"/>
                <w:sz w:val="20"/>
                <w:szCs w:val="20"/>
                <w:lang w:eastAsia="en-US"/>
              </w:rPr>
            </w:pPr>
            <w:r w:rsidRPr="00EB4034">
              <w:rPr>
                <w:rFonts w:ascii="Times New Roman" w:hAnsi="Times New Roman"/>
                <w:b/>
                <w:bCs/>
                <w:color w:val="FFFFFF"/>
                <w:sz w:val="20"/>
                <w:szCs w:val="20"/>
                <w:lang w:eastAsia="en-US"/>
              </w:rPr>
              <w:t>2012</w:t>
            </w:r>
          </w:p>
        </w:tc>
        <w:tc>
          <w:tcPr>
            <w:tcW w:w="1560" w:type="dxa"/>
            <w:gridSpan w:val="2"/>
            <w:tcBorders>
              <w:top w:val="nil"/>
              <w:left w:val="nil"/>
              <w:bottom w:val="nil"/>
              <w:right w:val="nil"/>
            </w:tcBorders>
            <w:shd w:val="clear" w:color="000000" w:fill="000000"/>
            <w:noWrap/>
            <w:textDirection w:val="lrTb"/>
            <w:vAlign w:val="bottom"/>
          </w:tcPr>
          <w:p w:rsidR="00A231F2" w:rsidRPr="00EB4034" w:rsidP="00A231F2">
            <w:pPr>
              <w:bidi w:val="0"/>
              <w:spacing w:before="120" w:after="120"/>
              <w:jc w:val="center"/>
              <w:rPr>
                <w:rFonts w:ascii="Times New Roman" w:hAnsi="Times New Roman"/>
                <w:b/>
                <w:bCs/>
                <w:color w:val="FFFFFF"/>
                <w:sz w:val="20"/>
                <w:szCs w:val="20"/>
                <w:lang w:eastAsia="en-US"/>
              </w:rPr>
            </w:pPr>
            <w:r w:rsidRPr="00EB4034">
              <w:rPr>
                <w:rFonts w:ascii="Times New Roman" w:hAnsi="Times New Roman"/>
                <w:b/>
                <w:bCs/>
                <w:color w:val="FFFFFF"/>
                <w:sz w:val="20"/>
                <w:szCs w:val="20"/>
                <w:lang w:eastAsia="en-US"/>
              </w:rPr>
              <w:t>2013</w:t>
            </w:r>
          </w:p>
        </w:tc>
        <w:tc>
          <w:tcPr>
            <w:tcW w:w="1559" w:type="dxa"/>
            <w:gridSpan w:val="2"/>
            <w:tcBorders>
              <w:top w:val="nil"/>
              <w:left w:val="nil"/>
              <w:bottom w:val="nil"/>
              <w:right w:val="nil"/>
            </w:tcBorders>
            <w:shd w:val="clear" w:color="000000" w:fill="000000"/>
            <w:noWrap/>
            <w:textDirection w:val="lrTb"/>
            <w:vAlign w:val="bottom"/>
          </w:tcPr>
          <w:p w:rsidR="00A231F2" w:rsidRPr="00772706" w:rsidP="00A231F2">
            <w:pPr>
              <w:bidi w:val="0"/>
              <w:spacing w:before="120" w:after="120"/>
              <w:jc w:val="center"/>
              <w:rPr>
                <w:rFonts w:ascii="Times New Roman" w:hAnsi="Times New Roman"/>
                <w:b/>
                <w:bCs/>
                <w:color w:val="FFFFFF"/>
                <w:sz w:val="20"/>
                <w:szCs w:val="20"/>
                <w:lang w:eastAsia="en-US"/>
              </w:rPr>
            </w:pPr>
            <w:r w:rsidRPr="00772706">
              <w:rPr>
                <w:rFonts w:ascii="Times New Roman" w:hAnsi="Times New Roman"/>
                <w:b/>
                <w:bCs/>
                <w:color w:val="FFFFFF"/>
                <w:sz w:val="20"/>
                <w:szCs w:val="20"/>
                <w:lang w:eastAsia="en-US"/>
              </w:rPr>
              <w:t>2014</w:t>
            </w:r>
          </w:p>
        </w:tc>
        <w:tc>
          <w:tcPr>
            <w:tcW w:w="1565" w:type="dxa"/>
            <w:gridSpan w:val="2"/>
            <w:vMerge/>
            <w:tcBorders>
              <w:top w:val="none" w:sz="0" w:space="0" w:color="auto"/>
              <w:left w:val="nil"/>
              <w:bottom w:val="nil"/>
              <w:right w:val="nil"/>
            </w:tcBorders>
            <w:shd w:val="clear" w:color="000000" w:fill="000000"/>
            <w:textDirection w:val="lrTb"/>
            <w:vAlign w:val="center"/>
          </w:tcPr>
          <w:p w:rsidR="00A231F2" w:rsidRPr="00772706" w:rsidP="00A231F2">
            <w:pPr>
              <w:bidi w:val="0"/>
              <w:spacing w:before="60" w:after="60"/>
              <w:rPr>
                <w:rFonts w:ascii="Times New Roman" w:hAnsi="Times New Roman"/>
                <w:sz w:val="20"/>
                <w:szCs w:val="20"/>
              </w:rPr>
            </w:pPr>
          </w:p>
        </w:tc>
      </w:tr>
      <w:tr>
        <w:tblPrEx>
          <w:tblW w:w="1318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772706" w:rsidP="00A231F2">
            <w:pPr>
              <w:bidi w:val="0"/>
              <w:spacing w:before="60" w:after="60"/>
              <w:jc w:val="right"/>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600</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772706" w:rsidP="00A231F2">
            <w:pPr>
              <w:bidi w:val="0"/>
              <w:spacing w:before="60" w:after="60"/>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Výdavky celkom</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772706"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772706"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1 359 314 713</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772706"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1 415 467 099</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772706"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1 518 133 132</w:t>
            </w:r>
          </w:p>
        </w:tc>
        <w:tc>
          <w:tcPr>
            <w:tcW w:w="1555" w:type="dxa"/>
            <w:vMerge w:val="restart"/>
            <w:tcBorders>
              <w:top w:val="single" w:sz="4" w:space="0" w:color="auto"/>
              <w:left w:val="single" w:sz="4" w:space="0" w:color="auto"/>
              <w:bottom w:val="single" w:sz="4" w:space="0" w:color="auto"/>
              <w:right w:val="single" w:sz="4" w:space="0" w:color="auto"/>
            </w:tcBorders>
            <w:textDirection w:val="lrTb"/>
            <w:vAlign w:val="top"/>
          </w:tcPr>
          <w:p w:rsidR="004E39C6" w:rsidRPr="00772706" w:rsidP="00A231F2">
            <w:pPr>
              <w:bidi w:val="0"/>
              <w:spacing w:before="60" w:after="60"/>
              <w:jc w:val="right"/>
              <w:rPr>
                <w:rFonts w:ascii="Times New Roman" w:hAnsi="Times New Roman"/>
                <w:b/>
                <w:bCs/>
                <w:color w:val="000000"/>
                <w:sz w:val="20"/>
                <w:szCs w:val="20"/>
                <w:lang w:eastAsia="zh-CN"/>
              </w:rPr>
            </w:pPr>
          </w:p>
        </w:tc>
      </w:tr>
      <w:tr>
        <w:tblPrEx>
          <w:tblW w:w="1318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772706" w:rsidP="00A231F2">
            <w:pPr>
              <w:bidi w:val="0"/>
              <w:spacing w:before="60" w:after="60"/>
              <w:jc w:val="right"/>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600</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772706" w:rsidP="00A231F2">
            <w:pPr>
              <w:bidi w:val="0"/>
              <w:spacing w:before="60" w:after="60"/>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Bežné výdavky</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772706"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772706"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1 359 314 713</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772706"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1 415 467 099</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772706"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1 518 133 132</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4E39C6" w:rsidRPr="00772706" w:rsidP="00A231F2">
            <w:pPr>
              <w:bidi w:val="0"/>
              <w:spacing w:before="60" w:after="60"/>
              <w:jc w:val="right"/>
              <w:rPr>
                <w:rFonts w:ascii="Times New Roman" w:hAnsi="Times New Roman"/>
                <w:b/>
                <w:bCs/>
                <w:color w:val="000000"/>
                <w:sz w:val="20"/>
                <w:szCs w:val="20"/>
                <w:lang w:eastAsia="zh-CN"/>
              </w:rPr>
            </w:pPr>
          </w:p>
        </w:tc>
      </w:tr>
      <w:tr>
        <w:tblPrEx>
          <w:tblW w:w="1318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EB4034"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640</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EB4034"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Bežné transfery</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EB4034"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EB4034"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1 359 314 713</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EB4034"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1 415 467 099</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EB4034"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1 518 133 132</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4E39C6" w:rsidRPr="00772706" w:rsidP="00A231F2">
            <w:pPr>
              <w:bidi w:val="0"/>
              <w:spacing w:before="60" w:after="60"/>
              <w:jc w:val="right"/>
              <w:rPr>
                <w:rFonts w:ascii="Times New Roman" w:hAnsi="Times New Roman"/>
                <w:color w:val="000000"/>
                <w:sz w:val="20"/>
                <w:szCs w:val="20"/>
                <w:lang w:eastAsia="zh-CN"/>
              </w:rPr>
            </w:pPr>
          </w:p>
        </w:tc>
      </w:tr>
      <w:tr>
        <w:tblPrEx>
          <w:tblW w:w="1318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EB4034"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641</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EB4034"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Transfery v rámci verejnej správy</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EB4034"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EB4034"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1 407 973 446</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EB4034"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1 466 826 825</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EB4034"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1 572 843 463</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4E39C6" w:rsidRPr="00772706" w:rsidP="00A231F2">
            <w:pPr>
              <w:bidi w:val="0"/>
              <w:spacing w:before="60" w:after="60"/>
              <w:jc w:val="right"/>
              <w:rPr>
                <w:rFonts w:ascii="Times New Roman" w:hAnsi="Times New Roman"/>
                <w:color w:val="000000"/>
                <w:sz w:val="20"/>
                <w:szCs w:val="20"/>
                <w:lang w:eastAsia="zh-CN"/>
              </w:rPr>
            </w:pPr>
          </w:p>
        </w:tc>
      </w:tr>
      <w:tr>
        <w:tblPrEx>
          <w:tblW w:w="1318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F16C8" w:rsidRPr="00EB4034"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642</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F16C8" w:rsidRPr="00EB4034"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Transfery jednotlivcom a neziskovým PO</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F16C8" w:rsidRPr="00EB4034"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F16C8" w:rsidRPr="00EB4034"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-48 658 733</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F16C8" w:rsidRPr="00EB4034"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-51 359 726</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F16C8" w:rsidRPr="00EB4034"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-54 710 331</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2F16C8" w:rsidRPr="00772706" w:rsidP="00A231F2">
            <w:pPr>
              <w:bidi w:val="0"/>
              <w:spacing w:before="60" w:after="60"/>
              <w:jc w:val="right"/>
              <w:rPr>
                <w:rFonts w:ascii="Times New Roman" w:hAnsi="Times New Roman"/>
                <w:color w:val="000000"/>
                <w:sz w:val="20"/>
                <w:szCs w:val="20"/>
                <w:lang w:eastAsia="zh-CN"/>
              </w:rPr>
            </w:pPr>
          </w:p>
        </w:tc>
      </w:tr>
      <w:tr>
        <w:tblPrEx>
          <w:tblW w:w="1318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F16C8" w:rsidRPr="00EB4034"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642031</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F16C8" w:rsidRPr="00EB4034"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 xml:space="preserve">   - poistné platené štátom</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F16C8" w:rsidRPr="00EB4034"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F16C8" w:rsidRPr="00EB4034"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-48 658 733</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F16C8" w:rsidRPr="00EB4034"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-51 359 726</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2F16C8" w:rsidRPr="00EB4034"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-54 710 331</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2F16C8" w:rsidRPr="00772706" w:rsidP="00A231F2">
            <w:pPr>
              <w:bidi w:val="0"/>
              <w:spacing w:before="60" w:after="60"/>
              <w:jc w:val="right"/>
              <w:rPr>
                <w:rFonts w:ascii="Times New Roman" w:hAnsi="Times New Roman"/>
                <w:color w:val="000000"/>
                <w:sz w:val="20"/>
                <w:szCs w:val="20"/>
                <w:lang w:eastAsia="zh-CN"/>
              </w:rPr>
            </w:pPr>
          </w:p>
        </w:tc>
      </w:tr>
    </w:tbl>
    <w:p w:rsidR="004A4D30" w:rsidP="004A4D30">
      <w:pPr>
        <w:pStyle w:val="NormalWeb"/>
        <w:bidi w:val="0"/>
        <w:spacing w:before="0" w:beforeAutospacing="0" w:after="120" w:afterAutospacing="0"/>
        <w:ind w:right="190"/>
        <w:jc w:val="both"/>
        <w:rPr>
          <w:rFonts w:ascii="Times New Roman" w:hAnsi="Times New Roman"/>
          <w:b/>
          <w:bCs/>
        </w:rPr>
      </w:pPr>
    </w:p>
    <w:p w:rsidR="00EB4034" w:rsidP="00EB4034">
      <w:pPr>
        <w:pStyle w:val="NormalWeb"/>
        <w:bidi w:val="0"/>
        <w:spacing w:before="0" w:beforeAutospacing="0" w:after="120" w:afterAutospacing="0"/>
        <w:ind w:right="-143"/>
        <w:jc w:val="right"/>
        <w:rPr>
          <w:rFonts w:ascii="Times New Roman" w:hAnsi="Times New Roman"/>
          <w:b/>
          <w:bCs/>
        </w:rPr>
      </w:pPr>
      <w:r w:rsidR="005D72BF">
        <w:rPr>
          <w:rFonts w:ascii="Times New Roman" w:hAnsi="Times New Roman"/>
          <w:sz w:val="22"/>
          <w:szCs w:val="22"/>
        </w:rPr>
        <w:br w:type="page"/>
      </w:r>
      <w:r w:rsidR="006727E0">
        <w:rPr>
          <w:rFonts w:ascii="Times New Roman" w:hAnsi="Times New Roman"/>
          <w:sz w:val="22"/>
          <w:szCs w:val="22"/>
        </w:rPr>
        <w:t xml:space="preserve">Tabuľka č. </w:t>
      </w:r>
      <w:r w:rsidR="005D2E9C">
        <w:rPr>
          <w:rFonts w:ascii="Times New Roman" w:hAnsi="Times New Roman"/>
          <w:sz w:val="22"/>
          <w:szCs w:val="22"/>
        </w:rPr>
        <w:t>8</w:t>
      </w:r>
    </w:p>
    <w:tbl>
      <w:tblPr>
        <w:tblStyle w:val="TableNormal"/>
        <w:tblW w:w="13183" w:type="dxa"/>
        <w:tblInd w:w="959" w:type="dxa"/>
        <w:tblLook w:val="00A0"/>
      </w:tblPr>
      <w:tblGrid>
        <w:gridCol w:w="1255"/>
        <w:gridCol w:w="13"/>
        <w:gridCol w:w="4100"/>
        <w:gridCol w:w="10"/>
        <w:gridCol w:w="1562"/>
        <w:gridCol w:w="10"/>
        <w:gridCol w:w="1549"/>
        <w:gridCol w:w="10"/>
        <w:gridCol w:w="1550"/>
        <w:gridCol w:w="10"/>
        <w:gridCol w:w="1549"/>
        <w:gridCol w:w="10"/>
        <w:gridCol w:w="1555"/>
      </w:tblGrid>
      <w:tr>
        <w:tblPrEx>
          <w:tblW w:w="13183" w:type="dxa"/>
          <w:tblInd w:w="959" w:type="dxa"/>
          <w:tblLook w:val="00A0"/>
        </w:tblPrEx>
        <w:trPr>
          <w:trHeight w:val="315"/>
          <w:tblHeader/>
        </w:trPr>
        <w:tc>
          <w:tcPr>
            <w:tcW w:w="1255" w:type="dxa"/>
            <w:tcBorders>
              <w:top w:val="single" w:sz="4" w:space="0" w:color="auto"/>
              <w:left w:val="single" w:sz="4" w:space="0" w:color="auto"/>
              <w:bottom w:val="nil"/>
              <w:right w:val="nil"/>
            </w:tcBorders>
            <w:shd w:val="clear" w:color="000000" w:fill="000000"/>
            <w:noWrap/>
            <w:textDirection w:val="lrTb"/>
            <w:vAlign w:val="bottom"/>
          </w:tcPr>
          <w:p w:rsidR="00A231F2" w:rsidRPr="00267792" w:rsidP="00A231F2">
            <w:pPr>
              <w:bidi w:val="0"/>
              <w:spacing w:before="60" w:after="60"/>
              <w:rPr>
                <w:rFonts w:ascii="Times New Roman" w:hAnsi="Times New Roman"/>
                <w:b/>
                <w:bCs/>
                <w:color w:val="FFFFFF"/>
                <w:sz w:val="20"/>
                <w:szCs w:val="20"/>
                <w:lang w:eastAsia="en-US"/>
              </w:rPr>
            </w:pPr>
            <w:r w:rsidRPr="00267792">
              <w:rPr>
                <w:rFonts w:ascii="Times New Roman" w:hAnsi="Times New Roman"/>
                <w:b/>
                <w:bCs/>
                <w:color w:val="FFFFFF"/>
                <w:sz w:val="20"/>
                <w:szCs w:val="20"/>
                <w:lang w:eastAsia="en-US"/>
              </w:rPr>
              <w:t> </w:t>
            </w:r>
          </w:p>
        </w:tc>
        <w:tc>
          <w:tcPr>
            <w:tcW w:w="4113" w:type="dxa"/>
            <w:gridSpan w:val="2"/>
            <w:tcBorders>
              <w:top w:val="single" w:sz="4" w:space="0" w:color="auto"/>
              <w:left w:val="nil"/>
              <w:bottom w:val="nil"/>
              <w:right w:val="nil"/>
            </w:tcBorders>
            <w:shd w:val="clear" w:color="000000" w:fill="000000"/>
            <w:noWrap/>
            <w:textDirection w:val="lrTb"/>
            <w:vAlign w:val="bottom"/>
          </w:tcPr>
          <w:p w:rsidR="00A231F2" w:rsidRPr="00267792" w:rsidP="00A231F2">
            <w:pPr>
              <w:bidi w:val="0"/>
              <w:spacing w:before="60" w:after="60"/>
              <w:rPr>
                <w:rFonts w:ascii="Times New Roman" w:hAnsi="Times New Roman"/>
                <w:b/>
                <w:bCs/>
                <w:color w:val="FFFFFF"/>
                <w:sz w:val="20"/>
                <w:szCs w:val="20"/>
                <w:lang w:eastAsia="en-US"/>
              </w:rPr>
            </w:pPr>
            <w:r w:rsidRPr="00267792">
              <w:rPr>
                <w:rFonts w:ascii="Times New Roman" w:hAnsi="Times New Roman"/>
                <w:b/>
                <w:bCs/>
                <w:color w:val="FFFFFF"/>
                <w:sz w:val="20"/>
                <w:szCs w:val="20"/>
              </w:rPr>
              <w:t xml:space="preserve">Výdavky </w:t>
            </w:r>
            <w:r w:rsidRPr="00705F05">
              <w:rPr>
                <w:rFonts w:ascii="Times New Roman" w:hAnsi="Times New Roman"/>
                <w:b/>
                <w:bCs/>
                <w:color w:val="FFFFFF"/>
                <w:sz w:val="20"/>
                <w:szCs w:val="20"/>
              </w:rPr>
              <w:t>(</w:t>
            </w:r>
            <w:r>
              <w:rPr>
                <w:rFonts w:ascii="Times New Roman" w:hAnsi="Times New Roman"/>
                <w:b/>
                <w:bCs/>
                <w:color w:val="FFFFFF"/>
                <w:sz w:val="20"/>
                <w:szCs w:val="20"/>
              </w:rPr>
              <w:t xml:space="preserve">ESA 95, </w:t>
            </w:r>
            <w:r w:rsidRPr="00705F05">
              <w:rPr>
                <w:rFonts w:ascii="Times New Roman" w:hAnsi="Times New Roman"/>
                <w:b/>
                <w:bCs/>
                <w:color w:val="FFFFFF"/>
                <w:sz w:val="20"/>
                <w:szCs w:val="20"/>
              </w:rPr>
              <w:t>v eurách)</w:t>
            </w:r>
          </w:p>
        </w:tc>
        <w:tc>
          <w:tcPr>
            <w:tcW w:w="6250" w:type="dxa"/>
            <w:gridSpan w:val="8"/>
            <w:tcBorders>
              <w:top w:val="single" w:sz="4" w:space="0" w:color="auto"/>
              <w:left w:val="nil"/>
              <w:bottom w:val="nil"/>
              <w:right w:val="nil"/>
            </w:tcBorders>
            <w:shd w:val="clear" w:color="000000" w:fill="000000"/>
            <w:noWrap/>
            <w:textDirection w:val="lrTb"/>
            <w:vAlign w:val="bottom"/>
          </w:tcPr>
          <w:p w:rsidR="00A231F2" w:rsidRPr="00267792" w:rsidP="00A231F2">
            <w:pPr>
              <w:bidi w:val="0"/>
              <w:spacing w:before="120" w:after="120"/>
              <w:jc w:val="center"/>
              <w:rPr>
                <w:rFonts w:ascii="Times New Roman" w:hAnsi="Times New Roman"/>
                <w:b/>
                <w:bCs/>
                <w:color w:val="FFFFFF"/>
                <w:sz w:val="20"/>
                <w:szCs w:val="20"/>
                <w:lang w:eastAsia="en-US"/>
              </w:rPr>
            </w:pPr>
            <w:r w:rsidRPr="00267792">
              <w:rPr>
                <w:rFonts w:ascii="Times New Roman" w:hAnsi="Times New Roman"/>
                <w:b/>
                <w:bCs/>
                <w:color w:val="FFFFFF"/>
                <w:sz w:val="20"/>
                <w:szCs w:val="20"/>
              </w:rPr>
              <w:t>Vplyv na rozpočet verejnej správy</w:t>
            </w:r>
          </w:p>
        </w:tc>
        <w:tc>
          <w:tcPr>
            <w:tcW w:w="1565" w:type="dxa"/>
            <w:gridSpan w:val="2"/>
            <w:vMerge w:val="restart"/>
            <w:tcBorders>
              <w:top w:val="single" w:sz="4" w:space="0" w:color="auto"/>
              <w:left w:val="nil"/>
              <w:bottom w:val="none" w:sz="0" w:space="0" w:color="auto"/>
              <w:right w:val="nil"/>
            </w:tcBorders>
            <w:shd w:val="clear" w:color="000000" w:fill="000000"/>
            <w:textDirection w:val="lrTb"/>
            <w:vAlign w:val="center"/>
          </w:tcPr>
          <w:p w:rsidR="00A231F2" w:rsidRPr="00267792" w:rsidP="00A231F2">
            <w:pPr>
              <w:pStyle w:val="NormalWeb"/>
              <w:bidi w:val="0"/>
              <w:spacing w:before="60" w:beforeAutospacing="0" w:after="60" w:afterAutospacing="0"/>
              <w:jc w:val="center"/>
              <w:rPr>
                <w:rFonts w:ascii="Times New Roman" w:hAnsi="Times New Roman"/>
                <w:sz w:val="20"/>
                <w:szCs w:val="20"/>
              </w:rPr>
            </w:pPr>
            <w:r w:rsidRPr="00267792">
              <w:rPr>
                <w:rFonts w:ascii="Times New Roman" w:hAnsi="Times New Roman"/>
                <w:b/>
                <w:bCs/>
                <w:color w:val="FFFFFF"/>
                <w:sz w:val="20"/>
                <w:szCs w:val="20"/>
              </w:rPr>
              <w:t>Poznámka</w:t>
            </w:r>
          </w:p>
        </w:tc>
      </w:tr>
      <w:tr>
        <w:tblPrEx>
          <w:tblW w:w="13183" w:type="dxa"/>
          <w:tblInd w:w="959" w:type="dxa"/>
          <w:tblLook w:val="00A0"/>
        </w:tblPrEx>
        <w:trPr>
          <w:trHeight w:val="315"/>
          <w:tblHeader/>
        </w:trPr>
        <w:tc>
          <w:tcPr>
            <w:tcW w:w="1255" w:type="dxa"/>
            <w:tcBorders>
              <w:top w:val="nil"/>
              <w:left w:val="single" w:sz="4" w:space="0" w:color="auto"/>
              <w:bottom w:val="nil"/>
              <w:right w:val="nil"/>
            </w:tcBorders>
            <w:shd w:val="clear" w:color="000000" w:fill="000000"/>
            <w:noWrap/>
            <w:textDirection w:val="lrTb"/>
            <w:vAlign w:val="bottom"/>
          </w:tcPr>
          <w:p w:rsidR="00A231F2" w:rsidRPr="00267792" w:rsidP="00A231F2">
            <w:pPr>
              <w:bidi w:val="0"/>
              <w:spacing w:before="60" w:after="60"/>
              <w:rPr>
                <w:rFonts w:ascii="Times New Roman" w:hAnsi="Times New Roman"/>
                <w:b/>
                <w:bCs/>
                <w:color w:val="FFFFFF"/>
                <w:sz w:val="20"/>
                <w:szCs w:val="20"/>
                <w:lang w:eastAsia="en-US"/>
              </w:rPr>
            </w:pPr>
            <w:r w:rsidRPr="00267792">
              <w:rPr>
                <w:rFonts w:ascii="Times New Roman" w:hAnsi="Times New Roman"/>
                <w:b/>
                <w:bCs/>
                <w:color w:val="FFFFFF"/>
                <w:sz w:val="20"/>
                <w:szCs w:val="20"/>
                <w:lang w:eastAsia="en-US"/>
              </w:rPr>
              <w:t> </w:t>
            </w:r>
          </w:p>
        </w:tc>
        <w:tc>
          <w:tcPr>
            <w:tcW w:w="4113" w:type="dxa"/>
            <w:gridSpan w:val="2"/>
            <w:tcBorders>
              <w:top w:val="nil"/>
              <w:left w:val="nil"/>
              <w:bottom w:val="nil"/>
              <w:right w:val="nil"/>
            </w:tcBorders>
            <w:shd w:val="clear" w:color="000000" w:fill="000000"/>
            <w:noWrap/>
            <w:textDirection w:val="lrTb"/>
            <w:vAlign w:val="bottom"/>
          </w:tcPr>
          <w:p w:rsidR="00A231F2" w:rsidRPr="00267792" w:rsidP="00A231F2">
            <w:pPr>
              <w:bidi w:val="0"/>
              <w:spacing w:before="120" w:after="120"/>
              <w:rPr>
                <w:rFonts w:ascii="Times New Roman" w:hAnsi="Times New Roman"/>
                <w:b/>
                <w:bCs/>
                <w:color w:val="FFFFFF"/>
                <w:sz w:val="20"/>
                <w:szCs w:val="20"/>
                <w:u w:val="single"/>
                <w:lang w:eastAsia="en-US"/>
              </w:rPr>
            </w:pPr>
            <w:r>
              <w:rPr>
                <w:rFonts w:ascii="Times New Roman" w:hAnsi="Times New Roman"/>
                <w:b/>
                <w:bCs/>
                <w:color w:val="FFFFFF"/>
                <w:sz w:val="20"/>
                <w:szCs w:val="20"/>
                <w:u w:val="single"/>
                <w:lang w:eastAsia="en-US"/>
              </w:rPr>
              <w:t>Sociálna poisťovňa</w:t>
            </w:r>
          </w:p>
        </w:tc>
        <w:tc>
          <w:tcPr>
            <w:tcW w:w="1572" w:type="dxa"/>
            <w:gridSpan w:val="2"/>
            <w:tcBorders>
              <w:top w:val="nil"/>
              <w:left w:val="nil"/>
              <w:bottom w:val="nil"/>
              <w:right w:val="nil"/>
            </w:tcBorders>
            <w:shd w:val="clear" w:color="000000" w:fill="000000"/>
            <w:noWrap/>
            <w:textDirection w:val="lrTb"/>
            <w:vAlign w:val="bottom"/>
          </w:tcPr>
          <w:p w:rsidR="00A231F2" w:rsidRPr="00267792" w:rsidP="00A231F2">
            <w:pPr>
              <w:bidi w:val="0"/>
              <w:spacing w:before="120" w:after="120"/>
              <w:jc w:val="center"/>
              <w:rPr>
                <w:rFonts w:ascii="Times New Roman" w:hAnsi="Times New Roman"/>
                <w:b/>
                <w:bCs/>
                <w:color w:val="FFFFFF"/>
                <w:sz w:val="20"/>
                <w:szCs w:val="20"/>
                <w:lang w:eastAsia="en-US"/>
              </w:rPr>
            </w:pPr>
            <w:r w:rsidRPr="00267792">
              <w:rPr>
                <w:rFonts w:ascii="Times New Roman" w:hAnsi="Times New Roman"/>
                <w:b/>
                <w:bCs/>
                <w:color w:val="FFFFFF"/>
                <w:sz w:val="20"/>
                <w:szCs w:val="20"/>
                <w:lang w:eastAsia="en-US"/>
              </w:rPr>
              <w:t>2011</w:t>
            </w:r>
          </w:p>
        </w:tc>
        <w:tc>
          <w:tcPr>
            <w:tcW w:w="1559" w:type="dxa"/>
            <w:gridSpan w:val="2"/>
            <w:tcBorders>
              <w:top w:val="nil"/>
              <w:left w:val="nil"/>
              <w:bottom w:val="nil"/>
              <w:right w:val="nil"/>
            </w:tcBorders>
            <w:shd w:val="clear" w:color="000000" w:fill="000000"/>
            <w:noWrap/>
            <w:textDirection w:val="lrTb"/>
            <w:vAlign w:val="bottom"/>
          </w:tcPr>
          <w:p w:rsidR="00A231F2" w:rsidRPr="00267792" w:rsidP="00A231F2">
            <w:pPr>
              <w:bidi w:val="0"/>
              <w:spacing w:before="120" w:after="120"/>
              <w:jc w:val="center"/>
              <w:rPr>
                <w:rFonts w:ascii="Times New Roman" w:hAnsi="Times New Roman"/>
                <w:b/>
                <w:bCs/>
                <w:color w:val="FFFFFF"/>
                <w:sz w:val="20"/>
                <w:szCs w:val="20"/>
                <w:lang w:eastAsia="en-US"/>
              </w:rPr>
            </w:pPr>
            <w:r w:rsidRPr="00267792">
              <w:rPr>
                <w:rFonts w:ascii="Times New Roman" w:hAnsi="Times New Roman"/>
                <w:b/>
                <w:bCs/>
                <w:color w:val="FFFFFF"/>
                <w:sz w:val="20"/>
                <w:szCs w:val="20"/>
                <w:lang w:eastAsia="en-US"/>
              </w:rPr>
              <w:t>2012</w:t>
            </w:r>
          </w:p>
        </w:tc>
        <w:tc>
          <w:tcPr>
            <w:tcW w:w="1560" w:type="dxa"/>
            <w:gridSpan w:val="2"/>
            <w:tcBorders>
              <w:top w:val="nil"/>
              <w:left w:val="nil"/>
              <w:bottom w:val="nil"/>
              <w:right w:val="nil"/>
            </w:tcBorders>
            <w:shd w:val="clear" w:color="000000" w:fill="000000"/>
            <w:noWrap/>
            <w:textDirection w:val="lrTb"/>
            <w:vAlign w:val="bottom"/>
          </w:tcPr>
          <w:p w:rsidR="00A231F2" w:rsidRPr="00267792" w:rsidP="00A231F2">
            <w:pPr>
              <w:bidi w:val="0"/>
              <w:spacing w:before="120" w:after="120"/>
              <w:jc w:val="center"/>
              <w:rPr>
                <w:rFonts w:ascii="Times New Roman" w:hAnsi="Times New Roman"/>
                <w:b/>
                <w:bCs/>
                <w:color w:val="FFFFFF"/>
                <w:sz w:val="20"/>
                <w:szCs w:val="20"/>
                <w:lang w:eastAsia="en-US"/>
              </w:rPr>
            </w:pPr>
            <w:r w:rsidRPr="00267792">
              <w:rPr>
                <w:rFonts w:ascii="Times New Roman" w:hAnsi="Times New Roman"/>
                <w:b/>
                <w:bCs/>
                <w:color w:val="FFFFFF"/>
                <w:sz w:val="20"/>
                <w:szCs w:val="20"/>
                <w:lang w:eastAsia="en-US"/>
              </w:rPr>
              <w:t>2013</w:t>
            </w:r>
          </w:p>
        </w:tc>
        <w:tc>
          <w:tcPr>
            <w:tcW w:w="1559" w:type="dxa"/>
            <w:gridSpan w:val="2"/>
            <w:tcBorders>
              <w:top w:val="nil"/>
              <w:left w:val="nil"/>
              <w:bottom w:val="nil"/>
              <w:right w:val="nil"/>
            </w:tcBorders>
            <w:shd w:val="clear" w:color="000000" w:fill="000000"/>
            <w:noWrap/>
            <w:textDirection w:val="lrTb"/>
            <w:vAlign w:val="bottom"/>
          </w:tcPr>
          <w:p w:rsidR="00A231F2" w:rsidRPr="00267792" w:rsidP="00A231F2">
            <w:pPr>
              <w:bidi w:val="0"/>
              <w:spacing w:before="120" w:after="120"/>
              <w:jc w:val="center"/>
              <w:rPr>
                <w:rFonts w:ascii="Times New Roman" w:hAnsi="Times New Roman"/>
                <w:b/>
                <w:bCs/>
                <w:color w:val="FFFFFF"/>
                <w:sz w:val="20"/>
                <w:szCs w:val="20"/>
                <w:lang w:eastAsia="en-US"/>
              </w:rPr>
            </w:pPr>
            <w:r w:rsidRPr="00267792">
              <w:rPr>
                <w:rFonts w:ascii="Times New Roman" w:hAnsi="Times New Roman"/>
                <w:b/>
                <w:bCs/>
                <w:color w:val="FFFFFF"/>
                <w:sz w:val="20"/>
                <w:szCs w:val="20"/>
                <w:lang w:eastAsia="en-US"/>
              </w:rPr>
              <w:t>2014</w:t>
            </w:r>
          </w:p>
        </w:tc>
        <w:tc>
          <w:tcPr>
            <w:tcW w:w="1565" w:type="dxa"/>
            <w:gridSpan w:val="2"/>
            <w:vMerge/>
            <w:tcBorders>
              <w:top w:val="none" w:sz="0" w:space="0" w:color="auto"/>
              <w:left w:val="nil"/>
              <w:bottom w:val="nil"/>
              <w:right w:val="nil"/>
            </w:tcBorders>
            <w:shd w:val="clear" w:color="000000" w:fill="000000"/>
            <w:textDirection w:val="lrTb"/>
            <w:vAlign w:val="center"/>
          </w:tcPr>
          <w:p w:rsidR="00A231F2" w:rsidRPr="00267792" w:rsidP="00A231F2">
            <w:pPr>
              <w:bidi w:val="0"/>
              <w:spacing w:before="60" w:after="60"/>
              <w:rPr>
                <w:rFonts w:ascii="Times New Roman" w:hAnsi="Times New Roman"/>
                <w:sz w:val="20"/>
                <w:szCs w:val="20"/>
              </w:rPr>
            </w:pPr>
          </w:p>
        </w:tc>
      </w:tr>
      <w:tr>
        <w:tblPrEx>
          <w:tblW w:w="1318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b/>
                <w:bCs/>
                <w:color w:val="000000"/>
                <w:sz w:val="20"/>
                <w:szCs w:val="20"/>
                <w:lang w:eastAsia="zh-CN"/>
              </w:rPr>
            </w:pPr>
            <w:r w:rsidRPr="0086394D">
              <w:rPr>
                <w:rFonts w:ascii="Times New Roman" w:hAnsi="Times New Roman"/>
                <w:b/>
                <w:bCs/>
                <w:color w:val="000000"/>
                <w:sz w:val="20"/>
                <w:szCs w:val="20"/>
                <w:lang w:eastAsia="zh-CN"/>
              </w:rPr>
              <w:t>600+720+800</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rPr>
                <w:rFonts w:ascii="Times New Roman" w:hAnsi="Times New Roman"/>
                <w:b/>
                <w:bCs/>
                <w:color w:val="000000"/>
                <w:sz w:val="20"/>
                <w:szCs w:val="20"/>
                <w:lang w:eastAsia="zh-CN"/>
              </w:rPr>
            </w:pPr>
            <w:r w:rsidRPr="0086394D">
              <w:rPr>
                <w:rFonts w:ascii="Times New Roman" w:hAnsi="Times New Roman"/>
                <w:b/>
                <w:bCs/>
                <w:color w:val="000000"/>
                <w:sz w:val="20"/>
                <w:szCs w:val="20"/>
                <w:lang w:eastAsia="zh-CN"/>
              </w:rPr>
              <w:t>Výdavky celkom</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bottom"/>
            <w:hideMark/>
          </w:tcPr>
          <w:p w:rsidR="00320E52" w:rsidP="00243886">
            <w:pPr>
              <w:bidi w:val="0"/>
              <w:spacing w:before="60" w:after="60"/>
              <w:jc w:val="right"/>
              <w:rPr>
                <w:rFonts w:ascii="Times New Roman" w:hAnsi="Times New Roman"/>
                <w:b/>
                <w:bCs/>
                <w:color w:val="000000"/>
                <w:sz w:val="20"/>
                <w:szCs w:val="20"/>
              </w:rPr>
            </w:pPr>
            <w:r w:rsidR="0006624C">
              <w:rPr>
                <w:rFonts w:ascii="Times New Roman" w:hAnsi="Times New Roman"/>
                <w:b/>
                <w:bCs/>
                <w:color w:val="000000"/>
                <w:sz w:val="20"/>
                <w:szCs w:val="20"/>
              </w:rPr>
              <w:t> </w:t>
            </w:r>
          </w:p>
          <w:p w:rsidR="0006624C" w:rsidRPr="0006624C" w:rsidP="00243886">
            <w:pPr>
              <w:bidi w:val="0"/>
              <w:spacing w:before="60" w:after="60"/>
              <w:jc w:val="right"/>
              <w:rPr>
                <w:rFonts w:ascii="Times New Roman" w:hAnsi="Times New Roman"/>
                <w:b/>
                <w:bCs/>
                <w:color w:val="000000"/>
                <w:sz w:val="20"/>
                <w:szCs w:val="20"/>
                <w:lang w:eastAsia="zh-CN"/>
              </w:rPr>
            </w:pPr>
            <w:r w:rsidR="00313282">
              <w:rPr>
                <w:rFonts w:ascii="Times New Roman" w:hAnsi="Times New Roman"/>
                <w:b/>
                <w:bCs/>
                <w:color w:val="000000"/>
                <w:sz w:val="20"/>
                <w:szCs w:val="20"/>
              </w:rPr>
              <w:t>-64 443 067</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P="00A231F2">
            <w:pPr>
              <w:bidi w:val="0"/>
              <w:spacing w:before="60" w:after="60"/>
              <w:jc w:val="right"/>
              <w:rPr>
                <w:rFonts w:ascii="Times New Roman" w:hAnsi="Times New Roman"/>
                <w:b/>
                <w:bCs/>
                <w:color w:val="000000"/>
                <w:sz w:val="20"/>
                <w:szCs w:val="20"/>
              </w:rPr>
            </w:pPr>
            <w:r w:rsidR="00313282">
              <w:rPr>
                <w:rFonts w:ascii="Times New Roman" w:hAnsi="Times New Roman"/>
                <w:b/>
                <w:bCs/>
                <w:color w:val="000000"/>
                <w:sz w:val="20"/>
                <w:szCs w:val="20"/>
              </w:rPr>
              <w:t> </w:t>
            </w:r>
          </w:p>
          <w:p w:rsidR="00313282" w:rsidP="000418A6">
            <w:pPr>
              <w:bidi w:val="0"/>
              <w:spacing w:before="60" w:after="60"/>
              <w:jc w:val="right"/>
              <w:rPr>
                <w:rFonts w:ascii="Times New Roman" w:hAnsi="Times New Roman"/>
                <w:b/>
                <w:bCs/>
                <w:color w:val="000000"/>
                <w:sz w:val="20"/>
                <w:szCs w:val="20"/>
              </w:rPr>
            </w:pPr>
            <w:r w:rsidR="000418A6">
              <w:rPr>
                <w:rFonts w:ascii="Times New Roman" w:hAnsi="Times New Roman"/>
                <w:b/>
                <w:bCs/>
                <w:color w:val="000000"/>
                <w:sz w:val="20"/>
                <w:szCs w:val="20"/>
              </w:rPr>
              <w:t> </w:t>
            </w:r>
          </w:p>
          <w:p w:rsidR="000418A6" w:rsidRPr="0006624C" w:rsidP="000418A6">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-126 354 575</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P="00A231F2">
            <w:pPr>
              <w:bidi w:val="0"/>
              <w:spacing w:before="60" w:after="60"/>
              <w:jc w:val="right"/>
              <w:rPr>
                <w:rFonts w:ascii="Times New Roman" w:hAnsi="Times New Roman"/>
                <w:b/>
                <w:bCs/>
                <w:color w:val="000000"/>
                <w:sz w:val="20"/>
                <w:szCs w:val="20"/>
              </w:rPr>
            </w:pPr>
            <w:r w:rsidR="00313282">
              <w:rPr>
                <w:rFonts w:ascii="Times New Roman" w:hAnsi="Times New Roman"/>
                <w:b/>
                <w:bCs/>
                <w:color w:val="000000"/>
                <w:sz w:val="20"/>
                <w:szCs w:val="20"/>
              </w:rPr>
              <w:t> </w:t>
            </w:r>
          </w:p>
          <w:p w:rsidR="00313282" w:rsidP="000418A6">
            <w:pPr>
              <w:bidi w:val="0"/>
              <w:spacing w:before="60" w:after="60"/>
              <w:jc w:val="right"/>
              <w:rPr>
                <w:rFonts w:ascii="Times New Roman" w:hAnsi="Times New Roman"/>
                <w:b/>
                <w:bCs/>
                <w:color w:val="000000"/>
                <w:sz w:val="20"/>
                <w:szCs w:val="20"/>
              </w:rPr>
            </w:pPr>
            <w:r w:rsidR="000418A6">
              <w:rPr>
                <w:rFonts w:ascii="Times New Roman" w:hAnsi="Times New Roman"/>
                <w:b/>
                <w:bCs/>
                <w:color w:val="000000"/>
                <w:sz w:val="20"/>
                <w:szCs w:val="20"/>
              </w:rPr>
              <w:t> </w:t>
            </w:r>
          </w:p>
          <w:p w:rsidR="000418A6" w:rsidRPr="0006624C" w:rsidP="000418A6">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-220 682 352</w:t>
            </w:r>
          </w:p>
        </w:tc>
        <w:tc>
          <w:tcPr>
            <w:tcW w:w="1555" w:type="dxa"/>
            <w:vMerge w:val="restart"/>
            <w:tcBorders>
              <w:top w:val="single" w:sz="4" w:space="0" w:color="auto"/>
              <w:left w:val="single" w:sz="4" w:space="0" w:color="auto"/>
              <w:bottom w:val="single" w:sz="4" w:space="0" w:color="auto"/>
              <w:right w:val="single" w:sz="4" w:space="0" w:color="auto"/>
            </w:tcBorders>
            <w:textDirection w:val="lrTb"/>
            <w:vAlign w:val="top"/>
          </w:tcPr>
          <w:p w:rsidR="00320E52" w:rsidRPr="00772706" w:rsidP="00A231F2">
            <w:pPr>
              <w:bidi w:val="0"/>
              <w:spacing w:before="60" w:after="60"/>
              <w:jc w:val="right"/>
              <w:rPr>
                <w:rFonts w:ascii="Times New Roman" w:hAnsi="Times New Roman"/>
                <w:b/>
                <w:bCs/>
                <w:color w:val="000000"/>
                <w:sz w:val="20"/>
                <w:szCs w:val="20"/>
                <w:lang w:eastAsia="zh-CN"/>
              </w:rPr>
            </w:pPr>
          </w:p>
        </w:tc>
      </w:tr>
      <w:tr>
        <w:tblPrEx>
          <w:tblW w:w="1318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b/>
                <w:bCs/>
                <w:color w:val="000000"/>
                <w:sz w:val="20"/>
                <w:szCs w:val="20"/>
                <w:lang w:eastAsia="zh-CN"/>
              </w:rPr>
            </w:pPr>
            <w:r w:rsidRPr="0086394D">
              <w:rPr>
                <w:rFonts w:ascii="Times New Roman" w:hAnsi="Times New Roman"/>
                <w:b/>
                <w:bCs/>
                <w:color w:val="000000"/>
                <w:sz w:val="20"/>
                <w:szCs w:val="20"/>
                <w:lang w:eastAsia="zh-CN"/>
              </w:rPr>
              <w:t>600</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rPr>
                <w:rFonts w:ascii="Times New Roman" w:hAnsi="Times New Roman"/>
                <w:b/>
                <w:bCs/>
                <w:color w:val="000000"/>
                <w:sz w:val="20"/>
                <w:szCs w:val="20"/>
                <w:lang w:eastAsia="zh-CN"/>
              </w:rPr>
            </w:pPr>
            <w:r w:rsidRPr="0086394D">
              <w:rPr>
                <w:rFonts w:ascii="Times New Roman" w:hAnsi="Times New Roman"/>
                <w:b/>
                <w:bCs/>
                <w:color w:val="000000"/>
                <w:sz w:val="20"/>
                <w:szCs w:val="20"/>
                <w:lang w:eastAsia="zh-CN"/>
              </w:rPr>
              <w:t>Bežné výdavky</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bottom"/>
            <w:hideMark/>
          </w:tcPr>
          <w:p w:rsidR="00320E52" w:rsidP="00243886">
            <w:pPr>
              <w:bidi w:val="0"/>
              <w:spacing w:before="60" w:after="60"/>
              <w:jc w:val="right"/>
              <w:rPr>
                <w:rFonts w:ascii="Times New Roman" w:hAnsi="Times New Roman"/>
                <w:b/>
                <w:bCs/>
                <w:color w:val="000000"/>
                <w:sz w:val="20"/>
                <w:szCs w:val="20"/>
              </w:rPr>
            </w:pPr>
            <w:r w:rsidR="0006624C">
              <w:rPr>
                <w:rFonts w:ascii="Times New Roman" w:hAnsi="Times New Roman"/>
                <w:b/>
                <w:bCs/>
                <w:color w:val="000000"/>
                <w:sz w:val="20"/>
                <w:szCs w:val="20"/>
              </w:rPr>
              <w:t> </w:t>
            </w:r>
          </w:p>
          <w:p w:rsidR="0006624C" w:rsidRPr="0006624C" w:rsidP="00243886">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12 032 043</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P="00A231F2">
            <w:pPr>
              <w:bidi w:val="0"/>
              <w:spacing w:before="60" w:after="60"/>
              <w:jc w:val="right"/>
              <w:rPr>
                <w:rFonts w:ascii="Times New Roman" w:hAnsi="Times New Roman"/>
                <w:b/>
                <w:bCs/>
                <w:color w:val="000000"/>
                <w:sz w:val="20"/>
                <w:szCs w:val="20"/>
              </w:rPr>
            </w:pPr>
            <w:r w:rsidR="0006624C">
              <w:rPr>
                <w:rFonts w:ascii="Times New Roman" w:hAnsi="Times New Roman"/>
                <w:b/>
                <w:bCs/>
                <w:color w:val="000000"/>
                <w:sz w:val="20"/>
                <w:szCs w:val="20"/>
              </w:rPr>
              <w:t> </w:t>
            </w:r>
          </w:p>
          <w:p w:rsidR="0006624C" w:rsidP="000418A6">
            <w:pPr>
              <w:bidi w:val="0"/>
              <w:spacing w:before="60" w:after="60"/>
              <w:jc w:val="right"/>
              <w:rPr>
                <w:rFonts w:ascii="Times New Roman" w:hAnsi="Times New Roman"/>
                <w:b/>
                <w:bCs/>
                <w:color w:val="000000"/>
                <w:sz w:val="20"/>
                <w:szCs w:val="20"/>
              </w:rPr>
            </w:pPr>
            <w:r w:rsidR="000418A6">
              <w:rPr>
                <w:rFonts w:ascii="Times New Roman" w:hAnsi="Times New Roman"/>
                <w:b/>
                <w:bCs/>
                <w:color w:val="000000"/>
                <w:sz w:val="20"/>
                <w:szCs w:val="20"/>
              </w:rPr>
              <w:t> </w:t>
            </w:r>
          </w:p>
          <w:p w:rsidR="000418A6" w:rsidRPr="0006624C" w:rsidP="000418A6">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-44 496 600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P="00A231F2">
            <w:pPr>
              <w:bidi w:val="0"/>
              <w:spacing w:before="60" w:after="60"/>
              <w:jc w:val="right"/>
              <w:rPr>
                <w:rFonts w:ascii="Times New Roman" w:hAnsi="Times New Roman"/>
                <w:b/>
                <w:bCs/>
                <w:color w:val="000000"/>
                <w:sz w:val="20"/>
                <w:szCs w:val="20"/>
              </w:rPr>
            </w:pPr>
            <w:r w:rsidR="0006624C">
              <w:rPr>
                <w:rFonts w:ascii="Times New Roman" w:hAnsi="Times New Roman"/>
                <w:b/>
                <w:bCs/>
                <w:color w:val="000000"/>
                <w:sz w:val="20"/>
                <w:szCs w:val="20"/>
              </w:rPr>
              <w:t> </w:t>
            </w:r>
          </w:p>
          <w:p w:rsidR="0006624C" w:rsidP="000418A6">
            <w:pPr>
              <w:bidi w:val="0"/>
              <w:spacing w:before="60" w:after="60"/>
              <w:jc w:val="right"/>
              <w:rPr>
                <w:rFonts w:ascii="Times New Roman" w:hAnsi="Times New Roman"/>
                <w:b/>
                <w:bCs/>
                <w:color w:val="000000"/>
                <w:sz w:val="20"/>
                <w:szCs w:val="20"/>
              </w:rPr>
            </w:pPr>
            <w:r w:rsidR="000418A6">
              <w:rPr>
                <w:rFonts w:ascii="Times New Roman" w:hAnsi="Times New Roman"/>
                <w:b/>
                <w:bCs/>
                <w:color w:val="000000"/>
                <w:sz w:val="20"/>
                <w:szCs w:val="20"/>
              </w:rPr>
              <w:t> </w:t>
            </w:r>
          </w:p>
          <w:p w:rsidR="000418A6" w:rsidRPr="0006624C" w:rsidP="000418A6">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-132 094 377</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320E52" w:rsidRPr="00772706" w:rsidP="00A231F2">
            <w:pPr>
              <w:bidi w:val="0"/>
              <w:spacing w:before="60" w:after="60"/>
              <w:jc w:val="right"/>
              <w:rPr>
                <w:rFonts w:ascii="Times New Roman" w:hAnsi="Times New Roman"/>
                <w:b/>
                <w:bCs/>
                <w:color w:val="000000"/>
                <w:sz w:val="20"/>
                <w:szCs w:val="20"/>
                <w:lang w:eastAsia="zh-CN"/>
              </w:rPr>
            </w:pPr>
          </w:p>
        </w:tc>
      </w:tr>
      <w:tr>
        <w:tblPrEx>
          <w:tblW w:w="1318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630</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Tovary a služby</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4 000 000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320E52" w:rsidRPr="00772706" w:rsidP="00A231F2">
            <w:pPr>
              <w:bidi w:val="0"/>
              <w:spacing w:before="60" w:after="60"/>
              <w:jc w:val="right"/>
              <w:rPr>
                <w:rFonts w:ascii="Times New Roman" w:hAnsi="Times New Roman"/>
                <w:color w:val="000000"/>
                <w:sz w:val="20"/>
                <w:szCs w:val="20"/>
                <w:lang w:eastAsia="zh-CN"/>
              </w:rPr>
            </w:pPr>
          </w:p>
        </w:tc>
      </w:tr>
      <w:tr>
        <w:tblPrEx>
          <w:tblW w:w="1318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640</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Bežné transfery</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bottom"/>
            <w:hideMark/>
          </w:tcPr>
          <w:p w:rsidR="00320E52" w:rsidP="00243886">
            <w:pPr>
              <w:bidi w:val="0"/>
              <w:spacing w:before="60" w:after="60"/>
              <w:jc w:val="right"/>
              <w:rPr>
                <w:rFonts w:ascii="Times New Roman" w:hAnsi="Times New Roman"/>
                <w:color w:val="000000"/>
                <w:sz w:val="20"/>
                <w:szCs w:val="20"/>
              </w:rPr>
            </w:pPr>
            <w:r w:rsidR="0006624C">
              <w:rPr>
                <w:rFonts w:ascii="Times New Roman" w:hAnsi="Times New Roman"/>
                <w:color w:val="000000"/>
                <w:sz w:val="20"/>
                <w:szCs w:val="20"/>
              </w:rPr>
              <w:t> </w:t>
            </w:r>
          </w:p>
          <w:p w:rsidR="0006624C" w:rsidRPr="0006624C" w:rsidP="00243886">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8 032 043</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P="00A231F2">
            <w:pPr>
              <w:bidi w:val="0"/>
              <w:spacing w:before="60" w:after="60"/>
              <w:jc w:val="right"/>
              <w:rPr>
                <w:rFonts w:ascii="Times New Roman" w:hAnsi="Times New Roman"/>
                <w:color w:val="000000"/>
                <w:sz w:val="20"/>
                <w:szCs w:val="20"/>
              </w:rPr>
            </w:pPr>
            <w:r w:rsidR="0006624C">
              <w:rPr>
                <w:rFonts w:ascii="Times New Roman" w:hAnsi="Times New Roman"/>
                <w:color w:val="000000"/>
                <w:sz w:val="20"/>
                <w:szCs w:val="20"/>
              </w:rPr>
              <w:t> </w:t>
            </w:r>
          </w:p>
          <w:p w:rsidR="0006624C" w:rsidP="000418A6">
            <w:pPr>
              <w:bidi w:val="0"/>
              <w:spacing w:before="60" w:after="60"/>
              <w:jc w:val="right"/>
              <w:rPr>
                <w:rFonts w:ascii="Times New Roman" w:hAnsi="Times New Roman"/>
                <w:color w:val="000000"/>
                <w:sz w:val="20"/>
                <w:szCs w:val="20"/>
              </w:rPr>
            </w:pPr>
            <w:r w:rsidR="000418A6">
              <w:rPr>
                <w:rFonts w:ascii="Times New Roman" w:hAnsi="Times New Roman"/>
                <w:color w:val="000000"/>
                <w:sz w:val="20"/>
                <w:szCs w:val="20"/>
              </w:rPr>
              <w:t> </w:t>
            </w:r>
          </w:p>
          <w:p w:rsidR="000418A6" w:rsidRPr="0006624C" w:rsidP="000418A6">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-44 496 600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P="00A231F2">
            <w:pPr>
              <w:bidi w:val="0"/>
              <w:spacing w:before="60" w:after="60"/>
              <w:jc w:val="right"/>
              <w:rPr>
                <w:rFonts w:ascii="Times New Roman" w:hAnsi="Times New Roman"/>
                <w:color w:val="000000"/>
                <w:sz w:val="20"/>
                <w:szCs w:val="20"/>
              </w:rPr>
            </w:pPr>
            <w:r w:rsidR="0006624C">
              <w:rPr>
                <w:rFonts w:ascii="Times New Roman" w:hAnsi="Times New Roman"/>
                <w:color w:val="000000"/>
                <w:sz w:val="20"/>
                <w:szCs w:val="20"/>
              </w:rPr>
              <w:t> </w:t>
            </w:r>
          </w:p>
          <w:p w:rsidR="0006624C" w:rsidP="000418A6">
            <w:pPr>
              <w:bidi w:val="0"/>
              <w:spacing w:before="60" w:after="60"/>
              <w:jc w:val="right"/>
              <w:rPr>
                <w:rFonts w:ascii="Times New Roman" w:hAnsi="Times New Roman"/>
                <w:color w:val="000000"/>
                <w:sz w:val="20"/>
                <w:szCs w:val="20"/>
              </w:rPr>
            </w:pPr>
            <w:r w:rsidR="000418A6">
              <w:rPr>
                <w:rFonts w:ascii="Times New Roman" w:hAnsi="Times New Roman"/>
                <w:color w:val="000000"/>
                <w:sz w:val="20"/>
                <w:szCs w:val="20"/>
              </w:rPr>
              <w:t> </w:t>
            </w:r>
          </w:p>
          <w:p w:rsidR="000418A6" w:rsidRPr="0006624C" w:rsidP="000418A6">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-132 094 377</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320E52" w:rsidRPr="00772706" w:rsidP="00A231F2">
            <w:pPr>
              <w:bidi w:val="0"/>
              <w:spacing w:before="60" w:after="60"/>
              <w:jc w:val="right"/>
              <w:rPr>
                <w:rFonts w:ascii="Times New Roman" w:hAnsi="Times New Roman"/>
                <w:color w:val="000000"/>
                <w:sz w:val="20"/>
                <w:szCs w:val="20"/>
                <w:lang w:eastAsia="zh-CN"/>
              </w:rPr>
            </w:pPr>
          </w:p>
        </w:tc>
      </w:tr>
      <w:tr>
        <w:tblPrEx>
          <w:tblW w:w="1318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641</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Transfery v rámci verejnej správy</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bottom"/>
            <w:hideMark/>
          </w:tcPr>
          <w:p w:rsidR="00320E52" w:rsidRPr="0086394D" w:rsidP="00243886">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320E52" w:rsidRPr="00772706" w:rsidP="00A231F2">
            <w:pPr>
              <w:bidi w:val="0"/>
              <w:spacing w:before="60" w:after="60"/>
              <w:jc w:val="right"/>
              <w:rPr>
                <w:rFonts w:ascii="Times New Roman" w:hAnsi="Times New Roman"/>
                <w:color w:val="000000"/>
                <w:sz w:val="20"/>
                <w:szCs w:val="20"/>
                <w:lang w:eastAsia="zh-CN"/>
              </w:rPr>
            </w:pPr>
          </w:p>
        </w:tc>
      </w:tr>
      <w:tr>
        <w:tblPrEx>
          <w:tblW w:w="1318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642</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Transfery jednotlivcom a neziskovým PO</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bottom"/>
            <w:hideMark/>
          </w:tcPr>
          <w:p w:rsidR="00320E52" w:rsidP="00243886">
            <w:pPr>
              <w:bidi w:val="0"/>
              <w:spacing w:before="60" w:after="60"/>
              <w:jc w:val="right"/>
              <w:rPr>
                <w:rFonts w:ascii="Times New Roman" w:hAnsi="Times New Roman"/>
                <w:color w:val="000000"/>
                <w:sz w:val="20"/>
                <w:szCs w:val="20"/>
              </w:rPr>
            </w:pPr>
            <w:r w:rsidR="0006624C">
              <w:rPr>
                <w:rFonts w:ascii="Times New Roman" w:hAnsi="Times New Roman"/>
                <w:color w:val="000000"/>
                <w:sz w:val="20"/>
                <w:szCs w:val="20"/>
              </w:rPr>
              <w:t> </w:t>
            </w:r>
          </w:p>
          <w:p w:rsidR="0006624C" w:rsidRPr="0006624C" w:rsidP="00243886">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8 032 043</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P="00A231F2">
            <w:pPr>
              <w:bidi w:val="0"/>
              <w:spacing w:before="60" w:after="60"/>
              <w:jc w:val="right"/>
              <w:rPr>
                <w:rFonts w:ascii="Times New Roman" w:hAnsi="Times New Roman"/>
                <w:color w:val="000000"/>
                <w:sz w:val="20"/>
                <w:szCs w:val="20"/>
              </w:rPr>
            </w:pPr>
            <w:r w:rsidR="0006624C">
              <w:rPr>
                <w:rFonts w:ascii="Times New Roman" w:hAnsi="Times New Roman"/>
                <w:color w:val="000000"/>
                <w:sz w:val="20"/>
                <w:szCs w:val="20"/>
              </w:rPr>
              <w:t> </w:t>
            </w:r>
          </w:p>
          <w:p w:rsidR="0006624C" w:rsidP="000418A6">
            <w:pPr>
              <w:bidi w:val="0"/>
              <w:spacing w:before="60" w:after="60"/>
              <w:jc w:val="right"/>
              <w:rPr>
                <w:rFonts w:ascii="Times New Roman" w:hAnsi="Times New Roman"/>
                <w:color w:val="000000"/>
                <w:sz w:val="20"/>
                <w:szCs w:val="20"/>
              </w:rPr>
            </w:pPr>
            <w:r w:rsidR="000418A6">
              <w:rPr>
                <w:rFonts w:ascii="Times New Roman" w:hAnsi="Times New Roman"/>
                <w:color w:val="000000"/>
                <w:sz w:val="20"/>
                <w:szCs w:val="20"/>
              </w:rPr>
              <w:t> </w:t>
            </w:r>
          </w:p>
          <w:p w:rsidR="000418A6" w:rsidRPr="0006624C" w:rsidP="000418A6">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-44 496 600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P="00A231F2">
            <w:pPr>
              <w:bidi w:val="0"/>
              <w:spacing w:before="60" w:after="60"/>
              <w:jc w:val="right"/>
              <w:rPr>
                <w:rFonts w:ascii="Times New Roman" w:hAnsi="Times New Roman"/>
                <w:color w:val="000000"/>
                <w:sz w:val="20"/>
                <w:szCs w:val="20"/>
              </w:rPr>
            </w:pPr>
            <w:r w:rsidR="0006624C">
              <w:rPr>
                <w:rFonts w:ascii="Times New Roman" w:hAnsi="Times New Roman"/>
                <w:color w:val="000000"/>
                <w:sz w:val="20"/>
                <w:szCs w:val="20"/>
              </w:rPr>
              <w:t> </w:t>
            </w:r>
          </w:p>
          <w:p w:rsidR="0006624C" w:rsidP="000418A6">
            <w:pPr>
              <w:bidi w:val="0"/>
              <w:spacing w:before="60" w:after="60"/>
              <w:jc w:val="right"/>
              <w:rPr>
                <w:rFonts w:ascii="Times New Roman" w:hAnsi="Times New Roman"/>
                <w:color w:val="000000"/>
                <w:sz w:val="20"/>
                <w:szCs w:val="20"/>
              </w:rPr>
            </w:pPr>
            <w:r w:rsidR="000418A6">
              <w:rPr>
                <w:rFonts w:ascii="Times New Roman" w:hAnsi="Times New Roman"/>
                <w:color w:val="000000"/>
                <w:sz w:val="20"/>
                <w:szCs w:val="20"/>
              </w:rPr>
              <w:t> </w:t>
            </w:r>
          </w:p>
          <w:p w:rsidR="000418A6" w:rsidRPr="0006624C" w:rsidP="000418A6">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-132 094 377</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320E52" w:rsidRPr="00772706" w:rsidP="00A231F2">
            <w:pPr>
              <w:bidi w:val="0"/>
              <w:spacing w:before="60" w:after="60"/>
              <w:jc w:val="right"/>
              <w:rPr>
                <w:rFonts w:ascii="Times New Roman" w:hAnsi="Times New Roman"/>
                <w:color w:val="000000"/>
                <w:sz w:val="20"/>
                <w:szCs w:val="20"/>
                <w:lang w:eastAsia="zh-CN"/>
              </w:rPr>
            </w:pPr>
          </w:p>
        </w:tc>
      </w:tr>
      <w:tr>
        <w:tblPrEx>
          <w:tblW w:w="1318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color w:val="000000"/>
                <w:sz w:val="20"/>
                <w:szCs w:val="20"/>
                <w:lang w:eastAsia="zh-CN"/>
              </w:rPr>
            </w:pP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 xml:space="preserve">   - dobrovoľne poistené osoby - zrušenie účasti</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-37 062 960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-45 880 872</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-55 298 626</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320E52" w:rsidRPr="00772706" w:rsidP="00A231F2">
            <w:pPr>
              <w:bidi w:val="0"/>
              <w:spacing w:before="60" w:after="60"/>
              <w:jc w:val="right"/>
              <w:rPr>
                <w:rFonts w:ascii="Times New Roman" w:hAnsi="Times New Roman"/>
                <w:color w:val="000000"/>
                <w:sz w:val="20"/>
                <w:szCs w:val="20"/>
                <w:lang w:eastAsia="zh-CN"/>
              </w:rPr>
            </w:pPr>
          </w:p>
        </w:tc>
      </w:tr>
      <w:tr>
        <w:tblPrEx>
          <w:tblW w:w="1318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color w:val="000000"/>
                <w:sz w:val="20"/>
                <w:szCs w:val="20"/>
                <w:lang w:eastAsia="zh-CN"/>
              </w:rPr>
            </w:pP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 xml:space="preserve">   - prechod na nový valorizačný mechanizmus</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P="000418A6">
            <w:pPr>
              <w:bidi w:val="0"/>
              <w:spacing w:before="60" w:after="60"/>
              <w:jc w:val="right"/>
              <w:rPr>
                <w:rFonts w:ascii="Times New Roman" w:hAnsi="Times New Roman"/>
                <w:color w:val="000000"/>
                <w:sz w:val="20"/>
                <w:szCs w:val="20"/>
              </w:rPr>
            </w:pPr>
            <w:r w:rsidR="000418A6">
              <w:rPr>
                <w:rFonts w:ascii="Times New Roman" w:hAnsi="Times New Roman"/>
                <w:color w:val="000000"/>
                <w:sz w:val="20"/>
                <w:szCs w:val="20"/>
              </w:rPr>
              <w:t> </w:t>
            </w:r>
          </w:p>
          <w:p w:rsidR="000418A6" w:rsidRPr="0086394D" w:rsidP="000418A6">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-40 850 425</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P="000418A6">
            <w:pPr>
              <w:bidi w:val="0"/>
              <w:spacing w:before="60" w:after="60"/>
              <w:jc w:val="right"/>
              <w:rPr>
                <w:rFonts w:ascii="Times New Roman" w:hAnsi="Times New Roman"/>
                <w:color w:val="000000"/>
                <w:sz w:val="20"/>
                <w:szCs w:val="20"/>
              </w:rPr>
            </w:pPr>
            <w:r w:rsidR="000418A6">
              <w:rPr>
                <w:rFonts w:ascii="Times New Roman" w:hAnsi="Times New Roman"/>
                <w:color w:val="000000"/>
                <w:sz w:val="20"/>
                <w:szCs w:val="20"/>
              </w:rPr>
              <w:t> </w:t>
            </w:r>
          </w:p>
          <w:p w:rsidR="000418A6" w:rsidRPr="0086394D" w:rsidP="000418A6">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-122 818 331</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320E52" w:rsidRPr="00772706" w:rsidP="00A231F2">
            <w:pPr>
              <w:bidi w:val="0"/>
              <w:spacing w:before="60" w:after="60"/>
              <w:jc w:val="right"/>
              <w:rPr>
                <w:rFonts w:ascii="Times New Roman" w:hAnsi="Times New Roman"/>
                <w:color w:val="000000"/>
                <w:sz w:val="20"/>
                <w:szCs w:val="20"/>
                <w:lang w:eastAsia="zh-CN"/>
              </w:rPr>
            </w:pPr>
          </w:p>
        </w:tc>
      </w:tr>
      <w:tr>
        <w:tblPrEx>
          <w:tblW w:w="1318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color w:val="000000"/>
                <w:sz w:val="20"/>
                <w:szCs w:val="20"/>
                <w:lang w:eastAsia="zh-CN"/>
              </w:rPr>
            </w:pP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 xml:space="preserve">   - invalidný dôchodok pre poistencov do 20 rok</w:t>
            </w:r>
            <w:r>
              <w:rPr>
                <w:rFonts w:ascii="Times New Roman" w:hAnsi="Times New Roman"/>
                <w:color w:val="000000"/>
                <w:sz w:val="20"/>
                <w:szCs w:val="20"/>
                <w:lang w:eastAsia="zh-CN"/>
              </w:rPr>
              <w:t>.</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-182 346</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-578 246</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-1 076 395</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320E52" w:rsidRPr="00772706" w:rsidP="00A231F2">
            <w:pPr>
              <w:bidi w:val="0"/>
              <w:spacing w:before="60" w:after="60"/>
              <w:jc w:val="right"/>
              <w:rPr>
                <w:rFonts w:ascii="Times New Roman" w:hAnsi="Times New Roman"/>
                <w:color w:val="000000"/>
                <w:sz w:val="20"/>
                <w:szCs w:val="20"/>
                <w:lang w:eastAsia="zh-CN"/>
              </w:rPr>
            </w:pPr>
          </w:p>
        </w:tc>
      </w:tr>
      <w:tr>
        <w:tblPrEx>
          <w:tblW w:w="1318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b/>
                <w:bCs/>
                <w:color w:val="000000"/>
                <w:sz w:val="20"/>
                <w:szCs w:val="20"/>
                <w:lang w:eastAsia="zh-CN"/>
              </w:rPr>
            </w:pP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rPr>
                <w:rFonts w:ascii="Times New Roman" w:hAnsi="Times New Roman"/>
                <w:b/>
                <w:bCs/>
                <w:color w:val="000000"/>
                <w:sz w:val="20"/>
                <w:szCs w:val="20"/>
                <w:lang w:eastAsia="zh-CN"/>
              </w:rPr>
            </w:pPr>
            <w:r w:rsidRPr="00772706">
              <w:rPr>
                <w:rFonts w:ascii="Times New Roman" w:hAnsi="Times New Roman"/>
                <w:color w:val="000000"/>
                <w:sz w:val="20"/>
                <w:szCs w:val="20"/>
                <w:lang w:eastAsia="zh-CN"/>
              </w:rPr>
              <w:t xml:space="preserve">    - zmeny v mate</w:t>
            </w:r>
            <w:r>
              <w:rPr>
                <w:rFonts w:ascii="Times New Roman" w:hAnsi="Times New Roman"/>
                <w:color w:val="000000"/>
                <w:sz w:val="20"/>
                <w:szCs w:val="20"/>
                <w:lang w:eastAsia="zh-CN"/>
              </w:rPr>
              <w:t>rskom (sadzba - 65% a 40 týž.</w:t>
            </w:r>
            <w:r w:rsidRPr="00772706">
              <w:rPr>
                <w:rFonts w:ascii="Times New Roman" w:hAnsi="Times New Roman"/>
                <w:color w:val="000000"/>
                <w:sz w:val="20"/>
                <w:szCs w:val="20"/>
                <w:lang w:eastAsia="zh-CN"/>
              </w:rPr>
              <w:t>)</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37 577 350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41 612 943</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45 898 975</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320E52" w:rsidRPr="00772706" w:rsidP="00A231F2">
            <w:pPr>
              <w:bidi w:val="0"/>
              <w:spacing w:before="60" w:after="60"/>
              <w:jc w:val="right"/>
              <w:rPr>
                <w:rFonts w:ascii="Times New Roman" w:hAnsi="Times New Roman"/>
                <w:b/>
                <w:bCs/>
                <w:color w:val="000000"/>
                <w:sz w:val="20"/>
                <w:szCs w:val="20"/>
                <w:lang w:eastAsia="zh-CN"/>
              </w:rPr>
            </w:pPr>
          </w:p>
        </w:tc>
      </w:tr>
      <w:tr>
        <w:tblPrEx>
          <w:tblW w:w="1318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b/>
                <w:bCs/>
                <w:color w:val="000000"/>
                <w:sz w:val="20"/>
                <w:szCs w:val="20"/>
                <w:lang w:eastAsia="zh-CN"/>
              </w:rPr>
            </w:pP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rPr>
                <w:rFonts w:ascii="Times New Roman" w:hAnsi="Times New Roman"/>
                <w:b/>
                <w:bCs/>
                <w:color w:val="000000"/>
                <w:sz w:val="20"/>
                <w:szCs w:val="20"/>
                <w:lang w:eastAsia="zh-CN"/>
              </w:rPr>
            </w:pPr>
            <w:r w:rsidRPr="00772706">
              <w:rPr>
                <w:rFonts w:ascii="Times New Roman" w:hAnsi="Times New Roman"/>
                <w:color w:val="000000"/>
                <w:sz w:val="20"/>
                <w:szCs w:val="20"/>
                <w:lang w:eastAsia="zh-CN"/>
              </w:rPr>
              <w:t xml:space="preserve">    - zmeny v dávke v nezamestnanosti</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772706" w:rsidP="00A231F2">
            <w:pPr>
              <w:bidi w:val="0"/>
              <w:spacing w:before="60" w:after="60"/>
              <w:jc w:val="right"/>
              <w:rPr>
                <w:rFonts w:ascii="Times New Roman" w:hAnsi="Times New Roman"/>
                <w:bCs/>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7 700 000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1 200 000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1 200 000</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320E52" w:rsidRPr="00772706" w:rsidP="00A231F2">
            <w:pPr>
              <w:bidi w:val="0"/>
              <w:spacing w:before="60" w:after="60"/>
              <w:jc w:val="right"/>
              <w:rPr>
                <w:rFonts w:ascii="Times New Roman" w:hAnsi="Times New Roman"/>
                <w:b/>
                <w:bCs/>
                <w:color w:val="000000"/>
                <w:sz w:val="20"/>
                <w:szCs w:val="20"/>
                <w:lang w:eastAsia="zh-CN"/>
              </w:rPr>
            </w:pPr>
          </w:p>
        </w:tc>
      </w:tr>
      <w:tr>
        <w:tblPrEx>
          <w:tblW w:w="1318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b/>
                <w:bCs/>
                <w:color w:val="000000"/>
                <w:sz w:val="20"/>
                <w:szCs w:val="20"/>
                <w:lang w:eastAsia="zh-CN"/>
              </w:rPr>
            </w:pPr>
            <w:r w:rsidRPr="0086394D">
              <w:rPr>
                <w:rFonts w:ascii="Times New Roman" w:hAnsi="Times New Roman"/>
                <w:b/>
                <w:bCs/>
                <w:color w:val="000000"/>
                <w:sz w:val="20"/>
                <w:szCs w:val="20"/>
                <w:lang w:eastAsia="zh-CN"/>
              </w:rPr>
              <w:t>720</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rPr>
                <w:rFonts w:ascii="Times New Roman" w:hAnsi="Times New Roman"/>
                <w:b/>
                <w:bCs/>
                <w:color w:val="000000"/>
                <w:sz w:val="20"/>
                <w:szCs w:val="20"/>
                <w:lang w:eastAsia="zh-CN"/>
              </w:rPr>
            </w:pPr>
            <w:r w:rsidRPr="0086394D">
              <w:rPr>
                <w:rFonts w:ascii="Times New Roman" w:hAnsi="Times New Roman"/>
                <w:b/>
                <w:bCs/>
                <w:color w:val="000000"/>
                <w:sz w:val="20"/>
                <w:szCs w:val="20"/>
                <w:lang w:eastAsia="zh-CN"/>
              </w:rPr>
              <w:t>Kapitálové transfery</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-28 376 110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-30 881 975</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-34 246 975</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320E52" w:rsidRPr="00772706" w:rsidP="00A231F2">
            <w:pPr>
              <w:bidi w:val="0"/>
              <w:spacing w:before="60" w:after="60"/>
              <w:jc w:val="right"/>
              <w:rPr>
                <w:rFonts w:ascii="Times New Roman" w:hAnsi="Times New Roman"/>
                <w:b/>
                <w:bCs/>
                <w:color w:val="000000"/>
                <w:sz w:val="20"/>
                <w:szCs w:val="20"/>
                <w:lang w:eastAsia="zh-CN"/>
              </w:rPr>
            </w:pPr>
          </w:p>
        </w:tc>
      </w:tr>
      <w:tr>
        <w:tblPrEx>
          <w:tblW w:w="1318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b/>
                <w:bCs/>
                <w:color w:val="000000"/>
                <w:sz w:val="20"/>
                <w:szCs w:val="20"/>
                <w:lang w:eastAsia="zh-CN"/>
              </w:rPr>
            </w:pPr>
            <w:r w:rsidRPr="00772706">
              <w:rPr>
                <w:rFonts w:ascii="Times New Roman" w:hAnsi="Times New Roman"/>
                <w:color w:val="000000"/>
                <w:sz w:val="20"/>
                <w:szCs w:val="20"/>
                <w:lang w:eastAsia="zh-CN"/>
              </w:rPr>
              <w:t>722</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rPr>
                <w:rFonts w:ascii="Times New Roman" w:hAnsi="Times New Roman"/>
                <w:b/>
                <w:bCs/>
                <w:color w:val="000000"/>
                <w:sz w:val="20"/>
                <w:szCs w:val="20"/>
                <w:lang w:eastAsia="zh-CN"/>
              </w:rPr>
            </w:pPr>
            <w:r w:rsidRPr="00772706">
              <w:rPr>
                <w:rFonts w:ascii="Times New Roman" w:hAnsi="Times New Roman"/>
                <w:color w:val="000000"/>
                <w:sz w:val="20"/>
                <w:szCs w:val="20"/>
                <w:lang w:eastAsia="zh-CN"/>
              </w:rPr>
              <w:t>Transfery jednotlivcom a neziskovým PO</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772706" w:rsidP="00A231F2">
            <w:pPr>
              <w:bidi w:val="0"/>
              <w:spacing w:before="60" w:after="60"/>
              <w:jc w:val="right"/>
              <w:rPr>
                <w:rFonts w:ascii="Times New Roman" w:hAnsi="Times New Roman"/>
                <w:bCs/>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-28 376 110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-30 881 975</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86394D"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-34 246 975</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320E52" w:rsidRPr="00772706" w:rsidP="00A231F2">
            <w:pPr>
              <w:bidi w:val="0"/>
              <w:spacing w:before="60" w:after="60"/>
              <w:jc w:val="right"/>
              <w:rPr>
                <w:rFonts w:ascii="Times New Roman" w:hAnsi="Times New Roman"/>
                <w:b/>
                <w:bCs/>
                <w:color w:val="000000"/>
                <w:sz w:val="20"/>
                <w:szCs w:val="20"/>
                <w:lang w:eastAsia="zh-CN"/>
              </w:rPr>
            </w:pPr>
          </w:p>
        </w:tc>
      </w:tr>
      <w:tr>
        <w:tblPrEx>
          <w:tblW w:w="1318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320E52" w:rsidRPr="00772706"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722004</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320E52" w:rsidRPr="00772706"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Jednotlivcovi</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320E52" w:rsidRPr="00772706" w:rsidP="00A231F2">
            <w:pPr>
              <w:bidi w:val="0"/>
              <w:spacing w:before="60" w:after="60"/>
              <w:jc w:val="right"/>
              <w:rPr>
                <w:rFonts w:ascii="Times New Roman" w:hAnsi="Times New Roman"/>
                <w:bCs/>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320E52" w:rsidRPr="0086394D"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-28 376 110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320E52" w:rsidRPr="0086394D"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-30 881 975</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320E52" w:rsidRPr="0086394D"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-34 246 975</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320E52" w:rsidRPr="00772706" w:rsidP="00A231F2">
            <w:pPr>
              <w:bidi w:val="0"/>
              <w:spacing w:before="60" w:after="60"/>
              <w:jc w:val="right"/>
              <w:rPr>
                <w:rFonts w:ascii="Times New Roman" w:hAnsi="Times New Roman"/>
                <w:b/>
                <w:bCs/>
                <w:color w:val="000000"/>
                <w:sz w:val="20"/>
                <w:szCs w:val="20"/>
                <w:lang w:eastAsia="zh-CN"/>
              </w:rPr>
            </w:pPr>
          </w:p>
        </w:tc>
      </w:tr>
      <w:tr>
        <w:tblPrEx>
          <w:tblW w:w="1318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320E52" w:rsidRPr="00772706" w:rsidP="00A231F2">
            <w:pPr>
              <w:bidi w:val="0"/>
              <w:spacing w:before="60" w:after="60"/>
              <w:jc w:val="right"/>
              <w:rPr>
                <w:rFonts w:ascii="Times New Roman" w:hAnsi="Times New Roman"/>
                <w:color w:val="000000"/>
                <w:sz w:val="20"/>
                <w:szCs w:val="20"/>
                <w:lang w:eastAsia="zh-CN"/>
              </w:rPr>
            </w:pPr>
            <w:r w:rsidRPr="0086394D">
              <w:rPr>
                <w:rFonts w:ascii="Times New Roman" w:hAnsi="Times New Roman"/>
                <w:b/>
                <w:bCs/>
                <w:color w:val="000000"/>
                <w:sz w:val="20"/>
                <w:szCs w:val="20"/>
                <w:lang w:eastAsia="zh-CN"/>
              </w:rPr>
              <w:t>800</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320E52" w:rsidRPr="00772706" w:rsidP="00A231F2">
            <w:pPr>
              <w:bidi w:val="0"/>
              <w:spacing w:before="60" w:after="60"/>
              <w:rPr>
                <w:rFonts w:ascii="Times New Roman" w:hAnsi="Times New Roman"/>
                <w:color w:val="000000"/>
                <w:sz w:val="20"/>
                <w:szCs w:val="20"/>
                <w:lang w:eastAsia="zh-CN"/>
              </w:rPr>
            </w:pPr>
            <w:r w:rsidRPr="0086394D">
              <w:rPr>
                <w:rFonts w:ascii="Times New Roman" w:hAnsi="Times New Roman"/>
                <w:b/>
                <w:bCs/>
                <w:color w:val="000000"/>
                <w:sz w:val="20"/>
                <w:szCs w:val="20"/>
                <w:lang w:eastAsia="zh-CN"/>
              </w:rPr>
              <w:t>Výdavky z transakcií s fin. aktívami a pasívami</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320E52" w:rsidRPr="0086394D"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320E52" w:rsidRPr="0086394D"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-48 099 000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320E52" w:rsidRPr="0086394D"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-50 976 000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320E52" w:rsidRPr="0086394D"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-54 341 000</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320E52" w:rsidRPr="00772706" w:rsidP="00A231F2">
            <w:pPr>
              <w:bidi w:val="0"/>
              <w:spacing w:before="60" w:after="60"/>
              <w:jc w:val="right"/>
              <w:rPr>
                <w:rFonts w:ascii="Times New Roman" w:hAnsi="Times New Roman"/>
                <w:b/>
                <w:bCs/>
                <w:color w:val="000000"/>
                <w:sz w:val="20"/>
                <w:szCs w:val="20"/>
                <w:lang w:eastAsia="zh-CN"/>
              </w:rPr>
            </w:pPr>
          </w:p>
        </w:tc>
      </w:tr>
      <w:tr>
        <w:tblPrEx>
          <w:tblW w:w="1318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320E52" w:rsidRPr="0086394D" w:rsidP="00A231F2">
            <w:pPr>
              <w:bidi w:val="0"/>
              <w:spacing w:before="60" w:after="60"/>
              <w:jc w:val="right"/>
              <w:rPr>
                <w:rFonts w:ascii="Times New Roman" w:hAnsi="Times New Roman"/>
                <w:b/>
                <w:bCs/>
                <w:color w:val="000000"/>
                <w:sz w:val="20"/>
                <w:szCs w:val="20"/>
                <w:lang w:eastAsia="zh-CN"/>
              </w:rPr>
            </w:pPr>
            <w:r w:rsidRPr="00772706">
              <w:rPr>
                <w:rFonts w:ascii="Times New Roman" w:hAnsi="Times New Roman"/>
                <w:color w:val="000000"/>
                <w:sz w:val="20"/>
                <w:szCs w:val="20"/>
                <w:lang w:eastAsia="zh-CN"/>
              </w:rPr>
              <w:t>813</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320E52" w:rsidRPr="0086394D" w:rsidP="00A231F2">
            <w:pPr>
              <w:bidi w:val="0"/>
              <w:spacing w:before="60" w:after="60"/>
              <w:rPr>
                <w:rFonts w:ascii="Times New Roman" w:hAnsi="Times New Roman"/>
                <w:b/>
                <w:bCs/>
                <w:color w:val="000000"/>
                <w:sz w:val="20"/>
                <w:szCs w:val="20"/>
                <w:lang w:eastAsia="zh-CN"/>
              </w:rPr>
            </w:pPr>
            <w:r w:rsidRPr="00772706">
              <w:rPr>
                <w:rFonts w:ascii="Times New Roman" w:hAnsi="Times New Roman"/>
                <w:color w:val="000000"/>
                <w:sz w:val="20"/>
                <w:szCs w:val="20"/>
                <w:lang w:eastAsia="zh-CN"/>
              </w:rPr>
              <w:t>Úv</w:t>
            </w:r>
            <w:r>
              <w:rPr>
                <w:rFonts w:ascii="Times New Roman" w:hAnsi="Times New Roman"/>
                <w:color w:val="000000"/>
                <w:sz w:val="20"/>
                <w:szCs w:val="20"/>
                <w:lang w:eastAsia="zh-CN"/>
              </w:rPr>
              <w:t>ery, pôžičky a návratné fin.</w:t>
            </w:r>
            <w:r w:rsidRPr="00772706">
              <w:rPr>
                <w:rFonts w:ascii="Times New Roman" w:hAnsi="Times New Roman"/>
                <w:color w:val="000000"/>
                <w:sz w:val="20"/>
                <w:szCs w:val="20"/>
                <w:lang w:eastAsia="zh-CN"/>
              </w:rPr>
              <w:t xml:space="preserve"> výpomoci (z GP)</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320E52" w:rsidRPr="00772706" w:rsidP="00A231F2">
            <w:pPr>
              <w:bidi w:val="0"/>
              <w:spacing w:before="60" w:after="60"/>
              <w:jc w:val="right"/>
              <w:rPr>
                <w:rFonts w:ascii="Times New Roman" w:hAnsi="Times New Roman"/>
                <w:bCs/>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320E52" w:rsidRPr="0086394D"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-48 099 000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320E52" w:rsidRPr="0086394D"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-50 976 000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320E52" w:rsidRPr="0086394D"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-54 341 000</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320E52" w:rsidRPr="00772706" w:rsidP="00A231F2">
            <w:pPr>
              <w:bidi w:val="0"/>
              <w:spacing w:before="60" w:after="60"/>
              <w:jc w:val="right"/>
              <w:rPr>
                <w:rFonts w:ascii="Times New Roman" w:hAnsi="Times New Roman"/>
                <w:b/>
                <w:bCs/>
                <w:color w:val="000000"/>
                <w:sz w:val="20"/>
                <w:szCs w:val="20"/>
                <w:lang w:eastAsia="zh-CN"/>
              </w:rPr>
            </w:pPr>
          </w:p>
        </w:tc>
      </w:tr>
      <w:tr>
        <w:tblPrEx>
          <w:tblW w:w="1318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320E52" w:rsidRPr="00772706" w:rsidP="00A231F2">
            <w:pPr>
              <w:bidi w:val="0"/>
              <w:spacing w:before="60" w:after="60"/>
              <w:jc w:val="right"/>
              <w:rPr>
                <w:rFonts w:ascii="Times New Roman" w:hAnsi="Times New Roman"/>
                <w:color w:val="000000"/>
                <w:sz w:val="20"/>
                <w:szCs w:val="20"/>
                <w:lang w:eastAsia="zh-CN"/>
              </w:rPr>
            </w:pPr>
            <w:r w:rsidRPr="0086394D">
              <w:rPr>
                <w:rFonts w:ascii="Times New Roman" w:hAnsi="Times New Roman"/>
                <w:b/>
                <w:bCs/>
                <w:color w:val="000000"/>
                <w:sz w:val="20"/>
                <w:szCs w:val="20"/>
                <w:lang w:eastAsia="zh-CN"/>
              </w:rPr>
              <w:t>600+720</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320E52" w:rsidRPr="00772706" w:rsidP="00A231F2">
            <w:pPr>
              <w:bidi w:val="0"/>
              <w:spacing w:before="60" w:after="60"/>
              <w:rPr>
                <w:rFonts w:ascii="Times New Roman" w:hAnsi="Times New Roman"/>
                <w:color w:val="000000"/>
                <w:sz w:val="20"/>
                <w:szCs w:val="20"/>
                <w:lang w:eastAsia="zh-CN"/>
              </w:rPr>
            </w:pPr>
            <w:r w:rsidRPr="0086394D">
              <w:rPr>
                <w:rFonts w:ascii="Times New Roman" w:hAnsi="Times New Roman"/>
                <w:b/>
                <w:bCs/>
                <w:color w:val="000000"/>
                <w:sz w:val="20"/>
                <w:szCs w:val="20"/>
                <w:lang w:eastAsia="zh-CN"/>
              </w:rPr>
              <w:t>Celkový vplyv bez 400,800</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320E52" w:rsidRPr="0086394D"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bottom"/>
          </w:tcPr>
          <w:p w:rsidR="00320E52" w:rsidP="00243886">
            <w:pPr>
              <w:bidi w:val="0"/>
              <w:spacing w:before="60" w:after="60"/>
              <w:jc w:val="right"/>
              <w:rPr>
                <w:rFonts w:ascii="Times New Roman" w:hAnsi="Times New Roman"/>
                <w:b/>
                <w:bCs/>
                <w:color w:val="000000"/>
                <w:sz w:val="20"/>
                <w:szCs w:val="20"/>
              </w:rPr>
            </w:pPr>
            <w:r w:rsidR="00313282">
              <w:rPr>
                <w:rFonts w:ascii="Times New Roman" w:hAnsi="Times New Roman"/>
                <w:b/>
                <w:bCs/>
                <w:color w:val="000000"/>
                <w:sz w:val="20"/>
                <w:szCs w:val="20"/>
              </w:rPr>
              <w:t> </w:t>
            </w:r>
          </w:p>
          <w:p w:rsidR="00313282" w:rsidRPr="00313282" w:rsidP="00243886">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-16 344 067</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bottom"/>
          </w:tcPr>
          <w:p w:rsidR="00320E52" w:rsidP="00243886">
            <w:pPr>
              <w:bidi w:val="0"/>
              <w:spacing w:before="60" w:after="60"/>
              <w:jc w:val="right"/>
              <w:rPr>
                <w:rFonts w:ascii="Times New Roman" w:hAnsi="Times New Roman"/>
                <w:b/>
                <w:bCs/>
                <w:color w:val="000000"/>
                <w:sz w:val="20"/>
                <w:szCs w:val="20"/>
              </w:rPr>
            </w:pPr>
            <w:r w:rsidR="00313282">
              <w:rPr>
                <w:rFonts w:ascii="Times New Roman" w:hAnsi="Times New Roman"/>
                <w:b/>
                <w:bCs/>
                <w:color w:val="000000"/>
                <w:sz w:val="20"/>
                <w:szCs w:val="20"/>
              </w:rPr>
              <w:t> </w:t>
            </w:r>
          </w:p>
          <w:p w:rsidR="00313282" w:rsidP="00243886">
            <w:pPr>
              <w:bidi w:val="0"/>
              <w:spacing w:before="60" w:after="60"/>
              <w:jc w:val="right"/>
              <w:rPr>
                <w:rFonts w:ascii="Times New Roman" w:hAnsi="Times New Roman"/>
                <w:b/>
                <w:bCs/>
                <w:color w:val="000000"/>
                <w:sz w:val="20"/>
                <w:szCs w:val="20"/>
              </w:rPr>
            </w:pPr>
            <w:r w:rsidR="00704438">
              <w:rPr>
                <w:rFonts w:ascii="Times New Roman" w:hAnsi="Times New Roman"/>
                <w:b/>
                <w:bCs/>
                <w:color w:val="000000"/>
                <w:sz w:val="20"/>
                <w:szCs w:val="20"/>
              </w:rPr>
              <w:t> </w:t>
            </w:r>
          </w:p>
          <w:p w:rsidR="00704438" w:rsidRPr="00313282" w:rsidP="00243886">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-75 378 575</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bottom"/>
          </w:tcPr>
          <w:p w:rsidR="00320E52" w:rsidP="00243886">
            <w:pPr>
              <w:bidi w:val="0"/>
              <w:spacing w:before="60" w:after="60"/>
              <w:jc w:val="right"/>
              <w:rPr>
                <w:rFonts w:ascii="Times New Roman" w:hAnsi="Times New Roman"/>
                <w:b/>
                <w:bCs/>
                <w:color w:val="000000"/>
                <w:sz w:val="20"/>
                <w:szCs w:val="20"/>
              </w:rPr>
            </w:pPr>
            <w:r w:rsidR="00313282">
              <w:rPr>
                <w:rFonts w:ascii="Times New Roman" w:hAnsi="Times New Roman"/>
                <w:b/>
                <w:bCs/>
                <w:color w:val="000000"/>
                <w:sz w:val="20"/>
                <w:szCs w:val="20"/>
              </w:rPr>
              <w:t> </w:t>
            </w:r>
          </w:p>
          <w:p w:rsidR="00313282" w:rsidP="00243886">
            <w:pPr>
              <w:bidi w:val="0"/>
              <w:spacing w:before="60" w:after="60"/>
              <w:jc w:val="right"/>
              <w:rPr>
                <w:rFonts w:ascii="Times New Roman" w:hAnsi="Times New Roman"/>
                <w:b/>
                <w:bCs/>
                <w:color w:val="000000"/>
                <w:sz w:val="20"/>
                <w:szCs w:val="20"/>
              </w:rPr>
            </w:pPr>
            <w:r w:rsidR="00704438">
              <w:rPr>
                <w:rFonts w:ascii="Times New Roman" w:hAnsi="Times New Roman"/>
                <w:b/>
                <w:bCs/>
                <w:color w:val="000000"/>
                <w:sz w:val="20"/>
                <w:szCs w:val="20"/>
              </w:rPr>
              <w:t> </w:t>
            </w:r>
          </w:p>
          <w:p w:rsidR="00704438" w:rsidRPr="00313282" w:rsidP="00243886">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-166 341 352</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320E52" w:rsidRPr="00772706" w:rsidP="00A231F2">
            <w:pPr>
              <w:bidi w:val="0"/>
              <w:spacing w:before="60" w:after="60"/>
              <w:jc w:val="right"/>
              <w:rPr>
                <w:rFonts w:ascii="Times New Roman" w:hAnsi="Times New Roman"/>
                <w:b/>
                <w:bCs/>
                <w:color w:val="000000"/>
                <w:sz w:val="20"/>
                <w:szCs w:val="20"/>
                <w:lang w:eastAsia="zh-CN"/>
              </w:rPr>
            </w:pPr>
          </w:p>
        </w:tc>
      </w:tr>
    </w:tbl>
    <w:p w:rsidR="00A22617" w:rsidP="00AF73A5">
      <w:pPr>
        <w:bidi w:val="0"/>
        <w:spacing w:after="120"/>
        <w:ind w:left="709"/>
        <w:jc w:val="both"/>
        <w:rPr>
          <w:rFonts w:ascii="Times New Roman" w:hAnsi="Times New Roman"/>
          <w:color w:val="000000"/>
        </w:rPr>
      </w:pPr>
    </w:p>
    <w:p w:rsidR="00EB4034" w:rsidP="00AF73A5">
      <w:pPr>
        <w:bidi w:val="0"/>
        <w:spacing w:after="120"/>
        <w:ind w:left="709"/>
        <w:jc w:val="both"/>
        <w:rPr>
          <w:rFonts w:ascii="Times New Roman" w:hAnsi="Times New Roman"/>
          <w:color w:val="000000"/>
        </w:rPr>
      </w:pPr>
    </w:p>
    <w:p w:rsidR="005D72BF" w:rsidP="005D72BF">
      <w:pPr>
        <w:pStyle w:val="NormalWeb"/>
        <w:bidi w:val="0"/>
        <w:spacing w:before="0" w:beforeAutospacing="0" w:after="120" w:afterAutospacing="0"/>
        <w:ind w:right="-143"/>
        <w:jc w:val="right"/>
        <w:rPr>
          <w:rFonts w:ascii="Times New Roman" w:hAnsi="Times New Roman"/>
          <w:b/>
          <w:bCs/>
        </w:rPr>
      </w:pPr>
      <w:r w:rsidR="006727E0">
        <w:rPr>
          <w:rFonts w:ascii="Times New Roman" w:hAnsi="Times New Roman"/>
          <w:color w:val="000000"/>
        </w:rPr>
        <w:t xml:space="preserve">                    </w:t>
      </w:r>
      <w:r w:rsidR="006727E0">
        <w:rPr>
          <w:rFonts w:ascii="Times New Roman" w:hAnsi="Times New Roman"/>
          <w:sz w:val="22"/>
          <w:szCs w:val="22"/>
        </w:rPr>
        <w:t xml:space="preserve">Tabuľka č. </w:t>
      </w:r>
      <w:r w:rsidR="005D2E9C">
        <w:rPr>
          <w:rFonts w:ascii="Times New Roman" w:hAnsi="Times New Roman"/>
          <w:sz w:val="22"/>
          <w:szCs w:val="22"/>
        </w:rPr>
        <w:t>9</w:t>
      </w:r>
    </w:p>
    <w:tbl>
      <w:tblPr>
        <w:tblStyle w:val="TableNormal"/>
        <w:tblW w:w="13625" w:type="dxa"/>
        <w:tblInd w:w="921" w:type="dxa"/>
        <w:tblLook w:val="00A0"/>
      </w:tblPr>
      <w:tblGrid>
        <w:gridCol w:w="1255"/>
        <w:gridCol w:w="13"/>
        <w:gridCol w:w="4991"/>
        <w:gridCol w:w="1572"/>
        <w:gridCol w:w="1559"/>
        <w:gridCol w:w="1560"/>
        <w:gridCol w:w="1559"/>
        <w:gridCol w:w="1116"/>
      </w:tblGrid>
      <w:tr>
        <w:tblPrEx>
          <w:tblW w:w="13625" w:type="dxa"/>
          <w:tblInd w:w="921" w:type="dxa"/>
          <w:tblLook w:val="00A0"/>
        </w:tblPrEx>
        <w:trPr>
          <w:trHeight w:val="315"/>
          <w:tblHeader/>
        </w:trPr>
        <w:tc>
          <w:tcPr>
            <w:tcW w:w="1255" w:type="dxa"/>
            <w:tcBorders>
              <w:top w:val="single" w:sz="4" w:space="0" w:color="auto"/>
              <w:left w:val="single" w:sz="4" w:space="0" w:color="auto"/>
              <w:bottom w:val="nil"/>
              <w:right w:val="nil"/>
            </w:tcBorders>
            <w:shd w:val="clear" w:color="000000" w:fill="000000"/>
            <w:noWrap/>
            <w:textDirection w:val="lrTb"/>
            <w:vAlign w:val="bottom"/>
          </w:tcPr>
          <w:p w:rsidR="00A231F2" w:rsidRPr="00C31185" w:rsidP="00A231F2">
            <w:pPr>
              <w:bidi w:val="0"/>
              <w:spacing w:before="60" w:after="60"/>
              <w:rPr>
                <w:rFonts w:ascii="Times New Roman" w:hAnsi="Times New Roman"/>
                <w:b/>
                <w:bCs/>
                <w:color w:val="FFFFFF"/>
                <w:sz w:val="20"/>
                <w:szCs w:val="20"/>
                <w:lang w:eastAsia="en-US"/>
              </w:rPr>
            </w:pPr>
            <w:r w:rsidRPr="00C31185">
              <w:rPr>
                <w:rFonts w:ascii="Times New Roman" w:hAnsi="Times New Roman"/>
                <w:b/>
                <w:bCs/>
                <w:color w:val="FFFFFF"/>
                <w:sz w:val="20"/>
                <w:szCs w:val="20"/>
                <w:lang w:eastAsia="en-US"/>
              </w:rPr>
              <w:t> </w:t>
            </w:r>
          </w:p>
        </w:tc>
        <w:tc>
          <w:tcPr>
            <w:tcW w:w="5004" w:type="dxa"/>
            <w:gridSpan w:val="2"/>
            <w:tcBorders>
              <w:top w:val="single" w:sz="4" w:space="0" w:color="auto"/>
              <w:left w:val="nil"/>
              <w:bottom w:val="nil"/>
              <w:right w:val="nil"/>
            </w:tcBorders>
            <w:shd w:val="clear" w:color="000000" w:fill="000000"/>
            <w:noWrap/>
            <w:textDirection w:val="lrTb"/>
            <w:vAlign w:val="bottom"/>
          </w:tcPr>
          <w:p w:rsidR="00A231F2" w:rsidRPr="00C31185" w:rsidP="00A231F2">
            <w:pPr>
              <w:bidi w:val="0"/>
              <w:spacing w:before="60" w:after="60"/>
              <w:rPr>
                <w:rFonts w:ascii="Times New Roman" w:hAnsi="Times New Roman"/>
                <w:b/>
                <w:bCs/>
                <w:color w:val="FFFFFF"/>
                <w:sz w:val="20"/>
                <w:szCs w:val="20"/>
                <w:lang w:eastAsia="en-US"/>
              </w:rPr>
            </w:pPr>
            <w:r w:rsidRPr="00C31185">
              <w:rPr>
                <w:rFonts w:ascii="Times New Roman" w:hAnsi="Times New Roman"/>
                <w:b/>
                <w:bCs/>
                <w:color w:val="FFFFFF"/>
                <w:sz w:val="20"/>
                <w:szCs w:val="20"/>
              </w:rPr>
              <w:t xml:space="preserve">Výdavky </w:t>
            </w:r>
            <w:r w:rsidRPr="00705F05">
              <w:rPr>
                <w:rFonts w:ascii="Times New Roman" w:hAnsi="Times New Roman"/>
                <w:b/>
                <w:bCs/>
                <w:color w:val="FFFFFF"/>
                <w:sz w:val="20"/>
                <w:szCs w:val="20"/>
              </w:rPr>
              <w:t>(</w:t>
            </w:r>
            <w:r>
              <w:rPr>
                <w:rFonts w:ascii="Times New Roman" w:hAnsi="Times New Roman"/>
                <w:b/>
                <w:bCs/>
                <w:color w:val="FFFFFF"/>
                <w:sz w:val="20"/>
                <w:szCs w:val="20"/>
              </w:rPr>
              <w:t xml:space="preserve">ESA 95, </w:t>
            </w:r>
            <w:r w:rsidRPr="00705F05">
              <w:rPr>
                <w:rFonts w:ascii="Times New Roman" w:hAnsi="Times New Roman"/>
                <w:b/>
                <w:bCs/>
                <w:color w:val="FFFFFF"/>
                <w:sz w:val="20"/>
                <w:szCs w:val="20"/>
              </w:rPr>
              <w:t>v eurách)</w:t>
            </w:r>
          </w:p>
        </w:tc>
        <w:tc>
          <w:tcPr>
            <w:tcW w:w="6250" w:type="dxa"/>
            <w:gridSpan w:val="4"/>
            <w:tcBorders>
              <w:top w:val="single" w:sz="4" w:space="0" w:color="auto"/>
              <w:left w:val="nil"/>
              <w:bottom w:val="nil"/>
              <w:right w:val="nil"/>
            </w:tcBorders>
            <w:shd w:val="clear" w:color="000000" w:fill="000000"/>
            <w:noWrap/>
            <w:textDirection w:val="lrTb"/>
            <w:vAlign w:val="bottom"/>
          </w:tcPr>
          <w:p w:rsidR="00A231F2" w:rsidRPr="00C31185" w:rsidP="00A231F2">
            <w:pPr>
              <w:bidi w:val="0"/>
              <w:spacing w:before="120" w:after="120"/>
              <w:jc w:val="center"/>
              <w:rPr>
                <w:rFonts w:ascii="Times New Roman" w:hAnsi="Times New Roman"/>
                <w:b/>
                <w:bCs/>
                <w:color w:val="FFFFFF"/>
                <w:sz w:val="20"/>
                <w:szCs w:val="20"/>
                <w:lang w:eastAsia="en-US"/>
              </w:rPr>
            </w:pPr>
            <w:r w:rsidRPr="00C31185">
              <w:rPr>
                <w:rFonts w:ascii="Times New Roman" w:hAnsi="Times New Roman"/>
                <w:b/>
                <w:bCs/>
                <w:color w:val="FFFFFF"/>
                <w:sz w:val="20"/>
                <w:szCs w:val="20"/>
              </w:rPr>
              <w:t>Vplyv na rozpočet verejnej správy</w:t>
            </w:r>
          </w:p>
        </w:tc>
        <w:tc>
          <w:tcPr>
            <w:tcW w:w="1116" w:type="dxa"/>
            <w:vMerge w:val="restart"/>
            <w:tcBorders>
              <w:top w:val="single" w:sz="4" w:space="0" w:color="auto"/>
              <w:left w:val="nil"/>
              <w:bottom w:val="none" w:sz="0" w:space="0" w:color="auto"/>
              <w:right w:val="nil"/>
            </w:tcBorders>
            <w:shd w:val="clear" w:color="000000" w:fill="000000"/>
            <w:textDirection w:val="lrTb"/>
            <w:vAlign w:val="center"/>
          </w:tcPr>
          <w:p w:rsidR="00A231F2" w:rsidRPr="00C31185" w:rsidP="00A231F2">
            <w:pPr>
              <w:pStyle w:val="NormalWeb"/>
              <w:bidi w:val="0"/>
              <w:spacing w:before="60" w:beforeAutospacing="0" w:after="60" w:afterAutospacing="0"/>
              <w:jc w:val="center"/>
              <w:rPr>
                <w:rFonts w:ascii="Times New Roman" w:hAnsi="Times New Roman"/>
                <w:sz w:val="20"/>
                <w:szCs w:val="20"/>
              </w:rPr>
            </w:pPr>
            <w:r w:rsidRPr="00C31185">
              <w:rPr>
                <w:rFonts w:ascii="Times New Roman" w:hAnsi="Times New Roman"/>
                <w:b/>
                <w:bCs/>
                <w:color w:val="FFFFFF"/>
                <w:sz w:val="20"/>
                <w:szCs w:val="20"/>
              </w:rPr>
              <w:t>Poznámka</w:t>
            </w:r>
          </w:p>
        </w:tc>
      </w:tr>
      <w:tr>
        <w:tblPrEx>
          <w:tblW w:w="13625" w:type="dxa"/>
          <w:tblInd w:w="921" w:type="dxa"/>
          <w:tblLook w:val="00A0"/>
        </w:tblPrEx>
        <w:trPr>
          <w:trHeight w:val="315"/>
          <w:tblHeader/>
        </w:trPr>
        <w:tc>
          <w:tcPr>
            <w:tcW w:w="1255" w:type="dxa"/>
            <w:tcBorders>
              <w:top w:val="nil"/>
              <w:left w:val="single" w:sz="4" w:space="0" w:color="auto"/>
              <w:bottom w:val="nil"/>
              <w:right w:val="nil"/>
            </w:tcBorders>
            <w:shd w:val="clear" w:color="000000" w:fill="000000"/>
            <w:noWrap/>
            <w:textDirection w:val="lrTb"/>
            <w:vAlign w:val="bottom"/>
          </w:tcPr>
          <w:p w:rsidR="00A231F2" w:rsidRPr="00772706" w:rsidP="00A231F2">
            <w:pPr>
              <w:bidi w:val="0"/>
              <w:spacing w:before="60" w:after="60"/>
              <w:rPr>
                <w:rFonts w:ascii="Times New Roman" w:hAnsi="Times New Roman"/>
                <w:b/>
                <w:bCs/>
                <w:color w:val="FFFFFF"/>
                <w:sz w:val="20"/>
                <w:szCs w:val="20"/>
                <w:lang w:eastAsia="en-US"/>
              </w:rPr>
            </w:pPr>
            <w:r w:rsidRPr="00772706">
              <w:rPr>
                <w:rFonts w:ascii="Times New Roman" w:hAnsi="Times New Roman"/>
                <w:b/>
                <w:bCs/>
                <w:color w:val="FFFFFF"/>
                <w:sz w:val="20"/>
                <w:szCs w:val="20"/>
                <w:lang w:eastAsia="en-US"/>
              </w:rPr>
              <w:t> </w:t>
            </w:r>
          </w:p>
        </w:tc>
        <w:tc>
          <w:tcPr>
            <w:tcW w:w="5004" w:type="dxa"/>
            <w:gridSpan w:val="2"/>
            <w:tcBorders>
              <w:top w:val="nil"/>
              <w:left w:val="nil"/>
              <w:bottom w:val="nil"/>
              <w:right w:val="nil"/>
            </w:tcBorders>
            <w:shd w:val="clear" w:color="000000" w:fill="000000"/>
            <w:noWrap/>
            <w:textDirection w:val="lrTb"/>
            <w:vAlign w:val="bottom"/>
          </w:tcPr>
          <w:p w:rsidR="00A231F2" w:rsidRPr="00772706" w:rsidP="00A231F2">
            <w:pPr>
              <w:bidi w:val="0"/>
              <w:spacing w:before="120" w:after="120"/>
              <w:rPr>
                <w:rFonts w:ascii="Times New Roman" w:hAnsi="Times New Roman"/>
                <w:b/>
                <w:bCs/>
                <w:color w:val="FFFFFF"/>
                <w:sz w:val="20"/>
                <w:szCs w:val="20"/>
                <w:u w:val="single"/>
                <w:lang w:eastAsia="en-US"/>
              </w:rPr>
            </w:pPr>
            <w:r w:rsidRPr="00772706">
              <w:rPr>
                <w:rFonts w:ascii="Times New Roman" w:hAnsi="Times New Roman"/>
                <w:b/>
                <w:bCs/>
                <w:color w:val="FFFFFF"/>
                <w:sz w:val="20"/>
                <w:szCs w:val="20"/>
                <w:u w:val="single"/>
                <w:lang w:eastAsia="en-US"/>
              </w:rPr>
              <w:t>Verejná správa</w:t>
            </w:r>
          </w:p>
        </w:tc>
        <w:tc>
          <w:tcPr>
            <w:tcW w:w="1572" w:type="dxa"/>
            <w:tcBorders>
              <w:top w:val="nil"/>
              <w:left w:val="nil"/>
              <w:bottom w:val="nil"/>
              <w:right w:val="nil"/>
            </w:tcBorders>
            <w:shd w:val="clear" w:color="000000" w:fill="000000"/>
            <w:noWrap/>
            <w:textDirection w:val="lrTb"/>
            <w:vAlign w:val="bottom"/>
          </w:tcPr>
          <w:p w:rsidR="00A231F2" w:rsidRPr="00772706" w:rsidP="00A231F2">
            <w:pPr>
              <w:bidi w:val="0"/>
              <w:spacing w:before="120" w:after="120"/>
              <w:jc w:val="center"/>
              <w:rPr>
                <w:rFonts w:ascii="Times New Roman" w:hAnsi="Times New Roman"/>
                <w:b/>
                <w:bCs/>
                <w:color w:val="FFFFFF"/>
                <w:sz w:val="20"/>
                <w:szCs w:val="20"/>
                <w:lang w:eastAsia="en-US"/>
              </w:rPr>
            </w:pPr>
            <w:r w:rsidRPr="00772706">
              <w:rPr>
                <w:rFonts w:ascii="Times New Roman" w:hAnsi="Times New Roman"/>
                <w:b/>
                <w:bCs/>
                <w:color w:val="FFFFFF"/>
                <w:sz w:val="20"/>
                <w:szCs w:val="20"/>
                <w:lang w:eastAsia="en-US"/>
              </w:rPr>
              <w:t>2011</w:t>
            </w:r>
          </w:p>
        </w:tc>
        <w:tc>
          <w:tcPr>
            <w:tcW w:w="1559" w:type="dxa"/>
            <w:tcBorders>
              <w:top w:val="nil"/>
              <w:left w:val="nil"/>
              <w:bottom w:val="nil"/>
              <w:right w:val="nil"/>
            </w:tcBorders>
            <w:shd w:val="clear" w:color="000000" w:fill="000000"/>
            <w:noWrap/>
            <w:textDirection w:val="lrTb"/>
            <w:vAlign w:val="bottom"/>
          </w:tcPr>
          <w:p w:rsidR="00A231F2" w:rsidRPr="00772706" w:rsidP="00A231F2">
            <w:pPr>
              <w:bidi w:val="0"/>
              <w:spacing w:before="120" w:after="120"/>
              <w:jc w:val="center"/>
              <w:rPr>
                <w:rFonts w:ascii="Times New Roman" w:hAnsi="Times New Roman"/>
                <w:b/>
                <w:bCs/>
                <w:color w:val="FFFFFF"/>
                <w:sz w:val="20"/>
                <w:szCs w:val="20"/>
                <w:lang w:eastAsia="en-US"/>
              </w:rPr>
            </w:pPr>
            <w:r w:rsidRPr="00772706">
              <w:rPr>
                <w:rFonts w:ascii="Times New Roman" w:hAnsi="Times New Roman"/>
                <w:b/>
                <w:bCs/>
                <w:color w:val="FFFFFF"/>
                <w:sz w:val="20"/>
                <w:szCs w:val="20"/>
                <w:lang w:eastAsia="en-US"/>
              </w:rPr>
              <w:t>2012</w:t>
            </w:r>
          </w:p>
        </w:tc>
        <w:tc>
          <w:tcPr>
            <w:tcW w:w="1560" w:type="dxa"/>
            <w:tcBorders>
              <w:top w:val="nil"/>
              <w:left w:val="nil"/>
              <w:bottom w:val="nil"/>
              <w:right w:val="nil"/>
            </w:tcBorders>
            <w:shd w:val="clear" w:color="000000" w:fill="000000"/>
            <w:noWrap/>
            <w:textDirection w:val="lrTb"/>
            <w:vAlign w:val="bottom"/>
          </w:tcPr>
          <w:p w:rsidR="00A231F2" w:rsidRPr="00772706" w:rsidP="00A231F2">
            <w:pPr>
              <w:bidi w:val="0"/>
              <w:spacing w:before="120" w:after="120"/>
              <w:jc w:val="center"/>
              <w:rPr>
                <w:rFonts w:ascii="Times New Roman" w:hAnsi="Times New Roman"/>
                <w:b/>
                <w:bCs/>
                <w:color w:val="FFFFFF"/>
                <w:sz w:val="20"/>
                <w:szCs w:val="20"/>
                <w:lang w:eastAsia="en-US"/>
              </w:rPr>
            </w:pPr>
            <w:r w:rsidRPr="00772706">
              <w:rPr>
                <w:rFonts w:ascii="Times New Roman" w:hAnsi="Times New Roman"/>
                <w:b/>
                <w:bCs/>
                <w:color w:val="FFFFFF"/>
                <w:sz w:val="20"/>
                <w:szCs w:val="20"/>
                <w:lang w:eastAsia="en-US"/>
              </w:rPr>
              <w:t>2013</w:t>
            </w:r>
          </w:p>
        </w:tc>
        <w:tc>
          <w:tcPr>
            <w:tcW w:w="1559" w:type="dxa"/>
            <w:tcBorders>
              <w:top w:val="nil"/>
              <w:left w:val="nil"/>
              <w:bottom w:val="nil"/>
              <w:right w:val="nil"/>
            </w:tcBorders>
            <w:shd w:val="clear" w:color="000000" w:fill="000000"/>
            <w:noWrap/>
            <w:textDirection w:val="lrTb"/>
            <w:vAlign w:val="bottom"/>
          </w:tcPr>
          <w:p w:rsidR="00A231F2" w:rsidRPr="00772706" w:rsidP="00A231F2">
            <w:pPr>
              <w:bidi w:val="0"/>
              <w:spacing w:before="120" w:after="120"/>
              <w:jc w:val="center"/>
              <w:rPr>
                <w:rFonts w:ascii="Times New Roman" w:hAnsi="Times New Roman"/>
                <w:b/>
                <w:bCs/>
                <w:color w:val="FFFFFF"/>
                <w:sz w:val="20"/>
                <w:szCs w:val="20"/>
                <w:lang w:eastAsia="en-US"/>
              </w:rPr>
            </w:pPr>
            <w:r w:rsidRPr="00772706">
              <w:rPr>
                <w:rFonts w:ascii="Times New Roman" w:hAnsi="Times New Roman"/>
                <w:b/>
                <w:bCs/>
                <w:color w:val="FFFFFF"/>
                <w:sz w:val="20"/>
                <w:szCs w:val="20"/>
                <w:lang w:eastAsia="en-US"/>
              </w:rPr>
              <w:t>2014</w:t>
            </w:r>
          </w:p>
        </w:tc>
        <w:tc>
          <w:tcPr>
            <w:tcW w:w="1116" w:type="dxa"/>
            <w:vMerge/>
            <w:tcBorders>
              <w:top w:val="none" w:sz="0" w:space="0" w:color="auto"/>
              <w:left w:val="nil"/>
              <w:bottom w:val="nil"/>
              <w:right w:val="nil"/>
            </w:tcBorders>
            <w:shd w:val="clear" w:color="000000" w:fill="000000"/>
            <w:textDirection w:val="lrTb"/>
            <w:vAlign w:val="center"/>
          </w:tcPr>
          <w:p w:rsidR="00A231F2" w:rsidRPr="00772706" w:rsidP="00A231F2">
            <w:pPr>
              <w:bidi w:val="0"/>
              <w:spacing w:before="60" w:after="60"/>
              <w:rPr>
                <w:rFonts w:ascii="Times New Roman" w:hAnsi="Times New Roman"/>
                <w:sz w:val="20"/>
                <w:szCs w:val="20"/>
              </w:rPr>
            </w:pPr>
          </w:p>
        </w:tc>
      </w:tr>
      <w:tr>
        <w:tblPrEx>
          <w:tblW w:w="13625"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772706" w:rsidP="00A231F2">
            <w:pPr>
              <w:bidi w:val="0"/>
              <w:spacing w:before="60" w:after="60"/>
              <w:jc w:val="right"/>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600+720+800</w:t>
            </w:r>
          </w:p>
        </w:tc>
        <w:tc>
          <w:tcPr>
            <w:tcW w:w="4991"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772706" w:rsidP="00A231F2">
            <w:pPr>
              <w:bidi w:val="0"/>
              <w:spacing w:before="60" w:after="60"/>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Výdavky celkom</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C31185"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4E39C6" w:rsidRPr="00AE2C56" w:rsidP="00243886">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1 294 871 646</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P="00704438">
            <w:pPr>
              <w:bidi w:val="0"/>
              <w:spacing w:before="60" w:after="60"/>
              <w:jc w:val="right"/>
              <w:rPr>
                <w:rFonts w:ascii="Times New Roman" w:hAnsi="Times New Roman"/>
                <w:b/>
                <w:bCs/>
                <w:color w:val="000000"/>
                <w:sz w:val="20"/>
                <w:szCs w:val="20"/>
              </w:rPr>
            </w:pPr>
            <w:r w:rsidR="00704438">
              <w:rPr>
                <w:rFonts w:ascii="Times New Roman" w:hAnsi="Times New Roman"/>
                <w:b/>
                <w:bCs/>
                <w:color w:val="000000"/>
                <w:sz w:val="20"/>
                <w:szCs w:val="20"/>
              </w:rPr>
              <w:t> </w:t>
            </w:r>
          </w:p>
          <w:p w:rsidR="00704438" w:rsidRPr="00AE2C56" w:rsidP="00704438">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1 289 112 524</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P="00704438">
            <w:pPr>
              <w:bidi w:val="0"/>
              <w:spacing w:before="60" w:after="60"/>
              <w:jc w:val="right"/>
              <w:rPr>
                <w:rFonts w:ascii="Times New Roman" w:hAnsi="Times New Roman"/>
                <w:b/>
                <w:bCs/>
                <w:color w:val="000000"/>
                <w:sz w:val="20"/>
                <w:szCs w:val="20"/>
              </w:rPr>
            </w:pPr>
            <w:r w:rsidR="00704438">
              <w:rPr>
                <w:rFonts w:ascii="Times New Roman" w:hAnsi="Times New Roman"/>
                <w:b/>
                <w:bCs/>
                <w:color w:val="000000"/>
                <w:sz w:val="20"/>
                <w:szCs w:val="20"/>
              </w:rPr>
              <w:t> </w:t>
            </w:r>
          </w:p>
          <w:p w:rsidR="00704438" w:rsidRPr="00AE2C56" w:rsidP="00704438">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1 297 450 780</w:t>
            </w:r>
          </w:p>
        </w:tc>
        <w:tc>
          <w:tcPr>
            <w:tcW w:w="1116" w:type="dxa"/>
            <w:vMerge w:val="restart"/>
            <w:tcBorders>
              <w:top w:val="single" w:sz="4" w:space="0" w:color="auto"/>
              <w:left w:val="single" w:sz="4" w:space="0" w:color="auto"/>
              <w:bottom w:val="single" w:sz="4" w:space="0" w:color="auto"/>
              <w:right w:val="single" w:sz="4" w:space="0" w:color="auto"/>
            </w:tcBorders>
            <w:textDirection w:val="lrTb"/>
            <w:vAlign w:val="top"/>
          </w:tcPr>
          <w:p w:rsidR="004E39C6" w:rsidRPr="00C31185" w:rsidP="00A231F2">
            <w:pPr>
              <w:bidi w:val="0"/>
              <w:spacing w:before="60" w:after="60"/>
              <w:jc w:val="right"/>
              <w:rPr>
                <w:rFonts w:ascii="Times New Roman" w:hAnsi="Times New Roman"/>
                <w:b/>
                <w:bCs/>
                <w:color w:val="000000"/>
                <w:sz w:val="20"/>
                <w:szCs w:val="20"/>
                <w:lang w:eastAsia="zh-CN"/>
              </w:rPr>
            </w:pPr>
          </w:p>
        </w:tc>
      </w:tr>
      <w:tr>
        <w:tblPrEx>
          <w:tblW w:w="13625"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772706" w:rsidP="00A231F2">
            <w:pPr>
              <w:bidi w:val="0"/>
              <w:spacing w:before="60" w:after="60"/>
              <w:jc w:val="right"/>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600</w:t>
            </w:r>
          </w:p>
        </w:tc>
        <w:tc>
          <w:tcPr>
            <w:tcW w:w="4991"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772706" w:rsidP="00A231F2">
            <w:pPr>
              <w:bidi w:val="0"/>
              <w:spacing w:before="60" w:after="60"/>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Bežné výdavky</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C31185"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4E39C6" w:rsidRPr="00313282" w:rsidP="00243886">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1 371 346 756</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P="00704438">
            <w:pPr>
              <w:bidi w:val="0"/>
              <w:spacing w:before="60" w:after="60"/>
              <w:jc w:val="right"/>
              <w:rPr>
                <w:rFonts w:ascii="Times New Roman" w:hAnsi="Times New Roman"/>
                <w:b/>
                <w:bCs/>
                <w:color w:val="000000"/>
                <w:sz w:val="20"/>
                <w:szCs w:val="20"/>
              </w:rPr>
            </w:pPr>
            <w:r w:rsidR="00704438">
              <w:rPr>
                <w:rFonts w:ascii="Times New Roman" w:hAnsi="Times New Roman"/>
                <w:b/>
                <w:bCs/>
                <w:color w:val="000000"/>
                <w:sz w:val="20"/>
                <w:szCs w:val="20"/>
              </w:rPr>
              <w:t> </w:t>
            </w:r>
          </w:p>
          <w:p w:rsidR="00704438" w:rsidRPr="00313282" w:rsidP="00704438">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1 370 970 499</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P="00704438">
            <w:pPr>
              <w:bidi w:val="0"/>
              <w:spacing w:before="60" w:after="60"/>
              <w:jc w:val="right"/>
              <w:rPr>
                <w:rFonts w:ascii="Times New Roman" w:hAnsi="Times New Roman"/>
                <w:b/>
                <w:bCs/>
                <w:color w:val="000000"/>
                <w:sz w:val="20"/>
                <w:szCs w:val="20"/>
              </w:rPr>
            </w:pPr>
            <w:r w:rsidR="00704438">
              <w:rPr>
                <w:rFonts w:ascii="Times New Roman" w:hAnsi="Times New Roman"/>
                <w:b/>
                <w:bCs/>
                <w:color w:val="000000"/>
                <w:sz w:val="20"/>
                <w:szCs w:val="20"/>
              </w:rPr>
              <w:t> </w:t>
            </w:r>
          </w:p>
          <w:p w:rsidR="00704438" w:rsidRPr="00313282" w:rsidP="00704438">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1 386 038 755</w:t>
            </w:r>
          </w:p>
        </w:tc>
        <w:tc>
          <w:tcPr>
            <w:tcW w:w="1116" w:type="dxa"/>
            <w:vMerge/>
            <w:tcBorders>
              <w:top w:val="single" w:sz="4" w:space="0" w:color="auto"/>
              <w:left w:val="single" w:sz="4" w:space="0" w:color="auto"/>
              <w:bottom w:val="single" w:sz="4" w:space="0" w:color="auto"/>
              <w:right w:val="single" w:sz="4" w:space="0" w:color="auto"/>
            </w:tcBorders>
            <w:textDirection w:val="lrTb"/>
            <w:vAlign w:val="top"/>
          </w:tcPr>
          <w:p w:rsidR="004E39C6" w:rsidRPr="00772706" w:rsidP="00A231F2">
            <w:pPr>
              <w:bidi w:val="0"/>
              <w:spacing w:before="60" w:after="60"/>
              <w:jc w:val="right"/>
              <w:rPr>
                <w:rFonts w:ascii="Times New Roman" w:hAnsi="Times New Roman"/>
                <w:b/>
                <w:bCs/>
                <w:color w:val="000000"/>
                <w:sz w:val="20"/>
                <w:szCs w:val="20"/>
                <w:lang w:eastAsia="zh-CN"/>
              </w:rPr>
            </w:pPr>
          </w:p>
        </w:tc>
      </w:tr>
      <w:tr>
        <w:tblPrEx>
          <w:tblW w:w="13625"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C31185"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630</w:t>
            </w:r>
          </w:p>
        </w:tc>
        <w:tc>
          <w:tcPr>
            <w:tcW w:w="4991" w:type="dxa"/>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C31185"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Tovary a služby</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C31185"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A46D63" w:rsidRPr="00C31185" w:rsidP="00243886">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4 000 000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C31185"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C31185"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116" w:type="dxa"/>
            <w:vMerge/>
            <w:tcBorders>
              <w:top w:val="single" w:sz="4" w:space="0" w:color="auto"/>
              <w:left w:val="single" w:sz="4" w:space="0" w:color="auto"/>
              <w:bottom w:val="single" w:sz="4" w:space="0" w:color="auto"/>
              <w:right w:val="single" w:sz="4" w:space="0" w:color="auto"/>
            </w:tcBorders>
            <w:textDirection w:val="lrTb"/>
            <w:vAlign w:val="top"/>
          </w:tcPr>
          <w:p w:rsidR="00A46D63" w:rsidRPr="00772706" w:rsidP="00A231F2">
            <w:pPr>
              <w:bidi w:val="0"/>
              <w:spacing w:before="60" w:after="60"/>
              <w:jc w:val="right"/>
              <w:rPr>
                <w:rFonts w:ascii="Times New Roman" w:hAnsi="Times New Roman"/>
                <w:color w:val="000000"/>
                <w:sz w:val="20"/>
                <w:szCs w:val="20"/>
                <w:lang w:eastAsia="zh-CN"/>
              </w:rPr>
            </w:pPr>
          </w:p>
        </w:tc>
      </w:tr>
      <w:tr>
        <w:tblPrEx>
          <w:tblW w:w="13625"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C31185"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640</w:t>
            </w:r>
          </w:p>
        </w:tc>
        <w:tc>
          <w:tcPr>
            <w:tcW w:w="4991"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C31185"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Bežné transfery</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C31185"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4E39C6" w:rsidRPr="00AE2C56" w:rsidP="00243886">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1 367 346 756</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P="00704438">
            <w:pPr>
              <w:bidi w:val="0"/>
              <w:spacing w:before="60" w:after="60"/>
              <w:jc w:val="right"/>
              <w:rPr>
                <w:rFonts w:ascii="Times New Roman" w:hAnsi="Times New Roman"/>
                <w:color w:val="000000"/>
                <w:sz w:val="20"/>
                <w:szCs w:val="20"/>
              </w:rPr>
            </w:pPr>
            <w:r w:rsidR="00704438">
              <w:rPr>
                <w:rFonts w:ascii="Times New Roman" w:hAnsi="Times New Roman"/>
                <w:color w:val="000000"/>
                <w:sz w:val="20"/>
                <w:szCs w:val="20"/>
              </w:rPr>
              <w:t> </w:t>
            </w:r>
          </w:p>
          <w:p w:rsidR="00704438" w:rsidRPr="00AE2C56" w:rsidP="00704438">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1 370 970 499</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P="00704438">
            <w:pPr>
              <w:bidi w:val="0"/>
              <w:spacing w:before="60" w:after="60"/>
              <w:jc w:val="right"/>
              <w:rPr>
                <w:rFonts w:ascii="Times New Roman" w:hAnsi="Times New Roman"/>
                <w:color w:val="000000"/>
                <w:sz w:val="20"/>
                <w:szCs w:val="20"/>
              </w:rPr>
            </w:pPr>
            <w:r w:rsidR="00704438">
              <w:rPr>
                <w:rFonts w:ascii="Times New Roman" w:hAnsi="Times New Roman"/>
                <w:color w:val="000000"/>
                <w:sz w:val="20"/>
                <w:szCs w:val="20"/>
              </w:rPr>
              <w:t> </w:t>
            </w:r>
          </w:p>
          <w:p w:rsidR="00704438" w:rsidRPr="00AE2C56" w:rsidP="00704438">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1 386 038 755</w:t>
            </w:r>
          </w:p>
        </w:tc>
        <w:tc>
          <w:tcPr>
            <w:tcW w:w="1116" w:type="dxa"/>
            <w:vMerge/>
            <w:tcBorders>
              <w:top w:val="single" w:sz="4" w:space="0" w:color="auto"/>
              <w:left w:val="single" w:sz="4" w:space="0" w:color="auto"/>
              <w:bottom w:val="single" w:sz="4" w:space="0" w:color="auto"/>
              <w:right w:val="single" w:sz="4" w:space="0" w:color="auto"/>
            </w:tcBorders>
            <w:textDirection w:val="lrTb"/>
            <w:vAlign w:val="top"/>
          </w:tcPr>
          <w:p w:rsidR="004E39C6" w:rsidRPr="00772706" w:rsidP="00A231F2">
            <w:pPr>
              <w:bidi w:val="0"/>
              <w:spacing w:before="60" w:after="60"/>
              <w:jc w:val="right"/>
              <w:rPr>
                <w:rFonts w:ascii="Times New Roman" w:hAnsi="Times New Roman"/>
                <w:color w:val="000000"/>
                <w:sz w:val="20"/>
                <w:szCs w:val="20"/>
                <w:lang w:eastAsia="zh-CN"/>
              </w:rPr>
            </w:pPr>
          </w:p>
        </w:tc>
      </w:tr>
      <w:tr>
        <w:tblPrEx>
          <w:tblW w:w="13625"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C31185"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641</w:t>
            </w:r>
          </w:p>
        </w:tc>
        <w:tc>
          <w:tcPr>
            <w:tcW w:w="4991"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C31185"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Transfery v rámci verejnej správy</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C31185"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4E39C6" w:rsidRPr="00C31185" w:rsidP="00243886">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1 407 973 446</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C31185"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1 466 826 825</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C31185"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1 572 843 463</w:t>
            </w:r>
          </w:p>
        </w:tc>
        <w:tc>
          <w:tcPr>
            <w:tcW w:w="1116" w:type="dxa"/>
            <w:vMerge/>
            <w:tcBorders>
              <w:top w:val="single" w:sz="4" w:space="0" w:color="auto"/>
              <w:left w:val="single" w:sz="4" w:space="0" w:color="auto"/>
              <w:bottom w:val="single" w:sz="4" w:space="0" w:color="auto"/>
              <w:right w:val="single" w:sz="4" w:space="0" w:color="auto"/>
            </w:tcBorders>
            <w:textDirection w:val="lrTb"/>
            <w:vAlign w:val="top"/>
          </w:tcPr>
          <w:p w:rsidR="004E39C6" w:rsidRPr="00772706" w:rsidP="00A231F2">
            <w:pPr>
              <w:bidi w:val="0"/>
              <w:spacing w:before="60" w:after="60"/>
              <w:jc w:val="right"/>
              <w:rPr>
                <w:rFonts w:ascii="Times New Roman" w:hAnsi="Times New Roman"/>
                <w:color w:val="000000"/>
                <w:sz w:val="20"/>
                <w:szCs w:val="20"/>
                <w:lang w:eastAsia="zh-CN"/>
              </w:rPr>
            </w:pPr>
          </w:p>
        </w:tc>
      </w:tr>
      <w:tr>
        <w:tblPrEx>
          <w:tblW w:w="13625"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C31185"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642</w:t>
            </w:r>
          </w:p>
        </w:tc>
        <w:tc>
          <w:tcPr>
            <w:tcW w:w="4991" w:type="dxa"/>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C31185"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Transfery jednotlivcom a neziskovým PO</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C31185"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320E52" w:rsidP="00243886">
            <w:pPr>
              <w:bidi w:val="0"/>
              <w:spacing w:before="60" w:after="60"/>
              <w:jc w:val="right"/>
              <w:rPr>
                <w:rFonts w:ascii="Times New Roman" w:hAnsi="Times New Roman"/>
                <w:color w:val="000000"/>
                <w:sz w:val="20"/>
                <w:szCs w:val="20"/>
              </w:rPr>
            </w:pPr>
            <w:r w:rsidR="00AE2C56">
              <w:rPr>
                <w:rFonts w:ascii="Times New Roman" w:hAnsi="Times New Roman"/>
                <w:color w:val="000000"/>
                <w:sz w:val="20"/>
                <w:szCs w:val="20"/>
              </w:rPr>
              <w:t> </w:t>
            </w:r>
          </w:p>
          <w:p w:rsidR="00AE2C56" w:rsidRPr="00AE2C56" w:rsidP="00243886">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-40 626 690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320E52" w:rsidP="00A231F2">
            <w:pPr>
              <w:bidi w:val="0"/>
              <w:spacing w:before="60" w:after="60"/>
              <w:jc w:val="right"/>
              <w:rPr>
                <w:rFonts w:ascii="Times New Roman" w:hAnsi="Times New Roman"/>
                <w:color w:val="000000"/>
                <w:sz w:val="20"/>
                <w:szCs w:val="20"/>
              </w:rPr>
            </w:pPr>
            <w:r w:rsidR="00AE2C56">
              <w:rPr>
                <w:rFonts w:ascii="Times New Roman" w:hAnsi="Times New Roman"/>
                <w:color w:val="000000"/>
                <w:sz w:val="20"/>
                <w:szCs w:val="20"/>
              </w:rPr>
              <w:t> </w:t>
            </w:r>
          </w:p>
          <w:p w:rsidR="00AE2C56" w:rsidP="00704438">
            <w:pPr>
              <w:bidi w:val="0"/>
              <w:spacing w:before="60" w:after="60"/>
              <w:jc w:val="right"/>
              <w:rPr>
                <w:rFonts w:ascii="Times New Roman" w:hAnsi="Times New Roman"/>
                <w:color w:val="000000"/>
                <w:sz w:val="20"/>
                <w:szCs w:val="20"/>
              </w:rPr>
            </w:pPr>
            <w:r w:rsidR="00704438">
              <w:rPr>
                <w:rFonts w:ascii="Times New Roman" w:hAnsi="Times New Roman"/>
                <w:color w:val="000000"/>
                <w:sz w:val="20"/>
                <w:szCs w:val="20"/>
              </w:rPr>
              <w:t> </w:t>
            </w:r>
          </w:p>
          <w:p w:rsidR="00704438" w:rsidRPr="00AE2C56" w:rsidP="00704438">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-95 856 326</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320E52" w:rsidP="00A231F2">
            <w:pPr>
              <w:bidi w:val="0"/>
              <w:spacing w:before="60" w:after="60"/>
              <w:jc w:val="right"/>
              <w:rPr>
                <w:rFonts w:ascii="Times New Roman" w:hAnsi="Times New Roman"/>
                <w:color w:val="000000"/>
                <w:sz w:val="20"/>
                <w:szCs w:val="20"/>
              </w:rPr>
            </w:pPr>
            <w:r w:rsidR="00AE2C56">
              <w:rPr>
                <w:rFonts w:ascii="Times New Roman" w:hAnsi="Times New Roman"/>
                <w:color w:val="000000"/>
                <w:sz w:val="20"/>
                <w:szCs w:val="20"/>
              </w:rPr>
              <w:t> </w:t>
            </w:r>
          </w:p>
          <w:p w:rsidR="00AE2C56" w:rsidP="00704438">
            <w:pPr>
              <w:bidi w:val="0"/>
              <w:spacing w:before="60" w:after="60"/>
              <w:jc w:val="right"/>
              <w:rPr>
                <w:rFonts w:ascii="Times New Roman" w:hAnsi="Times New Roman"/>
                <w:color w:val="000000"/>
                <w:sz w:val="20"/>
                <w:szCs w:val="20"/>
              </w:rPr>
            </w:pPr>
            <w:r w:rsidR="00704438">
              <w:rPr>
                <w:rFonts w:ascii="Times New Roman" w:hAnsi="Times New Roman"/>
                <w:color w:val="000000"/>
                <w:sz w:val="20"/>
                <w:szCs w:val="20"/>
              </w:rPr>
              <w:t> </w:t>
            </w:r>
          </w:p>
          <w:p w:rsidR="00704438" w:rsidRPr="00AE2C56" w:rsidP="00704438">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-186 804 708</w:t>
            </w:r>
          </w:p>
        </w:tc>
        <w:tc>
          <w:tcPr>
            <w:tcW w:w="1116" w:type="dxa"/>
            <w:vMerge/>
            <w:tcBorders>
              <w:top w:val="single" w:sz="4" w:space="0" w:color="auto"/>
              <w:left w:val="single" w:sz="4" w:space="0" w:color="auto"/>
              <w:bottom w:val="single" w:sz="4" w:space="0" w:color="auto"/>
              <w:right w:val="single" w:sz="4" w:space="0" w:color="auto"/>
            </w:tcBorders>
            <w:textDirection w:val="lrTb"/>
            <w:vAlign w:val="top"/>
          </w:tcPr>
          <w:p w:rsidR="00320E52" w:rsidRPr="00772706" w:rsidP="00A231F2">
            <w:pPr>
              <w:bidi w:val="0"/>
              <w:spacing w:before="60" w:after="60"/>
              <w:jc w:val="right"/>
              <w:rPr>
                <w:rFonts w:ascii="Times New Roman" w:hAnsi="Times New Roman"/>
                <w:color w:val="000000"/>
                <w:sz w:val="20"/>
                <w:szCs w:val="20"/>
                <w:lang w:eastAsia="zh-CN"/>
              </w:rPr>
            </w:pPr>
          </w:p>
        </w:tc>
      </w:tr>
      <w:tr>
        <w:tblPrEx>
          <w:tblW w:w="13625"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772706" w:rsidP="00A231F2">
            <w:pPr>
              <w:bidi w:val="0"/>
              <w:spacing w:before="60" w:after="60"/>
              <w:jc w:val="right"/>
              <w:rPr>
                <w:rFonts w:ascii="Times New Roman" w:hAnsi="Times New Roman"/>
                <w:color w:val="000000"/>
                <w:sz w:val="20"/>
                <w:szCs w:val="20"/>
                <w:lang w:eastAsia="zh-CN"/>
              </w:rPr>
            </w:pPr>
          </w:p>
        </w:tc>
        <w:tc>
          <w:tcPr>
            <w:tcW w:w="4991" w:type="dxa"/>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C31185"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 xml:space="preserve">  - z toho: ŠR</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C31185"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C31185"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-48 658 733</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C31185"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-51 359 726</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C31185"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-54 710 331</w:t>
            </w:r>
          </w:p>
        </w:tc>
        <w:tc>
          <w:tcPr>
            <w:tcW w:w="1116" w:type="dxa"/>
            <w:vMerge/>
            <w:tcBorders>
              <w:top w:val="single" w:sz="4" w:space="0" w:color="auto"/>
              <w:left w:val="single" w:sz="4" w:space="0" w:color="auto"/>
              <w:bottom w:val="single" w:sz="4" w:space="0" w:color="auto"/>
              <w:right w:val="single" w:sz="4" w:space="0" w:color="auto"/>
            </w:tcBorders>
            <w:textDirection w:val="lrTb"/>
            <w:vAlign w:val="top"/>
          </w:tcPr>
          <w:p w:rsidR="00320E52" w:rsidRPr="00772706" w:rsidP="00A231F2">
            <w:pPr>
              <w:bidi w:val="0"/>
              <w:spacing w:before="60" w:after="60"/>
              <w:jc w:val="right"/>
              <w:rPr>
                <w:rFonts w:ascii="Times New Roman" w:hAnsi="Times New Roman"/>
                <w:color w:val="000000"/>
                <w:sz w:val="20"/>
                <w:szCs w:val="20"/>
                <w:lang w:eastAsia="zh-CN"/>
              </w:rPr>
            </w:pPr>
          </w:p>
        </w:tc>
      </w:tr>
      <w:tr>
        <w:tblPrEx>
          <w:tblW w:w="13625"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C31185"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642031</w:t>
            </w:r>
          </w:p>
        </w:tc>
        <w:tc>
          <w:tcPr>
            <w:tcW w:w="4991" w:type="dxa"/>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C31185"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 xml:space="preserve">    - poistné platené štátom</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C31185"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320E52" w:rsidRPr="00C31185" w:rsidP="00243886">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-48 658 733</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C31185"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-51 359 726</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C31185"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-54 710 331</w:t>
            </w:r>
          </w:p>
        </w:tc>
        <w:tc>
          <w:tcPr>
            <w:tcW w:w="1116" w:type="dxa"/>
            <w:vMerge/>
            <w:tcBorders>
              <w:top w:val="single" w:sz="4" w:space="0" w:color="auto"/>
              <w:left w:val="single" w:sz="4" w:space="0" w:color="auto"/>
              <w:bottom w:val="single" w:sz="4" w:space="0" w:color="auto"/>
              <w:right w:val="single" w:sz="4" w:space="0" w:color="auto"/>
            </w:tcBorders>
            <w:textDirection w:val="lrTb"/>
            <w:vAlign w:val="top"/>
          </w:tcPr>
          <w:p w:rsidR="00320E52" w:rsidRPr="00772706" w:rsidP="00A231F2">
            <w:pPr>
              <w:bidi w:val="0"/>
              <w:spacing w:before="60" w:after="60"/>
              <w:jc w:val="right"/>
              <w:rPr>
                <w:rFonts w:ascii="Times New Roman" w:hAnsi="Times New Roman"/>
                <w:color w:val="000000"/>
                <w:sz w:val="20"/>
                <w:szCs w:val="20"/>
                <w:lang w:eastAsia="zh-CN"/>
              </w:rPr>
            </w:pPr>
          </w:p>
        </w:tc>
      </w:tr>
      <w:tr>
        <w:tblPrEx>
          <w:tblW w:w="13625"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772706" w:rsidP="00A231F2">
            <w:pPr>
              <w:bidi w:val="0"/>
              <w:spacing w:before="60" w:after="60"/>
              <w:jc w:val="right"/>
              <w:rPr>
                <w:rFonts w:ascii="Times New Roman" w:hAnsi="Times New Roman"/>
                <w:color w:val="000000"/>
                <w:sz w:val="20"/>
                <w:szCs w:val="20"/>
                <w:lang w:eastAsia="zh-CN"/>
              </w:rPr>
            </w:pPr>
          </w:p>
        </w:tc>
        <w:tc>
          <w:tcPr>
            <w:tcW w:w="4991"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C31185"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 xml:space="preserve">  - z toho: SP</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RPr="00C31185"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4E39C6" w:rsidRPr="00C31185" w:rsidP="00243886">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8 032 043</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P="00E773DB">
            <w:pPr>
              <w:bidi w:val="0"/>
              <w:spacing w:before="60" w:after="60"/>
              <w:jc w:val="right"/>
              <w:rPr>
                <w:rFonts w:ascii="Times New Roman" w:hAnsi="Times New Roman"/>
                <w:color w:val="000000"/>
                <w:sz w:val="20"/>
                <w:szCs w:val="20"/>
              </w:rPr>
            </w:pPr>
            <w:r w:rsidR="00E773DB">
              <w:rPr>
                <w:rFonts w:ascii="Times New Roman" w:hAnsi="Times New Roman"/>
                <w:color w:val="000000"/>
                <w:sz w:val="20"/>
                <w:szCs w:val="20"/>
              </w:rPr>
              <w:t> </w:t>
            </w:r>
          </w:p>
          <w:p w:rsidR="00E773DB" w:rsidRPr="00C31185" w:rsidP="00E773DB">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-44 496 600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4E39C6" w:rsidP="00E773DB">
            <w:pPr>
              <w:bidi w:val="0"/>
              <w:spacing w:before="60" w:after="60"/>
              <w:jc w:val="right"/>
              <w:rPr>
                <w:rFonts w:ascii="Times New Roman" w:hAnsi="Times New Roman"/>
                <w:color w:val="000000"/>
                <w:sz w:val="20"/>
                <w:szCs w:val="20"/>
              </w:rPr>
            </w:pPr>
            <w:r w:rsidR="00E773DB">
              <w:rPr>
                <w:rFonts w:ascii="Times New Roman" w:hAnsi="Times New Roman"/>
                <w:color w:val="000000"/>
                <w:sz w:val="20"/>
                <w:szCs w:val="20"/>
              </w:rPr>
              <w:t> </w:t>
            </w:r>
          </w:p>
          <w:p w:rsidR="00E773DB" w:rsidRPr="00C31185" w:rsidP="00E773DB">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-132 094 377</w:t>
            </w:r>
          </w:p>
        </w:tc>
        <w:tc>
          <w:tcPr>
            <w:tcW w:w="1116" w:type="dxa"/>
            <w:vMerge/>
            <w:tcBorders>
              <w:top w:val="single" w:sz="4" w:space="0" w:color="auto"/>
              <w:left w:val="single" w:sz="4" w:space="0" w:color="auto"/>
              <w:bottom w:val="single" w:sz="4" w:space="0" w:color="auto"/>
              <w:right w:val="single" w:sz="4" w:space="0" w:color="auto"/>
            </w:tcBorders>
            <w:textDirection w:val="lrTb"/>
            <w:vAlign w:val="top"/>
          </w:tcPr>
          <w:p w:rsidR="004E39C6" w:rsidRPr="00772706" w:rsidP="00A231F2">
            <w:pPr>
              <w:bidi w:val="0"/>
              <w:spacing w:before="60" w:after="60"/>
              <w:jc w:val="right"/>
              <w:rPr>
                <w:rFonts w:ascii="Times New Roman" w:hAnsi="Times New Roman"/>
                <w:color w:val="000000"/>
                <w:sz w:val="20"/>
                <w:szCs w:val="20"/>
                <w:lang w:eastAsia="zh-CN"/>
              </w:rPr>
            </w:pPr>
          </w:p>
        </w:tc>
      </w:tr>
      <w:tr>
        <w:tblPrEx>
          <w:tblW w:w="13625"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772706" w:rsidP="00A231F2">
            <w:pPr>
              <w:bidi w:val="0"/>
              <w:spacing w:before="60" w:after="60"/>
              <w:jc w:val="right"/>
              <w:rPr>
                <w:rFonts w:ascii="Times New Roman" w:hAnsi="Times New Roman"/>
                <w:color w:val="000000"/>
                <w:sz w:val="20"/>
                <w:szCs w:val="20"/>
                <w:lang w:eastAsia="zh-CN"/>
              </w:rPr>
            </w:pPr>
          </w:p>
        </w:tc>
        <w:tc>
          <w:tcPr>
            <w:tcW w:w="4991" w:type="dxa"/>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C31185"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 xml:space="preserve">    - dobrovoľne poistené osoby - zrušenie účasti</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C31185"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320E52" w:rsidRPr="00C31185" w:rsidP="00243886">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-37 062 960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C31185"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-45 880 872</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C31185"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-55 298 626</w:t>
            </w:r>
          </w:p>
        </w:tc>
        <w:tc>
          <w:tcPr>
            <w:tcW w:w="1116" w:type="dxa"/>
            <w:vMerge/>
            <w:tcBorders>
              <w:top w:val="single" w:sz="4" w:space="0" w:color="auto"/>
              <w:left w:val="single" w:sz="4" w:space="0" w:color="auto"/>
              <w:bottom w:val="single" w:sz="4" w:space="0" w:color="auto"/>
              <w:right w:val="single" w:sz="4" w:space="0" w:color="auto"/>
            </w:tcBorders>
            <w:textDirection w:val="lrTb"/>
            <w:vAlign w:val="top"/>
          </w:tcPr>
          <w:p w:rsidR="00320E52" w:rsidRPr="00772706" w:rsidP="00A231F2">
            <w:pPr>
              <w:bidi w:val="0"/>
              <w:spacing w:before="60" w:after="60"/>
              <w:jc w:val="right"/>
              <w:rPr>
                <w:rFonts w:ascii="Times New Roman" w:hAnsi="Times New Roman"/>
                <w:color w:val="000000"/>
                <w:sz w:val="20"/>
                <w:szCs w:val="20"/>
                <w:lang w:eastAsia="zh-CN"/>
              </w:rPr>
            </w:pPr>
          </w:p>
        </w:tc>
      </w:tr>
      <w:tr>
        <w:tblPrEx>
          <w:tblW w:w="13625"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772706" w:rsidP="00A231F2">
            <w:pPr>
              <w:bidi w:val="0"/>
              <w:spacing w:before="60" w:after="60"/>
              <w:jc w:val="right"/>
              <w:rPr>
                <w:rFonts w:ascii="Times New Roman" w:hAnsi="Times New Roman"/>
                <w:b/>
                <w:bCs/>
                <w:color w:val="000000"/>
                <w:sz w:val="20"/>
                <w:szCs w:val="20"/>
                <w:lang w:eastAsia="zh-CN"/>
              </w:rPr>
            </w:pPr>
          </w:p>
        </w:tc>
        <w:tc>
          <w:tcPr>
            <w:tcW w:w="4991" w:type="dxa"/>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C31185" w:rsidP="00A231F2">
            <w:pPr>
              <w:bidi w:val="0"/>
              <w:spacing w:before="60" w:after="60"/>
              <w:rPr>
                <w:rFonts w:ascii="Times New Roman" w:hAnsi="Times New Roman"/>
                <w:b/>
                <w:bCs/>
                <w:color w:val="000000"/>
                <w:sz w:val="20"/>
                <w:szCs w:val="20"/>
                <w:lang w:eastAsia="zh-CN"/>
              </w:rPr>
            </w:pPr>
            <w:r w:rsidRPr="00772706">
              <w:rPr>
                <w:rFonts w:ascii="Times New Roman" w:hAnsi="Times New Roman"/>
                <w:color w:val="000000"/>
                <w:sz w:val="20"/>
                <w:szCs w:val="20"/>
                <w:lang w:eastAsia="zh-CN"/>
              </w:rPr>
              <w:t xml:space="preserve">    - prechod na nový valorizačný mechanizmus</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772706" w:rsidP="00A231F2">
            <w:pPr>
              <w:bidi w:val="0"/>
              <w:spacing w:before="60" w:after="60"/>
              <w:jc w:val="right"/>
              <w:rPr>
                <w:rFonts w:ascii="Times New Roman" w:hAnsi="Times New Roman"/>
                <w:bCs/>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320E52" w:rsidRPr="00C31185" w:rsidP="00243886">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320E52" w:rsidP="00E773DB">
            <w:pPr>
              <w:bidi w:val="0"/>
              <w:spacing w:before="60" w:after="60"/>
              <w:jc w:val="right"/>
              <w:rPr>
                <w:rFonts w:ascii="Times New Roman" w:hAnsi="Times New Roman"/>
                <w:color w:val="000000"/>
                <w:sz w:val="20"/>
                <w:szCs w:val="20"/>
              </w:rPr>
            </w:pPr>
            <w:r w:rsidR="00E773DB">
              <w:rPr>
                <w:rFonts w:ascii="Times New Roman" w:hAnsi="Times New Roman"/>
                <w:color w:val="000000"/>
                <w:sz w:val="20"/>
                <w:szCs w:val="20"/>
              </w:rPr>
              <w:t> </w:t>
            </w:r>
          </w:p>
          <w:p w:rsidR="00E773DB" w:rsidRPr="00C31185" w:rsidP="00E773DB">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-40 850 425</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320E52" w:rsidP="00E773DB">
            <w:pPr>
              <w:bidi w:val="0"/>
              <w:spacing w:before="60" w:after="60"/>
              <w:jc w:val="right"/>
              <w:rPr>
                <w:rFonts w:ascii="Times New Roman" w:hAnsi="Times New Roman"/>
                <w:color w:val="000000"/>
                <w:sz w:val="20"/>
                <w:szCs w:val="20"/>
              </w:rPr>
            </w:pPr>
            <w:r w:rsidR="00E773DB">
              <w:rPr>
                <w:rFonts w:ascii="Times New Roman" w:hAnsi="Times New Roman"/>
                <w:color w:val="000000"/>
                <w:sz w:val="20"/>
                <w:szCs w:val="20"/>
              </w:rPr>
              <w:t> </w:t>
            </w:r>
          </w:p>
          <w:p w:rsidR="00E773DB" w:rsidRPr="00C31185" w:rsidP="00E773DB">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-122 818 331</w:t>
            </w:r>
          </w:p>
        </w:tc>
        <w:tc>
          <w:tcPr>
            <w:tcW w:w="1116" w:type="dxa"/>
            <w:vMerge/>
            <w:tcBorders>
              <w:top w:val="single" w:sz="4" w:space="0" w:color="auto"/>
              <w:left w:val="single" w:sz="4" w:space="0" w:color="auto"/>
              <w:bottom w:val="single" w:sz="4" w:space="0" w:color="auto"/>
              <w:right w:val="single" w:sz="4" w:space="0" w:color="auto"/>
            </w:tcBorders>
            <w:textDirection w:val="lrTb"/>
            <w:vAlign w:val="top"/>
          </w:tcPr>
          <w:p w:rsidR="00320E52" w:rsidRPr="00772706" w:rsidP="00A231F2">
            <w:pPr>
              <w:bidi w:val="0"/>
              <w:spacing w:before="60" w:after="60"/>
              <w:jc w:val="right"/>
              <w:rPr>
                <w:rFonts w:ascii="Times New Roman" w:hAnsi="Times New Roman"/>
                <w:b/>
                <w:bCs/>
                <w:color w:val="000000"/>
                <w:sz w:val="20"/>
                <w:szCs w:val="20"/>
                <w:lang w:eastAsia="zh-CN"/>
              </w:rPr>
            </w:pPr>
          </w:p>
        </w:tc>
      </w:tr>
      <w:tr>
        <w:tblPrEx>
          <w:tblW w:w="13625"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772706" w:rsidP="00A231F2">
            <w:pPr>
              <w:bidi w:val="0"/>
              <w:spacing w:before="60" w:after="60"/>
              <w:jc w:val="right"/>
              <w:rPr>
                <w:rFonts w:ascii="Times New Roman" w:hAnsi="Times New Roman"/>
                <w:b/>
                <w:bCs/>
                <w:color w:val="000000"/>
                <w:sz w:val="20"/>
                <w:szCs w:val="20"/>
                <w:lang w:eastAsia="zh-CN"/>
              </w:rPr>
            </w:pPr>
          </w:p>
        </w:tc>
        <w:tc>
          <w:tcPr>
            <w:tcW w:w="4991" w:type="dxa"/>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772706" w:rsidP="00A231F2">
            <w:pPr>
              <w:bidi w:val="0"/>
              <w:spacing w:before="60" w:after="60"/>
              <w:rPr>
                <w:rFonts w:ascii="Times New Roman" w:hAnsi="Times New Roman"/>
                <w:b/>
                <w:bCs/>
                <w:color w:val="000000"/>
                <w:spacing w:val="-2"/>
                <w:sz w:val="20"/>
                <w:szCs w:val="20"/>
                <w:lang w:eastAsia="zh-CN"/>
              </w:rPr>
            </w:pPr>
            <w:r w:rsidRPr="00772706">
              <w:rPr>
                <w:rFonts w:ascii="Times New Roman" w:hAnsi="Times New Roman"/>
                <w:color w:val="000000"/>
                <w:sz w:val="20"/>
                <w:szCs w:val="20"/>
                <w:lang w:eastAsia="zh-CN"/>
              </w:rPr>
              <w:t xml:space="preserve">   </w:t>
            </w:r>
            <w:r>
              <w:rPr>
                <w:rFonts w:ascii="Times New Roman" w:hAnsi="Times New Roman"/>
                <w:color w:val="000000"/>
                <w:sz w:val="20"/>
                <w:szCs w:val="20"/>
                <w:lang w:eastAsia="zh-CN"/>
              </w:rPr>
              <w:t xml:space="preserve"> </w:t>
            </w:r>
            <w:r w:rsidRPr="00772706">
              <w:rPr>
                <w:rFonts w:ascii="Times New Roman" w:hAnsi="Times New Roman"/>
                <w:color w:val="000000"/>
                <w:spacing w:val="-2"/>
                <w:sz w:val="20"/>
                <w:szCs w:val="20"/>
                <w:lang w:eastAsia="zh-CN"/>
              </w:rPr>
              <w:t>- invalidný dôchodok pre poistencov do 20 rok.</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772706" w:rsidP="00A231F2">
            <w:pPr>
              <w:bidi w:val="0"/>
              <w:spacing w:before="60" w:after="60"/>
              <w:jc w:val="right"/>
              <w:rPr>
                <w:rFonts w:ascii="Times New Roman" w:hAnsi="Times New Roman"/>
                <w:bCs/>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320E52" w:rsidRPr="00C31185" w:rsidP="00243886">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-182 346</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C31185"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-578</w:t>
            </w:r>
            <w:r w:rsidR="004E39C6">
              <w:rPr>
                <w:rFonts w:ascii="Times New Roman" w:hAnsi="Times New Roman"/>
                <w:color w:val="000000"/>
                <w:sz w:val="20"/>
                <w:szCs w:val="20"/>
              </w:rPr>
              <w:t> </w:t>
            </w:r>
            <w:r>
              <w:rPr>
                <w:rFonts w:ascii="Times New Roman" w:hAnsi="Times New Roman"/>
                <w:color w:val="000000"/>
                <w:sz w:val="20"/>
                <w:szCs w:val="20"/>
              </w:rPr>
              <w:t>246</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C31185"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-1 076 395</w:t>
            </w:r>
          </w:p>
        </w:tc>
        <w:tc>
          <w:tcPr>
            <w:tcW w:w="1116" w:type="dxa"/>
            <w:vMerge/>
            <w:tcBorders>
              <w:top w:val="single" w:sz="4" w:space="0" w:color="auto"/>
              <w:left w:val="single" w:sz="4" w:space="0" w:color="auto"/>
              <w:bottom w:val="single" w:sz="4" w:space="0" w:color="auto"/>
              <w:right w:val="single" w:sz="4" w:space="0" w:color="auto"/>
            </w:tcBorders>
            <w:textDirection w:val="lrTb"/>
            <w:vAlign w:val="top"/>
          </w:tcPr>
          <w:p w:rsidR="00320E52" w:rsidRPr="00772706" w:rsidP="00A231F2">
            <w:pPr>
              <w:bidi w:val="0"/>
              <w:spacing w:before="60" w:after="60"/>
              <w:jc w:val="right"/>
              <w:rPr>
                <w:rFonts w:ascii="Times New Roman" w:hAnsi="Times New Roman"/>
                <w:b/>
                <w:bCs/>
                <w:color w:val="000000"/>
                <w:sz w:val="20"/>
                <w:szCs w:val="20"/>
                <w:lang w:eastAsia="zh-CN"/>
              </w:rPr>
            </w:pPr>
          </w:p>
        </w:tc>
      </w:tr>
      <w:tr>
        <w:tblPrEx>
          <w:tblW w:w="13625"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772706" w:rsidP="00A231F2">
            <w:pPr>
              <w:bidi w:val="0"/>
              <w:spacing w:before="60" w:after="60"/>
              <w:jc w:val="right"/>
              <w:rPr>
                <w:rFonts w:ascii="Times New Roman" w:hAnsi="Times New Roman"/>
                <w:b/>
                <w:bCs/>
                <w:color w:val="000000"/>
                <w:sz w:val="20"/>
                <w:szCs w:val="20"/>
                <w:lang w:eastAsia="zh-CN"/>
              </w:rPr>
            </w:pPr>
          </w:p>
        </w:tc>
        <w:tc>
          <w:tcPr>
            <w:tcW w:w="4991" w:type="dxa"/>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C31185" w:rsidP="00A231F2">
            <w:pPr>
              <w:bidi w:val="0"/>
              <w:spacing w:before="60" w:after="60"/>
              <w:rPr>
                <w:rFonts w:ascii="Times New Roman" w:hAnsi="Times New Roman"/>
                <w:b/>
                <w:bCs/>
                <w:color w:val="000000"/>
                <w:sz w:val="20"/>
                <w:szCs w:val="20"/>
                <w:lang w:eastAsia="zh-CN"/>
              </w:rPr>
            </w:pPr>
            <w:r w:rsidRPr="00772706">
              <w:rPr>
                <w:rFonts w:ascii="Times New Roman" w:hAnsi="Times New Roman"/>
                <w:color w:val="000000"/>
                <w:sz w:val="20"/>
                <w:szCs w:val="20"/>
                <w:lang w:eastAsia="zh-CN"/>
              </w:rPr>
              <w:t xml:space="preserve">   </w:t>
            </w:r>
            <w:r>
              <w:rPr>
                <w:rFonts w:ascii="Times New Roman" w:hAnsi="Times New Roman"/>
                <w:color w:val="000000"/>
                <w:sz w:val="20"/>
                <w:szCs w:val="20"/>
                <w:lang w:eastAsia="zh-CN"/>
              </w:rPr>
              <w:t xml:space="preserve"> </w:t>
            </w:r>
            <w:r w:rsidRPr="00772706">
              <w:rPr>
                <w:rFonts w:ascii="Times New Roman" w:hAnsi="Times New Roman"/>
                <w:color w:val="000000"/>
                <w:sz w:val="20"/>
                <w:szCs w:val="20"/>
                <w:lang w:eastAsia="zh-CN"/>
              </w:rPr>
              <w:t>- zmeny v materskom (sadzba - 65% a 40 týž</w:t>
            </w:r>
            <w:r>
              <w:rPr>
                <w:rFonts w:ascii="Times New Roman" w:hAnsi="Times New Roman"/>
                <w:color w:val="000000"/>
                <w:sz w:val="20"/>
                <w:szCs w:val="20"/>
                <w:lang w:eastAsia="zh-CN"/>
              </w:rPr>
              <w:t>.</w:t>
            </w:r>
            <w:r w:rsidRPr="00772706">
              <w:rPr>
                <w:rFonts w:ascii="Times New Roman" w:hAnsi="Times New Roman"/>
                <w:color w:val="000000"/>
                <w:sz w:val="20"/>
                <w:szCs w:val="20"/>
                <w:lang w:eastAsia="zh-CN"/>
              </w:rPr>
              <w:t>)</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C31185" w:rsidP="00A231F2">
            <w:pPr>
              <w:bidi w:val="0"/>
              <w:spacing w:before="60" w:after="60"/>
              <w:jc w:val="right"/>
              <w:rPr>
                <w:rFonts w:ascii="Times New Roman" w:hAnsi="Times New Roman"/>
                <w:bCs/>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hideMark/>
          </w:tcPr>
          <w:p w:rsidR="00320E52" w:rsidRPr="00C31185" w:rsidP="00243886">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37 577 350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C31185"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41 612 943</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C31185"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45 898 975</w:t>
            </w:r>
          </w:p>
        </w:tc>
        <w:tc>
          <w:tcPr>
            <w:tcW w:w="1116" w:type="dxa"/>
            <w:vMerge/>
            <w:tcBorders>
              <w:top w:val="single" w:sz="4" w:space="0" w:color="auto"/>
              <w:left w:val="single" w:sz="4" w:space="0" w:color="auto"/>
              <w:bottom w:val="single" w:sz="4" w:space="0" w:color="auto"/>
              <w:right w:val="single" w:sz="4" w:space="0" w:color="auto"/>
            </w:tcBorders>
            <w:textDirection w:val="lrTb"/>
            <w:vAlign w:val="top"/>
          </w:tcPr>
          <w:p w:rsidR="00320E52" w:rsidRPr="00772706" w:rsidP="00A231F2">
            <w:pPr>
              <w:bidi w:val="0"/>
              <w:spacing w:before="60" w:after="60"/>
              <w:jc w:val="right"/>
              <w:rPr>
                <w:rFonts w:ascii="Times New Roman" w:hAnsi="Times New Roman"/>
                <w:b/>
                <w:bCs/>
                <w:color w:val="000000"/>
                <w:sz w:val="20"/>
                <w:szCs w:val="20"/>
                <w:lang w:eastAsia="zh-CN"/>
              </w:rPr>
            </w:pPr>
          </w:p>
        </w:tc>
      </w:tr>
      <w:tr>
        <w:tblPrEx>
          <w:tblW w:w="13625"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320E52" w:rsidRPr="00772706" w:rsidP="00A231F2">
            <w:pPr>
              <w:bidi w:val="0"/>
              <w:spacing w:before="60" w:after="60"/>
              <w:jc w:val="right"/>
              <w:rPr>
                <w:rFonts w:ascii="Times New Roman" w:hAnsi="Times New Roman"/>
                <w:color w:val="000000"/>
                <w:sz w:val="20"/>
                <w:szCs w:val="20"/>
                <w:lang w:eastAsia="zh-CN"/>
              </w:rPr>
            </w:pPr>
          </w:p>
        </w:tc>
        <w:tc>
          <w:tcPr>
            <w:tcW w:w="4991" w:type="dxa"/>
            <w:tcBorders>
              <w:top w:val="single" w:sz="4" w:space="0" w:color="auto"/>
              <w:left w:val="single" w:sz="4" w:space="0" w:color="auto"/>
              <w:bottom w:val="single" w:sz="4" w:space="0" w:color="auto"/>
              <w:right w:val="single" w:sz="4" w:space="0" w:color="auto"/>
            </w:tcBorders>
            <w:noWrap/>
            <w:textDirection w:val="lrTb"/>
            <w:vAlign w:val="center"/>
          </w:tcPr>
          <w:p w:rsidR="00320E52" w:rsidRPr="00C31185"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 xml:space="preserve">   </w:t>
            </w:r>
            <w:r>
              <w:rPr>
                <w:rFonts w:ascii="Times New Roman" w:hAnsi="Times New Roman"/>
                <w:color w:val="000000"/>
                <w:sz w:val="20"/>
                <w:szCs w:val="20"/>
                <w:lang w:eastAsia="zh-CN"/>
              </w:rPr>
              <w:t xml:space="preserve"> </w:t>
            </w:r>
            <w:r w:rsidRPr="00772706">
              <w:rPr>
                <w:rFonts w:ascii="Times New Roman" w:hAnsi="Times New Roman"/>
                <w:color w:val="000000"/>
                <w:sz w:val="20"/>
                <w:szCs w:val="20"/>
                <w:lang w:eastAsia="zh-CN"/>
              </w:rPr>
              <w:t>- zmeny v dávke v nezamestnanosti</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tcPr>
          <w:p w:rsidR="00320E52" w:rsidRPr="00C31185" w:rsidP="00A231F2">
            <w:pPr>
              <w:bidi w:val="0"/>
              <w:spacing w:before="60" w:after="60"/>
              <w:jc w:val="right"/>
              <w:rPr>
                <w:rFonts w:ascii="Times New Roman" w:hAnsi="Times New Roman"/>
                <w:bCs/>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tcPr>
          <w:p w:rsidR="00320E52" w:rsidRPr="00C31185" w:rsidP="00243886">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7 700 000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320E52" w:rsidRPr="00C31185"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1 200 000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320E52" w:rsidRPr="00C31185"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1 200 000</w:t>
            </w:r>
          </w:p>
        </w:tc>
        <w:tc>
          <w:tcPr>
            <w:tcW w:w="1116" w:type="dxa"/>
            <w:vMerge/>
            <w:tcBorders>
              <w:top w:val="single" w:sz="4" w:space="0" w:color="auto"/>
              <w:left w:val="single" w:sz="4" w:space="0" w:color="auto"/>
              <w:bottom w:val="single" w:sz="4" w:space="0" w:color="auto"/>
              <w:right w:val="single" w:sz="4" w:space="0" w:color="auto"/>
            </w:tcBorders>
            <w:textDirection w:val="lrTb"/>
            <w:vAlign w:val="top"/>
          </w:tcPr>
          <w:p w:rsidR="00320E52" w:rsidRPr="00772706" w:rsidP="00A231F2">
            <w:pPr>
              <w:bidi w:val="0"/>
              <w:spacing w:before="60" w:after="60"/>
              <w:jc w:val="right"/>
              <w:rPr>
                <w:rFonts w:ascii="Times New Roman" w:hAnsi="Times New Roman"/>
                <w:b/>
                <w:bCs/>
                <w:color w:val="000000"/>
                <w:sz w:val="20"/>
                <w:szCs w:val="20"/>
                <w:lang w:eastAsia="zh-CN"/>
              </w:rPr>
            </w:pPr>
          </w:p>
        </w:tc>
      </w:tr>
      <w:tr>
        <w:tblPrEx>
          <w:tblW w:w="13625"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320E52" w:rsidRPr="00772706"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b/>
                <w:bCs/>
                <w:color w:val="000000"/>
                <w:sz w:val="20"/>
                <w:szCs w:val="20"/>
                <w:lang w:eastAsia="zh-CN"/>
              </w:rPr>
              <w:t>720</w:t>
            </w:r>
          </w:p>
        </w:tc>
        <w:tc>
          <w:tcPr>
            <w:tcW w:w="4991" w:type="dxa"/>
            <w:tcBorders>
              <w:top w:val="single" w:sz="4" w:space="0" w:color="auto"/>
              <w:left w:val="single" w:sz="4" w:space="0" w:color="auto"/>
              <w:bottom w:val="single" w:sz="4" w:space="0" w:color="auto"/>
              <w:right w:val="single" w:sz="4" w:space="0" w:color="auto"/>
            </w:tcBorders>
            <w:noWrap/>
            <w:textDirection w:val="lrTb"/>
            <w:vAlign w:val="center"/>
          </w:tcPr>
          <w:p w:rsidR="00320E52" w:rsidRPr="00772706" w:rsidP="00A231F2">
            <w:pPr>
              <w:bidi w:val="0"/>
              <w:spacing w:before="60" w:after="60"/>
              <w:rPr>
                <w:rFonts w:ascii="Times New Roman" w:hAnsi="Times New Roman"/>
                <w:color w:val="000000"/>
                <w:sz w:val="20"/>
                <w:szCs w:val="20"/>
                <w:lang w:eastAsia="zh-CN"/>
              </w:rPr>
            </w:pPr>
            <w:r w:rsidRPr="00772706">
              <w:rPr>
                <w:rFonts w:ascii="Times New Roman" w:hAnsi="Times New Roman"/>
                <w:b/>
                <w:bCs/>
                <w:color w:val="000000"/>
                <w:sz w:val="20"/>
                <w:szCs w:val="20"/>
                <w:lang w:eastAsia="zh-CN"/>
              </w:rPr>
              <w:t>Kapitálové transfery</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tcPr>
          <w:p w:rsidR="00320E52" w:rsidRPr="00C31185"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tcPr>
          <w:p w:rsidR="00320E52" w:rsidRPr="00C31185" w:rsidP="00243886">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-28 376 110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320E52" w:rsidRPr="00C31185"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-30 881 975</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320E52" w:rsidRPr="00C31185"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-34 246 975</w:t>
            </w:r>
          </w:p>
        </w:tc>
        <w:tc>
          <w:tcPr>
            <w:tcW w:w="1116" w:type="dxa"/>
            <w:vMerge/>
            <w:tcBorders>
              <w:top w:val="single" w:sz="4" w:space="0" w:color="auto"/>
              <w:left w:val="single" w:sz="4" w:space="0" w:color="auto"/>
              <w:bottom w:val="single" w:sz="4" w:space="0" w:color="auto"/>
              <w:right w:val="single" w:sz="4" w:space="0" w:color="auto"/>
            </w:tcBorders>
            <w:textDirection w:val="lrTb"/>
            <w:vAlign w:val="top"/>
          </w:tcPr>
          <w:p w:rsidR="00320E52" w:rsidRPr="00772706" w:rsidP="00A231F2">
            <w:pPr>
              <w:bidi w:val="0"/>
              <w:spacing w:before="60" w:after="60"/>
              <w:jc w:val="right"/>
              <w:rPr>
                <w:rFonts w:ascii="Times New Roman" w:hAnsi="Times New Roman"/>
                <w:b/>
                <w:bCs/>
                <w:color w:val="000000"/>
                <w:sz w:val="20"/>
                <w:szCs w:val="20"/>
                <w:lang w:eastAsia="zh-CN"/>
              </w:rPr>
            </w:pPr>
          </w:p>
        </w:tc>
      </w:tr>
      <w:tr>
        <w:tblPrEx>
          <w:tblW w:w="13625"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320E52" w:rsidRPr="00C31185" w:rsidP="00A231F2">
            <w:pPr>
              <w:bidi w:val="0"/>
              <w:spacing w:before="60" w:after="60"/>
              <w:jc w:val="right"/>
              <w:rPr>
                <w:rFonts w:ascii="Times New Roman" w:hAnsi="Times New Roman"/>
                <w:b/>
                <w:bCs/>
                <w:color w:val="000000"/>
                <w:sz w:val="20"/>
                <w:szCs w:val="20"/>
                <w:lang w:eastAsia="zh-CN"/>
              </w:rPr>
            </w:pPr>
            <w:r w:rsidRPr="00772706">
              <w:rPr>
                <w:rFonts w:ascii="Times New Roman" w:hAnsi="Times New Roman"/>
                <w:color w:val="000000"/>
                <w:sz w:val="20"/>
                <w:szCs w:val="20"/>
                <w:lang w:eastAsia="zh-CN"/>
              </w:rPr>
              <w:t>722</w:t>
            </w:r>
          </w:p>
        </w:tc>
        <w:tc>
          <w:tcPr>
            <w:tcW w:w="4991" w:type="dxa"/>
            <w:tcBorders>
              <w:top w:val="single" w:sz="4" w:space="0" w:color="auto"/>
              <w:left w:val="single" w:sz="4" w:space="0" w:color="auto"/>
              <w:bottom w:val="single" w:sz="4" w:space="0" w:color="auto"/>
              <w:right w:val="single" w:sz="4" w:space="0" w:color="auto"/>
            </w:tcBorders>
            <w:noWrap/>
            <w:textDirection w:val="lrTb"/>
            <w:vAlign w:val="center"/>
          </w:tcPr>
          <w:p w:rsidR="00320E52" w:rsidRPr="00C31185" w:rsidP="00A231F2">
            <w:pPr>
              <w:bidi w:val="0"/>
              <w:spacing w:before="60" w:after="60"/>
              <w:rPr>
                <w:rFonts w:ascii="Times New Roman" w:hAnsi="Times New Roman"/>
                <w:b/>
                <w:bCs/>
                <w:color w:val="000000"/>
                <w:sz w:val="20"/>
                <w:szCs w:val="20"/>
                <w:lang w:eastAsia="zh-CN"/>
              </w:rPr>
            </w:pPr>
            <w:r w:rsidRPr="00772706">
              <w:rPr>
                <w:rFonts w:ascii="Times New Roman" w:hAnsi="Times New Roman"/>
                <w:color w:val="000000"/>
                <w:sz w:val="20"/>
                <w:szCs w:val="20"/>
                <w:lang w:eastAsia="zh-CN"/>
              </w:rPr>
              <w:t>Transfery jednotlivcom a neziskovým PO</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tcPr>
          <w:p w:rsidR="00320E52" w:rsidRPr="00C31185" w:rsidP="00A231F2">
            <w:pPr>
              <w:bidi w:val="0"/>
              <w:spacing w:before="60" w:after="60"/>
              <w:jc w:val="right"/>
              <w:rPr>
                <w:rFonts w:ascii="Times New Roman" w:hAnsi="Times New Roman"/>
                <w:bCs/>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tcPr>
          <w:p w:rsidR="00320E52" w:rsidRPr="00C31185" w:rsidP="00243886">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-28 376 110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320E52" w:rsidRPr="00C31185"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-30 881 975</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320E52" w:rsidRPr="00C31185"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-34 246 975</w:t>
            </w:r>
          </w:p>
        </w:tc>
        <w:tc>
          <w:tcPr>
            <w:tcW w:w="1116" w:type="dxa"/>
            <w:vMerge/>
            <w:tcBorders>
              <w:top w:val="single" w:sz="4" w:space="0" w:color="auto"/>
              <w:left w:val="single" w:sz="4" w:space="0" w:color="auto"/>
              <w:bottom w:val="single" w:sz="4" w:space="0" w:color="auto"/>
              <w:right w:val="single" w:sz="4" w:space="0" w:color="auto"/>
            </w:tcBorders>
            <w:textDirection w:val="lrTb"/>
            <w:vAlign w:val="top"/>
          </w:tcPr>
          <w:p w:rsidR="00320E52" w:rsidRPr="00772706" w:rsidP="00A231F2">
            <w:pPr>
              <w:bidi w:val="0"/>
              <w:spacing w:before="60" w:after="60"/>
              <w:jc w:val="right"/>
              <w:rPr>
                <w:rFonts w:ascii="Times New Roman" w:hAnsi="Times New Roman"/>
                <w:b/>
                <w:bCs/>
                <w:color w:val="000000"/>
                <w:sz w:val="20"/>
                <w:szCs w:val="20"/>
                <w:lang w:eastAsia="zh-CN"/>
              </w:rPr>
            </w:pPr>
          </w:p>
        </w:tc>
      </w:tr>
      <w:tr>
        <w:tblPrEx>
          <w:tblW w:w="13625"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320E52" w:rsidRPr="00C31185"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722004</w:t>
            </w:r>
          </w:p>
        </w:tc>
        <w:tc>
          <w:tcPr>
            <w:tcW w:w="4991" w:type="dxa"/>
            <w:tcBorders>
              <w:top w:val="single" w:sz="4" w:space="0" w:color="auto"/>
              <w:left w:val="single" w:sz="4" w:space="0" w:color="auto"/>
              <w:bottom w:val="single" w:sz="4" w:space="0" w:color="auto"/>
              <w:right w:val="single" w:sz="4" w:space="0" w:color="auto"/>
            </w:tcBorders>
            <w:noWrap/>
            <w:textDirection w:val="lrTb"/>
            <w:vAlign w:val="center"/>
          </w:tcPr>
          <w:p w:rsidR="00320E52" w:rsidRPr="00C31185"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Jednotlivcovi</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tcPr>
          <w:p w:rsidR="00320E52" w:rsidRPr="00772706" w:rsidP="00A231F2">
            <w:pPr>
              <w:bidi w:val="0"/>
              <w:spacing w:before="60" w:after="60"/>
              <w:jc w:val="right"/>
              <w:rPr>
                <w:rFonts w:ascii="Times New Roman" w:hAnsi="Times New Roman"/>
                <w:bCs/>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tcPr>
          <w:p w:rsidR="00320E52" w:rsidRPr="00C31185" w:rsidP="00243886">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-28 376 110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320E52" w:rsidRPr="00C31185"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-30 881 975</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320E52" w:rsidRPr="00C31185"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-34 246 975</w:t>
            </w:r>
          </w:p>
        </w:tc>
        <w:tc>
          <w:tcPr>
            <w:tcW w:w="1116" w:type="dxa"/>
            <w:vMerge/>
            <w:tcBorders>
              <w:top w:val="single" w:sz="4" w:space="0" w:color="auto"/>
              <w:left w:val="single" w:sz="4" w:space="0" w:color="auto"/>
              <w:bottom w:val="single" w:sz="4" w:space="0" w:color="auto"/>
              <w:right w:val="single" w:sz="4" w:space="0" w:color="auto"/>
            </w:tcBorders>
            <w:textDirection w:val="lrTb"/>
            <w:vAlign w:val="top"/>
          </w:tcPr>
          <w:p w:rsidR="00320E52" w:rsidRPr="00772706" w:rsidP="00A231F2">
            <w:pPr>
              <w:bidi w:val="0"/>
              <w:spacing w:before="60" w:after="60"/>
              <w:jc w:val="right"/>
              <w:rPr>
                <w:rFonts w:ascii="Times New Roman" w:hAnsi="Times New Roman"/>
                <w:b/>
                <w:bCs/>
                <w:color w:val="000000"/>
                <w:sz w:val="20"/>
                <w:szCs w:val="20"/>
                <w:lang w:eastAsia="zh-CN"/>
              </w:rPr>
            </w:pPr>
          </w:p>
        </w:tc>
      </w:tr>
      <w:tr>
        <w:tblPrEx>
          <w:tblW w:w="13625"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320E52" w:rsidRPr="00772706"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b/>
                <w:bCs/>
                <w:color w:val="000000"/>
                <w:sz w:val="20"/>
                <w:szCs w:val="20"/>
                <w:lang w:eastAsia="zh-CN"/>
              </w:rPr>
              <w:t>800</w:t>
            </w:r>
          </w:p>
        </w:tc>
        <w:tc>
          <w:tcPr>
            <w:tcW w:w="4991" w:type="dxa"/>
            <w:tcBorders>
              <w:top w:val="single" w:sz="4" w:space="0" w:color="auto"/>
              <w:left w:val="single" w:sz="4" w:space="0" w:color="auto"/>
              <w:bottom w:val="single" w:sz="4" w:space="0" w:color="auto"/>
              <w:right w:val="single" w:sz="4" w:space="0" w:color="auto"/>
            </w:tcBorders>
            <w:noWrap/>
            <w:textDirection w:val="lrTb"/>
            <w:vAlign w:val="center"/>
          </w:tcPr>
          <w:p w:rsidR="00320E52" w:rsidRPr="00772706" w:rsidP="00A231F2">
            <w:pPr>
              <w:bidi w:val="0"/>
              <w:spacing w:before="60" w:after="60"/>
              <w:rPr>
                <w:rFonts w:ascii="Times New Roman" w:hAnsi="Times New Roman"/>
                <w:color w:val="000000"/>
                <w:sz w:val="20"/>
                <w:szCs w:val="20"/>
                <w:lang w:eastAsia="zh-CN"/>
              </w:rPr>
            </w:pPr>
            <w:r w:rsidRPr="00C31185">
              <w:rPr>
                <w:rFonts w:ascii="Times New Roman" w:hAnsi="Times New Roman"/>
                <w:b/>
                <w:bCs/>
                <w:color w:val="000000"/>
                <w:sz w:val="20"/>
                <w:szCs w:val="20"/>
                <w:lang w:eastAsia="zh-CN"/>
              </w:rPr>
              <w:t>Výdavky z</w:t>
            </w:r>
            <w:r>
              <w:rPr>
                <w:rFonts w:ascii="Times New Roman" w:hAnsi="Times New Roman"/>
                <w:b/>
                <w:bCs/>
                <w:color w:val="000000"/>
                <w:sz w:val="20"/>
                <w:szCs w:val="20"/>
                <w:lang w:eastAsia="zh-CN"/>
              </w:rPr>
              <w:t> </w:t>
            </w:r>
            <w:r w:rsidRPr="00C31185">
              <w:rPr>
                <w:rFonts w:ascii="Times New Roman" w:hAnsi="Times New Roman"/>
                <w:b/>
                <w:bCs/>
                <w:color w:val="000000"/>
                <w:sz w:val="20"/>
                <w:szCs w:val="20"/>
                <w:lang w:eastAsia="zh-CN"/>
              </w:rPr>
              <w:t>trans</w:t>
            </w:r>
            <w:r>
              <w:rPr>
                <w:rFonts w:ascii="Times New Roman" w:hAnsi="Times New Roman"/>
                <w:b/>
                <w:bCs/>
                <w:color w:val="000000"/>
                <w:sz w:val="20"/>
                <w:szCs w:val="20"/>
                <w:lang w:eastAsia="zh-CN"/>
              </w:rPr>
              <w:t>.</w:t>
            </w:r>
            <w:r w:rsidRPr="00C31185">
              <w:rPr>
                <w:rFonts w:ascii="Times New Roman" w:hAnsi="Times New Roman"/>
                <w:b/>
                <w:bCs/>
                <w:color w:val="000000"/>
                <w:sz w:val="20"/>
                <w:szCs w:val="20"/>
                <w:lang w:eastAsia="zh-CN"/>
              </w:rPr>
              <w:t xml:space="preserve"> s fin. aktívami a pasívami</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tcPr>
          <w:p w:rsidR="00320E52" w:rsidRPr="00C31185"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tcPr>
          <w:p w:rsidR="00320E52" w:rsidRPr="00C31185" w:rsidP="00243886">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-48 099 000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320E52" w:rsidRPr="00C31185"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-50 976 000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320E52" w:rsidRPr="00C31185"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-54 341 000</w:t>
            </w:r>
          </w:p>
        </w:tc>
        <w:tc>
          <w:tcPr>
            <w:tcW w:w="1116" w:type="dxa"/>
            <w:vMerge/>
            <w:tcBorders>
              <w:top w:val="single" w:sz="4" w:space="0" w:color="auto"/>
              <w:left w:val="single" w:sz="4" w:space="0" w:color="auto"/>
              <w:bottom w:val="single" w:sz="4" w:space="0" w:color="auto"/>
              <w:right w:val="single" w:sz="4" w:space="0" w:color="auto"/>
            </w:tcBorders>
            <w:textDirection w:val="lrTb"/>
            <w:vAlign w:val="top"/>
          </w:tcPr>
          <w:p w:rsidR="00320E52" w:rsidRPr="00772706" w:rsidP="00A231F2">
            <w:pPr>
              <w:bidi w:val="0"/>
              <w:spacing w:before="60" w:after="60"/>
              <w:jc w:val="right"/>
              <w:rPr>
                <w:rFonts w:ascii="Times New Roman" w:hAnsi="Times New Roman"/>
                <w:b/>
                <w:bCs/>
                <w:color w:val="000000"/>
                <w:sz w:val="20"/>
                <w:szCs w:val="20"/>
                <w:lang w:eastAsia="zh-CN"/>
              </w:rPr>
            </w:pPr>
          </w:p>
        </w:tc>
      </w:tr>
      <w:tr>
        <w:tblPrEx>
          <w:tblW w:w="13625"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320E52" w:rsidRPr="00C31185" w:rsidP="00A231F2">
            <w:pPr>
              <w:bidi w:val="0"/>
              <w:spacing w:before="60" w:after="60"/>
              <w:jc w:val="right"/>
              <w:rPr>
                <w:rFonts w:ascii="Times New Roman" w:hAnsi="Times New Roman"/>
                <w:b/>
                <w:bCs/>
                <w:color w:val="000000"/>
                <w:sz w:val="20"/>
                <w:szCs w:val="20"/>
                <w:lang w:eastAsia="zh-CN"/>
              </w:rPr>
            </w:pPr>
            <w:r w:rsidRPr="00772706">
              <w:rPr>
                <w:rFonts w:ascii="Times New Roman" w:hAnsi="Times New Roman"/>
                <w:color w:val="000000"/>
                <w:sz w:val="20"/>
                <w:szCs w:val="20"/>
                <w:lang w:eastAsia="zh-CN"/>
              </w:rPr>
              <w:t>813</w:t>
            </w:r>
          </w:p>
        </w:tc>
        <w:tc>
          <w:tcPr>
            <w:tcW w:w="4991" w:type="dxa"/>
            <w:tcBorders>
              <w:top w:val="single" w:sz="4" w:space="0" w:color="auto"/>
              <w:left w:val="single" w:sz="4" w:space="0" w:color="auto"/>
              <w:bottom w:val="single" w:sz="4" w:space="0" w:color="auto"/>
              <w:right w:val="single" w:sz="4" w:space="0" w:color="auto"/>
            </w:tcBorders>
            <w:noWrap/>
            <w:textDirection w:val="lrTb"/>
            <w:vAlign w:val="center"/>
          </w:tcPr>
          <w:p w:rsidR="00320E52" w:rsidRPr="00C31185" w:rsidP="00A231F2">
            <w:pPr>
              <w:bidi w:val="0"/>
              <w:spacing w:before="60" w:after="60"/>
              <w:rPr>
                <w:rFonts w:ascii="Times New Roman" w:hAnsi="Times New Roman"/>
                <w:b/>
                <w:bCs/>
                <w:color w:val="000000"/>
                <w:sz w:val="20"/>
                <w:szCs w:val="20"/>
                <w:lang w:eastAsia="zh-CN"/>
              </w:rPr>
            </w:pPr>
            <w:r w:rsidRPr="00772706">
              <w:rPr>
                <w:rFonts w:ascii="Times New Roman" w:hAnsi="Times New Roman"/>
                <w:color w:val="000000"/>
                <w:sz w:val="20"/>
                <w:szCs w:val="20"/>
                <w:lang w:eastAsia="zh-CN"/>
              </w:rPr>
              <w:t>Úvery, pôžičky a návratné fin</w:t>
            </w:r>
            <w:r>
              <w:rPr>
                <w:rFonts w:ascii="Times New Roman" w:hAnsi="Times New Roman"/>
                <w:color w:val="000000"/>
                <w:sz w:val="20"/>
                <w:szCs w:val="20"/>
                <w:lang w:eastAsia="zh-CN"/>
              </w:rPr>
              <w:t>.</w:t>
            </w:r>
            <w:r w:rsidRPr="00772706">
              <w:rPr>
                <w:rFonts w:ascii="Times New Roman" w:hAnsi="Times New Roman"/>
                <w:color w:val="000000"/>
                <w:sz w:val="20"/>
                <w:szCs w:val="20"/>
                <w:lang w:eastAsia="zh-CN"/>
              </w:rPr>
              <w:t xml:space="preserve"> výpomoci (z GP)</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tcPr>
          <w:p w:rsidR="00320E52" w:rsidRPr="00772706" w:rsidP="00A231F2">
            <w:pPr>
              <w:bidi w:val="0"/>
              <w:spacing w:before="60" w:after="60"/>
              <w:jc w:val="right"/>
              <w:rPr>
                <w:rFonts w:ascii="Times New Roman" w:hAnsi="Times New Roman"/>
                <w:bCs/>
                <w:color w:val="000000"/>
                <w:sz w:val="20"/>
                <w:szCs w:val="20"/>
                <w:lang w:eastAsia="zh-CN"/>
              </w:rPr>
            </w:pPr>
            <w:r>
              <w:rPr>
                <w:rFonts w:ascii="Times New Roman" w:hAnsi="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tcPr>
          <w:p w:rsidR="00320E52" w:rsidRPr="00C31185" w:rsidP="00243886">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-48 099 000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320E52" w:rsidRPr="00C31185"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-50 976 000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320E52" w:rsidRPr="00C31185"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-54 341 000</w:t>
            </w:r>
          </w:p>
        </w:tc>
        <w:tc>
          <w:tcPr>
            <w:tcW w:w="1116" w:type="dxa"/>
            <w:vMerge/>
            <w:tcBorders>
              <w:top w:val="single" w:sz="4" w:space="0" w:color="auto"/>
              <w:left w:val="single" w:sz="4" w:space="0" w:color="auto"/>
              <w:bottom w:val="single" w:sz="4" w:space="0" w:color="auto"/>
              <w:right w:val="single" w:sz="4" w:space="0" w:color="auto"/>
            </w:tcBorders>
            <w:textDirection w:val="lrTb"/>
            <w:vAlign w:val="top"/>
          </w:tcPr>
          <w:p w:rsidR="00320E52" w:rsidRPr="00772706" w:rsidP="00A231F2">
            <w:pPr>
              <w:bidi w:val="0"/>
              <w:spacing w:before="60" w:after="60"/>
              <w:jc w:val="right"/>
              <w:rPr>
                <w:rFonts w:ascii="Times New Roman" w:hAnsi="Times New Roman"/>
                <w:b/>
                <w:bCs/>
                <w:color w:val="000000"/>
                <w:sz w:val="20"/>
                <w:szCs w:val="20"/>
                <w:lang w:eastAsia="zh-CN"/>
              </w:rPr>
            </w:pPr>
          </w:p>
        </w:tc>
      </w:tr>
      <w:tr>
        <w:tblPrEx>
          <w:tblW w:w="13625"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BB13C3" w:rsidRPr="00772706"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b/>
                <w:bCs/>
                <w:color w:val="000000"/>
                <w:sz w:val="20"/>
                <w:szCs w:val="20"/>
                <w:lang w:eastAsia="zh-CN"/>
              </w:rPr>
              <w:t>600+720</w:t>
            </w:r>
          </w:p>
        </w:tc>
        <w:tc>
          <w:tcPr>
            <w:tcW w:w="4991" w:type="dxa"/>
            <w:tcBorders>
              <w:top w:val="single" w:sz="4" w:space="0" w:color="auto"/>
              <w:left w:val="single" w:sz="4" w:space="0" w:color="auto"/>
              <w:bottom w:val="single" w:sz="4" w:space="0" w:color="auto"/>
              <w:right w:val="single" w:sz="4" w:space="0" w:color="auto"/>
            </w:tcBorders>
            <w:noWrap/>
            <w:textDirection w:val="lrTb"/>
            <w:vAlign w:val="center"/>
          </w:tcPr>
          <w:p w:rsidR="00BB13C3" w:rsidRPr="00772706" w:rsidP="00A231F2">
            <w:pPr>
              <w:bidi w:val="0"/>
              <w:spacing w:before="60" w:after="60"/>
              <w:rPr>
                <w:rFonts w:ascii="Times New Roman" w:hAnsi="Times New Roman"/>
                <w:color w:val="000000"/>
                <w:sz w:val="20"/>
                <w:szCs w:val="20"/>
                <w:lang w:eastAsia="zh-CN"/>
              </w:rPr>
            </w:pPr>
            <w:r w:rsidRPr="00C31185">
              <w:rPr>
                <w:rFonts w:ascii="Times New Roman" w:hAnsi="Times New Roman"/>
                <w:b/>
                <w:bCs/>
                <w:color w:val="000000"/>
                <w:sz w:val="20"/>
                <w:szCs w:val="20"/>
                <w:lang w:eastAsia="zh-CN"/>
              </w:rPr>
              <w:t>Celkový vplyv bez 400,800</w:t>
            </w:r>
          </w:p>
        </w:tc>
        <w:tc>
          <w:tcPr>
            <w:tcW w:w="1572" w:type="dxa"/>
            <w:tcBorders>
              <w:top w:val="single" w:sz="4" w:space="0" w:color="auto"/>
              <w:left w:val="single" w:sz="4" w:space="0" w:color="auto"/>
              <w:bottom w:val="single" w:sz="4" w:space="0" w:color="auto"/>
              <w:right w:val="single" w:sz="4" w:space="0" w:color="auto"/>
            </w:tcBorders>
            <w:noWrap/>
            <w:textDirection w:val="lrTb"/>
            <w:vAlign w:val="center"/>
          </w:tcPr>
          <w:p w:rsidR="00BB13C3" w:rsidRPr="00C31185"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bottom"/>
          </w:tcPr>
          <w:p w:rsidR="00BB13C3" w:rsidRPr="00845336" w:rsidP="00243886">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1 342 970 646</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BB13C3" w:rsidP="00E773DB">
            <w:pPr>
              <w:bidi w:val="0"/>
              <w:spacing w:before="60" w:after="60"/>
              <w:jc w:val="right"/>
              <w:rPr>
                <w:rFonts w:ascii="Times New Roman" w:hAnsi="Times New Roman"/>
                <w:b/>
                <w:bCs/>
                <w:color w:val="000000"/>
                <w:sz w:val="20"/>
                <w:szCs w:val="20"/>
              </w:rPr>
            </w:pPr>
            <w:r w:rsidR="00E773DB">
              <w:rPr>
                <w:rFonts w:ascii="Times New Roman" w:hAnsi="Times New Roman"/>
                <w:b/>
                <w:bCs/>
                <w:color w:val="000000"/>
                <w:sz w:val="20"/>
                <w:szCs w:val="20"/>
              </w:rPr>
              <w:t> </w:t>
            </w:r>
          </w:p>
          <w:p w:rsidR="00E773DB" w:rsidRPr="00845336" w:rsidP="00E773DB">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1 340 088 524</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BB13C3" w:rsidP="00E773DB">
            <w:pPr>
              <w:bidi w:val="0"/>
              <w:spacing w:before="60" w:after="60"/>
              <w:jc w:val="right"/>
              <w:rPr>
                <w:rFonts w:ascii="Times New Roman" w:hAnsi="Times New Roman"/>
                <w:b/>
                <w:bCs/>
                <w:color w:val="000000"/>
                <w:sz w:val="20"/>
                <w:szCs w:val="20"/>
              </w:rPr>
            </w:pPr>
            <w:r w:rsidR="00E773DB">
              <w:rPr>
                <w:rFonts w:ascii="Times New Roman" w:hAnsi="Times New Roman"/>
                <w:b/>
                <w:bCs/>
                <w:color w:val="000000"/>
                <w:sz w:val="20"/>
                <w:szCs w:val="20"/>
              </w:rPr>
              <w:t> </w:t>
            </w:r>
          </w:p>
          <w:p w:rsidR="00E773DB" w:rsidRPr="00845336" w:rsidP="00E773DB">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1 351 791 780</w:t>
            </w:r>
          </w:p>
        </w:tc>
        <w:tc>
          <w:tcPr>
            <w:tcW w:w="1116" w:type="dxa"/>
            <w:vMerge/>
            <w:tcBorders>
              <w:top w:val="single" w:sz="4" w:space="0" w:color="auto"/>
              <w:left w:val="single" w:sz="4" w:space="0" w:color="auto"/>
              <w:bottom w:val="single" w:sz="4" w:space="0" w:color="auto"/>
              <w:right w:val="single" w:sz="4" w:space="0" w:color="auto"/>
            </w:tcBorders>
            <w:textDirection w:val="lrTb"/>
            <w:vAlign w:val="top"/>
          </w:tcPr>
          <w:p w:rsidR="00BB13C3" w:rsidRPr="00772706" w:rsidP="00A231F2">
            <w:pPr>
              <w:bidi w:val="0"/>
              <w:spacing w:before="60" w:after="60"/>
              <w:jc w:val="right"/>
              <w:rPr>
                <w:rFonts w:ascii="Times New Roman" w:hAnsi="Times New Roman"/>
                <w:b/>
                <w:bCs/>
                <w:color w:val="000000"/>
                <w:sz w:val="20"/>
                <w:szCs w:val="20"/>
                <w:lang w:eastAsia="zh-CN"/>
              </w:rPr>
            </w:pPr>
          </w:p>
        </w:tc>
      </w:tr>
    </w:tbl>
    <w:p w:rsidR="003C536B" w:rsidP="00A86C7E">
      <w:pPr>
        <w:bidi w:val="0"/>
        <w:spacing w:after="120"/>
        <w:jc w:val="both"/>
        <w:rPr>
          <w:rFonts w:ascii="Times New Roman" w:hAnsi="Times New Roman"/>
          <w:color w:val="000000"/>
        </w:rPr>
        <w:sectPr w:rsidSect="006727E0">
          <w:pgSz w:w="16838" w:h="11906" w:orient="landscape"/>
          <w:pgMar w:top="1417" w:right="1954" w:bottom="1417" w:left="993" w:header="708" w:footer="708" w:gutter="0"/>
          <w:lnNumType w:distance="0"/>
          <w:pgNumType w:start="0"/>
          <w:cols w:space="708"/>
          <w:noEndnote w:val="0"/>
          <w:titlePg/>
          <w:bidi w:val="0"/>
          <w:docGrid w:linePitch="360"/>
        </w:sectPr>
      </w:pPr>
    </w:p>
    <w:p w:rsidR="00A22617" w:rsidRPr="00A86C7E" w:rsidP="00F569C0">
      <w:pPr>
        <w:pStyle w:val="NormalWeb"/>
        <w:bidi w:val="0"/>
        <w:spacing w:before="0" w:beforeAutospacing="0" w:after="120" w:afterAutospacing="0"/>
        <w:rPr>
          <w:rFonts w:ascii="Times New Roman" w:hAnsi="Times New Roman"/>
          <w:color w:val="0070C0"/>
          <w:sz w:val="20"/>
          <w:szCs w:val="20"/>
        </w:rPr>
      </w:pPr>
      <w:r w:rsidRPr="00A86C7E">
        <w:rPr>
          <w:rFonts w:ascii="Times New Roman" w:hAnsi="Times New Roman"/>
          <w:b/>
          <w:color w:val="0070C0"/>
        </w:rPr>
        <w:t>Najdôležitejšie výpočty</w:t>
      </w:r>
      <w:r w:rsidRPr="00A86C7E">
        <w:rPr>
          <w:rFonts w:ascii="Times New Roman" w:hAnsi="Times New Roman"/>
          <w:b/>
          <w:bCs/>
          <w:color w:val="0070C0"/>
        </w:rPr>
        <w:t xml:space="preserve"> vo vzťahu k návrhu novely zákona o zdravotnom poistení</w:t>
      </w:r>
      <w:r w:rsidRPr="00A86C7E">
        <w:rPr>
          <w:rFonts w:ascii="Times New Roman" w:hAnsi="Times New Roman"/>
          <w:color w:val="0070C0"/>
          <w:sz w:val="20"/>
          <w:szCs w:val="20"/>
        </w:rPr>
        <w:t xml:space="preserve"> </w:t>
      </w:r>
    </w:p>
    <w:p w:rsidR="00924823" w:rsidP="00924823">
      <w:pPr>
        <w:autoSpaceDE w:val="0"/>
        <w:autoSpaceDN w:val="0"/>
        <w:bidi w:val="0"/>
        <w:adjustRightInd w:val="0"/>
        <w:jc w:val="both"/>
        <w:rPr>
          <w:rFonts w:ascii="Times New Roman" w:hAnsi="Times New Roman"/>
          <w:szCs w:val="22"/>
        </w:rPr>
      </w:pPr>
      <w:r w:rsidR="00E62E7A">
        <w:rPr>
          <w:rFonts w:ascii="Times New Roman" w:hAnsi="Times New Roman"/>
          <w:szCs w:val="22"/>
        </w:rPr>
        <w:t xml:space="preserve">     </w:t>
      </w:r>
      <w:r w:rsidRPr="001649F0">
        <w:rPr>
          <w:rFonts w:ascii="Times New Roman" w:hAnsi="Times New Roman"/>
          <w:szCs w:val="22"/>
        </w:rPr>
        <w:t xml:space="preserve">Kvantifikácia predpokladá </w:t>
      </w:r>
      <w:r>
        <w:rPr>
          <w:rFonts w:ascii="Times New Roman" w:hAnsi="Times New Roman"/>
          <w:szCs w:val="22"/>
        </w:rPr>
        <w:t>neutrálny</w:t>
      </w:r>
      <w:r w:rsidRPr="001649F0">
        <w:rPr>
          <w:rFonts w:ascii="Times New Roman" w:hAnsi="Times New Roman"/>
          <w:szCs w:val="22"/>
        </w:rPr>
        <w:t xml:space="preserve"> vplyv </w:t>
      </w:r>
      <w:r>
        <w:rPr>
          <w:rFonts w:ascii="Times New Roman" w:hAnsi="Times New Roman"/>
          <w:szCs w:val="22"/>
        </w:rPr>
        <w:t>na objem zdrojov</w:t>
      </w:r>
      <w:r w:rsidR="00E62E7A">
        <w:rPr>
          <w:rFonts w:ascii="Times New Roman" w:hAnsi="Times New Roman"/>
          <w:szCs w:val="22"/>
        </w:rPr>
        <w:t>,</w:t>
      </w:r>
      <w:r>
        <w:rPr>
          <w:rFonts w:ascii="Times New Roman" w:hAnsi="Times New Roman"/>
          <w:szCs w:val="22"/>
        </w:rPr>
        <w:t xml:space="preserve"> nakoľko výpadok príjmov od ekonomicky aktívnych vo výške </w:t>
      </w:r>
      <w:r w:rsidR="00A70079">
        <w:rPr>
          <w:rFonts w:ascii="Times New Roman" w:hAnsi="Times New Roman"/>
          <w:szCs w:val="22"/>
        </w:rPr>
        <w:t xml:space="preserve">260 </w:t>
      </w:r>
      <w:r>
        <w:rPr>
          <w:rFonts w:ascii="Times New Roman" w:hAnsi="Times New Roman"/>
          <w:szCs w:val="22"/>
        </w:rPr>
        <w:t>mil. eur je kompenzovaný platbou štátu za poistencov štátu. Koncepcia predpokladala minimálne sadzbu 4,26</w:t>
      </w:r>
      <w:r w:rsidR="00E62E7A">
        <w:rPr>
          <w:rFonts w:ascii="Times New Roman" w:hAnsi="Times New Roman"/>
          <w:szCs w:val="22"/>
        </w:rPr>
        <w:t xml:space="preserve"> </w:t>
      </w:r>
      <w:r>
        <w:rPr>
          <w:rFonts w:ascii="Times New Roman" w:hAnsi="Times New Roman"/>
          <w:szCs w:val="22"/>
        </w:rPr>
        <w:t xml:space="preserve">% z vymeriavacieho základu zo superhrubej mzdy. Výška poistného (sadzby poistného) plateného štátom za poistencov štátu </w:t>
      </w:r>
      <w:r w:rsidRPr="00D91526">
        <w:rPr>
          <w:rFonts w:ascii="Times New Roman" w:hAnsi="Times New Roman"/>
        </w:rPr>
        <w:t>uvedených v § 11 ods. 7 zákona č. 580/2004 Z. z. o zdravotnom poistení</w:t>
      </w:r>
      <w:r w:rsidRPr="00A86C7E" w:rsidR="00D91526">
        <w:rPr>
          <w:rFonts w:ascii="Times New Roman" w:hAnsi="Times New Roman"/>
          <w:color w:val="000000"/>
        </w:rPr>
        <w:t xml:space="preserve"> a o zmene a doplnení zákona č. 95/2002 Z. z. o poisťovníctve a o zmene a doplnení niektorých zákonov</w:t>
      </w:r>
      <w:r w:rsidR="00D91526">
        <w:rPr>
          <w:rFonts w:ascii="Times New Roman" w:hAnsi="Times New Roman"/>
          <w:color w:val="000000"/>
        </w:rPr>
        <w:t xml:space="preserve"> v znení neskorších predpisov</w:t>
      </w:r>
      <w:r w:rsidRPr="00D91526">
        <w:rPr>
          <w:rFonts w:ascii="Times New Roman" w:hAnsi="Times New Roman"/>
        </w:rPr>
        <w:t>, ktorých je v súčasnosti 3 300 000, ktorá nebude len ako kompenzácia za výpadok príjmov</w:t>
      </w:r>
      <w:r>
        <w:rPr>
          <w:rFonts w:ascii="Times New Roman" w:hAnsi="Times New Roman"/>
          <w:szCs w:val="22"/>
        </w:rPr>
        <w:t xml:space="preserve"> zdravotných poisťovní zavedením superhrubej mzdy, je predmetom rokovaní o štátnom rozpočte.</w:t>
      </w:r>
    </w:p>
    <w:p w:rsidR="00A22617" w:rsidP="00BB13FB">
      <w:pPr>
        <w:autoSpaceDE w:val="0"/>
        <w:autoSpaceDN w:val="0"/>
        <w:bidi w:val="0"/>
        <w:adjustRightInd w:val="0"/>
        <w:jc w:val="both"/>
        <w:rPr>
          <w:rFonts w:ascii="Times New Roman" w:hAnsi="Times New Roman"/>
          <w:b/>
          <w:szCs w:val="22"/>
        </w:rPr>
      </w:pPr>
    </w:p>
    <w:p w:rsidR="00A22617" w:rsidRPr="000935BB" w:rsidP="000935BB">
      <w:pPr>
        <w:bidi w:val="0"/>
        <w:spacing w:after="120"/>
        <w:jc w:val="both"/>
        <w:rPr>
          <w:rFonts w:ascii="Times New Roman" w:hAnsi="Times New Roman"/>
          <w:u w:val="single"/>
        </w:rPr>
      </w:pPr>
      <w:r>
        <w:rPr>
          <w:rFonts w:ascii="Times New Roman" w:hAnsi="Times New Roman"/>
          <w:u w:val="single"/>
        </w:rPr>
        <w:t xml:space="preserve">I. </w:t>
      </w:r>
      <w:r w:rsidRPr="000935BB">
        <w:rPr>
          <w:rFonts w:ascii="Times New Roman" w:hAnsi="Times New Roman"/>
          <w:u w:val="single"/>
        </w:rPr>
        <w:t>Kvantifikácia príjmov</w:t>
      </w:r>
    </w:p>
    <w:p w:rsidR="00924823" w:rsidP="00924823">
      <w:pPr>
        <w:autoSpaceDE w:val="0"/>
        <w:autoSpaceDN w:val="0"/>
        <w:bidi w:val="0"/>
        <w:adjustRightInd w:val="0"/>
        <w:ind w:firstLine="284"/>
        <w:jc w:val="both"/>
        <w:rPr>
          <w:rFonts w:ascii="Times New Roman" w:hAnsi="Times New Roman"/>
          <w:color w:val="000000"/>
          <w:szCs w:val="22"/>
        </w:rPr>
      </w:pPr>
      <w:r w:rsidRPr="001649F0" w:rsidR="00A22617">
        <w:rPr>
          <w:rFonts w:ascii="Times New Roman" w:hAnsi="Times New Roman"/>
          <w:szCs w:val="22"/>
        </w:rPr>
        <w:t xml:space="preserve">Keďže návrh opatrení </w:t>
      </w:r>
      <w:r w:rsidR="00A22617">
        <w:rPr>
          <w:rFonts w:ascii="Times New Roman" w:hAnsi="Times New Roman"/>
          <w:szCs w:val="22"/>
        </w:rPr>
        <w:t xml:space="preserve">mení podstatným spôsobom </w:t>
      </w:r>
      <w:r w:rsidRPr="001649F0" w:rsidR="00A22617">
        <w:rPr>
          <w:rFonts w:ascii="Times New Roman" w:hAnsi="Times New Roman"/>
          <w:szCs w:val="22"/>
        </w:rPr>
        <w:t>základ</w:t>
      </w:r>
      <w:r w:rsidR="00D91526">
        <w:rPr>
          <w:rFonts w:ascii="Times New Roman" w:hAnsi="Times New Roman"/>
          <w:szCs w:val="22"/>
        </w:rPr>
        <w:t>ňu</w:t>
      </w:r>
      <w:r w:rsidRPr="001649F0" w:rsidR="00A22617">
        <w:rPr>
          <w:rFonts w:ascii="Times New Roman" w:hAnsi="Times New Roman"/>
          <w:szCs w:val="22"/>
        </w:rPr>
        <w:t xml:space="preserve"> pre výpočet </w:t>
      </w:r>
      <w:r w:rsidR="00A22617">
        <w:rPr>
          <w:rFonts w:ascii="Times New Roman" w:hAnsi="Times New Roman"/>
          <w:szCs w:val="22"/>
        </w:rPr>
        <w:t xml:space="preserve">poistného, </w:t>
      </w:r>
      <w:r w:rsidRPr="001649F0" w:rsidR="00A22617">
        <w:rPr>
          <w:rFonts w:ascii="Times New Roman" w:hAnsi="Times New Roman"/>
          <w:szCs w:val="22"/>
        </w:rPr>
        <w:t>zvyšuje</w:t>
      </w:r>
      <w:r w:rsidR="00A22617">
        <w:rPr>
          <w:rFonts w:ascii="Times New Roman" w:hAnsi="Times New Roman"/>
          <w:szCs w:val="22"/>
        </w:rPr>
        <w:t xml:space="preserve"> odvodov</w:t>
      </w:r>
      <w:r w:rsidRPr="001649F0" w:rsidR="00A22617">
        <w:rPr>
          <w:rFonts w:ascii="Times New Roman" w:hAnsi="Times New Roman"/>
          <w:szCs w:val="22"/>
        </w:rPr>
        <w:t xml:space="preserve">é zaťaženie </w:t>
      </w:r>
      <w:r w:rsidR="00A22617">
        <w:rPr>
          <w:rFonts w:ascii="Times New Roman" w:hAnsi="Times New Roman"/>
          <w:szCs w:val="22"/>
        </w:rPr>
        <w:t xml:space="preserve">najmä </w:t>
      </w:r>
      <w:r w:rsidR="00E129AB">
        <w:rPr>
          <w:rFonts w:ascii="Times New Roman" w:hAnsi="Times New Roman"/>
          <w:szCs w:val="22"/>
        </w:rPr>
        <w:t>SZČO</w:t>
      </w:r>
      <w:r w:rsidR="00A22617">
        <w:rPr>
          <w:rFonts w:ascii="Times New Roman" w:hAnsi="Times New Roman"/>
          <w:szCs w:val="22"/>
        </w:rPr>
        <w:t>,</w:t>
      </w:r>
      <w:r w:rsidRPr="001649F0" w:rsidR="00A22617">
        <w:rPr>
          <w:rFonts w:ascii="Times New Roman" w:hAnsi="Times New Roman"/>
          <w:szCs w:val="22"/>
        </w:rPr>
        <w:t xml:space="preserve"> pri kvantifikácii bolo nutné zohľadniť aj potenciálnu zmenu správania vo väzbe na navrhované opatrenia. </w:t>
      </w:r>
      <w:r w:rsidRPr="00672509">
        <w:rPr>
          <w:rFonts w:ascii="Times New Roman" w:hAnsi="Times New Roman"/>
          <w:szCs w:val="22"/>
        </w:rPr>
        <w:t>Kvantifikácia</w:t>
      </w:r>
      <w:r w:rsidRPr="004B2597">
        <w:rPr>
          <w:rFonts w:ascii="Times New Roman" w:hAnsi="Times New Roman"/>
          <w:color w:val="000000"/>
          <w:szCs w:val="22"/>
        </w:rPr>
        <w:t xml:space="preserve"> vychádza z predpokladu, že všetky navrhované opatrenia budú platiť súčasne. Počíta sa teda s kombináciou vplyvov a nie je možné považovať nižšie uvedenú kvantifikáciu len ako mechanický súčet vplyvov jednotlivých opatrení. Z uvedeného dôvodu je kvantifikácia relatívne komplexná, pričom z dôvodu absencie niektorých údajov bolo nutné pri niektorých opatreniach urobiť viacero expertných predpokladov.</w:t>
      </w:r>
    </w:p>
    <w:p w:rsidR="00D91526" w:rsidRPr="004B2597" w:rsidP="00924823">
      <w:pPr>
        <w:autoSpaceDE w:val="0"/>
        <w:autoSpaceDN w:val="0"/>
        <w:bidi w:val="0"/>
        <w:adjustRightInd w:val="0"/>
        <w:ind w:firstLine="284"/>
        <w:jc w:val="both"/>
        <w:rPr>
          <w:rFonts w:ascii="Times New Roman" w:hAnsi="Times New Roman"/>
          <w:color w:val="000000"/>
          <w:szCs w:val="22"/>
        </w:rPr>
      </w:pPr>
    </w:p>
    <w:p w:rsidR="00A22617" w:rsidRPr="001649F0" w:rsidP="000935BB">
      <w:pPr>
        <w:autoSpaceDE w:val="0"/>
        <w:autoSpaceDN w:val="0"/>
        <w:bidi w:val="0"/>
        <w:adjustRightInd w:val="0"/>
        <w:ind w:firstLine="426"/>
        <w:jc w:val="both"/>
        <w:rPr>
          <w:rFonts w:ascii="Times New Roman" w:hAnsi="Times New Roman"/>
          <w:szCs w:val="22"/>
        </w:rPr>
      </w:pPr>
      <w:r w:rsidRPr="001649F0">
        <w:rPr>
          <w:rFonts w:ascii="Times New Roman" w:hAnsi="Times New Roman"/>
          <w:szCs w:val="22"/>
        </w:rPr>
        <w:t>Z uvedených dôvodov bol</w:t>
      </w:r>
      <w:r>
        <w:rPr>
          <w:rFonts w:ascii="Times New Roman" w:hAnsi="Times New Roman"/>
          <w:szCs w:val="22"/>
        </w:rPr>
        <w:t>i</w:t>
      </w:r>
      <w:r w:rsidRPr="001649F0">
        <w:rPr>
          <w:rFonts w:ascii="Times New Roman" w:hAnsi="Times New Roman"/>
          <w:szCs w:val="22"/>
        </w:rPr>
        <w:t xml:space="preserve"> pri kvantifikácii všetkých opatrení použité nasledujúce predpoklady:</w:t>
      </w:r>
    </w:p>
    <w:p w:rsidR="00A22617" w:rsidRPr="001649F0" w:rsidP="00BB13FB">
      <w:pPr>
        <w:autoSpaceDE w:val="0"/>
        <w:autoSpaceDN w:val="0"/>
        <w:bidi w:val="0"/>
        <w:adjustRightInd w:val="0"/>
        <w:jc w:val="both"/>
        <w:rPr>
          <w:rFonts w:ascii="Times New Roman" w:hAnsi="Times New Roman"/>
          <w:szCs w:val="22"/>
        </w:rPr>
      </w:pPr>
    </w:p>
    <w:p w:rsidR="00A22617" w:rsidRPr="001649F0" w:rsidP="000935BB">
      <w:pPr>
        <w:numPr>
          <w:numId w:val="27"/>
        </w:numPr>
        <w:autoSpaceDE w:val="0"/>
        <w:autoSpaceDN w:val="0"/>
        <w:bidi w:val="0"/>
        <w:adjustRightInd w:val="0"/>
        <w:spacing w:after="120"/>
        <w:ind w:left="426" w:hanging="426"/>
        <w:jc w:val="both"/>
        <w:rPr>
          <w:rFonts w:ascii="Times New Roman" w:hAnsi="Times New Roman"/>
          <w:szCs w:val="22"/>
        </w:rPr>
      </w:pPr>
      <w:r w:rsidRPr="000935BB">
        <w:rPr>
          <w:rFonts w:ascii="Times New Roman" w:hAnsi="Times New Roman"/>
          <w:b/>
          <w:szCs w:val="22"/>
        </w:rPr>
        <w:t>Dôležitým predpokladom</w:t>
      </w:r>
      <w:r w:rsidRPr="001649F0">
        <w:rPr>
          <w:rFonts w:ascii="Times New Roman" w:hAnsi="Times New Roman"/>
          <w:szCs w:val="22"/>
        </w:rPr>
        <w:t xml:space="preserve"> v prípade rozšírenia základu pre výpočet </w:t>
      </w:r>
      <w:r>
        <w:rPr>
          <w:rFonts w:ascii="Times New Roman" w:hAnsi="Times New Roman"/>
          <w:szCs w:val="22"/>
        </w:rPr>
        <w:t>p</w:t>
      </w:r>
      <w:r w:rsidR="00986BBC">
        <w:rPr>
          <w:rFonts w:ascii="Times New Roman" w:hAnsi="Times New Roman"/>
          <w:szCs w:val="22"/>
        </w:rPr>
        <w:t>o</w:t>
      </w:r>
      <w:r>
        <w:rPr>
          <w:rFonts w:ascii="Times New Roman" w:hAnsi="Times New Roman"/>
          <w:szCs w:val="22"/>
        </w:rPr>
        <w:t>istného</w:t>
      </w:r>
      <w:r w:rsidRPr="001649F0">
        <w:rPr>
          <w:rFonts w:ascii="Times New Roman" w:hAnsi="Times New Roman"/>
          <w:szCs w:val="22"/>
        </w:rPr>
        <w:t xml:space="preserve"> je fakt, že </w:t>
      </w:r>
      <w:r w:rsidRPr="000935BB">
        <w:rPr>
          <w:rFonts w:ascii="Times New Roman" w:hAnsi="Times New Roman"/>
          <w:b/>
          <w:szCs w:val="22"/>
        </w:rPr>
        <w:t>dodatočné odvodové bremeno</w:t>
      </w:r>
      <w:r w:rsidRPr="001649F0">
        <w:rPr>
          <w:rFonts w:ascii="Times New Roman" w:hAnsi="Times New Roman"/>
          <w:szCs w:val="22"/>
        </w:rPr>
        <w:t xml:space="preserve"> uvalené na uvedené druhy príjmov bude celé </w:t>
      </w:r>
      <w:r w:rsidRPr="000935BB">
        <w:rPr>
          <w:rFonts w:ascii="Times New Roman" w:hAnsi="Times New Roman"/>
          <w:b/>
          <w:szCs w:val="22"/>
        </w:rPr>
        <w:t>znášať zamestnanec</w:t>
      </w:r>
      <w:r w:rsidRPr="001649F0">
        <w:rPr>
          <w:rFonts w:ascii="Times New Roman" w:hAnsi="Times New Roman"/>
          <w:szCs w:val="22"/>
        </w:rPr>
        <w:t xml:space="preserve">. Očakáva sa, že zamestnávatelia nezmenia objem nákladov práce, čo znamená, že v prípade potreby upravia výšku vyplatených hrubých miezd (vrátane odmien) na úrovni spoločnosti. Dotknúť sa to môže najmä výšky vyplatených odmien, ktoré sú najflexibilnejšou zložkou príjmov. Znamená to, že z pohľadu zamestnávateľa zostanú náklady práce nezmenené. </w:t>
      </w:r>
      <w:r>
        <w:rPr>
          <w:rFonts w:ascii="Times New Roman" w:hAnsi="Times New Roman"/>
          <w:szCs w:val="22"/>
        </w:rPr>
        <w:t>Z</w:t>
      </w:r>
      <w:r w:rsidRPr="001649F0">
        <w:rPr>
          <w:rFonts w:ascii="Times New Roman" w:hAnsi="Times New Roman"/>
          <w:szCs w:val="22"/>
        </w:rPr>
        <w:t xml:space="preserve">výšenie daňovo-odvodového zaťaženia </w:t>
      </w:r>
      <w:r>
        <w:rPr>
          <w:rFonts w:ascii="Times New Roman" w:hAnsi="Times New Roman"/>
          <w:szCs w:val="22"/>
        </w:rPr>
        <w:t>sa presunie na zamestnanca. Zamestnávateľ síce prestáva byť platiteľom poistného, avšak stále ostáva odvádzateľom poistného.</w:t>
      </w:r>
    </w:p>
    <w:p w:rsidR="00A22617" w:rsidRPr="001649F0" w:rsidP="000935BB">
      <w:pPr>
        <w:numPr>
          <w:numId w:val="27"/>
        </w:numPr>
        <w:autoSpaceDE w:val="0"/>
        <w:autoSpaceDN w:val="0"/>
        <w:bidi w:val="0"/>
        <w:adjustRightInd w:val="0"/>
        <w:spacing w:after="120"/>
        <w:ind w:left="426" w:hanging="426"/>
        <w:jc w:val="both"/>
        <w:rPr>
          <w:rFonts w:ascii="Times New Roman" w:hAnsi="Times New Roman"/>
          <w:szCs w:val="22"/>
        </w:rPr>
      </w:pPr>
      <w:r w:rsidRPr="000935BB">
        <w:rPr>
          <w:rFonts w:ascii="Times New Roman" w:hAnsi="Times New Roman"/>
          <w:b/>
          <w:szCs w:val="22"/>
        </w:rPr>
        <w:t>Zjednotenie s daňovým zákonom</w:t>
      </w:r>
      <w:r>
        <w:rPr>
          <w:rFonts w:ascii="Times New Roman" w:hAnsi="Times New Roman"/>
          <w:szCs w:val="22"/>
        </w:rPr>
        <w:t xml:space="preserve"> </w:t>
      </w:r>
      <w:r w:rsidRPr="001649F0">
        <w:rPr>
          <w:rFonts w:ascii="Times New Roman" w:hAnsi="Times New Roman"/>
          <w:szCs w:val="22"/>
        </w:rPr>
        <w:t xml:space="preserve">má za cieľ znížiť obchádzanie povinností platiť </w:t>
      </w:r>
      <w:r>
        <w:rPr>
          <w:rFonts w:ascii="Times New Roman" w:hAnsi="Times New Roman"/>
          <w:szCs w:val="22"/>
        </w:rPr>
        <w:t>poistné</w:t>
      </w:r>
      <w:r w:rsidRPr="001649F0">
        <w:rPr>
          <w:rFonts w:ascii="Times New Roman" w:hAnsi="Times New Roman"/>
          <w:szCs w:val="22"/>
        </w:rPr>
        <w:t xml:space="preserve"> do systému </w:t>
      </w:r>
      <w:r w:rsidR="00E62E7A">
        <w:rPr>
          <w:rFonts w:ascii="Times New Roman" w:hAnsi="Times New Roman"/>
          <w:szCs w:val="22"/>
        </w:rPr>
        <w:t xml:space="preserve">verejného </w:t>
      </w:r>
      <w:r w:rsidRPr="001649F0">
        <w:rPr>
          <w:rFonts w:ascii="Times New Roman" w:hAnsi="Times New Roman"/>
          <w:szCs w:val="22"/>
        </w:rPr>
        <w:t>zdravotného poistenia</w:t>
      </w:r>
      <w:r>
        <w:rPr>
          <w:rFonts w:ascii="Times New Roman" w:hAnsi="Times New Roman"/>
          <w:szCs w:val="22"/>
        </w:rPr>
        <w:t>; elimináciou rozdielov v jednotlivých zákonoch (daňový, sociálny, zdravotný) sa predpokladá zníženie administratívnej záťaže</w:t>
      </w:r>
      <w:r w:rsidRPr="001649F0">
        <w:rPr>
          <w:rFonts w:ascii="Times New Roman" w:hAnsi="Times New Roman"/>
          <w:szCs w:val="22"/>
        </w:rPr>
        <w:t xml:space="preserve">. Schválením všetkých opatrení sa možnosť legálnym spôsobom obchádzať tieto povinnosti výrazne znížila. Napriek tomu nie je možné zamedziť niektorým jednotlivcom využiť ďalšie legislatívne možnosti s cieľom vyhnúť sa plateniu </w:t>
      </w:r>
      <w:r>
        <w:rPr>
          <w:rFonts w:ascii="Times New Roman" w:hAnsi="Times New Roman"/>
          <w:szCs w:val="22"/>
        </w:rPr>
        <w:t>poistného</w:t>
      </w:r>
      <w:r w:rsidRPr="001649F0">
        <w:rPr>
          <w:rFonts w:ascii="Times New Roman" w:hAnsi="Times New Roman"/>
          <w:szCs w:val="22"/>
        </w:rPr>
        <w:t xml:space="preserve">. Z uvedeného dôvodu kvantifikácia predpokladá, že niektorí jednotlivci, v závislosti od predpokladaného poklesu čistých príjmov, sa plateniu </w:t>
      </w:r>
      <w:r>
        <w:rPr>
          <w:rFonts w:ascii="Times New Roman" w:hAnsi="Times New Roman"/>
          <w:szCs w:val="22"/>
        </w:rPr>
        <w:t>poistného</w:t>
      </w:r>
      <w:r w:rsidRPr="001649F0">
        <w:rPr>
          <w:rFonts w:ascii="Times New Roman" w:hAnsi="Times New Roman"/>
          <w:szCs w:val="22"/>
        </w:rPr>
        <w:t xml:space="preserve"> vyhnú. </w:t>
      </w:r>
    </w:p>
    <w:p w:rsidR="00A22617" w:rsidRPr="00924823" w:rsidP="00BB13FB">
      <w:pPr>
        <w:numPr>
          <w:numId w:val="27"/>
        </w:numPr>
        <w:autoSpaceDE w:val="0"/>
        <w:autoSpaceDN w:val="0"/>
        <w:bidi w:val="0"/>
        <w:adjustRightInd w:val="0"/>
        <w:spacing w:after="120"/>
        <w:ind w:left="426" w:hanging="426"/>
        <w:jc w:val="both"/>
        <w:rPr>
          <w:rFonts w:ascii="Times New Roman" w:hAnsi="Times New Roman"/>
          <w:b/>
          <w:szCs w:val="22"/>
        </w:rPr>
      </w:pPr>
      <w:r w:rsidRPr="00924823">
        <w:rPr>
          <w:rFonts w:ascii="Times New Roman" w:hAnsi="Times New Roman"/>
          <w:b/>
          <w:szCs w:val="22"/>
        </w:rPr>
        <w:t xml:space="preserve">Vplyv na jednotlivé kategórie príjmov a výdavkov rozpočtu verejnej správy -  </w:t>
      </w:r>
      <w:r w:rsidR="00924823">
        <w:rPr>
          <w:rFonts w:ascii="Times New Roman" w:hAnsi="Times New Roman"/>
          <w:szCs w:val="22"/>
        </w:rPr>
        <w:t>neutrálny</w:t>
      </w:r>
      <w:r w:rsidRPr="00A210A8" w:rsidR="00924823">
        <w:rPr>
          <w:rFonts w:ascii="Times New Roman" w:hAnsi="Times New Roman"/>
          <w:szCs w:val="22"/>
        </w:rPr>
        <w:t xml:space="preserve"> vplyv </w:t>
      </w:r>
      <w:r w:rsidR="00924823">
        <w:rPr>
          <w:rFonts w:ascii="Times New Roman" w:hAnsi="Times New Roman"/>
          <w:szCs w:val="22"/>
        </w:rPr>
        <w:t>na p</w:t>
      </w:r>
      <w:r w:rsidRPr="000935BB" w:rsidR="00924823">
        <w:rPr>
          <w:rFonts w:ascii="Times New Roman" w:hAnsi="Times New Roman"/>
          <w:szCs w:val="22"/>
        </w:rPr>
        <w:t>ríjmy z</w:t>
      </w:r>
      <w:r w:rsidR="00924823">
        <w:rPr>
          <w:rFonts w:ascii="Times New Roman" w:hAnsi="Times New Roman"/>
          <w:szCs w:val="22"/>
        </w:rPr>
        <w:t> poistného na</w:t>
      </w:r>
      <w:r w:rsidRPr="000935BB" w:rsidR="00924823">
        <w:rPr>
          <w:rFonts w:ascii="Times New Roman" w:hAnsi="Times New Roman"/>
          <w:szCs w:val="22"/>
        </w:rPr>
        <w:t xml:space="preserve"> </w:t>
      </w:r>
      <w:r w:rsidR="00E62E7A">
        <w:rPr>
          <w:rFonts w:ascii="Times New Roman" w:hAnsi="Times New Roman"/>
          <w:szCs w:val="22"/>
        </w:rPr>
        <w:t xml:space="preserve">verejné </w:t>
      </w:r>
      <w:r w:rsidRPr="000935BB" w:rsidR="00924823">
        <w:rPr>
          <w:rFonts w:ascii="Times New Roman" w:hAnsi="Times New Roman"/>
          <w:szCs w:val="22"/>
        </w:rPr>
        <w:t>zdravotné poistenie</w:t>
      </w:r>
      <w:r w:rsidR="00924823">
        <w:rPr>
          <w:rFonts w:ascii="Times New Roman" w:hAnsi="Times New Roman"/>
          <w:szCs w:val="22"/>
        </w:rPr>
        <w:t xml:space="preserve"> </w:t>
      </w:r>
      <w:r w:rsidRPr="00E03BC8" w:rsidR="00924823">
        <w:rPr>
          <w:rFonts w:ascii="Times New Roman" w:hAnsi="Times New Roman"/>
          <w:szCs w:val="22"/>
        </w:rPr>
        <w:t xml:space="preserve">vyplýva z navýšenia platby za poistencov štátu (pri počte poistencov štátu 3 300 000), od ekonomicky aktívnych zmenou vymeriavacích základov </w:t>
      </w:r>
      <w:r w:rsidR="00924823">
        <w:rPr>
          <w:rFonts w:ascii="Times New Roman" w:hAnsi="Times New Roman"/>
          <w:szCs w:val="22"/>
        </w:rPr>
        <w:t>dochádza k</w:t>
      </w:r>
      <w:r w:rsidRPr="00E03BC8" w:rsidR="00924823">
        <w:rPr>
          <w:rFonts w:ascii="Times New Roman" w:hAnsi="Times New Roman"/>
          <w:szCs w:val="22"/>
        </w:rPr>
        <w:t xml:space="preserve"> zníženi</w:t>
      </w:r>
      <w:r w:rsidR="00924823">
        <w:rPr>
          <w:rFonts w:ascii="Times New Roman" w:hAnsi="Times New Roman"/>
          <w:szCs w:val="22"/>
        </w:rPr>
        <w:t>u</w:t>
      </w:r>
      <w:r w:rsidRPr="00E03BC8" w:rsidR="00924823">
        <w:rPr>
          <w:rFonts w:ascii="Times New Roman" w:hAnsi="Times New Roman"/>
          <w:szCs w:val="22"/>
        </w:rPr>
        <w:t xml:space="preserve"> príjmov od ekonomicky aktívnych. </w:t>
      </w:r>
      <w:r w:rsidRPr="001649F0" w:rsidR="00924823">
        <w:rPr>
          <w:rFonts w:ascii="Times New Roman" w:hAnsi="Times New Roman"/>
        </w:rPr>
        <w:t>Navrhované opatrenia nemajú vplyv na zamestnanosť vo verejnej správe.</w:t>
      </w:r>
    </w:p>
    <w:p w:rsidR="00924823" w:rsidP="00924823">
      <w:pPr>
        <w:pStyle w:val="ListParagraph"/>
        <w:bidi w:val="0"/>
        <w:rPr>
          <w:rFonts w:ascii="Times New Roman" w:hAnsi="Times New Roman"/>
          <w:b/>
          <w:szCs w:val="22"/>
        </w:rPr>
      </w:pPr>
    </w:p>
    <w:p w:rsidR="00924823" w:rsidRPr="00A86C7E" w:rsidP="00A86C7E">
      <w:pPr>
        <w:keepNext/>
        <w:numPr>
          <w:numId w:val="27"/>
        </w:numPr>
        <w:autoSpaceDE w:val="0"/>
        <w:autoSpaceDN w:val="0"/>
        <w:bidi w:val="0"/>
        <w:adjustRightInd w:val="0"/>
        <w:spacing w:after="120"/>
        <w:ind w:left="425" w:hanging="426"/>
        <w:jc w:val="both"/>
        <w:rPr>
          <w:rFonts w:ascii="Times New Roman" w:hAnsi="Times New Roman"/>
          <w:b/>
          <w:color w:val="000000"/>
        </w:rPr>
      </w:pPr>
      <w:r w:rsidRPr="00197760">
        <w:rPr>
          <w:rFonts w:ascii="Times New Roman" w:hAnsi="Times New Roman"/>
          <w:b/>
          <w:color w:val="000000"/>
        </w:rPr>
        <w:t xml:space="preserve">Rozšírenie osobného rozsahu povinne zdravotne poistených osôb </w:t>
      </w:r>
      <w:r w:rsidR="00197760">
        <w:rPr>
          <w:rFonts w:ascii="Times New Roman" w:hAnsi="Times New Roman"/>
          <w:b/>
          <w:color w:val="000000"/>
        </w:rPr>
        <w:t xml:space="preserve">o </w:t>
      </w:r>
      <w:r w:rsidRPr="00A86C7E">
        <w:rPr>
          <w:rFonts w:ascii="Times New Roman" w:hAnsi="Times New Roman"/>
          <w:b/>
          <w:color w:val="000000"/>
        </w:rPr>
        <w:t xml:space="preserve">fyzické osoby vykonávajúce prácu na základe dohôd </w:t>
      </w:r>
      <w:r w:rsidRPr="00A86C7E" w:rsidR="00D91526">
        <w:rPr>
          <w:rFonts w:ascii="Times New Roman" w:hAnsi="Times New Roman"/>
          <w:b/>
          <w:color w:val="000000"/>
        </w:rPr>
        <w:t xml:space="preserve">o prácach vykonávaných </w:t>
      </w:r>
      <w:r w:rsidRPr="00A86C7E">
        <w:rPr>
          <w:rFonts w:ascii="Times New Roman" w:hAnsi="Times New Roman"/>
          <w:b/>
          <w:color w:val="000000"/>
        </w:rPr>
        <w:t>mimo pracovného pomeru</w:t>
      </w:r>
    </w:p>
    <w:p w:rsidR="00924823" w:rsidRPr="00A86C7E" w:rsidP="00924823">
      <w:pPr>
        <w:bidi w:val="0"/>
        <w:spacing w:after="120"/>
        <w:ind w:left="426"/>
        <w:jc w:val="both"/>
        <w:rPr>
          <w:rFonts w:ascii="Times New Roman" w:hAnsi="Times New Roman"/>
          <w:color w:val="000000"/>
        </w:rPr>
      </w:pPr>
      <w:r w:rsidRPr="004B2597">
        <w:rPr>
          <w:rFonts w:ascii="Times New Roman" w:hAnsi="Times New Roman"/>
          <w:color w:val="000000"/>
        </w:rPr>
        <w:t xml:space="preserve">Na účely kvantifikácie sa vychádzalo z reálnych štatistických údajov zo Sociálnej poisťovne za rok 2010, ktoré členia tzv. dohodárov podľa vymeriavacieho základu. Podľa uvedeného bolo mesačne v roku 2010 priemerne 201 335 dohodárov bez súbehu s inou </w:t>
      </w:r>
      <w:r w:rsidRPr="00A86C7E">
        <w:rPr>
          <w:rFonts w:ascii="Times New Roman" w:hAnsi="Times New Roman"/>
          <w:color w:val="000000"/>
        </w:rPr>
        <w:t xml:space="preserve">zárobkovou činnosťou a 106 286 v súbehu s inou zárobkovou činnosťou. Pre určenú skupinu osôb bola použitá sadzba </w:t>
      </w:r>
      <w:r w:rsidRPr="00A86C7E" w:rsidR="00F42A98">
        <w:rPr>
          <w:rFonts w:ascii="Times New Roman" w:hAnsi="Times New Roman"/>
          <w:color w:val="000000"/>
        </w:rPr>
        <w:t>9</w:t>
      </w:r>
      <w:r w:rsidR="004F66F8">
        <w:rPr>
          <w:rFonts w:ascii="Times New Roman" w:hAnsi="Times New Roman"/>
          <w:color w:val="000000"/>
        </w:rPr>
        <w:t xml:space="preserve"> % a </w:t>
      </w:r>
      <w:r w:rsidRPr="00A86C7E">
        <w:rPr>
          <w:rFonts w:ascii="Times New Roman" w:hAnsi="Times New Roman"/>
          <w:color w:val="000000"/>
        </w:rPr>
        <w:t>odpočítateľná položka</w:t>
      </w:r>
      <w:r w:rsidR="004F66F8">
        <w:rPr>
          <w:rFonts w:ascii="Times New Roman" w:hAnsi="Times New Roman"/>
          <w:color w:val="000000"/>
        </w:rPr>
        <w:t xml:space="preserve"> z vymeriavacieho základu</w:t>
      </w:r>
      <w:r w:rsidRPr="00A86C7E">
        <w:rPr>
          <w:rFonts w:ascii="Times New Roman" w:hAnsi="Times New Roman"/>
          <w:color w:val="000000"/>
        </w:rPr>
        <w:t xml:space="preserve"> 190 eur, ktorá bola degresívne znížená pre tzv. dohodárov v súbehu. </w:t>
      </w:r>
    </w:p>
    <w:p w:rsidR="00197760" w:rsidRPr="00A86C7E" w:rsidP="00A86C7E">
      <w:pPr>
        <w:keepNext/>
        <w:numPr>
          <w:numId w:val="27"/>
        </w:numPr>
        <w:autoSpaceDE w:val="0"/>
        <w:autoSpaceDN w:val="0"/>
        <w:bidi w:val="0"/>
        <w:adjustRightInd w:val="0"/>
        <w:spacing w:after="120"/>
        <w:ind w:left="425" w:hanging="426"/>
        <w:jc w:val="both"/>
        <w:rPr>
          <w:rFonts w:ascii="Times New Roman" w:hAnsi="Times New Roman"/>
          <w:b/>
          <w:color w:val="000000"/>
        </w:rPr>
      </w:pPr>
      <w:r w:rsidRPr="00A86C7E">
        <w:rPr>
          <w:rFonts w:ascii="Times New Roman" w:hAnsi="Times New Roman"/>
          <w:b/>
          <w:color w:val="000000"/>
        </w:rPr>
        <w:t>Zúženie osobného rozsahu povinne zdravotne poistených osôb o osoby s príjmami z</w:t>
      </w:r>
      <w:r w:rsidRPr="00A86C7E" w:rsidR="00844C20">
        <w:rPr>
          <w:rFonts w:ascii="Times New Roman" w:hAnsi="Times New Roman"/>
          <w:b/>
          <w:color w:val="000000"/>
        </w:rPr>
        <w:t> </w:t>
      </w:r>
      <w:r w:rsidRPr="00A86C7E">
        <w:rPr>
          <w:rFonts w:ascii="Times New Roman" w:hAnsi="Times New Roman"/>
          <w:b/>
          <w:color w:val="000000"/>
        </w:rPr>
        <w:t>prenájmu</w:t>
      </w:r>
      <w:r w:rsidRPr="00A86C7E" w:rsidR="00844C20">
        <w:rPr>
          <w:rFonts w:ascii="Times New Roman" w:hAnsi="Times New Roman"/>
          <w:b/>
          <w:color w:val="000000"/>
        </w:rPr>
        <w:t>, z kapitálových a príležitostných príjmov</w:t>
      </w:r>
    </w:p>
    <w:p w:rsidR="00844C20" w:rsidRPr="00772706" w:rsidP="00A86C7E">
      <w:pPr>
        <w:tabs>
          <w:tab w:val="left" w:pos="709"/>
        </w:tabs>
        <w:bidi w:val="0"/>
        <w:ind w:left="426"/>
        <w:jc w:val="both"/>
        <w:rPr>
          <w:rFonts w:ascii="Times New Roman" w:hAnsi="Times New Roman"/>
          <w:b/>
        </w:rPr>
      </w:pPr>
      <w:r w:rsidRPr="00A86C7E">
        <w:rPr>
          <w:rFonts w:ascii="Times New Roman" w:hAnsi="Times New Roman"/>
        </w:rPr>
        <w:t>Zrušenie povinnosti platiť poistné na verejné zdravotné poistenie z príjmov z prenájmu, z kapitálových a príležitostných príjmov podľa § 6 ods. 3, § 7 a 8 zákona č. 595/2003 Z. z. o dani z príjmov v znení neskorších predpisov sa prejaví v znížení príjmu zdravotných poisťovní.</w:t>
      </w:r>
    </w:p>
    <w:p w:rsidR="00D91526" w:rsidRPr="004B2597" w:rsidP="00924823">
      <w:pPr>
        <w:bidi w:val="0"/>
        <w:jc w:val="both"/>
        <w:rPr>
          <w:rFonts w:ascii="Times New Roman" w:hAnsi="Times New Roman"/>
          <w:b/>
          <w:color w:val="000000"/>
        </w:rPr>
      </w:pPr>
    </w:p>
    <w:p w:rsidR="00924823" w:rsidRPr="00672509" w:rsidP="00A86C7E">
      <w:pPr>
        <w:numPr>
          <w:numId w:val="27"/>
        </w:numPr>
        <w:bidi w:val="0"/>
        <w:spacing w:after="120"/>
        <w:ind w:left="426" w:hanging="426"/>
        <w:jc w:val="both"/>
        <w:rPr>
          <w:rFonts w:ascii="Times New Roman" w:hAnsi="Times New Roman"/>
          <w:b/>
          <w:color w:val="000000"/>
        </w:rPr>
      </w:pPr>
      <w:r w:rsidRPr="00672509">
        <w:rPr>
          <w:rFonts w:ascii="Times New Roman" w:hAnsi="Times New Roman"/>
          <w:b/>
          <w:color w:val="000000"/>
        </w:rPr>
        <w:t xml:space="preserve">Zmena sadzby poistného na </w:t>
      </w:r>
      <w:r>
        <w:rPr>
          <w:rFonts w:ascii="Times New Roman" w:hAnsi="Times New Roman"/>
          <w:b/>
          <w:color w:val="000000"/>
        </w:rPr>
        <w:t>zdravotné</w:t>
      </w:r>
      <w:r w:rsidRPr="00672509">
        <w:rPr>
          <w:rFonts w:ascii="Times New Roman" w:hAnsi="Times New Roman"/>
          <w:b/>
          <w:color w:val="000000"/>
        </w:rPr>
        <w:t xml:space="preserve"> poistenie pre zamestnancov na 9 % z</w:t>
      </w:r>
      <w:r w:rsidR="00CB2D2F">
        <w:rPr>
          <w:rFonts w:ascii="Times New Roman" w:hAnsi="Times New Roman"/>
          <w:b/>
          <w:color w:val="000000"/>
        </w:rPr>
        <w:t xml:space="preserve"> dôvodu zavedenia príjmu na superhrubú úroveň </w:t>
      </w:r>
    </w:p>
    <w:p w:rsidR="00924823" w:rsidRPr="00A86C7E" w:rsidP="00A86C7E">
      <w:pPr>
        <w:tabs>
          <w:tab w:val="left" w:pos="426"/>
        </w:tabs>
        <w:bidi w:val="0"/>
        <w:ind w:left="425"/>
        <w:jc w:val="both"/>
        <w:rPr>
          <w:rFonts w:ascii="Times New Roman" w:hAnsi="Times New Roman"/>
        </w:rPr>
      </w:pPr>
      <w:r w:rsidRPr="004B2597">
        <w:rPr>
          <w:rFonts w:ascii="Times New Roman" w:hAnsi="Times New Roman"/>
        </w:rPr>
        <w:t xml:space="preserve">Na výpočet nových príjmov za zamestnancov bola použitá sadzba poistného </w:t>
      </w:r>
      <w:r>
        <w:rPr>
          <w:rFonts w:ascii="Times New Roman" w:hAnsi="Times New Roman"/>
        </w:rPr>
        <w:t xml:space="preserve">na </w:t>
      </w:r>
      <w:r w:rsidR="00D10737">
        <w:rPr>
          <w:rFonts w:ascii="Times New Roman" w:hAnsi="Times New Roman"/>
        </w:rPr>
        <w:t xml:space="preserve">verejné </w:t>
      </w:r>
      <w:r>
        <w:rPr>
          <w:rFonts w:ascii="Times New Roman" w:hAnsi="Times New Roman"/>
        </w:rPr>
        <w:t xml:space="preserve">zdravotné poistenie vo výške </w:t>
      </w:r>
      <w:r w:rsidRPr="004B2597">
        <w:rPr>
          <w:rFonts w:ascii="Times New Roman" w:hAnsi="Times New Roman"/>
        </w:rPr>
        <w:t xml:space="preserve">9 %, mesačný vymeriavací základ z východísk rozpočtu  </w:t>
      </w:r>
      <w:r>
        <w:rPr>
          <w:rFonts w:ascii="Times New Roman" w:hAnsi="Times New Roman"/>
        </w:rPr>
        <w:t>zdravotných poisťovní</w:t>
      </w:r>
      <w:r w:rsidRPr="004B2597">
        <w:rPr>
          <w:rFonts w:ascii="Times New Roman" w:hAnsi="Times New Roman"/>
        </w:rPr>
        <w:t xml:space="preserve"> bol </w:t>
      </w:r>
      <w:r w:rsidRPr="00197760">
        <w:rPr>
          <w:rFonts w:ascii="Times New Roman" w:hAnsi="Times New Roman"/>
        </w:rPr>
        <w:t>upravený na 1 033,</w:t>
      </w:r>
      <w:r w:rsidRPr="00A86C7E" w:rsidR="001D7210">
        <w:rPr>
          <w:rFonts w:ascii="Times New Roman" w:hAnsi="Times New Roman"/>
        </w:rPr>
        <w:t>54</w:t>
      </w:r>
      <w:r w:rsidRPr="00197760">
        <w:rPr>
          <w:rFonts w:ascii="Times New Roman" w:hAnsi="Times New Roman"/>
        </w:rPr>
        <w:t xml:space="preserve"> eur</w:t>
      </w:r>
      <w:r w:rsidRPr="00197760" w:rsidR="00CB2D2F">
        <w:rPr>
          <w:rFonts w:ascii="Times New Roman" w:hAnsi="Times New Roman"/>
        </w:rPr>
        <w:t>a</w:t>
      </w:r>
      <w:r w:rsidRPr="00197760">
        <w:rPr>
          <w:rFonts w:ascii="Times New Roman" w:hAnsi="Times New Roman"/>
        </w:rPr>
        <w:t xml:space="preserve"> pre rok 2012 (koeficient 1,344 a </w:t>
      </w:r>
      <w:r w:rsidRPr="00A86C7E">
        <w:rPr>
          <w:rFonts w:ascii="Times New Roman" w:hAnsi="Times New Roman"/>
        </w:rPr>
        <w:t>maximálne poistné ročne na úrovni 22,</w:t>
      </w:r>
      <w:r w:rsidRPr="00A86C7E" w:rsidR="00F42A98">
        <w:rPr>
          <w:rFonts w:ascii="Times New Roman" w:hAnsi="Times New Roman"/>
        </w:rPr>
        <w:t>3444</w:t>
      </w:r>
      <w:r w:rsidRPr="00A86C7E">
        <w:rPr>
          <w:rFonts w:ascii="Times New Roman" w:hAnsi="Times New Roman"/>
        </w:rPr>
        <w:t>-násobku sumy životného minima pre jednu plnoletú fyzickú osobu</w:t>
      </w:r>
      <w:r w:rsidRPr="00A86C7E" w:rsidR="00197760">
        <w:rPr>
          <w:rFonts w:ascii="Times New Roman" w:hAnsi="Times New Roman"/>
        </w:rPr>
        <w:t xml:space="preserve"> platného k 1. januáru daného roka</w:t>
      </w:r>
      <w:r w:rsidRPr="00A86C7E">
        <w:rPr>
          <w:rFonts w:ascii="Times New Roman" w:hAnsi="Times New Roman"/>
        </w:rPr>
        <w:t>) a vychádzalo sa z počtu 1</w:t>
      </w:r>
      <w:r w:rsidRPr="00A86C7E" w:rsidR="003A639C">
        <w:rPr>
          <w:rFonts w:ascii="Times New Roman" w:hAnsi="Times New Roman"/>
        </w:rPr>
        <w:t> 724 303</w:t>
      </w:r>
      <w:r w:rsidRPr="00A86C7E">
        <w:rPr>
          <w:rFonts w:ascii="Times New Roman" w:hAnsi="Times New Roman"/>
        </w:rPr>
        <w:t xml:space="preserve"> platiacich zamestnancov pre rok 2012. Zvýšenie maximálneho vymeriavacieho základu (ďalej len „MVZ“) z 3-násobku priemernej mzdy (2 3</w:t>
      </w:r>
      <w:r w:rsidRPr="00A86C7E" w:rsidR="00CB2D2F">
        <w:rPr>
          <w:rFonts w:ascii="Times New Roman" w:hAnsi="Times New Roman"/>
        </w:rPr>
        <w:t>07</w:t>
      </w:r>
      <w:r w:rsidRPr="00A86C7E">
        <w:rPr>
          <w:rFonts w:ascii="Times New Roman" w:hAnsi="Times New Roman"/>
        </w:rPr>
        <w:t xml:space="preserve"> eur</w:t>
      </w:r>
      <w:r w:rsidRPr="00A86C7E" w:rsidR="003A639C">
        <w:rPr>
          <w:rFonts w:ascii="Times New Roman" w:hAnsi="Times New Roman"/>
        </w:rPr>
        <w:t xml:space="preserve"> v roku 2012</w:t>
      </w:r>
      <w:r w:rsidRPr="00A86C7E">
        <w:rPr>
          <w:rFonts w:ascii="Times New Roman" w:hAnsi="Times New Roman"/>
        </w:rPr>
        <w:t>) na 3,8-násobok superhrubej priemernej mzdy (3 9</w:t>
      </w:r>
      <w:r w:rsidRPr="00A86C7E" w:rsidR="00CB2D2F">
        <w:rPr>
          <w:rFonts w:ascii="Times New Roman" w:hAnsi="Times New Roman"/>
        </w:rPr>
        <w:t>27</w:t>
      </w:r>
      <w:r w:rsidRPr="00A86C7E">
        <w:rPr>
          <w:rFonts w:ascii="Times New Roman" w:hAnsi="Times New Roman"/>
        </w:rPr>
        <w:t>,</w:t>
      </w:r>
      <w:r w:rsidRPr="00A86C7E" w:rsidR="00CB2D2F">
        <w:rPr>
          <w:rFonts w:ascii="Times New Roman" w:hAnsi="Times New Roman"/>
        </w:rPr>
        <w:t>4</w:t>
      </w:r>
      <w:r w:rsidRPr="00A86C7E" w:rsidR="00F42A98">
        <w:rPr>
          <w:rFonts w:ascii="Times New Roman" w:hAnsi="Times New Roman"/>
        </w:rPr>
        <w:t xml:space="preserve">6 </w:t>
      </w:r>
      <w:r w:rsidRPr="00A86C7E">
        <w:rPr>
          <w:rFonts w:ascii="Times New Roman" w:hAnsi="Times New Roman"/>
        </w:rPr>
        <w:t>eur</w:t>
      </w:r>
      <w:r w:rsidRPr="00A86C7E" w:rsidR="00CB2D2F">
        <w:rPr>
          <w:rFonts w:ascii="Times New Roman" w:hAnsi="Times New Roman"/>
        </w:rPr>
        <w:t>a</w:t>
      </w:r>
      <w:r w:rsidRPr="00A86C7E">
        <w:rPr>
          <w:rFonts w:ascii="Times New Roman" w:hAnsi="Times New Roman"/>
        </w:rPr>
        <w:t>) v roku 2012</w:t>
      </w:r>
      <w:r w:rsidRPr="00A86C7E" w:rsidR="003A639C">
        <w:rPr>
          <w:rFonts w:ascii="Times New Roman" w:hAnsi="Times New Roman"/>
        </w:rPr>
        <w:t xml:space="preserve"> spolu so znížením sadzby zo 14 % zamestnanca a zamestnávateľa na 9 %</w:t>
      </w:r>
      <w:r w:rsidRPr="00A86C7E">
        <w:rPr>
          <w:rFonts w:ascii="Times New Roman" w:hAnsi="Times New Roman"/>
        </w:rPr>
        <w:t xml:space="preserve"> má </w:t>
      </w:r>
      <w:r w:rsidRPr="00A86C7E">
        <w:rPr>
          <w:rFonts w:ascii="Times New Roman" w:hAnsi="Times New Roman"/>
          <w:b/>
        </w:rPr>
        <w:t>vplyv cca 10 mil. eur.</w:t>
      </w:r>
      <w:r w:rsidRPr="00A86C7E">
        <w:rPr>
          <w:rFonts w:ascii="Times New Roman" w:hAnsi="Times New Roman"/>
        </w:rPr>
        <w:t xml:space="preserve"> </w:t>
      </w:r>
    </w:p>
    <w:p w:rsidR="00F42A98" w:rsidRPr="00A86C7E" w:rsidP="00A86C7E">
      <w:pPr>
        <w:tabs>
          <w:tab w:val="left" w:pos="426"/>
        </w:tabs>
        <w:bidi w:val="0"/>
        <w:spacing w:after="120"/>
        <w:ind w:left="426"/>
        <w:jc w:val="center"/>
        <w:rPr>
          <w:rFonts w:ascii="Times New Roman" w:hAnsi="Times New Roman"/>
          <w:color w:val="000000"/>
        </w:rPr>
      </w:pPr>
    </w:p>
    <w:p w:rsidR="00924823" w:rsidRPr="00A86C7E" w:rsidP="00924823">
      <w:pPr>
        <w:keepNext/>
        <w:numPr>
          <w:numId w:val="27"/>
        </w:numPr>
        <w:bidi w:val="0"/>
        <w:spacing w:after="120"/>
        <w:ind w:left="426" w:hanging="426"/>
        <w:jc w:val="both"/>
        <w:rPr>
          <w:rFonts w:ascii="Times New Roman" w:hAnsi="Times New Roman"/>
          <w:b/>
          <w:color w:val="000000"/>
        </w:rPr>
      </w:pPr>
      <w:r w:rsidRPr="00A86C7E">
        <w:rPr>
          <w:rFonts w:ascii="Times New Roman" w:hAnsi="Times New Roman"/>
          <w:b/>
          <w:color w:val="000000"/>
        </w:rPr>
        <w:t xml:space="preserve">Nové podmienky </w:t>
      </w:r>
      <w:r w:rsidRPr="00A86C7E" w:rsidR="00CB2D2F">
        <w:rPr>
          <w:rFonts w:ascii="Times New Roman" w:hAnsi="Times New Roman"/>
          <w:b/>
          <w:color w:val="000000"/>
        </w:rPr>
        <w:t>poistného</w:t>
      </w:r>
      <w:r w:rsidRPr="00A86C7E">
        <w:rPr>
          <w:rFonts w:ascii="Times New Roman" w:hAnsi="Times New Roman"/>
          <w:b/>
          <w:color w:val="000000"/>
        </w:rPr>
        <w:t xml:space="preserve"> na zdravotné poistenie pre SZČO</w:t>
      </w:r>
    </w:p>
    <w:p w:rsidR="00B3777E" w:rsidP="00B3777E">
      <w:pPr>
        <w:bidi w:val="0"/>
        <w:ind w:left="425"/>
        <w:jc w:val="both"/>
        <w:rPr>
          <w:rFonts w:ascii="Times New Roman" w:hAnsi="Times New Roman"/>
        </w:rPr>
      </w:pPr>
      <w:r w:rsidRPr="00A86C7E" w:rsidR="00924823">
        <w:rPr>
          <w:rFonts w:ascii="Times New Roman" w:hAnsi="Times New Roman"/>
        </w:rPr>
        <w:t>Vplyvom zmien vyplývajúcich z návrhu zákona (</w:t>
      </w:r>
      <w:r w:rsidRPr="00A86C7E" w:rsidR="00CB2D2F">
        <w:rPr>
          <w:rFonts w:ascii="Times New Roman" w:hAnsi="Times New Roman"/>
        </w:rPr>
        <w:t>neuplatňovanie</w:t>
      </w:r>
      <w:r w:rsidRPr="00A86C7E" w:rsidR="00924823">
        <w:rPr>
          <w:rFonts w:ascii="Times New Roman" w:hAnsi="Times New Roman"/>
        </w:rPr>
        <w:t xml:space="preserve"> konštanty 2,14 pre úpravu čiastkového základu dane používaného na určenie vymeriavacieho základu na </w:t>
      </w:r>
      <w:r w:rsidRPr="00A86C7E" w:rsidR="00E62E7A">
        <w:rPr>
          <w:rFonts w:ascii="Times New Roman" w:hAnsi="Times New Roman"/>
        </w:rPr>
        <w:t xml:space="preserve">verejné </w:t>
      </w:r>
      <w:r w:rsidRPr="00A86C7E" w:rsidR="00924823">
        <w:rPr>
          <w:rFonts w:ascii="Times New Roman" w:hAnsi="Times New Roman"/>
        </w:rPr>
        <w:t>zdravotné poistenie, minimálny vymeriavací základ vo výške 3,3-násobku sumy platného životného minima pre jednu plnoletú fyzickú osobu</w:t>
      </w:r>
      <w:r w:rsidRPr="00A86C7E" w:rsidR="005C14D4">
        <w:rPr>
          <w:rFonts w:ascii="Times New Roman" w:hAnsi="Times New Roman"/>
        </w:rPr>
        <w:t xml:space="preserve"> platného k 1. januáru kalendárneho roka, za ktorý sa platí poistné</w:t>
      </w:r>
      <w:r w:rsidRPr="00A86C7E" w:rsidR="00924823">
        <w:rPr>
          <w:rFonts w:ascii="Times New Roman" w:hAnsi="Times New Roman"/>
        </w:rPr>
        <w:t xml:space="preserve"> a maximálne poistné) predpokladá sa zvýšenie priemerného vymeriavacieho základu SZČO na 725,3 eura. Na účely kvantifikácie bola ďalej použitá sadzba poistného na </w:t>
      </w:r>
      <w:r w:rsidRPr="00A86C7E" w:rsidR="00E62E7A">
        <w:rPr>
          <w:rFonts w:ascii="Times New Roman" w:hAnsi="Times New Roman"/>
        </w:rPr>
        <w:t xml:space="preserve">verejné </w:t>
      </w:r>
      <w:r w:rsidRPr="00A86C7E" w:rsidR="00924823">
        <w:rPr>
          <w:rFonts w:ascii="Times New Roman" w:hAnsi="Times New Roman"/>
        </w:rPr>
        <w:t>zdravotné poistenie 9 % a</w:t>
      </w:r>
      <w:r w:rsidRPr="00A86C7E" w:rsidR="003A639C">
        <w:rPr>
          <w:rFonts w:ascii="Times New Roman" w:hAnsi="Times New Roman"/>
        </w:rPr>
        <w:t> </w:t>
      </w:r>
      <w:r w:rsidRPr="00A86C7E" w:rsidR="00924823">
        <w:rPr>
          <w:rFonts w:ascii="Times New Roman" w:hAnsi="Times New Roman"/>
        </w:rPr>
        <w:t>počet</w:t>
      </w:r>
      <w:r w:rsidRPr="00A86C7E" w:rsidR="003A639C">
        <w:rPr>
          <w:rFonts w:ascii="Times New Roman" w:hAnsi="Times New Roman"/>
        </w:rPr>
        <w:t xml:space="preserve"> 443 157</w:t>
      </w:r>
      <w:r w:rsidRPr="00A86C7E" w:rsidR="00924823">
        <w:rPr>
          <w:rFonts w:ascii="Times New Roman" w:hAnsi="Times New Roman"/>
        </w:rPr>
        <w:t xml:space="preserve"> platiacich SZČO. Výpočty zohľadňujú zvýšenie minimálnych vymeriavacích základov o 1,841</w:t>
      </w:r>
      <w:r w:rsidRPr="00A86C7E" w:rsidR="00D10737">
        <w:rPr>
          <w:rFonts w:ascii="Times New Roman" w:hAnsi="Times New Roman"/>
        </w:rPr>
        <w:t>-</w:t>
      </w:r>
      <w:r w:rsidRPr="008B0F92" w:rsidR="00924823">
        <w:rPr>
          <w:rFonts w:ascii="Times New Roman" w:hAnsi="Times New Roman"/>
        </w:rPr>
        <w:t xml:space="preserve">násobok, ktorý sa týka cca </w:t>
      </w:r>
      <w:r w:rsidRPr="008B0F92" w:rsidR="003A639C">
        <w:rPr>
          <w:rFonts w:ascii="Times New Roman" w:hAnsi="Times New Roman"/>
        </w:rPr>
        <w:t>10</w:t>
      </w:r>
      <w:r w:rsidRPr="008B0F92" w:rsidR="00924823">
        <w:rPr>
          <w:rFonts w:ascii="Times New Roman" w:hAnsi="Times New Roman"/>
        </w:rPr>
        <w:t>0</w:t>
      </w:r>
      <w:r w:rsidRPr="008B0F92" w:rsidR="00D10737">
        <w:rPr>
          <w:rFonts w:ascii="Times New Roman" w:hAnsi="Times New Roman"/>
        </w:rPr>
        <w:t xml:space="preserve"> </w:t>
      </w:r>
      <w:r w:rsidRPr="008B0F92" w:rsidR="00924823">
        <w:rPr>
          <w:rFonts w:ascii="Times New Roman" w:hAnsi="Times New Roman"/>
        </w:rPr>
        <w:t>% SZČO</w:t>
      </w:r>
      <w:r w:rsidRPr="008B0F92">
        <w:rPr>
          <w:rFonts w:ascii="Times New Roman" w:hAnsi="Times New Roman"/>
        </w:rPr>
        <w:t>, pokiaľ nie sú v súbehu so štátom alebo so zamestnaním.</w:t>
      </w:r>
    </w:p>
    <w:p w:rsidR="00F42A98" w:rsidP="00A86C7E">
      <w:pPr>
        <w:bidi w:val="0"/>
        <w:ind w:left="425"/>
        <w:jc w:val="both"/>
        <w:rPr>
          <w:rFonts w:ascii="Times New Roman" w:hAnsi="Times New Roman"/>
        </w:rPr>
      </w:pPr>
    </w:p>
    <w:p w:rsidR="00924823" w:rsidP="00A86C7E">
      <w:pPr>
        <w:pStyle w:val="Odsekzoznamu2"/>
        <w:numPr>
          <w:numId w:val="27"/>
        </w:numPr>
        <w:bidi w:val="0"/>
        <w:spacing w:after="120" w:line="240" w:lineRule="auto"/>
        <w:ind w:left="419" w:hanging="357"/>
        <w:jc w:val="both"/>
        <w:rPr>
          <w:rFonts w:ascii="Times New Roman" w:hAnsi="Times New Roman"/>
          <w:b/>
          <w:sz w:val="24"/>
          <w:szCs w:val="24"/>
        </w:rPr>
      </w:pPr>
      <w:r w:rsidRPr="00DA691B">
        <w:rPr>
          <w:rFonts w:ascii="Times New Roman" w:hAnsi="Times New Roman"/>
          <w:b/>
          <w:sz w:val="24"/>
          <w:szCs w:val="24"/>
        </w:rPr>
        <w:t>Nové podmienky pre iných platiteľov</w:t>
      </w:r>
    </w:p>
    <w:p w:rsidR="00924823" w:rsidP="00A86C7E">
      <w:pPr>
        <w:bidi w:val="0"/>
        <w:ind w:left="425"/>
        <w:jc w:val="both"/>
        <w:rPr>
          <w:rFonts w:ascii="Times New Roman" w:hAnsi="Times New Roman"/>
        </w:rPr>
      </w:pPr>
      <w:r w:rsidRPr="00DA691B">
        <w:rPr>
          <w:rFonts w:ascii="Times New Roman" w:hAnsi="Times New Roman"/>
        </w:rPr>
        <w:t>Vplyvom zmien sa zohľadňuje zavedenie</w:t>
      </w:r>
      <w:r w:rsidR="004F66F8">
        <w:rPr>
          <w:rFonts w:ascii="Times New Roman" w:hAnsi="Times New Roman"/>
        </w:rPr>
        <w:t xml:space="preserve"> O</w:t>
      </w:r>
      <w:r w:rsidR="00A96E2B">
        <w:rPr>
          <w:rFonts w:ascii="Times New Roman" w:hAnsi="Times New Roman"/>
        </w:rPr>
        <w:t>P</w:t>
      </w:r>
      <w:r w:rsidR="004F66F8">
        <w:rPr>
          <w:rFonts w:ascii="Times New Roman" w:hAnsi="Times New Roman"/>
        </w:rPr>
        <w:t>VZ</w:t>
      </w:r>
      <w:r w:rsidR="00A96E2B">
        <w:rPr>
          <w:rFonts w:ascii="Times New Roman" w:hAnsi="Times New Roman"/>
        </w:rPr>
        <w:t xml:space="preserve">, </w:t>
      </w:r>
      <w:r w:rsidRPr="00DA691B">
        <w:rPr>
          <w:rFonts w:ascii="Times New Roman" w:hAnsi="Times New Roman"/>
        </w:rPr>
        <w:t xml:space="preserve">ktorá bude mať vplyv na zvýšenie počtu poistencov štátu, zohľadňuje </w:t>
      </w:r>
      <w:r w:rsidR="00A96E2B">
        <w:rPr>
          <w:rFonts w:ascii="Times New Roman" w:hAnsi="Times New Roman"/>
        </w:rPr>
        <w:t xml:space="preserve">sa </w:t>
      </w:r>
      <w:r w:rsidRPr="00DA691B">
        <w:rPr>
          <w:rFonts w:ascii="Times New Roman" w:hAnsi="Times New Roman"/>
        </w:rPr>
        <w:t>skutočnosť, že</w:t>
      </w:r>
      <w:r w:rsidR="00D10737">
        <w:rPr>
          <w:rFonts w:ascii="Times New Roman" w:hAnsi="Times New Roman"/>
        </w:rPr>
        <w:t xml:space="preserve"> nad úrovňou </w:t>
      </w:r>
      <w:r w:rsidR="004F66F8">
        <w:rPr>
          <w:rFonts w:ascii="Times New Roman" w:hAnsi="Times New Roman"/>
        </w:rPr>
        <w:t>OPVZ</w:t>
      </w:r>
      <w:r w:rsidR="00D10737">
        <w:rPr>
          <w:rFonts w:ascii="Times New Roman" w:hAnsi="Times New Roman"/>
        </w:rPr>
        <w:t xml:space="preserve"> sa z dohôd </w:t>
      </w:r>
      <w:r w:rsidR="00A96E2B">
        <w:rPr>
          <w:rFonts w:ascii="Times New Roman" w:hAnsi="Times New Roman"/>
        </w:rPr>
        <w:t xml:space="preserve">o prácach vykonávaných mimo pracovného pomeru </w:t>
      </w:r>
      <w:r w:rsidR="00D10737">
        <w:rPr>
          <w:rFonts w:ascii="Times New Roman" w:hAnsi="Times New Roman"/>
        </w:rPr>
        <w:t>bude platiť poistné</w:t>
      </w:r>
      <w:r w:rsidRPr="00DA691B">
        <w:rPr>
          <w:rFonts w:ascii="Times New Roman" w:hAnsi="Times New Roman"/>
        </w:rPr>
        <w:t xml:space="preserve"> bez ohľadu na skutočnosť</w:t>
      </w:r>
      <w:r w:rsidR="00A96E2B">
        <w:rPr>
          <w:rFonts w:ascii="Times New Roman" w:hAnsi="Times New Roman"/>
        </w:rPr>
        <w:t>,</w:t>
      </w:r>
      <w:r w:rsidRPr="00DA691B">
        <w:rPr>
          <w:rFonts w:ascii="Times New Roman" w:hAnsi="Times New Roman"/>
        </w:rPr>
        <w:t xml:space="preserve"> či príjem z dohody dosahuje aj poistenec štátu, zohľadňuje existenciu maximálneho poistného, zohľadňuje skutočn</w:t>
      </w:r>
      <w:r w:rsidR="00D10737">
        <w:rPr>
          <w:rFonts w:ascii="Times New Roman" w:hAnsi="Times New Roman"/>
        </w:rPr>
        <w:t xml:space="preserve">osť, že platba samoplatiteľov </w:t>
      </w:r>
      <w:r w:rsidR="00E62E7A">
        <w:rPr>
          <w:rFonts w:ascii="Times New Roman" w:hAnsi="Times New Roman"/>
        </w:rPr>
        <w:t xml:space="preserve">verejného </w:t>
      </w:r>
      <w:r w:rsidR="00D10737">
        <w:rPr>
          <w:rFonts w:ascii="Times New Roman" w:hAnsi="Times New Roman"/>
        </w:rPr>
        <w:t>zdravotného poistenia</w:t>
      </w:r>
      <w:r w:rsidR="003A639C">
        <w:rPr>
          <w:rFonts w:ascii="Times New Roman" w:hAnsi="Times New Roman"/>
        </w:rPr>
        <w:t xml:space="preserve"> (133 160 samoplatiteľov)</w:t>
      </w:r>
      <w:r w:rsidRPr="00DA691B">
        <w:rPr>
          <w:rFonts w:ascii="Times New Roman" w:hAnsi="Times New Roman"/>
        </w:rPr>
        <w:t xml:space="preserve"> sa nezmení (9</w:t>
      </w:r>
      <w:r w:rsidR="00D10737">
        <w:rPr>
          <w:rFonts w:ascii="Times New Roman" w:hAnsi="Times New Roman"/>
        </w:rPr>
        <w:t xml:space="preserve"> % z 0,512-násobku</w:t>
      </w:r>
      <w:r w:rsidR="00E62E7A">
        <w:rPr>
          <w:rFonts w:ascii="Times New Roman" w:hAnsi="Times New Roman"/>
        </w:rPr>
        <w:t xml:space="preserve"> hrubej mzdy prepočítanej na tzv. superhrubú úroveň</w:t>
      </w:r>
      <w:r w:rsidR="00AA54B4">
        <w:rPr>
          <w:rFonts w:ascii="Times New Roman" w:hAnsi="Times New Roman"/>
        </w:rPr>
        <w:t xml:space="preserve"> spred dvoch rokov, t.j. v roku 2012 ide o 9 % z 0,512-násobku zo sumy 1 033,54 eura</w:t>
      </w:r>
      <w:r w:rsidRPr="00DA691B">
        <w:rPr>
          <w:rFonts w:ascii="Times New Roman" w:hAnsi="Times New Roman"/>
        </w:rPr>
        <w:t xml:space="preserve">), zohľadňuje zmeny </w:t>
      </w:r>
      <w:r w:rsidR="00D10737">
        <w:rPr>
          <w:rFonts w:ascii="Times New Roman" w:hAnsi="Times New Roman"/>
        </w:rPr>
        <w:t>v platení poistného na verejné zdravotné poistenie pri pasívnych príjmoch</w:t>
      </w:r>
      <w:r w:rsidRPr="00DA691B">
        <w:rPr>
          <w:rFonts w:ascii="Times New Roman" w:hAnsi="Times New Roman"/>
        </w:rPr>
        <w:t xml:space="preserve"> (zrušenie </w:t>
      </w:r>
      <w:r w:rsidR="00D10737">
        <w:rPr>
          <w:rFonts w:ascii="Times New Roman" w:hAnsi="Times New Roman"/>
        </w:rPr>
        <w:t xml:space="preserve">poistného na verejné zdravotné poistenie </w:t>
      </w:r>
      <w:r w:rsidRPr="00DA691B">
        <w:rPr>
          <w:rFonts w:ascii="Times New Roman" w:hAnsi="Times New Roman"/>
        </w:rPr>
        <w:t>na prenájom, zrušenie platieb z kapitálových príjmov</w:t>
      </w:r>
      <w:r w:rsidR="00A96E2B">
        <w:rPr>
          <w:rFonts w:ascii="Times New Roman" w:hAnsi="Times New Roman"/>
        </w:rPr>
        <w:t xml:space="preserve"> a z príležitostných príjmov</w:t>
      </w:r>
      <w:r w:rsidRPr="00DA691B">
        <w:rPr>
          <w:rFonts w:ascii="Times New Roman" w:hAnsi="Times New Roman"/>
        </w:rPr>
        <w:t>)</w:t>
      </w:r>
      <w:r w:rsidR="00A96E2B">
        <w:rPr>
          <w:rFonts w:ascii="Times New Roman" w:hAnsi="Times New Roman"/>
        </w:rPr>
        <w:t>.</w:t>
      </w:r>
    </w:p>
    <w:p w:rsidR="00924823" w:rsidRPr="00DA691B" w:rsidP="00924823">
      <w:pPr>
        <w:bidi w:val="0"/>
        <w:ind w:left="426"/>
        <w:jc w:val="both"/>
        <w:rPr>
          <w:rFonts w:ascii="Times New Roman" w:hAnsi="Times New Roman"/>
        </w:rPr>
      </w:pPr>
    </w:p>
    <w:p w:rsidR="00924823" w:rsidRPr="00924823" w:rsidP="00924823">
      <w:pPr>
        <w:pStyle w:val="Odsekzoznamu2"/>
        <w:numPr>
          <w:numId w:val="27"/>
        </w:numPr>
        <w:bidi w:val="0"/>
        <w:ind w:left="426"/>
        <w:jc w:val="both"/>
        <w:rPr>
          <w:rFonts w:ascii="Times New Roman" w:hAnsi="Times New Roman"/>
          <w:b/>
          <w:sz w:val="24"/>
          <w:szCs w:val="24"/>
        </w:rPr>
      </w:pPr>
      <w:r w:rsidRPr="00924823">
        <w:rPr>
          <w:rFonts w:ascii="Times New Roman" w:hAnsi="Times New Roman"/>
          <w:b/>
          <w:sz w:val="24"/>
          <w:szCs w:val="24"/>
        </w:rPr>
        <w:t xml:space="preserve">Zavedenie maximálneho poistného na </w:t>
      </w:r>
      <w:r w:rsidR="00A96E2B">
        <w:rPr>
          <w:rFonts w:ascii="Times New Roman" w:hAnsi="Times New Roman"/>
          <w:b/>
          <w:sz w:val="24"/>
          <w:szCs w:val="24"/>
        </w:rPr>
        <w:t xml:space="preserve">verejné </w:t>
      </w:r>
      <w:r w:rsidRPr="00924823">
        <w:rPr>
          <w:rFonts w:ascii="Times New Roman" w:hAnsi="Times New Roman"/>
          <w:b/>
          <w:sz w:val="24"/>
          <w:szCs w:val="24"/>
        </w:rPr>
        <w:t>zdravotné poistenie</w:t>
      </w:r>
    </w:p>
    <w:p w:rsidR="00B97506" w:rsidP="00924823">
      <w:pPr>
        <w:bidi w:val="0"/>
        <w:ind w:left="426"/>
        <w:jc w:val="both"/>
        <w:rPr>
          <w:rFonts w:ascii="Times New Roman" w:hAnsi="Times New Roman"/>
        </w:rPr>
      </w:pPr>
      <w:r w:rsidR="00A96E2B">
        <w:rPr>
          <w:rFonts w:ascii="Times New Roman" w:hAnsi="Times New Roman"/>
        </w:rPr>
        <w:t xml:space="preserve">Predmetná zmena bola zohľadnená pri kvantifikáciách. Zavedenie </w:t>
      </w:r>
      <w:r w:rsidRPr="004B2597" w:rsidR="00924823">
        <w:rPr>
          <w:rFonts w:ascii="Times New Roman" w:hAnsi="Times New Roman"/>
        </w:rPr>
        <w:t xml:space="preserve">jednotnej sumy maximálneho ročného poistného na </w:t>
      </w:r>
      <w:r w:rsidRPr="00AA54B4" w:rsidR="00924823">
        <w:rPr>
          <w:rFonts w:ascii="Times New Roman" w:hAnsi="Times New Roman"/>
        </w:rPr>
        <w:t>úrovni 22,</w:t>
      </w:r>
      <w:r w:rsidRPr="00AA54B4" w:rsidR="003F788B">
        <w:rPr>
          <w:rFonts w:ascii="Times New Roman" w:hAnsi="Times New Roman"/>
        </w:rPr>
        <w:t>3444</w:t>
      </w:r>
      <w:r w:rsidRPr="00AA54B4" w:rsidR="00924823">
        <w:rPr>
          <w:rFonts w:ascii="Times New Roman" w:hAnsi="Times New Roman"/>
        </w:rPr>
        <w:t>-násobku</w:t>
      </w:r>
      <w:r w:rsidRPr="008465A6" w:rsidR="00924823">
        <w:rPr>
          <w:rFonts w:ascii="Times New Roman" w:hAnsi="Times New Roman"/>
        </w:rPr>
        <w:t xml:space="preserve"> sumy životného</w:t>
      </w:r>
      <w:r w:rsidRPr="004B2597" w:rsidR="00924823">
        <w:rPr>
          <w:rFonts w:ascii="Times New Roman" w:hAnsi="Times New Roman"/>
        </w:rPr>
        <w:t xml:space="preserve"> minima pre jednu plnoletú fyzickú osobu</w:t>
      </w:r>
      <w:r w:rsidR="00197760">
        <w:rPr>
          <w:rFonts w:ascii="Times New Roman" w:hAnsi="Times New Roman"/>
        </w:rPr>
        <w:t xml:space="preserve"> platného k 1. januáru daného roka</w:t>
      </w:r>
      <w:r w:rsidR="00A96E2B">
        <w:rPr>
          <w:rFonts w:ascii="Times New Roman" w:hAnsi="Times New Roman"/>
        </w:rPr>
        <w:t xml:space="preserve"> predstavuje</w:t>
      </w:r>
      <w:r>
        <w:rPr>
          <w:rFonts w:ascii="Times New Roman" w:hAnsi="Times New Roman"/>
        </w:rPr>
        <w:t xml:space="preserve"> </w:t>
      </w:r>
      <w:r w:rsidR="003A639C">
        <w:rPr>
          <w:rFonts w:ascii="Times New Roman" w:hAnsi="Times New Roman"/>
        </w:rPr>
        <w:t xml:space="preserve">v roku 2012 </w:t>
      </w:r>
      <w:r>
        <w:rPr>
          <w:rFonts w:ascii="Times New Roman" w:hAnsi="Times New Roman"/>
        </w:rPr>
        <w:t xml:space="preserve">sumu 4 241,63 eura za rok, čo znamená </w:t>
      </w:r>
      <w:r w:rsidR="003A639C">
        <w:rPr>
          <w:rFonts w:ascii="Times New Roman" w:hAnsi="Times New Roman"/>
        </w:rPr>
        <w:t>vyššiu</w:t>
      </w:r>
      <w:r>
        <w:rPr>
          <w:rFonts w:ascii="Times New Roman" w:hAnsi="Times New Roman"/>
        </w:rPr>
        <w:t xml:space="preserve"> sumu</w:t>
      </w:r>
      <w:r w:rsidR="00A96E2B">
        <w:rPr>
          <w:rFonts w:ascii="Times New Roman" w:hAnsi="Times New Roman"/>
        </w:rPr>
        <w:t xml:space="preserve"> oproti maximálnemu ročnému </w:t>
      </w:r>
      <w:r w:rsidRPr="00A86C7E" w:rsidR="00A96E2B">
        <w:rPr>
          <w:rFonts w:ascii="Times New Roman" w:hAnsi="Times New Roman"/>
        </w:rPr>
        <w:t>poistnému</w:t>
      </w:r>
      <w:r w:rsidRPr="00A86C7E" w:rsidR="003A639C">
        <w:rPr>
          <w:rFonts w:ascii="Times New Roman" w:hAnsi="Times New Roman"/>
        </w:rPr>
        <w:t xml:space="preserve">, ktoré by bolo platené v roku 2012 </w:t>
      </w:r>
      <w:r w:rsidRPr="00A86C7E">
        <w:rPr>
          <w:rFonts w:ascii="Times New Roman" w:hAnsi="Times New Roman"/>
        </w:rPr>
        <w:t>(3</w:t>
      </w:r>
      <w:r w:rsidRPr="00A86C7E" w:rsidR="003A639C">
        <w:rPr>
          <w:rFonts w:ascii="Times New Roman" w:hAnsi="Times New Roman"/>
        </w:rPr>
        <w:t> 875,76</w:t>
      </w:r>
      <w:r w:rsidRPr="00A86C7E">
        <w:rPr>
          <w:rFonts w:ascii="Times New Roman" w:hAnsi="Times New Roman"/>
        </w:rPr>
        <w:t xml:space="preserve"> eura)</w:t>
      </w:r>
      <w:r w:rsidRPr="00A86C7E" w:rsidR="00A96E2B">
        <w:rPr>
          <w:rFonts w:ascii="Times New Roman" w:hAnsi="Times New Roman"/>
        </w:rPr>
        <w:t xml:space="preserve"> o</w:t>
      </w:r>
      <w:r w:rsidRPr="00A86C7E" w:rsidR="003A639C">
        <w:rPr>
          <w:rFonts w:ascii="Times New Roman" w:hAnsi="Times New Roman"/>
        </w:rPr>
        <w:t> 365,87</w:t>
      </w:r>
      <w:r w:rsidRPr="00A86C7E">
        <w:rPr>
          <w:rFonts w:ascii="Times New Roman" w:hAnsi="Times New Roman"/>
        </w:rPr>
        <w:t xml:space="preserve"> eura, čo bude mať </w:t>
      </w:r>
      <w:r w:rsidRPr="00A86C7E" w:rsidR="003A639C">
        <w:rPr>
          <w:rFonts w:ascii="Times New Roman" w:hAnsi="Times New Roman"/>
        </w:rPr>
        <w:t>pozitívny</w:t>
      </w:r>
      <w:r w:rsidRPr="00A86C7E">
        <w:rPr>
          <w:rFonts w:ascii="Times New Roman" w:hAnsi="Times New Roman"/>
        </w:rPr>
        <w:t xml:space="preserve"> vplyv na výšku príjmov zdravotných poisťovní.</w:t>
      </w:r>
      <w:r>
        <w:rPr>
          <w:rFonts w:ascii="Times New Roman" w:hAnsi="Times New Roman"/>
        </w:rPr>
        <w:t xml:space="preserve"> </w:t>
      </w:r>
    </w:p>
    <w:p w:rsidR="00B97506" w:rsidP="00A86C7E">
      <w:pPr>
        <w:bidi w:val="0"/>
        <w:ind w:left="426" w:firstLine="708"/>
        <w:jc w:val="both"/>
        <w:rPr>
          <w:rFonts w:ascii="Times New Roman" w:hAnsi="Times New Roman"/>
        </w:rPr>
      </w:pPr>
    </w:p>
    <w:p w:rsidR="00FA765B" w:rsidRPr="00F42A98" w:rsidP="00A86C7E">
      <w:pPr>
        <w:pStyle w:val="Odsekzoznamu2"/>
        <w:numPr>
          <w:numId w:val="27"/>
        </w:numPr>
        <w:bidi w:val="0"/>
        <w:spacing w:before="120" w:after="120" w:line="240" w:lineRule="auto"/>
        <w:ind w:left="425" w:hanging="357"/>
        <w:jc w:val="both"/>
        <w:rPr>
          <w:rFonts w:ascii="Times New Roman" w:hAnsi="Times New Roman"/>
          <w:b/>
          <w:sz w:val="24"/>
          <w:szCs w:val="24"/>
        </w:rPr>
      </w:pPr>
      <w:r w:rsidRPr="00F42A98" w:rsidR="00E84D2E">
        <w:rPr>
          <w:rFonts w:ascii="Times New Roman" w:hAnsi="Times New Roman"/>
          <w:b/>
          <w:sz w:val="24"/>
          <w:szCs w:val="24"/>
        </w:rPr>
        <w:t>Vylúčenie príspevkov na starobné dôchodkové sporenie platených zamestnávateľom z vymeriavacieho základu na verejné zdravotné poistenie</w:t>
      </w:r>
      <w:r w:rsidRPr="00F42A98" w:rsidR="00BA6222">
        <w:rPr>
          <w:rFonts w:ascii="Times New Roman" w:hAnsi="Times New Roman"/>
          <w:b/>
          <w:sz w:val="24"/>
          <w:szCs w:val="24"/>
        </w:rPr>
        <w:t xml:space="preserve"> a </w:t>
      </w:r>
      <w:r w:rsidRPr="00A86C7E" w:rsidR="00BA6222">
        <w:rPr>
          <w:rFonts w:ascii="Times New Roman" w:hAnsi="Times New Roman"/>
          <w:b/>
          <w:sz w:val="24"/>
          <w:szCs w:val="24"/>
        </w:rPr>
        <w:t xml:space="preserve">príjmov zamestnanca poskytovaných zamestnávateľom podľa </w:t>
      </w:r>
      <w:r w:rsidRPr="00A86C7E" w:rsidR="00BA6222">
        <w:rPr>
          <w:rFonts w:ascii="Times New Roman" w:hAnsi="Times New Roman"/>
          <w:b/>
          <w:color w:val="000000"/>
          <w:sz w:val="24"/>
          <w:szCs w:val="24"/>
          <w:lang w:eastAsia="en-US"/>
        </w:rPr>
        <w:t xml:space="preserve">§ 50a zákona č. 5/2004 Z. z. o službách zamestnanosti a o zmene a doplnení niektorých zákonov v znení neskorších predpisov </w:t>
      </w:r>
      <w:r w:rsidRPr="00F42A98" w:rsidR="00BA6222">
        <w:rPr>
          <w:rFonts w:ascii="Times New Roman" w:hAnsi="Times New Roman"/>
          <w:b/>
          <w:sz w:val="24"/>
          <w:szCs w:val="24"/>
        </w:rPr>
        <w:t>z vymeriavacieho základu na verejné zdravotné poistenie</w:t>
      </w:r>
    </w:p>
    <w:p w:rsidR="00BA6222" w:rsidRPr="00A86C7E" w:rsidP="00A86C7E">
      <w:pPr>
        <w:pStyle w:val="Odsekzoznamu2"/>
        <w:bidi w:val="0"/>
        <w:spacing w:line="240" w:lineRule="auto"/>
        <w:ind w:left="425"/>
        <w:jc w:val="both"/>
        <w:rPr>
          <w:rFonts w:ascii="Times New Roman" w:hAnsi="Times New Roman"/>
          <w:sz w:val="24"/>
          <w:szCs w:val="24"/>
        </w:rPr>
      </w:pPr>
      <w:r w:rsidRPr="00A86C7E">
        <w:rPr>
          <w:rFonts w:ascii="Times New Roman" w:hAnsi="Times New Roman"/>
          <w:sz w:val="24"/>
          <w:szCs w:val="24"/>
        </w:rPr>
        <w:t>Vylúčením týchto príjmov z vymeriavacieho základu na verejné zdravotné poi</w:t>
      </w:r>
      <w:r w:rsidRPr="00BA6222">
        <w:rPr>
          <w:rFonts w:ascii="Times New Roman" w:hAnsi="Times New Roman"/>
          <w:sz w:val="24"/>
          <w:szCs w:val="24"/>
        </w:rPr>
        <w:t>stenie bol zosúladen</w:t>
      </w:r>
      <w:r>
        <w:rPr>
          <w:rFonts w:ascii="Times New Roman" w:hAnsi="Times New Roman"/>
          <w:sz w:val="24"/>
          <w:szCs w:val="24"/>
        </w:rPr>
        <w:t>ý</w:t>
      </w:r>
      <w:r w:rsidRPr="00BA6222">
        <w:rPr>
          <w:rFonts w:ascii="Times New Roman" w:hAnsi="Times New Roman"/>
          <w:sz w:val="24"/>
          <w:szCs w:val="24"/>
        </w:rPr>
        <w:t xml:space="preserve"> vymeriavac</w:t>
      </w:r>
      <w:r>
        <w:rPr>
          <w:rFonts w:ascii="Times New Roman" w:hAnsi="Times New Roman"/>
          <w:sz w:val="24"/>
          <w:szCs w:val="24"/>
        </w:rPr>
        <w:t>í</w:t>
      </w:r>
      <w:r w:rsidRPr="00BA6222">
        <w:rPr>
          <w:rFonts w:ascii="Times New Roman" w:hAnsi="Times New Roman"/>
          <w:sz w:val="24"/>
          <w:szCs w:val="24"/>
        </w:rPr>
        <w:t xml:space="preserve"> základ na </w:t>
      </w:r>
      <w:r>
        <w:rPr>
          <w:rFonts w:ascii="Times New Roman" w:hAnsi="Times New Roman"/>
          <w:sz w:val="24"/>
          <w:szCs w:val="24"/>
        </w:rPr>
        <w:t>verejné zdravotné poistenie</w:t>
      </w:r>
      <w:r w:rsidRPr="00A86C7E">
        <w:rPr>
          <w:rFonts w:ascii="Times New Roman" w:hAnsi="Times New Roman"/>
          <w:sz w:val="24"/>
          <w:szCs w:val="24"/>
        </w:rPr>
        <w:t xml:space="preserve"> </w:t>
      </w:r>
      <w:r>
        <w:rPr>
          <w:rFonts w:ascii="Times New Roman" w:hAnsi="Times New Roman"/>
          <w:sz w:val="24"/>
          <w:szCs w:val="24"/>
        </w:rPr>
        <w:t>s vymeriavacím základom na sociálne poistenie</w:t>
      </w:r>
      <w:r w:rsidR="00F0537C">
        <w:rPr>
          <w:rFonts w:ascii="Times New Roman" w:hAnsi="Times New Roman"/>
          <w:sz w:val="24"/>
          <w:szCs w:val="24"/>
        </w:rPr>
        <w:t xml:space="preserve"> s cieľom zachovať podporu doplnkovému dôchodkovému sporeniu, a to aj vzhľadom k tomu, že pre časť zamestnávateľov sú príspevky na doplnkové dôchodkové sporenie povinnými príspevkami definovanými právnym predpisom.  </w:t>
      </w:r>
      <w:r>
        <w:rPr>
          <w:rFonts w:ascii="Times New Roman" w:hAnsi="Times New Roman"/>
          <w:sz w:val="24"/>
          <w:szCs w:val="24"/>
        </w:rPr>
        <w:t xml:space="preserve">Uvedené </w:t>
      </w:r>
      <w:r w:rsidR="00057A96">
        <w:rPr>
          <w:rFonts w:ascii="Times New Roman" w:hAnsi="Times New Roman"/>
          <w:sz w:val="24"/>
          <w:szCs w:val="24"/>
        </w:rPr>
        <w:t xml:space="preserve">zosúladenie vymeriavacích základov bude mať negatívny vplyv na príjmy </w:t>
      </w:r>
      <w:r w:rsidRPr="008B0F92" w:rsidR="00057A96">
        <w:rPr>
          <w:rFonts w:ascii="Times New Roman" w:hAnsi="Times New Roman"/>
          <w:sz w:val="24"/>
          <w:szCs w:val="24"/>
        </w:rPr>
        <w:t>zdravotných poisťovní. Vo výške 14 mil. eur v roku 2012, 15 mil. eur v roku 2013 a 16 mil. eur v roku 2014.</w:t>
      </w:r>
      <w:r w:rsidRPr="008B0F92">
        <w:rPr>
          <w:rFonts w:ascii="Times New Roman" w:hAnsi="Times New Roman"/>
          <w:sz w:val="24"/>
          <w:szCs w:val="24"/>
        </w:rPr>
        <w:t xml:space="preserve"> Vylúčenie príjmov zamestnanca poskytovaných zamestnávateľom podľa § 50a zákona č. 5/2004 Z. z. o službách v zamestnanosti a o zmene a doplnení niektorých zákonov v znení neskorších predpisov bude realizované v prechodnom období, nakoľko s účinnosťou od 1. januára 2012 sa § 50a vypúšťa zo zákona a z tohto dôvodu uvedené príjmy budú dobiehať dva roky na základe dohôd uzatvorených do 31. decembra 2011.</w:t>
      </w:r>
    </w:p>
    <w:p w:rsidR="00FA765B" w:rsidRPr="00772706" w:rsidP="00A86C7E">
      <w:pPr>
        <w:numPr>
          <w:numId w:val="27"/>
        </w:numPr>
        <w:bidi w:val="0"/>
        <w:spacing w:before="120"/>
        <w:ind w:left="425" w:hanging="425"/>
        <w:jc w:val="both"/>
        <w:rPr>
          <w:rFonts w:ascii="Times New Roman" w:hAnsi="Times New Roman"/>
          <w:color w:val="000000"/>
        </w:rPr>
      </w:pPr>
      <w:r w:rsidRPr="00772706">
        <w:rPr>
          <w:rFonts w:ascii="Times New Roman" w:hAnsi="Times New Roman"/>
          <w:b/>
          <w:color w:val="000000"/>
        </w:rPr>
        <w:t>Výpadok príjmov z poistného plateného zamestnávateľom z jedného percenta</w:t>
      </w:r>
      <w:r>
        <w:rPr>
          <w:rFonts w:ascii="Times New Roman" w:hAnsi="Times New Roman"/>
          <w:b/>
        </w:rPr>
        <w:t xml:space="preserve"> zo vstupnej ceny vozidla poskytnutého zamestnávateľom na používanie zamestnancovi na služobné aj súkromné účely</w:t>
      </w:r>
    </w:p>
    <w:p w:rsidR="00FA765B" w:rsidRPr="004B2597" w:rsidP="00A86C7E">
      <w:pPr>
        <w:bidi w:val="0"/>
        <w:spacing w:before="120" w:after="120"/>
        <w:ind w:left="425"/>
        <w:jc w:val="both"/>
        <w:rPr>
          <w:rFonts w:ascii="Times New Roman" w:hAnsi="Times New Roman"/>
          <w:color w:val="000000"/>
        </w:rPr>
      </w:pPr>
      <w:r>
        <w:rPr>
          <w:rFonts w:ascii="Times New Roman" w:hAnsi="Times New Roman"/>
          <w:color w:val="000000"/>
        </w:rPr>
        <w:t>V súčasnosti ak zamestnávateľ poskytne zamestnancovi vozidlo na používanie na služobné aj súkromné účely, z </w:t>
      </w:r>
      <w:r w:rsidRPr="008B0F92">
        <w:rPr>
          <w:rFonts w:ascii="Times New Roman" w:hAnsi="Times New Roman"/>
          <w:color w:val="000000"/>
        </w:rPr>
        <w:t xml:space="preserve">1 % zo vstupnej ceny tohto vozidla platí poistné zamestnanec aj zamestnávateľ. Vzhľadom k tomu, že pri úprave príjmu zo závislej činnosti nedochádza k zvýšeniu 1 %, prejaví sa uvedené vo výpadku príjmov </w:t>
      </w:r>
      <w:r w:rsidRPr="008B0F92" w:rsidR="00F42A98">
        <w:rPr>
          <w:rFonts w:ascii="Times New Roman" w:hAnsi="Times New Roman"/>
          <w:color w:val="000000"/>
        </w:rPr>
        <w:t xml:space="preserve">zdravotných poisťovní </w:t>
      </w:r>
      <w:r w:rsidRPr="008B0F92">
        <w:rPr>
          <w:rFonts w:ascii="Times New Roman" w:hAnsi="Times New Roman"/>
          <w:color w:val="000000"/>
        </w:rPr>
        <w:t xml:space="preserve">z dôvodu toho, že nedošlo k presunu poistného na </w:t>
      </w:r>
      <w:r w:rsidRPr="008B0F92" w:rsidR="00F42A98">
        <w:rPr>
          <w:rFonts w:ascii="Times New Roman" w:hAnsi="Times New Roman"/>
          <w:color w:val="000000"/>
        </w:rPr>
        <w:t xml:space="preserve">verejné zdravotné poistenie </w:t>
      </w:r>
      <w:r w:rsidRPr="008B0F92">
        <w:rPr>
          <w:rFonts w:ascii="Times New Roman" w:hAnsi="Times New Roman"/>
          <w:color w:val="000000"/>
        </w:rPr>
        <w:t xml:space="preserve"> plateného zamestnávateľom na zamestnanca.</w:t>
      </w:r>
      <w:r w:rsidRPr="008B0F92" w:rsidR="00057A96">
        <w:rPr>
          <w:rFonts w:ascii="Times New Roman" w:hAnsi="Times New Roman"/>
          <w:color w:val="000000"/>
        </w:rPr>
        <w:t xml:space="preserve"> Výpadok poistného v rokoch 2012 – 2014 sa predpokladá na úrovni 0,5-0,6 mil. eur.</w:t>
      </w:r>
    </w:p>
    <w:p w:rsidR="00E84D2E" w:rsidP="00A86C7E">
      <w:pPr>
        <w:bidi w:val="0"/>
        <w:ind w:left="426" w:firstLine="708"/>
        <w:jc w:val="both"/>
        <w:rPr>
          <w:rFonts w:ascii="Times New Roman" w:hAnsi="Times New Roman"/>
        </w:rPr>
      </w:pPr>
    </w:p>
    <w:p w:rsidR="00A22617" w:rsidRPr="000935BB" w:rsidP="000935BB">
      <w:pPr>
        <w:keepNext/>
        <w:bidi w:val="0"/>
        <w:spacing w:after="120"/>
        <w:jc w:val="both"/>
        <w:rPr>
          <w:rFonts w:ascii="Times New Roman" w:hAnsi="Times New Roman"/>
          <w:u w:val="single"/>
        </w:rPr>
      </w:pPr>
      <w:r w:rsidR="00B97506">
        <w:rPr>
          <w:rFonts w:ascii="Times New Roman" w:hAnsi="Times New Roman"/>
          <w:u w:val="single"/>
        </w:rPr>
        <w:t xml:space="preserve"> </w:t>
      </w:r>
      <w:r>
        <w:rPr>
          <w:rFonts w:ascii="Times New Roman" w:hAnsi="Times New Roman"/>
          <w:u w:val="single"/>
        </w:rPr>
        <w:t xml:space="preserve">II. </w:t>
      </w:r>
      <w:r w:rsidRPr="000935BB">
        <w:rPr>
          <w:rFonts w:ascii="Times New Roman" w:hAnsi="Times New Roman"/>
          <w:u w:val="single"/>
        </w:rPr>
        <w:t>Kvantifikácia výdavkov</w:t>
      </w:r>
    </w:p>
    <w:p w:rsidR="00E84D2E" w:rsidP="00E62E7A">
      <w:pPr>
        <w:bidi w:val="0"/>
        <w:jc w:val="both"/>
        <w:rPr>
          <w:rFonts w:ascii="Times New Roman" w:hAnsi="Times New Roman"/>
          <w:szCs w:val="22"/>
        </w:rPr>
      </w:pPr>
      <w:r w:rsidR="00E62E7A">
        <w:rPr>
          <w:rFonts w:ascii="Times New Roman" w:hAnsi="Times New Roman"/>
          <w:szCs w:val="22"/>
        </w:rPr>
        <w:t xml:space="preserve">     </w:t>
      </w:r>
      <w:r w:rsidR="00A22617">
        <w:rPr>
          <w:rFonts w:ascii="Times New Roman" w:hAnsi="Times New Roman"/>
          <w:szCs w:val="22"/>
        </w:rPr>
        <w:t>Vzhľadom na to, že sa v krátkom čase realizujú ďalšie zmeny a navrhované opatrenia (zákon č. 499/2011 Z. z. – úplné naviazanie na zákon o dani z príjmov a od 1. 5. 2011 – presun ročného zúčtovania na zdravotné poisťovne), administrácia navrhovaných úkonov bude mať výrazné vplyv na informačné systémy zdravotných poisťovní.</w:t>
      </w:r>
      <w:r>
        <w:rPr>
          <w:rFonts w:ascii="Times New Roman" w:hAnsi="Times New Roman"/>
          <w:szCs w:val="22"/>
        </w:rPr>
        <w:t xml:space="preserve"> V kvantifikácii sa odhadujú výdavky zdravotných poisťovní na informačné systémy v sume cca 4,8 mil. eura.</w:t>
      </w:r>
    </w:p>
    <w:p w:rsidR="001C0A63" w:rsidP="00E62E7A">
      <w:pPr>
        <w:bidi w:val="0"/>
        <w:jc w:val="both"/>
        <w:rPr>
          <w:rFonts w:ascii="Times New Roman" w:hAnsi="Times New Roman"/>
          <w:szCs w:val="22"/>
        </w:rPr>
      </w:pPr>
      <w:r w:rsidR="00E84D2E">
        <w:rPr>
          <w:rFonts w:ascii="Times New Roman" w:hAnsi="Times New Roman"/>
          <w:szCs w:val="22"/>
        </w:rPr>
        <w:t xml:space="preserve">     </w:t>
      </w:r>
      <w:r w:rsidR="00A22617">
        <w:rPr>
          <w:rFonts w:ascii="Times New Roman" w:hAnsi="Times New Roman"/>
          <w:szCs w:val="22"/>
        </w:rPr>
        <w:t>V</w:t>
      </w:r>
      <w:r w:rsidRPr="001649F0" w:rsidR="00A22617">
        <w:rPr>
          <w:rFonts w:ascii="Times New Roman" w:hAnsi="Times New Roman"/>
          <w:szCs w:val="22"/>
        </w:rPr>
        <w:t xml:space="preserve">yššie </w:t>
      </w:r>
      <w:r w:rsidRPr="00A86C7E" w:rsidR="00A22617">
        <w:rPr>
          <w:rFonts w:ascii="Times New Roman" w:hAnsi="Times New Roman"/>
          <w:szCs w:val="22"/>
        </w:rPr>
        <w:t xml:space="preserve">príjmy budú použité na financovanie zdravotnej starostlivosti. Rozšírenie vymeriavacích základov pre platenie </w:t>
      </w:r>
      <w:r w:rsidRPr="00A86C7E" w:rsidR="00E62E7A">
        <w:rPr>
          <w:rFonts w:ascii="Times New Roman" w:hAnsi="Times New Roman"/>
          <w:szCs w:val="22"/>
        </w:rPr>
        <w:t xml:space="preserve">verejného </w:t>
      </w:r>
      <w:r w:rsidRPr="00A86C7E" w:rsidR="00A22617">
        <w:rPr>
          <w:rFonts w:ascii="Times New Roman" w:hAnsi="Times New Roman"/>
          <w:szCs w:val="22"/>
        </w:rPr>
        <w:t>zdravotného poistenia bude mať vplyv na nárast výdavkov na poistné platené zamestnávateľom, čo v prípade zamestnancov vo verejnej správe bude mať vplyv na nárast výdavkov rozpočtu verejnej správy (kategória rozpočtovej klasifikácie 620)</w:t>
      </w:r>
      <w:r w:rsidRPr="00A86C7E" w:rsidR="00E84D2E">
        <w:rPr>
          <w:rFonts w:ascii="Times New Roman" w:hAnsi="Times New Roman"/>
          <w:szCs w:val="22"/>
        </w:rPr>
        <w:t xml:space="preserve">. </w:t>
      </w:r>
      <w:r w:rsidRPr="00A86C7E" w:rsidR="00A22617">
        <w:rPr>
          <w:rFonts w:ascii="Times New Roman" w:hAnsi="Times New Roman"/>
          <w:szCs w:val="22"/>
        </w:rPr>
        <w:t>V prípade štátneho rozpočtu budú zvýšené nároky na rozpočet vykryté v rámci výdavkových limitov kapitol na príslušný rok.</w:t>
      </w:r>
    </w:p>
    <w:p w:rsidR="001C0A63" w:rsidP="00E62E7A">
      <w:pPr>
        <w:bidi w:val="0"/>
        <w:jc w:val="both"/>
        <w:rPr>
          <w:rFonts w:ascii="Times New Roman" w:hAnsi="Times New Roman"/>
          <w:szCs w:val="22"/>
        </w:rPr>
        <w:sectPr w:rsidSect="00F009D0">
          <w:pgSz w:w="11906" w:h="16838"/>
          <w:pgMar w:top="1276" w:right="1417" w:bottom="1560" w:left="1417" w:header="708" w:footer="708" w:gutter="0"/>
          <w:lnNumType w:distance="0"/>
          <w:pgNumType w:start="0"/>
          <w:cols w:space="708"/>
          <w:noEndnote w:val="0"/>
          <w:titlePg/>
          <w:bidi w:val="0"/>
          <w:docGrid w:linePitch="360"/>
        </w:sectPr>
      </w:pPr>
    </w:p>
    <w:p w:rsidR="001C0A63" w:rsidP="006727E0">
      <w:pPr>
        <w:pStyle w:val="NormalWeb"/>
        <w:bidi w:val="0"/>
        <w:spacing w:before="0" w:beforeAutospacing="0" w:after="120" w:afterAutospacing="0"/>
        <w:ind w:right="677"/>
        <w:jc w:val="right"/>
        <w:rPr>
          <w:rFonts w:ascii="Times New Roman" w:hAnsi="Times New Roman"/>
          <w:sz w:val="22"/>
          <w:szCs w:val="22"/>
        </w:rPr>
      </w:pPr>
      <w:r w:rsidR="006727E0">
        <w:rPr>
          <w:rFonts w:ascii="Times New Roman" w:hAnsi="Times New Roman"/>
          <w:sz w:val="22"/>
          <w:szCs w:val="22"/>
        </w:rPr>
        <w:t xml:space="preserve">Tabuľka č. </w:t>
      </w:r>
      <w:r w:rsidR="005D2E9C">
        <w:rPr>
          <w:rFonts w:ascii="Times New Roman" w:hAnsi="Times New Roman"/>
          <w:sz w:val="22"/>
          <w:szCs w:val="22"/>
        </w:rPr>
        <w:t>10</w:t>
      </w:r>
    </w:p>
    <w:tbl>
      <w:tblPr>
        <w:tblStyle w:val="TableNormal"/>
        <w:tblW w:w="13056" w:type="dxa"/>
        <w:tblInd w:w="392" w:type="dxa"/>
        <w:tblLook w:val="00A0"/>
      </w:tblPr>
      <w:tblGrid>
        <w:gridCol w:w="1260"/>
        <w:gridCol w:w="9"/>
        <w:gridCol w:w="4101"/>
        <w:gridCol w:w="9"/>
        <w:gridCol w:w="1563"/>
        <w:gridCol w:w="9"/>
        <w:gridCol w:w="1550"/>
        <w:gridCol w:w="9"/>
        <w:gridCol w:w="1551"/>
        <w:gridCol w:w="9"/>
        <w:gridCol w:w="1550"/>
        <w:gridCol w:w="9"/>
        <w:gridCol w:w="1418"/>
        <w:gridCol w:w="9"/>
      </w:tblGrid>
      <w:tr>
        <w:tblPrEx>
          <w:tblW w:w="13056" w:type="dxa"/>
          <w:tblInd w:w="392" w:type="dxa"/>
          <w:tblLook w:val="00A0"/>
        </w:tblPrEx>
        <w:trPr>
          <w:gridAfter w:val="1"/>
          <w:wAfter w:w="9" w:type="dxa"/>
          <w:trHeight w:val="315"/>
        </w:trPr>
        <w:tc>
          <w:tcPr>
            <w:tcW w:w="1260" w:type="dxa"/>
            <w:tcBorders>
              <w:top w:val="single" w:sz="4" w:space="0" w:color="auto"/>
              <w:left w:val="single" w:sz="4" w:space="0" w:color="auto"/>
              <w:bottom w:val="nil"/>
              <w:right w:val="nil"/>
            </w:tcBorders>
            <w:shd w:val="clear" w:color="000000" w:fill="000000"/>
            <w:noWrap/>
            <w:textDirection w:val="lrTb"/>
            <w:vAlign w:val="bottom"/>
          </w:tcPr>
          <w:p w:rsidR="00A231F2" w:rsidRPr="00F75B9D" w:rsidP="00A231F2">
            <w:pPr>
              <w:bidi w:val="0"/>
              <w:spacing w:before="60" w:after="60"/>
              <w:rPr>
                <w:rFonts w:ascii="Times New Roman" w:hAnsi="Times New Roman"/>
                <w:b/>
                <w:bCs/>
                <w:color w:val="FFFFFF"/>
                <w:sz w:val="20"/>
                <w:szCs w:val="20"/>
                <w:lang w:eastAsia="en-US"/>
              </w:rPr>
            </w:pPr>
            <w:r w:rsidRPr="00F75B9D">
              <w:rPr>
                <w:rFonts w:ascii="Times New Roman" w:hAnsi="Times New Roman"/>
                <w:b/>
                <w:bCs/>
                <w:color w:val="FFFFFF"/>
                <w:sz w:val="20"/>
                <w:szCs w:val="20"/>
                <w:lang w:eastAsia="en-US"/>
              </w:rPr>
              <w:t> </w:t>
            </w:r>
          </w:p>
        </w:tc>
        <w:tc>
          <w:tcPr>
            <w:tcW w:w="4110" w:type="dxa"/>
            <w:gridSpan w:val="2"/>
            <w:tcBorders>
              <w:top w:val="single" w:sz="4" w:space="0" w:color="auto"/>
              <w:left w:val="nil"/>
              <w:bottom w:val="nil"/>
              <w:right w:val="nil"/>
            </w:tcBorders>
            <w:shd w:val="clear" w:color="000000" w:fill="000000"/>
            <w:noWrap/>
            <w:textDirection w:val="lrTb"/>
            <w:vAlign w:val="bottom"/>
          </w:tcPr>
          <w:p w:rsidR="00A231F2" w:rsidRPr="00F75B9D" w:rsidP="00A231F2">
            <w:pPr>
              <w:bidi w:val="0"/>
              <w:spacing w:before="60" w:after="60"/>
              <w:rPr>
                <w:rFonts w:ascii="Times New Roman" w:hAnsi="Times New Roman"/>
                <w:b/>
                <w:bCs/>
                <w:color w:val="FFFFFF"/>
                <w:sz w:val="20"/>
                <w:szCs w:val="20"/>
                <w:lang w:eastAsia="en-US"/>
              </w:rPr>
            </w:pPr>
            <w:r w:rsidRPr="00F75B9D">
              <w:rPr>
                <w:rFonts w:ascii="Times New Roman" w:hAnsi="Times New Roman"/>
                <w:b/>
                <w:bCs/>
                <w:color w:val="FFFFFF"/>
                <w:sz w:val="20"/>
                <w:szCs w:val="20"/>
              </w:rPr>
              <w:t xml:space="preserve">Príjmy </w:t>
            </w:r>
            <w:r w:rsidRPr="00705F05">
              <w:rPr>
                <w:rFonts w:ascii="Times New Roman" w:hAnsi="Times New Roman"/>
                <w:b/>
                <w:bCs/>
                <w:color w:val="FFFFFF"/>
                <w:sz w:val="20"/>
                <w:szCs w:val="20"/>
              </w:rPr>
              <w:t>(</w:t>
            </w:r>
            <w:r>
              <w:rPr>
                <w:rFonts w:ascii="Times New Roman" w:hAnsi="Times New Roman"/>
                <w:b/>
                <w:bCs/>
                <w:color w:val="FFFFFF"/>
                <w:sz w:val="20"/>
                <w:szCs w:val="20"/>
              </w:rPr>
              <w:t xml:space="preserve">ESA 95, </w:t>
            </w:r>
            <w:r w:rsidRPr="00705F05">
              <w:rPr>
                <w:rFonts w:ascii="Times New Roman" w:hAnsi="Times New Roman"/>
                <w:b/>
                <w:bCs/>
                <w:color w:val="FFFFFF"/>
                <w:sz w:val="20"/>
                <w:szCs w:val="20"/>
              </w:rPr>
              <w:t>v eurách)</w:t>
            </w:r>
          </w:p>
        </w:tc>
        <w:tc>
          <w:tcPr>
            <w:tcW w:w="6250" w:type="dxa"/>
            <w:gridSpan w:val="8"/>
            <w:tcBorders>
              <w:top w:val="single" w:sz="4" w:space="0" w:color="auto"/>
              <w:left w:val="nil"/>
              <w:bottom w:val="nil"/>
              <w:right w:val="nil"/>
            </w:tcBorders>
            <w:shd w:val="clear" w:color="000000" w:fill="000000"/>
            <w:noWrap/>
            <w:textDirection w:val="lrTb"/>
            <w:vAlign w:val="bottom"/>
          </w:tcPr>
          <w:p w:rsidR="00A231F2" w:rsidRPr="00F75B9D" w:rsidP="00A231F2">
            <w:pPr>
              <w:bidi w:val="0"/>
              <w:spacing w:before="120" w:after="120"/>
              <w:jc w:val="center"/>
              <w:rPr>
                <w:rFonts w:ascii="Times New Roman" w:hAnsi="Times New Roman"/>
                <w:b/>
                <w:bCs/>
                <w:color w:val="FFFFFF"/>
                <w:sz w:val="20"/>
                <w:szCs w:val="20"/>
                <w:lang w:eastAsia="en-US"/>
              </w:rPr>
            </w:pPr>
            <w:r w:rsidRPr="00F75B9D">
              <w:rPr>
                <w:rFonts w:ascii="Times New Roman" w:hAnsi="Times New Roman"/>
                <w:b/>
                <w:bCs/>
                <w:color w:val="FFFFFF"/>
                <w:sz w:val="20"/>
                <w:szCs w:val="20"/>
              </w:rPr>
              <w:t>Vplyv na rozpočet verejnej správy</w:t>
            </w:r>
          </w:p>
        </w:tc>
        <w:tc>
          <w:tcPr>
            <w:tcW w:w="1427" w:type="dxa"/>
            <w:gridSpan w:val="2"/>
            <w:vMerge w:val="restart"/>
            <w:tcBorders>
              <w:top w:val="single" w:sz="4" w:space="0" w:color="auto"/>
              <w:left w:val="nil"/>
              <w:bottom w:val="none" w:sz="0" w:space="0" w:color="auto"/>
              <w:right w:val="nil"/>
            </w:tcBorders>
            <w:shd w:val="clear" w:color="000000" w:fill="000000"/>
            <w:textDirection w:val="lrTb"/>
            <w:vAlign w:val="center"/>
          </w:tcPr>
          <w:p w:rsidR="00A231F2" w:rsidRPr="00772706" w:rsidP="00A231F2">
            <w:pPr>
              <w:pStyle w:val="NormalWeb"/>
              <w:bidi w:val="0"/>
              <w:spacing w:before="60" w:beforeAutospacing="0" w:after="60" w:afterAutospacing="0"/>
              <w:jc w:val="center"/>
              <w:rPr>
                <w:rFonts w:ascii="Times New Roman" w:hAnsi="Times New Roman"/>
                <w:sz w:val="20"/>
                <w:szCs w:val="20"/>
              </w:rPr>
            </w:pPr>
            <w:r w:rsidRPr="00F75B9D">
              <w:rPr>
                <w:rFonts w:ascii="Times New Roman" w:hAnsi="Times New Roman"/>
                <w:b/>
                <w:bCs/>
                <w:color w:val="FFFFFF"/>
                <w:sz w:val="20"/>
                <w:szCs w:val="20"/>
              </w:rPr>
              <w:t>Poznámka</w:t>
            </w:r>
          </w:p>
        </w:tc>
      </w:tr>
      <w:tr>
        <w:tblPrEx>
          <w:tblW w:w="13056" w:type="dxa"/>
          <w:tblInd w:w="392" w:type="dxa"/>
          <w:tblLook w:val="00A0"/>
        </w:tblPrEx>
        <w:trPr>
          <w:gridAfter w:val="1"/>
          <w:wAfter w:w="9" w:type="dxa"/>
          <w:trHeight w:val="315"/>
        </w:trPr>
        <w:tc>
          <w:tcPr>
            <w:tcW w:w="1260" w:type="dxa"/>
            <w:tcBorders>
              <w:top w:val="nil"/>
              <w:left w:val="single" w:sz="4" w:space="0" w:color="auto"/>
              <w:bottom w:val="nil"/>
              <w:right w:val="nil"/>
            </w:tcBorders>
            <w:shd w:val="clear" w:color="000000" w:fill="000000"/>
            <w:noWrap/>
            <w:textDirection w:val="lrTb"/>
            <w:vAlign w:val="bottom"/>
          </w:tcPr>
          <w:p w:rsidR="00A231F2" w:rsidRPr="00F75B9D" w:rsidP="00A231F2">
            <w:pPr>
              <w:bidi w:val="0"/>
              <w:spacing w:before="60" w:after="60"/>
              <w:rPr>
                <w:rFonts w:ascii="Times New Roman" w:hAnsi="Times New Roman"/>
                <w:b/>
                <w:bCs/>
                <w:color w:val="FFFFFF"/>
                <w:sz w:val="20"/>
                <w:szCs w:val="20"/>
                <w:lang w:eastAsia="en-US"/>
              </w:rPr>
            </w:pPr>
            <w:r w:rsidRPr="00F75B9D">
              <w:rPr>
                <w:rFonts w:ascii="Times New Roman" w:hAnsi="Times New Roman"/>
                <w:b/>
                <w:bCs/>
                <w:color w:val="FFFFFF"/>
                <w:sz w:val="20"/>
                <w:szCs w:val="20"/>
                <w:lang w:eastAsia="en-US"/>
              </w:rPr>
              <w:t> </w:t>
            </w:r>
          </w:p>
        </w:tc>
        <w:tc>
          <w:tcPr>
            <w:tcW w:w="4110" w:type="dxa"/>
            <w:gridSpan w:val="2"/>
            <w:tcBorders>
              <w:top w:val="nil"/>
              <w:left w:val="nil"/>
              <w:bottom w:val="nil"/>
              <w:right w:val="nil"/>
            </w:tcBorders>
            <w:shd w:val="clear" w:color="000000" w:fill="000000"/>
            <w:noWrap/>
            <w:textDirection w:val="lrTb"/>
            <w:vAlign w:val="bottom"/>
          </w:tcPr>
          <w:p w:rsidR="00A231F2" w:rsidRPr="00F75B9D" w:rsidP="00A231F2">
            <w:pPr>
              <w:bidi w:val="0"/>
              <w:spacing w:before="120" w:after="120"/>
              <w:rPr>
                <w:rFonts w:ascii="Times New Roman" w:hAnsi="Times New Roman"/>
                <w:b/>
                <w:bCs/>
                <w:color w:val="FFFFFF"/>
                <w:sz w:val="20"/>
                <w:szCs w:val="20"/>
                <w:u w:val="single"/>
                <w:lang w:eastAsia="en-US"/>
              </w:rPr>
            </w:pPr>
            <w:r w:rsidRPr="00F75B9D">
              <w:rPr>
                <w:rFonts w:ascii="Times New Roman" w:hAnsi="Times New Roman"/>
                <w:b/>
                <w:bCs/>
                <w:color w:val="FFFFFF"/>
                <w:sz w:val="20"/>
                <w:szCs w:val="20"/>
                <w:u w:val="single"/>
                <w:lang w:eastAsia="en-US"/>
              </w:rPr>
              <w:t>Štátny rozpočet</w:t>
            </w:r>
          </w:p>
        </w:tc>
        <w:tc>
          <w:tcPr>
            <w:tcW w:w="1572" w:type="dxa"/>
            <w:gridSpan w:val="2"/>
            <w:tcBorders>
              <w:top w:val="nil"/>
              <w:left w:val="nil"/>
              <w:bottom w:val="nil"/>
              <w:right w:val="nil"/>
            </w:tcBorders>
            <w:shd w:val="clear" w:color="000000" w:fill="000000"/>
            <w:noWrap/>
            <w:textDirection w:val="lrTb"/>
            <w:vAlign w:val="bottom"/>
          </w:tcPr>
          <w:p w:rsidR="00A231F2" w:rsidRPr="00F75B9D" w:rsidP="00A231F2">
            <w:pPr>
              <w:bidi w:val="0"/>
              <w:spacing w:before="120" w:after="120"/>
              <w:jc w:val="center"/>
              <w:rPr>
                <w:rFonts w:ascii="Times New Roman" w:hAnsi="Times New Roman"/>
                <w:b/>
                <w:bCs/>
                <w:color w:val="FFFFFF"/>
                <w:sz w:val="20"/>
                <w:szCs w:val="20"/>
                <w:lang w:eastAsia="en-US"/>
              </w:rPr>
            </w:pPr>
            <w:r w:rsidRPr="00F75B9D">
              <w:rPr>
                <w:rFonts w:ascii="Times New Roman" w:hAnsi="Times New Roman"/>
                <w:b/>
                <w:bCs/>
                <w:color w:val="FFFFFF"/>
                <w:sz w:val="20"/>
                <w:szCs w:val="20"/>
                <w:lang w:eastAsia="en-US"/>
              </w:rPr>
              <w:t>2011</w:t>
            </w:r>
          </w:p>
        </w:tc>
        <w:tc>
          <w:tcPr>
            <w:tcW w:w="1559" w:type="dxa"/>
            <w:gridSpan w:val="2"/>
            <w:tcBorders>
              <w:top w:val="nil"/>
              <w:left w:val="nil"/>
              <w:bottom w:val="nil"/>
              <w:right w:val="nil"/>
            </w:tcBorders>
            <w:shd w:val="clear" w:color="000000" w:fill="000000"/>
            <w:noWrap/>
            <w:textDirection w:val="lrTb"/>
            <w:vAlign w:val="bottom"/>
          </w:tcPr>
          <w:p w:rsidR="00A231F2" w:rsidRPr="00F75B9D" w:rsidP="00A231F2">
            <w:pPr>
              <w:bidi w:val="0"/>
              <w:spacing w:before="120" w:after="120"/>
              <w:jc w:val="center"/>
              <w:rPr>
                <w:rFonts w:ascii="Times New Roman" w:hAnsi="Times New Roman"/>
                <w:b/>
                <w:bCs/>
                <w:color w:val="FFFFFF"/>
                <w:sz w:val="20"/>
                <w:szCs w:val="20"/>
                <w:lang w:eastAsia="en-US"/>
              </w:rPr>
            </w:pPr>
            <w:r w:rsidRPr="00F75B9D">
              <w:rPr>
                <w:rFonts w:ascii="Times New Roman" w:hAnsi="Times New Roman"/>
                <w:b/>
                <w:bCs/>
                <w:color w:val="FFFFFF"/>
                <w:sz w:val="20"/>
                <w:szCs w:val="20"/>
                <w:lang w:eastAsia="en-US"/>
              </w:rPr>
              <w:t>2012</w:t>
            </w:r>
          </w:p>
        </w:tc>
        <w:tc>
          <w:tcPr>
            <w:tcW w:w="1560" w:type="dxa"/>
            <w:gridSpan w:val="2"/>
            <w:tcBorders>
              <w:top w:val="nil"/>
              <w:left w:val="nil"/>
              <w:bottom w:val="nil"/>
              <w:right w:val="nil"/>
            </w:tcBorders>
            <w:shd w:val="clear" w:color="000000" w:fill="000000"/>
            <w:noWrap/>
            <w:textDirection w:val="lrTb"/>
            <w:vAlign w:val="bottom"/>
          </w:tcPr>
          <w:p w:rsidR="00A231F2" w:rsidRPr="00F75B9D" w:rsidP="00A231F2">
            <w:pPr>
              <w:bidi w:val="0"/>
              <w:spacing w:before="120" w:after="120"/>
              <w:jc w:val="center"/>
              <w:rPr>
                <w:rFonts w:ascii="Times New Roman" w:hAnsi="Times New Roman"/>
                <w:b/>
                <w:bCs/>
                <w:color w:val="FFFFFF"/>
                <w:sz w:val="20"/>
                <w:szCs w:val="20"/>
                <w:lang w:eastAsia="en-US"/>
              </w:rPr>
            </w:pPr>
            <w:r w:rsidRPr="00F75B9D">
              <w:rPr>
                <w:rFonts w:ascii="Times New Roman" w:hAnsi="Times New Roman"/>
                <w:b/>
                <w:bCs/>
                <w:color w:val="FFFFFF"/>
                <w:sz w:val="20"/>
                <w:szCs w:val="20"/>
                <w:lang w:eastAsia="en-US"/>
              </w:rPr>
              <w:t>2013</w:t>
            </w:r>
          </w:p>
        </w:tc>
        <w:tc>
          <w:tcPr>
            <w:tcW w:w="1559" w:type="dxa"/>
            <w:gridSpan w:val="2"/>
            <w:tcBorders>
              <w:top w:val="nil"/>
              <w:left w:val="nil"/>
              <w:bottom w:val="nil"/>
              <w:right w:val="nil"/>
            </w:tcBorders>
            <w:shd w:val="clear" w:color="000000" w:fill="000000"/>
            <w:noWrap/>
            <w:textDirection w:val="lrTb"/>
            <w:vAlign w:val="bottom"/>
          </w:tcPr>
          <w:p w:rsidR="00A231F2" w:rsidRPr="00772706" w:rsidP="00A231F2">
            <w:pPr>
              <w:bidi w:val="0"/>
              <w:spacing w:before="120" w:after="120"/>
              <w:jc w:val="center"/>
              <w:rPr>
                <w:rFonts w:ascii="Times New Roman" w:hAnsi="Times New Roman"/>
                <w:b/>
                <w:bCs/>
                <w:color w:val="FFFFFF"/>
                <w:sz w:val="20"/>
                <w:szCs w:val="20"/>
                <w:lang w:eastAsia="en-US"/>
              </w:rPr>
            </w:pPr>
            <w:r w:rsidRPr="00772706">
              <w:rPr>
                <w:rFonts w:ascii="Times New Roman" w:hAnsi="Times New Roman"/>
                <w:b/>
                <w:bCs/>
                <w:color w:val="FFFFFF"/>
                <w:sz w:val="20"/>
                <w:szCs w:val="20"/>
                <w:lang w:eastAsia="en-US"/>
              </w:rPr>
              <w:t>2014</w:t>
            </w:r>
          </w:p>
        </w:tc>
        <w:tc>
          <w:tcPr>
            <w:tcW w:w="1427" w:type="dxa"/>
            <w:gridSpan w:val="2"/>
            <w:vMerge/>
            <w:tcBorders>
              <w:top w:val="none" w:sz="0" w:space="0" w:color="auto"/>
              <w:left w:val="nil"/>
              <w:bottom w:val="nil"/>
              <w:right w:val="nil"/>
            </w:tcBorders>
            <w:shd w:val="clear" w:color="000000" w:fill="000000"/>
            <w:textDirection w:val="lrTb"/>
            <w:vAlign w:val="center"/>
          </w:tcPr>
          <w:p w:rsidR="00A231F2" w:rsidRPr="00772706" w:rsidP="00A231F2">
            <w:pPr>
              <w:bidi w:val="0"/>
              <w:spacing w:before="60" w:after="60"/>
              <w:rPr>
                <w:rFonts w:ascii="Times New Roman" w:hAnsi="Times New Roman"/>
                <w:sz w:val="20"/>
                <w:szCs w:val="20"/>
              </w:rPr>
            </w:pPr>
          </w:p>
        </w:tc>
      </w:tr>
      <w:tr>
        <w:tblPrEx>
          <w:tblW w:w="130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231F2" w:rsidRPr="00772706" w:rsidP="00A231F2">
            <w:pPr>
              <w:bidi w:val="0"/>
              <w:spacing w:before="60" w:after="60"/>
              <w:jc w:val="right"/>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300</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231F2" w:rsidRPr="00772706" w:rsidP="00A231F2">
            <w:pPr>
              <w:bidi w:val="0"/>
              <w:spacing w:before="60" w:after="60"/>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Granty a transfery</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231F2" w:rsidRPr="00772706" w:rsidP="00A231F2">
            <w:pPr>
              <w:bidi w:val="0"/>
              <w:spacing w:before="60" w:after="60"/>
              <w:jc w:val="right"/>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231F2" w:rsidRPr="00772706" w:rsidP="00A231F2">
            <w:pPr>
              <w:bidi w:val="0"/>
              <w:spacing w:before="60" w:after="60"/>
              <w:jc w:val="right"/>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231F2" w:rsidRPr="00772706" w:rsidP="00A231F2">
            <w:pPr>
              <w:bidi w:val="0"/>
              <w:spacing w:before="60" w:after="60"/>
              <w:jc w:val="right"/>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231F2" w:rsidRPr="00772706" w:rsidP="00A231F2">
            <w:pPr>
              <w:bidi w:val="0"/>
              <w:spacing w:before="60" w:after="60"/>
              <w:jc w:val="right"/>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0</w:t>
            </w:r>
          </w:p>
        </w:tc>
        <w:tc>
          <w:tcPr>
            <w:tcW w:w="1427"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A231F2" w:rsidRPr="00772706" w:rsidP="00A231F2">
            <w:pPr>
              <w:bidi w:val="0"/>
              <w:spacing w:before="60" w:after="60"/>
              <w:jc w:val="right"/>
              <w:rPr>
                <w:rFonts w:ascii="Times New Roman" w:hAnsi="Times New Roman"/>
                <w:b/>
                <w:bCs/>
                <w:color w:val="000000"/>
                <w:sz w:val="20"/>
                <w:szCs w:val="20"/>
                <w:lang w:eastAsia="zh-CN"/>
              </w:rPr>
            </w:pPr>
          </w:p>
        </w:tc>
      </w:tr>
      <w:tr>
        <w:tblPrEx>
          <w:tblW w:w="130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231F2" w:rsidRPr="00F75B9D" w:rsidP="00A231F2">
            <w:pPr>
              <w:bidi w:val="0"/>
              <w:spacing w:before="60" w:after="60"/>
              <w:jc w:val="right"/>
              <w:rPr>
                <w:rFonts w:ascii="Times New Roman" w:hAnsi="Times New Roman"/>
                <w:b/>
                <w:bCs/>
                <w:color w:val="000000"/>
                <w:sz w:val="20"/>
                <w:szCs w:val="20"/>
                <w:lang w:eastAsia="zh-CN"/>
              </w:rPr>
            </w:pPr>
            <w:r w:rsidRPr="00772706">
              <w:rPr>
                <w:rFonts w:ascii="Times New Roman" w:hAnsi="Times New Roman"/>
                <w:color w:val="000000"/>
                <w:sz w:val="20"/>
                <w:szCs w:val="20"/>
                <w:lang w:eastAsia="zh-CN"/>
              </w:rPr>
              <w:t>312</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231F2" w:rsidRPr="00F75B9D" w:rsidP="00A231F2">
            <w:pPr>
              <w:bidi w:val="0"/>
              <w:spacing w:before="60" w:after="60"/>
              <w:rPr>
                <w:rFonts w:ascii="Times New Roman" w:hAnsi="Times New Roman"/>
                <w:b/>
                <w:bCs/>
                <w:color w:val="000000"/>
                <w:sz w:val="20"/>
                <w:szCs w:val="20"/>
                <w:lang w:eastAsia="zh-CN"/>
              </w:rPr>
            </w:pPr>
            <w:r w:rsidRPr="00772706">
              <w:rPr>
                <w:rFonts w:ascii="Times New Roman" w:hAnsi="Times New Roman"/>
                <w:color w:val="000000"/>
                <w:sz w:val="20"/>
                <w:szCs w:val="20"/>
                <w:lang w:eastAsia="zh-CN"/>
              </w:rPr>
              <w:t>Transfery v rámci verejnej správy</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231F2" w:rsidRPr="00F75B9D" w:rsidP="00A231F2">
            <w:pPr>
              <w:bidi w:val="0"/>
              <w:spacing w:before="60" w:after="60"/>
              <w:jc w:val="right"/>
              <w:rPr>
                <w:rFonts w:ascii="Times New Roman" w:hAnsi="Times New Roman"/>
                <w:b/>
                <w:bCs/>
                <w:color w:val="000000"/>
                <w:sz w:val="20"/>
                <w:szCs w:val="20"/>
                <w:lang w:eastAsia="zh-CN"/>
              </w:rPr>
            </w:pPr>
            <w:r w:rsidRPr="00772706">
              <w:rPr>
                <w:rFonts w:ascii="Times New Roman" w:hAnsi="Times New Roman"/>
                <w:color w:val="000000"/>
                <w:sz w:val="20"/>
                <w:szCs w:val="20"/>
                <w:lang w:eastAsia="zh-CN"/>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231F2" w:rsidRPr="00F75B9D" w:rsidP="00A231F2">
            <w:pPr>
              <w:bidi w:val="0"/>
              <w:spacing w:before="60" w:after="60"/>
              <w:jc w:val="right"/>
              <w:rPr>
                <w:rFonts w:ascii="Times New Roman" w:hAnsi="Times New Roman"/>
                <w:b/>
                <w:bCs/>
                <w:color w:val="000000"/>
                <w:sz w:val="20"/>
                <w:szCs w:val="20"/>
                <w:lang w:eastAsia="zh-CN"/>
              </w:rPr>
            </w:pPr>
            <w:r w:rsidRPr="00772706">
              <w:rPr>
                <w:rFonts w:ascii="Times New Roman" w:hAnsi="Times New Roman"/>
                <w:color w:val="000000"/>
                <w:sz w:val="20"/>
                <w:szCs w:val="20"/>
                <w:lang w:eastAsia="zh-CN"/>
              </w:rPr>
              <w:t>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231F2" w:rsidRPr="00F75B9D" w:rsidP="00A231F2">
            <w:pPr>
              <w:bidi w:val="0"/>
              <w:spacing w:before="60" w:after="60"/>
              <w:jc w:val="right"/>
              <w:rPr>
                <w:rFonts w:ascii="Times New Roman" w:hAnsi="Times New Roman"/>
                <w:b/>
                <w:bCs/>
                <w:color w:val="000000"/>
                <w:sz w:val="20"/>
                <w:szCs w:val="20"/>
                <w:lang w:eastAsia="zh-CN"/>
              </w:rPr>
            </w:pPr>
            <w:r w:rsidRPr="00772706">
              <w:rPr>
                <w:rFonts w:ascii="Times New Roman" w:hAnsi="Times New Roman"/>
                <w:color w:val="000000"/>
                <w:sz w:val="20"/>
                <w:szCs w:val="20"/>
                <w:lang w:eastAsia="zh-CN"/>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231F2" w:rsidRPr="00F75B9D" w:rsidP="00A231F2">
            <w:pPr>
              <w:bidi w:val="0"/>
              <w:spacing w:before="60" w:after="60"/>
              <w:jc w:val="right"/>
              <w:rPr>
                <w:rFonts w:ascii="Times New Roman" w:hAnsi="Times New Roman"/>
                <w:b/>
                <w:bCs/>
                <w:color w:val="000000"/>
                <w:sz w:val="20"/>
                <w:szCs w:val="20"/>
                <w:lang w:eastAsia="zh-CN"/>
              </w:rPr>
            </w:pPr>
            <w:r w:rsidRPr="00772706">
              <w:rPr>
                <w:rFonts w:ascii="Times New Roman" w:hAnsi="Times New Roman"/>
                <w:color w:val="000000"/>
                <w:sz w:val="20"/>
                <w:szCs w:val="20"/>
                <w:lang w:eastAsia="zh-CN"/>
              </w:rPr>
              <w:t>0</w:t>
            </w:r>
          </w:p>
        </w:tc>
        <w:tc>
          <w:tcPr>
            <w:tcW w:w="1427" w:type="dxa"/>
            <w:gridSpan w:val="2"/>
            <w:vMerge/>
            <w:tcBorders>
              <w:top w:val="single" w:sz="4" w:space="0" w:color="auto"/>
              <w:left w:val="single" w:sz="4" w:space="0" w:color="auto"/>
              <w:bottom w:val="single" w:sz="4" w:space="0" w:color="auto"/>
              <w:right w:val="single" w:sz="4" w:space="0" w:color="auto"/>
            </w:tcBorders>
            <w:textDirection w:val="lrTb"/>
            <w:vAlign w:val="top"/>
          </w:tcPr>
          <w:p w:rsidR="00A231F2" w:rsidRPr="00772706" w:rsidP="00A231F2">
            <w:pPr>
              <w:bidi w:val="0"/>
              <w:spacing w:before="60" w:after="60"/>
              <w:jc w:val="right"/>
              <w:rPr>
                <w:rFonts w:ascii="Times New Roman" w:hAnsi="Times New Roman"/>
                <w:b/>
                <w:bCs/>
                <w:color w:val="000000"/>
                <w:sz w:val="20"/>
                <w:szCs w:val="20"/>
                <w:lang w:eastAsia="zh-CN"/>
              </w:rPr>
            </w:pPr>
          </w:p>
        </w:tc>
      </w:tr>
      <w:tr>
        <w:tblPrEx>
          <w:tblW w:w="130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231F2" w:rsidRPr="00F75B9D"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312009</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231F2" w:rsidRPr="00F75B9D"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Transfer zo SP</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231F2" w:rsidRPr="00F75B9D"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231F2" w:rsidRPr="00F75B9D"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231F2" w:rsidRPr="00F75B9D"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231F2" w:rsidRPr="00F75B9D"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0</w:t>
            </w:r>
          </w:p>
        </w:tc>
        <w:tc>
          <w:tcPr>
            <w:tcW w:w="1427" w:type="dxa"/>
            <w:gridSpan w:val="2"/>
            <w:vMerge/>
            <w:tcBorders>
              <w:top w:val="single" w:sz="4" w:space="0" w:color="auto"/>
              <w:left w:val="single" w:sz="4" w:space="0" w:color="auto"/>
              <w:bottom w:val="single" w:sz="4" w:space="0" w:color="auto"/>
              <w:right w:val="single" w:sz="4" w:space="0" w:color="auto"/>
            </w:tcBorders>
            <w:textDirection w:val="lrTb"/>
            <w:vAlign w:val="top"/>
          </w:tcPr>
          <w:p w:rsidR="00A231F2" w:rsidRPr="00772706" w:rsidP="00A231F2">
            <w:pPr>
              <w:bidi w:val="0"/>
              <w:spacing w:before="60" w:after="60"/>
              <w:jc w:val="right"/>
              <w:rPr>
                <w:rFonts w:ascii="Times New Roman" w:hAnsi="Times New Roman"/>
                <w:color w:val="000000"/>
                <w:sz w:val="20"/>
                <w:szCs w:val="20"/>
                <w:lang w:eastAsia="zh-CN"/>
              </w:rPr>
            </w:pPr>
          </w:p>
        </w:tc>
      </w:tr>
    </w:tbl>
    <w:p w:rsidR="001C0A63" w:rsidP="001C0A63">
      <w:pPr>
        <w:pStyle w:val="NormalWeb"/>
        <w:bidi w:val="0"/>
        <w:spacing w:before="0" w:beforeAutospacing="0" w:after="120" w:afterAutospacing="0"/>
        <w:ind w:right="190"/>
        <w:jc w:val="both"/>
        <w:rPr>
          <w:rFonts w:ascii="Times New Roman" w:hAnsi="Times New Roman"/>
          <w:b/>
          <w:bCs/>
        </w:rPr>
      </w:pPr>
    </w:p>
    <w:p w:rsidR="001C0A63" w:rsidP="00A86C7E">
      <w:pPr>
        <w:pStyle w:val="NormalWeb"/>
        <w:bidi w:val="0"/>
        <w:spacing w:before="0" w:beforeAutospacing="0" w:after="120" w:afterAutospacing="0"/>
        <w:ind w:right="677"/>
        <w:jc w:val="right"/>
        <w:rPr>
          <w:rFonts w:ascii="Times New Roman" w:hAnsi="Times New Roman"/>
          <w:sz w:val="22"/>
          <w:szCs w:val="22"/>
        </w:rPr>
      </w:pPr>
      <w:r w:rsidR="006727E0">
        <w:rPr>
          <w:rFonts w:ascii="Times New Roman" w:hAnsi="Times New Roman"/>
          <w:sz w:val="22"/>
          <w:szCs w:val="22"/>
        </w:rPr>
        <w:t xml:space="preserve">Tabuľka č. </w:t>
      </w:r>
      <w:r w:rsidR="005D2E9C">
        <w:rPr>
          <w:rFonts w:ascii="Times New Roman" w:hAnsi="Times New Roman"/>
          <w:sz w:val="22"/>
          <w:szCs w:val="22"/>
        </w:rPr>
        <w:t>11</w:t>
      </w:r>
    </w:p>
    <w:tbl>
      <w:tblPr>
        <w:tblStyle w:val="TableNormal"/>
        <w:tblW w:w="13056" w:type="dxa"/>
        <w:tblInd w:w="392" w:type="dxa"/>
        <w:tblLook w:val="00A0"/>
      </w:tblPr>
      <w:tblGrid>
        <w:gridCol w:w="1260"/>
        <w:gridCol w:w="9"/>
        <w:gridCol w:w="4101"/>
        <w:gridCol w:w="9"/>
        <w:gridCol w:w="1563"/>
        <w:gridCol w:w="9"/>
        <w:gridCol w:w="1550"/>
        <w:gridCol w:w="9"/>
        <w:gridCol w:w="1551"/>
        <w:gridCol w:w="9"/>
        <w:gridCol w:w="1550"/>
        <w:gridCol w:w="9"/>
        <w:gridCol w:w="1418"/>
        <w:gridCol w:w="9"/>
      </w:tblGrid>
      <w:tr>
        <w:tblPrEx>
          <w:tblW w:w="13056" w:type="dxa"/>
          <w:tblInd w:w="392" w:type="dxa"/>
          <w:tblLook w:val="00A0"/>
        </w:tblPrEx>
        <w:trPr>
          <w:gridAfter w:val="1"/>
          <w:wAfter w:w="9" w:type="dxa"/>
          <w:trHeight w:val="315"/>
        </w:trPr>
        <w:tc>
          <w:tcPr>
            <w:tcW w:w="1260" w:type="dxa"/>
            <w:tcBorders>
              <w:top w:val="single" w:sz="4" w:space="0" w:color="auto"/>
              <w:left w:val="single" w:sz="4" w:space="0" w:color="auto"/>
              <w:bottom w:val="nil"/>
              <w:right w:val="nil"/>
            </w:tcBorders>
            <w:shd w:val="clear" w:color="000000" w:fill="000000"/>
            <w:noWrap/>
            <w:textDirection w:val="lrTb"/>
            <w:vAlign w:val="bottom"/>
          </w:tcPr>
          <w:p w:rsidR="00A231F2" w:rsidRPr="00772706" w:rsidP="00A231F2">
            <w:pPr>
              <w:bidi w:val="0"/>
              <w:spacing w:before="60" w:after="60"/>
              <w:rPr>
                <w:rFonts w:ascii="Times New Roman" w:hAnsi="Times New Roman"/>
                <w:b/>
                <w:bCs/>
                <w:color w:val="FFFFFF"/>
                <w:sz w:val="20"/>
                <w:szCs w:val="20"/>
                <w:lang w:eastAsia="en-US"/>
              </w:rPr>
            </w:pPr>
            <w:r w:rsidRPr="00772706">
              <w:rPr>
                <w:rFonts w:ascii="Times New Roman" w:hAnsi="Times New Roman"/>
                <w:b/>
                <w:bCs/>
                <w:color w:val="FFFFFF"/>
                <w:sz w:val="20"/>
                <w:szCs w:val="20"/>
                <w:lang w:eastAsia="en-US"/>
              </w:rPr>
              <w:t> </w:t>
            </w:r>
          </w:p>
        </w:tc>
        <w:tc>
          <w:tcPr>
            <w:tcW w:w="4110" w:type="dxa"/>
            <w:gridSpan w:val="2"/>
            <w:tcBorders>
              <w:top w:val="single" w:sz="4" w:space="0" w:color="auto"/>
              <w:left w:val="nil"/>
              <w:bottom w:val="nil"/>
              <w:right w:val="nil"/>
            </w:tcBorders>
            <w:shd w:val="clear" w:color="000000" w:fill="000000"/>
            <w:noWrap/>
            <w:textDirection w:val="lrTb"/>
            <w:vAlign w:val="bottom"/>
          </w:tcPr>
          <w:p w:rsidR="00A231F2" w:rsidRPr="00772706" w:rsidP="00A231F2">
            <w:pPr>
              <w:bidi w:val="0"/>
              <w:spacing w:before="60" w:after="60"/>
              <w:rPr>
                <w:rFonts w:ascii="Times New Roman" w:hAnsi="Times New Roman"/>
                <w:b/>
                <w:bCs/>
                <w:color w:val="FFFFFF"/>
                <w:sz w:val="20"/>
                <w:szCs w:val="20"/>
                <w:lang w:eastAsia="en-US"/>
              </w:rPr>
            </w:pPr>
            <w:r w:rsidRPr="00772706">
              <w:rPr>
                <w:rFonts w:ascii="Times New Roman" w:hAnsi="Times New Roman"/>
                <w:b/>
                <w:bCs/>
                <w:color w:val="FFFFFF"/>
                <w:sz w:val="20"/>
                <w:szCs w:val="20"/>
              </w:rPr>
              <w:t xml:space="preserve">Príjmy </w:t>
            </w:r>
            <w:r w:rsidRPr="00705F05">
              <w:rPr>
                <w:rFonts w:ascii="Times New Roman" w:hAnsi="Times New Roman"/>
                <w:b/>
                <w:bCs/>
                <w:color w:val="FFFFFF"/>
                <w:sz w:val="20"/>
                <w:szCs w:val="20"/>
              </w:rPr>
              <w:t>(</w:t>
            </w:r>
            <w:r>
              <w:rPr>
                <w:rFonts w:ascii="Times New Roman" w:hAnsi="Times New Roman"/>
                <w:b/>
                <w:bCs/>
                <w:color w:val="FFFFFF"/>
                <w:sz w:val="20"/>
                <w:szCs w:val="20"/>
              </w:rPr>
              <w:t xml:space="preserve">ESA 95, </w:t>
            </w:r>
            <w:r w:rsidRPr="00705F05">
              <w:rPr>
                <w:rFonts w:ascii="Times New Roman" w:hAnsi="Times New Roman"/>
                <w:b/>
                <w:bCs/>
                <w:color w:val="FFFFFF"/>
                <w:sz w:val="20"/>
                <w:szCs w:val="20"/>
              </w:rPr>
              <w:t>v eurách)</w:t>
            </w:r>
          </w:p>
        </w:tc>
        <w:tc>
          <w:tcPr>
            <w:tcW w:w="6250" w:type="dxa"/>
            <w:gridSpan w:val="8"/>
            <w:tcBorders>
              <w:top w:val="single" w:sz="4" w:space="0" w:color="auto"/>
              <w:left w:val="nil"/>
              <w:bottom w:val="nil"/>
              <w:right w:val="nil"/>
            </w:tcBorders>
            <w:shd w:val="clear" w:color="000000" w:fill="000000"/>
            <w:noWrap/>
            <w:textDirection w:val="lrTb"/>
            <w:vAlign w:val="bottom"/>
          </w:tcPr>
          <w:p w:rsidR="00A231F2" w:rsidRPr="00772706" w:rsidP="00A231F2">
            <w:pPr>
              <w:bidi w:val="0"/>
              <w:spacing w:before="120" w:after="120"/>
              <w:jc w:val="center"/>
              <w:rPr>
                <w:rFonts w:ascii="Times New Roman" w:hAnsi="Times New Roman"/>
                <w:b/>
                <w:bCs/>
                <w:color w:val="FFFFFF"/>
                <w:sz w:val="20"/>
                <w:szCs w:val="20"/>
                <w:lang w:eastAsia="en-US"/>
              </w:rPr>
            </w:pPr>
            <w:r w:rsidRPr="00772706">
              <w:rPr>
                <w:rFonts w:ascii="Times New Roman" w:hAnsi="Times New Roman"/>
                <w:b/>
                <w:bCs/>
                <w:color w:val="FFFFFF"/>
                <w:sz w:val="20"/>
                <w:szCs w:val="20"/>
              </w:rPr>
              <w:t>Vplyv na rozpočet verejnej správy</w:t>
            </w:r>
          </w:p>
        </w:tc>
        <w:tc>
          <w:tcPr>
            <w:tcW w:w="1427" w:type="dxa"/>
            <w:gridSpan w:val="2"/>
            <w:vMerge w:val="restart"/>
            <w:tcBorders>
              <w:top w:val="single" w:sz="4" w:space="0" w:color="auto"/>
              <w:left w:val="nil"/>
              <w:bottom w:val="none" w:sz="0" w:space="0" w:color="auto"/>
              <w:right w:val="nil"/>
            </w:tcBorders>
            <w:shd w:val="clear" w:color="000000" w:fill="000000"/>
            <w:textDirection w:val="lrTb"/>
            <w:vAlign w:val="center"/>
          </w:tcPr>
          <w:p w:rsidR="00A231F2" w:rsidRPr="00772706" w:rsidP="00A231F2">
            <w:pPr>
              <w:pStyle w:val="NormalWeb"/>
              <w:bidi w:val="0"/>
              <w:spacing w:before="60" w:beforeAutospacing="0" w:after="60" w:afterAutospacing="0"/>
              <w:jc w:val="center"/>
              <w:rPr>
                <w:rFonts w:ascii="Times New Roman" w:hAnsi="Times New Roman"/>
                <w:sz w:val="20"/>
                <w:szCs w:val="20"/>
              </w:rPr>
            </w:pPr>
            <w:r w:rsidRPr="00772706">
              <w:rPr>
                <w:rFonts w:ascii="Times New Roman" w:hAnsi="Times New Roman"/>
                <w:b/>
                <w:bCs/>
                <w:color w:val="FFFFFF"/>
                <w:sz w:val="20"/>
                <w:szCs w:val="20"/>
              </w:rPr>
              <w:t>Poznámka</w:t>
            </w:r>
          </w:p>
        </w:tc>
      </w:tr>
      <w:tr>
        <w:tblPrEx>
          <w:tblW w:w="13056" w:type="dxa"/>
          <w:tblInd w:w="392" w:type="dxa"/>
          <w:tblLook w:val="00A0"/>
        </w:tblPrEx>
        <w:trPr>
          <w:gridAfter w:val="1"/>
          <w:wAfter w:w="9" w:type="dxa"/>
          <w:trHeight w:val="315"/>
        </w:trPr>
        <w:tc>
          <w:tcPr>
            <w:tcW w:w="1260" w:type="dxa"/>
            <w:tcBorders>
              <w:top w:val="nil"/>
              <w:left w:val="single" w:sz="4" w:space="0" w:color="auto"/>
              <w:bottom w:val="nil"/>
              <w:right w:val="nil"/>
            </w:tcBorders>
            <w:shd w:val="clear" w:color="000000" w:fill="000000"/>
            <w:noWrap/>
            <w:textDirection w:val="lrTb"/>
            <w:vAlign w:val="bottom"/>
          </w:tcPr>
          <w:p w:rsidR="00A231F2" w:rsidRPr="009F5912" w:rsidP="00A231F2">
            <w:pPr>
              <w:bidi w:val="0"/>
              <w:spacing w:before="60" w:after="60"/>
              <w:rPr>
                <w:rFonts w:ascii="Times New Roman" w:hAnsi="Times New Roman"/>
                <w:b/>
                <w:bCs/>
                <w:color w:val="FFFFFF"/>
                <w:sz w:val="20"/>
                <w:szCs w:val="20"/>
                <w:lang w:eastAsia="en-US"/>
              </w:rPr>
            </w:pPr>
            <w:r w:rsidRPr="009F5912">
              <w:rPr>
                <w:rFonts w:ascii="Times New Roman" w:hAnsi="Times New Roman"/>
                <w:b/>
                <w:bCs/>
                <w:color w:val="FFFFFF"/>
                <w:sz w:val="20"/>
                <w:szCs w:val="20"/>
                <w:lang w:eastAsia="en-US"/>
              </w:rPr>
              <w:t> </w:t>
            </w:r>
          </w:p>
        </w:tc>
        <w:tc>
          <w:tcPr>
            <w:tcW w:w="4110" w:type="dxa"/>
            <w:gridSpan w:val="2"/>
            <w:tcBorders>
              <w:top w:val="nil"/>
              <w:left w:val="nil"/>
              <w:bottom w:val="nil"/>
              <w:right w:val="nil"/>
            </w:tcBorders>
            <w:shd w:val="clear" w:color="000000" w:fill="000000"/>
            <w:noWrap/>
            <w:textDirection w:val="lrTb"/>
            <w:vAlign w:val="bottom"/>
          </w:tcPr>
          <w:p w:rsidR="00A231F2" w:rsidRPr="009F5912" w:rsidP="00A231F2">
            <w:pPr>
              <w:bidi w:val="0"/>
              <w:spacing w:before="120" w:after="120"/>
              <w:rPr>
                <w:rFonts w:ascii="Times New Roman" w:hAnsi="Times New Roman"/>
                <w:b/>
                <w:bCs/>
                <w:color w:val="FFFFFF"/>
                <w:sz w:val="20"/>
                <w:szCs w:val="20"/>
                <w:u w:val="single"/>
                <w:lang w:eastAsia="en-US"/>
              </w:rPr>
            </w:pPr>
            <w:r>
              <w:rPr>
                <w:rFonts w:ascii="Times New Roman" w:hAnsi="Times New Roman"/>
                <w:b/>
                <w:bCs/>
                <w:color w:val="FFFFFF"/>
                <w:sz w:val="20"/>
                <w:szCs w:val="20"/>
                <w:u w:val="single"/>
                <w:lang w:eastAsia="en-US"/>
              </w:rPr>
              <w:t>Zdravotné poisťovne</w:t>
            </w:r>
          </w:p>
        </w:tc>
        <w:tc>
          <w:tcPr>
            <w:tcW w:w="1572" w:type="dxa"/>
            <w:gridSpan w:val="2"/>
            <w:tcBorders>
              <w:top w:val="nil"/>
              <w:left w:val="nil"/>
              <w:bottom w:val="nil"/>
              <w:right w:val="nil"/>
            </w:tcBorders>
            <w:shd w:val="clear" w:color="000000" w:fill="000000"/>
            <w:noWrap/>
            <w:textDirection w:val="lrTb"/>
            <w:vAlign w:val="bottom"/>
          </w:tcPr>
          <w:p w:rsidR="00A231F2" w:rsidRPr="009F5912" w:rsidP="00A231F2">
            <w:pPr>
              <w:bidi w:val="0"/>
              <w:spacing w:before="120" w:after="120"/>
              <w:jc w:val="center"/>
              <w:rPr>
                <w:rFonts w:ascii="Times New Roman" w:hAnsi="Times New Roman"/>
                <w:b/>
                <w:bCs/>
                <w:color w:val="FFFFFF"/>
                <w:sz w:val="20"/>
                <w:szCs w:val="20"/>
                <w:lang w:eastAsia="en-US"/>
              </w:rPr>
            </w:pPr>
            <w:r w:rsidRPr="009F5912">
              <w:rPr>
                <w:rFonts w:ascii="Times New Roman" w:hAnsi="Times New Roman"/>
                <w:b/>
                <w:bCs/>
                <w:color w:val="FFFFFF"/>
                <w:sz w:val="20"/>
                <w:szCs w:val="20"/>
                <w:lang w:eastAsia="en-US"/>
              </w:rPr>
              <w:t>2011</w:t>
            </w:r>
          </w:p>
        </w:tc>
        <w:tc>
          <w:tcPr>
            <w:tcW w:w="1559" w:type="dxa"/>
            <w:gridSpan w:val="2"/>
            <w:tcBorders>
              <w:top w:val="nil"/>
              <w:left w:val="nil"/>
              <w:bottom w:val="nil"/>
              <w:right w:val="nil"/>
            </w:tcBorders>
            <w:shd w:val="clear" w:color="000000" w:fill="000000"/>
            <w:noWrap/>
            <w:textDirection w:val="lrTb"/>
            <w:vAlign w:val="bottom"/>
          </w:tcPr>
          <w:p w:rsidR="00A231F2" w:rsidRPr="009F5912" w:rsidP="00A231F2">
            <w:pPr>
              <w:bidi w:val="0"/>
              <w:spacing w:before="120" w:after="120"/>
              <w:jc w:val="center"/>
              <w:rPr>
                <w:rFonts w:ascii="Times New Roman" w:hAnsi="Times New Roman"/>
                <w:b/>
                <w:bCs/>
                <w:color w:val="FFFFFF"/>
                <w:sz w:val="20"/>
                <w:szCs w:val="20"/>
                <w:lang w:eastAsia="en-US"/>
              </w:rPr>
            </w:pPr>
            <w:r w:rsidRPr="009F5912">
              <w:rPr>
                <w:rFonts w:ascii="Times New Roman" w:hAnsi="Times New Roman"/>
                <w:b/>
                <w:bCs/>
                <w:color w:val="FFFFFF"/>
                <w:sz w:val="20"/>
                <w:szCs w:val="20"/>
                <w:lang w:eastAsia="en-US"/>
              </w:rPr>
              <w:t>2012</w:t>
            </w:r>
          </w:p>
        </w:tc>
        <w:tc>
          <w:tcPr>
            <w:tcW w:w="1560" w:type="dxa"/>
            <w:gridSpan w:val="2"/>
            <w:tcBorders>
              <w:top w:val="nil"/>
              <w:left w:val="nil"/>
              <w:bottom w:val="nil"/>
              <w:right w:val="nil"/>
            </w:tcBorders>
            <w:shd w:val="clear" w:color="000000" w:fill="000000"/>
            <w:noWrap/>
            <w:textDirection w:val="lrTb"/>
            <w:vAlign w:val="bottom"/>
          </w:tcPr>
          <w:p w:rsidR="00A231F2" w:rsidRPr="009F5912" w:rsidP="00A231F2">
            <w:pPr>
              <w:bidi w:val="0"/>
              <w:spacing w:before="120" w:after="120"/>
              <w:jc w:val="center"/>
              <w:rPr>
                <w:rFonts w:ascii="Times New Roman" w:hAnsi="Times New Roman"/>
                <w:b/>
                <w:bCs/>
                <w:color w:val="FFFFFF"/>
                <w:sz w:val="20"/>
                <w:szCs w:val="20"/>
                <w:lang w:eastAsia="en-US"/>
              </w:rPr>
            </w:pPr>
            <w:r w:rsidRPr="009F5912">
              <w:rPr>
                <w:rFonts w:ascii="Times New Roman" w:hAnsi="Times New Roman"/>
                <w:b/>
                <w:bCs/>
                <w:color w:val="FFFFFF"/>
                <w:sz w:val="20"/>
                <w:szCs w:val="20"/>
                <w:lang w:eastAsia="en-US"/>
              </w:rPr>
              <w:t>2013</w:t>
            </w:r>
          </w:p>
        </w:tc>
        <w:tc>
          <w:tcPr>
            <w:tcW w:w="1559" w:type="dxa"/>
            <w:gridSpan w:val="2"/>
            <w:tcBorders>
              <w:top w:val="nil"/>
              <w:left w:val="nil"/>
              <w:bottom w:val="nil"/>
              <w:right w:val="nil"/>
            </w:tcBorders>
            <w:shd w:val="clear" w:color="000000" w:fill="000000"/>
            <w:noWrap/>
            <w:textDirection w:val="lrTb"/>
            <w:vAlign w:val="bottom"/>
          </w:tcPr>
          <w:p w:rsidR="00A231F2" w:rsidRPr="009F5912" w:rsidP="00A231F2">
            <w:pPr>
              <w:bidi w:val="0"/>
              <w:spacing w:before="120" w:after="120"/>
              <w:jc w:val="center"/>
              <w:rPr>
                <w:rFonts w:ascii="Times New Roman" w:hAnsi="Times New Roman"/>
                <w:b/>
                <w:bCs/>
                <w:color w:val="FFFFFF"/>
                <w:sz w:val="20"/>
                <w:szCs w:val="20"/>
                <w:lang w:eastAsia="en-US"/>
              </w:rPr>
            </w:pPr>
            <w:r w:rsidRPr="009F5912">
              <w:rPr>
                <w:rFonts w:ascii="Times New Roman" w:hAnsi="Times New Roman"/>
                <w:b/>
                <w:bCs/>
                <w:color w:val="FFFFFF"/>
                <w:sz w:val="20"/>
                <w:szCs w:val="20"/>
                <w:lang w:eastAsia="en-US"/>
              </w:rPr>
              <w:t>2014</w:t>
            </w:r>
          </w:p>
        </w:tc>
        <w:tc>
          <w:tcPr>
            <w:tcW w:w="1427" w:type="dxa"/>
            <w:gridSpan w:val="2"/>
            <w:vMerge/>
            <w:tcBorders>
              <w:top w:val="none" w:sz="0" w:space="0" w:color="auto"/>
              <w:left w:val="nil"/>
              <w:bottom w:val="nil"/>
              <w:right w:val="nil"/>
            </w:tcBorders>
            <w:shd w:val="clear" w:color="000000" w:fill="000000"/>
            <w:textDirection w:val="lrTb"/>
            <w:vAlign w:val="center"/>
          </w:tcPr>
          <w:p w:rsidR="00A231F2" w:rsidRPr="00772706" w:rsidP="00A231F2">
            <w:pPr>
              <w:bidi w:val="0"/>
              <w:spacing w:before="60" w:after="60"/>
              <w:rPr>
                <w:rFonts w:ascii="Times New Roman" w:hAnsi="Times New Roman"/>
                <w:sz w:val="20"/>
                <w:szCs w:val="20"/>
              </w:rPr>
            </w:pPr>
          </w:p>
        </w:tc>
      </w:tr>
      <w:tr>
        <w:tblPrEx>
          <w:tblW w:w="130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772706" w:rsidP="00A231F2">
            <w:pPr>
              <w:bidi w:val="0"/>
              <w:spacing w:before="60" w:after="60"/>
              <w:jc w:val="right"/>
              <w:rPr>
                <w:rFonts w:ascii="Times New Roman" w:hAnsi="Times New Roman"/>
                <w:b/>
                <w:bCs/>
                <w:color w:val="000000"/>
                <w:sz w:val="20"/>
                <w:szCs w:val="20"/>
                <w:lang w:eastAsia="zh-CN"/>
              </w:rPr>
            </w:pPr>
            <w:r w:rsidRPr="009F5912">
              <w:rPr>
                <w:rFonts w:ascii="Times New Roman" w:hAnsi="Times New Roman"/>
                <w:b/>
                <w:bCs/>
                <w:color w:val="000000"/>
                <w:sz w:val="20"/>
                <w:szCs w:val="20"/>
                <w:lang w:eastAsia="zh-CN"/>
              </w:rPr>
              <w:t>100</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772706" w:rsidP="00A231F2">
            <w:pPr>
              <w:bidi w:val="0"/>
              <w:spacing w:before="60" w:after="60"/>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Daňové príjmy</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9F5912"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9F5912"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9F5912"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9F5912"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427"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320E52" w:rsidRPr="009F5912" w:rsidP="00A231F2">
            <w:pPr>
              <w:bidi w:val="0"/>
              <w:spacing w:before="60" w:after="60"/>
              <w:jc w:val="right"/>
              <w:rPr>
                <w:rFonts w:ascii="Times New Roman" w:hAnsi="Times New Roman"/>
                <w:b/>
                <w:bCs/>
                <w:color w:val="000000"/>
                <w:sz w:val="20"/>
                <w:szCs w:val="20"/>
                <w:lang w:eastAsia="zh-CN"/>
              </w:rPr>
            </w:pPr>
          </w:p>
        </w:tc>
      </w:tr>
      <w:tr>
        <w:tblPrEx>
          <w:tblW w:w="130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9F5912" w:rsidP="00A231F2">
            <w:pPr>
              <w:bidi w:val="0"/>
              <w:spacing w:before="60" w:after="60"/>
              <w:jc w:val="right"/>
              <w:rPr>
                <w:rFonts w:ascii="Times New Roman" w:hAnsi="Times New Roman"/>
                <w:b/>
                <w:bCs/>
                <w:color w:val="000000"/>
                <w:sz w:val="20"/>
                <w:szCs w:val="20"/>
                <w:lang w:eastAsia="zh-CN"/>
              </w:rPr>
            </w:pPr>
            <w:r w:rsidRPr="00772706">
              <w:rPr>
                <w:rFonts w:ascii="Times New Roman" w:hAnsi="Times New Roman"/>
                <w:color w:val="000000"/>
                <w:sz w:val="20"/>
                <w:szCs w:val="20"/>
                <w:lang w:eastAsia="zh-CN"/>
              </w:rPr>
              <w:t>150</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9F5912" w:rsidP="00A231F2">
            <w:pPr>
              <w:bidi w:val="0"/>
              <w:spacing w:before="60" w:after="60"/>
              <w:rPr>
                <w:rFonts w:ascii="Times New Roman" w:hAnsi="Times New Roman"/>
                <w:b/>
                <w:bCs/>
                <w:color w:val="000000"/>
                <w:sz w:val="20"/>
                <w:szCs w:val="20"/>
                <w:lang w:eastAsia="zh-CN"/>
              </w:rPr>
            </w:pPr>
            <w:r w:rsidRPr="00772706">
              <w:rPr>
                <w:rFonts w:ascii="Times New Roman" w:hAnsi="Times New Roman"/>
                <w:color w:val="000000"/>
                <w:sz w:val="20"/>
                <w:szCs w:val="20"/>
                <w:lang w:eastAsia="zh-CN"/>
              </w:rPr>
              <w:t>Poistné</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9F5912"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9F5912"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9F5912"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9F5912"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0</w:t>
            </w:r>
          </w:p>
        </w:tc>
        <w:tc>
          <w:tcPr>
            <w:tcW w:w="1427" w:type="dxa"/>
            <w:gridSpan w:val="2"/>
            <w:vMerge/>
            <w:tcBorders>
              <w:top w:val="single" w:sz="4" w:space="0" w:color="auto"/>
              <w:left w:val="single" w:sz="4" w:space="0" w:color="auto"/>
              <w:bottom w:val="single" w:sz="4" w:space="0" w:color="auto"/>
              <w:right w:val="single" w:sz="4" w:space="0" w:color="auto"/>
            </w:tcBorders>
            <w:textDirection w:val="lrTb"/>
            <w:vAlign w:val="top"/>
          </w:tcPr>
          <w:p w:rsidR="00320E52" w:rsidRPr="00772706" w:rsidP="00A231F2">
            <w:pPr>
              <w:bidi w:val="0"/>
              <w:spacing w:before="60" w:after="60"/>
              <w:jc w:val="right"/>
              <w:rPr>
                <w:rFonts w:ascii="Times New Roman" w:hAnsi="Times New Roman"/>
                <w:b/>
                <w:bCs/>
                <w:color w:val="000000"/>
                <w:sz w:val="20"/>
                <w:szCs w:val="20"/>
                <w:lang w:eastAsia="zh-CN"/>
              </w:rPr>
            </w:pPr>
          </w:p>
        </w:tc>
      </w:tr>
      <w:tr>
        <w:tblPrEx>
          <w:tblW w:w="130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9F5912"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154</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9F5912"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Poistné na zdravotné poistenie</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9F591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9F591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9F591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20E52" w:rsidRPr="009F591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427" w:type="dxa"/>
            <w:gridSpan w:val="2"/>
            <w:vMerge/>
            <w:tcBorders>
              <w:top w:val="single" w:sz="4" w:space="0" w:color="auto"/>
              <w:left w:val="single" w:sz="4" w:space="0" w:color="auto"/>
              <w:bottom w:val="single" w:sz="4" w:space="0" w:color="auto"/>
              <w:right w:val="single" w:sz="4" w:space="0" w:color="auto"/>
            </w:tcBorders>
            <w:textDirection w:val="lrTb"/>
            <w:vAlign w:val="top"/>
          </w:tcPr>
          <w:p w:rsidR="00320E52" w:rsidRPr="00772706" w:rsidP="00A231F2">
            <w:pPr>
              <w:bidi w:val="0"/>
              <w:spacing w:before="60" w:after="60"/>
              <w:jc w:val="right"/>
              <w:rPr>
                <w:rFonts w:ascii="Times New Roman" w:hAnsi="Times New Roman"/>
                <w:color w:val="000000"/>
                <w:sz w:val="20"/>
                <w:szCs w:val="20"/>
                <w:lang w:eastAsia="zh-CN"/>
              </w:rPr>
            </w:pPr>
          </w:p>
        </w:tc>
      </w:tr>
      <w:tr>
        <w:tblPrEx>
          <w:tblW w:w="130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9F5912"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154001 154002</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9F5912" w:rsidP="00A231F2">
            <w:pPr>
              <w:bidi w:val="0"/>
              <w:spacing w:before="60" w:after="60"/>
              <w:rPr>
                <w:rFonts w:ascii="Times New Roman" w:hAnsi="Times New Roman"/>
                <w:color w:val="000000"/>
                <w:sz w:val="20"/>
                <w:szCs w:val="20"/>
                <w:lang w:eastAsia="zh-CN"/>
              </w:rPr>
            </w:pPr>
            <w:r>
              <w:rPr>
                <w:rFonts w:ascii="Times New Roman" w:hAnsi="Times New Roman"/>
                <w:color w:val="000000"/>
                <w:sz w:val="20"/>
                <w:szCs w:val="20"/>
                <w:lang w:eastAsia="zh-CN"/>
              </w:rPr>
              <w:t xml:space="preserve">  </w:t>
            </w:r>
            <w:r w:rsidRPr="00772706">
              <w:rPr>
                <w:rFonts w:ascii="Times New Roman" w:hAnsi="Times New Roman"/>
                <w:color w:val="000000"/>
                <w:sz w:val="20"/>
                <w:szCs w:val="20"/>
                <w:lang w:eastAsia="zh-CN"/>
              </w:rPr>
              <w:t>- zamestnanci, zamestnávatelia</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9F591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9F591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-305 478 837</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9F591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-321 171 754</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9F591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-347 314 590</w:t>
            </w:r>
          </w:p>
        </w:tc>
        <w:tc>
          <w:tcPr>
            <w:tcW w:w="1427" w:type="dxa"/>
            <w:gridSpan w:val="2"/>
            <w:vMerge/>
            <w:tcBorders>
              <w:top w:val="single" w:sz="4" w:space="0" w:color="auto"/>
              <w:left w:val="single" w:sz="4" w:space="0" w:color="auto"/>
              <w:bottom w:val="single" w:sz="4" w:space="0" w:color="auto"/>
              <w:right w:val="single" w:sz="4" w:space="0" w:color="auto"/>
            </w:tcBorders>
            <w:textDirection w:val="lrTb"/>
            <w:vAlign w:val="top"/>
          </w:tcPr>
          <w:p w:rsidR="00BB13C3" w:rsidRPr="00772706" w:rsidP="00A231F2">
            <w:pPr>
              <w:bidi w:val="0"/>
              <w:spacing w:before="60" w:after="60"/>
              <w:jc w:val="right"/>
              <w:rPr>
                <w:rFonts w:ascii="Times New Roman" w:hAnsi="Times New Roman"/>
                <w:color w:val="000000"/>
                <w:sz w:val="20"/>
                <w:szCs w:val="20"/>
                <w:lang w:eastAsia="zh-CN"/>
              </w:rPr>
            </w:pPr>
          </w:p>
        </w:tc>
      </w:tr>
      <w:tr>
        <w:tblPrEx>
          <w:tblW w:w="130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772706" w:rsidP="00A231F2">
            <w:pPr>
              <w:bidi w:val="0"/>
              <w:spacing w:before="60" w:after="60"/>
              <w:jc w:val="right"/>
              <w:rPr>
                <w:rFonts w:ascii="Times New Roman" w:hAnsi="Times New Roman"/>
                <w:color w:val="000000"/>
                <w:sz w:val="20"/>
                <w:szCs w:val="20"/>
                <w:lang w:eastAsia="zh-CN"/>
              </w:rPr>
            </w:pP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9F5912" w:rsidP="00A231F2">
            <w:pPr>
              <w:bidi w:val="0"/>
              <w:spacing w:before="60" w:after="60"/>
              <w:rPr>
                <w:rFonts w:ascii="Times New Roman" w:hAnsi="Times New Roman"/>
                <w:color w:val="000000"/>
                <w:sz w:val="20"/>
                <w:szCs w:val="20"/>
                <w:lang w:eastAsia="zh-CN"/>
              </w:rPr>
            </w:pPr>
            <w:r w:rsidRPr="00772706">
              <w:rPr>
                <w:rFonts w:ascii="Times New Roman" w:hAnsi="Times New Roman"/>
                <w:sz w:val="20"/>
                <w:szCs w:val="20"/>
                <w:lang w:eastAsia="zh-CN"/>
              </w:rPr>
              <w:t xml:space="preserve">    - z toho: oslobodenie príspevkov na DDS </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9F5912" w:rsidP="00A231F2">
            <w:pPr>
              <w:bidi w:val="0"/>
              <w:spacing w:before="60" w:after="60"/>
              <w:jc w:val="right"/>
              <w:rPr>
                <w:rFonts w:ascii="Times New Roman" w:hAnsi="Times New Roman"/>
                <w:color w:val="000000"/>
                <w:sz w:val="20"/>
                <w:szCs w:val="20"/>
                <w:lang w:eastAsia="zh-CN"/>
              </w:rPr>
            </w:pPr>
            <w:r>
              <w:rPr>
                <w:rFonts w:ascii="Times New Roman" w:hAnsi="Times New Roman"/>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9F5912" w:rsidP="00A231F2">
            <w:pPr>
              <w:bidi w:val="0"/>
              <w:spacing w:before="60" w:after="60"/>
              <w:jc w:val="right"/>
              <w:rPr>
                <w:rFonts w:ascii="Times New Roman" w:hAnsi="Times New Roman"/>
                <w:color w:val="000000"/>
                <w:sz w:val="20"/>
                <w:szCs w:val="20"/>
                <w:lang w:eastAsia="zh-CN"/>
              </w:rPr>
            </w:pPr>
            <w:r>
              <w:rPr>
                <w:rFonts w:ascii="Times New Roman" w:hAnsi="Times New Roman"/>
                <w:sz w:val="20"/>
                <w:szCs w:val="20"/>
              </w:rPr>
              <w:t>-14 099 079</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9F5912" w:rsidP="00A231F2">
            <w:pPr>
              <w:bidi w:val="0"/>
              <w:spacing w:before="60" w:after="60"/>
              <w:jc w:val="right"/>
              <w:rPr>
                <w:rFonts w:ascii="Times New Roman" w:hAnsi="Times New Roman"/>
                <w:color w:val="000000"/>
                <w:sz w:val="20"/>
                <w:szCs w:val="20"/>
                <w:lang w:eastAsia="zh-CN"/>
              </w:rPr>
            </w:pPr>
            <w:r>
              <w:rPr>
                <w:rFonts w:ascii="Times New Roman" w:hAnsi="Times New Roman"/>
                <w:sz w:val="20"/>
                <w:szCs w:val="20"/>
              </w:rPr>
              <w:t>-15 119 947</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9F5912" w:rsidP="00A231F2">
            <w:pPr>
              <w:bidi w:val="0"/>
              <w:spacing w:before="60" w:after="60"/>
              <w:jc w:val="right"/>
              <w:rPr>
                <w:rFonts w:ascii="Times New Roman" w:hAnsi="Times New Roman"/>
                <w:color w:val="000000"/>
                <w:sz w:val="20"/>
                <w:szCs w:val="20"/>
                <w:lang w:eastAsia="zh-CN"/>
              </w:rPr>
            </w:pPr>
            <w:r>
              <w:rPr>
                <w:rFonts w:ascii="Times New Roman" w:hAnsi="Times New Roman"/>
                <w:sz w:val="20"/>
                <w:szCs w:val="20"/>
              </w:rPr>
              <w:t>-16 279 504</w:t>
            </w:r>
          </w:p>
        </w:tc>
        <w:tc>
          <w:tcPr>
            <w:tcW w:w="1427" w:type="dxa"/>
            <w:gridSpan w:val="2"/>
            <w:vMerge/>
            <w:tcBorders>
              <w:top w:val="single" w:sz="4" w:space="0" w:color="auto"/>
              <w:left w:val="single" w:sz="4" w:space="0" w:color="auto"/>
              <w:bottom w:val="single" w:sz="4" w:space="0" w:color="auto"/>
              <w:right w:val="single" w:sz="4" w:space="0" w:color="auto"/>
            </w:tcBorders>
            <w:textDirection w:val="lrTb"/>
            <w:vAlign w:val="top"/>
          </w:tcPr>
          <w:p w:rsidR="00A46D63" w:rsidRPr="00772706" w:rsidP="00A231F2">
            <w:pPr>
              <w:bidi w:val="0"/>
              <w:spacing w:before="60" w:after="60"/>
              <w:jc w:val="right"/>
              <w:rPr>
                <w:rFonts w:ascii="Times New Roman" w:hAnsi="Times New Roman"/>
                <w:color w:val="000000"/>
                <w:sz w:val="20"/>
                <w:szCs w:val="20"/>
                <w:lang w:eastAsia="zh-CN"/>
              </w:rPr>
            </w:pPr>
          </w:p>
        </w:tc>
      </w:tr>
      <w:tr>
        <w:tblPrEx>
          <w:tblW w:w="130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772706" w:rsidP="00A231F2">
            <w:pPr>
              <w:bidi w:val="0"/>
              <w:spacing w:before="60" w:after="60"/>
              <w:jc w:val="right"/>
              <w:rPr>
                <w:rFonts w:ascii="Times New Roman" w:hAnsi="Times New Roman"/>
                <w:color w:val="000000"/>
                <w:sz w:val="20"/>
                <w:szCs w:val="20"/>
                <w:lang w:eastAsia="zh-CN"/>
              </w:rPr>
            </w:pP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9F5912"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 xml:space="preserve">    - z toho: motorové vozidlo</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9F591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9F591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-505 723</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9F591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-544 614</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9F591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-591 468</w:t>
            </w:r>
          </w:p>
        </w:tc>
        <w:tc>
          <w:tcPr>
            <w:tcW w:w="1427" w:type="dxa"/>
            <w:gridSpan w:val="2"/>
            <w:vMerge/>
            <w:tcBorders>
              <w:top w:val="single" w:sz="4" w:space="0" w:color="auto"/>
              <w:left w:val="single" w:sz="4" w:space="0" w:color="auto"/>
              <w:bottom w:val="single" w:sz="4" w:space="0" w:color="auto"/>
              <w:right w:val="single" w:sz="4" w:space="0" w:color="auto"/>
            </w:tcBorders>
            <w:textDirection w:val="lrTb"/>
            <w:vAlign w:val="top"/>
          </w:tcPr>
          <w:p w:rsidR="00A46D63" w:rsidRPr="00772706" w:rsidP="00A231F2">
            <w:pPr>
              <w:bidi w:val="0"/>
              <w:spacing w:before="60" w:after="60"/>
              <w:jc w:val="right"/>
              <w:rPr>
                <w:rFonts w:ascii="Times New Roman" w:hAnsi="Times New Roman"/>
                <w:color w:val="000000"/>
                <w:sz w:val="20"/>
                <w:szCs w:val="20"/>
                <w:lang w:eastAsia="zh-CN"/>
              </w:rPr>
            </w:pPr>
          </w:p>
        </w:tc>
      </w:tr>
      <w:tr>
        <w:tblPrEx>
          <w:tblW w:w="130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9F5912"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154002</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9F5912"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 xml:space="preserve">  - SZČO (vrátane zrušených ZO na prenájom)</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9F591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9F591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33 580 757</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9F591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34 007 355</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9F591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32 209 379</w:t>
            </w:r>
          </w:p>
        </w:tc>
        <w:tc>
          <w:tcPr>
            <w:tcW w:w="1427" w:type="dxa"/>
            <w:gridSpan w:val="2"/>
            <w:vMerge/>
            <w:tcBorders>
              <w:top w:val="single" w:sz="4" w:space="0" w:color="auto"/>
              <w:left w:val="single" w:sz="4" w:space="0" w:color="auto"/>
              <w:bottom w:val="single" w:sz="4" w:space="0" w:color="auto"/>
              <w:right w:val="single" w:sz="4" w:space="0" w:color="auto"/>
            </w:tcBorders>
            <w:textDirection w:val="lrTb"/>
            <w:vAlign w:val="top"/>
          </w:tcPr>
          <w:p w:rsidR="00A46D63" w:rsidRPr="00772706" w:rsidP="00A231F2">
            <w:pPr>
              <w:bidi w:val="0"/>
              <w:spacing w:before="60" w:after="60"/>
              <w:jc w:val="right"/>
              <w:rPr>
                <w:rFonts w:ascii="Times New Roman" w:hAnsi="Times New Roman"/>
                <w:color w:val="000000"/>
                <w:sz w:val="20"/>
                <w:szCs w:val="20"/>
                <w:lang w:eastAsia="zh-CN"/>
              </w:rPr>
            </w:pPr>
          </w:p>
        </w:tc>
      </w:tr>
      <w:tr>
        <w:tblPrEx>
          <w:tblW w:w="130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9F5912"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154009</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9F5912"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 xml:space="preserve">    - iní platitelia</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9F5912" w:rsidP="00A231F2">
            <w:pPr>
              <w:bidi w:val="0"/>
              <w:spacing w:before="60" w:after="60"/>
              <w:jc w:val="right"/>
              <w:rPr>
                <w:rFonts w:ascii="Times New Roman" w:hAnsi="Times New Roman"/>
                <w:b/>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9F591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-2 861 724</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9F591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-2 045 184</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9F591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-1 483 929</w:t>
            </w:r>
          </w:p>
        </w:tc>
        <w:tc>
          <w:tcPr>
            <w:tcW w:w="1427" w:type="dxa"/>
            <w:gridSpan w:val="2"/>
            <w:vMerge/>
            <w:tcBorders>
              <w:top w:val="single" w:sz="4" w:space="0" w:color="auto"/>
              <w:left w:val="single" w:sz="4" w:space="0" w:color="auto"/>
              <w:bottom w:val="single" w:sz="4" w:space="0" w:color="auto"/>
              <w:right w:val="single" w:sz="4" w:space="0" w:color="auto"/>
            </w:tcBorders>
            <w:textDirection w:val="lrTb"/>
            <w:vAlign w:val="top"/>
          </w:tcPr>
          <w:p w:rsidR="00A46D63" w:rsidRPr="00772706" w:rsidP="00A231F2">
            <w:pPr>
              <w:bidi w:val="0"/>
              <w:spacing w:before="60" w:after="60"/>
              <w:jc w:val="right"/>
              <w:rPr>
                <w:rFonts w:ascii="Times New Roman" w:hAnsi="Times New Roman"/>
                <w:color w:val="000000"/>
                <w:sz w:val="20"/>
                <w:szCs w:val="20"/>
                <w:lang w:eastAsia="zh-CN"/>
              </w:rPr>
            </w:pPr>
          </w:p>
        </w:tc>
      </w:tr>
      <w:tr>
        <w:tblPrEx>
          <w:tblW w:w="130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9F5912"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154005</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9F5912"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 xml:space="preserve">    - štát (poistné platené štátom)</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9F591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9F591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274 759 804</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9F591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289 209 583</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9F5912"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316 589 140</w:t>
            </w:r>
          </w:p>
        </w:tc>
        <w:tc>
          <w:tcPr>
            <w:tcW w:w="1427" w:type="dxa"/>
            <w:gridSpan w:val="2"/>
            <w:vMerge/>
            <w:tcBorders>
              <w:top w:val="single" w:sz="4" w:space="0" w:color="auto"/>
              <w:left w:val="single" w:sz="4" w:space="0" w:color="auto"/>
              <w:bottom w:val="single" w:sz="4" w:space="0" w:color="auto"/>
              <w:right w:val="single" w:sz="4" w:space="0" w:color="auto"/>
            </w:tcBorders>
            <w:textDirection w:val="lrTb"/>
            <w:vAlign w:val="top"/>
          </w:tcPr>
          <w:p w:rsidR="00BB13C3" w:rsidRPr="00772706" w:rsidP="00A231F2">
            <w:pPr>
              <w:bidi w:val="0"/>
              <w:spacing w:before="60" w:after="60"/>
              <w:jc w:val="right"/>
              <w:rPr>
                <w:rFonts w:ascii="Times New Roman" w:hAnsi="Times New Roman"/>
                <w:color w:val="000000"/>
                <w:sz w:val="20"/>
                <w:szCs w:val="20"/>
                <w:lang w:eastAsia="zh-CN"/>
              </w:rPr>
            </w:pPr>
          </w:p>
        </w:tc>
      </w:tr>
    </w:tbl>
    <w:p w:rsidR="001C0A63" w:rsidP="00A86C7E">
      <w:pPr>
        <w:pStyle w:val="NormalWeb"/>
        <w:bidi w:val="0"/>
        <w:spacing w:before="0" w:beforeAutospacing="0" w:after="120" w:afterAutospacing="0"/>
        <w:ind w:right="535"/>
        <w:jc w:val="right"/>
        <w:rPr>
          <w:rFonts w:ascii="Times New Roman" w:hAnsi="Times New Roman"/>
          <w:b/>
          <w:bCs/>
        </w:rPr>
      </w:pPr>
      <w:r>
        <w:rPr>
          <w:rFonts w:ascii="Times New Roman" w:hAnsi="Times New Roman"/>
          <w:b/>
          <w:bCs/>
        </w:rPr>
        <w:br w:type="page"/>
      </w:r>
      <w:r w:rsidRPr="00A86C7E" w:rsidR="006727E0">
        <w:rPr>
          <w:rFonts w:ascii="Times New Roman" w:hAnsi="Times New Roman"/>
          <w:bCs/>
        </w:rPr>
        <w:t>Tabuľka č.</w:t>
      </w:r>
      <w:r w:rsidR="006727E0">
        <w:rPr>
          <w:rFonts w:ascii="Times New Roman" w:hAnsi="Times New Roman"/>
          <w:b/>
          <w:bCs/>
        </w:rPr>
        <w:t xml:space="preserve"> </w:t>
      </w:r>
      <w:r w:rsidRPr="002B50DC" w:rsidR="005D2E9C">
        <w:rPr>
          <w:rFonts w:ascii="Times New Roman" w:hAnsi="Times New Roman"/>
          <w:bCs/>
        </w:rPr>
        <w:t>1</w:t>
      </w:r>
      <w:r w:rsidR="005D2E9C">
        <w:rPr>
          <w:rFonts w:ascii="Times New Roman" w:hAnsi="Times New Roman"/>
          <w:sz w:val="22"/>
          <w:szCs w:val="22"/>
        </w:rPr>
        <w:t>2</w:t>
      </w:r>
    </w:p>
    <w:tbl>
      <w:tblPr>
        <w:tblStyle w:val="TableNormal"/>
        <w:tblW w:w="13183" w:type="dxa"/>
        <w:tblInd w:w="392" w:type="dxa"/>
        <w:tblLook w:val="00A0"/>
      </w:tblPr>
      <w:tblGrid>
        <w:gridCol w:w="1255"/>
        <w:gridCol w:w="13"/>
        <w:gridCol w:w="4100"/>
        <w:gridCol w:w="10"/>
        <w:gridCol w:w="1562"/>
        <w:gridCol w:w="10"/>
        <w:gridCol w:w="1549"/>
        <w:gridCol w:w="10"/>
        <w:gridCol w:w="1550"/>
        <w:gridCol w:w="10"/>
        <w:gridCol w:w="1549"/>
        <w:gridCol w:w="10"/>
        <w:gridCol w:w="1555"/>
      </w:tblGrid>
      <w:tr>
        <w:tblPrEx>
          <w:tblW w:w="13183" w:type="dxa"/>
          <w:tblInd w:w="392" w:type="dxa"/>
          <w:tblLook w:val="00A0"/>
        </w:tblPrEx>
        <w:trPr>
          <w:trHeight w:val="315"/>
        </w:trPr>
        <w:tc>
          <w:tcPr>
            <w:tcW w:w="1255" w:type="dxa"/>
            <w:tcBorders>
              <w:top w:val="single" w:sz="4" w:space="0" w:color="auto"/>
              <w:left w:val="single" w:sz="4" w:space="0" w:color="auto"/>
              <w:bottom w:val="nil"/>
              <w:right w:val="nil"/>
            </w:tcBorders>
            <w:shd w:val="clear" w:color="000000" w:fill="000000"/>
            <w:noWrap/>
            <w:textDirection w:val="lrTb"/>
            <w:vAlign w:val="bottom"/>
          </w:tcPr>
          <w:p w:rsidR="00A231F2" w:rsidRPr="00F7769A" w:rsidP="00A231F2">
            <w:pPr>
              <w:bidi w:val="0"/>
              <w:spacing w:before="60" w:after="60"/>
              <w:rPr>
                <w:rFonts w:ascii="Times New Roman" w:hAnsi="Times New Roman"/>
                <w:b/>
                <w:bCs/>
                <w:color w:val="FFFFFF"/>
                <w:sz w:val="20"/>
                <w:szCs w:val="20"/>
                <w:lang w:eastAsia="en-US"/>
              </w:rPr>
            </w:pPr>
            <w:r w:rsidRPr="00F7769A">
              <w:rPr>
                <w:rFonts w:ascii="Times New Roman" w:hAnsi="Times New Roman"/>
                <w:b/>
                <w:bCs/>
                <w:color w:val="FFFFFF"/>
                <w:sz w:val="20"/>
                <w:szCs w:val="20"/>
                <w:lang w:eastAsia="en-US"/>
              </w:rPr>
              <w:t> </w:t>
            </w:r>
          </w:p>
        </w:tc>
        <w:tc>
          <w:tcPr>
            <w:tcW w:w="4113" w:type="dxa"/>
            <w:gridSpan w:val="2"/>
            <w:tcBorders>
              <w:top w:val="single" w:sz="4" w:space="0" w:color="auto"/>
              <w:left w:val="nil"/>
              <w:bottom w:val="nil"/>
              <w:right w:val="nil"/>
            </w:tcBorders>
            <w:shd w:val="clear" w:color="000000" w:fill="000000"/>
            <w:noWrap/>
            <w:textDirection w:val="lrTb"/>
            <w:vAlign w:val="bottom"/>
          </w:tcPr>
          <w:p w:rsidR="00A231F2" w:rsidRPr="00F7769A" w:rsidP="00A231F2">
            <w:pPr>
              <w:bidi w:val="0"/>
              <w:spacing w:before="60" w:after="60"/>
              <w:rPr>
                <w:rFonts w:ascii="Times New Roman" w:hAnsi="Times New Roman"/>
                <w:b/>
                <w:bCs/>
                <w:color w:val="FFFFFF"/>
                <w:sz w:val="20"/>
                <w:szCs w:val="20"/>
                <w:lang w:eastAsia="en-US"/>
              </w:rPr>
            </w:pPr>
            <w:r w:rsidRPr="00F7769A">
              <w:rPr>
                <w:rFonts w:ascii="Times New Roman" w:hAnsi="Times New Roman"/>
                <w:b/>
                <w:bCs/>
                <w:color w:val="FFFFFF"/>
                <w:sz w:val="20"/>
                <w:szCs w:val="20"/>
              </w:rPr>
              <w:t xml:space="preserve">Príjmy  </w:t>
            </w:r>
            <w:r w:rsidRPr="00705F05">
              <w:rPr>
                <w:rFonts w:ascii="Times New Roman" w:hAnsi="Times New Roman"/>
                <w:b/>
                <w:bCs/>
                <w:color w:val="FFFFFF"/>
                <w:sz w:val="20"/>
                <w:szCs w:val="20"/>
              </w:rPr>
              <w:t>(</w:t>
            </w:r>
            <w:r>
              <w:rPr>
                <w:rFonts w:ascii="Times New Roman" w:hAnsi="Times New Roman"/>
                <w:b/>
                <w:bCs/>
                <w:color w:val="FFFFFF"/>
                <w:sz w:val="20"/>
                <w:szCs w:val="20"/>
              </w:rPr>
              <w:t xml:space="preserve">ESA 95, </w:t>
            </w:r>
            <w:r w:rsidRPr="00705F05">
              <w:rPr>
                <w:rFonts w:ascii="Times New Roman" w:hAnsi="Times New Roman"/>
                <w:b/>
                <w:bCs/>
                <w:color w:val="FFFFFF"/>
                <w:sz w:val="20"/>
                <w:szCs w:val="20"/>
              </w:rPr>
              <w:t>v eurách)</w:t>
            </w:r>
          </w:p>
        </w:tc>
        <w:tc>
          <w:tcPr>
            <w:tcW w:w="6250" w:type="dxa"/>
            <w:gridSpan w:val="8"/>
            <w:tcBorders>
              <w:top w:val="single" w:sz="4" w:space="0" w:color="auto"/>
              <w:left w:val="nil"/>
              <w:bottom w:val="nil"/>
              <w:right w:val="nil"/>
            </w:tcBorders>
            <w:shd w:val="clear" w:color="000000" w:fill="000000"/>
            <w:noWrap/>
            <w:textDirection w:val="lrTb"/>
            <w:vAlign w:val="bottom"/>
          </w:tcPr>
          <w:p w:rsidR="00A231F2" w:rsidRPr="00F7769A" w:rsidP="00A231F2">
            <w:pPr>
              <w:bidi w:val="0"/>
              <w:spacing w:before="120" w:after="120"/>
              <w:jc w:val="center"/>
              <w:rPr>
                <w:rFonts w:ascii="Times New Roman" w:hAnsi="Times New Roman"/>
                <w:b/>
                <w:bCs/>
                <w:color w:val="FFFFFF"/>
                <w:sz w:val="20"/>
                <w:szCs w:val="20"/>
                <w:lang w:eastAsia="en-US"/>
              </w:rPr>
            </w:pPr>
            <w:r w:rsidRPr="00F7769A">
              <w:rPr>
                <w:rFonts w:ascii="Times New Roman" w:hAnsi="Times New Roman"/>
                <w:b/>
                <w:bCs/>
                <w:color w:val="FFFFFF"/>
                <w:sz w:val="20"/>
                <w:szCs w:val="20"/>
              </w:rPr>
              <w:t>Vplyv na rozpočet verejnej správy</w:t>
            </w:r>
          </w:p>
        </w:tc>
        <w:tc>
          <w:tcPr>
            <w:tcW w:w="1565" w:type="dxa"/>
            <w:gridSpan w:val="2"/>
            <w:vMerge w:val="restart"/>
            <w:tcBorders>
              <w:top w:val="single" w:sz="4" w:space="0" w:color="auto"/>
              <w:left w:val="nil"/>
              <w:bottom w:val="none" w:sz="0" w:space="0" w:color="auto"/>
              <w:right w:val="nil"/>
            </w:tcBorders>
            <w:shd w:val="clear" w:color="000000" w:fill="000000"/>
            <w:textDirection w:val="lrTb"/>
            <w:vAlign w:val="center"/>
          </w:tcPr>
          <w:p w:rsidR="00A231F2" w:rsidRPr="00772706" w:rsidP="00A231F2">
            <w:pPr>
              <w:pStyle w:val="NormalWeb"/>
              <w:bidi w:val="0"/>
              <w:spacing w:before="60" w:beforeAutospacing="0" w:after="60" w:afterAutospacing="0"/>
              <w:jc w:val="center"/>
              <w:rPr>
                <w:rFonts w:ascii="Times New Roman" w:hAnsi="Times New Roman"/>
                <w:sz w:val="20"/>
                <w:szCs w:val="20"/>
              </w:rPr>
            </w:pPr>
            <w:r w:rsidRPr="00772706">
              <w:rPr>
                <w:rFonts w:ascii="Times New Roman" w:hAnsi="Times New Roman"/>
                <w:b/>
                <w:bCs/>
                <w:color w:val="FFFFFF"/>
                <w:sz w:val="20"/>
                <w:szCs w:val="20"/>
              </w:rPr>
              <w:t>Poznámka</w:t>
            </w:r>
          </w:p>
        </w:tc>
      </w:tr>
      <w:tr>
        <w:tblPrEx>
          <w:tblW w:w="13183" w:type="dxa"/>
          <w:tblInd w:w="392" w:type="dxa"/>
          <w:tblLook w:val="00A0"/>
        </w:tblPrEx>
        <w:trPr>
          <w:trHeight w:val="315"/>
        </w:trPr>
        <w:tc>
          <w:tcPr>
            <w:tcW w:w="1255" w:type="dxa"/>
            <w:tcBorders>
              <w:top w:val="nil"/>
              <w:left w:val="single" w:sz="4" w:space="0" w:color="auto"/>
              <w:bottom w:val="nil"/>
              <w:right w:val="nil"/>
            </w:tcBorders>
            <w:shd w:val="clear" w:color="000000" w:fill="000000"/>
            <w:noWrap/>
            <w:textDirection w:val="lrTb"/>
            <w:vAlign w:val="bottom"/>
          </w:tcPr>
          <w:p w:rsidR="00A231F2" w:rsidRPr="00F7769A" w:rsidP="00A231F2">
            <w:pPr>
              <w:bidi w:val="0"/>
              <w:spacing w:before="60" w:after="60"/>
              <w:rPr>
                <w:rFonts w:ascii="Times New Roman" w:hAnsi="Times New Roman"/>
                <w:b/>
                <w:bCs/>
                <w:color w:val="FFFFFF"/>
                <w:sz w:val="20"/>
                <w:szCs w:val="20"/>
                <w:lang w:eastAsia="en-US"/>
              </w:rPr>
            </w:pPr>
            <w:r w:rsidRPr="00F7769A">
              <w:rPr>
                <w:rFonts w:ascii="Times New Roman" w:hAnsi="Times New Roman"/>
                <w:b/>
                <w:bCs/>
                <w:color w:val="FFFFFF"/>
                <w:sz w:val="20"/>
                <w:szCs w:val="20"/>
                <w:lang w:eastAsia="en-US"/>
              </w:rPr>
              <w:t> </w:t>
            </w:r>
          </w:p>
        </w:tc>
        <w:tc>
          <w:tcPr>
            <w:tcW w:w="4113" w:type="dxa"/>
            <w:gridSpan w:val="2"/>
            <w:tcBorders>
              <w:top w:val="nil"/>
              <w:left w:val="nil"/>
              <w:bottom w:val="nil"/>
              <w:right w:val="nil"/>
            </w:tcBorders>
            <w:shd w:val="clear" w:color="000000" w:fill="000000"/>
            <w:noWrap/>
            <w:textDirection w:val="lrTb"/>
            <w:vAlign w:val="bottom"/>
          </w:tcPr>
          <w:p w:rsidR="00A231F2" w:rsidRPr="00F7769A" w:rsidP="00A231F2">
            <w:pPr>
              <w:bidi w:val="0"/>
              <w:spacing w:before="120" w:after="120"/>
              <w:rPr>
                <w:rFonts w:ascii="Times New Roman" w:hAnsi="Times New Roman"/>
                <w:b/>
                <w:bCs/>
                <w:color w:val="FFFFFF"/>
                <w:sz w:val="20"/>
                <w:szCs w:val="20"/>
                <w:u w:val="single"/>
                <w:lang w:eastAsia="en-US"/>
              </w:rPr>
            </w:pPr>
            <w:r w:rsidRPr="00F7769A">
              <w:rPr>
                <w:rFonts w:ascii="Times New Roman" w:hAnsi="Times New Roman"/>
                <w:b/>
                <w:bCs/>
                <w:color w:val="FFFFFF"/>
                <w:sz w:val="20"/>
                <w:szCs w:val="20"/>
                <w:u w:val="single"/>
                <w:lang w:eastAsia="en-US"/>
              </w:rPr>
              <w:t>Verejná správa</w:t>
            </w:r>
          </w:p>
        </w:tc>
        <w:tc>
          <w:tcPr>
            <w:tcW w:w="1572" w:type="dxa"/>
            <w:gridSpan w:val="2"/>
            <w:tcBorders>
              <w:top w:val="nil"/>
              <w:left w:val="nil"/>
              <w:bottom w:val="nil"/>
              <w:right w:val="nil"/>
            </w:tcBorders>
            <w:shd w:val="clear" w:color="000000" w:fill="000000"/>
            <w:noWrap/>
            <w:textDirection w:val="lrTb"/>
            <w:vAlign w:val="bottom"/>
          </w:tcPr>
          <w:p w:rsidR="00A231F2" w:rsidRPr="00F7769A" w:rsidP="00A231F2">
            <w:pPr>
              <w:bidi w:val="0"/>
              <w:spacing w:before="120" w:after="120"/>
              <w:jc w:val="center"/>
              <w:rPr>
                <w:rFonts w:ascii="Times New Roman" w:hAnsi="Times New Roman"/>
                <w:b/>
                <w:bCs/>
                <w:color w:val="FFFFFF"/>
                <w:sz w:val="20"/>
                <w:szCs w:val="20"/>
                <w:lang w:eastAsia="en-US"/>
              </w:rPr>
            </w:pPr>
            <w:r w:rsidRPr="00F7769A">
              <w:rPr>
                <w:rFonts w:ascii="Times New Roman" w:hAnsi="Times New Roman"/>
                <w:b/>
                <w:bCs/>
                <w:color w:val="FFFFFF"/>
                <w:sz w:val="20"/>
                <w:szCs w:val="20"/>
                <w:lang w:eastAsia="en-US"/>
              </w:rPr>
              <w:t>2011</w:t>
            </w:r>
          </w:p>
        </w:tc>
        <w:tc>
          <w:tcPr>
            <w:tcW w:w="1559" w:type="dxa"/>
            <w:gridSpan w:val="2"/>
            <w:tcBorders>
              <w:top w:val="nil"/>
              <w:left w:val="nil"/>
              <w:bottom w:val="nil"/>
              <w:right w:val="nil"/>
            </w:tcBorders>
            <w:shd w:val="clear" w:color="000000" w:fill="000000"/>
            <w:noWrap/>
            <w:textDirection w:val="lrTb"/>
            <w:vAlign w:val="bottom"/>
          </w:tcPr>
          <w:p w:rsidR="00A231F2" w:rsidRPr="00F7769A" w:rsidP="00A231F2">
            <w:pPr>
              <w:bidi w:val="0"/>
              <w:spacing w:before="120" w:after="120"/>
              <w:jc w:val="center"/>
              <w:rPr>
                <w:rFonts w:ascii="Times New Roman" w:hAnsi="Times New Roman"/>
                <w:b/>
                <w:bCs/>
                <w:color w:val="FFFFFF"/>
                <w:sz w:val="20"/>
                <w:szCs w:val="20"/>
                <w:lang w:eastAsia="en-US"/>
              </w:rPr>
            </w:pPr>
            <w:r w:rsidRPr="00F7769A">
              <w:rPr>
                <w:rFonts w:ascii="Times New Roman" w:hAnsi="Times New Roman"/>
                <w:b/>
                <w:bCs/>
                <w:color w:val="FFFFFF"/>
                <w:sz w:val="20"/>
                <w:szCs w:val="20"/>
                <w:lang w:eastAsia="en-US"/>
              </w:rPr>
              <w:t>2012</w:t>
            </w:r>
          </w:p>
        </w:tc>
        <w:tc>
          <w:tcPr>
            <w:tcW w:w="1560" w:type="dxa"/>
            <w:gridSpan w:val="2"/>
            <w:tcBorders>
              <w:top w:val="nil"/>
              <w:left w:val="nil"/>
              <w:bottom w:val="nil"/>
              <w:right w:val="nil"/>
            </w:tcBorders>
            <w:shd w:val="clear" w:color="000000" w:fill="000000"/>
            <w:noWrap/>
            <w:textDirection w:val="lrTb"/>
            <w:vAlign w:val="bottom"/>
          </w:tcPr>
          <w:p w:rsidR="00A231F2" w:rsidRPr="00F7769A" w:rsidP="00A231F2">
            <w:pPr>
              <w:bidi w:val="0"/>
              <w:spacing w:before="120" w:after="120"/>
              <w:jc w:val="center"/>
              <w:rPr>
                <w:rFonts w:ascii="Times New Roman" w:hAnsi="Times New Roman"/>
                <w:b/>
                <w:bCs/>
                <w:color w:val="FFFFFF"/>
                <w:sz w:val="20"/>
                <w:szCs w:val="20"/>
                <w:lang w:eastAsia="en-US"/>
              </w:rPr>
            </w:pPr>
            <w:r w:rsidRPr="00F7769A">
              <w:rPr>
                <w:rFonts w:ascii="Times New Roman" w:hAnsi="Times New Roman"/>
                <w:b/>
                <w:bCs/>
                <w:color w:val="FFFFFF"/>
                <w:sz w:val="20"/>
                <w:szCs w:val="20"/>
                <w:lang w:eastAsia="en-US"/>
              </w:rPr>
              <w:t>2013</w:t>
            </w:r>
          </w:p>
        </w:tc>
        <w:tc>
          <w:tcPr>
            <w:tcW w:w="1559" w:type="dxa"/>
            <w:gridSpan w:val="2"/>
            <w:tcBorders>
              <w:top w:val="nil"/>
              <w:left w:val="nil"/>
              <w:bottom w:val="nil"/>
              <w:right w:val="nil"/>
            </w:tcBorders>
            <w:shd w:val="clear" w:color="000000" w:fill="000000"/>
            <w:noWrap/>
            <w:textDirection w:val="lrTb"/>
            <w:vAlign w:val="bottom"/>
          </w:tcPr>
          <w:p w:rsidR="00A231F2" w:rsidRPr="00772706" w:rsidP="00A231F2">
            <w:pPr>
              <w:bidi w:val="0"/>
              <w:spacing w:before="120" w:after="120"/>
              <w:jc w:val="center"/>
              <w:rPr>
                <w:rFonts w:ascii="Times New Roman" w:hAnsi="Times New Roman"/>
                <w:b/>
                <w:bCs/>
                <w:color w:val="FFFFFF"/>
                <w:sz w:val="20"/>
                <w:szCs w:val="20"/>
                <w:lang w:eastAsia="en-US"/>
              </w:rPr>
            </w:pPr>
            <w:r w:rsidRPr="00772706">
              <w:rPr>
                <w:rFonts w:ascii="Times New Roman" w:hAnsi="Times New Roman"/>
                <w:b/>
                <w:bCs/>
                <w:color w:val="FFFFFF"/>
                <w:sz w:val="20"/>
                <w:szCs w:val="20"/>
                <w:lang w:eastAsia="en-US"/>
              </w:rPr>
              <w:t>2014</w:t>
            </w:r>
          </w:p>
        </w:tc>
        <w:tc>
          <w:tcPr>
            <w:tcW w:w="1565" w:type="dxa"/>
            <w:gridSpan w:val="2"/>
            <w:vMerge/>
            <w:tcBorders>
              <w:top w:val="none" w:sz="0" w:space="0" w:color="auto"/>
              <w:left w:val="nil"/>
              <w:bottom w:val="nil"/>
              <w:right w:val="nil"/>
            </w:tcBorders>
            <w:shd w:val="clear" w:color="000000" w:fill="000000"/>
            <w:textDirection w:val="lrTb"/>
            <w:vAlign w:val="center"/>
          </w:tcPr>
          <w:p w:rsidR="00A231F2" w:rsidRPr="00772706" w:rsidP="00A231F2">
            <w:pPr>
              <w:bidi w:val="0"/>
              <w:spacing w:before="60" w:after="60"/>
              <w:rPr>
                <w:rFonts w:ascii="Times New Roman" w:hAnsi="Times New Roman"/>
                <w:sz w:val="20"/>
                <w:szCs w:val="20"/>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772706" w:rsidP="00A231F2">
            <w:pPr>
              <w:bidi w:val="0"/>
              <w:spacing w:before="60" w:after="60"/>
              <w:jc w:val="right"/>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100+300</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772706" w:rsidP="00A231F2">
            <w:pPr>
              <w:bidi w:val="0"/>
              <w:spacing w:before="60" w:after="60"/>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Celkový vplyv na príjmy</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772706"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772706"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772706"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772706"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555" w:type="dxa"/>
            <w:vMerge w:val="restart"/>
            <w:tcBorders>
              <w:top w:val="single" w:sz="4" w:space="0" w:color="auto"/>
              <w:left w:val="single" w:sz="4" w:space="0" w:color="auto"/>
              <w:bottom w:val="single" w:sz="4" w:space="0" w:color="auto"/>
              <w:right w:val="single" w:sz="4" w:space="0" w:color="auto"/>
            </w:tcBorders>
            <w:textDirection w:val="lrTb"/>
            <w:vAlign w:val="top"/>
          </w:tcPr>
          <w:p w:rsidR="00C9304F" w:rsidRPr="00772706" w:rsidP="00A231F2">
            <w:pPr>
              <w:bidi w:val="0"/>
              <w:spacing w:before="60" w:after="60"/>
              <w:jc w:val="right"/>
              <w:rPr>
                <w:rFonts w:ascii="Times New Roman" w:hAnsi="Times New Roman"/>
                <w:b/>
                <w:bCs/>
                <w:color w:val="000000"/>
                <w:sz w:val="20"/>
                <w:szCs w:val="20"/>
                <w:lang w:eastAsia="zh-CN"/>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772706" w:rsidP="00A231F2">
            <w:pPr>
              <w:bidi w:val="0"/>
              <w:spacing w:before="60" w:after="60"/>
              <w:jc w:val="right"/>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100</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772706" w:rsidP="00A231F2">
            <w:pPr>
              <w:bidi w:val="0"/>
              <w:spacing w:before="60" w:after="60"/>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Daňové príjmy</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772706"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772706"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772706"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772706" w:rsidP="00A231F2">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C9304F" w:rsidRPr="00772706" w:rsidP="00A231F2">
            <w:pPr>
              <w:bidi w:val="0"/>
              <w:spacing w:before="60" w:after="60"/>
              <w:jc w:val="right"/>
              <w:rPr>
                <w:rFonts w:ascii="Times New Roman" w:hAnsi="Times New Roman"/>
                <w:b/>
                <w:bCs/>
                <w:color w:val="000000"/>
                <w:sz w:val="20"/>
                <w:szCs w:val="20"/>
                <w:lang w:eastAsia="zh-CN"/>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F7769A"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150</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F7769A"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Poistné</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C9304F" w:rsidRPr="00772706" w:rsidP="00A231F2">
            <w:pPr>
              <w:bidi w:val="0"/>
              <w:spacing w:before="60" w:after="60"/>
              <w:jc w:val="right"/>
              <w:rPr>
                <w:rFonts w:ascii="Times New Roman" w:hAnsi="Times New Roman"/>
                <w:color w:val="000000"/>
                <w:sz w:val="20"/>
                <w:szCs w:val="20"/>
                <w:lang w:eastAsia="zh-CN"/>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772706"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151-153</w:t>
            </w:r>
          </w:p>
          <w:p w:rsidR="00C9304F" w:rsidRPr="00F7769A"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155-158</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F7769A"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Sociálne poistenie</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C9304F" w:rsidRPr="00772706" w:rsidP="00A231F2">
            <w:pPr>
              <w:bidi w:val="0"/>
              <w:spacing w:before="60" w:after="60"/>
              <w:jc w:val="right"/>
              <w:rPr>
                <w:rFonts w:ascii="Times New Roman" w:hAnsi="Times New Roman"/>
                <w:color w:val="000000"/>
                <w:sz w:val="20"/>
                <w:szCs w:val="20"/>
                <w:lang w:eastAsia="zh-CN"/>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F7769A"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154001, 154002</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F7769A"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 xml:space="preserve"> - zamestnanci, zamestnávatelia</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-305 478 837</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-321 171 754</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-347 314 590</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BB13C3" w:rsidRPr="00772706" w:rsidP="00A231F2">
            <w:pPr>
              <w:bidi w:val="0"/>
              <w:spacing w:before="60" w:after="60"/>
              <w:jc w:val="right"/>
              <w:rPr>
                <w:rFonts w:ascii="Times New Roman" w:hAnsi="Times New Roman"/>
                <w:color w:val="000000"/>
                <w:sz w:val="20"/>
                <w:szCs w:val="20"/>
                <w:lang w:eastAsia="zh-CN"/>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772706" w:rsidP="00A231F2">
            <w:pPr>
              <w:bidi w:val="0"/>
              <w:spacing w:before="60" w:after="60"/>
              <w:jc w:val="right"/>
              <w:rPr>
                <w:rFonts w:ascii="Times New Roman" w:hAnsi="Times New Roman"/>
                <w:color w:val="000000"/>
                <w:sz w:val="20"/>
                <w:szCs w:val="20"/>
                <w:lang w:eastAsia="zh-CN"/>
              </w:rPr>
            </w:pP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F7769A" w:rsidP="00A231F2">
            <w:pPr>
              <w:bidi w:val="0"/>
              <w:spacing w:before="60" w:after="60"/>
              <w:rPr>
                <w:rFonts w:ascii="Times New Roman" w:hAnsi="Times New Roman"/>
                <w:color w:val="000000"/>
                <w:sz w:val="20"/>
                <w:szCs w:val="20"/>
                <w:lang w:eastAsia="zh-CN"/>
              </w:rPr>
            </w:pPr>
            <w:r w:rsidRPr="00772706">
              <w:rPr>
                <w:rFonts w:ascii="Times New Roman" w:hAnsi="Times New Roman"/>
                <w:sz w:val="20"/>
                <w:szCs w:val="20"/>
                <w:lang w:eastAsia="zh-CN"/>
              </w:rPr>
              <w:t xml:space="preserve">    - z toho: oslobodenie príspevkov na DDS </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sz w:val="20"/>
                <w:szCs w:val="20"/>
              </w:rPr>
              <w:t>-14 099 079</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sz w:val="20"/>
                <w:szCs w:val="20"/>
              </w:rPr>
              <w:t>-15 119 947</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sz w:val="20"/>
                <w:szCs w:val="20"/>
              </w:rPr>
              <w:t>-16 279 504</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A46D63" w:rsidRPr="00772706" w:rsidP="00A231F2">
            <w:pPr>
              <w:bidi w:val="0"/>
              <w:spacing w:before="60" w:after="60"/>
              <w:jc w:val="right"/>
              <w:rPr>
                <w:rFonts w:ascii="Times New Roman" w:hAnsi="Times New Roman"/>
                <w:color w:val="000000"/>
                <w:sz w:val="20"/>
                <w:szCs w:val="20"/>
                <w:lang w:eastAsia="zh-CN"/>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772706" w:rsidP="00A231F2">
            <w:pPr>
              <w:bidi w:val="0"/>
              <w:spacing w:before="60" w:after="60"/>
              <w:jc w:val="right"/>
              <w:rPr>
                <w:rFonts w:ascii="Times New Roman" w:hAnsi="Times New Roman"/>
                <w:color w:val="000000"/>
                <w:sz w:val="20"/>
                <w:szCs w:val="20"/>
                <w:lang w:eastAsia="zh-CN"/>
              </w:rPr>
            </w:pP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F7769A"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 xml:space="preserve">    - z toho: motorové vozidlo</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-505 723</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-544 614</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-591 468</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A46D63" w:rsidRPr="00772706" w:rsidP="00A231F2">
            <w:pPr>
              <w:bidi w:val="0"/>
              <w:spacing w:before="60" w:after="60"/>
              <w:jc w:val="right"/>
              <w:rPr>
                <w:rFonts w:ascii="Times New Roman" w:hAnsi="Times New Roman"/>
                <w:color w:val="000000"/>
                <w:sz w:val="20"/>
                <w:szCs w:val="20"/>
                <w:lang w:eastAsia="zh-CN"/>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F7769A"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154002</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F7769A"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 xml:space="preserve"> - SZČO (vrátane zrušených ZO na prenájom)</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33 580 757</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34 007 355</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32 209 379</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A46D63" w:rsidRPr="00772706" w:rsidP="00A231F2">
            <w:pPr>
              <w:bidi w:val="0"/>
              <w:spacing w:before="60" w:after="60"/>
              <w:jc w:val="right"/>
              <w:rPr>
                <w:rFonts w:ascii="Times New Roman" w:hAnsi="Times New Roman"/>
                <w:color w:val="000000"/>
                <w:sz w:val="20"/>
                <w:szCs w:val="20"/>
                <w:lang w:eastAsia="zh-CN"/>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F7769A"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154009</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F7769A"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 xml:space="preserve">   - iní platitelia</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-2 861 724</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-2 045 184</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A46D63"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-1 483 929</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A46D63" w:rsidRPr="00772706" w:rsidP="00A231F2">
            <w:pPr>
              <w:bidi w:val="0"/>
              <w:spacing w:before="60" w:after="60"/>
              <w:jc w:val="right"/>
              <w:rPr>
                <w:rFonts w:ascii="Times New Roman" w:hAnsi="Times New Roman"/>
                <w:color w:val="000000"/>
                <w:sz w:val="20"/>
                <w:szCs w:val="20"/>
                <w:lang w:eastAsia="zh-CN"/>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F7769A"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154005</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F7769A"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 xml:space="preserve">   - štát (poistné platené štátom)</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274 759 804</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289 209 583</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316 589 140</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BB13C3" w:rsidRPr="00772706" w:rsidP="00A231F2">
            <w:pPr>
              <w:bidi w:val="0"/>
              <w:spacing w:before="60" w:after="60"/>
              <w:jc w:val="right"/>
              <w:rPr>
                <w:rFonts w:ascii="Times New Roman" w:hAnsi="Times New Roman"/>
                <w:color w:val="000000"/>
                <w:sz w:val="20"/>
                <w:szCs w:val="20"/>
                <w:lang w:eastAsia="zh-CN"/>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772706"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b/>
                <w:bCs/>
                <w:color w:val="000000"/>
                <w:sz w:val="20"/>
                <w:szCs w:val="20"/>
                <w:lang w:eastAsia="zh-CN"/>
              </w:rPr>
              <w:t>300</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772706" w:rsidP="00A231F2">
            <w:pPr>
              <w:bidi w:val="0"/>
              <w:spacing w:before="60" w:after="60"/>
              <w:rPr>
                <w:rFonts w:ascii="Times New Roman" w:hAnsi="Times New Roman"/>
                <w:color w:val="000000"/>
                <w:sz w:val="20"/>
                <w:szCs w:val="20"/>
                <w:lang w:eastAsia="zh-CN"/>
              </w:rPr>
            </w:pPr>
            <w:r w:rsidRPr="00772706">
              <w:rPr>
                <w:rFonts w:ascii="Times New Roman" w:hAnsi="Times New Roman"/>
                <w:b/>
                <w:bCs/>
                <w:color w:val="000000"/>
                <w:sz w:val="20"/>
                <w:szCs w:val="20"/>
                <w:lang w:eastAsia="zh-CN"/>
              </w:rPr>
              <w:t>Granty a transfery</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b/>
                <w:bCs/>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b/>
                <w:bCs/>
                <w:color w:val="000000"/>
                <w:sz w:val="20"/>
                <w:szCs w:val="20"/>
              </w:rPr>
              <w:t>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b/>
                <w:bCs/>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772706" w:rsidP="00A231F2">
            <w:pPr>
              <w:bidi w:val="0"/>
              <w:spacing w:before="60" w:after="60"/>
              <w:jc w:val="right"/>
              <w:rPr>
                <w:rFonts w:ascii="Times New Roman" w:hAnsi="Times New Roman"/>
                <w:color w:val="000000"/>
                <w:sz w:val="20"/>
                <w:szCs w:val="20"/>
                <w:lang w:eastAsia="zh-CN"/>
              </w:rPr>
            </w:pPr>
            <w:r>
              <w:rPr>
                <w:rFonts w:ascii="Times New Roman" w:hAnsi="Times New Roman"/>
                <w:b/>
                <w:bCs/>
                <w:color w:val="000000"/>
                <w:sz w:val="20"/>
                <w:szCs w:val="20"/>
              </w:rPr>
              <w:t>0</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C9304F" w:rsidRPr="00772706" w:rsidP="00A231F2">
            <w:pPr>
              <w:bidi w:val="0"/>
              <w:spacing w:before="60" w:after="60"/>
              <w:jc w:val="right"/>
              <w:rPr>
                <w:rFonts w:ascii="Times New Roman" w:hAnsi="Times New Roman"/>
                <w:color w:val="000000"/>
                <w:sz w:val="20"/>
                <w:szCs w:val="20"/>
                <w:lang w:eastAsia="zh-CN"/>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F7769A"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312</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F7769A"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Transfery v rámci verejnej správy</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C9304F" w:rsidRPr="00772706" w:rsidP="00A231F2">
            <w:pPr>
              <w:bidi w:val="0"/>
              <w:spacing w:before="60" w:after="60"/>
              <w:jc w:val="right"/>
              <w:rPr>
                <w:rFonts w:ascii="Times New Roman" w:hAnsi="Times New Roman"/>
                <w:color w:val="000000"/>
                <w:sz w:val="20"/>
                <w:szCs w:val="20"/>
                <w:lang w:eastAsia="zh-CN"/>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F7769A" w:rsidP="00A231F2">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312009</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F7769A" w:rsidP="00A231F2">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Transfer zo SP</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C9304F" w:rsidRPr="00F7769A"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C9304F" w:rsidRPr="00772706" w:rsidP="00A231F2">
            <w:pPr>
              <w:bidi w:val="0"/>
              <w:spacing w:before="60" w:after="60"/>
              <w:jc w:val="right"/>
              <w:rPr>
                <w:rFonts w:ascii="Times New Roman" w:hAnsi="Times New Roman"/>
                <w:color w:val="000000"/>
                <w:sz w:val="20"/>
                <w:szCs w:val="20"/>
                <w:lang w:eastAsia="zh-CN"/>
              </w:rPr>
            </w:pPr>
          </w:p>
        </w:tc>
      </w:tr>
    </w:tbl>
    <w:p w:rsidR="001C0A63" w:rsidP="001C0A63">
      <w:pPr>
        <w:pStyle w:val="NormalWeb"/>
        <w:bidi w:val="0"/>
        <w:spacing w:before="0" w:beforeAutospacing="0" w:after="120" w:afterAutospacing="0"/>
        <w:ind w:right="190"/>
        <w:jc w:val="both"/>
        <w:rPr>
          <w:rFonts w:ascii="Times New Roman" w:hAnsi="Times New Roman"/>
          <w:b/>
          <w:bCs/>
        </w:rPr>
      </w:pPr>
    </w:p>
    <w:p w:rsidR="001C0A63" w:rsidP="006727E0">
      <w:pPr>
        <w:pStyle w:val="NormalWeb"/>
        <w:bidi w:val="0"/>
        <w:spacing w:before="0" w:beforeAutospacing="0" w:after="120" w:afterAutospacing="0"/>
        <w:ind w:right="535"/>
        <w:jc w:val="right"/>
        <w:rPr>
          <w:rFonts w:ascii="Times New Roman" w:hAnsi="Times New Roman"/>
          <w:b/>
          <w:bCs/>
        </w:rPr>
      </w:pPr>
      <w:r>
        <w:rPr>
          <w:rFonts w:ascii="Times New Roman" w:hAnsi="Times New Roman"/>
          <w:sz w:val="22"/>
          <w:szCs w:val="22"/>
        </w:rPr>
        <w:br w:type="page"/>
      </w:r>
      <w:r w:rsidR="006727E0">
        <w:rPr>
          <w:rFonts w:ascii="Times New Roman" w:hAnsi="Times New Roman"/>
          <w:sz w:val="22"/>
          <w:szCs w:val="22"/>
        </w:rPr>
        <w:t xml:space="preserve">Tabuľka č. </w:t>
      </w:r>
      <w:r w:rsidR="005D2E9C">
        <w:rPr>
          <w:rFonts w:ascii="Times New Roman" w:hAnsi="Times New Roman"/>
          <w:sz w:val="22"/>
          <w:szCs w:val="22"/>
        </w:rPr>
        <w:t>13</w:t>
      </w:r>
    </w:p>
    <w:tbl>
      <w:tblPr>
        <w:tblStyle w:val="TableNormal"/>
        <w:tblW w:w="13183" w:type="dxa"/>
        <w:tblInd w:w="392" w:type="dxa"/>
        <w:tblLook w:val="00A0"/>
      </w:tblPr>
      <w:tblGrid>
        <w:gridCol w:w="1255"/>
        <w:gridCol w:w="13"/>
        <w:gridCol w:w="4100"/>
        <w:gridCol w:w="10"/>
        <w:gridCol w:w="1562"/>
        <w:gridCol w:w="10"/>
        <w:gridCol w:w="1549"/>
        <w:gridCol w:w="10"/>
        <w:gridCol w:w="1550"/>
        <w:gridCol w:w="10"/>
        <w:gridCol w:w="1549"/>
        <w:gridCol w:w="10"/>
        <w:gridCol w:w="1555"/>
      </w:tblGrid>
      <w:tr>
        <w:tblPrEx>
          <w:tblW w:w="13183" w:type="dxa"/>
          <w:tblInd w:w="392" w:type="dxa"/>
          <w:tblLook w:val="00A0"/>
        </w:tblPrEx>
        <w:trPr>
          <w:trHeight w:val="315"/>
          <w:tblHeader/>
        </w:trPr>
        <w:tc>
          <w:tcPr>
            <w:tcW w:w="1255" w:type="dxa"/>
            <w:tcBorders>
              <w:top w:val="single" w:sz="4" w:space="0" w:color="auto"/>
              <w:left w:val="single" w:sz="4" w:space="0" w:color="auto"/>
              <w:bottom w:val="nil"/>
              <w:right w:val="nil"/>
            </w:tcBorders>
            <w:shd w:val="clear" w:color="000000" w:fill="000000"/>
            <w:noWrap/>
            <w:textDirection w:val="lrTb"/>
            <w:vAlign w:val="bottom"/>
          </w:tcPr>
          <w:p w:rsidR="00A231F2" w:rsidRPr="000E136F" w:rsidP="00A231F2">
            <w:pPr>
              <w:bidi w:val="0"/>
              <w:spacing w:before="60" w:after="60"/>
              <w:rPr>
                <w:rFonts w:ascii="Times New Roman" w:hAnsi="Times New Roman"/>
                <w:b/>
                <w:bCs/>
                <w:color w:val="FFFFFF"/>
                <w:sz w:val="20"/>
                <w:szCs w:val="20"/>
                <w:lang w:eastAsia="en-US"/>
              </w:rPr>
            </w:pPr>
            <w:r w:rsidRPr="000E136F">
              <w:rPr>
                <w:rFonts w:ascii="Times New Roman" w:hAnsi="Times New Roman"/>
                <w:b/>
                <w:bCs/>
                <w:color w:val="FFFFFF"/>
                <w:sz w:val="20"/>
                <w:szCs w:val="20"/>
                <w:lang w:eastAsia="en-US"/>
              </w:rPr>
              <w:t> </w:t>
            </w:r>
          </w:p>
        </w:tc>
        <w:tc>
          <w:tcPr>
            <w:tcW w:w="4113" w:type="dxa"/>
            <w:gridSpan w:val="2"/>
            <w:tcBorders>
              <w:top w:val="single" w:sz="4" w:space="0" w:color="auto"/>
              <w:left w:val="nil"/>
              <w:bottom w:val="nil"/>
              <w:right w:val="nil"/>
            </w:tcBorders>
            <w:shd w:val="clear" w:color="000000" w:fill="000000"/>
            <w:noWrap/>
            <w:textDirection w:val="lrTb"/>
            <w:vAlign w:val="bottom"/>
          </w:tcPr>
          <w:p w:rsidR="00A231F2" w:rsidRPr="000E136F" w:rsidP="00A231F2">
            <w:pPr>
              <w:bidi w:val="0"/>
              <w:spacing w:before="60" w:after="60"/>
              <w:rPr>
                <w:rFonts w:ascii="Times New Roman" w:hAnsi="Times New Roman"/>
                <w:b/>
                <w:bCs/>
                <w:color w:val="FFFFFF"/>
                <w:sz w:val="20"/>
                <w:szCs w:val="20"/>
                <w:lang w:eastAsia="en-US"/>
              </w:rPr>
            </w:pPr>
            <w:r w:rsidRPr="000E136F">
              <w:rPr>
                <w:rFonts w:ascii="Times New Roman" w:hAnsi="Times New Roman"/>
                <w:b/>
                <w:bCs/>
                <w:color w:val="FFFFFF"/>
                <w:sz w:val="20"/>
                <w:szCs w:val="20"/>
              </w:rPr>
              <w:t xml:space="preserve">Výdavky </w:t>
            </w:r>
            <w:r w:rsidRPr="00705F05">
              <w:rPr>
                <w:rFonts w:ascii="Times New Roman" w:hAnsi="Times New Roman"/>
                <w:b/>
                <w:bCs/>
                <w:color w:val="FFFFFF"/>
                <w:sz w:val="20"/>
                <w:szCs w:val="20"/>
              </w:rPr>
              <w:t>(</w:t>
            </w:r>
            <w:r>
              <w:rPr>
                <w:rFonts w:ascii="Times New Roman" w:hAnsi="Times New Roman"/>
                <w:b/>
                <w:bCs/>
                <w:color w:val="FFFFFF"/>
                <w:sz w:val="20"/>
                <w:szCs w:val="20"/>
              </w:rPr>
              <w:t xml:space="preserve">ESA 95, </w:t>
            </w:r>
            <w:r w:rsidRPr="00705F05">
              <w:rPr>
                <w:rFonts w:ascii="Times New Roman" w:hAnsi="Times New Roman"/>
                <w:b/>
                <w:bCs/>
                <w:color w:val="FFFFFF"/>
                <w:sz w:val="20"/>
                <w:szCs w:val="20"/>
              </w:rPr>
              <w:t>v eurách)</w:t>
            </w:r>
          </w:p>
        </w:tc>
        <w:tc>
          <w:tcPr>
            <w:tcW w:w="6250" w:type="dxa"/>
            <w:gridSpan w:val="8"/>
            <w:tcBorders>
              <w:top w:val="single" w:sz="4" w:space="0" w:color="auto"/>
              <w:left w:val="nil"/>
              <w:bottom w:val="nil"/>
              <w:right w:val="nil"/>
            </w:tcBorders>
            <w:shd w:val="clear" w:color="000000" w:fill="000000"/>
            <w:noWrap/>
            <w:textDirection w:val="lrTb"/>
            <w:vAlign w:val="bottom"/>
          </w:tcPr>
          <w:p w:rsidR="00A231F2" w:rsidRPr="000E136F" w:rsidP="00A231F2">
            <w:pPr>
              <w:bidi w:val="0"/>
              <w:spacing w:before="120" w:after="120"/>
              <w:jc w:val="center"/>
              <w:rPr>
                <w:rFonts w:ascii="Times New Roman" w:hAnsi="Times New Roman"/>
                <w:b/>
                <w:bCs/>
                <w:color w:val="FFFFFF"/>
                <w:sz w:val="20"/>
                <w:szCs w:val="20"/>
                <w:lang w:eastAsia="en-US"/>
              </w:rPr>
            </w:pPr>
            <w:r w:rsidRPr="000E136F">
              <w:rPr>
                <w:rFonts w:ascii="Times New Roman" w:hAnsi="Times New Roman"/>
                <w:b/>
                <w:bCs/>
                <w:color w:val="FFFFFF"/>
                <w:sz w:val="20"/>
                <w:szCs w:val="20"/>
              </w:rPr>
              <w:t>Vplyv na rozpočet verejnej správy</w:t>
            </w:r>
          </w:p>
        </w:tc>
        <w:tc>
          <w:tcPr>
            <w:tcW w:w="1565" w:type="dxa"/>
            <w:gridSpan w:val="2"/>
            <w:vMerge w:val="restart"/>
            <w:tcBorders>
              <w:top w:val="single" w:sz="4" w:space="0" w:color="auto"/>
              <w:left w:val="nil"/>
              <w:bottom w:val="none" w:sz="0" w:space="0" w:color="auto"/>
              <w:right w:val="nil"/>
            </w:tcBorders>
            <w:shd w:val="clear" w:color="000000" w:fill="000000"/>
            <w:textDirection w:val="lrTb"/>
            <w:vAlign w:val="center"/>
          </w:tcPr>
          <w:p w:rsidR="00A231F2" w:rsidRPr="000E136F" w:rsidP="00A231F2">
            <w:pPr>
              <w:pStyle w:val="NormalWeb"/>
              <w:bidi w:val="0"/>
              <w:spacing w:before="60" w:beforeAutospacing="0" w:after="60" w:afterAutospacing="0"/>
              <w:jc w:val="center"/>
              <w:rPr>
                <w:rFonts w:ascii="Times New Roman" w:hAnsi="Times New Roman"/>
                <w:sz w:val="20"/>
                <w:szCs w:val="20"/>
              </w:rPr>
            </w:pPr>
            <w:r w:rsidRPr="000E136F">
              <w:rPr>
                <w:rFonts w:ascii="Times New Roman" w:hAnsi="Times New Roman"/>
                <w:b/>
                <w:bCs/>
                <w:color w:val="FFFFFF"/>
                <w:sz w:val="20"/>
                <w:szCs w:val="20"/>
              </w:rPr>
              <w:t>Poznámka</w:t>
            </w:r>
          </w:p>
        </w:tc>
      </w:tr>
      <w:tr>
        <w:tblPrEx>
          <w:tblW w:w="13183" w:type="dxa"/>
          <w:tblInd w:w="392" w:type="dxa"/>
          <w:tblLook w:val="00A0"/>
        </w:tblPrEx>
        <w:trPr>
          <w:trHeight w:val="315"/>
          <w:tblHeader/>
        </w:trPr>
        <w:tc>
          <w:tcPr>
            <w:tcW w:w="1255" w:type="dxa"/>
            <w:tcBorders>
              <w:top w:val="nil"/>
              <w:left w:val="single" w:sz="4" w:space="0" w:color="auto"/>
              <w:bottom w:val="nil"/>
              <w:right w:val="nil"/>
            </w:tcBorders>
            <w:shd w:val="clear" w:color="000000" w:fill="000000"/>
            <w:noWrap/>
            <w:textDirection w:val="lrTb"/>
            <w:vAlign w:val="bottom"/>
          </w:tcPr>
          <w:p w:rsidR="00A231F2" w:rsidRPr="000E136F" w:rsidP="00A231F2">
            <w:pPr>
              <w:bidi w:val="0"/>
              <w:spacing w:before="60" w:after="60"/>
              <w:rPr>
                <w:rFonts w:ascii="Times New Roman" w:hAnsi="Times New Roman"/>
                <w:b/>
                <w:bCs/>
                <w:color w:val="FFFFFF"/>
                <w:sz w:val="20"/>
                <w:szCs w:val="20"/>
                <w:lang w:eastAsia="en-US"/>
              </w:rPr>
            </w:pPr>
            <w:r w:rsidRPr="000E136F">
              <w:rPr>
                <w:rFonts w:ascii="Times New Roman" w:hAnsi="Times New Roman"/>
                <w:b/>
                <w:bCs/>
                <w:color w:val="FFFFFF"/>
                <w:sz w:val="20"/>
                <w:szCs w:val="20"/>
                <w:lang w:eastAsia="en-US"/>
              </w:rPr>
              <w:t> </w:t>
            </w:r>
          </w:p>
        </w:tc>
        <w:tc>
          <w:tcPr>
            <w:tcW w:w="4113" w:type="dxa"/>
            <w:gridSpan w:val="2"/>
            <w:tcBorders>
              <w:top w:val="nil"/>
              <w:left w:val="nil"/>
              <w:bottom w:val="nil"/>
              <w:right w:val="nil"/>
            </w:tcBorders>
            <w:shd w:val="clear" w:color="000000" w:fill="000000"/>
            <w:noWrap/>
            <w:textDirection w:val="lrTb"/>
            <w:vAlign w:val="bottom"/>
          </w:tcPr>
          <w:p w:rsidR="00A231F2" w:rsidRPr="000E136F" w:rsidP="00A231F2">
            <w:pPr>
              <w:bidi w:val="0"/>
              <w:spacing w:before="120" w:after="120"/>
              <w:rPr>
                <w:rFonts w:ascii="Times New Roman" w:hAnsi="Times New Roman"/>
                <w:b/>
                <w:bCs/>
                <w:color w:val="FFFFFF"/>
                <w:sz w:val="20"/>
                <w:szCs w:val="20"/>
                <w:u w:val="single"/>
                <w:lang w:eastAsia="en-US"/>
              </w:rPr>
            </w:pPr>
            <w:r>
              <w:rPr>
                <w:rFonts w:ascii="Times New Roman" w:hAnsi="Times New Roman"/>
                <w:b/>
                <w:bCs/>
                <w:color w:val="FFFFFF"/>
                <w:sz w:val="20"/>
                <w:szCs w:val="20"/>
                <w:u w:val="single"/>
                <w:lang w:eastAsia="en-US"/>
              </w:rPr>
              <w:t>Štátny rozpočet</w:t>
            </w:r>
          </w:p>
        </w:tc>
        <w:tc>
          <w:tcPr>
            <w:tcW w:w="1572" w:type="dxa"/>
            <w:gridSpan w:val="2"/>
            <w:tcBorders>
              <w:top w:val="nil"/>
              <w:left w:val="nil"/>
              <w:bottom w:val="nil"/>
              <w:right w:val="nil"/>
            </w:tcBorders>
            <w:shd w:val="clear" w:color="000000" w:fill="000000"/>
            <w:noWrap/>
            <w:textDirection w:val="lrTb"/>
            <w:vAlign w:val="bottom"/>
          </w:tcPr>
          <w:p w:rsidR="00A231F2" w:rsidRPr="000E136F" w:rsidP="00A231F2">
            <w:pPr>
              <w:bidi w:val="0"/>
              <w:spacing w:before="120" w:after="120"/>
              <w:jc w:val="center"/>
              <w:rPr>
                <w:rFonts w:ascii="Times New Roman" w:hAnsi="Times New Roman"/>
                <w:b/>
                <w:bCs/>
                <w:color w:val="FFFFFF"/>
                <w:sz w:val="20"/>
                <w:szCs w:val="20"/>
                <w:lang w:eastAsia="en-US"/>
              </w:rPr>
            </w:pPr>
            <w:r w:rsidRPr="000E136F">
              <w:rPr>
                <w:rFonts w:ascii="Times New Roman" w:hAnsi="Times New Roman"/>
                <w:b/>
                <w:bCs/>
                <w:color w:val="FFFFFF"/>
                <w:sz w:val="20"/>
                <w:szCs w:val="20"/>
                <w:lang w:eastAsia="en-US"/>
              </w:rPr>
              <w:t>2011</w:t>
            </w:r>
          </w:p>
        </w:tc>
        <w:tc>
          <w:tcPr>
            <w:tcW w:w="1559" w:type="dxa"/>
            <w:gridSpan w:val="2"/>
            <w:tcBorders>
              <w:top w:val="nil"/>
              <w:left w:val="nil"/>
              <w:bottom w:val="nil"/>
              <w:right w:val="nil"/>
            </w:tcBorders>
            <w:shd w:val="clear" w:color="000000" w:fill="000000"/>
            <w:noWrap/>
            <w:textDirection w:val="lrTb"/>
            <w:vAlign w:val="bottom"/>
          </w:tcPr>
          <w:p w:rsidR="00A231F2" w:rsidRPr="000E136F" w:rsidP="00A231F2">
            <w:pPr>
              <w:bidi w:val="0"/>
              <w:spacing w:before="120" w:after="120"/>
              <w:jc w:val="center"/>
              <w:rPr>
                <w:rFonts w:ascii="Times New Roman" w:hAnsi="Times New Roman"/>
                <w:b/>
                <w:bCs/>
                <w:color w:val="FFFFFF"/>
                <w:sz w:val="20"/>
                <w:szCs w:val="20"/>
                <w:lang w:eastAsia="en-US"/>
              </w:rPr>
            </w:pPr>
            <w:r w:rsidRPr="000E136F">
              <w:rPr>
                <w:rFonts w:ascii="Times New Roman" w:hAnsi="Times New Roman"/>
                <w:b/>
                <w:bCs/>
                <w:color w:val="FFFFFF"/>
                <w:sz w:val="20"/>
                <w:szCs w:val="20"/>
                <w:lang w:eastAsia="en-US"/>
              </w:rPr>
              <w:t>2012</w:t>
            </w:r>
          </w:p>
        </w:tc>
        <w:tc>
          <w:tcPr>
            <w:tcW w:w="1560" w:type="dxa"/>
            <w:gridSpan w:val="2"/>
            <w:tcBorders>
              <w:top w:val="nil"/>
              <w:left w:val="nil"/>
              <w:bottom w:val="nil"/>
              <w:right w:val="nil"/>
            </w:tcBorders>
            <w:shd w:val="clear" w:color="000000" w:fill="000000"/>
            <w:noWrap/>
            <w:textDirection w:val="lrTb"/>
            <w:vAlign w:val="bottom"/>
          </w:tcPr>
          <w:p w:rsidR="00A231F2" w:rsidRPr="000E136F" w:rsidP="00A231F2">
            <w:pPr>
              <w:bidi w:val="0"/>
              <w:spacing w:before="120" w:after="120"/>
              <w:jc w:val="center"/>
              <w:rPr>
                <w:rFonts w:ascii="Times New Roman" w:hAnsi="Times New Roman"/>
                <w:b/>
                <w:bCs/>
                <w:color w:val="FFFFFF"/>
                <w:sz w:val="20"/>
                <w:szCs w:val="20"/>
                <w:lang w:eastAsia="en-US"/>
              </w:rPr>
            </w:pPr>
            <w:r w:rsidRPr="000E136F">
              <w:rPr>
                <w:rFonts w:ascii="Times New Roman" w:hAnsi="Times New Roman"/>
                <w:b/>
                <w:bCs/>
                <w:color w:val="FFFFFF"/>
                <w:sz w:val="20"/>
                <w:szCs w:val="20"/>
                <w:lang w:eastAsia="en-US"/>
              </w:rPr>
              <w:t>2013</w:t>
            </w:r>
          </w:p>
        </w:tc>
        <w:tc>
          <w:tcPr>
            <w:tcW w:w="1559" w:type="dxa"/>
            <w:gridSpan w:val="2"/>
            <w:tcBorders>
              <w:top w:val="nil"/>
              <w:left w:val="nil"/>
              <w:bottom w:val="nil"/>
              <w:right w:val="nil"/>
            </w:tcBorders>
            <w:shd w:val="clear" w:color="000000" w:fill="000000"/>
            <w:noWrap/>
            <w:textDirection w:val="lrTb"/>
            <w:vAlign w:val="bottom"/>
          </w:tcPr>
          <w:p w:rsidR="00A231F2" w:rsidRPr="000E136F" w:rsidP="00A231F2">
            <w:pPr>
              <w:bidi w:val="0"/>
              <w:spacing w:before="120" w:after="120"/>
              <w:jc w:val="center"/>
              <w:rPr>
                <w:rFonts w:ascii="Times New Roman" w:hAnsi="Times New Roman"/>
                <w:b/>
                <w:bCs/>
                <w:color w:val="FFFFFF"/>
                <w:sz w:val="20"/>
                <w:szCs w:val="20"/>
                <w:lang w:eastAsia="en-US"/>
              </w:rPr>
            </w:pPr>
            <w:r w:rsidRPr="000E136F">
              <w:rPr>
                <w:rFonts w:ascii="Times New Roman" w:hAnsi="Times New Roman"/>
                <w:b/>
                <w:bCs/>
                <w:color w:val="FFFFFF"/>
                <w:sz w:val="20"/>
                <w:szCs w:val="20"/>
                <w:lang w:eastAsia="en-US"/>
              </w:rPr>
              <w:t>2014</w:t>
            </w:r>
          </w:p>
        </w:tc>
        <w:tc>
          <w:tcPr>
            <w:tcW w:w="1565" w:type="dxa"/>
            <w:gridSpan w:val="2"/>
            <w:vMerge/>
            <w:tcBorders>
              <w:top w:val="none" w:sz="0" w:space="0" w:color="auto"/>
              <w:left w:val="nil"/>
              <w:bottom w:val="nil"/>
              <w:right w:val="nil"/>
            </w:tcBorders>
            <w:shd w:val="clear" w:color="000000" w:fill="000000"/>
            <w:textDirection w:val="lrTb"/>
            <w:vAlign w:val="center"/>
          </w:tcPr>
          <w:p w:rsidR="00A231F2" w:rsidRPr="000E136F" w:rsidP="00A231F2">
            <w:pPr>
              <w:bidi w:val="0"/>
              <w:spacing w:before="60" w:after="60"/>
              <w:rPr>
                <w:rFonts w:ascii="Times New Roman" w:hAnsi="Times New Roman"/>
                <w:sz w:val="20"/>
                <w:szCs w:val="20"/>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A231F2">
            <w:pPr>
              <w:bidi w:val="0"/>
              <w:spacing w:before="60" w:after="60"/>
              <w:jc w:val="right"/>
              <w:rPr>
                <w:rFonts w:ascii="Times New Roman" w:hAnsi="Times New Roman"/>
                <w:color w:val="000000"/>
                <w:sz w:val="20"/>
                <w:szCs w:val="20"/>
                <w:lang w:eastAsia="zh-CN"/>
              </w:rPr>
            </w:pPr>
            <w:r>
              <w:rPr>
                <w:rFonts w:ascii="Times New Roman" w:hAnsi="Times New Roman"/>
                <w:b/>
                <w:bCs/>
                <w:color w:val="000000"/>
                <w:sz w:val="20"/>
                <w:szCs w:val="20"/>
              </w:rPr>
              <w:t>600</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A231F2">
            <w:pPr>
              <w:bidi w:val="0"/>
              <w:spacing w:before="60" w:after="60"/>
              <w:rPr>
                <w:rFonts w:ascii="Times New Roman" w:hAnsi="Times New Roman"/>
                <w:color w:val="000000"/>
                <w:sz w:val="20"/>
                <w:szCs w:val="20"/>
                <w:lang w:eastAsia="zh-CN"/>
              </w:rPr>
            </w:pPr>
            <w:r>
              <w:rPr>
                <w:rFonts w:ascii="Times New Roman" w:hAnsi="Times New Roman"/>
                <w:b/>
                <w:bCs/>
                <w:color w:val="000000"/>
                <w:sz w:val="20"/>
                <w:szCs w:val="20"/>
              </w:rPr>
              <w:t>Výdavky celkom</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A231F2">
            <w:pPr>
              <w:bidi w:val="0"/>
              <w:spacing w:before="60" w:after="60"/>
              <w:jc w:val="right"/>
              <w:rPr>
                <w:rFonts w:ascii="Times New Roman" w:hAnsi="Times New Roman"/>
                <w:b/>
                <w:color w:val="000000"/>
                <w:sz w:val="20"/>
                <w:szCs w:val="20"/>
                <w:lang w:eastAsia="zh-CN"/>
              </w:rPr>
            </w:pPr>
            <w:r>
              <w:rPr>
                <w:rFonts w:ascii="Times New Roman" w:hAnsi="Times New Roman"/>
                <w:b/>
                <w:bCs/>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A231F2">
            <w:pPr>
              <w:bidi w:val="0"/>
              <w:spacing w:before="60" w:after="60"/>
              <w:jc w:val="right"/>
              <w:rPr>
                <w:rFonts w:ascii="Times New Roman" w:hAnsi="Times New Roman"/>
                <w:color w:val="000000"/>
                <w:sz w:val="20"/>
                <w:szCs w:val="20"/>
                <w:lang w:eastAsia="zh-CN"/>
              </w:rPr>
            </w:pPr>
            <w:r>
              <w:rPr>
                <w:rFonts w:ascii="Times New Roman" w:hAnsi="Times New Roman"/>
                <w:b/>
                <w:bCs/>
                <w:color w:val="000000"/>
                <w:sz w:val="20"/>
                <w:szCs w:val="20"/>
              </w:rPr>
              <w:t>274 759 804</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A231F2">
            <w:pPr>
              <w:bidi w:val="0"/>
              <w:spacing w:before="60" w:after="60"/>
              <w:jc w:val="right"/>
              <w:rPr>
                <w:rFonts w:ascii="Times New Roman" w:hAnsi="Times New Roman"/>
                <w:color w:val="000000"/>
                <w:sz w:val="20"/>
                <w:szCs w:val="20"/>
                <w:lang w:eastAsia="zh-CN"/>
              </w:rPr>
            </w:pPr>
            <w:r>
              <w:rPr>
                <w:rFonts w:ascii="Times New Roman" w:hAnsi="Times New Roman"/>
                <w:b/>
                <w:bCs/>
                <w:color w:val="000000"/>
                <w:sz w:val="20"/>
                <w:szCs w:val="20"/>
              </w:rPr>
              <w:t>289 209 583</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A231F2">
            <w:pPr>
              <w:bidi w:val="0"/>
              <w:spacing w:before="60" w:after="60"/>
              <w:jc w:val="right"/>
              <w:rPr>
                <w:rFonts w:ascii="Times New Roman" w:hAnsi="Times New Roman"/>
                <w:color w:val="000000"/>
                <w:sz w:val="20"/>
                <w:szCs w:val="20"/>
                <w:lang w:eastAsia="zh-CN"/>
              </w:rPr>
            </w:pPr>
            <w:r>
              <w:rPr>
                <w:rFonts w:ascii="Times New Roman" w:hAnsi="Times New Roman"/>
                <w:b/>
                <w:bCs/>
                <w:color w:val="000000"/>
                <w:sz w:val="20"/>
                <w:szCs w:val="20"/>
              </w:rPr>
              <w:t>316 589 140</w:t>
            </w:r>
          </w:p>
        </w:tc>
        <w:tc>
          <w:tcPr>
            <w:tcW w:w="1555" w:type="dxa"/>
            <w:vMerge w:val="restart"/>
            <w:tcBorders>
              <w:top w:val="single" w:sz="4" w:space="0" w:color="auto"/>
              <w:left w:val="single" w:sz="4" w:space="0" w:color="auto"/>
              <w:bottom w:val="single" w:sz="4" w:space="0" w:color="auto"/>
              <w:right w:val="single" w:sz="4" w:space="0" w:color="auto"/>
            </w:tcBorders>
            <w:textDirection w:val="lrTb"/>
            <w:vAlign w:val="top"/>
          </w:tcPr>
          <w:p w:rsidR="00BB13C3" w:rsidRPr="000E136F" w:rsidP="00A231F2">
            <w:pPr>
              <w:bidi w:val="0"/>
              <w:spacing w:before="60" w:after="60"/>
              <w:jc w:val="right"/>
              <w:rPr>
                <w:rFonts w:ascii="Times New Roman" w:hAnsi="Times New Roman"/>
                <w:color w:val="000000"/>
                <w:sz w:val="20"/>
                <w:szCs w:val="20"/>
                <w:lang w:eastAsia="zh-CN"/>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A231F2">
            <w:pPr>
              <w:bidi w:val="0"/>
              <w:spacing w:before="60" w:after="60"/>
              <w:jc w:val="right"/>
              <w:rPr>
                <w:rFonts w:ascii="Times New Roman" w:hAnsi="Times New Roman"/>
                <w:color w:val="000000"/>
                <w:sz w:val="20"/>
                <w:szCs w:val="20"/>
                <w:lang w:eastAsia="zh-CN"/>
              </w:rPr>
            </w:pPr>
            <w:r>
              <w:rPr>
                <w:rFonts w:ascii="Times New Roman" w:hAnsi="Times New Roman"/>
                <w:b/>
                <w:bCs/>
                <w:color w:val="000000"/>
                <w:sz w:val="20"/>
                <w:szCs w:val="20"/>
              </w:rPr>
              <w:t>600</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A231F2">
            <w:pPr>
              <w:bidi w:val="0"/>
              <w:spacing w:before="60" w:after="60"/>
              <w:rPr>
                <w:rFonts w:ascii="Times New Roman" w:hAnsi="Times New Roman"/>
                <w:color w:val="000000"/>
                <w:sz w:val="20"/>
                <w:szCs w:val="20"/>
                <w:lang w:eastAsia="zh-CN"/>
              </w:rPr>
            </w:pPr>
            <w:r>
              <w:rPr>
                <w:rFonts w:ascii="Times New Roman" w:hAnsi="Times New Roman"/>
                <w:b/>
                <w:bCs/>
                <w:color w:val="000000"/>
                <w:sz w:val="20"/>
                <w:szCs w:val="20"/>
              </w:rPr>
              <w:t>Bežné výdavky</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A231F2">
            <w:pPr>
              <w:bidi w:val="0"/>
              <w:spacing w:before="60" w:after="60"/>
              <w:jc w:val="right"/>
              <w:rPr>
                <w:rFonts w:ascii="Times New Roman" w:hAnsi="Times New Roman"/>
                <w:b/>
                <w:color w:val="000000"/>
                <w:sz w:val="20"/>
                <w:szCs w:val="20"/>
                <w:lang w:eastAsia="zh-CN"/>
              </w:rPr>
            </w:pPr>
            <w:r>
              <w:rPr>
                <w:rFonts w:ascii="Times New Roman" w:hAnsi="Times New Roman"/>
                <w:b/>
                <w:bCs/>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A231F2">
            <w:pPr>
              <w:bidi w:val="0"/>
              <w:spacing w:before="60" w:after="60"/>
              <w:jc w:val="right"/>
              <w:rPr>
                <w:rFonts w:ascii="Times New Roman" w:hAnsi="Times New Roman"/>
                <w:color w:val="000000"/>
                <w:sz w:val="20"/>
                <w:szCs w:val="20"/>
                <w:lang w:eastAsia="zh-CN"/>
              </w:rPr>
            </w:pPr>
            <w:r>
              <w:rPr>
                <w:rFonts w:ascii="Times New Roman" w:hAnsi="Times New Roman"/>
                <w:b/>
                <w:bCs/>
                <w:color w:val="000000"/>
                <w:sz w:val="20"/>
                <w:szCs w:val="20"/>
              </w:rPr>
              <w:t>274 759 804</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A231F2">
            <w:pPr>
              <w:bidi w:val="0"/>
              <w:spacing w:before="60" w:after="60"/>
              <w:jc w:val="right"/>
              <w:rPr>
                <w:rFonts w:ascii="Times New Roman" w:hAnsi="Times New Roman"/>
                <w:color w:val="000000"/>
                <w:sz w:val="20"/>
                <w:szCs w:val="20"/>
                <w:lang w:eastAsia="zh-CN"/>
              </w:rPr>
            </w:pPr>
            <w:r>
              <w:rPr>
                <w:rFonts w:ascii="Times New Roman" w:hAnsi="Times New Roman"/>
                <w:b/>
                <w:bCs/>
                <w:color w:val="000000"/>
                <w:sz w:val="20"/>
                <w:szCs w:val="20"/>
              </w:rPr>
              <w:t>289 209 583</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A231F2">
            <w:pPr>
              <w:bidi w:val="0"/>
              <w:spacing w:before="60" w:after="60"/>
              <w:jc w:val="right"/>
              <w:rPr>
                <w:rFonts w:ascii="Times New Roman" w:hAnsi="Times New Roman"/>
                <w:color w:val="000000"/>
                <w:sz w:val="20"/>
                <w:szCs w:val="20"/>
                <w:lang w:eastAsia="zh-CN"/>
              </w:rPr>
            </w:pPr>
            <w:r>
              <w:rPr>
                <w:rFonts w:ascii="Times New Roman" w:hAnsi="Times New Roman"/>
                <w:b/>
                <w:bCs/>
                <w:color w:val="000000"/>
                <w:sz w:val="20"/>
                <w:szCs w:val="20"/>
              </w:rPr>
              <w:t>316 589 140</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BB13C3" w:rsidRPr="000E136F" w:rsidP="00A231F2">
            <w:pPr>
              <w:bidi w:val="0"/>
              <w:spacing w:before="60" w:after="60"/>
              <w:jc w:val="right"/>
              <w:rPr>
                <w:rFonts w:ascii="Times New Roman" w:hAnsi="Times New Roman"/>
                <w:color w:val="000000"/>
                <w:sz w:val="20"/>
                <w:szCs w:val="20"/>
                <w:lang w:eastAsia="zh-CN"/>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640</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A231F2">
            <w:pPr>
              <w:bidi w:val="0"/>
              <w:spacing w:before="60" w:after="60"/>
              <w:rPr>
                <w:rFonts w:ascii="Times New Roman" w:hAnsi="Times New Roman"/>
                <w:color w:val="000000"/>
                <w:sz w:val="20"/>
                <w:szCs w:val="20"/>
                <w:lang w:eastAsia="zh-CN"/>
              </w:rPr>
            </w:pPr>
            <w:r>
              <w:rPr>
                <w:rFonts w:ascii="Times New Roman" w:hAnsi="Times New Roman"/>
                <w:color w:val="000000"/>
                <w:sz w:val="20"/>
                <w:szCs w:val="20"/>
              </w:rPr>
              <w:t>Bežné transfery</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274 759 804</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289 209 583</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316 589 140</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BB13C3" w:rsidRPr="000E136F" w:rsidP="00A231F2">
            <w:pPr>
              <w:bidi w:val="0"/>
              <w:spacing w:before="60" w:after="60"/>
              <w:jc w:val="right"/>
              <w:rPr>
                <w:rFonts w:ascii="Times New Roman" w:hAnsi="Times New Roman"/>
                <w:color w:val="000000"/>
                <w:sz w:val="20"/>
                <w:szCs w:val="20"/>
                <w:lang w:eastAsia="zh-CN"/>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967E8F" w:rsidRPr="000E136F"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641</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967E8F" w:rsidRPr="000E136F" w:rsidP="00A231F2">
            <w:pPr>
              <w:bidi w:val="0"/>
              <w:spacing w:before="60" w:after="60"/>
              <w:rPr>
                <w:rFonts w:ascii="Times New Roman" w:hAnsi="Times New Roman"/>
                <w:color w:val="000000"/>
                <w:sz w:val="20"/>
                <w:szCs w:val="20"/>
                <w:lang w:eastAsia="zh-CN"/>
              </w:rPr>
            </w:pPr>
            <w:r>
              <w:rPr>
                <w:rFonts w:ascii="Times New Roman" w:hAnsi="Times New Roman"/>
                <w:color w:val="000000"/>
                <w:sz w:val="20"/>
                <w:szCs w:val="20"/>
              </w:rPr>
              <w:t>Transfery v rámci verejnej správy</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967E8F" w:rsidRPr="000E136F"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967E8F" w:rsidRPr="000E136F"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967E8F" w:rsidRPr="000E136F"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967E8F" w:rsidRPr="000E136F" w:rsidP="00A231F2">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967E8F" w:rsidRPr="000E136F" w:rsidP="00A231F2">
            <w:pPr>
              <w:bidi w:val="0"/>
              <w:spacing w:before="60" w:after="60"/>
              <w:jc w:val="right"/>
              <w:rPr>
                <w:rFonts w:ascii="Times New Roman" w:hAnsi="Times New Roman"/>
                <w:color w:val="000000"/>
                <w:sz w:val="20"/>
                <w:szCs w:val="20"/>
                <w:lang w:eastAsia="zh-CN"/>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642</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A231F2">
            <w:pPr>
              <w:bidi w:val="0"/>
              <w:spacing w:before="60" w:after="60"/>
              <w:rPr>
                <w:rFonts w:ascii="Times New Roman" w:hAnsi="Times New Roman"/>
                <w:b/>
                <w:bCs/>
                <w:color w:val="000000"/>
                <w:sz w:val="20"/>
                <w:szCs w:val="20"/>
                <w:lang w:eastAsia="zh-CN"/>
              </w:rPr>
            </w:pPr>
            <w:r>
              <w:rPr>
                <w:rFonts w:ascii="Times New Roman" w:hAnsi="Times New Roman"/>
                <w:color w:val="000000"/>
                <w:sz w:val="20"/>
                <w:szCs w:val="20"/>
              </w:rPr>
              <w:t>Transfery jednotlivcom a neziskovým PO</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A231F2">
            <w:pPr>
              <w:bidi w:val="0"/>
              <w:spacing w:before="60" w:after="60"/>
              <w:jc w:val="right"/>
              <w:rPr>
                <w:rFonts w:ascii="Times New Roman" w:hAnsi="Times New Roman"/>
                <w:bCs/>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274 759 804</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289 209 583</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316 589 140</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BB13C3" w:rsidRPr="000E136F" w:rsidP="00A231F2">
            <w:pPr>
              <w:bidi w:val="0"/>
              <w:spacing w:before="60" w:after="60"/>
              <w:jc w:val="right"/>
              <w:rPr>
                <w:rFonts w:ascii="Times New Roman" w:hAnsi="Times New Roman"/>
                <w:b/>
                <w:bCs/>
                <w:color w:val="000000"/>
                <w:sz w:val="20"/>
                <w:szCs w:val="20"/>
                <w:lang w:eastAsia="zh-CN"/>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642031</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A231F2">
            <w:pPr>
              <w:bidi w:val="0"/>
              <w:spacing w:before="60" w:after="60"/>
              <w:rPr>
                <w:rFonts w:ascii="Times New Roman" w:hAnsi="Times New Roman"/>
                <w:b/>
                <w:bCs/>
                <w:color w:val="000000"/>
                <w:sz w:val="20"/>
                <w:szCs w:val="20"/>
                <w:lang w:eastAsia="zh-CN"/>
              </w:rPr>
            </w:pPr>
            <w:r>
              <w:rPr>
                <w:rFonts w:ascii="Times New Roman" w:hAnsi="Times New Roman"/>
                <w:color w:val="000000"/>
                <w:sz w:val="20"/>
                <w:szCs w:val="20"/>
              </w:rPr>
              <w:t xml:space="preserve">    - štát (poistné platené štátom)</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A231F2">
            <w:pPr>
              <w:bidi w:val="0"/>
              <w:spacing w:before="60" w:after="60"/>
              <w:jc w:val="right"/>
              <w:rPr>
                <w:rFonts w:ascii="Times New Roman" w:hAnsi="Times New Roman"/>
                <w:bCs/>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274 759 804</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289 209 583</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A231F2">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316 589 140</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BB13C3" w:rsidRPr="000E136F" w:rsidP="00A231F2">
            <w:pPr>
              <w:bidi w:val="0"/>
              <w:spacing w:before="60" w:after="60"/>
              <w:jc w:val="right"/>
              <w:rPr>
                <w:rFonts w:ascii="Times New Roman" w:hAnsi="Times New Roman"/>
                <w:b/>
                <w:bCs/>
                <w:color w:val="000000"/>
                <w:sz w:val="20"/>
                <w:szCs w:val="20"/>
                <w:lang w:eastAsia="zh-CN"/>
              </w:rPr>
            </w:pPr>
          </w:p>
        </w:tc>
      </w:tr>
    </w:tbl>
    <w:p w:rsidR="000E136F" w:rsidP="00A86C7E">
      <w:pPr>
        <w:pStyle w:val="NormalWeb"/>
        <w:bidi w:val="0"/>
        <w:spacing w:before="0" w:beforeAutospacing="0" w:after="120" w:afterAutospacing="0"/>
        <w:ind w:right="535"/>
        <w:jc w:val="right"/>
        <w:rPr>
          <w:rFonts w:ascii="Times New Roman" w:hAnsi="Times New Roman"/>
          <w:color w:val="000000"/>
        </w:rPr>
      </w:pPr>
    </w:p>
    <w:p w:rsidR="005153D3" w:rsidRPr="00722BA0" w:rsidP="00722BA0">
      <w:pPr>
        <w:pStyle w:val="NormalWeb"/>
        <w:bidi w:val="0"/>
        <w:spacing w:before="0" w:beforeAutospacing="0" w:after="120" w:afterAutospacing="0"/>
        <w:ind w:right="535"/>
        <w:jc w:val="right"/>
        <w:rPr>
          <w:rFonts w:ascii="Times New Roman" w:hAnsi="Times New Roman"/>
          <w:b/>
          <w:bCs/>
        </w:rPr>
      </w:pPr>
      <w:r w:rsidR="001C0A63">
        <w:rPr>
          <w:rFonts w:ascii="Times New Roman" w:hAnsi="Times New Roman"/>
          <w:color w:val="000000"/>
        </w:rPr>
        <w:t xml:space="preserve">                    </w:t>
      </w:r>
      <w:r w:rsidR="006727E0">
        <w:rPr>
          <w:rFonts w:ascii="Times New Roman" w:hAnsi="Times New Roman"/>
          <w:color w:val="000000"/>
        </w:rPr>
        <w:t>Tabuľka č.</w:t>
      </w:r>
      <w:r w:rsidRPr="000F0946" w:rsidR="001C0A63">
        <w:rPr>
          <w:rFonts w:ascii="Times New Roman" w:hAnsi="Times New Roman"/>
          <w:sz w:val="22"/>
          <w:szCs w:val="22"/>
        </w:rPr>
        <w:t xml:space="preserve"> </w:t>
      </w:r>
      <w:r w:rsidR="005D2E9C">
        <w:rPr>
          <w:rFonts w:ascii="Times New Roman" w:hAnsi="Times New Roman"/>
          <w:sz w:val="22"/>
          <w:szCs w:val="22"/>
        </w:rPr>
        <w:t>14</w:t>
      </w:r>
    </w:p>
    <w:tbl>
      <w:tblPr>
        <w:tblStyle w:val="TableNormal"/>
        <w:tblW w:w="13183" w:type="dxa"/>
        <w:tblInd w:w="392" w:type="dxa"/>
        <w:tblLook w:val="00A0"/>
      </w:tblPr>
      <w:tblGrid>
        <w:gridCol w:w="1255"/>
        <w:gridCol w:w="13"/>
        <w:gridCol w:w="4100"/>
        <w:gridCol w:w="10"/>
        <w:gridCol w:w="1562"/>
        <w:gridCol w:w="10"/>
        <w:gridCol w:w="1549"/>
        <w:gridCol w:w="10"/>
        <w:gridCol w:w="1550"/>
        <w:gridCol w:w="10"/>
        <w:gridCol w:w="1549"/>
        <w:gridCol w:w="10"/>
        <w:gridCol w:w="1555"/>
      </w:tblGrid>
      <w:tr>
        <w:tblPrEx>
          <w:tblW w:w="13183" w:type="dxa"/>
          <w:tblInd w:w="392" w:type="dxa"/>
          <w:tblLook w:val="00A0"/>
        </w:tblPrEx>
        <w:trPr>
          <w:trHeight w:val="315"/>
          <w:tblHeader/>
        </w:trPr>
        <w:tc>
          <w:tcPr>
            <w:tcW w:w="1255" w:type="dxa"/>
            <w:tcBorders>
              <w:top w:val="single" w:sz="4" w:space="0" w:color="auto"/>
              <w:left w:val="single" w:sz="4" w:space="0" w:color="auto"/>
              <w:bottom w:val="nil"/>
              <w:right w:val="nil"/>
            </w:tcBorders>
            <w:shd w:val="clear" w:color="000000" w:fill="000000"/>
            <w:noWrap/>
            <w:textDirection w:val="lrTb"/>
            <w:vAlign w:val="bottom"/>
          </w:tcPr>
          <w:p w:rsidR="00F477F1" w:rsidRPr="00F8672E" w:rsidP="00D91526">
            <w:pPr>
              <w:bidi w:val="0"/>
              <w:spacing w:before="60" w:after="60"/>
              <w:rPr>
                <w:rFonts w:ascii="Times New Roman" w:hAnsi="Times New Roman"/>
                <w:b/>
                <w:bCs/>
                <w:color w:val="FFFFFF"/>
                <w:sz w:val="20"/>
                <w:szCs w:val="20"/>
                <w:lang w:eastAsia="en-US"/>
              </w:rPr>
            </w:pPr>
            <w:r w:rsidRPr="00F8672E">
              <w:rPr>
                <w:rFonts w:ascii="Times New Roman" w:hAnsi="Times New Roman"/>
                <w:b/>
                <w:bCs/>
                <w:color w:val="FFFFFF"/>
                <w:sz w:val="20"/>
                <w:szCs w:val="20"/>
                <w:lang w:eastAsia="en-US"/>
              </w:rPr>
              <w:t> </w:t>
            </w:r>
          </w:p>
        </w:tc>
        <w:tc>
          <w:tcPr>
            <w:tcW w:w="4113" w:type="dxa"/>
            <w:gridSpan w:val="2"/>
            <w:tcBorders>
              <w:top w:val="single" w:sz="4" w:space="0" w:color="auto"/>
              <w:left w:val="nil"/>
              <w:bottom w:val="nil"/>
              <w:right w:val="nil"/>
            </w:tcBorders>
            <w:shd w:val="clear" w:color="000000" w:fill="000000"/>
            <w:noWrap/>
            <w:textDirection w:val="lrTb"/>
            <w:vAlign w:val="bottom"/>
          </w:tcPr>
          <w:p w:rsidR="00F477F1" w:rsidRPr="00F8672E" w:rsidP="00D91526">
            <w:pPr>
              <w:bidi w:val="0"/>
              <w:spacing w:before="60" w:after="60"/>
              <w:rPr>
                <w:rFonts w:ascii="Times New Roman" w:hAnsi="Times New Roman"/>
                <w:b/>
                <w:bCs/>
                <w:color w:val="FFFFFF"/>
                <w:sz w:val="20"/>
                <w:szCs w:val="20"/>
                <w:lang w:eastAsia="en-US"/>
              </w:rPr>
            </w:pPr>
            <w:r w:rsidRPr="00F8672E">
              <w:rPr>
                <w:rFonts w:ascii="Times New Roman" w:hAnsi="Times New Roman"/>
                <w:b/>
                <w:bCs/>
                <w:color w:val="FFFFFF"/>
                <w:sz w:val="20"/>
                <w:szCs w:val="20"/>
              </w:rPr>
              <w:t xml:space="preserve">Výdavky </w:t>
            </w:r>
            <w:r w:rsidRPr="00705F05">
              <w:rPr>
                <w:rFonts w:ascii="Times New Roman" w:hAnsi="Times New Roman"/>
                <w:b/>
                <w:bCs/>
                <w:color w:val="FFFFFF"/>
                <w:sz w:val="20"/>
                <w:szCs w:val="20"/>
              </w:rPr>
              <w:t>(</w:t>
            </w:r>
            <w:r>
              <w:rPr>
                <w:rFonts w:ascii="Times New Roman" w:hAnsi="Times New Roman"/>
                <w:b/>
                <w:bCs/>
                <w:color w:val="FFFFFF"/>
                <w:sz w:val="20"/>
                <w:szCs w:val="20"/>
              </w:rPr>
              <w:t xml:space="preserve">ESA 95, </w:t>
            </w:r>
            <w:r w:rsidRPr="00705F05">
              <w:rPr>
                <w:rFonts w:ascii="Times New Roman" w:hAnsi="Times New Roman"/>
                <w:b/>
                <w:bCs/>
                <w:color w:val="FFFFFF"/>
                <w:sz w:val="20"/>
                <w:szCs w:val="20"/>
              </w:rPr>
              <w:t>v eurách)</w:t>
            </w:r>
          </w:p>
        </w:tc>
        <w:tc>
          <w:tcPr>
            <w:tcW w:w="6250" w:type="dxa"/>
            <w:gridSpan w:val="8"/>
            <w:tcBorders>
              <w:top w:val="single" w:sz="4" w:space="0" w:color="auto"/>
              <w:left w:val="nil"/>
              <w:bottom w:val="nil"/>
              <w:right w:val="nil"/>
            </w:tcBorders>
            <w:shd w:val="clear" w:color="000000" w:fill="000000"/>
            <w:noWrap/>
            <w:textDirection w:val="lrTb"/>
            <w:vAlign w:val="bottom"/>
          </w:tcPr>
          <w:p w:rsidR="00F477F1" w:rsidRPr="00772706" w:rsidP="00D91526">
            <w:pPr>
              <w:bidi w:val="0"/>
              <w:spacing w:before="120" w:after="120"/>
              <w:jc w:val="center"/>
              <w:rPr>
                <w:rFonts w:ascii="Times New Roman" w:hAnsi="Times New Roman"/>
                <w:b/>
                <w:bCs/>
                <w:color w:val="FFFFFF"/>
                <w:sz w:val="20"/>
                <w:szCs w:val="20"/>
                <w:lang w:eastAsia="en-US"/>
              </w:rPr>
            </w:pPr>
            <w:r w:rsidRPr="00772706">
              <w:rPr>
                <w:rFonts w:ascii="Times New Roman" w:hAnsi="Times New Roman"/>
                <w:b/>
                <w:bCs/>
                <w:color w:val="FFFFFF"/>
                <w:sz w:val="20"/>
                <w:szCs w:val="20"/>
              </w:rPr>
              <w:t>Vplyv na rozpočet verejnej správy</w:t>
            </w:r>
          </w:p>
        </w:tc>
        <w:tc>
          <w:tcPr>
            <w:tcW w:w="1565" w:type="dxa"/>
            <w:gridSpan w:val="2"/>
            <w:vMerge w:val="restart"/>
            <w:tcBorders>
              <w:top w:val="single" w:sz="4" w:space="0" w:color="auto"/>
              <w:left w:val="nil"/>
              <w:bottom w:val="none" w:sz="0" w:space="0" w:color="auto"/>
              <w:right w:val="nil"/>
            </w:tcBorders>
            <w:shd w:val="clear" w:color="000000" w:fill="000000"/>
            <w:textDirection w:val="lrTb"/>
            <w:vAlign w:val="center"/>
          </w:tcPr>
          <w:p w:rsidR="00F477F1" w:rsidRPr="00772706" w:rsidP="00D91526">
            <w:pPr>
              <w:pStyle w:val="NormalWeb"/>
              <w:bidi w:val="0"/>
              <w:spacing w:before="60" w:beforeAutospacing="0" w:after="60" w:afterAutospacing="0"/>
              <w:jc w:val="center"/>
              <w:rPr>
                <w:rFonts w:ascii="Times New Roman" w:hAnsi="Times New Roman"/>
                <w:sz w:val="20"/>
                <w:szCs w:val="20"/>
              </w:rPr>
            </w:pPr>
            <w:r w:rsidRPr="00772706">
              <w:rPr>
                <w:rFonts w:ascii="Times New Roman" w:hAnsi="Times New Roman"/>
                <w:b/>
                <w:bCs/>
                <w:color w:val="FFFFFF"/>
                <w:sz w:val="20"/>
                <w:szCs w:val="20"/>
              </w:rPr>
              <w:t>Poznámka</w:t>
            </w:r>
          </w:p>
        </w:tc>
      </w:tr>
      <w:tr>
        <w:tblPrEx>
          <w:tblW w:w="13183" w:type="dxa"/>
          <w:tblInd w:w="392" w:type="dxa"/>
          <w:tblLook w:val="00A0"/>
        </w:tblPrEx>
        <w:trPr>
          <w:trHeight w:val="315"/>
          <w:tblHeader/>
        </w:trPr>
        <w:tc>
          <w:tcPr>
            <w:tcW w:w="1255" w:type="dxa"/>
            <w:tcBorders>
              <w:top w:val="nil"/>
              <w:left w:val="single" w:sz="4" w:space="0" w:color="auto"/>
              <w:bottom w:val="nil"/>
              <w:right w:val="nil"/>
            </w:tcBorders>
            <w:shd w:val="clear" w:color="000000" w:fill="000000"/>
            <w:noWrap/>
            <w:textDirection w:val="lrTb"/>
            <w:vAlign w:val="bottom"/>
          </w:tcPr>
          <w:p w:rsidR="00F477F1" w:rsidRPr="00F8672E" w:rsidP="00D91526">
            <w:pPr>
              <w:bidi w:val="0"/>
              <w:spacing w:before="60" w:after="60"/>
              <w:rPr>
                <w:rFonts w:ascii="Times New Roman" w:hAnsi="Times New Roman"/>
                <w:b/>
                <w:bCs/>
                <w:color w:val="FFFFFF"/>
                <w:sz w:val="20"/>
                <w:szCs w:val="20"/>
                <w:lang w:eastAsia="en-US"/>
              </w:rPr>
            </w:pPr>
            <w:r w:rsidRPr="00F8672E">
              <w:rPr>
                <w:rFonts w:ascii="Times New Roman" w:hAnsi="Times New Roman"/>
                <w:b/>
                <w:bCs/>
                <w:color w:val="FFFFFF"/>
                <w:sz w:val="20"/>
                <w:szCs w:val="20"/>
                <w:lang w:eastAsia="en-US"/>
              </w:rPr>
              <w:t> </w:t>
            </w:r>
          </w:p>
        </w:tc>
        <w:tc>
          <w:tcPr>
            <w:tcW w:w="4113" w:type="dxa"/>
            <w:gridSpan w:val="2"/>
            <w:tcBorders>
              <w:top w:val="nil"/>
              <w:left w:val="nil"/>
              <w:bottom w:val="nil"/>
              <w:right w:val="nil"/>
            </w:tcBorders>
            <w:shd w:val="clear" w:color="000000" w:fill="000000"/>
            <w:noWrap/>
            <w:textDirection w:val="lrTb"/>
            <w:vAlign w:val="bottom"/>
          </w:tcPr>
          <w:p w:rsidR="00F477F1" w:rsidRPr="00F8672E" w:rsidP="00D91526">
            <w:pPr>
              <w:bidi w:val="0"/>
              <w:spacing w:before="120" w:after="120"/>
              <w:rPr>
                <w:rFonts w:ascii="Times New Roman" w:hAnsi="Times New Roman"/>
                <w:b/>
                <w:bCs/>
                <w:color w:val="FFFFFF"/>
                <w:sz w:val="20"/>
                <w:szCs w:val="20"/>
                <w:u w:val="single"/>
                <w:lang w:eastAsia="en-US"/>
              </w:rPr>
            </w:pPr>
            <w:r w:rsidRPr="00F8672E">
              <w:rPr>
                <w:rFonts w:ascii="Times New Roman" w:hAnsi="Times New Roman"/>
                <w:b/>
                <w:bCs/>
                <w:color w:val="FFFFFF"/>
                <w:sz w:val="20"/>
                <w:szCs w:val="20"/>
                <w:u w:val="single"/>
                <w:lang w:eastAsia="en-US"/>
              </w:rPr>
              <w:t>Zdravotné poisťovne</w:t>
            </w:r>
          </w:p>
        </w:tc>
        <w:tc>
          <w:tcPr>
            <w:tcW w:w="1572" w:type="dxa"/>
            <w:gridSpan w:val="2"/>
            <w:tcBorders>
              <w:top w:val="nil"/>
              <w:left w:val="nil"/>
              <w:bottom w:val="nil"/>
              <w:right w:val="nil"/>
            </w:tcBorders>
            <w:shd w:val="clear" w:color="000000" w:fill="000000"/>
            <w:noWrap/>
            <w:textDirection w:val="lrTb"/>
            <w:vAlign w:val="bottom"/>
          </w:tcPr>
          <w:p w:rsidR="00F477F1" w:rsidRPr="00F8672E" w:rsidP="00D91526">
            <w:pPr>
              <w:bidi w:val="0"/>
              <w:spacing w:before="120" w:after="120"/>
              <w:jc w:val="center"/>
              <w:rPr>
                <w:rFonts w:ascii="Times New Roman" w:hAnsi="Times New Roman"/>
                <w:b/>
                <w:bCs/>
                <w:color w:val="FFFFFF"/>
                <w:sz w:val="20"/>
                <w:szCs w:val="20"/>
                <w:lang w:eastAsia="en-US"/>
              </w:rPr>
            </w:pPr>
            <w:r w:rsidRPr="00F8672E">
              <w:rPr>
                <w:rFonts w:ascii="Times New Roman" w:hAnsi="Times New Roman"/>
                <w:b/>
                <w:bCs/>
                <w:color w:val="FFFFFF"/>
                <w:sz w:val="20"/>
                <w:szCs w:val="20"/>
                <w:lang w:eastAsia="en-US"/>
              </w:rPr>
              <w:t>2011</w:t>
            </w:r>
          </w:p>
        </w:tc>
        <w:tc>
          <w:tcPr>
            <w:tcW w:w="1559" w:type="dxa"/>
            <w:gridSpan w:val="2"/>
            <w:tcBorders>
              <w:top w:val="nil"/>
              <w:left w:val="nil"/>
              <w:bottom w:val="nil"/>
              <w:right w:val="nil"/>
            </w:tcBorders>
            <w:shd w:val="clear" w:color="000000" w:fill="000000"/>
            <w:noWrap/>
            <w:textDirection w:val="lrTb"/>
            <w:vAlign w:val="bottom"/>
          </w:tcPr>
          <w:p w:rsidR="00F477F1" w:rsidRPr="00F8672E" w:rsidP="00D91526">
            <w:pPr>
              <w:bidi w:val="0"/>
              <w:spacing w:before="120" w:after="120"/>
              <w:jc w:val="center"/>
              <w:rPr>
                <w:rFonts w:ascii="Times New Roman" w:hAnsi="Times New Roman"/>
                <w:b/>
                <w:bCs/>
                <w:color w:val="FFFFFF"/>
                <w:sz w:val="20"/>
                <w:szCs w:val="20"/>
                <w:lang w:eastAsia="en-US"/>
              </w:rPr>
            </w:pPr>
            <w:r w:rsidRPr="00F8672E">
              <w:rPr>
                <w:rFonts w:ascii="Times New Roman" w:hAnsi="Times New Roman"/>
                <w:b/>
                <w:bCs/>
                <w:color w:val="FFFFFF"/>
                <w:sz w:val="20"/>
                <w:szCs w:val="20"/>
                <w:lang w:eastAsia="en-US"/>
              </w:rPr>
              <w:t>2012</w:t>
            </w:r>
          </w:p>
        </w:tc>
        <w:tc>
          <w:tcPr>
            <w:tcW w:w="1560" w:type="dxa"/>
            <w:gridSpan w:val="2"/>
            <w:tcBorders>
              <w:top w:val="nil"/>
              <w:left w:val="nil"/>
              <w:bottom w:val="nil"/>
              <w:right w:val="nil"/>
            </w:tcBorders>
            <w:shd w:val="clear" w:color="000000" w:fill="000000"/>
            <w:noWrap/>
            <w:textDirection w:val="lrTb"/>
            <w:vAlign w:val="bottom"/>
          </w:tcPr>
          <w:p w:rsidR="00F477F1" w:rsidRPr="00F8672E" w:rsidP="00D91526">
            <w:pPr>
              <w:bidi w:val="0"/>
              <w:spacing w:before="120" w:after="120"/>
              <w:jc w:val="center"/>
              <w:rPr>
                <w:rFonts w:ascii="Times New Roman" w:hAnsi="Times New Roman"/>
                <w:b/>
                <w:bCs/>
                <w:color w:val="FFFFFF"/>
                <w:sz w:val="20"/>
                <w:szCs w:val="20"/>
                <w:lang w:eastAsia="en-US"/>
              </w:rPr>
            </w:pPr>
            <w:r w:rsidRPr="00F8672E">
              <w:rPr>
                <w:rFonts w:ascii="Times New Roman" w:hAnsi="Times New Roman"/>
                <w:b/>
                <w:bCs/>
                <w:color w:val="FFFFFF"/>
                <w:sz w:val="20"/>
                <w:szCs w:val="20"/>
                <w:lang w:eastAsia="en-US"/>
              </w:rPr>
              <w:t>2013</w:t>
            </w:r>
          </w:p>
        </w:tc>
        <w:tc>
          <w:tcPr>
            <w:tcW w:w="1559" w:type="dxa"/>
            <w:gridSpan w:val="2"/>
            <w:tcBorders>
              <w:top w:val="nil"/>
              <w:left w:val="nil"/>
              <w:bottom w:val="nil"/>
              <w:right w:val="nil"/>
            </w:tcBorders>
            <w:shd w:val="clear" w:color="000000" w:fill="000000"/>
            <w:noWrap/>
            <w:textDirection w:val="lrTb"/>
            <w:vAlign w:val="bottom"/>
          </w:tcPr>
          <w:p w:rsidR="00F477F1" w:rsidRPr="00772706" w:rsidP="00D91526">
            <w:pPr>
              <w:bidi w:val="0"/>
              <w:spacing w:before="120" w:after="120"/>
              <w:jc w:val="center"/>
              <w:rPr>
                <w:rFonts w:ascii="Times New Roman" w:hAnsi="Times New Roman"/>
                <w:b/>
                <w:bCs/>
                <w:color w:val="FFFFFF"/>
                <w:sz w:val="20"/>
                <w:szCs w:val="20"/>
                <w:lang w:eastAsia="en-US"/>
              </w:rPr>
            </w:pPr>
            <w:r w:rsidRPr="00772706">
              <w:rPr>
                <w:rFonts w:ascii="Times New Roman" w:hAnsi="Times New Roman"/>
                <w:b/>
                <w:bCs/>
                <w:color w:val="FFFFFF"/>
                <w:sz w:val="20"/>
                <w:szCs w:val="20"/>
                <w:lang w:eastAsia="en-US"/>
              </w:rPr>
              <w:t>2014</w:t>
            </w:r>
          </w:p>
        </w:tc>
        <w:tc>
          <w:tcPr>
            <w:tcW w:w="1565" w:type="dxa"/>
            <w:gridSpan w:val="2"/>
            <w:vMerge/>
            <w:tcBorders>
              <w:top w:val="none" w:sz="0" w:space="0" w:color="auto"/>
              <w:left w:val="nil"/>
              <w:bottom w:val="nil"/>
              <w:right w:val="nil"/>
            </w:tcBorders>
            <w:shd w:val="clear" w:color="000000" w:fill="000000"/>
            <w:textDirection w:val="lrTb"/>
            <w:vAlign w:val="center"/>
          </w:tcPr>
          <w:p w:rsidR="00F477F1" w:rsidRPr="00772706" w:rsidP="00D91526">
            <w:pPr>
              <w:bidi w:val="0"/>
              <w:spacing w:before="60" w:after="60"/>
              <w:rPr>
                <w:rFonts w:ascii="Times New Roman" w:hAnsi="Times New Roman"/>
                <w:sz w:val="20"/>
                <w:szCs w:val="20"/>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772706" w:rsidP="00D91526">
            <w:pPr>
              <w:bidi w:val="0"/>
              <w:spacing w:before="60" w:after="60"/>
              <w:jc w:val="right"/>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600</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772706" w:rsidP="00D91526">
            <w:pPr>
              <w:bidi w:val="0"/>
              <w:spacing w:before="60" w:after="60"/>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Výdavky celkom</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772706" w:rsidP="00D91526">
            <w:pPr>
              <w:bidi w:val="0"/>
              <w:spacing w:before="60" w:after="60"/>
              <w:jc w:val="right"/>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772706" w:rsidP="00D91526">
            <w:pPr>
              <w:bidi w:val="0"/>
              <w:spacing w:before="60" w:after="60"/>
              <w:jc w:val="right"/>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4 800 000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772706" w:rsidP="00D91526">
            <w:pPr>
              <w:bidi w:val="0"/>
              <w:spacing w:before="60" w:after="60"/>
              <w:jc w:val="right"/>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772706" w:rsidP="00D91526">
            <w:pPr>
              <w:bidi w:val="0"/>
              <w:spacing w:before="60" w:after="60"/>
              <w:jc w:val="right"/>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0</w:t>
            </w:r>
          </w:p>
        </w:tc>
        <w:tc>
          <w:tcPr>
            <w:tcW w:w="1555" w:type="dxa"/>
            <w:vMerge w:val="restart"/>
            <w:tcBorders>
              <w:top w:val="single" w:sz="4" w:space="0" w:color="auto"/>
              <w:left w:val="single" w:sz="4" w:space="0" w:color="auto"/>
              <w:bottom w:val="single" w:sz="4" w:space="0" w:color="auto"/>
              <w:right w:val="single" w:sz="4" w:space="0" w:color="auto"/>
            </w:tcBorders>
            <w:textDirection w:val="lrTb"/>
            <w:vAlign w:val="top"/>
          </w:tcPr>
          <w:p w:rsidR="00F477F1" w:rsidRPr="00772706" w:rsidP="00D91526">
            <w:pPr>
              <w:bidi w:val="0"/>
              <w:spacing w:before="60" w:after="60"/>
              <w:jc w:val="right"/>
              <w:rPr>
                <w:rFonts w:ascii="Times New Roman" w:hAnsi="Times New Roman"/>
                <w:b/>
                <w:bCs/>
                <w:color w:val="000000"/>
                <w:sz w:val="20"/>
                <w:szCs w:val="20"/>
                <w:lang w:eastAsia="zh-CN"/>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772706" w:rsidP="00D91526">
            <w:pPr>
              <w:bidi w:val="0"/>
              <w:spacing w:before="60" w:after="60"/>
              <w:jc w:val="right"/>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600</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772706" w:rsidP="00D91526">
            <w:pPr>
              <w:bidi w:val="0"/>
              <w:spacing w:before="60" w:after="60"/>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Bežné výdavky</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772706" w:rsidP="00D91526">
            <w:pPr>
              <w:bidi w:val="0"/>
              <w:spacing w:before="60" w:after="60"/>
              <w:jc w:val="right"/>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772706" w:rsidP="00D91526">
            <w:pPr>
              <w:bidi w:val="0"/>
              <w:spacing w:before="60" w:after="60"/>
              <w:jc w:val="right"/>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4 800 000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772706" w:rsidP="00D91526">
            <w:pPr>
              <w:bidi w:val="0"/>
              <w:spacing w:before="60" w:after="60"/>
              <w:jc w:val="right"/>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772706" w:rsidP="00D91526">
            <w:pPr>
              <w:bidi w:val="0"/>
              <w:spacing w:before="60" w:after="60"/>
              <w:jc w:val="right"/>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0</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F477F1" w:rsidRPr="00772706" w:rsidP="00D91526">
            <w:pPr>
              <w:bidi w:val="0"/>
              <w:spacing w:before="60" w:after="60"/>
              <w:jc w:val="right"/>
              <w:rPr>
                <w:rFonts w:ascii="Times New Roman" w:hAnsi="Times New Roman"/>
                <w:b/>
                <w:bCs/>
                <w:color w:val="000000"/>
                <w:sz w:val="20"/>
                <w:szCs w:val="20"/>
                <w:lang w:eastAsia="zh-CN"/>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F8672E" w:rsidP="00D91526">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630</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F8672E" w:rsidP="00D91526">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Tovary a služby</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F8672E" w:rsidP="00D91526">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F8672E" w:rsidP="00D91526">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4 800 000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F8672E" w:rsidP="00D91526">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F8672E" w:rsidP="00D91526">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0</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F477F1" w:rsidRPr="00772706" w:rsidP="00D91526">
            <w:pPr>
              <w:bidi w:val="0"/>
              <w:spacing w:before="60" w:after="60"/>
              <w:jc w:val="right"/>
              <w:rPr>
                <w:rFonts w:ascii="Times New Roman" w:hAnsi="Times New Roman"/>
                <w:color w:val="000000"/>
                <w:sz w:val="20"/>
                <w:szCs w:val="20"/>
                <w:lang w:eastAsia="zh-CN"/>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F8672E" w:rsidP="00D91526">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640</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F8672E" w:rsidP="00D91526">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Bežné transfery</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F8672E" w:rsidP="00D91526">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F8672E" w:rsidP="00D91526">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F8672E" w:rsidP="00D91526">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F8672E" w:rsidP="00D91526">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0</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F477F1" w:rsidRPr="00772706" w:rsidP="00D91526">
            <w:pPr>
              <w:bidi w:val="0"/>
              <w:spacing w:before="60" w:after="60"/>
              <w:jc w:val="right"/>
              <w:rPr>
                <w:rFonts w:ascii="Times New Roman" w:hAnsi="Times New Roman"/>
                <w:color w:val="000000"/>
                <w:sz w:val="20"/>
                <w:szCs w:val="20"/>
                <w:lang w:eastAsia="zh-CN"/>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F8672E" w:rsidP="00D91526">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641</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F8672E" w:rsidP="00D91526">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Transfery v rámci verejnej správy</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F8672E" w:rsidP="00D91526">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F8672E" w:rsidP="00D91526">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F8672E" w:rsidP="00D91526">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F8672E" w:rsidP="00D91526">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0</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F477F1" w:rsidRPr="00772706" w:rsidP="00D91526">
            <w:pPr>
              <w:bidi w:val="0"/>
              <w:spacing w:before="60" w:after="60"/>
              <w:jc w:val="right"/>
              <w:rPr>
                <w:rFonts w:ascii="Times New Roman" w:hAnsi="Times New Roman"/>
                <w:color w:val="000000"/>
                <w:sz w:val="20"/>
                <w:szCs w:val="20"/>
                <w:lang w:eastAsia="zh-CN"/>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F8672E" w:rsidP="00D91526">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642</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F8672E" w:rsidP="00D91526">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Transfery jednotlivcom a neziskovým PO</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F8672E" w:rsidP="00D91526">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F8672E" w:rsidP="00D91526">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F8672E" w:rsidP="00D91526">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F8672E" w:rsidP="00D91526">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0</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F477F1" w:rsidRPr="00772706" w:rsidP="00D91526">
            <w:pPr>
              <w:bidi w:val="0"/>
              <w:spacing w:before="60" w:after="60"/>
              <w:jc w:val="right"/>
              <w:rPr>
                <w:rFonts w:ascii="Times New Roman" w:hAnsi="Times New Roman"/>
                <w:color w:val="000000"/>
                <w:sz w:val="20"/>
                <w:szCs w:val="20"/>
                <w:lang w:eastAsia="zh-CN"/>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772706" w:rsidP="00D91526">
            <w:pPr>
              <w:bidi w:val="0"/>
              <w:spacing w:before="60" w:after="60"/>
              <w:jc w:val="right"/>
              <w:rPr>
                <w:rFonts w:ascii="Times New Roman" w:hAnsi="Times New Roman"/>
                <w:color w:val="000000"/>
                <w:sz w:val="20"/>
                <w:szCs w:val="20"/>
                <w:lang w:eastAsia="zh-CN"/>
              </w:rPr>
            </w:pPr>
            <w:r w:rsidRPr="00772706">
              <w:rPr>
                <w:rFonts w:ascii="Times New Roman" w:hAnsi="Times New Roman"/>
                <w:b/>
                <w:bCs/>
                <w:color w:val="000000"/>
                <w:sz w:val="20"/>
                <w:szCs w:val="20"/>
                <w:lang w:eastAsia="zh-CN"/>
              </w:rPr>
              <w:t>800</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772706" w:rsidP="00D91526">
            <w:pPr>
              <w:bidi w:val="0"/>
              <w:spacing w:before="60" w:after="60"/>
              <w:rPr>
                <w:rFonts w:ascii="Times New Roman" w:hAnsi="Times New Roman"/>
                <w:color w:val="000000"/>
                <w:sz w:val="20"/>
                <w:szCs w:val="20"/>
                <w:lang w:eastAsia="zh-CN"/>
              </w:rPr>
            </w:pPr>
            <w:r w:rsidRPr="00772706">
              <w:rPr>
                <w:rFonts w:ascii="Times New Roman" w:hAnsi="Times New Roman"/>
                <w:b/>
                <w:bCs/>
                <w:color w:val="000000"/>
                <w:sz w:val="20"/>
                <w:szCs w:val="20"/>
                <w:lang w:eastAsia="zh-CN"/>
              </w:rPr>
              <w:t>Výdavky z trans. s fin. aktívami a pasívami</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F8672E" w:rsidP="00D91526">
            <w:pPr>
              <w:bidi w:val="0"/>
              <w:spacing w:before="60" w:after="60"/>
              <w:jc w:val="right"/>
              <w:rPr>
                <w:rFonts w:ascii="Times New Roman" w:hAnsi="Times New Roman"/>
                <w:color w:val="000000"/>
                <w:sz w:val="20"/>
                <w:szCs w:val="20"/>
                <w:lang w:eastAsia="zh-CN"/>
              </w:rPr>
            </w:pPr>
            <w:r w:rsidRPr="00772706">
              <w:rPr>
                <w:rFonts w:ascii="Times New Roman" w:hAnsi="Times New Roman"/>
                <w:b/>
                <w:bCs/>
                <w:color w:val="000000"/>
                <w:sz w:val="20"/>
                <w:szCs w:val="20"/>
                <w:lang w:eastAsia="zh-CN"/>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F8672E" w:rsidP="00D91526">
            <w:pPr>
              <w:bidi w:val="0"/>
              <w:spacing w:before="60" w:after="60"/>
              <w:jc w:val="right"/>
              <w:rPr>
                <w:rFonts w:ascii="Times New Roman" w:hAnsi="Times New Roman"/>
                <w:color w:val="000000"/>
                <w:sz w:val="20"/>
                <w:szCs w:val="20"/>
                <w:lang w:eastAsia="zh-CN"/>
              </w:rPr>
            </w:pPr>
            <w:r w:rsidRPr="00772706">
              <w:rPr>
                <w:rFonts w:ascii="Times New Roman" w:hAnsi="Times New Roman"/>
                <w:b/>
                <w:bCs/>
                <w:color w:val="000000"/>
                <w:sz w:val="20"/>
                <w:szCs w:val="20"/>
                <w:lang w:eastAsia="zh-CN"/>
              </w:rPr>
              <w:t>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F8672E" w:rsidP="00D91526">
            <w:pPr>
              <w:bidi w:val="0"/>
              <w:spacing w:before="60" w:after="60"/>
              <w:jc w:val="right"/>
              <w:rPr>
                <w:rFonts w:ascii="Times New Roman" w:hAnsi="Times New Roman"/>
                <w:color w:val="000000"/>
                <w:sz w:val="20"/>
                <w:szCs w:val="20"/>
                <w:lang w:eastAsia="zh-CN"/>
              </w:rPr>
            </w:pPr>
            <w:r w:rsidRPr="00772706">
              <w:rPr>
                <w:rFonts w:ascii="Times New Roman" w:hAnsi="Times New Roman"/>
                <w:b/>
                <w:bCs/>
                <w:color w:val="000000"/>
                <w:sz w:val="20"/>
                <w:szCs w:val="20"/>
                <w:lang w:eastAsia="zh-CN"/>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F477F1" w:rsidRPr="00F8672E" w:rsidP="00D91526">
            <w:pPr>
              <w:bidi w:val="0"/>
              <w:spacing w:before="60" w:after="60"/>
              <w:jc w:val="right"/>
              <w:rPr>
                <w:rFonts w:ascii="Times New Roman" w:hAnsi="Times New Roman"/>
                <w:color w:val="000000"/>
                <w:sz w:val="20"/>
                <w:szCs w:val="20"/>
                <w:lang w:eastAsia="zh-CN"/>
              </w:rPr>
            </w:pPr>
            <w:r w:rsidRPr="00772706">
              <w:rPr>
                <w:rFonts w:ascii="Times New Roman" w:hAnsi="Times New Roman"/>
                <w:b/>
                <w:bCs/>
                <w:color w:val="000000"/>
                <w:sz w:val="20"/>
                <w:szCs w:val="20"/>
                <w:lang w:eastAsia="zh-CN"/>
              </w:rPr>
              <w:t>0</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F477F1" w:rsidRPr="00772706" w:rsidP="00D91526">
            <w:pPr>
              <w:bidi w:val="0"/>
              <w:spacing w:before="60" w:after="60"/>
              <w:jc w:val="right"/>
              <w:rPr>
                <w:rFonts w:ascii="Times New Roman" w:hAnsi="Times New Roman"/>
                <w:color w:val="000000"/>
                <w:sz w:val="20"/>
                <w:szCs w:val="20"/>
                <w:lang w:eastAsia="zh-CN"/>
              </w:rPr>
            </w:pPr>
          </w:p>
        </w:tc>
      </w:tr>
    </w:tbl>
    <w:p w:rsidR="00F477F1" w:rsidP="00F477F1">
      <w:pPr>
        <w:pStyle w:val="NormalWeb"/>
        <w:bidi w:val="0"/>
        <w:spacing w:before="0" w:beforeAutospacing="0" w:after="120" w:afterAutospacing="0"/>
        <w:ind w:right="535"/>
        <w:jc w:val="right"/>
        <w:rPr>
          <w:rFonts w:ascii="Times New Roman" w:hAnsi="Times New Roman"/>
          <w:sz w:val="22"/>
          <w:szCs w:val="22"/>
        </w:rPr>
      </w:pPr>
    </w:p>
    <w:p w:rsidR="006244F1" w:rsidP="00F477F1">
      <w:pPr>
        <w:pStyle w:val="NormalWeb"/>
        <w:bidi w:val="0"/>
        <w:spacing w:before="0" w:beforeAutospacing="0" w:after="120" w:afterAutospacing="0"/>
        <w:ind w:right="535"/>
        <w:jc w:val="right"/>
        <w:rPr>
          <w:rFonts w:ascii="Times New Roman" w:hAnsi="Times New Roman"/>
          <w:sz w:val="22"/>
          <w:szCs w:val="22"/>
        </w:rPr>
      </w:pPr>
    </w:p>
    <w:p w:rsidR="006244F1" w:rsidP="00F477F1">
      <w:pPr>
        <w:pStyle w:val="NormalWeb"/>
        <w:bidi w:val="0"/>
        <w:spacing w:before="0" w:beforeAutospacing="0" w:after="120" w:afterAutospacing="0"/>
        <w:ind w:right="535"/>
        <w:jc w:val="right"/>
        <w:rPr>
          <w:rFonts w:ascii="Times New Roman" w:hAnsi="Times New Roman"/>
          <w:sz w:val="22"/>
          <w:szCs w:val="22"/>
        </w:rPr>
      </w:pPr>
    </w:p>
    <w:p w:rsidR="00F477F1" w:rsidRPr="00A86C7E" w:rsidP="00A86C7E">
      <w:pPr>
        <w:pStyle w:val="NormalWeb"/>
        <w:bidi w:val="0"/>
        <w:spacing w:before="0" w:beforeAutospacing="0" w:after="120" w:afterAutospacing="0"/>
        <w:ind w:right="535"/>
        <w:jc w:val="right"/>
        <w:rPr>
          <w:rFonts w:ascii="Times New Roman" w:hAnsi="Times New Roman"/>
          <w:b/>
          <w:bCs/>
        </w:rPr>
      </w:pPr>
      <w:r w:rsidRPr="000F0946">
        <w:rPr>
          <w:rFonts w:ascii="Times New Roman" w:hAnsi="Times New Roman"/>
          <w:sz w:val="22"/>
          <w:szCs w:val="22"/>
        </w:rPr>
        <w:t xml:space="preserve">Tabuľka č. </w:t>
      </w:r>
      <w:r w:rsidR="005D2E9C">
        <w:rPr>
          <w:rFonts w:ascii="Times New Roman" w:hAnsi="Times New Roman"/>
          <w:sz w:val="22"/>
          <w:szCs w:val="22"/>
        </w:rPr>
        <w:t>15</w:t>
      </w:r>
    </w:p>
    <w:tbl>
      <w:tblPr>
        <w:tblStyle w:val="TableNormal"/>
        <w:tblW w:w="13183" w:type="dxa"/>
        <w:tblInd w:w="392" w:type="dxa"/>
        <w:tblLook w:val="00A0"/>
      </w:tblPr>
      <w:tblGrid>
        <w:gridCol w:w="1255"/>
        <w:gridCol w:w="13"/>
        <w:gridCol w:w="4100"/>
        <w:gridCol w:w="10"/>
        <w:gridCol w:w="1562"/>
        <w:gridCol w:w="10"/>
        <w:gridCol w:w="1549"/>
        <w:gridCol w:w="10"/>
        <w:gridCol w:w="1550"/>
        <w:gridCol w:w="10"/>
        <w:gridCol w:w="1549"/>
        <w:gridCol w:w="10"/>
        <w:gridCol w:w="1555"/>
      </w:tblGrid>
      <w:tr>
        <w:tblPrEx>
          <w:tblW w:w="13183" w:type="dxa"/>
          <w:tblInd w:w="392" w:type="dxa"/>
          <w:tblLook w:val="00A0"/>
        </w:tblPrEx>
        <w:trPr>
          <w:trHeight w:val="315"/>
          <w:tblHeader/>
        </w:trPr>
        <w:tc>
          <w:tcPr>
            <w:tcW w:w="1255" w:type="dxa"/>
            <w:tcBorders>
              <w:top w:val="single" w:sz="4" w:space="0" w:color="auto"/>
              <w:left w:val="single" w:sz="4" w:space="0" w:color="auto"/>
              <w:bottom w:val="nil"/>
              <w:right w:val="nil"/>
            </w:tcBorders>
            <w:shd w:val="clear" w:color="000000" w:fill="000000"/>
            <w:noWrap/>
            <w:textDirection w:val="lrTb"/>
            <w:vAlign w:val="bottom"/>
          </w:tcPr>
          <w:p w:rsidR="00F477F1" w:rsidRPr="000E136F" w:rsidP="00D91526">
            <w:pPr>
              <w:bidi w:val="0"/>
              <w:spacing w:before="60" w:after="60"/>
              <w:rPr>
                <w:rFonts w:ascii="Times New Roman" w:hAnsi="Times New Roman"/>
                <w:b/>
                <w:bCs/>
                <w:color w:val="FFFFFF"/>
                <w:sz w:val="20"/>
                <w:szCs w:val="20"/>
                <w:lang w:eastAsia="en-US"/>
              </w:rPr>
            </w:pPr>
            <w:r w:rsidRPr="000E136F">
              <w:rPr>
                <w:rFonts w:ascii="Times New Roman" w:hAnsi="Times New Roman"/>
                <w:b/>
                <w:bCs/>
                <w:color w:val="FFFFFF"/>
                <w:sz w:val="20"/>
                <w:szCs w:val="20"/>
                <w:lang w:eastAsia="en-US"/>
              </w:rPr>
              <w:t> </w:t>
            </w:r>
          </w:p>
        </w:tc>
        <w:tc>
          <w:tcPr>
            <w:tcW w:w="4113" w:type="dxa"/>
            <w:gridSpan w:val="2"/>
            <w:tcBorders>
              <w:top w:val="single" w:sz="4" w:space="0" w:color="auto"/>
              <w:left w:val="nil"/>
              <w:bottom w:val="nil"/>
              <w:right w:val="nil"/>
            </w:tcBorders>
            <w:shd w:val="clear" w:color="000000" w:fill="000000"/>
            <w:noWrap/>
            <w:textDirection w:val="lrTb"/>
            <w:vAlign w:val="bottom"/>
          </w:tcPr>
          <w:p w:rsidR="00F477F1" w:rsidRPr="000E136F" w:rsidP="00D91526">
            <w:pPr>
              <w:bidi w:val="0"/>
              <w:spacing w:before="60" w:after="60"/>
              <w:rPr>
                <w:rFonts w:ascii="Times New Roman" w:hAnsi="Times New Roman"/>
                <w:b/>
                <w:bCs/>
                <w:color w:val="FFFFFF"/>
                <w:sz w:val="20"/>
                <w:szCs w:val="20"/>
                <w:lang w:eastAsia="en-US"/>
              </w:rPr>
            </w:pPr>
            <w:r w:rsidRPr="000E136F">
              <w:rPr>
                <w:rFonts w:ascii="Times New Roman" w:hAnsi="Times New Roman"/>
                <w:b/>
                <w:bCs/>
                <w:color w:val="FFFFFF"/>
                <w:sz w:val="20"/>
                <w:szCs w:val="20"/>
              </w:rPr>
              <w:t xml:space="preserve">Výdavky </w:t>
            </w:r>
            <w:r w:rsidRPr="00705F05">
              <w:rPr>
                <w:rFonts w:ascii="Times New Roman" w:hAnsi="Times New Roman"/>
                <w:b/>
                <w:bCs/>
                <w:color w:val="FFFFFF"/>
                <w:sz w:val="20"/>
                <w:szCs w:val="20"/>
              </w:rPr>
              <w:t>(</w:t>
            </w:r>
            <w:r>
              <w:rPr>
                <w:rFonts w:ascii="Times New Roman" w:hAnsi="Times New Roman"/>
                <w:b/>
                <w:bCs/>
                <w:color w:val="FFFFFF"/>
                <w:sz w:val="20"/>
                <w:szCs w:val="20"/>
              </w:rPr>
              <w:t xml:space="preserve">ESA 95, </w:t>
            </w:r>
            <w:r w:rsidRPr="00705F05">
              <w:rPr>
                <w:rFonts w:ascii="Times New Roman" w:hAnsi="Times New Roman"/>
                <w:b/>
                <w:bCs/>
                <w:color w:val="FFFFFF"/>
                <w:sz w:val="20"/>
                <w:szCs w:val="20"/>
              </w:rPr>
              <w:t>v eurách)</w:t>
            </w:r>
          </w:p>
        </w:tc>
        <w:tc>
          <w:tcPr>
            <w:tcW w:w="6250" w:type="dxa"/>
            <w:gridSpan w:val="8"/>
            <w:tcBorders>
              <w:top w:val="single" w:sz="4" w:space="0" w:color="auto"/>
              <w:left w:val="nil"/>
              <w:bottom w:val="nil"/>
              <w:right w:val="nil"/>
            </w:tcBorders>
            <w:shd w:val="clear" w:color="000000" w:fill="000000"/>
            <w:noWrap/>
            <w:textDirection w:val="lrTb"/>
            <w:vAlign w:val="bottom"/>
          </w:tcPr>
          <w:p w:rsidR="00F477F1" w:rsidRPr="000E136F" w:rsidP="00D91526">
            <w:pPr>
              <w:bidi w:val="0"/>
              <w:spacing w:before="120" w:after="120"/>
              <w:jc w:val="center"/>
              <w:rPr>
                <w:rFonts w:ascii="Times New Roman" w:hAnsi="Times New Roman"/>
                <w:b/>
                <w:bCs/>
                <w:color w:val="FFFFFF"/>
                <w:sz w:val="20"/>
                <w:szCs w:val="20"/>
                <w:lang w:eastAsia="en-US"/>
              </w:rPr>
            </w:pPr>
            <w:r w:rsidRPr="000E136F">
              <w:rPr>
                <w:rFonts w:ascii="Times New Roman" w:hAnsi="Times New Roman"/>
                <w:b/>
                <w:bCs/>
                <w:color w:val="FFFFFF"/>
                <w:sz w:val="20"/>
                <w:szCs w:val="20"/>
              </w:rPr>
              <w:t>Vplyv na rozpočet verejnej správy</w:t>
            </w:r>
          </w:p>
        </w:tc>
        <w:tc>
          <w:tcPr>
            <w:tcW w:w="1565" w:type="dxa"/>
            <w:gridSpan w:val="2"/>
            <w:vMerge w:val="restart"/>
            <w:tcBorders>
              <w:top w:val="single" w:sz="4" w:space="0" w:color="auto"/>
              <w:left w:val="nil"/>
              <w:bottom w:val="none" w:sz="0" w:space="0" w:color="auto"/>
              <w:right w:val="nil"/>
            </w:tcBorders>
            <w:shd w:val="clear" w:color="000000" w:fill="000000"/>
            <w:textDirection w:val="lrTb"/>
            <w:vAlign w:val="center"/>
          </w:tcPr>
          <w:p w:rsidR="00F477F1" w:rsidRPr="00772706" w:rsidP="00D91526">
            <w:pPr>
              <w:pStyle w:val="NormalWeb"/>
              <w:bidi w:val="0"/>
              <w:spacing w:before="60" w:beforeAutospacing="0" w:after="60" w:afterAutospacing="0"/>
              <w:jc w:val="center"/>
              <w:rPr>
                <w:rFonts w:ascii="Times New Roman" w:hAnsi="Times New Roman"/>
                <w:sz w:val="20"/>
                <w:szCs w:val="20"/>
              </w:rPr>
            </w:pPr>
            <w:r w:rsidRPr="000E136F">
              <w:rPr>
                <w:rFonts w:ascii="Times New Roman" w:hAnsi="Times New Roman"/>
                <w:b/>
                <w:bCs/>
                <w:color w:val="FFFFFF"/>
                <w:sz w:val="20"/>
                <w:szCs w:val="20"/>
              </w:rPr>
              <w:t>Poznámka</w:t>
            </w:r>
          </w:p>
        </w:tc>
      </w:tr>
      <w:tr>
        <w:tblPrEx>
          <w:tblW w:w="13183" w:type="dxa"/>
          <w:tblInd w:w="392" w:type="dxa"/>
          <w:tblLook w:val="00A0"/>
        </w:tblPrEx>
        <w:trPr>
          <w:trHeight w:val="315"/>
          <w:tblHeader/>
        </w:trPr>
        <w:tc>
          <w:tcPr>
            <w:tcW w:w="1255" w:type="dxa"/>
            <w:tcBorders>
              <w:top w:val="nil"/>
              <w:left w:val="single" w:sz="4" w:space="0" w:color="auto"/>
              <w:bottom w:val="nil"/>
              <w:right w:val="nil"/>
            </w:tcBorders>
            <w:shd w:val="clear" w:color="000000" w:fill="000000"/>
            <w:noWrap/>
            <w:textDirection w:val="lrTb"/>
            <w:vAlign w:val="bottom"/>
          </w:tcPr>
          <w:p w:rsidR="00F477F1" w:rsidRPr="000E136F" w:rsidP="00D91526">
            <w:pPr>
              <w:bidi w:val="0"/>
              <w:spacing w:before="60" w:after="60"/>
              <w:rPr>
                <w:rFonts w:ascii="Times New Roman" w:hAnsi="Times New Roman"/>
                <w:b/>
                <w:bCs/>
                <w:color w:val="FFFFFF"/>
                <w:sz w:val="20"/>
                <w:szCs w:val="20"/>
                <w:lang w:eastAsia="en-US"/>
              </w:rPr>
            </w:pPr>
            <w:r w:rsidRPr="000E136F">
              <w:rPr>
                <w:rFonts w:ascii="Times New Roman" w:hAnsi="Times New Roman"/>
                <w:b/>
                <w:bCs/>
                <w:color w:val="FFFFFF"/>
                <w:sz w:val="20"/>
                <w:szCs w:val="20"/>
                <w:lang w:eastAsia="en-US"/>
              </w:rPr>
              <w:t> </w:t>
            </w:r>
          </w:p>
        </w:tc>
        <w:tc>
          <w:tcPr>
            <w:tcW w:w="4113" w:type="dxa"/>
            <w:gridSpan w:val="2"/>
            <w:tcBorders>
              <w:top w:val="nil"/>
              <w:left w:val="nil"/>
              <w:bottom w:val="nil"/>
              <w:right w:val="nil"/>
            </w:tcBorders>
            <w:shd w:val="clear" w:color="000000" w:fill="000000"/>
            <w:noWrap/>
            <w:textDirection w:val="lrTb"/>
            <w:vAlign w:val="bottom"/>
          </w:tcPr>
          <w:p w:rsidR="00F477F1" w:rsidRPr="000E136F" w:rsidP="00D91526">
            <w:pPr>
              <w:bidi w:val="0"/>
              <w:spacing w:before="120" w:after="120"/>
              <w:rPr>
                <w:rFonts w:ascii="Times New Roman" w:hAnsi="Times New Roman"/>
                <w:b/>
                <w:bCs/>
                <w:color w:val="FFFFFF"/>
                <w:sz w:val="20"/>
                <w:szCs w:val="20"/>
                <w:u w:val="single"/>
                <w:lang w:eastAsia="en-US"/>
              </w:rPr>
            </w:pPr>
            <w:r w:rsidRPr="000E136F">
              <w:rPr>
                <w:rFonts w:ascii="Times New Roman" w:hAnsi="Times New Roman"/>
                <w:b/>
                <w:bCs/>
                <w:color w:val="FFFFFF"/>
                <w:sz w:val="20"/>
                <w:szCs w:val="20"/>
                <w:u w:val="single"/>
                <w:lang w:eastAsia="en-US"/>
              </w:rPr>
              <w:t>Verejná správa</w:t>
            </w:r>
          </w:p>
        </w:tc>
        <w:tc>
          <w:tcPr>
            <w:tcW w:w="1572" w:type="dxa"/>
            <w:gridSpan w:val="2"/>
            <w:tcBorders>
              <w:top w:val="nil"/>
              <w:left w:val="nil"/>
              <w:bottom w:val="nil"/>
              <w:right w:val="nil"/>
            </w:tcBorders>
            <w:shd w:val="clear" w:color="000000" w:fill="000000"/>
            <w:noWrap/>
            <w:textDirection w:val="lrTb"/>
            <w:vAlign w:val="bottom"/>
          </w:tcPr>
          <w:p w:rsidR="00F477F1" w:rsidRPr="000E136F" w:rsidP="00D91526">
            <w:pPr>
              <w:bidi w:val="0"/>
              <w:spacing w:before="120" w:after="120"/>
              <w:jc w:val="center"/>
              <w:rPr>
                <w:rFonts w:ascii="Times New Roman" w:hAnsi="Times New Roman"/>
                <w:b/>
                <w:bCs/>
                <w:color w:val="FFFFFF"/>
                <w:sz w:val="20"/>
                <w:szCs w:val="20"/>
                <w:lang w:eastAsia="en-US"/>
              </w:rPr>
            </w:pPr>
            <w:r w:rsidRPr="000E136F">
              <w:rPr>
                <w:rFonts w:ascii="Times New Roman" w:hAnsi="Times New Roman"/>
                <w:b/>
                <w:bCs/>
                <w:color w:val="FFFFFF"/>
                <w:sz w:val="20"/>
                <w:szCs w:val="20"/>
                <w:lang w:eastAsia="en-US"/>
              </w:rPr>
              <w:t>2011</w:t>
            </w:r>
          </w:p>
        </w:tc>
        <w:tc>
          <w:tcPr>
            <w:tcW w:w="1559" w:type="dxa"/>
            <w:gridSpan w:val="2"/>
            <w:tcBorders>
              <w:top w:val="nil"/>
              <w:left w:val="nil"/>
              <w:bottom w:val="nil"/>
              <w:right w:val="nil"/>
            </w:tcBorders>
            <w:shd w:val="clear" w:color="000000" w:fill="000000"/>
            <w:noWrap/>
            <w:textDirection w:val="lrTb"/>
            <w:vAlign w:val="bottom"/>
          </w:tcPr>
          <w:p w:rsidR="00F477F1" w:rsidRPr="000E136F" w:rsidP="00D91526">
            <w:pPr>
              <w:bidi w:val="0"/>
              <w:spacing w:before="120" w:after="120"/>
              <w:jc w:val="center"/>
              <w:rPr>
                <w:rFonts w:ascii="Times New Roman" w:hAnsi="Times New Roman"/>
                <w:b/>
                <w:bCs/>
                <w:color w:val="FFFFFF"/>
                <w:sz w:val="20"/>
                <w:szCs w:val="20"/>
                <w:lang w:eastAsia="en-US"/>
              </w:rPr>
            </w:pPr>
            <w:r w:rsidRPr="000E136F">
              <w:rPr>
                <w:rFonts w:ascii="Times New Roman" w:hAnsi="Times New Roman"/>
                <w:b/>
                <w:bCs/>
                <w:color w:val="FFFFFF"/>
                <w:sz w:val="20"/>
                <w:szCs w:val="20"/>
                <w:lang w:eastAsia="en-US"/>
              </w:rPr>
              <w:t>2012</w:t>
            </w:r>
          </w:p>
        </w:tc>
        <w:tc>
          <w:tcPr>
            <w:tcW w:w="1560" w:type="dxa"/>
            <w:gridSpan w:val="2"/>
            <w:tcBorders>
              <w:top w:val="nil"/>
              <w:left w:val="nil"/>
              <w:bottom w:val="nil"/>
              <w:right w:val="nil"/>
            </w:tcBorders>
            <w:shd w:val="clear" w:color="000000" w:fill="000000"/>
            <w:noWrap/>
            <w:textDirection w:val="lrTb"/>
            <w:vAlign w:val="bottom"/>
          </w:tcPr>
          <w:p w:rsidR="00F477F1" w:rsidRPr="000E136F" w:rsidP="00D91526">
            <w:pPr>
              <w:bidi w:val="0"/>
              <w:spacing w:before="120" w:after="120"/>
              <w:jc w:val="center"/>
              <w:rPr>
                <w:rFonts w:ascii="Times New Roman" w:hAnsi="Times New Roman"/>
                <w:b/>
                <w:bCs/>
                <w:color w:val="FFFFFF"/>
                <w:sz w:val="20"/>
                <w:szCs w:val="20"/>
                <w:lang w:eastAsia="en-US"/>
              </w:rPr>
            </w:pPr>
            <w:r w:rsidRPr="000E136F">
              <w:rPr>
                <w:rFonts w:ascii="Times New Roman" w:hAnsi="Times New Roman"/>
                <w:b/>
                <w:bCs/>
                <w:color w:val="FFFFFF"/>
                <w:sz w:val="20"/>
                <w:szCs w:val="20"/>
                <w:lang w:eastAsia="en-US"/>
              </w:rPr>
              <w:t>2013</w:t>
            </w:r>
          </w:p>
        </w:tc>
        <w:tc>
          <w:tcPr>
            <w:tcW w:w="1559" w:type="dxa"/>
            <w:gridSpan w:val="2"/>
            <w:tcBorders>
              <w:top w:val="nil"/>
              <w:left w:val="nil"/>
              <w:bottom w:val="nil"/>
              <w:right w:val="nil"/>
            </w:tcBorders>
            <w:shd w:val="clear" w:color="000000" w:fill="000000"/>
            <w:noWrap/>
            <w:textDirection w:val="lrTb"/>
            <w:vAlign w:val="bottom"/>
          </w:tcPr>
          <w:p w:rsidR="00F477F1" w:rsidRPr="00772706" w:rsidP="00D91526">
            <w:pPr>
              <w:bidi w:val="0"/>
              <w:spacing w:before="120" w:after="120"/>
              <w:jc w:val="center"/>
              <w:rPr>
                <w:rFonts w:ascii="Times New Roman" w:hAnsi="Times New Roman"/>
                <w:b/>
                <w:bCs/>
                <w:color w:val="FFFFFF"/>
                <w:sz w:val="20"/>
                <w:szCs w:val="20"/>
                <w:lang w:eastAsia="en-US"/>
              </w:rPr>
            </w:pPr>
            <w:r w:rsidRPr="00772706">
              <w:rPr>
                <w:rFonts w:ascii="Times New Roman" w:hAnsi="Times New Roman"/>
                <w:b/>
                <w:bCs/>
                <w:color w:val="FFFFFF"/>
                <w:sz w:val="20"/>
                <w:szCs w:val="20"/>
                <w:lang w:eastAsia="en-US"/>
              </w:rPr>
              <w:t>2014</w:t>
            </w:r>
          </w:p>
        </w:tc>
        <w:tc>
          <w:tcPr>
            <w:tcW w:w="1565" w:type="dxa"/>
            <w:gridSpan w:val="2"/>
            <w:vMerge/>
            <w:tcBorders>
              <w:top w:val="none" w:sz="0" w:space="0" w:color="auto"/>
              <w:left w:val="nil"/>
              <w:bottom w:val="nil"/>
              <w:right w:val="nil"/>
            </w:tcBorders>
            <w:shd w:val="clear" w:color="000000" w:fill="000000"/>
            <w:textDirection w:val="lrTb"/>
            <w:vAlign w:val="center"/>
          </w:tcPr>
          <w:p w:rsidR="00F477F1" w:rsidRPr="00772706" w:rsidP="00D91526">
            <w:pPr>
              <w:bidi w:val="0"/>
              <w:spacing w:before="60" w:after="60"/>
              <w:rPr>
                <w:rFonts w:ascii="Times New Roman" w:hAnsi="Times New Roman"/>
                <w:sz w:val="20"/>
                <w:szCs w:val="20"/>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772706" w:rsidP="00D91526">
            <w:pPr>
              <w:bidi w:val="0"/>
              <w:spacing w:before="60" w:after="60"/>
              <w:jc w:val="right"/>
              <w:rPr>
                <w:rFonts w:ascii="Times New Roman" w:hAnsi="Times New Roman"/>
                <w:color w:val="000000"/>
                <w:sz w:val="20"/>
                <w:szCs w:val="20"/>
                <w:lang w:eastAsia="zh-CN"/>
              </w:rPr>
            </w:pPr>
            <w:r w:rsidRPr="00772706">
              <w:rPr>
                <w:rFonts w:ascii="Times New Roman" w:hAnsi="Times New Roman"/>
                <w:b/>
                <w:bCs/>
                <w:color w:val="000000"/>
                <w:sz w:val="20"/>
                <w:szCs w:val="20"/>
                <w:lang w:eastAsia="zh-CN"/>
              </w:rPr>
              <w:t>600</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772706" w:rsidP="00D91526">
            <w:pPr>
              <w:bidi w:val="0"/>
              <w:spacing w:before="60" w:after="60"/>
              <w:rPr>
                <w:rFonts w:ascii="Times New Roman" w:hAnsi="Times New Roman"/>
                <w:color w:val="000000"/>
                <w:sz w:val="20"/>
                <w:szCs w:val="20"/>
                <w:lang w:eastAsia="zh-CN"/>
              </w:rPr>
            </w:pPr>
            <w:r w:rsidRPr="00772706">
              <w:rPr>
                <w:rFonts w:ascii="Times New Roman" w:hAnsi="Times New Roman"/>
                <w:b/>
                <w:bCs/>
                <w:color w:val="000000"/>
                <w:sz w:val="20"/>
                <w:szCs w:val="20"/>
                <w:lang w:eastAsia="zh-CN"/>
              </w:rPr>
              <w:t>Výdavky celkom</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772706" w:rsidP="00D91526">
            <w:pPr>
              <w:bidi w:val="0"/>
              <w:spacing w:before="60" w:after="60"/>
              <w:jc w:val="right"/>
              <w:rPr>
                <w:rFonts w:ascii="Times New Roman" w:hAnsi="Times New Roman"/>
                <w:b/>
                <w:color w:val="000000"/>
                <w:sz w:val="20"/>
                <w:szCs w:val="20"/>
                <w:lang w:eastAsia="zh-CN"/>
              </w:rPr>
            </w:pPr>
            <w:r>
              <w:rPr>
                <w:rFonts w:ascii="Times New Roman" w:hAnsi="Times New Roman"/>
                <w:b/>
                <w:bCs/>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D91526">
            <w:pPr>
              <w:bidi w:val="0"/>
              <w:spacing w:before="60" w:after="60"/>
              <w:jc w:val="right"/>
              <w:rPr>
                <w:rFonts w:ascii="Times New Roman" w:hAnsi="Times New Roman"/>
                <w:color w:val="000000"/>
                <w:sz w:val="20"/>
                <w:szCs w:val="20"/>
                <w:lang w:eastAsia="zh-CN"/>
              </w:rPr>
            </w:pPr>
            <w:r>
              <w:rPr>
                <w:rFonts w:ascii="Times New Roman" w:hAnsi="Times New Roman"/>
                <w:b/>
                <w:bCs/>
                <w:color w:val="000000"/>
                <w:sz w:val="20"/>
                <w:szCs w:val="20"/>
              </w:rPr>
              <w:t>279 559 804</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D91526">
            <w:pPr>
              <w:bidi w:val="0"/>
              <w:spacing w:before="60" w:after="60"/>
              <w:jc w:val="right"/>
              <w:rPr>
                <w:rFonts w:ascii="Times New Roman" w:hAnsi="Times New Roman"/>
                <w:color w:val="000000"/>
                <w:sz w:val="20"/>
                <w:szCs w:val="20"/>
                <w:lang w:eastAsia="zh-CN"/>
              </w:rPr>
            </w:pPr>
            <w:r>
              <w:rPr>
                <w:rFonts w:ascii="Times New Roman" w:hAnsi="Times New Roman"/>
                <w:b/>
                <w:bCs/>
                <w:color w:val="000000"/>
                <w:sz w:val="20"/>
                <w:szCs w:val="20"/>
              </w:rPr>
              <w:t>289 209 583</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D91526">
            <w:pPr>
              <w:bidi w:val="0"/>
              <w:spacing w:before="60" w:after="60"/>
              <w:jc w:val="right"/>
              <w:rPr>
                <w:rFonts w:ascii="Times New Roman" w:hAnsi="Times New Roman"/>
                <w:color w:val="000000"/>
                <w:sz w:val="20"/>
                <w:szCs w:val="20"/>
                <w:lang w:eastAsia="zh-CN"/>
              </w:rPr>
            </w:pPr>
            <w:r>
              <w:rPr>
                <w:rFonts w:ascii="Times New Roman" w:hAnsi="Times New Roman"/>
                <w:b/>
                <w:bCs/>
                <w:color w:val="000000"/>
                <w:sz w:val="20"/>
                <w:szCs w:val="20"/>
              </w:rPr>
              <w:t>316 589 140</w:t>
            </w:r>
          </w:p>
        </w:tc>
        <w:tc>
          <w:tcPr>
            <w:tcW w:w="1555" w:type="dxa"/>
            <w:vMerge w:val="restart"/>
            <w:tcBorders>
              <w:top w:val="single" w:sz="4" w:space="0" w:color="auto"/>
              <w:left w:val="single" w:sz="4" w:space="0" w:color="auto"/>
              <w:bottom w:val="single" w:sz="4" w:space="0" w:color="auto"/>
              <w:right w:val="single" w:sz="4" w:space="0" w:color="auto"/>
            </w:tcBorders>
            <w:textDirection w:val="lrTb"/>
            <w:vAlign w:val="top"/>
          </w:tcPr>
          <w:p w:rsidR="00BB13C3" w:rsidRPr="00772706" w:rsidP="00D91526">
            <w:pPr>
              <w:bidi w:val="0"/>
              <w:spacing w:before="60" w:after="60"/>
              <w:jc w:val="right"/>
              <w:rPr>
                <w:rFonts w:ascii="Times New Roman" w:hAnsi="Times New Roman"/>
                <w:color w:val="000000"/>
                <w:sz w:val="20"/>
                <w:szCs w:val="20"/>
                <w:lang w:eastAsia="zh-CN"/>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772706" w:rsidP="00D91526">
            <w:pPr>
              <w:bidi w:val="0"/>
              <w:spacing w:before="60" w:after="60"/>
              <w:jc w:val="right"/>
              <w:rPr>
                <w:rFonts w:ascii="Times New Roman" w:hAnsi="Times New Roman"/>
                <w:color w:val="000000"/>
                <w:sz w:val="20"/>
                <w:szCs w:val="20"/>
                <w:lang w:eastAsia="zh-CN"/>
              </w:rPr>
            </w:pPr>
            <w:r w:rsidRPr="00772706">
              <w:rPr>
                <w:rFonts w:ascii="Times New Roman" w:hAnsi="Times New Roman"/>
                <w:b/>
                <w:bCs/>
                <w:color w:val="000000"/>
                <w:sz w:val="20"/>
                <w:szCs w:val="20"/>
                <w:lang w:eastAsia="zh-CN"/>
              </w:rPr>
              <w:t>600</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772706" w:rsidP="00D91526">
            <w:pPr>
              <w:bidi w:val="0"/>
              <w:spacing w:before="60" w:after="60"/>
              <w:rPr>
                <w:rFonts w:ascii="Times New Roman" w:hAnsi="Times New Roman"/>
                <w:color w:val="000000"/>
                <w:sz w:val="20"/>
                <w:szCs w:val="20"/>
                <w:lang w:eastAsia="zh-CN"/>
              </w:rPr>
            </w:pPr>
            <w:r w:rsidRPr="00772706">
              <w:rPr>
                <w:rFonts w:ascii="Times New Roman" w:hAnsi="Times New Roman"/>
                <w:b/>
                <w:bCs/>
                <w:color w:val="000000"/>
                <w:sz w:val="20"/>
                <w:szCs w:val="20"/>
                <w:lang w:eastAsia="zh-CN"/>
              </w:rPr>
              <w:t>Bežné výdavky</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772706" w:rsidP="00D91526">
            <w:pPr>
              <w:bidi w:val="0"/>
              <w:spacing w:before="60" w:after="60"/>
              <w:jc w:val="right"/>
              <w:rPr>
                <w:rFonts w:ascii="Times New Roman" w:hAnsi="Times New Roman"/>
                <w:b/>
                <w:color w:val="000000"/>
                <w:sz w:val="20"/>
                <w:szCs w:val="20"/>
                <w:lang w:eastAsia="zh-CN"/>
              </w:rPr>
            </w:pPr>
            <w:r>
              <w:rPr>
                <w:rFonts w:ascii="Times New Roman" w:hAnsi="Times New Roman"/>
                <w:b/>
                <w:bCs/>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D91526">
            <w:pPr>
              <w:bidi w:val="0"/>
              <w:spacing w:before="60" w:after="60"/>
              <w:jc w:val="right"/>
              <w:rPr>
                <w:rFonts w:ascii="Times New Roman" w:hAnsi="Times New Roman"/>
                <w:color w:val="000000"/>
                <w:sz w:val="20"/>
                <w:szCs w:val="20"/>
                <w:lang w:eastAsia="zh-CN"/>
              </w:rPr>
            </w:pPr>
            <w:r>
              <w:rPr>
                <w:rFonts w:ascii="Times New Roman" w:hAnsi="Times New Roman"/>
                <w:b/>
                <w:bCs/>
                <w:color w:val="000000"/>
                <w:sz w:val="20"/>
                <w:szCs w:val="20"/>
              </w:rPr>
              <w:t>279 559 804</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D91526">
            <w:pPr>
              <w:bidi w:val="0"/>
              <w:spacing w:before="60" w:after="60"/>
              <w:jc w:val="right"/>
              <w:rPr>
                <w:rFonts w:ascii="Times New Roman" w:hAnsi="Times New Roman"/>
                <w:color w:val="000000"/>
                <w:sz w:val="20"/>
                <w:szCs w:val="20"/>
                <w:lang w:eastAsia="zh-CN"/>
              </w:rPr>
            </w:pPr>
            <w:r>
              <w:rPr>
                <w:rFonts w:ascii="Times New Roman" w:hAnsi="Times New Roman"/>
                <w:b/>
                <w:bCs/>
                <w:color w:val="000000"/>
                <w:sz w:val="20"/>
                <w:szCs w:val="20"/>
              </w:rPr>
              <w:t>289 209 583</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D91526">
            <w:pPr>
              <w:bidi w:val="0"/>
              <w:spacing w:before="60" w:after="60"/>
              <w:jc w:val="right"/>
              <w:rPr>
                <w:rFonts w:ascii="Times New Roman" w:hAnsi="Times New Roman"/>
                <w:color w:val="000000"/>
                <w:sz w:val="20"/>
                <w:szCs w:val="20"/>
                <w:lang w:eastAsia="zh-CN"/>
              </w:rPr>
            </w:pPr>
            <w:r>
              <w:rPr>
                <w:rFonts w:ascii="Times New Roman" w:hAnsi="Times New Roman"/>
                <w:b/>
                <w:bCs/>
                <w:color w:val="000000"/>
                <w:sz w:val="20"/>
                <w:szCs w:val="20"/>
              </w:rPr>
              <w:t>316 589 140</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BB13C3" w:rsidRPr="00772706" w:rsidP="00D91526">
            <w:pPr>
              <w:bidi w:val="0"/>
              <w:spacing w:before="60" w:after="60"/>
              <w:jc w:val="right"/>
              <w:rPr>
                <w:rFonts w:ascii="Times New Roman" w:hAnsi="Times New Roman"/>
                <w:color w:val="000000"/>
                <w:sz w:val="20"/>
                <w:szCs w:val="20"/>
                <w:lang w:eastAsia="zh-CN"/>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967E8F" w:rsidRPr="000E136F" w:rsidP="00D91526">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630</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967E8F" w:rsidRPr="000E136F" w:rsidP="00D91526">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Tovary a služby</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967E8F" w:rsidRPr="000E136F" w:rsidP="00D91526">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967E8F" w:rsidRPr="000E136F" w:rsidP="00D91526">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4 800 000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967E8F" w:rsidRPr="000E136F" w:rsidP="00D91526">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967E8F" w:rsidRPr="000E136F" w:rsidP="00D91526">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967E8F" w:rsidRPr="00772706" w:rsidP="00D91526">
            <w:pPr>
              <w:bidi w:val="0"/>
              <w:spacing w:before="60" w:after="60"/>
              <w:jc w:val="right"/>
              <w:rPr>
                <w:rFonts w:ascii="Times New Roman" w:hAnsi="Times New Roman"/>
                <w:color w:val="000000"/>
                <w:sz w:val="20"/>
                <w:szCs w:val="20"/>
                <w:lang w:eastAsia="zh-CN"/>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D91526">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640</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D91526">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Bežné transfery</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D91526">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D91526">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274 759 804</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D91526">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289 209 583</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D91526">
            <w:pPr>
              <w:bidi w:val="0"/>
              <w:spacing w:before="60" w:after="60"/>
              <w:jc w:val="right"/>
              <w:rPr>
                <w:rFonts w:ascii="Times New Roman" w:hAnsi="Times New Roman"/>
                <w:color w:val="000000"/>
                <w:sz w:val="20"/>
                <w:szCs w:val="20"/>
                <w:lang w:eastAsia="zh-CN"/>
              </w:rPr>
            </w:pPr>
            <w:r>
              <w:rPr>
                <w:rFonts w:ascii="Times New Roman" w:hAnsi="Times New Roman"/>
                <w:color w:val="000000"/>
                <w:sz w:val="20"/>
                <w:szCs w:val="20"/>
              </w:rPr>
              <w:t>316 589 140</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BB13C3" w:rsidRPr="00772706" w:rsidP="00D91526">
            <w:pPr>
              <w:bidi w:val="0"/>
              <w:spacing w:before="60" w:after="60"/>
              <w:jc w:val="right"/>
              <w:rPr>
                <w:rFonts w:ascii="Times New Roman" w:hAnsi="Times New Roman"/>
                <w:color w:val="000000"/>
                <w:sz w:val="20"/>
                <w:szCs w:val="20"/>
                <w:lang w:eastAsia="zh-CN"/>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967E8F" w:rsidRPr="000E136F" w:rsidP="00D91526">
            <w:pPr>
              <w:bidi w:val="0"/>
              <w:spacing w:before="60" w:after="60"/>
              <w:jc w:val="right"/>
              <w:rPr>
                <w:rFonts w:ascii="Times New Roman" w:hAnsi="Times New Roman"/>
                <w:b/>
                <w:bCs/>
                <w:color w:val="000000"/>
                <w:sz w:val="20"/>
                <w:szCs w:val="20"/>
                <w:lang w:eastAsia="zh-CN"/>
              </w:rPr>
            </w:pPr>
            <w:r w:rsidRPr="00772706">
              <w:rPr>
                <w:rFonts w:ascii="Times New Roman" w:hAnsi="Times New Roman"/>
                <w:color w:val="000000"/>
                <w:sz w:val="20"/>
                <w:szCs w:val="20"/>
                <w:lang w:eastAsia="zh-CN"/>
              </w:rPr>
              <w:t>641</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967E8F" w:rsidRPr="000E136F" w:rsidP="00D91526">
            <w:pPr>
              <w:bidi w:val="0"/>
              <w:spacing w:before="60" w:after="60"/>
              <w:rPr>
                <w:rFonts w:ascii="Times New Roman" w:hAnsi="Times New Roman"/>
                <w:b/>
                <w:bCs/>
                <w:color w:val="000000"/>
                <w:sz w:val="20"/>
                <w:szCs w:val="20"/>
                <w:lang w:eastAsia="zh-CN"/>
              </w:rPr>
            </w:pPr>
            <w:r w:rsidRPr="00772706">
              <w:rPr>
                <w:rFonts w:ascii="Times New Roman" w:hAnsi="Times New Roman"/>
                <w:color w:val="000000"/>
                <w:sz w:val="20"/>
                <w:szCs w:val="20"/>
                <w:lang w:eastAsia="zh-CN"/>
              </w:rPr>
              <w:t>Transfery v rámci verejnej správy</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967E8F" w:rsidRPr="000E136F" w:rsidP="00D91526">
            <w:pPr>
              <w:bidi w:val="0"/>
              <w:spacing w:before="60" w:after="60"/>
              <w:jc w:val="right"/>
              <w:rPr>
                <w:rFonts w:ascii="Times New Roman" w:hAnsi="Times New Roman"/>
                <w:bCs/>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967E8F" w:rsidRPr="000E136F" w:rsidP="00D91526">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967E8F" w:rsidRPr="000E136F" w:rsidP="00D91526">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967E8F" w:rsidRPr="000E136F" w:rsidP="00D91526">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0</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967E8F" w:rsidRPr="00772706" w:rsidP="00D91526">
            <w:pPr>
              <w:bidi w:val="0"/>
              <w:spacing w:before="60" w:after="60"/>
              <w:jc w:val="right"/>
              <w:rPr>
                <w:rFonts w:ascii="Times New Roman" w:hAnsi="Times New Roman"/>
                <w:b/>
                <w:bCs/>
                <w:color w:val="000000"/>
                <w:sz w:val="20"/>
                <w:szCs w:val="20"/>
                <w:lang w:eastAsia="zh-CN"/>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D91526">
            <w:pPr>
              <w:bidi w:val="0"/>
              <w:spacing w:before="60" w:after="60"/>
              <w:jc w:val="right"/>
              <w:rPr>
                <w:rFonts w:ascii="Times New Roman" w:hAnsi="Times New Roman"/>
                <w:b/>
                <w:bCs/>
                <w:color w:val="000000"/>
                <w:sz w:val="20"/>
                <w:szCs w:val="20"/>
                <w:lang w:eastAsia="zh-CN"/>
              </w:rPr>
            </w:pPr>
            <w:r w:rsidRPr="00772706">
              <w:rPr>
                <w:rFonts w:ascii="Times New Roman" w:hAnsi="Times New Roman"/>
                <w:color w:val="000000"/>
                <w:sz w:val="20"/>
                <w:szCs w:val="20"/>
                <w:lang w:eastAsia="zh-CN"/>
              </w:rPr>
              <w:t>642</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D91526">
            <w:pPr>
              <w:bidi w:val="0"/>
              <w:spacing w:before="60" w:after="60"/>
              <w:rPr>
                <w:rFonts w:ascii="Times New Roman" w:hAnsi="Times New Roman"/>
                <w:b/>
                <w:bCs/>
                <w:color w:val="000000"/>
                <w:sz w:val="20"/>
                <w:szCs w:val="20"/>
                <w:lang w:eastAsia="zh-CN"/>
              </w:rPr>
            </w:pPr>
            <w:r w:rsidRPr="00772706">
              <w:rPr>
                <w:rFonts w:ascii="Times New Roman" w:hAnsi="Times New Roman"/>
                <w:color w:val="000000"/>
                <w:sz w:val="20"/>
                <w:szCs w:val="20"/>
                <w:lang w:eastAsia="zh-CN"/>
              </w:rPr>
              <w:t>Transfery jednotlivcom a neziskovým PO</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D91526">
            <w:pPr>
              <w:bidi w:val="0"/>
              <w:spacing w:before="60" w:after="60"/>
              <w:jc w:val="right"/>
              <w:rPr>
                <w:rFonts w:ascii="Times New Roman" w:hAnsi="Times New Roman"/>
                <w:bCs/>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D91526">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274 759 804</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D91526">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289 209 583</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D91526">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316 589 140</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BB13C3" w:rsidRPr="00772706" w:rsidP="00D91526">
            <w:pPr>
              <w:bidi w:val="0"/>
              <w:spacing w:before="60" w:after="60"/>
              <w:jc w:val="right"/>
              <w:rPr>
                <w:rFonts w:ascii="Times New Roman" w:hAnsi="Times New Roman"/>
                <w:b/>
                <w:bCs/>
                <w:color w:val="000000"/>
                <w:sz w:val="20"/>
                <w:szCs w:val="20"/>
                <w:lang w:eastAsia="zh-CN"/>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D91526">
            <w:pPr>
              <w:bidi w:val="0"/>
              <w:spacing w:before="60" w:after="60"/>
              <w:jc w:val="right"/>
              <w:rPr>
                <w:rFonts w:ascii="Times New Roman" w:hAnsi="Times New Roman"/>
                <w:b/>
                <w:bCs/>
                <w:color w:val="000000"/>
                <w:sz w:val="20"/>
                <w:szCs w:val="20"/>
                <w:lang w:eastAsia="zh-CN"/>
              </w:rPr>
            </w:pPr>
            <w:r w:rsidRPr="00772706">
              <w:rPr>
                <w:rFonts w:ascii="Times New Roman" w:hAnsi="Times New Roman"/>
                <w:color w:val="000000"/>
                <w:sz w:val="20"/>
                <w:szCs w:val="20"/>
                <w:lang w:eastAsia="zh-CN"/>
              </w:rPr>
              <w:t>642031</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D91526">
            <w:pPr>
              <w:bidi w:val="0"/>
              <w:spacing w:before="60" w:after="60"/>
              <w:rPr>
                <w:rFonts w:ascii="Times New Roman" w:hAnsi="Times New Roman"/>
                <w:b/>
                <w:bCs/>
                <w:color w:val="000000"/>
                <w:spacing w:val="-2"/>
                <w:sz w:val="20"/>
                <w:szCs w:val="20"/>
                <w:lang w:eastAsia="zh-CN"/>
              </w:rPr>
            </w:pPr>
            <w:r w:rsidRPr="00772706">
              <w:rPr>
                <w:rFonts w:ascii="Times New Roman" w:hAnsi="Times New Roman"/>
                <w:color w:val="000000"/>
                <w:sz w:val="20"/>
                <w:szCs w:val="20"/>
                <w:lang w:eastAsia="zh-CN"/>
              </w:rPr>
              <w:t xml:space="preserve">    - štát (poistné platené štátom)</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D91526">
            <w:pPr>
              <w:bidi w:val="0"/>
              <w:spacing w:before="60" w:after="60"/>
              <w:jc w:val="right"/>
              <w:rPr>
                <w:rFonts w:ascii="Times New Roman" w:hAnsi="Times New Roman"/>
                <w:bCs/>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D91526">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274 759 804</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D91526">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289 209 583</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BB13C3" w:rsidRPr="000E136F" w:rsidP="00D91526">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316 589 140</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BB13C3" w:rsidRPr="00772706" w:rsidP="00D91526">
            <w:pPr>
              <w:bidi w:val="0"/>
              <w:spacing w:before="60" w:after="60"/>
              <w:jc w:val="right"/>
              <w:rPr>
                <w:rFonts w:ascii="Times New Roman" w:hAnsi="Times New Roman"/>
                <w:b/>
                <w:bCs/>
                <w:color w:val="000000"/>
                <w:sz w:val="20"/>
                <w:szCs w:val="20"/>
                <w:lang w:eastAsia="zh-CN"/>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1310D" w:rsidRPr="00772706" w:rsidP="00D91526">
            <w:pPr>
              <w:bidi w:val="0"/>
              <w:spacing w:before="60" w:after="60"/>
              <w:jc w:val="right"/>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800</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1310D" w:rsidRPr="00772706" w:rsidP="00D91526">
            <w:pPr>
              <w:bidi w:val="0"/>
              <w:spacing w:before="60" w:after="60"/>
              <w:rPr>
                <w:rFonts w:ascii="Times New Roman" w:hAnsi="Times New Roman"/>
                <w:b/>
                <w:bCs/>
                <w:color w:val="000000"/>
                <w:sz w:val="20"/>
                <w:szCs w:val="20"/>
                <w:lang w:eastAsia="zh-CN"/>
              </w:rPr>
            </w:pPr>
            <w:r w:rsidRPr="00772706">
              <w:rPr>
                <w:rFonts w:ascii="Times New Roman" w:hAnsi="Times New Roman"/>
                <w:b/>
                <w:bCs/>
                <w:color w:val="000000"/>
                <w:sz w:val="20"/>
                <w:szCs w:val="20"/>
                <w:lang w:eastAsia="zh-CN"/>
              </w:rPr>
              <w:t>Výdavky z trans. s fin. aktívami a pasívami</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1310D" w:rsidRPr="000E136F" w:rsidP="00D91526">
            <w:pPr>
              <w:bidi w:val="0"/>
              <w:spacing w:before="60" w:after="60"/>
              <w:jc w:val="right"/>
              <w:rPr>
                <w:rFonts w:ascii="Times New Roman" w:hAnsi="Times New Roman"/>
                <w:bCs/>
                <w:color w:val="000000"/>
                <w:sz w:val="20"/>
                <w:szCs w:val="20"/>
                <w:lang w:eastAsia="zh-CN"/>
              </w:rPr>
            </w:pPr>
            <w:r>
              <w:rPr>
                <w:rFonts w:ascii="Times New Roman" w:hAnsi="Times New Roman"/>
                <w:b/>
                <w:bCs/>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1310D" w:rsidRPr="000E136F" w:rsidP="00D91526">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1310D" w:rsidRPr="000E136F" w:rsidP="00D91526">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31310D" w:rsidRPr="000E136F" w:rsidP="00D91526">
            <w:pPr>
              <w:bidi w:val="0"/>
              <w:spacing w:before="60" w:after="60"/>
              <w:jc w:val="right"/>
              <w:rPr>
                <w:rFonts w:ascii="Times New Roman" w:hAnsi="Times New Roman"/>
                <w:b/>
                <w:bCs/>
                <w:color w:val="000000"/>
                <w:sz w:val="20"/>
                <w:szCs w:val="20"/>
                <w:lang w:eastAsia="zh-CN"/>
              </w:rPr>
            </w:pPr>
            <w:r>
              <w:rPr>
                <w:rFonts w:ascii="Times New Roman" w:hAnsi="Times New Roman"/>
                <w:b/>
                <w:bCs/>
                <w:color w:val="000000"/>
                <w:sz w:val="20"/>
                <w:szCs w:val="20"/>
              </w:rPr>
              <w:t>0</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31310D" w:rsidRPr="00772706" w:rsidP="00D91526">
            <w:pPr>
              <w:bidi w:val="0"/>
              <w:spacing w:before="60" w:after="60"/>
              <w:jc w:val="right"/>
              <w:rPr>
                <w:rFonts w:ascii="Times New Roman" w:hAnsi="Times New Roman"/>
                <w:b/>
                <w:bCs/>
                <w:color w:val="000000"/>
                <w:sz w:val="20"/>
                <w:szCs w:val="20"/>
                <w:lang w:eastAsia="zh-CN"/>
              </w:rPr>
            </w:pPr>
          </w:p>
        </w:tc>
      </w:tr>
      <w:tr>
        <w:tblPrEx>
          <w:tblW w:w="131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1268"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31310D" w:rsidRPr="000E136F" w:rsidP="00D91526">
            <w:pPr>
              <w:bidi w:val="0"/>
              <w:spacing w:before="60" w:after="60"/>
              <w:jc w:val="right"/>
              <w:rPr>
                <w:rFonts w:ascii="Times New Roman" w:hAnsi="Times New Roman"/>
                <w:color w:val="000000"/>
                <w:sz w:val="20"/>
                <w:szCs w:val="20"/>
                <w:lang w:eastAsia="zh-CN"/>
              </w:rPr>
            </w:pPr>
            <w:r w:rsidRPr="00772706">
              <w:rPr>
                <w:rFonts w:ascii="Times New Roman" w:hAnsi="Times New Roman"/>
                <w:color w:val="000000"/>
                <w:sz w:val="20"/>
                <w:szCs w:val="20"/>
                <w:lang w:eastAsia="zh-CN"/>
              </w:rPr>
              <w:t>813</w:t>
            </w:r>
          </w:p>
        </w:tc>
        <w:tc>
          <w:tcPr>
            <w:tcW w:w="4110"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31310D" w:rsidRPr="000E136F" w:rsidP="00D91526">
            <w:pPr>
              <w:bidi w:val="0"/>
              <w:spacing w:before="60" w:after="60"/>
              <w:rPr>
                <w:rFonts w:ascii="Times New Roman" w:hAnsi="Times New Roman"/>
                <w:color w:val="000000"/>
                <w:sz w:val="20"/>
                <w:szCs w:val="20"/>
                <w:lang w:eastAsia="zh-CN"/>
              </w:rPr>
            </w:pPr>
            <w:r w:rsidRPr="00772706">
              <w:rPr>
                <w:rFonts w:ascii="Times New Roman" w:hAnsi="Times New Roman"/>
                <w:color w:val="000000"/>
                <w:sz w:val="20"/>
                <w:szCs w:val="20"/>
                <w:lang w:eastAsia="zh-CN"/>
              </w:rPr>
              <w:t>Úv</w:t>
            </w:r>
            <w:r>
              <w:rPr>
                <w:rFonts w:ascii="Times New Roman" w:hAnsi="Times New Roman"/>
                <w:color w:val="000000"/>
                <w:sz w:val="20"/>
                <w:szCs w:val="20"/>
                <w:lang w:eastAsia="zh-CN"/>
              </w:rPr>
              <w:t>ery, pôžičky a návratné fin.</w:t>
            </w:r>
            <w:r w:rsidRPr="00772706">
              <w:rPr>
                <w:rFonts w:ascii="Times New Roman" w:hAnsi="Times New Roman"/>
                <w:color w:val="000000"/>
                <w:sz w:val="20"/>
                <w:szCs w:val="20"/>
                <w:lang w:eastAsia="zh-CN"/>
              </w:rPr>
              <w:t xml:space="preserve"> výpomoci (z GP)</w:t>
            </w:r>
          </w:p>
        </w:tc>
        <w:tc>
          <w:tcPr>
            <w:tcW w:w="1572"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31310D" w:rsidRPr="000E136F" w:rsidP="00D91526">
            <w:pPr>
              <w:bidi w:val="0"/>
              <w:spacing w:before="60" w:after="60"/>
              <w:jc w:val="right"/>
              <w:rPr>
                <w:rFonts w:ascii="Times New Roman" w:hAnsi="Times New Roman"/>
                <w:bCs/>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31310D" w:rsidRPr="000E136F" w:rsidP="00D91526">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0</w:t>
            </w:r>
          </w:p>
        </w:tc>
        <w:tc>
          <w:tcPr>
            <w:tcW w:w="1560"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31310D" w:rsidRPr="000E136F" w:rsidP="00D91526">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0</w:t>
            </w:r>
          </w:p>
        </w:tc>
        <w:tc>
          <w:tcPr>
            <w:tcW w:w="1559"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31310D" w:rsidRPr="000E136F" w:rsidP="00D91526">
            <w:pPr>
              <w:bidi w:val="0"/>
              <w:spacing w:before="60" w:after="60"/>
              <w:jc w:val="right"/>
              <w:rPr>
                <w:rFonts w:ascii="Times New Roman" w:hAnsi="Times New Roman"/>
                <w:b/>
                <w:bCs/>
                <w:color w:val="000000"/>
                <w:sz w:val="20"/>
                <w:szCs w:val="20"/>
                <w:lang w:eastAsia="zh-CN"/>
              </w:rPr>
            </w:pPr>
            <w:r>
              <w:rPr>
                <w:rFonts w:ascii="Times New Roman" w:hAnsi="Times New Roman"/>
                <w:color w:val="000000"/>
                <w:sz w:val="20"/>
                <w:szCs w:val="20"/>
              </w:rPr>
              <w:t>0</w:t>
            </w:r>
          </w:p>
        </w:tc>
        <w:tc>
          <w:tcPr>
            <w:tcW w:w="1555" w:type="dxa"/>
            <w:vMerge/>
            <w:tcBorders>
              <w:top w:val="single" w:sz="4" w:space="0" w:color="auto"/>
              <w:left w:val="single" w:sz="4" w:space="0" w:color="auto"/>
              <w:bottom w:val="single" w:sz="4" w:space="0" w:color="auto"/>
              <w:right w:val="single" w:sz="4" w:space="0" w:color="auto"/>
            </w:tcBorders>
            <w:textDirection w:val="lrTb"/>
            <w:vAlign w:val="top"/>
          </w:tcPr>
          <w:p w:rsidR="0031310D" w:rsidRPr="00772706" w:rsidP="00D91526">
            <w:pPr>
              <w:bidi w:val="0"/>
              <w:spacing w:before="60" w:after="60"/>
              <w:jc w:val="right"/>
              <w:rPr>
                <w:rFonts w:ascii="Times New Roman" w:hAnsi="Times New Roman"/>
                <w:b/>
                <w:bCs/>
                <w:color w:val="000000"/>
                <w:sz w:val="20"/>
                <w:szCs w:val="20"/>
                <w:lang w:eastAsia="zh-CN"/>
              </w:rPr>
            </w:pPr>
          </w:p>
        </w:tc>
      </w:tr>
    </w:tbl>
    <w:p w:rsidR="00F477F1" w:rsidP="00E62E7A">
      <w:pPr>
        <w:bidi w:val="0"/>
        <w:jc w:val="both"/>
        <w:rPr>
          <w:rFonts w:ascii="Times New Roman" w:hAnsi="Times New Roman"/>
          <w:szCs w:val="22"/>
        </w:rPr>
      </w:pPr>
    </w:p>
    <w:p w:rsidR="00F477F1" w:rsidP="00E62E7A">
      <w:pPr>
        <w:bidi w:val="0"/>
        <w:jc w:val="both"/>
        <w:rPr>
          <w:rFonts w:ascii="Times New Roman" w:hAnsi="Times New Roman"/>
          <w:szCs w:val="22"/>
        </w:rPr>
      </w:pPr>
    </w:p>
    <w:p w:rsidR="006644CD" w:rsidP="00E62E7A">
      <w:pPr>
        <w:bidi w:val="0"/>
        <w:jc w:val="both"/>
        <w:rPr>
          <w:rFonts w:ascii="Times New Roman" w:hAnsi="Times New Roman"/>
          <w:szCs w:val="22"/>
        </w:rPr>
      </w:pPr>
    </w:p>
    <w:p w:rsidR="006644CD" w:rsidP="00E62E7A">
      <w:pPr>
        <w:bidi w:val="0"/>
        <w:jc w:val="both"/>
        <w:rPr>
          <w:rFonts w:ascii="Times New Roman" w:hAnsi="Times New Roman"/>
          <w:szCs w:val="22"/>
        </w:rPr>
      </w:pPr>
    </w:p>
    <w:p w:rsidR="006644CD" w:rsidP="00E62E7A">
      <w:pPr>
        <w:bidi w:val="0"/>
        <w:jc w:val="both"/>
        <w:rPr>
          <w:rFonts w:ascii="Times New Roman" w:hAnsi="Times New Roman"/>
          <w:szCs w:val="22"/>
        </w:rPr>
      </w:pPr>
    </w:p>
    <w:p w:rsidR="006644CD" w:rsidP="00E62E7A">
      <w:pPr>
        <w:bidi w:val="0"/>
        <w:jc w:val="both"/>
        <w:rPr>
          <w:rFonts w:ascii="Times New Roman" w:hAnsi="Times New Roman"/>
          <w:szCs w:val="22"/>
        </w:rPr>
      </w:pPr>
    </w:p>
    <w:p w:rsidR="006644CD" w:rsidP="00E62E7A">
      <w:pPr>
        <w:bidi w:val="0"/>
        <w:jc w:val="both"/>
        <w:rPr>
          <w:rFonts w:ascii="Times New Roman" w:hAnsi="Times New Roman"/>
          <w:szCs w:val="22"/>
        </w:rPr>
      </w:pPr>
    </w:p>
    <w:p w:rsidR="006644CD" w:rsidP="00E62E7A">
      <w:pPr>
        <w:bidi w:val="0"/>
        <w:jc w:val="both"/>
        <w:rPr>
          <w:rFonts w:ascii="Times New Roman" w:hAnsi="Times New Roman"/>
          <w:szCs w:val="22"/>
        </w:rPr>
      </w:pPr>
    </w:p>
    <w:p w:rsidR="006644CD" w:rsidP="00E62E7A">
      <w:pPr>
        <w:bidi w:val="0"/>
        <w:jc w:val="both"/>
        <w:rPr>
          <w:rFonts w:ascii="Times New Roman" w:hAnsi="Times New Roman"/>
          <w:szCs w:val="22"/>
        </w:rPr>
      </w:pPr>
    </w:p>
    <w:p w:rsidR="006644CD" w:rsidP="00E62E7A">
      <w:pPr>
        <w:bidi w:val="0"/>
        <w:jc w:val="both"/>
        <w:rPr>
          <w:rFonts w:ascii="Times New Roman" w:hAnsi="Times New Roman"/>
          <w:szCs w:val="22"/>
        </w:rPr>
      </w:pPr>
    </w:p>
    <w:p w:rsidR="006644CD" w:rsidP="00E62E7A">
      <w:pPr>
        <w:bidi w:val="0"/>
        <w:jc w:val="both"/>
        <w:rPr>
          <w:rFonts w:ascii="Times New Roman" w:hAnsi="Times New Roman"/>
          <w:szCs w:val="22"/>
        </w:rPr>
      </w:pPr>
    </w:p>
    <w:p w:rsidR="006644CD" w:rsidP="00E62E7A">
      <w:pPr>
        <w:bidi w:val="0"/>
        <w:jc w:val="both"/>
        <w:rPr>
          <w:rFonts w:ascii="Times New Roman" w:hAnsi="Times New Roman"/>
          <w:szCs w:val="22"/>
        </w:rPr>
      </w:pPr>
    </w:p>
    <w:p w:rsidR="006644CD" w:rsidP="00E62E7A">
      <w:pPr>
        <w:bidi w:val="0"/>
        <w:jc w:val="both"/>
        <w:rPr>
          <w:rFonts w:ascii="Times New Roman" w:hAnsi="Times New Roman"/>
          <w:szCs w:val="22"/>
        </w:rPr>
      </w:pPr>
    </w:p>
    <w:p w:rsidR="006644CD" w:rsidP="00E62E7A">
      <w:pPr>
        <w:bidi w:val="0"/>
        <w:jc w:val="both"/>
        <w:rPr>
          <w:rFonts w:ascii="Times New Roman" w:hAnsi="Times New Roman"/>
          <w:szCs w:val="22"/>
        </w:rPr>
      </w:pPr>
    </w:p>
    <w:p w:rsidR="006644CD" w:rsidP="00E62E7A">
      <w:pPr>
        <w:bidi w:val="0"/>
        <w:jc w:val="both"/>
        <w:rPr>
          <w:rFonts w:ascii="Times New Roman" w:hAnsi="Times New Roman"/>
          <w:szCs w:val="22"/>
        </w:rPr>
      </w:pPr>
    </w:p>
    <w:p w:rsidR="00F477F1" w:rsidP="00E62E7A">
      <w:pPr>
        <w:bidi w:val="0"/>
        <w:jc w:val="both"/>
        <w:rPr>
          <w:rFonts w:ascii="Times New Roman" w:hAnsi="Times New Roman"/>
          <w:szCs w:val="22"/>
        </w:rPr>
      </w:pPr>
    </w:p>
    <w:p w:rsidR="00F477F1" w:rsidP="00E62E7A">
      <w:pPr>
        <w:bidi w:val="0"/>
        <w:jc w:val="both"/>
        <w:rPr>
          <w:rFonts w:ascii="Times New Roman" w:hAnsi="Times New Roman"/>
          <w:szCs w:val="22"/>
        </w:rPr>
        <w:sectPr w:rsidSect="001C0A63">
          <w:pgSz w:w="16838" w:h="11906" w:orient="landscape"/>
          <w:pgMar w:top="1417" w:right="1276" w:bottom="1417" w:left="1560" w:header="708" w:footer="708" w:gutter="0"/>
          <w:lnNumType w:distance="0"/>
          <w:pgNumType w:start="0"/>
          <w:cols w:space="708"/>
          <w:noEndnote w:val="0"/>
          <w:titlePg/>
          <w:bidi w:val="0"/>
          <w:docGrid w:linePitch="360"/>
        </w:sectPr>
      </w:pPr>
    </w:p>
    <w:p w:rsidR="00A22617" w:rsidRPr="00F67DB7" w:rsidP="00777C47">
      <w:pPr>
        <w:bidi w:val="0"/>
        <w:jc w:val="center"/>
        <w:rPr>
          <w:rFonts w:ascii="Times New Roman" w:hAnsi="Times New Roman"/>
          <w:b/>
          <w:bCs/>
          <w:sz w:val="28"/>
          <w:szCs w:val="28"/>
        </w:rPr>
      </w:pPr>
      <w:r w:rsidRPr="00F67DB7">
        <w:rPr>
          <w:rFonts w:ascii="Times New Roman" w:hAnsi="Times New Roman"/>
          <w:b/>
          <w:bCs/>
          <w:sz w:val="28"/>
          <w:szCs w:val="28"/>
        </w:rPr>
        <w:t>Vplyvy na podnikateľské prostredie</w:t>
      </w:r>
    </w:p>
    <w:p w:rsidR="00A22617" w:rsidRPr="007058A4" w:rsidP="00777C47">
      <w:pPr>
        <w:bidi w:val="0"/>
        <w:rPr>
          <w:rFonts w:ascii="Times New Roman" w:hAnsi="Times New Roman"/>
          <w:b/>
          <w:bCs/>
          <w:color w:val="0070C0"/>
        </w:rPr>
      </w:pPr>
    </w:p>
    <w:p w:rsidR="00A22617" w:rsidRPr="007058A4" w:rsidP="00777C47">
      <w:pPr>
        <w:bidi w:val="0"/>
        <w:rPr>
          <w:rFonts w:ascii="Times New Roman" w:hAnsi="Times New Roman"/>
          <w:b/>
          <w:bCs/>
          <w:color w:val="0070C0"/>
        </w:rPr>
      </w:pPr>
    </w:p>
    <w:tbl>
      <w:tblPr>
        <w:tblStyle w:val="TableNormal"/>
        <w:tblW w:w="9195" w:type="dxa"/>
        <w:tblInd w:w="55" w:type="dxa"/>
        <w:tblCellMar>
          <w:left w:w="70" w:type="dxa"/>
          <w:right w:w="70" w:type="dxa"/>
        </w:tblCellMar>
      </w:tblPr>
      <w:tblGrid>
        <w:gridCol w:w="4155"/>
        <w:gridCol w:w="5040"/>
      </w:tblGrid>
      <w:tr>
        <w:tblPrEx>
          <w:tblW w:w="9195" w:type="dxa"/>
          <w:tblInd w:w="55" w:type="dxa"/>
          <w:tblCellMar>
            <w:left w:w="70" w:type="dxa"/>
            <w:right w:w="70" w:type="dxa"/>
          </w:tblCellMar>
        </w:tblPrEx>
        <w:trPr>
          <w:trHeight w:val="600"/>
          <w:tblHeader/>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A22617" w:rsidRPr="004F7F00" w:rsidP="00F966F0">
            <w:pPr>
              <w:bidi w:val="0"/>
              <w:spacing w:before="60" w:after="60"/>
              <w:ind w:right="101"/>
              <w:jc w:val="center"/>
              <w:rPr>
                <w:rFonts w:ascii="Times New Roman" w:hAnsi="Times New Roman"/>
                <w:b/>
                <w:bCs/>
              </w:rPr>
            </w:pPr>
            <w:r w:rsidRPr="004F7F00">
              <w:rPr>
                <w:rFonts w:ascii="Times New Roman" w:hAnsi="Times New Roman"/>
                <w:b/>
                <w:bCs/>
              </w:rPr>
              <w:t>Vplyvy na podnikateľské prostredie</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A22617" w:rsidRPr="004F7F00" w:rsidP="00D868D9">
            <w:pPr>
              <w:tabs>
                <w:tab w:val="left" w:pos="87"/>
              </w:tabs>
              <w:bidi w:val="0"/>
              <w:spacing w:before="120" w:after="120"/>
              <w:ind w:left="87" w:right="102"/>
              <w:rPr>
                <w:rFonts w:ascii="Times New Roman" w:hAnsi="Times New Roman"/>
              </w:rPr>
            </w:pPr>
            <w:r w:rsidRPr="00D868D9">
              <w:rPr>
                <w:rFonts w:ascii="Times New Roman" w:hAnsi="Times New Roman"/>
                <w:b/>
              </w:rPr>
              <w:t>3.1.</w:t>
            </w:r>
            <w:r w:rsidRPr="004F7F00">
              <w:rPr>
                <w:rFonts w:ascii="Times New Roman" w:hAnsi="Times New Roman"/>
              </w:rPr>
              <w:t xml:space="preserve"> Ktoré podnikateľské subjekty budú predkladaným návrhom ovplyvnené a aký je ich počet?</w:t>
            </w:r>
          </w:p>
        </w:tc>
        <w:tc>
          <w:tcPr>
            <w:tcW w:w="5040" w:type="dxa"/>
            <w:tcBorders>
              <w:top w:val="nil"/>
              <w:left w:val="nil"/>
              <w:bottom w:val="single" w:sz="4" w:space="0" w:color="auto"/>
              <w:right w:val="single" w:sz="8" w:space="0" w:color="auto"/>
            </w:tcBorders>
            <w:noWrap/>
            <w:textDirection w:val="lrTb"/>
            <w:vAlign w:val="center"/>
          </w:tcPr>
          <w:p w:rsidR="00A22617" w:rsidRPr="004F7F00" w:rsidP="00F966F0">
            <w:pPr>
              <w:bidi w:val="0"/>
              <w:spacing w:before="60" w:after="60"/>
              <w:ind w:right="101"/>
              <w:jc w:val="both"/>
              <w:rPr>
                <w:rFonts w:ascii="Times New Roman" w:hAnsi="Times New Roman"/>
              </w:rPr>
            </w:pPr>
            <w:r w:rsidRPr="004F7F00">
              <w:rPr>
                <w:rFonts w:ascii="Times New Roman" w:hAnsi="Times New Roman"/>
              </w:rPr>
              <w:t>Všetky podnikateľské subjekty, vrátane fyzických osôb – podnikateľov, ktoré podnikajú bez zamestnancov.</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A22617" w:rsidRPr="004F7F00" w:rsidP="00D868D9">
            <w:pPr>
              <w:tabs>
                <w:tab w:val="left" w:pos="87"/>
              </w:tabs>
              <w:bidi w:val="0"/>
              <w:spacing w:before="120" w:after="120"/>
              <w:ind w:left="87" w:right="102"/>
              <w:rPr>
                <w:rFonts w:ascii="Times New Roman" w:hAnsi="Times New Roman"/>
              </w:rPr>
            </w:pPr>
          </w:p>
          <w:p w:rsidR="00A22617" w:rsidRPr="004F7F00" w:rsidP="00D868D9">
            <w:pPr>
              <w:tabs>
                <w:tab w:val="left" w:pos="87"/>
              </w:tabs>
              <w:bidi w:val="0"/>
              <w:spacing w:before="120" w:after="120"/>
              <w:ind w:left="87" w:right="102"/>
              <w:rPr>
                <w:rFonts w:ascii="Times New Roman" w:hAnsi="Times New Roman"/>
              </w:rPr>
            </w:pPr>
            <w:r w:rsidRPr="00D868D9">
              <w:rPr>
                <w:rFonts w:ascii="Times New Roman" w:hAnsi="Times New Roman"/>
                <w:b/>
              </w:rPr>
              <w:t>3.2.</w:t>
            </w:r>
            <w:r w:rsidRPr="004F7F00">
              <w:rPr>
                <w:rFonts w:ascii="Times New Roman" w:hAnsi="Times New Roman"/>
              </w:rPr>
              <w:t xml:space="preserve"> Aký je predpokladaný charakter a rozsah nákladov a prínosov?</w:t>
            </w:r>
          </w:p>
          <w:p w:rsidR="00A22617" w:rsidRPr="004F7F00" w:rsidP="00D868D9">
            <w:pPr>
              <w:tabs>
                <w:tab w:val="left" w:pos="87"/>
              </w:tabs>
              <w:bidi w:val="0"/>
              <w:spacing w:before="120" w:after="120"/>
              <w:ind w:left="87" w:right="102"/>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A22617" w:rsidP="00F966F0">
            <w:pPr>
              <w:bidi w:val="0"/>
              <w:spacing w:before="60" w:after="60"/>
              <w:ind w:right="101"/>
              <w:jc w:val="both"/>
              <w:rPr>
                <w:rFonts w:ascii="Times New Roman" w:hAnsi="Times New Roman"/>
              </w:rPr>
            </w:pPr>
            <w:r w:rsidRPr="0080380F">
              <w:rPr>
                <w:rFonts w:ascii="Times New Roman" w:hAnsi="Times New Roman"/>
                <w:b/>
              </w:rPr>
              <w:t>Náklady</w:t>
            </w:r>
            <w:r w:rsidRPr="004F7F00">
              <w:rPr>
                <w:rFonts w:ascii="Times New Roman" w:hAnsi="Times New Roman"/>
              </w:rPr>
              <w:t xml:space="preserve"> – jednorazové náklady na úpravu informačných systémov v oblasti účtovníctva a daní, v oblasti personálnej agendy</w:t>
            </w:r>
            <w:r>
              <w:rPr>
                <w:rFonts w:ascii="Times New Roman" w:hAnsi="Times New Roman"/>
              </w:rPr>
              <w:t xml:space="preserve"> a miezd</w:t>
            </w:r>
            <w:r w:rsidRPr="004F7F00">
              <w:rPr>
                <w:rFonts w:ascii="Times New Roman" w:hAnsi="Times New Roman"/>
              </w:rPr>
              <w:t>, ako aj jednorazové náklady súvisiace s potrebou vykonania zmien z dôvodu zvýš</w:t>
            </w:r>
            <w:r>
              <w:rPr>
                <w:rFonts w:ascii="Times New Roman" w:hAnsi="Times New Roman"/>
              </w:rPr>
              <w:t>enia hrubých miezd zamestnancov.</w:t>
            </w:r>
          </w:p>
          <w:p w:rsidR="00A22617" w:rsidRPr="004F7F00" w:rsidP="00F966F0">
            <w:pPr>
              <w:bidi w:val="0"/>
              <w:spacing w:before="60" w:after="60"/>
              <w:ind w:right="101"/>
              <w:jc w:val="both"/>
              <w:rPr>
                <w:rFonts w:ascii="Times New Roman" w:hAnsi="Times New Roman"/>
              </w:rPr>
            </w:pPr>
          </w:p>
          <w:p w:rsidR="00A22617" w:rsidRPr="00B8297C" w:rsidP="00F966F0">
            <w:pPr>
              <w:bidi w:val="0"/>
              <w:spacing w:before="60" w:after="60"/>
              <w:ind w:right="101"/>
              <w:jc w:val="both"/>
              <w:rPr>
                <w:rFonts w:ascii="Times New Roman" w:hAnsi="Times New Roman"/>
                <w:bCs/>
              </w:rPr>
            </w:pPr>
            <w:r w:rsidRPr="00B8297C">
              <w:rPr>
                <w:rFonts w:ascii="Times New Roman" w:hAnsi="Times New Roman"/>
              </w:rPr>
              <w:t>SZČO – podnikatelia: pre pribl</w:t>
            </w:r>
            <w:r w:rsidRPr="00B8297C">
              <w:rPr>
                <w:rFonts w:ascii="Times New Roman" w:hAnsi="Times New Roman"/>
                <w:szCs w:val="22"/>
              </w:rPr>
              <w:t xml:space="preserve">ižne 180 400 osôb v dôsledku harmonizácie vymeriavacích základov sa zníži disponibilný príjem v dôsledku </w:t>
            </w:r>
            <w:r w:rsidRPr="00B8297C">
              <w:rPr>
                <w:rFonts w:ascii="Times New Roman" w:hAnsi="Times New Roman"/>
                <w:b/>
                <w:szCs w:val="22"/>
              </w:rPr>
              <w:t>čiastočného odstránenia</w:t>
            </w:r>
            <w:r w:rsidRPr="00B8297C">
              <w:rPr>
                <w:rFonts w:ascii="Times New Roman" w:hAnsi="Times New Roman"/>
                <w:b/>
                <w:bCs/>
                <w:szCs w:val="22"/>
              </w:rPr>
              <w:t xml:space="preserve"> neodôvodnenej exkluzivity v zdaňovaní </w:t>
            </w:r>
            <w:r w:rsidRPr="00B8297C">
              <w:rPr>
                <w:rFonts w:ascii="Times New Roman" w:hAnsi="Times New Roman"/>
                <w:bCs/>
                <w:szCs w:val="22"/>
              </w:rPr>
              <w:t>(komplexné posúdenie spolu s ostatnými zmenami v daňovo-odvodovom systéme);</w:t>
            </w:r>
          </w:p>
          <w:p w:rsidR="00A22617" w:rsidP="00F966F0">
            <w:pPr>
              <w:bidi w:val="0"/>
              <w:spacing w:before="60" w:after="60"/>
              <w:ind w:right="101"/>
              <w:jc w:val="both"/>
              <w:rPr>
                <w:rFonts w:ascii="Times New Roman" w:hAnsi="Times New Roman"/>
                <w:bCs/>
              </w:rPr>
            </w:pPr>
            <w:r w:rsidRPr="00B8297C">
              <w:rPr>
                <w:rFonts w:ascii="Times New Roman" w:hAnsi="Times New Roman"/>
              </w:rPr>
              <w:t xml:space="preserve">SZČO – podnikatelia: pre približne  116 600 osôb s ročným ziskom z podnikania pred zdanením a </w:t>
            </w:r>
            <w:r w:rsidR="00E62E7A">
              <w:rPr>
                <w:rFonts w:ascii="Times New Roman" w:hAnsi="Times New Roman"/>
              </w:rPr>
              <w:t>poistným</w:t>
            </w:r>
            <w:r w:rsidRPr="00B8297C">
              <w:rPr>
                <w:rFonts w:ascii="Times New Roman" w:hAnsi="Times New Roman"/>
              </w:rPr>
              <w:t xml:space="preserve"> do výšky približne 4 823 eur sa čistý disponibilný príjem </w:t>
            </w:r>
            <w:r w:rsidRPr="00B8297C">
              <w:rPr>
                <w:rFonts w:ascii="Times New Roman" w:hAnsi="Times New Roman"/>
                <w:b/>
                <w:szCs w:val="22"/>
              </w:rPr>
              <w:t xml:space="preserve">zvýši </w:t>
            </w:r>
            <w:r w:rsidRPr="00B8297C">
              <w:rPr>
                <w:rFonts w:ascii="Times New Roman" w:hAnsi="Times New Roman"/>
                <w:b/>
                <w:bCs/>
                <w:szCs w:val="22"/>
              </w:rPr>
              <w:t>v priemere o 96,2</w:t>
            </w:r>
            <w:r w:rsidR="009D6984">
              <w:rPr>
                <w:rFonts w:ascii="Times New Roman" w:hAnsi="Times New Roman"/>
                <w:b/>
                <w:bCs/>
                <w:szCs w:val="22"/>
              </w:rPr>
              <w:t xml:space="preserve"> </w:t>
            </w:r>
            <w:r w:rsidRPr="00B8297C">
              <w:rPr>
                <w:rFonts w:ascii="Times New Roman" w:hAnsi="Times New Roman"/>
                <w:b/>
                <w:bCs/>
                <w:szCs w:val="22"/>
              </w:rPr>
              <w:t xml:space="preserve">% </w:t>
            </w:r>
            <w:r w:rsidRPr="00B8297C">
              <w:rPr>
                <w:rFonts w:ascii="Times New Roman" w:hAnsi="Times New Roman"/>
                <w:bCs/>
                <w:szCs w:val="22"/>
              </w:rPr>
              <w:t>(komplexné posúdenie spolu s ostatnými zmenami v daňovo-odvodovom systéme)</w:t>
            </w:r>
            <w:r w:rsidRPr="00B8297C">
              <w:rPr>
                <w:rFonts w:ascii="Times New Roman" w:hAnsi="Times New Roman"/>
                <w:bCs/>
              </w:rPr>
              <w:t>.</w:t>
            </w:r>
          </w:p>
          <w:p w:rsidR="00A22617" w:rsidP="00F966F0">
            <w:pPr>
              <w:bidi w:val="0"/>
              <w:spacing w:before="60" w:after="60"/>
              <w:ind w:right="101"/>
              <w:jc w:val="both"/>
              <w:rPr>
                <w:rFonts w:ascii="Times New Roman" w:hAnsi="Times New Roman"/>
                <w:bCs/>
              </w:rPr>
            </w:pPr>
          </w:p>
          <w:p w:rsidR="00A22617" w:rsidP="000935BB">
            <w:pPr>
              <w:bidi w:val="0"/>
              <w:spacing w:before="60" w:after="60"/>
              <w:ind w:right="101"/>
              <w:jc w:val="both"/>
              <w:rPr>
                <w:rFonts w:ascii="Times New Roman" w:hAnsi="Times New Roman"/>
              </w:rPr>
            </w:pPr>
            <w:r>
              <w:rPr>
                <w:rFonts w:ascii="Times New Roman" w:hAnsi="Times New Roman"/>
              </w:rPr>
              <w:t xml:space="preserve">Pre vysoko príjmové skupiny – pre 108 000 osôb nárast poistného na verejné zdravotné poistenie z 3752 eur ročne na sumu </w:t>
            </w:r>
            <w:r w:rsidRPr="000E2DC0">
              <w:rPr>
                <w:rFonts w:ascii="Times New Roman" w:hAnsi="Times New Roman"/>
              </w:rPr>
              <w:t>4 246,77</w:t>
            </w:r>
            <w:r>
              <w:rPr>
                <w:rFonts w:ascii="Times New Roman" w:hAnsi="Times New Roman"/>
              </w:rPr>
              <w:t xml:space="preserve"> eur ročne.</w:t>
            </w:r>
          </w:p>
          <w:p w:rsidR="00A22617" w:rsidP="000935BB">
            <w:pPr>
              <w:bidi w:val="0"/>
              <w:spacing w:before="60" w:after="60"/>
              <w:ind w:right="101"/>
              <w:jc w:val="both"/>
              <w:rPr>
                <w:rFonts w:ascii="Times New Roman" w:hAnsi="Times New Roman"/>
              </w:rPr>
            </w:pPr>
            <w:r>
              <w:rPr>
                <w:rFonts w:ascii="Times New Roman" w:hAnsi="Times New Roman"/>
              </w:rPr>
              <w:t xml:space="preserve">Pre </w:t>
            </w:r>
            <w:r w:rsidR="00E129AB">
              <w:rPr>
                <w:rFonts w:ascii="Times New Roman" w:hAnsi="Times New Roman"/>
              </w:rPr>
              <w:t>SZČO</w:t>
            </w:r>
            <w:r>
              <w:rPr>
                <w:rFonts w:ascii="Times New Roman" w:hAnsi="Times New Roman"/>
              </w:rPr>
              <w:t xml:space="preserve"> – pre 300 000 nárast poistného na verejné zdravotné poistenie o cca 17 eur mesačne resp. 204 eur ročne.</w:t>
            </w:r>
          </w:p>
          <w:p w:rsidR="00A22617" w:rsidP="00F966F0">
            <w:pPr>
              <w:bidi w:val="0"/>
              <w:spacing w:before="60" w:after="60"/>
              <w:ind w:right="101"/>
              <w:jc w:val="both"/>
              <w:rPr>
                <w:rFonts w:ascii="Times New Roman" w:hAnsi="Times New Roman"/>
                <w:bCs/>
              </w:rPr>
            </w:pPr>
          </w:p>
          <w:p w:rsidR="00A22617" w:rsidRPr="000935BB" w:rsidP="00E03BC8">
            <w:pPr>
              <w:bidi w:val="0"/>
              <w:spacing w:before="60" w:after="60"/>
              <w:ind w:right="101"/>
              <w:jc w:val="both"/>
              <w:rPr>
                <w:rFonts w:ascii="Times New Roman" w:hAnsi="Times New Roman"/>
                <w:bCs/>
              </w:rPr>
            </w:pPr>
            <w:r w:rsidR="00A0164B">
              <w:rPr>
                <w:rFonts w:ascii="Times New Roman" w:hAnsi="Times New Roman"/>
                <w:b/>
              </w:rPr>
              <w:t>Pozitívny vplyv</w:t>
            </w:r>
            <w:r w:rsidRPr="004F7F00">
              <w:rPr>
                <w:rFonts w:ascii="Times New Roman" w:hAnsi="Times New Roman"/>
              </w:rPr>
              <w:t xml:space="preserve"> – zníženie administratívnych nákladov, zjednodušenie administrácie povinností spo</w:t>
            </w:r>
            <w:r w:rsidR="00A0164B">
              <w:rPr>
                <w:rFonts w:ascii="Times New Roman" w:hAnsi="Times New Roman"/>
              </w:rPr>
              <w:t>jených s vykazovaním a platbami</w:t>
            </w:r>
            <w:r w:rsidRPr="004F7F00">
              <w:rPr>
                <w:rFonts w:ascii="Times New Roman" w:hAnsi="Times New Roman"/>
              </w:rPr>
              <w:t xml:space="preserve"> poistného. </w:t>
            </w:r>
            <w:r>
              <w:rPr>
                <w:rFonts w:ascii="Times New Roman" w:hAnsi="Times New Roman"/>
              </w:rPr>
              <w:t>Pozitívny dlhodobý vplyv</w:t>
            </w:r>
            <w:r w:rsidRPr="00D166B5">
              <w:rPr>
                <w:rFonts w:ascii="Times New Roman" w:hAnsi="Times New Roman"/>
              </w:rPr>
              <w:t xml:space="preserve"> </w:t>
            </w:r>
            <w:r w:rsidRPr="00D166B5">
              <w:rPr>
                <w:rFonts w:ascii="Times New Roman" w:hAnsi="Times New Roman"/>
                <w:bCs/>
              </w:rPr>
              <w:t>s</w:t>
            </w:r>
            <w:r>
              <w:rPr>
                <w:rFonts w:ascii="Times New Roman" w:hAnsi="Times New Roman"/>
              </w:rPr>
              <w:t>úvisiaci</w:t>
            </w:r>
            <w:r w:rsidRPr="00D166B5">
              <w:rPr>
                <w:rFonts w:ascii="Times New Roman" w:hAnsi="Times New Roman"/>
              </w:rPr>
              <w:t xml:space="preserve"> najmä s formálnym zjednodušením systému</w:t>
            </w:r>
            <w:r>
              <w:rPr>
                <w:rFonts w:ascii="Times New Roman" w:hAnsi="Times New Roman"/>
              </w:rPr>
              <w:t>. Pozitívny vplyv z dôvodu zníženia administratívnej agendy (počtu dokumentov, času potrebného na spracovanie agendy týkajúcej sa poistného na verejné zdravotné poistenie a poistného na sociálne poistenie</w:t>
            </w:r>
            <w:r w:rsidR="00A0164B">
              <w:rPr>
                <w:rFonts w:ascii="Times New Roman" w:hAnsi="Times New Roman"/>
              </w:rPr>
              <w:t>)</w:t>
            </w:r>
            <w:r>
              <w:rPr>
                <w:rFonts w:ascii="Times New Roman" w:hAnsi="Times New Roman"/>
              </w:rPr>
              <w:t>, a tým aj vplyv na zjednodušenie podnikania a j</w:t>
            </w:r>
            <w:r w:rsidR="00A0164B">
              <w:rPr>
                <w:rFonts w:ascii="Times New Roman" w:hAnsi="Times New Roman"/>
              </w:rPr>
              <w:t>eden z impulzov pre jeho rozvoj).</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A22617" w:rsidRPr="004F7F00" w:rsidP="00D868D9">
            <w:pPr>
              <w:tabs>
                <w:tab w:val="left" w:pos="87"/>
              </w:tabs>
              <w:bidi w:val="0"/>
              <w:spacing w:before="120" w:after="120"/>
              <w:ind w:left="87" w:right="102"/>
              <w:rPr>
                <w:rFonts w:ascii="Times New Roman" w:hAnsi="Times New Roman"/>
              </w:rPr>
            </w:pPr>
          </w:p>
          <w:p w:rsidR="00A22617" w:rsidRPr="004F7F00" w:rsidP="00D868D9">
            <w:pPr>
              <w:tabs>
                <w:tab w:val="left" w:pos="87"/>
              </w:tabs>
              <w:bidi w:val="0"/>
              <w:spacing w:before="120" w:after="120"/>
              <w:ind w:left="87" w:right="102"/>
              <w:rPr>
                <w:rFonts w:ascii="Times New Roman" w:hAnsi="Times New Roman"/>
              </w:rPr>
            </w:pPr>
            <w:r w:rsidRPr="00D868D9">
              <w:rPr>
                <w:rFonts w:ascii="Times New Roman" w:hAnsi="Times New Roman"/>
                <w:b/>
              </w:rPr>
              <w:t>3.3.</w:t>
            </w:r>
            <w:r w:rsidRPr="004F7F00">
              <w:rPr>
                <w:rFonts w:ascii="Times New Roman" w:hAnsi="Times New Roman"/>
              </w:rPr>
              <w:t> Aká je predpokladaná výška administratívnych nákladov, ktoré podniky vynaložia v súvislosti s implementáciou návrhu?</w:t>
            </w:r>
          </w:p>
          <w:p w:rsidR="00A22617" w:rsidRPr="004F7F00" w:rsidP="00D868D9">
            <w:pPr>
              <w:tabs>
                <w:tab w:val="left" w:pos="87"/>
              </w:tabs>
              <w:bidi w:val="0"/>
              <w:spacing w:before="120" w:after="120"/>
              <w:ind w:left="87" w:right="102"/>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A22617" w:rsidP="00F966F0">
            <w:pPr>
              <w:bidi w:val="0"/>
              <w:spacing w:before="60" w:after="60"/>
              <w:ind w:right="101"/>
              <w:jc w:val="both"/>
              <w:rPr>
                <w:rFonts w:ascii="Times New Roman" w:hAnsi="Times New Roman"/>
              </w:rPr>
            </w:pPr>
            <w:r w:rsidRPr="004F7F00">
              <w:rPr>
                <w:rFonts w:ascii="Times New Roman" w:hAnsi="Times New Roman"/>
              </w:rPr>
              <w:t>V dôsledku všetkých navrhovaných zmien dôjde všeobecne k zníženiu administratívnych nákladov</w:t>
            </w:r>
            <w:r>
              <w:rPr>
                <w:rFonts w:ascii="Times New Roman" w:hAnsi="Times New Roman"/>
              </w:rPr>
              <w:t xml:space="preserve"> v nasledujúcich obdobiach</w:t>
            </w:r>
            <w:r w:rsidRPr="004F7F00">
              <w:rPr>
                <w:rFonts w:ascii="Times New Roman" w:hAnsi="Times New Roman"/>
              </w:rPr>
              <w:t>.</w:t>
            </w:r>
          </w:p>
          <w:p w:rsidR="00A22617" w:rsidP="00F966F0">
            <w:pPr>
              <w:bidi w:val="0"/>
              <w:spacing w:before="60" w:after="60"/>
              <w:ind w:right="101"/>
              <w:jc w:val="both"/>
              <w:rPr>
                <w:rFonts w:ascii="Times New Roman" w:hAnsi="Times New Roman"/>
              </w:rPr>
            </w:pPr>
            <w:r>
              <w:rPr>
                <w:rFonts w:ascii="Times New Roman" w:hAnsi="Times New Roman"/>
              </w:rPr>
              <w:t>Z dôvodu prepočtu hrubých miezd zamestnancov o</w:t>
            </w:r>
            <w:r w:rsidRPr="003A631A">
              <w:rPr>
                <w:rFonts w:ascii="Times New Roman" w:hAnsi="Times New Roman"/>
              </w:rPr>
              <w:t>dhad</w:t>
            </w:r>
            <w:r>
              <w:rPr>
                <w:rFonts w:ascii="Times New Roman" w:hAnsi="Times New Roman"/>
              </w:rPr>
              <w:t xml:space="preserve"> výšky administratívnych nákladov na jedného zamestnanca je 0,94 € (odhadovaná časová náročnosť jedného úkonu je 15 minút; priemerná hodinová mzda pracovníka je </w:t>
            </w:r>
            <w:r w:rsidRPr="009F2F4F">
              <w:rPr>
                <w:rFonts w:ascii="Times New Roman" w:hAnsi="Times New Roman"/>
              </w:rPr>
              <w:t>3,59</w:t>
            </w:r>
            <w:r>
              <w:rPr>
                <w:rFonts w:ascii="Times New Roman" w:hAnsi="Times New Roman"/>
              </w:rPr>
              <w:t xml:space="preserve"> €, čo </w:t>
            </w:r>
            <w:r w:rsidRPr="0089781B">
              <w:rPr>
                <w:rFonts w:ascii="Times New Roman" w:hAnsi="Times New Roman"/>
              </w:rPr>
              <w:t>zodpovedá</w:t>
            </w:r>
            <w:r>
              <w:rPr>
                <w:rFonts w:ascii="Times New Roman" w:hAnsi="Times New Roman"/>
              </w:rPr>
              <w:t xml:space="preserve"> mediánu priemernej hodinovej mzdy nižších administratívnych zamestnancov – KZAM 4, v roku 2010. Náklady na materiál na jedného zamestnanca sú odhadované vo výške 0,04 €. S použitím  štandardného nákladového modelu SCM získame náklady na jedného zamestnanca </w:t>
            </w:r>
            <w:r w:rsidRPr="009F2F4F">
              <w:rPr>
                <w:rFonts w:ascii="Times New Roman" w:hAnsi="Times New Roman"/>
              </w:rPr>
              <w:t>0,</w:t>
            </w:r>
            <w:r>
              <w:rPr>
                <w:rFonts w:ascii="Times New Roman" w:hAnsi="Times New Roman"/>
              </w:rPr>
              <w:t xml:space="preserve">94 €), t.j. pre podnikateľa: </w:t>
            </w:r>
          </w:p>
          <w:p w:rsidR="00A22617" w:rsidP="00F966F0">
            <w:pPr>
              <w:bidi w:val="0"/>
              <w:spacing w:before="60" w:after="60"/>
              <w:ind w:right="101"/>
              <w:rPr>
                <w:rFonts w:ascii="Times New Roman" w:hAnsi="Times New Roman"/>
              </w:rPr>
            </w:pPr>
            <w:r>
              <w:rPr>
                <w:rFonts w:ascii="Times New Roman" w:hAnsi="Times New Roman"/>
              </w:rPr>
              <w:t>s 1-9 zamestnancami sú náklady 0,94 € - 8,46 €</w:t>
            </w:r>
          </w:p>
          <w:p w:rsidR="00A22617" w:rsidP="00F966F0">
            <w:pPr>
              <w:bidi w:val="0"/>
              <w:spacing w:before="60" w:after="60"/>
              <w:ind w:right="101"/>
              <w:rPr>
                <w:rFonts w:ascii="Times New Roman" w:hAnsi="Times New Roman"/>
              </w:rPr>
            </w:pPr>
            <w:r>
              <w:rPr>
                <w:rFonts w:ascii="Times New Roman" w:hAnsi="Times New Roman"/>
              </w:rPr>
              <w:t>s 10-49 zamestnancami sú náklady 9,4 € - 46,06 €</w:t>
            </w:r>
          </w:p>
          <w:p w:rsidR="00A22617" w:rsidP="00F966F0">
            <w:pPr>
              <w:bidi w:val="0"/>
              <w:spacing w:before="60" w:after="60"/>
              <w:ind w:right="101"/>
              <w:rPr>
                <w:rFonts w:ascii="Times New Roman" w:hAnsi="Times New Roman"/>
              </w:rPr>
            </w:pPr>
            <w:r>
              <w:rPr>
                <w:rFonts w:ascii="Times New Roman" w:hAnsi="Times New Roman"/>
              </w:rPr>
              <w:t>s 50-249 zamestnancami sú náklady 47 € - 234,06 €</w:t>
            </w:r>
          </w:p>
          <w:p w:rsidR="00A22617" w:rsidP="00F966F0">
            <w:pPr>
              <w:bidi w:val="0"/>
              <w:spacing w:before="60" w:after="60"/>
              <w:ind w:right="101"/>
              <w:rPr>
                <w:rFonts w:ascii="Times New Roman" w:hAnsi="Times New Roman"/>
              </w:rPr>
            </w:pPr>
            <w:r>
              <w:rPr>
                <w:rFonts w:ascii="Times New Roman" w:hAnsi="Times New Roman"/>
              </w:rPr>
              <w:t>s 250-499 zamestnancami sú náklady 235 € - 469,06 €</w:t>
            </w:r>
          </w:p>
          <w:p w:rsidR="00A22617" w:rsidP="00F966F0">
            <w:pPr>
              <w:bidi w:val="0"/>
              <w:spacing w:before="60" w:after="60"/>
              <w:ind w:right="101"/>
              <w:rPr>
                <w:rFonts w:ascii="Times New Roman" w:hAnsi="Times New Roman"/>
              </w:rPr>
            </w:pPr>
            <w:r>
              <w:rPr>
                <w:rFonts w:ascii="Times New Roman" w:hAnsi="Times New Roman"/>
              </w:rPr>
              <w:t>s 500-999 zamestnancami sú náklady470 € - 939,06 €</w:t>
            </w:r>
          </w:p>
          <w:p w:rsidR="00A22617" w:rsidP="00F966F0">
            <w:pPr>
              <w:bidi w:val="0"/>
              <w:spacing w:before="60" w:after="60"/>
              <w:ind w:right="101"/>
              <w:rPr>
                <w:rFonts w:ascii="Times New Roman" w:hAnsi="Times New Roman"/>
              </w:rPr>
            </w:pPr>
            <w:r>
              <w:rPr>
                <w:rFonts w:ascii="Times New Roman" w:hAnsi="Times New Roman"/>
              </w:rPr>
              <w:t>s viac než 1000 zamestnancami viac než 940 €.</w:t>
            </w:r>
          </w:p>
          <w:p w:rsidR="00A22617" w:rsidP="00F966F0">
            <w:pPr>
              <w:bidi w:val="0"/>
              <w:spacing w:before="60" w:after="60"/>
              <w:ind w:right="101"/>
              <w:jc w:val="both"/>
              <w:rPr>
                <w:rFonts w:ascii="Times New Roman" w:hAnsi="Times New Roman"/>
              </w:rPr>
            </w:pPr>
            <w:r>
              <w:rPr>
                <w:rFonts w:ascii="Times New Roman" w:hAnsi="Times New Roman"/>
              </w:rPr>
              <w:t>Z dôvodu vykonania zmien k dátumu účinnosti právnych predpisov dôjde k jednorazovým nákladom na úpravy informačných systémov.</w:t>
            </w:r>
          </w:p>
          <w:p w:rsidR="00A22617" w:rsidRPr="004F7F00" w:rsidP="00E03BC8">
            <w:pPr>
              <w:bidi w:val="0"/>
              <w:spacing w:before="60" w:after="60"/>
              <w:ind w:right="101"/>
              <w:jc w:val="both"/>
              <w:rPr>
                <w:rFonts w:ascii="Times New Roman" w:hAnsi="Times New Roman"/>
              </w:rPr>
            </w:pPr>
            <w:r>
              <w:rPr>
                <w:rFonts w:ascii="Times New Roman" w:hAnsi="Times New Roman"/>
              </w:rPr>
              <w:t>Dotknutým subjektom</w:t>
            </w:r>
            <w:r w:rsidRPr="001649F0">
              <w:rPr>
                <w:rFonts w:ascii="Times New Roman" w:hAnsi="Times New Roman"/>
              </w:rPr>
              <w:t xml:space="preserve"> vzrastú administratívne náklady spojené s oznamovacími povinnosťami voči zdravotným poisťovniam a úpravou mzdového informačného systému. Tieto náklady však prevyšujú súčasné administratívne náklady na bežného zamestnanca a predstavujú nový typ úkonov. </w:t>
            </w:r>
            <w:r>
              <w:rPr>
                <w:rFonts w:ascii="Times New Roman" w:hAnsi="Times New Roman"/>
              </w:rPr>
              <w:t>Pre zamestnávateľov je to náklad o         1 000 eur vyšší v závislosti od zmlúv uzavretých so spoločnosťami so mzdovými softvérmi. Pre zdra</w:t>
            </w:r>
            <w:r w:rsidR="00A0164B">
              <w:rPr>
                <w:rFonts w:ascii="Times New Roman" w:hAnsi="Times New Roman"/>
              </w:rPr>
              <w:t>votné poisťovne – 4 800 000 eur a pre Sociálnu poisťovňu – 4 000 000 eur.</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A22617" w:rsidRPr="004F7F00" w:rsidP="00D868D9">
            <w:pPr>
              <w:tabs>
                <w:tab w:val="left" w:pos="87"/>
              </w:tabs>
              <w:bidi w:val="0"/>
              <w:spacing w:before="120" w:after="120"/>
              <w:ind w:left="87" w:right="102"/>
              <w:rPr>
                <w:rFonts w:ascii="Times New Roman" w:hAnsi="Times New Roman"/>
              </w:rPr>
            </w:pPr>
            <w:r w:rsidRPr="00D868D9">
              <w:rPr>
                <w:rFonts w:ascii="Times New Roman" w:hAnsi="Times New Roman"/>
                <w:b/>
              </w:rPr>
              <w:t>3.4.</w:t>
            </w:r>
            <w:r w:rsidRPr="004F7F00">
              <w:rPr>
                <w:rFonts w:ascii="Times New Roman" w:hAnsi="Times New Roman"/>
              </w:rPr>
              <w:t> Aké sú dôsledky pripravovaného návrhu pre fungovanie podnikateľských subjektov na slovenskom trhu (ako sa zmenia operácie na trhu)</w:t>
            </w:r>
            <w:r>
              <w:rPr>
                <w:rFonts w:ascii="Times New Roman" w:hAnsi="Times New Roman"/>
              </w:rPr>
              <w:t xml:space="preserve"> </w:t>
            </w:r>
            <w:r w:rsidRPr="004F7F00">
              <w:rPr>
                <w:rFonts w:ascii="Times New Roman" w:hAnsi="Times New Roman"/>
              </w:rPr>
              <w:t>?</w:t>
            </w:r>
          </w:p>
        </w:tc>
        <w:tc>
          <w:tcPr>
            <w:tcW w:w="5040" w:type="dxa"/>
            <w:tcBorders>
              <w:top w:val="nil"/>
              <w:left w:val="nil"/>
              <w:bottom w:val="single" w:sz="4" w:space="0" w:color="auto"/>
              <w:right w:val="single" w:sz="8" w:space="0" w:color="auto"/>
            </w:tcBorders>
            <w:noWrap/>
            <w:textDirection w:val="lrTb"/>
            <w:vAlign w:val="center"/>
          </w:tcPr>
          <w:p w:rsidR="00A22617" w:rsidP="00F966F0">
            <w:pPr>
              <w:bidi w:val="0"/>
              <w:spacing w:before="60" w:after="60"/>
              <w:ind w:right="101"/>
              <w:jc w:val="both"/>
              <w:rPr>
                <w:rFonts w:ascii="Times New Roman" w:hAnsi="Times New Roman"/>
              </w:rPr>
            </w:pPr>
            <w:r w:rsidR="003E52B1">
              <w:rPr>
                <w:rFonts w:ascii="Times New Roman" w:hAnsi="Times New Roman"/>
              </w:rPr>
              <w:t xml:space="preserve">Predpokladáme pozitívne vplyvy, ktoré sa v praxi podnikateľského sektora prejavia spočiatku zvýšením administratívno-technických nákladov a až následne v efekte ich zjednodušenia a tým </w:t>
            </w:r>
            <w:r w:rsidR="009D6984">
              <w:rPr>
                <w:rFonts w:ascii="Times New Roman" w:hAnsi="Times New Roman"/>
              </w:rPr>
              <w:t xml:space="preserve">aj </w:t>
            </w:r>
            <w:r w:rsidR="003E52B1">
              <w:rPr>
                <w:rFonts w:ascii="Times New Roman" w:hAnsi="Times New Roman"/>
              </w:rPr>
              <w:t>ich zníženia. Efekt rozvoja podnikateľských aktivít možno očakávať u subjektov mikropodnikov a malých podnikov, pokiaľ bola mzdová agenda súčasťou ekonomických aktivít podnikateľa. V prípade stredných a veľkých podnikov mzdovú agendu vykonávajú ňou poverení zamestnanci, čiže môže dôjsť k postupnému zjednodušeniu ich pracovného výkonu.</w:t>
            </w:r>
          </w:p>
          <w:p w:rsidR="00A22617" w:rsidRPr="004F7F00" w:rsidP="00E03BC8">
            <w:pPr>
              <w:bidi w:val="0"/>
              <w:spacing w:before="60" w:after="60"/>
              <w:ind w:right="101"/>
              <w:jc w:val="both"/>
              <w:rPr>
                <w:rFonts w:ascii="Times New Roman" w:hAnsi="Times New Roman"/>
              </w:rPr>
            </w:pPr>
            <w:r>
              <w:rPr>
                <w:rFonts w:ascii="Times New Roman" w:hAnsi="Times New Roman"/>
              </w:rPr>
              <w:t xml:space="preserve">Z hľadiska zmien v oblasti </w:t>
            </w:r>
            <w:r w:rsidR="009D6984">
              <w:rPr>
                <w:rFonts w:ascii="Times New Roman" w:hAnsi="Times New Roman"/>
              </w:rPr>
              <w:t xml:space="preserve">verejného </w:t>
            </w:r>
            <w:r>
              <w:rPr>
                <w:rFonts w:ascii="Times New Roman" w:hAnsi="Times New Roman"/>
              </w:rPr>
              <w:t>zdravotného poistenia môže dôjsť k zvýšeniu uzatvárania zmlúv – dohôd vykonávaných mimo pracovného pomeru.</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A22617" w:rsidRPr="004F7F00" w:rsidP="00D868D9">
            <w:pPr>
              <w:tabs>
                <w:tab w:val="left" w:pos="87"/>
              </w:tabs>
              <w:bidi w:val="0"/>
              <w:spacing w:before="120" w:after="120"/>
              <w:ind w:left="87" w:right="102"/>
              <w:rPr>
                <w:rFonts w:ascii="Times New Roman" w:hAnsi="Times New Roman"/>
              </w:rPr>
            </w:pPr>
          </w:p>
          <w:p w:rsidR="00A22617" w:rsidRPr="004F7F00" w:rsidP="00D868D9">
            <w:pPr>
              <w:tabs>
                <w:tab w:val="left" w:pos="87"/>
              </w:tabs>
              <w:bidi w:val="0"/>
              <w:spacing w:before="120" w:after="120"/>
              <w:ind w:left="87" w:right="102"/>
              <w:rPr>
                <w:rFonts w:ascii="Times New Roman" w:hAnsi="Times New Roman"/>
              </w:rPr>
            </w:pPr>
            <w:r w:rsidRPr="00D868D9">
              <w:rPr>
                <w:rFonts w:ascii="Times New Roman" w:hAnsi="Times New Roman"/>
                <w:b/>
              </w:rPr>
              <w:t>3.5.</w:t>
            </w:r>
            <w:r w:rsidRPr="004F7F00">
              <w:rPr>
                <w:rFonts w:ascii="Times New Roman" w:hAnsi="Times New Roman"/>
              </w:rPr>
              <w:t> Aké sú predpokladané spoločensko</w:t>
            </w:r>
            <w:r w:rsidR="006F6AE3">
              <w:rPr>
                <w:rFonts w:ascii="Times New Roman" w:hAnsi="Times New Roman"/>
              </w:rPr>
              <w:t>-</w:t>
            </w:r>
            <w:r w:rsidRPr="004F7F00">
              <w:rPr>
                <w:rFonts w:ascii="Times New Roman" w:hAnsi="Times New Roman"/>
              </w:rPr>
              <w:t>ekonomické dôsledky pripravovaných regulácií?</w:t>
            </w:r>
          </w:p>
          <w:p w:rsidR="00A22617" w:rsidRPr="004F7F00" w:rsidP="00D868D9">
            <w:pPr>
              <w:tabs>
                <w:tab w:val="left" w:pos="87"/>
              </w:tabs>
              <w:bidi w:val="0"/>
              <w:spacing w:before="120" w:after="120"/>
              <w:ind w:left="87" w:right="102"/>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A22617" w:rsidRPr="004F7F00" w:rsidP="001064DD">
            <w:pPr>
              <w:bidi w:val="0"/>
              <w:spacing w:before="60" w:after="60"/>
              <w:ind w:right="101"/>
              <w:jc w:val="both"/>
              <w:rPr>
                <w:rFonts w:ascii="Times New Roman" w:hAnsi="Times New Roman"/>
              </w:rPr>
            </w:pPr>
            <w:r w:rsidRPr="004F7F00">
              <w:rPr>
                <w:rFonts w:ascii="Times New Roman" w:hAnsi="Times New Roman"/>
              </w:rPr>
              <w:t>Pozitívne –</w:t>
            </w:r>
            <w:r w:rsidR="001064DD">
              <w:rPr>
                <w:rFonts w:ascii="Times New Roman" w:hAnsi="Times New Roman"/>
              </w:rPr>
              <w:t xml:space="preserve"> potenciálny </w:t>
            </w:r>
            <w:r w:rsidRPr="004F7F00">
              <w:rPr>
                <w:rFonts w:ascii="Times New Roman" w:hAnsi="Times New Roman"/>
              </w:rPr>
              <w:t>rast zamestnanosti, ktorý vyplýva z jednoduchšieho a atraktívnejšieho daňovo-odvodového systému a menšej administratívnej náročnosti na splnenie povinností občanov a podnikateľov, ktoré im ukladajú zákony. Zároveň dôjde k zníženiu administratívnych nákladov a administratívneho zaťaženia podnikateľských subjektov.</w:t>
            </w:r>
            <w:r w:rsidR="009D6984">
              <w:rPr>
                <w:rFonts w:ascii="Times New Roman" w:hAnsi="Times New Roman"/>
              </w:rPr>
              <w:t xml:space="preserve"> </w:t>
            </w:r>
            <w:r>
              <w:rPr>
                <w:rFonts w:ascii="Times New Roman" w:hAnsi="Times New Roman"/>
              </w:rPr>
              <w:t xml:space="preserve"> </w:t>
            </w:r>
            <w:r w:rsidRPr="001649F0">
              <w:rPr>
                <w:rFonts w:ascii="Times New Roman" w:hAnsi="Times New Roman"/>
              </w:rPr>
              <w:t>Nepredpokladá sa, že</w:t>
            </w:r>
            <w:r>
              <w:rPr>
                <w:rFonts w:ascii="Times New Roman" w:hAnsi="Times New Roman"/>
              </w:rPr>
              <w:t xml:space="preserve"> </w:t>
            </w:r>
            <w:r w:rsidRPr="001649F0">
              <w:rPr>
                <w:rFonts w:ascii="Times New Roman" w:hAnsi="Times New Roman"/>
              </w:rPr>
              <w:t xml:space="preserve">by prijaté opatrenia v oblasti </w:t>
            </w:r>
            <w:r>
              <w:rPr>
                <w:rFonts w:ascii="Times New Roman" w:hAnsi="Times New Roman"/>
              </w:rPr>
              <w:t>poistného</w:t>
            </w:r>
            <w:r w:rsidRPr="001649F0">
              <w:rPr>
                <w:rFonts w:ascii="Times New Roman" w:hAnsi="Times New Roman"/>
              </w:rPr>
              <w:t xml:space="preserve"> mali vplyv na rast celkových nákladov práce zamestnávateľov.</w:t>
            </w:r>
          </w:p>
        </w:tc>
      </w:tr>
    </w:tbl>
    <w:p w:rsidR="00A22617" w:rsidP="00F67DB7">
      <w:pPr>
        <w:bidi w:val="0"/>
        <w:jc w:val="center"/>
        <w:rPr>
          <w:rFonts w:ascii="Times New Roman" w:hAnsi="Times New Roman"/>
          <w:b/>
          <w:sz w:val="28"/>
          <w:szCs w:val="28"/>
        </w:rPr>
      </w:pPr>
    </w:p>
    <w:p w:rsidR="00A22617" w:rsidRPr="00F67DB7" w:rsidP="00F67DB7">
      <w:pPr>
        <w:bidi w:val="0"/>
        <w:jc w:val="center"/>
        <w:rPr>
          <w:rFonts w:ascii="Times New Roman" w:hAnsi="Times New Roman"/>
          <w:b/>
          <w:sz w:val="28"/>
          <w:szCs w:val="28"/>
        </w:rPr>
      </w:pPr>
      <w:r>
        <w:rPr>
          <w:rFonts w:ascii="Times New Roman" w:hAnsi="Times New Roman"/>
          <w:b/>
          <w:sz w:val="28"/>
          <w:szCs w:val="28"/>
        </w:rPr>
        <w:br w:type="page"/>
      </w:r>
      <w:r w:rsidRPr="00F67DB7">
        <w:rPr>
          <w:rFonts w:ascii="Times New Roman" w:hAnsi="Times New Roman"/>
          <w:b/>
          <w:sz w:val="28"/>
          <w:szCs w:val="28"/>
        </w:rPr>
        <w:t>Sociálne vplyvy -  vplyvy na hospodárenie obyvateľstva, sociálnu exklúziu, rovnosť príležitostí a rodovú rovnosť  a na zamestnanosť</w:t>
      </w:r>
    </w:p>
    <w:p w:rsidR="00A22617" w:rsidRPr="00AA65B1" w:rsidP="00777C47">
      <w:pPr>
        <w:bidi w:val="0"/>
        <w:rPr>
          <w:rFonts w:ascii="Times New Roman" w:hAnsi="Times New Roman"/>
          <w:b/>
          <w:bCs/>
          <w:color w:val="0070C0"/>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452"/>
        <w:gridCol w:w="422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857"/>
          <w:tblHeader/>
          <w:jc w:val="center"/>
        </w:trPr>
        <w:tc>
          <w:tcPr>
            <w:tcW w:w="8672" w:type="dxa"/>
            <w:gridSpan w:val="2"/>
            <w:tcBorders>
              <w:top w:val="single" w:sz="4" w:space="0" w:color="auto"/>
              <w:left w:val="single" w:sz="4" w:space="0" w:color="auto"/>
              <w:bottom w:val="single" w:sz="4" w:space="0" w:color="auto"/>
              <w:right w:val="single" w:sz="4" w:space="0" w:color="auto"/>
            </w:tcBorders>
            <w:shd w:val="solid" w:color="auto" w:fill="auto"/>
            <w:textDirection w:val="lrTb"/>
            <w:vAlign w:val="top"/>
          </w:tcPr>
          <w:p w:rsidR="00A22617" w:rsidRPr="000935BB" w:rsidP="00B300BA">
            <w:pPr>
              <w:bidi w:val="0"/>
              <w:spacing w:before="60" w:after="60"/>
              <w:jc w:val="both"/>
              <w:rPr>
                <w:rFonts w:ascii="Times New Roman" w:hAnsi="Times New Roman"/>
                <w:color w:val="FFFFFF"/>
              </w:rPr>
            </w:pPr>
            <w:r w:rsidRPr="005C0ADF">
              <w:rPr>
                <w:rFonts w:ascii="Times New Roman" w:hAnsi="Times New Roman"/>
                <w:b/>
                <w:bCs/>
              </w:rPr>
              <w:t>Sociálne vplyvy predkladaného materiálu -  vplyvy na hospodárenie obyvateľstva, sociálnu exklúziu, rovnosť príležitostí a rodovú rovnosť a vplyvy na zamestnanosť</w:t>
            </w:r>
          </w:p>
        </w:tc>
      </w:tr>
      <w:tr>
        <w:tblPrEx>
          <w:tblW w:w="0" w:type="auto"/>
          <w:jc w:val="center"/>
          <w:tblCellMar>
            <w:left w:w="70" w:type="dxa"/>
            <w:right w:w="70" w:type="dxa"/>
          </w:tblCellMar>
        </w:tblPrEx>
        <w:trPr>
          <w:trHeight w:val="2825"/>
          <w:jc w:val="center"/>
        </w:trPr>
        <w:tc>
          <w:tcPr>
            <w:tcW w:w="4452" w:type="dxa"/>
            <w:tcBorders>
              <w:top w:val="single" w:sz="4" w:space="0" w:color="auto"/>
              <w:left w:val="single" w:sz="4" w:space="0" w:color="auto"/>
              <w:bottom w:val="single" w:sz="4" w:space="0" w:color="auto"/>
              <w:right w:val="single" w:sz="4" w:space="0" w:color="auto"/>
            </w:tcBorders>
            <w:textDirection w:val="lrTb"/>
            <w:vAlign w:val="top"/>
          </w:tcPr>
          <w:p w:rsidR="00A22617" w:rsidRPr="005C0ADF" w:rsidP="00E36869">
            <w:pPr>
              <w:tabs>
                <w:tab w:val="left" w:pos="74"/>
              </w:tabs>
              <w:bidi w:val="0"/>
              <w:spacing w:before="60" w:after="60"/>
              <w:ind w:left="74" w:right="102" w:firstLine="13"/>
              <w:rPr>
                <w:rFonts w:ascii="Times New Roman" w:hAnsi="Times New Roman"/>
              </w:rPr>
            </w:pPr>
            <w:r w:rsidRPr="00E36869">
              <w:rPr>
                <w:rFonts w:ascii="Times New Roman" w:hAnsi="Times New Roman"/>
                <w:b/>
              </w:rPr>
              <w:t>4.1.</w:t>
            </w:r>
            <w:r w:rsidRPr="005C0ADF">
              <w:rPr>
                <w:rFonts w:ascii="Times New Roman" w:hAnsi="Times New Roman"/>
              </w:rPr>
              <w:t xml:space="preserve"> Identifikujte vplyv na hospodárenie  domácností a špecifikujte ovplyvnené skupiny domácností, ktoré budú pozitívne/negatívne ovplyvnené.  </w:t>
            </w:r>
          </w:p>
        </w:tc>
        <w:tc>
          <w:tcPr>
            <w:tcW w:w="4220" w:type="dxa"/>
            <w:tcBorders>
              <w:top w:val="single" w:sz="4" w:space="0" w:color="auto"/>
              <w:left w:val="single" w:sz="4" w:space="0" w:color="auto"/>
              <w:bottom w:val="single" w:sz="4" w:space="0" w:color="auto"/>
              <w:right w:val="single" w:sz="4" w:space="0" w:color="auto"/>
            </w:tcBorders>
            <w:textDirection w:val="lrTb"/>
            <w:vAlign w:val="top"/>
          </w:tcPr>
          <w:p w:rsidR="00A22617" w:rsidRPr="005C0ADF" w:rsidP="00484FF0">
            <w:pPr>
              <w:bidi w:val="0"/>
              <w:spacing w:before="60" w:after="60"/>
              <w:jc w:val="both"/>
              <w:rPr>
                <w:rFonts w:ascii="Times New Roman" w:hAnsi="Times New Roman"/>
              </w:rPr>
            </w:pPr>
            <w:r w:rsidRPr="005C0ADF">
              <w:rPr>
                <w:rFonts w:ascii="Times New Roman" w:hAnsi="Times New Roman"/>
                <w:b/>
              </w:rPr>
              <w:t>Zamestnanci</w:t>
            </w:r>
            <w:r w:rsidRPr="005C0ADF">
              <w:rPr>
                <w:rFonts w:ascii="Times New Roman" w:hAnsi="Times New Roman"/>
              </w:rPr>
              <w:t xml:space="preserve"> - disponibilný príjem 1 650 000 zamestnancov sa zvýši, 8 300 zamestnancov sa zníži.</w:t>
            </w:r>
          </w:p>
          <w:p w:rsidR="00A22617" w:rsidP="00484FF0">
            <w:pPr>
              <w:bidi w:val="0"/>
              <w:spacing w:before="60" w:after="60"/>
              <w:jc w:val="both"/>
              <w:rPr>
                <w:rFonts w:ascii="Times New Roman" w:hAnsi="Times New Roman"/>
              </w:rPr>
            </w:pPr>
            <w:r w:rsidRPr="005C0ADF">
              <w:rPr>
                <w:rFonts w:ascii="Times New Roman" w:hAnsi="Times New Roman"/>
                <w:b/>
              </w:rPr>
              <w:t>SZČO</w:t>
            </w:r>
            <w:r w:rsidRPr="005C0ADF">
              <w:rPr>
                <w:rFonts w:ascii="Times New Roman" w:hAnsi="Times New Roman"/>
              </w:rPr>
              <w:t xml:space="preserve"> - disponibilný príjem 116 600 osôb sa zvýši, 180 400 osôb sa zníži.</w:t>
            </w:r>
          </w:p>
          <w:p w:rsidR="00A22617" w:rsidRPr="005C0ADF" w:rsidP="00484FF0">
            <w:pPr>
              <w:bidi w:val="0"/>
              <w:spacing w:before="60" w:after="60"/>
              <w:jc w:val="both"/>
              <w:rPr>
                <w:rFonts w:ascii="Times New Roman" w:hAnsi="Times New Roman"/>
              </w:rPr>
            </w:pPr>
          </w:p>
          <w:p w:rsidR="00A22617" w:rsidP="00484FF0">
            <w:pPr>
              <w:bidi w:val="0"/>
              <w:spacing w:before="60" w:after="60"/>
              <w:jc w:val="both"/>
              <w:rPr>
                <w:rFonts w:ascii="Times New Roman" w:hAnsi="Times New Roman"/>
              </w:rPr>
            </w:pPr>
            <w:r w:rsidRPr="002F75E5">
              <w:rPr>
                <w:rFonts w:ascii="Times New Roman" w:hAnsi="Times New Roman"/>
                <w:b/>
              </w:rPr>
              <w:t>Osoby, ktoré nemajú žiadny príjem a osoby zdravotne postihnuté</w:t>
            </w:r>
            <w:r w:rsidRPr="005C0ADF">
              <w:rPr>
                <w:rFonts w:ascii="Times New Roman" w:hAnsi="Times New Roman"/>
              </w:rPr>
              <w:t>, nebudú podliehať zmenám vyplývajúcim z reformy daňovo-odvodového systému.</w:t>
            </w:r>
          </w:p>
          <w:p w:rsidR="002F75E5" w:rsidRPr="005C0ADF" w:rsidP="00484FF0">
            <w:pPr>
              <w:bidi w:val="0"/>
              <w:spacing w:before="60" w:after="60"/>
              <w:jc w:val="both"/>
              <w:rPr>
                <w:rFonts w:ascii="Times New Roman" w:hAnsi="Times New Roman"/>
              </w:rPr>
            </w:pPr>
          </w:p>
          <w:p w:rsidR="00A22617" w:rsidP="00484FF0">
            <w:pPr>
              <w:bidi w:val="0"/>
              <w:spacing w:before="60" w:after="60"/>
              <w:jc w:val="both"/>
              <w:rPr>
                <w:rFonts w:ascii="Times New Roman" w:hAnsi="Times New Roman"/>
              </w:rPr>
            </w:pPr>
            <w:r w:rsidRPr="002F75E5">
              <w:rPr>
                <w:rFonts w:ascii="Times New Roman" w:hAnsi="Times New Roman"/>
                <w:b/>
              </w:rPr>
              <w:t>Osoby pracujúce na dohody o prácach vykonávaných mimo pracovného pomeru</w:t>
            </w:r>
            <w:r w:rsidRPr="005C0ADF">
              <w:rPr>
                <w:rFonts w:ascii="Times New Roman" w:hAnsi="Times New Roman"/>
                <w:b/>
              </w:rPr>
              <w:t xml:space="preserve"> </w:t>
            </w:r>
            <w:r w:rsidRPr="005C0ADF">
              <w:rPr>
                <w:rFonts w:ascii="Times New Roman" w:hAnsi="Times New Roman"/>
              </w:rPr>
              <w:t xml:space="preserve">- príjem z dohôd </w:t>
            </w:r>
            <w:r w:rsidR="00270FAA">
              <w:rPr>
                <w:rFonts w:ascii="Times New Roman" w:hAnsi="Times New Roman"/>
              </w:rPr>
              <w:t>vo výške 190 eur na mesiac,</w:t>
            </w:r>
            <w:r w:rsidRPr="005C0ADF">
              <w:rPr>
                <w:rFonts w:ascii="Times New Roman" w:hAnsi="Times New Roman"/>
              </w:rPr>
              <w:t xml:space="preserve"> </w:t>
            </w:r>
            <w:r w:rsidR="00270FAA">
              <w:rPr>
                <w:rFonts w:ascii="Times New Roman" w:hAnsi="Times New Roman"/>
              </w:rPr>
              <w:t xml:space="preserve">pri ktorých osoba nemá iné príjmy zo zárobkovej činnosti alebo príjmy z podielov na zisku, nebude </w:t>
            </w:r>
            <w:r w:rsidRPr="005C0ADF">
              <w:rPr>
                <w:rFonts w:ascii="Times New Roman" w:hAnsi="Times New Roman"/>
              </w:rPr>
              <w:t>podliehať daňovo-odvodovému zaťaženiu. Daňovo-odvodové zaťaženie vysokopríjmových dohôd sa naopak po zmene priblíži zaťaženiu zamestnancov.</w:t>
            </w:r>
          </w:p>
          <w:p w:rsidR="002F75E5" w:rsidP="00484FF0">
            <w:pPr>
              <w:bidi w:val="0"/>
              <w:spacing w:before="60" w:after="60"/>
              <w:jc w:val="both"/>
              <w:rPr>
                <w:rFonts w:ascii="Times New Roman" w:hAnsi="Times New Roman"/>
              </w:rPr>
            </w:pPr>
          </w:p>
          <w:p w:rsidR="00A22617" w:rsidP="00484FF0">
            <w:pPr>
              <w:bidi w:val="0"/>
              <w:spacing w:before="60" w:after="60"/>
              <w:jc w:val="both"/>
              <w:rPr>
                <w:rFonts w:ascii="Times New Roman" w:hAnsi="Times New Roman"/>
              </w:rPr>
            </w:pPr>
            <w:r w:rsidR="002C6927">
              <w:rPr>
                <w:rFonts w:ascii="Times New Roman" w:hAnsi="Times New Roman"/>
              </w:rPr>
              <w:t xml:space="preserve">     </w:t>
            </w:r>
            <w:r>
              <w:rPr>
                <w:rFonts w:ascii="Times New Roman" w:hAnsi="Times New Roman"/>
              </w:rPr>
              <w:t xml:space="preserve">Návrh novely zákona o dani z príjmov bude mať vplyv na mieru efektívneho zdanenia príjmov fyzických osôb. Hlavná zmena spočíva v tom, že sa výrazne rozširuje daňový základ, a to o zaplatené poistné. Výška daňového zaťaženia príjmov fyzických osôb stúpne o niekoľko percentuálnych bodov. Na druhej strane sa ďalšími parametrickými úpravami daňovo-odvodového systému, ktoré nespadajú pod zákon o dani z príjmov, výrazne znižuje odvodové zaťaženie príjmov fyzických osôb. Celkový efekt na rôzne príjmové kategórie je pre obyvateľstvo a domácnosti v priemere pozitívny. </w:t>
            </w:r>
          </w:p>
          <w:p w:rsidR="00A22617" w:rsidP="00484FF0">
            <w:pPr>
              <w:bidi w:val="0"/>
              <w:spacing w:before="60" w:after="60"/>
              <w:jc w:val="both"/>
              <w:rPr>
                <w:rFonts w:ascii="Times New Roman" w:hAnsi="Times New Roman"/>
              </w:rPr>
            </w:pPr>
          </w:p>
          <w:p w:rsidR="002F75E5" w:rsidP="00484FF0">
            <w:pPr>
              <w:bidi w:val="0"/>
              <w:spacing w:before="60" w:after="60"/>
              <w:jc w:val="both"/>
              <w:rPr>
                <w:rFonts w:ascii="Times New Roman" w:hAnsi="Times New Roman"/>
              </w:rPr>
            </w:pPr>
            <w:r w:rsidR="002C6927">
              <w:rPr>
                <w:rFonts w:ascii="Times New Roman" w:hAnsi="Times New Roman"/>
              </w:rPr>
              <w:t xml:space="preserve">     </w:t>
            </w:r>
            <w:r w:rsidR="00A22617">
              <w:rPr>
                <w:rFonts w:ascii="Times New Roman" w:hAnsi="Times New Roman"/>
              </w:rPr>
              <w:t>Z hľadiska zmeny zákona o</w:t>
            </w:r>
            <w:r w:rsidR="006C6629">
              <w:rPr>
                <w:rFonts w:ascii="Times New Roman" w:hAnsi="Times New Roman"/>
              </w:rPr>
              <w:t xml:space="preserve"> </w:t>
            </w:r>
            <w:r w:rsidR="00A22617">
              <w:rPr>
                <w:rFonts w:ascii="Times New Roman" w:hAnsi="Times New Roman"/>
              </w:rPr>
              <w:t xml:space="preserve">zdravotnom poistení </w:t>
            </w:r>
            <w:r w:rsidRPr="001649F0" w:rsidR="00A22617">
              <w:rPr>
                <w:rFonts w:ascii="Times New Roman" w:hAnsi="Times New Roman"/>
              </w:rPr>
              <w:t xml:space="preserve">budú </w:t>
            </w:r>
            <w:r w:rsidR="00A22617">
              <w:rPr>
                <w:rFonts w:ascii="Times New Roman" w:hAnsi="Times New Roman"/>
              </w:rPr>
              <w:t>n</w:t>
            </w:r>
            <w:r w:rsidRPr="001649F0" w:rsidR="00A22617">
              <w:rPr>
                <w:rFonts w:ascii="Times New Roman" w:hAnsi="Times New Roman"/>
              </w:rPr>
              <w:t>egatívne ovplyvnené osoby platiace poistné na verejné zdravotné poistenie z dôvodu priblíženia osobného rozsahu a vymeriavacieho základu so zákonom o dani z</w:t>
            </w:r>
            <w:r w:rsidR="00A22617">
              <w:rPr>
                <w:rFonts w:ascii="Times New Roman" w:hAnsi="Times New Roman"/>
              </w:rPr>
              <w:t> </w:t>
            </w:r>
            <w:r w:rsidRPr="001649F0" w:rsidR="00A22617">
              <w:rPr>
                <w:rFonts w:ascii="Times New Roman" w:hAnsi="Times New Roman"/>
              </w:rPr>
              <w:t>príjmov</w:t>
            </w:r>
            <w:r w:rsidR="00A22617">
              <w:rPr>
                <w:rFonts w:ascii="Times New Roman" w:hAnsi="Times New Roman"/>
              </w:rPr>
              <w:t xml:space="preserve">, a to SZČO, ktorým sa mení vymeriavací základ na výpočet poistného na </w:t>
            </w:r>
            <w:r w:rsidR="006C6629">
              <w:rPr>
                <w:rFonts w:ascii="Times New Roman" w:hAnsi="Times New Roman"/>
              </w:rPr>
              <w:t xml:space="preserve">verejné </w:t>
            </w:r>
            <w:r w:rsidR="00A22617">
              <w:rPr>
                <w:rFonts w:ascii="Times New Roman" w:hAnsi="Times New Roman"/>
              </w:rPr>
              <w:t>zdravotné poi</w:t>
            </w:r>
            <w:r>
              <w:rPr>
                <w:rFonts w:ascii="Times New Roman" w:hAnsi="Times New Roman"/>
              </w:rPr>
              <w:t>stenie z celého príjmu, aj keď s</w:t>
            </w:r>
            <w:r w:rsidR="00A22617">
              <w:rPr>
                <w:rFonts w:ascii="Times New Roman" w:hAnsi="Times New Roman"/>
              </w:rPr>
              <w:t>a znižuje sadzba na 9 %, resp. 4,5 %.</w:t>
            </w:r>
          </w:p>
          <w:p w:rsidR="00EA448E" w:rsidP="00EA448E">
            <w:pPr>
              <w:bidi w:val="0"/>
              <w:spacing w:before="60" w:after="60"/>
              <w:jc w:val="both"/>
              <w:rPr>
                <w:rFonts w:ascii="Times New Roman" w:hAnsi="Times New Roman"/>
                <w:highlight w:val="yellow"/>
              </w:rPr>
            </w:pPr>
          </w:p>
          <w:p w:rsidR="00EA448E" w:rsidRPr="00A86C7E" w:rsidP="00EA448E">
            <w:pPr>
              <w:bidi w:val="0"/>
              <w:spacing w:before="60" w:after="60"/>
              <w:jc w:val="both"/>
              <w:rPr>
                <w:rFonts w:ascii="Times New Roman" w:hAnsi="Times New Roman"/>
              </w:rPr>
            </w:pPr>
            <w:r w:rsidR="002C6927">
              <w:rPr>
                <w:rFonts w:ascii="Times New Roman" w:hAnsi="Times New Roman"/>
              </w:rPr>
              <w:t xml:space="preserve">     </w:t>
            </w:r>
            <w:r w:rsidRPr="00A86C7E">
              <w:rPr>
                <w:rFonts w:ascii="Times New Roman" w:hAnsi="Times New Roman"/>
              </w:rPr>
              <w:t>Simuláciu vplyvov navrhovaných zmien na hospodárenie domácností je možné zohľadniť len tak, že sa zoberie do úvahy typ ekonomickej aktivity – či je osoba/osoby v domácnosti zamestnaná, či je SZČO, „dohodár“, pracujúci dôchodca, nezamestnaný, iná neaktívna osoba. Z dôvodu, že existuje obrovské množstvo ich kombinácií pri rôznom možnom počte členov domácností a pri rôznych príjmových úrovniach, je aj tak potrebné zohľadniť zmenu disponibilných príjmov jednotlivých členov osobitne a až následne ich celkovú zmenu disponibilných príjmov v domácnosti. V zásade, ale platí, že rodina bez príjmu z pracovných činností bude bez zmeny a domácnosť s príjmami z pracovných činností môže byť ovplyvnená pozitívne, ak je člen alebo členovia domácnosti zamestnaní (s malými výnimkami), alebo naopak spravidla negatívne, ak je člen alebo členovia domácnosti SZČO alebo „dohodár“ (to tiež neplatí univerzálne, závisí to od výšky taktiež od výšky príjmu).</w:t>
            </w:r>
          </w:p>
          <w:p w:rsidR="002F75E5" w:rsidP="00EA448E">
            <w:pPr>
              <w:bidi w:val="0"/>
              <w:spacing w:before="60" w:after="60"/>
              <w:jc w:val="both"/>
              <w:rPr>
                <w:rFonts w:ascii="Times New Roman" w:hAnsi="Times New Roman"/>
              </w:rPr>
            </w:pPr>
            <w:r w:rsidR="002C6927">
              <w:rPr>
                <w:rFonts w:ascii="Times New Roman" w:hAnsi="Times New Roman"/>
              </w:rPr>
              <w:t xml:space="preserve">     </w:t>
            </w:r>
            <w:r w:rsidRPr="00A86C7E" w:rsidR="00EA448E">
              <w:rPr>
                <w:rFonts w:ascii="Times New Roman" w:hAnsi="Times New Roman"/>
              </w:rPr>
              <w:t>Ilustratívne príklady k zmene disponibilných príjmov hlavných skupín obyvateľstva (domácností) sú uvedené nižšie.</w:t>
            </w:r>
          </w:p>
          <w:p w:rsidR="00A22617" w:rsidP="00484FF0">
            <w:pPr>
              <w:bidi w:val="0"/>
              <w:spacing w:before="60" w:after="60"/>
              <w:jc w:val="both"/>
              <w:rPr>
                <w:rFonts w:ascii="Times New Roman" w:hAnsi="Times New Roman"/>
              </w:rPr>
            </w:pPr>
          </w:p>
        </w:tc>
      </w:tr>
      <w:tr>
        <w:tblPrEx>
          <w:tblW w:w="0" w:type="auto"/>
          <w:jc w:val="center"/>
          <w:tblCellMar>
            <w:left w:w="70" w:type="dxa"/>
            <w:right w:w="70" w:type="dxa"/>
          </w:tblCellMar>
        </w:tblPrEx>
        <w:trPr>
          <w:trHeight w:val="1266"/>
          <w:jc w:val="center"/>
        </w:trPr>
        <w:tc>
          <w:tcPr>
            <w:tcW w:w="4452" w:type="dxa"/>
            <w:tcBorders>
              <w:top w:val="single" w:sz="4" w:space="0" w:color="auto"/>
              <w:left w:val="single" w:sz="4" w:space="0" w:color="auto"/>
              <w:bottom w:val="single" w:sz="4" w:space="0" w:color="auto"/>
              <w:right w:val="single" w:sz="4" w:space="0" w:color="auto"/>
            </w:tcBorders>
            <w:textDirection w:val="lrTb"/>
            <w:vAlign w:val="top"/>
          </w:tcPr>
          <w:p w:rsidR="00A22617" w:rsidRPr="005C0ADF" w:rsidP="00E36869">
            <w:pPr>
              <w:tabs>
                <w:tab w:val="left" w:pos="74"/>
              </w:tabs>
              <w:bidi w:val="0"/>
              <w:spacing w:before="60" w:after="60"/>
              <w:ind w:left="74" w:right="102" w:firstLine="13"/>
              <w:rPr>
                <w:rFonts w:ascii="Times New Roman" w:hAnsi="Times New Roman"/>
              </w:rPr>
            </w:pPr>
            <w:r w:rsidRPr="005C0ADF">
              <w:rPr>
                <w:rFonts w:ascii="Times New Roman" w:hAnsi="Times New Roman"/>
              </w:rPr>
              <w:t xml:space="preserve">Kvantifikujte: </w:t>
            </w:r>
          </w:p>
          <w:p w:rsidR="00A22617" w:rsidRPr="005C0ADF" w:rsidP="00E36869">
            <w:pPr>
              <w:tabs>
                <w:tab w:val="left" w:pos="74"/>
                <w:tab w:val="left" w:pos="215"/>
              </w:tabs>
              <w:bidi w:val="0"/>
              <w:spacing w:before="60" w:after="60"/>
              <w:ind w:left="74" w:right="102" w:firstLine="13"/>
              <w:rPr>
                <w:rFonts w:ascii="Times New Roman" w:hAnsi="Times New Roman"/>
              </w:rPr>
            </w:pPr>
            <w:r w:rsidRPr="005C0ADF">
              <w:rPr>
                <w:rFonts w:ascii="Times New Roman" w:hAnsi="Times New Roman"/>
              </w:rPr>
              <w:t xml:space="preserve">- Rast alebo pokles príjmov/výdavkov  na priemerného obyvateľa </w:t>
            </w:r>
          </w:p>
          <w:p w:rsidR="00A22617" w:rsidRPr="005C0ADF" w:rsidP="00E36869">
            <w:pPr>
              <w:tabs>
                <w:tab w:val="left" w:pos="74"/>
                <w:tab w:val="left" w:pos="215"/>
              </w:tabs>
              <w:bidi w:val="0"/>
              <w:spacing w:before="60" w:after="60"/>
              <w:ind w:left="74" w:right="102" w:firstLine="13"/>
              <w:rPr>
                <w:rFonts w:ascii="Times New Roman" w:hAnsi="Times New Roman"/>
              </w:rPr>
            </w:pPr>
            <w:r w:rsidRPr="005C0ADF">
              <w:rPr>
                <w:rFonts w:ascii="Times New Roman" w:hAnsi="Times New Roman"/>
              </w:rPr>
              <w:t>- Rast alebo pokles príjmov/výdavkov  za jednotlivé ovplyvnené  skupiny domácností</w:t>
            </w:r>
          </w:p>
          <w:p w:rsidR="00A22617" w:rsidRPr="005C0ADF" w:rsidP="00E36869">
            <w:pPr>
              <w:tabs>
                <w:tab w:val="left" w:pos="74"/>
                <w:tab w:val="left" w:pos="215"/>
              </w:tabs>
              <w:bidi w:val="0"/>
              <w:spacing w:before="60" w:after="60"/>
              <w:ind w:left="74" w:right="102" w:firstLine="13"/>
              <w:rPr>
                <w:rFonts w:ascii="Times New Roman" w:hAnsi="Times New Roman"/>
              </w:rPr>
            </w:pPr>
            <w:r w:rsidRPr="005C0ADF">
              <w:rPr>
                <w:rFonts w:ascii="Times New Roman" w:hAnsi="Times New Roman"/>
              </w:rPr>
              <w:t>- Celkový počet obyvateľstva/domácností ovplyvnených predkladaným materiálom</w:t>
            </w:r>
          </w:p>
        </w:tc>
        <w:tc>
          <w:tcPr>
            <w:tcW w:w="4220" w:type="dxa"/>
            <w:tcBorders>
              <w:top w:val="single" w:sz="4" w:space="0" w:color="auto"/>
              <w:left w:val="single" w:sz="4" w:space="0" w:color="auto"/>
              <w:bottom w:val="single" w:sz="4" w:space="0" w:color="auto"/>
              <w:right w:val="single" w:sz="4" w:space="0" w:color="auto"/>
            </w:tcBorders>
            <w:textDirection w:val="lrTb"/>
            <w:vAlign w:val="top"/>
          </w:tcPr>
          <w:p w:rsidR="00A22617" w:rsidP="00B300BA">
            <w:pPr>
              <w:bidi w:val="0"/>
              <w:spacing w:before="60" w:after="60"/>
              <w:jc w:val="both"/>
              <w:rPr>
                <w:rFonts w:ascii="Times New Roman" w:hAnsi="Times New Roman" w:cs="Arial Narrow"/>
                <w:szCs w:val="22"/>
              </w:rPr>
            </w:pPr>
            <w:r w:rsidRPr="002F75E5">
              <w:rPr>
                <w:rFonts w:ascii="Times New Roman" w:hAnsi="Times New Roman"/>
                <w:b/>
              </w:rPr>
              <w:t>Zamestnanci</w:t>
            </w:r>
            <w:r>
              <w:rPr>
                <w:rFonts w:ascii="Times New Roman" w:hAnsi="Times New Roman"/>
              </w:rPr>
              <w:t xml:space="preserve"> </w:t>
            </w:r>
            <w:r w:rsidR="006C6629">
              <w:rPr>
                <w:rFonts w:ascii="Times New Roman" w:hAnsi="Times New Roman"/>
              </w:rPr>
              <w:t xml:space="preserve">- </w:t>
            </w:r>
            <w:r>
              <w:rPr>
                <w:rFonts w:ascii="Times New Roman" w:hAnsi="Times New Roman"/>
              </w:rPr>
              <w:t xml:space="preserve">disponibilný príjem 1 650 000 zamestnancov sa zvýši, 8 300 zamestnancov sa zníži, SZČO </w:t>
            </w:r>
            <w:r w:rsidR="006C6629">
              <w:rPr>
                <w:rFonts w:ascii="Times New Roman" w:hAnsi="Times New Roman"/>
              </w:rPr>
              <w:t xml:space="preserve">- </w:t>
            </w:r>
            <w:r>
              <w:rPr>
                <w:rFonts w:ascii="Times New Roman" w:hAnsi="Times New Roman"/>
              </w:rPr>
              <w:t xml:space="preserve">disponibilný príjem </w:t>
            </w:r>
            <w:r w:rsidRPr="00C5470A">
              <w:rPr>
                <w:rFonts w:ascii="Times New Roman" w:hAnsi="Times New Roman" w:cs="Arial Narrow"/>
                <w:szCs w:val="22"/>
              </w:rPr>
              <w:t>116 600 osôb</w:t>
            </w:r>
            <w:r>
              <w:rPr>
                <w:rFonts w:ascii="Times New Roman" w:hAnsi="Times New Roman"/>
              </w:rPr>
              <w:t xml:space="preserve"> sa zvýši, </w:t>
            </w:r>
            <w:r w:rsidRPr="00C5470A">
              <w:rPr>
                <w:rFonts w:ascii="Times New Roman" w:hAnsi="Times New Roman" w:cs="Arial Narrow"/>
                <w:szCs w:val="22"/>
              </w:rPr>
              <w:t>1</w:t>
            </w:r>
            <w:r>
              <w:rPr>
                <w:rFonts w:ascii="Times New Roman" w:hAnsi="Times New Roman" w:cs="Arial Narrow"/>
                <w:szCs w:val="22"/>
              </w:rPr>
              <w:t>80 4</w:t>
            </w:r>
            <w:r w:rsidRPr="00C5470A">
              <w:rPr>
                <w:rFonts w:ascii="Times New Roman" w:hAnsi="Times New Roman" w:cs="Arial Narrow"/>
                <w:szCs w:val="22"/>
              </w:rPr>
              <w:t xml:space="preserve">00 </w:t>
            </w:r>
            <w:r>
              <w:rPr>
                <w:rFonts w:ascii="Times New Roman" w:hAnsi="Times New Roman" w:cs="Arial Narrow"/>
                <w:szCs w:val="22"/>
              </w:rPr>
              <w:t>osôb sa zníži</w:t>
            </w:r>
            <w:r>
              <w:rPr>
                <w:rStyle w:val="FootnoteReference"/>
                <w:rFonts w:ascii="Times New Roman" w:hAnsi="Times New Roman"/>
                <w:szCs w:val="22"/>
                <w:rtl w:val="0"/>
              </w:rPr>
              <w:footnoteReference w:id="2"/>
            </w:r>
            <w:r>
              <w:rPr>
                <w:rFonts w:ascii="Times New Roman" w:hAnsi="Times New Roman" w:cs="Arial Narrow"/>
                <w:szCs w:val="22"/>
              </w:rPr>
              <w:t>.</w:t>
            </w:r>
          </w:p>
          <w:p w:rsidR="002F75E5" w:rsidP="00B300BA">
            <w:pPr>
              <w:bidi w:val="0"/>
              <w:spacing w:before="60" w:after="60"/>
              <w:jc w:val="both"/>
              <w:rPr>
                <w:rFonts w:ascii="Times New Roman" w:hAnsi="Times New Roman" w:cs="Arial Narrow"/>
              </w:rPr>
            </w:pPr>
          </w:p>
          <w:p w:rsidR="00A22617" w:rsidP="00B300BA">
            <w:pPr>
              <w:bidi w:val="0"/>
              <w:spacing w:before="60" w:after="60" w:line="276" w:lineRule="auto"/>
              <w:jc w:val="both"/>
              <w:rPr>
                <w:rFonts w:ascii="Times New Roman" w:hAnsi="Times New Roman" w:cs="Arial Narrow"/>
              </w:rPr>
            </w:pPr>
            <w:r w:rsidR="002C6927">
              <w:rPr>
                <w:rFonts w:ascii="Times New Roman" w:hAnsi="Times New Roman" w:cs="Arial Narrow"/>
                <w:b/>
                <w:szCs w:val="22"/>
              </w:rPr>
              <w:t xml:space="preserve">     </w:t>
            </w:r>
            <w:r w:rsidRPr="002F75E5">
              <w:rPr>
                <w:rFonts w:ascii="Times New Roman" w:hAnsi="Times New Roman" w:cs="Arial Narrow"/>
                <w:b/>
                <w:szCs w:val="22"/>
              </w:rPr>
              <w:t>Osoby, ktoré nemajú žiadny príjem a osoby zdravotne postihnuté</w:t>
            </w:r>
            <w:r>
              <w:rPr>
                <w:rFonts w:ascii="Times New Roman" w:hAnsi="Times New Roman" w:cs="Arial Narrow"/>
                <w:szCs w:val="22"/>
              </w:rPr>
              <w:t xml:space="preserve"> nebudú podliehať zmenám vyplývajúcim z reformy daňovo-odvodového systému.</w:t>
            </w:r>
          </w:p>
          <w:p w:rsidR="00A22617" w:rsidP="00B300BA">
            <w:pPr>
              <w:bidi w:val="0"/>
              <w:spacing w:before="60" w:after="60" w:line="276" w:lineRule="auto"/>
              <w:jc w:val="both"/>
              <w:rPr>
                <w:rFonts w:ascii="Times New Roman" w:hAnsi="Times New Roman" w:cs="Arial Narrow"/>
              </w:rPr>
            </w:pPr>
          </w:p>
          <w:p w:rsidR="00A22617" w:rsidRPr="001A2949" w:rsidP="00B300BA">
            <w:pPr>
              <w:bidi w:val="0"/>
              <w:spacing w:before="60" w:after="60" w:line="276" w:lineRule="auto"/>
              <w:jc w:val="both"/>
              <w:rPr>
                <w:rFonts w:ascii="Times New Roman" w:hAnsi="Times New Roman"/>
              </w:rPr>
            </w:pPr>
            <w:r w:rsidR="002C6927">
              <w:rPr>
                <w:rFonts w:ascii="Times New Roman" w:hAnsi="Times New Roman"/>
                <w:szCs w:val="22"/>
              </w:rPr>
              <w:t xml:space="preserve">     </w:t>
            </w:r>
            <w:r w:rsidRPr="00E03BC8">
              <w:rPr>
                <w:rFonts w:ascii="Times New Roman" w:hAnsi="Times New Roman"/>
                <w:szCs w:val="22"/>
              </w:rPr>
              <w:t xml:space="preserve">Približne </w:t>
            </w:r>
            <w:r w:rsidRPr="00E03BC8">
              <w:rPr>
                <w:rFonts w:ascii="Times New Roman" w:hAnsi="Times New Roman"/>
                <w:b/>
                <w:szCs w:val="22"/>
              </w:rPr>
              <w:t>149 000 zamestnancov</w:t>
            </w:r>
            <w:r w:rsidRPr="00540478">
              <w:rPr>
                <w:rFonts w:ascii="Times New Roman" w:hAnsi="Times New Roman"/>
                <w:szCs w:val="22"/>
              </w:rPr>
              <w:t xml:space="preserve"> (nízkopríjmoví zamestnanci so zárobkom cca </w:t>
            </w:r>
            <w:r w:rsidRPr="00540478">
              <w:rPr>
                <w:rFonts w:ascii="Times New Roman" w:hAnsi="Times New Roman"/>
                <w:szCs w:val="22"/>
                <w:u w:val="single"/>
              </w:rPr>
              <w:t xml:space="preserve">po </w:t>
            </w:r>
            <w:r w:rsidR="00844C20">
              <w:rPr>
                <w:rFonts w:ascii="Times New Roman" w:hAnsi="Times New Roman"/>
                <w:szCs w:val="22"/>
                <w:u w:val="single"/>
              </w:rPr>
              <w:t xml:space="preserve">predpokladanú úroveň </w:t>
            </w:r>
            <w:r w:rsidRPr="00540478">
              <w:rPr>
                <w:rFonts w:ascii="Times New Roman" w:hAnsi="Times New Roman"/>
                <w:szCs w:val="22"/>
                <w:u w:val="single"/>
              </w:rPr>
              <w:t>minimáln</w:t>
            </w:r>
            <w:r w:rsidR="00844C20">
              <w:rPr>
                <w:rFonts w:ascii="Times New Roman" w:hAnsi="Times New Roman"/>
                <w:szCs w:val="22"/>
                <w:u w:val="single"/>
              </w:rPr>
              <w:t>ej</w:t>
            </w:r>
            <w:r w:rsidRPr="00540478">
              <w:rPr>
                <w:rFonts w:ascii="Times New Roman" w:hAnsi="Times New Roman"/>
                <w:szCs w:val="22"/>
                <w:u w:val="single"/>
              </w:rPr>
              <w:t xml:space="preserve"> mzd</w:t>
            </w:r>
            <w:r w:rsidR="00844C20">
              <w:rPr>
                <w:rFonts w:ascii="Times New Roman" w:hAnsi="Times New Roman"/>
                <w:szCs w:val="22"/>
                <w:u w:val="single"/>
              </w:rPr>
              <w:t>y</w:t>
            </w:r>
            <w:r w:rsidRPr="001A2949">
              <w:rPr>
                <w:rFonts w:ascii="Times New Roman" w:hAnsi="Times New Roman"/>
                <w:szCs w:val="22"/>
              </w:rPr>
              <w:t xml:space="preserve"> – 328,1 eur v roku 2012, ktorí majú príjem len počas časti roka alebo majú skrátený pracovný úväzok) </w:t>
            </w:r>
            <w:r w:rsidRPr="001A2949">
              <w:rPr>
                <w:rFonts w:ascii="Times New Roman" w:hAnsi="Times New Roman"/>
                <w:b/>
                <w:szCs w:val="22"/>
              </w:rPr>
              <w:t xml:space="preserve">získa </w:t>
            </w:r>
            <w:r w:rsidRPr="001A2949">
              <w:rPr>
                <w:rFonts w:ascii="Times New Roman" w:hAnsi="Times New Roman"/>
                <w:szCs w:val="22"/>
              </w:rPr>
              <w:t xml:space="preserve">až do </w:t>
            </w:r>
            <w:r w:rsidRPr="001A2949">
              <w:rPr>
                <w:rFonts w:ascii="Times New Roman" w:hAnsi="Times New Roman"/>
                <w:b/>
                <w:szCs w:val="22"/>
              </w:rPr>
              <w:t>11,7</w:t>
            </w:r>
            <w:r>
              <w:rPr>
                <w:rFonts w:ascii="Times New Roman" w:hAnsi="Times New Roman"/>
                <w:b/>
                <w:szCs w:val="22"/>
              </w:rPr>
              <w:t xml:space="preserve"> </w:t>
            </w:r>
            <w:r w:rsidRPr="001A2949">
              <w:rPr>
                <w:rFonts w:ascii="Times New Roman" w:hAnsi="Times New Roman"/>
                <w:b/>
                <w:szCs w:val="22"/>
              </w:rPr>
              <w:t xml:space="preserve">% viac </w:t>
            </w:r>
            <w:r w:rsidRPr="001A2949">
              <w:rPr>
                <w:rFonts w:ascii="Times New Roman" w:hAnsi="Times New Roman"/>
                <w:szCs w:val="22"/>
              </w:rPr>
              <w:t>ako v súčasnosti</w:t>
            </w:r>
            <w:r w:rsidRPr="001A2949">
              <w:rPr>
                <w:rFonts w:ascii="Times New Roman" w:hAnsi="Times New Roman"/>
                <w:b/>
                <w:szCs w:val="22"/>
              </w:rPr>
              <w:t xml:space="preserve"> (v priemere o 7,9</w:t>
            </w:r>
            <w:r>
              <w:rPr>
                <w:rFonts w:ascii="Times New Roman" w:hAnsi="Times New Roman"/>
                <w:b/>
                <w:szCs w:val="22"/>
              </w:rPr>
              <w:t xml:space="preserve"> </w:t>
            </w:r>
            <w:r w:rsidRPr="001A2949">
              <w:rPr>
                <w:rFonts w:ascii="Times New Roman" w:hAnsi="Times New Roman"/>
                <w:b/>
                <w:szCs w:val="22"/>
              </w:rPr>
              <w:t>%). Disponibilný príjem sa zvýši až do 17,85 eur mesačne (priemerne o 10,3 eur viac)</w:t>
            </w:r>
            <w:r w:rsidRPr="001A2949">
              <w:rPr>
                <w:rFonts w:ascii="Times New Roman" w:hAnsi="Times New Roman"/>
                <w:szCs w:val="22"/>
              </w:rPr>
              <w:t xml:space="preserve">. Budú mať veľmi nízke daňovo-odvodové zaťaženie, čo významne motivuje k aktivite nájsť si prácu aspoň na čiastočný pracovný úväzok. </w:t>
            </w:r>
          </w:p>
          <w:p w:rsidR="00A22617" w:rsidRPr="00ED3921" w:rsidP="00B300BA">
            <w:pPr>
              <w:bidi w:val="0"/>
              <w:spacing w:before="60" w:after="60" w:line="276" w:lineRule="auto"/>
              <w:jc w:val="both"/>
              <w:rPr>
                <w:rFonts w:ascii="Times New Roman" w:hAnsi="Times New Roman"/>
              </w:rPr>
            </w:pPr>
            <w:r w:rsidR="002C6927">
              <w:rPr>
                <w:rFonts w:ascii="Times New Roman" w:hAnsi="Times New Roman"/>
                <w:szCs w:val="22"/>
              </w:rPr>
              <w:t xml:space="preserve">     </w:t>
            </w:r>
            <w:r w:rsidRPr="001A2949">
              <w:rPr>
                <w:rFonts w:ascii="Times New Roman" w:hAnsi="Times New Roman"/>
                <w:szCs w:val="22"/>
              </w:rPr>
              <w:t xml:space="preserve">Približne </w:t>
            </w:r>
            <w:r w:rsidRPr="001A2949">
              <w:rPr>
                <w:rFonts w:ascii="Times New Roman" w:hAnsi="Times New Roman"/>
                <w:b/>
                <w:szCs w:val="22"/>
              </w:rPr>
              <w:t>1 009 000 zamestnancov</w:t>
            </w:r>
            <w:r w:rsidRPr="008B2E9C">
              <w:rPr>
                <w:rFonts w:ascii="Times New Roman" w:hAnsi="Times New Roman"/>
                <w:szCs w:val="22"/>
              </w:rPr>
              <w:t xml:space="preserve"> (s príjmom </w:t>
            </w:r>
            <w:r w:rsidRPr="008B2E9C">
              <w:rPr>
                <w:rFonts w:ascii="Times New Roman" w:hAnsi="Times New Roman"/>
                <w:szCs w:val="22"/>
                <w:u w:val="single"/>
              </w:rPr>
              <w:t xml:space="preserve">od </w:t>
            </w:r>
            <w:r w:rsidR="00844C20">
              <w:rPr>
                <w:rFonts w:ascii="Times New Roman" w:hAnsi="Times New Roman"/>
                <w:szCs w:val="22"/>
                <w:u w:val="single"/>
              </w:rPr>
              <w:t xml:space="preserve">predpokladanej úrovne </w:t>
            </w:r>
            <w:r w:rsidRPr="008B2E9C">
              <w:rPr>
                <w:rFonts w:ascii="Times New Roman" w:hAnsi="Times New Roman"/>
                <w:szCs w:val="22"/>
                <w:u w:val="single"/>
              </w:rPr>
              <w:t>minimálnej mzdy</w:t>
            </w:r>
            <w:r w:rsidR="00844C20">
              <w:rPr>
                <w:rFonts w:ascii="Times New Roman" w:hAnsi="Times New Roman"/>
                <w:szCs w:val="22"/>
                <w:u w:val="single"/>
              </w:rPr>
              <w:t xml:space="preserve"> v roku 2012</w:t>
            </w:r>
            <w:r w:rsidRPr="008B2E9C">
              <w:rPr>
                <w:rFonts w:ascii="Times New Roman" w:hAnsi="Times New Roman"/>
                <w:szCs w:val="22"/>
                <w:u w:val="single"/>
              </w:rPr>
              <w:t>, t.j. 328,1 eur po priemernú mzdu 844,38 eur</w:t>
            </w:r>
            <w:r w:rsidRPr="00ED3921">
              <w:rPr>
                <w:rFonts w:ascii="Times New Roman" w:hAnsi="Times New Roman"/>
                <w:szCs w:val="22"/>
              </w:rPr>
              <w:t xml:space="preserve"> v roku 2012) bude mať </w:t>
            </w:r>
            <w:r w:rsidRPr="00ED3921">
              <w:rPr>
                <w:rFonts w:ascii="Times New Roman" w:hAnsi="Times New Roman"/>
                <w:b/>
                <w:szCs w:val="22"/>
              </w:rPr>
              <w:t>vyšší disponibilný príjem</w:t>
            </w:r>
            <w:r w:rsidRPr="00ED3921">
              <w:rPr>
                <w:rFonts w:ascii="Times New Roman" w:hAnsi="Times New Roman"/>
                <w:szCs w:val="22"/>
              </w:rPr>
              <w:t xml:space="preserve"> ako v súčasnosti o priemerne o 0,52</w:t>
            </w:r>
            <w:r>
              <w:rPr>
                <w:rFonts w:ascii="Times New Roman" w:hAnsi="Times New Roman"/>
                <w:szCs w:val="22"/>
              </w:rPr>
              <w:t xml:space="preserve"> </w:t>
            </w:r>
            <w:r w:rsidRPr="008B2E9C">
              <w:rPr>
                <w:rFonts w:ascii="Times New Roman" w:hAnsi="Times New Roman"/>
                <w:szCs w:val="22"/>
              </w:rPr>
              <w:t>% viac a v </w:t>
            </w:r>
            <w:r w:rsidRPr="008B2E9C">
              <w:rPr>
                <w:rFonts w:ascii="Times New Roman" w:hAnsi="Times New Roman"/>
                <w:b/>
                <w:szCs w:val="22"/>
              </w:rPr>
              <w:t>nominálnom vyjadrení o 2,69 eur</w:t>
            </w:r>
            <w:r w:rsidRPr="00ED3921">
              <w:rPr>
                <w:rFonts w:ascii="Times New Roman" w:hAnsi="Times New Roman"/>
                <w:szCs w:val="22"/>
              </w:rPr>
              <w:t xml:space="preserve"> mesačne viac ako v súčasnosti). </w:t>
            </w:r>
          </w:p>
          <w:p w:rsidR="00A22617" w:rsidRPr="00ED3921" w:rsidP="00B300BA">
            <w:pPr>
              <w:bidi w:val="0"/>
              <w:spacing w:before="60" w:after="60" w:line="276" w:lineRule="auto"/>
              <w:jc w:val="both"/>
              <w:rPr>
                <w:rFonts w:ascii="Times New Roman" w:hAnsi="Times New Roman"/>
              </w:rPr>
            </w:pPr>
            <w:r w:rsidR="002C6927">
              <w:rPr>
                <w:rFonts w:ascii="Times New Roman" w:hAnsi="Times New Roman"/>
                <w:szCs w:val="22"/>
              </w:rPr>
              <w:t xml:space="preserve">     </w:t>
            </w:r>
            <w:r w:rsidRPr="00ED3921">
              <w:rPr>
                <w:rFonts w:ascii="Times New Roman" w:hAnsi="Times New Roman"/>
                <w:szCs w:val="22"/>
              </w:rPr>
              <w:t xml:space="preserve">Približne </w:t>
            </w:r>
            <w:r w:rsidRPr="00ED3921">
              <w:rPr>
                <w:rFonts w:ascii="Times New Roman" w:hAnsi="Times New Roman"/>
                <w:b/>
                <w:szCs w:val="22"/>
              </w:rPr>
              <w:t>469 000 zamestnancov</w:t>
            </w:r>
            <w:r w:rsidRPr="003902C8">
              <w:rPr>
                <w:rFonts w:ascii="Times New Roman" w:hAnsi="Times New Roman"/>
                <w:szCs w:val="22"/>
              </w:rPr>
              <w:t xml:space="preserve"> (s príjmom </w:t>
            </w:r>
            <w:r w:rsidRPr="00187622">
              <w:rPr>
                <w:rFonts w:ascii="Times New Roman" w:hAnsi="Times New Roman"/>
                <w:szCs w:val="22"/>
                <w:u w:val="single"/>
              </w:rPr>
              <w:t>od priemernej mzdy, t.j. 844,38 eur po 2 684 eur</w:t>
            </w:r>
            <w:r w:rsidRPr="000935BB">
              <w:rPr>
                <w:rFonts w:ascii="Times New Roman" w:hAnsi="Times New Roman"/>
                <w:szCs w:val="22"/>
              </w:rPr>
              <w:t xml:space="preserve"> v roku 2012) bude mať </w:t>
            </w:r>
            <w:r w:rsidRPr="000935BB">
              <w:rPr>
                <w:rFonts w:ascii="Times New Roman" w:hAnsi="Times New Roman"/>
                <w:b/>
                <w:szCs w:val="22"/>
              </w:rPr>
              <w:t>vyšší disponibilný príjem</w:t>
            </w:r>
            <w:r w:rsidRPr="000935BB">
              <w:rPr>
                <w:rFonts w:ascii="Times New Roman" w:hAnsi="Times New Roman"/>
                <w:szCs w:val="22"/>
              </w:rPr>
              <w:t xml:space="preserve"> ako v súčasnosti priemerne o 0,8</w:t>
            </w:r>
            <w:r>
              <w:rPr>
                <w:rFonts w:ascii="Times New Roman" w:hAnsi="Times New Roman"/>
                <w:szCs w:val="22"/>
              </w:rPr>
              <w:t xml:space="preserve"> </w:t>
            </w:r>
            <w:r w:rsidRPr="008B2E9C">
              <w:rPr>
                <w:rFonts w:ascii="Times New Roman" w:hAnsi="Times New Roman"/>
                <w:szCs w:val="22"/>
              </w:rPr>
              <w:t>% viac a v </w:t>
            </w:r>
            <w:r w:rsidRPr="008B2E9C">
              <w:rPr>
                <w:rFonts w:ascii="Times New Roman" w:hAnsi="Times New Roman"/>
                <w:b/>
                <w:szCs w:val="22"/>
              </w:rPr>
              <w:t>nominálnom vyjadrení o 7,31 eur</w:t>
            </w:r>
            <w:r w:rsidRPr="00ED3921">
              <w:rPr>
                <w:rFonts w:ascii="Times New Roman" w:hAnsi="Times New Roman"/>
                <w:szCs w:val="22"/>
              </w:rPr>
              <w:t xml:space="preserve"> mesačne viac ako v súčasnosti). </w:t>
            </w:r>
          </w:p>
          <w:p w:rsidR="00A22617" w:rsidRPr="00ED3921" w:rsidP="00B300BA">
            <w:pPr>
              <w:bidi w:val="0"/>
              <w:spacing w:before="60" w:after="60" w:line="276" w:lineRule="auto"/>
              <w:jc w:val="both"/>
              <w:rPr>
                <w:rFonts w:ascii="Times New Roman" w:hAnsi="Times New Roman"/>
              </w:rPr>
            </w:pPr>
          </w:p>
          <w:p w:rsidR="00A22617" w:rsidRPr="00ED3921" w:rsidP="00B300BA">
            <w:pPr>
              <w:bidi w:val="0"/>
              <w:spacing w:before="60" w:after="60" w:line="276" w:lineRule="auto"/>
              <w:jc w:val="both"/>
              <w:rPr>
                <w:rFonts w:ascii="Times New Roman" w:hAnsi="Times New Roman"/>
              </w:rPr>
            </w:pPr>
            <w:r w:rsidR="002C6927">
              <w:rPr>
                <w:rFonts w:ascii="Times New Roman" w:hAnsi="Times New Roman"/>
                <w:szCs w:val="22"/>
              </w:rPr>
              <w:t xml:space="preserve">     </w:t>
            </w:r>
            <w:r w:rsidRPr="003902C8">
              <w:rPr>
                <w:rFonts w:ascii="Times New Roman" w:hAnsi="Times New Roman"/>
                <w:szCs w:val="22"/>
              </w:rPr>
              <w:t xml:space="preserve">Približne </w:t>
            </w:r>
            <w:r w:rsidRPr="00187622">
              <w:rPr>
                <w:rFonts w:ascii="Times New Roman" w:hAnsi="Times New Roman"/>
                <w:b/>
                <w:szCs w:val="22"/>
              </w:rPr>
              <w:t xml:space="preserve">23 000 osôb </w:t>
            </w:r>
            <w:r w:rsidRPr="000935BB">
              <w:rPr>
                <w:rFonts w:ascii="Times New Roman" w:hAnsi="Times New Roman"/>
                <w:szCs w:val="22"/>
              </w:rPr>
              <w:t xml:space="preserve">s hrubým príjmom </w:t>
            </w:r>
            <w:r w:rsidRPr="000935BB">
              <w:rPr>
                <w:rFonts w:ascii="Times New Roman" w:hAnsi="Times New Roman"/>
                <w:szCs w:val="22"/>
                <w:u w:val="single"/>
              </w:rPr>
              <w:t>nad 3 055 eur</w:t>
            </w:r>
            <w:r w:rsidRPr="000935BB">
              <w:rPr>
                <w:rFonts w:ascii="Times New Roman" w:hAnsi="Times New Roman"/>
                <w:szCs w:val="22"/>
              </w:rPr>
              <w:t xml:space="preserve"> v roku 2012 </w:t>
            </w:r>
            <w:r w:rsidRPr="000935BB">
              <w:rPr>
                <w:rFonts w:ascii="Times New Roman" w:hAnsi="Times New Roman"/>
                <w:b/>
                <w:szCs w:val="22"/>
              </w:rPr>
              <w:t>získa</w:t>
            </w:r>
            <w:r w:rsidRPr="000935BB">
              <w:rPr>
                <w:rFonts w:ascii="Times New Roman" w:hAnsi="Times New Roman"/>
                <w:szCs w:val="22"/>
              </w:rPr>
              <w:t xml:space="preserve"> v priemere </w:t>
            </w:r>
            <w:r w:rsidRPr="000935BB">
              <w:rPr>
                <w:rFonts w:ascii="Times New Roman" w:hAnsi="Times New Roman"/>
                <w:b/>
                <w:szCs w:val="22"/>
              </w:rPr>
              <w:t>o 0,32</w:t>
            </w:r>
            <w:r>
              <w:rPr>
                <w:rFonts w:ascii="Times New Roman" w:hAnsi="Times New Roman"/>
                <w:b/>
                <w:szCs w:val="22"/>
              </w:rPr>
              <w:t xml:space="preserve"> </w:t>
            </w:r>
            <w:r w:rsidRPr="008B2E9C">
              <w:rPr>
                <w:rFonts w:ascii="Times New Roman" w:hAnsi="Times New Roman"/>
                <w:b/>
                <w:szCs w:val="22"/>
              </w:rPr>
              <w:t>% viac (mesačne 10,65 eur)</w:t>
            </w:r>
            <w:r w:rsidRPr="00ED3921">
              <w:rPr>
                <w:rFonts w:ascii="Times New Roman" w:hAnsi="Times New Roman"/>
                <w:szCs w:val="22"/>
              </w:rPr>
              <w:t xml:space="preserve"> ako v súčasnosti.</w:t>
            </w:r>
          </w:p>
          <w:p w:rsidR="00A22617" w:rsidRPr="00540478" w:rsidP="00B300BA">
            <w:pPr>
              <w:bidi w:val="0"/>
              <w:spacing w:before="60" w:after="60"/>
              <w:jc w:val="both"/>
              <w:rPr>
                <w:rFonts w:ascii="Times New Roman" w:hAnsi="Times New Roman"/>
                <w:b/>
                <w:bCs/>
              </w:rPr>
            </w:pPr>
            <w:r w:rsidR="002C6927">
              <w:rPr>
                <w:rFonts w:ascii="Times New Roman" w:hAnsi="Times New Roman"/>
              </w:rPr>
              <w:t xml:space="preserve">     </w:t>
            </w:r>
            <w:r w:rsidRPr="000935BB">
              <w:rPr>
                <w:rFonts w:ascii="Times New Roman" w:hAnsi="Times New Roman"/>
              </w:rPr>
              <w:t>SZČO – podnikatelia: pre pribl</w:t>
            </w:r>
            <w:r w:rsidRPr="00E03BC8">
              <w:rPr>
                <w:rFonts w:ascii="Times New Roman" w:hAnsi="Times New Roman"/>
                <w:szCs w:val="22"/>
              </w:rPr>
              <w:t xml:space="preserve">ižne 180 400 osôb v dôsledku harmonizácie vymeriavacích základov sa zníži disponibilný príjem v dôsledku </w:t>
            </w:r>
            <w:r w:rsidRPr="00540478">
              <w:rPr>
                <w:rFonts w:ascii="Times New Roman" w:hAnsi="Times New Roman"/>
                <w:b/>
                <w:szCs w:val="22"/>
              </w:rPr>
              <w:t>čiastočného odstránenia</w:t>
            </w:r>
            <w:r w:rsidRPr="00540478">
              <w:rPr>
                <w:rFonts w:ascii="Times New Roman" w:hAnsi="Times New Roman"/>
                <w:b/>
                <w:bCs/>
                <w:szCs w:val="22"/>
              </w:rPr>
              <w:t xml:space="preserve"> neodôvodnenej exkluzivity v zdaňovaní;</w:t>
            </w:r>
          </w:p>
          <w:p w:rsidR="00A22617" w:rsidP="00B300BA">
            <w:pPr>
              <w:bidi w:val="0"/>
              <w:spacing w:before="60" w:after="60" w:line="276" w:lineRule="auto"/>
              <w:jc w:val="both"/>
              <w:rPr>
                <w:rFonts w:ascii="Times New Roman" w:hAnsi="Times New Roman"/>
                <w:b/>
                <w:bCs/>
              </w:rPr>
            </w:pPr>
            <w:r w:rsidR="002C6927">
              <w:rPr>
                <w:rFonts w:ascii="Times New Roman" w:hAnsi="Times New Roman"/>
              </w:rPr>
              <w:t xml:space="preserve">     </w:t>
            </w:r>
            <w:r w:rsidRPr="000935BB">
              <w:rPr>
                <w:rFonts w:ascii="Times New Roman" w:hAnsi="Times New Roman"/>
              </w:rPr>
              <w:t xml:space="preserve">SZČO – podnikatelia: pre približne  116 600 osôb s ročným ziskom z podnikania pred zdanením a </w:t>
            </w:r>
            <w:r w:rsidR="006C6629">
              <w:rPr>
                <w:rFonts w:ascii="Times New Roman" w:hAnsi="Times New Roman"/>
              </w:rPr>
              <w:t>poistným</w:t>
            </w:r>
            <w:r w:rsidRPr="000935BB">
              <w:rPr>
                <w:rFonts w:ascii="Times New Roman" w:hAnsi="Times New Roman"/>
              </w:rPr>
              <w:t xml:space="preserve"> do výšky približne 4 823 eur sa čistý disponibilný príjem </w:t>
            </w:r>
            <w:r w:rsidRPr="00E03BC8">
              <w:rPr>
                <w:rFonts w:ascii="Times New Roman" w:hAnsi="Times New Roman"/>
                <w:b/>
                <w:szCs w:val="22"/>
              </w:rPr>
              <w:t xml:space="preserve">zvýši </w:t>
            </w:r>
            <w:r w:rsidRPr="00E03BC8">
              <w:rPr>
                <w:rFonts w:ascii="Times New Roman" w:hAnsi="Times New Roman"/>
                <w:b/>
                <w:bCs/>
                <w:szCs w:val="22"/>
              </w:rPr>
              <w:t>v priemere o 96,2</w:t>
            </w:r>
            <w:r>
              <w:rPr>
                <w:rFonts w:ascii="Times New Roman" w:hAnsi="Times New Roman"/>
                <w:b/>
                <w:bCs/>
                <w:szCs w:val="22"/>
              </w:rPr>
              <w:t xml:space="preserve"> </w:t>
            </w:r>
            <w:r w:rsidRPr="00E03BC8">
              <w:rPr>
                <w:rFonts w:ascii="Times New Roman" w:hAnsi="Times New Roman"/>
                <w:b/>
                <w:bCs/>
                <w:szCs w:val="22"/>
              </w:rPr>
              <w:t>%</w:t>
            </w:r>
            <w:r w:rsidRPr="000935BB">
              <w:rPr>
                <w:rFonts w:ascii="Times New Roman" w:hAnsi="Times New Roman"/>
                <w:b/>
                <w:bCs/>
              </w:rPr>
              <w:t>.</w:t>
            </w:r>
          </w:p>
          <w:p w:rsidR="00EA448E" w:rsidRPr="00A86C7E" w:rsidP="00EA448E">
            <w:pPr>
              <w:bidi w:val="0"/>
              <w:spacing w:before="60" w:after="60"/>
              <w:ind w:hanging="11"/>
              <w:jc w:val="both"/>
              <w:rPr>
                <w:rFonts w:ascii="Times New Roman" w:hAnsi="Times New Roman"/>
              </w:rPr>
            </w:pPr>
            <w:r>
              <w:rPr>
                <w:rFonts w:ascii="Times New Roman" w:hAnsi="Times New Roman"/>
              </w:rPr>
              <w:t xml:space="preserve">     </w:t>
            </w:r>
            <w:r w:rsidRPr="000935BB">
              <w:rPr>
                <w:rFonts w:ascii="Times New Roman" w:hAnsi="Times New Roman"/>
              </w:rPr>
              <w:t xml:space="preserve">Predpokladá sa </w:t>
            </w:r>
            <w:r w:rsidRPr="000935BB">
              <w:rPr>
                <w:rFonts w:ascii="Times New Roman" w:hAnsi="Times New Roman"/>
                <w:b/>
                <w:bCs/>
              </w:rPr>
              <w:t>zníženie rizika chudoby</w:t>
            </w:r>
            <w:r w:rsidRPr="000935BB">
              <w:rPr>
                <w:rFonts w:ascii="Times New Roman" w:hAnsi="Times New Roman"/>
              </w:rPr>
              <w:t xml:space="preserve">, </w:t>
            </w:r>
            <w:r w:rsidRPr="00EE6827">
              <w:rPr>
                <w:rFonts w:ascii="Times New Roman" w:hAnsi="Times New Roman"/>
              </w:rPr>
              <w:t xml:space="preserve">keďže nízkopríjmovým subjektom sa navrhovanými zmenami zvýši disponibilný príjem, </w:t>
            </w:r>
            <w:r w:rsidRPr="00A86C7E">
              <w:rPr>
                <w:rFonts w:ascii="Times New Roman" w:hAnsi="Times New Roman"/>
              </w:rPr>
              <w:t>ako aj lepšie podmienky na ich zamestnávanie.</w:t>
            </w:r>
          </w:p>
          <w:p w:rsidR="00EA448E" w:rsidP="00EA448E">
            <w:pPr>
              <w:bidi w:val="0"/>
              <w:spacing w:before="60" w:after="60"/>
              <w:ind w:hanging="11"/>
              <w:jc w:val="both"/>
              <w:rPr>
                <w:rFonts w:ascii="Times New Roman" w:hAnsi="Times New Roman"/>
              </w:rPr>
            </w:pPr>
            <w:r>
              <w:rPr>
                <w:rFonts w:ascii="Times New Roman" w:hAnsi="Times New Roman"/>
              </w:rPr>
              <w:t xml:space="preserve">     </w:t>
            </w:r>
            <w:r w:rsidRPr="00A86C7E">
              <w:rPr>
                <w:rFonts w:ascii="Times New Roman" w:hAnsi="Times New Roman"/>
              </w:rPr>
              <w:t>Na základe zisťovania o príjmoch a životných podmienkach domácností EU SILC 2010 bolo rizikom chudoby ohrozených 5,7% pracujúcich (na porovnanie rizikom chudoby je ohrozených 12,0% obyvateľov Slovenska, ktorých príjem je nižší ako 306 eur – platné v roku 2010). Z tohto počtu pracujúcich by vplyvom daňovo-odvodovej reformy v dôsledku ich nižšieho daňovo-odvodového zaťaženia, a teda vyšších čistých disponibilných príjmov mohla z rizika chudoby vypadnúť približne desatina až pätina. Oveľa vyššie riziko chudoby hrozí nezamestnaným osobám – podľa EU SILC 2010 až 41,1% nezamestnaným. Zníženie tohto vysokého čísla môže podporiť zvýšenie motivácie pre nízkokvalifikovaných nezamestnaných, ktorí za rovnakú mzdu môžu vďaka menšiemu daňovo-odvodovému zaťaženiu dostať v čistom viac. Na druhej strane sa dá očakávať aj mierne zlepšenie podmienok na vytváranie takýchto pracovných miest zo strany zamestnávateľov</w:t>
            </w:r>
            <w:r w:rsidRPr="00EE6827">
              <w:rPr>
                <w:rFonts w:ascii="Times New Roman" w:hAnsi="Times New Roman"/>
              </w:rPr>
              <w:t>.</w:t>
            </w:r>
          </w:p>
          <w:p w:rsidR="00EA448E" w:rsidP="00030EBA">
            <w:pPr>
              <w:bidi w:val="0"/>
              <w:jc w:val="both"/>
              <w:rPr>
                <w:rFonts w:ascii="Times New Roman" w:hAnsi="Times New Roman"/>
              </w:rPr>
            </w:pPr>
          </w:p>
          <w:p w:rsidR="00A22617" w:rsidRPr="00E03BC8" w:rsidP="00030EBA">
            <w:pPr>
              <w:bidi w:val="0"/>
              <w:jc w:val="both"/>
              <w:rPr>
                <w:rFonts w:ascii="Times New Roman" w:hAnsi="Times New Roman"/>
              </w:rPr>
            </w:pPr>
            <w:r w:rsidR="00EA448E">
              <w:rPr>
                <w:rFonts w:ascii="Times New Roman" w:hAnsi="Times New Roman"/>
              </w:rPr>
              <w:t xml:space="preserve">     </w:t>
            </w:r>
            <w:r>
              <w:rPr>
                <w:rFonts w:ascii="Times New Roman" w:hAnsi="Times New Roman"/>
              </w:rPr>
              <w:t xml:space="preserve">Z hľadiska zmien v oblasti </w:t>
            </w:r>
            <w:r w:rsidR="006C6629">
              <w:rPr>
                <w:rFonts w:ascii="Times New Roman" w:hAnsi="Times New Roman"/>
              </w:rPr>
              <w:t xml:space="preserve">verejného </w:t>
            </w:r>
            <w:r>
              <w:rPr>
                <w:rFonts w:ascii="Times New Roman" w:hAnsi="Times New Roman"/>
              </w:rPr>
              <w:t>zdravotného poistenia sa predpokladá p</w:t>
            </w:r>
            <w:r w:rsidRPr="00E03BC8">
              <w:rPr>
                <w:rFonts w:ascii="Times New Roman" w:hAnsi="Times New Roman"/>
              </w:rPr>
              <w:t>okles príjmov o cca 164,36 eur ročne na ekonomicky aktívnu osobu</w:t>
            </w:r>
            <w:r>
              <w:rPr>
                <w:rFonts w:ascii="Times New Roman" w:hAnsi="Times New Roman"/>
              </w:rPr>
              <w:t xml:space="preserve"> a </w:t>
            </w:r>
            <w:r w:rsidRPr="00E03BC8">
              <w:rPr>
                <w:rFonts w:ascii="Times New Roman" w:hAnsi="Times New Roman"/>
              </w:rPr>
              <w:t>rast príjmov cca 37,58 eur ročne na všetky osoby za predpokladu zvýšenej platby štátu za poistencov štátu.</w:t>
            </w:r>
          </w:p>
          <w:p w:rsidR="00A22617" w:rsidRPr="002F75E5" w:rsidP="002F75E5">
            <w:pPr>
              <w:bidi w:val="0"/>
              <w:spacing w:before="60" w:after="60"/>
              <w:jc w:val="both"/>
              <w:rPr>
                <w:rFonts w:ascii="Times New Roman" w:hAnsi="Times New Roman"/>
              </w:rPr>
            </w:pPr>
            <w:r w:rsidR="00EA448E">
              <w:rPr>
                <w:rFonts w:ascii="Times New Roman" w:hAnsi="Times New Roman"/>
              </w:rPr>
              <w:t xml:space="preserve">     </w:t>
            </w:r>
            <w:r w:rsidRPr="002F75E5">
              <w:rPr>
                <w:rFonts w:ascii="Times New Roman" w:hAnsi="Times New Roman"/>
              </w:rPr>
              <w:t>Podľa súčasnej legislatívy platí SZČO poistné na verejné zdravotné poistenie  552,82 eur ročne. Podľa navrhovanej legislatívy bude platiť SZČO cca 757 eur ročne. Týka sa to 300 000 SZČO zvýšením základu na poistné na verejné zdravotné poistenie, ktoré zaplatia o cca 17 eur mesačne viac a 108 000 vysoko príjmových SZČO, ktoré zaplatia o 495 eur ročne viac.</w:t>
            </w:r>
          </w:p>
        </w:tc>
      </w:tr>
      <w:tr>
        <w:tblPrEx>
          <w:tblW w:w="0" w:type="auto"/>
          <w:jc w:val="center"/>
          <w:tblCellMar>
            <w:left w:w="70" w:type="dxa"/>
            <w:right w:w="70" w:type="dxa"/>
          </w:tblCellMar>
        </w:tblPrEx>
        <w:trPr>
          <w:trHeight w:val="953"/>
          <w:jc w:val="center"/>
        </w:trPr>
        <w:tc>
          <w:tcPr>
            <w:tcW w:w="4452" w:type="dxa"/>
            <w:tcBorders>
              <w:top w:val="single" w:sz="4" w:space="0" w:color="auto"/>
              <w:left w:val="single" w:sz="4" w:space="0" w:color="auto"/>
              <w:bottom w:val="single" w:sz="4" w:space="0" w:color="auto"/>
              <w:right w:val="single" w:sz="4" w:space="0" w:color="auto"/>
            </w:tcBorders>
            <w:textDirection w:val="lrTb"/>
            <w:vAlign w:val="center"/>
          </w:tcPr>
          <w:p w:rsidR="00A22617" w:rsidRPr="005C0ADF" w:rsidP="00E36869">
            <w:pPr>
              <w:tabs>
                <w:tab w:val="left" w:pos="74"/>
              </w:tabs>
              <w:bidi w:val="0"/>
              <w:spacing w:before="120" w:after="120"/>
              <w:ind w:left="74" w:right="102" w:firstLine="13"/>
              <w:rPr>
                <w:rFonts w:ascii="Times New Roman" w:hAnsi="Times New Roman"/>
              </w:rPr>
            </w:pPr>
            <w:r w:rsidRPr="00E36869">
              <w:rPr>
                <w:rFonts w:ascii="Times New Roman" w:hAnsi="Times New Roman"/>
                <w:b/>
              </w:rPr>
              <w:t>4.2.</w:t>
            </w:r>
            <w:r w:rsidRPr="005C0ADF">
              <w:rPr>
                <w:rFonts w:ascii="Times New Roman" w:hAnsi="Times New Roman"/>
              </w:rPr>
              <w:t xml:space="preserve"> Zhodnoťte kvalitatívne (prípadne kvantitatívne) vplyvy na prístup k zdrojom, právam, tovarom a službám u jednotlivých ovplyvnených skupín obyvateľstva.</w:t>
            </w:r>
          </w:p>
        </w:tc>
        <w:tc>
          <w:tcPr>
            <w:tcW w:w="4220" w:type="dxa"/>
            <w:tcBorders>
              <w:top w:val="single" w:sz="4" w:space="0" w:color="auto"/>
              <w:left w:val="single" w:sz="4" w:space="0" w:color="auto"/>
              <w:bottom w:val="single" w:sz="4" w:space="0" w:color="auto"/>
              <w:right w:val="single" w:sz="4" w:space="0" w:color="auto"/>
            </w:tcBorders>
            <w:textDirection w:val="lrTb"/>
            <w:vAlign w:val="center"/>
          </w:tcPr>
          <w:p w:rsidR="00A22617" w:rsidRPr="005C0ADF" w:rsidP="00270FAA">
            <w:pPr>
              <w:bidi w:val="0"/>
              <w:spacing w:before="60" w:after="60"/>
              <w:rPr>
                <w:rFonts w:ascii="Times New Roman" w:hAnsi="Times New Roman"/>
              </w:rPr>
            </w:pPr>
            <w:r w:rsidR="00270FAA">
              <w:rPr>
                <w:rFonts w:ascii="Times New Roman" w:hAnsi="Times New Roman"/>
              </w:rPr>
              <w:t>Návrh nemení aktuálnu situáciu.</w:t>
            </w:r>
          </w:p>
        </w:tc>
      </w:tr>
      <w:tr>
        <w:tblPrEx>
          <w:tblW w:w="0" w:type="auto"/>
          <w:jc w:val="center"/>
          <w:tblCellMar>
            <w:left w:w="70" w:type="dxa"/>
            <w:right w:w="70" w:type="dxa"/>
          </w:tblCellMar>
        </w:tblPrEx>
        <w:trPr>
          <w:trHeight w:val="391"/>
          <w:jc w:val="center"/>
        </w:trPr>
        <w:tc>
          <w:tcPr>
            <w:tcW w:w="4452" w:type="dxa"/>
            <w:tcBorders>
              <w:top w:val="single" w:sz="4" w:space="0" w:color="auto"/>
              <w:left w:val="single" w:sz="4" w:space="0" w:color="auto"/>
              <w:bottom w:val="single" w:sz="4" w:space="0" w:color="auto"/>
              <w:right w:val="single" w:sz="4" w:space="0" w:color="auto"/>
            </w:tcBorders>
            <w:textDirection w:val="lrTb"/>
            <w:vAlign w:val="center"/>
          </w:tcPr>
          <w:p w:rsidR="00A22617" w:rsidRPr="005C0ADF" w:rsidP="00E36869">
            <w:pPr>
              <w:tabs>
                <w:tab w:val="left" w:pos="74"/>
              </w:tabs>
              <w:bidi w:val="0"/>
              <w:spacing w:before="120" w:after="120"/>
              <w:ind w:left="74" w:right="102" w:firstLine="13"/>
              <w:rPr>
                <w:rFonts w:ascii="Times New Roman" w:hAnsi="Times New Roman"/>
              </w:rPr>
            </w:pPr>
            <w:r w:rsidRPr="00E36869">
              <w:rPr>
                <w:rFonts w:ascii="Times New Roman" w:hAnsi="Times New Roman"/>
                <w:b/>
              </w:rPr>
              <w:t>4.3.</w:t>
            </w:r>
            <w:r w:rsidRPr="005C0ADF">
              <w:rPr>
                <w:rFonts w:ascii="Times New Roman" w:hAnsi="Times New Roman"/>
              </w:rPr>
              <w:t xml:space="preserve">  Zhodnoťte vplyv na rovnosť príležitostí:</w:t>
            </w:r>
          </w:p>
          <w:p w:rsidR="00A22617" w:rsidRPr="005C0ADF" w:rsidP="00E36869">
            <w:pPr>
              <w:tabs>
                <w:tab w:val="left" w:pos="74"/>
              </w:tabs>
              <w:bidi w:val="0"/>
              <w:spacing w:before="120" w:after="120"/>
              <w:ind w:left="74" w:right="102" w:firstLine="13"/>
              <w:rPr>
                <w:rFonts w:ascii="Times New Roman" w:hAnsi="Times New Roman"/>
              </w:rPr>
            </w:pPr>
            <w:r w:rsidRPr="005C0ADF">
              <w:rPr>
                <w:rFonts w:ascii="Times New Roman" w:hAnsi="Times New Roman"/>
              </w:rPr>
              <w:t>Zhodnoťte vplyv na rodovú rovnosť.</w:t>
            </w:r>
          </w:p>
        </w:tc>
        <w:tc>
          <w:tcPr>
            <w:tcW w:w="4220" w:type="dxa"/>
            <w:tcBorders>
              <w:top w:val="single" w:sz="4" w:space="0" w:color="auto"/>
              <w:left w:val="single" w:sz="4" w:space="0" w:color="auto"/>
              <w:bottom w:val="single" w:sz="4" w:space="0" w:color="auto"/>
              <w:right w:val="single" w:sz="4" w:space="0" w:color="auto"/>
            </w:tcBorders>
            <w:textDirection w:val="lrTb"/>
            <w:vAlign w:val="center"/>
          </w:tcPr>
          <w:p w:rsidR="00A22617" w:rsidRPr="005C0ADF" w:rsidP="007D57DF">
            <w:pPr>
              <w:bidi w:val="0"/>
              <w:spacing w:before="60" w:after="60"/>
              <w:rPr>
                <w:rFonts w:ascii="Times New Roman" w:hAnsi="Times New Roman"/>
              </w:rPr>
            </w:pPr>
            <w:r w:rsidRPr="005C0ADF">
              <w:rPr>
                <w:rFonts w:ascii="Times New Roman" w:hAnsi="Times New Roman"/>
              </w:rPr>
              <w:t>Nemá vplyv.</w:t>
            </w:r>
          </w:p>
        </w:tc>
      </w:tr>
      <w:tr>
        <w:tblPrEx>
          <w:tblW w:w="0" w:type="auto"/>
          <w:jc w:val="center"/>
          <w:tblCellMar>
            <w:left w:w="70" w:type="dxa"/>
            <w:right w:w="70" w:type="dxa"/>
          </w:tblCellMar>
        </w:tblPrEx>
        <w:trPr>
          <w:trHeight w:val="699"/>
          <w:jc w:val="center"/>
        </w:trPr>
        <w:tc>
          <w:tcPr>
            <w:tcW w:w="4452" w:type="dxa"/>
            <w:tcBorders>
              <w:top w:val="single" w:sz="4" w:space="0" w:color="auto"/>
              <w:left w:val="single" w:sz="4" w:space="0" w:color="auto"/>
              <w:bottom w:val="single" w:sz="4" w:space="0" w:color="auto"/>
              <w:right w:val="single" w:sz="4" w:space="0" w:color="auto"/>
            </w:tcBorders>
            <w:textDirection w:val="lrTb"/>
            <w:vAlign w:val="center"/>
          </w:tcPr>
          <w:p w:rsidR="00A22617" w:rsidRPr="005C0ADF" w:rsidP="00E36869">
            <w:pPr>
              <w:tabs>
                <w:tab w:val="left" w:pos="74"/>
              </w:tabs>
              <w:bidi w:val="0"/>
              <w:spacing w:before="120" w:after="120"/>
              <w:ind w:left="74" w:right="102" w:firstLine="13"/>
              <w:rPr>
                <w:rFonts w:ascii="Times New Roman" w:hAnsi="Times New Roman"/>
              </w:rPr>
            </w:pPr>
            <w:r w:rsidRPr="00D868D9">
              <w:rPr>
                <w:rFonts w:ascii="Times New Roman" w:hAnsi="Times New Roman"/>
                <w:b/>
              </w:rPr>
              <w:t>4.4.</w:t>
            </w:r>
            <w:r w:rsidRPr="007D57DF">
              <w:rPr>
                <w:rFonts w:ascii="Times New Roman" w:hAnsi="Times New Roman"/>
              </w:rPr>
              <w:t xml:space="preserve"> </w:t>
            </w:r>
            <w:r w:rsidRPr="005C0ADF">
              <w:rPr>
                <w:rFonts w:ascii="Times New Roman" w:hAnsi="Times New Roman"/>
              </w:rPr>
              <w:t>Zhodnoťte vplyvy na zamestnanosť.</w:t>
            </w:r>
          </w:p>
          <w:p w:rsidR="00A22617" w:rsidRPr="007D57DF" w:rsidP="00EE6827">
            <w:pPr>
              <w:tabs>
                <w:tab w:val="left" w:pos="74"/>
              </w:tabs>
              <w:bidi w:val="0"/>
              <w:spacing w:before="120" w:after="120"/>
              <w:ind w:left="74" w:right="102" w:firstLine="13"/>
              <w:rPr>
                <w:rFonts w:ascii="Times New Roman" w:hAnsi="Times New Roman"/>
              </w:rPr>
            </w:pPr>
            <w:r w:rsidR="00270FAA">
              <w:rPr>
                <w:rFonts w:ascii="Times New Roman" w:hAnsi="Times New Roman"/>
              </w:rPr>
              <w:t>Aké sú  vplyvy na zamestnanosť</w:t>
            </w:r>
            <w:r w:rsidRPr="007D57DF">
              <w:rPr>
                <w:rFonts w:ascii="Times New Roman" w:hAnsi="Times New Roman"/>
              </w:rPr>
              <w:t>?</w:t>
            </w:r>
          </w:p>
        </w:tc>
        <w:tc>
          <w:tcPr>
            <w:tcW w:w="4220" w:type="dxa"/>
            <w:tcBorders>
              <w:top w:val="single" w:sz="4" w:space="0" w:color="auto"/>
              <w:left w:val="single" w:sz="4" w:space="0" w:color="auto"/>
              <w:bottom w:val="single" w:sz="4" w:space="0" w:color="auto"/>
              <w:right w:val="single" w:sz="4" w:space="0" w:color="auto"/>
            </w:tcBorders>
            <w:textDirection w:val="lrTb"/>
            <w:vAlign w:val="top"/>
          </w:tcPr>
          <w:p w:rsidR="00A22617" w:rsidRPr="005C0ADF" w:rsidP="00CC6FBC">
            <w:pPr>
              <w:bidi w:val="0"/>
              <w:spacing w:before="120" w:after="120"/>
              <w:jc w:val="both"/>
              <w:rPr>
                <w:rFonts w:ascii="Times New Roman" w:hAnsi="Times New Roman"/>
              </w:rPr>
            </w:pPr>
            <w:r w:rsidRPr="005C0ADF">
              <w:rPr>
                <w:rFonts w:ascii="Times New Roman" w:hAnsi="Times New Roman"/>
              </w:rPr>
              <w:t>Pozitívne – predpokladá sa dynamický efekt rastu zamestnanosti, ktorý vyplýva z jednoduchšieho a at</w:t>
            </w:r>
            <w:r>
              <w:rPr>
                <w:rFonts w:ascii="Times New Roman" w:hAnsi="Times New Roman"/>
              </w:rPr>
              <w:t>raktívnejšieho daňovo-poistného</w:t>
            </w:r>
            <w:r w:rsidRPr="005C0ADF">
              <w:rPr>
                <w:rFonts w:ascii="Times New Roman" w:hAnsi="Times New Roman"/>
              </w:rPr>
              <w:t xml:space="preserve"> systému a menšej administratívnej náročnosti na splnenie povinností </w:t>
            </w:r>
            <w:r>
              <w:rPr>
                <w:rFonts w:ascii="Times New Roman" w:hAnsi="Times New Roman"/>
              </w:rPr>
              <w:t xml:space="preserve">povinných osôb, </w:t>
            </w:r>
            <w:r w:rsidRPr="005C0ADF">
              <w:rPr>
                <w:rFonts w:ascii="Times New Roman" w:hAnsi="Times New Roman"/>
              </w:rPr>
              <w:t>ktoré im ukladajú zákony. Vý</w:t>
            </w:r>
            <w:r>
              <w:rPr>
                <w:rFonts w:ascii="Times New Roman" w:hAnsi="Times New Roman"/>
              </w:rPr>
              <w:t>razné zníženie daňovo-poistného</w:t>
            </w:r>
            <w:r w:rsidRPr="005C0ADF">
              <w:rPr>
                <w:rFonts w:ascii="Times New Roman" w:hAnsi="Times New Roman"/>
              </w:rPr>
              <w:t xml:space="preserve"> zaťaženia nízkopríjmových skupín zamestnancov a SZČO bude motivujúcim faktorom pre zamestnávanie nezamestnaných na nízkopríjmové pozície a zároveň sa zlepšia podmienky podnikania nízkopríjmových SZČO</w:t>
            </w:r>
            <w:r>
              <w:rPr>
                <w:rFonts w:ascii="Times New Roman" w:hAnsi="Times New Roman"/>
              </w:rPr>
              <w:t>.</w:t>
            </w:r>
            <w:r w:rsidRPr="005C0ADF">
              <w:rPr>
                <w:rFonts w:ascii="Times New Roman" w:hAnsi="Times New Roman"/>
              </w:rPr>
              <w:t> </w:t>
            </w:r>
          </w:p>
        </w:tc>
      </w:tr>
      <w:tr>
        <w:tblPrEx>
          <w:tblW w:w="0" w:type="auto"/>
          <w:jc w:val="center"/>
          <w:tblCellMar>
            <w:left w:w="70" w:type="dxa"/>
            <w:right w:w="70" w:type="dxa"/>
          </w:tblCellMar>
        </w:tblPrEx>
        <w:trPr>
          <w:trHeight w:val="762"/>
          <w:jc w:val="center"/>
        </w:trPr>
        <w:tc>
          <w:tcPr>
            <w:tcW w:w="4452" w:type="dxa"/>
            <w:tcBorders>
              <w:top w:val="single" w:sz="4" w:space="0" w:color="auto"/>
              <w:left w:val="single" w:sz="4" w:space="0" w:color="auto"/>
              <w:bottom w:val="single" w:sz="4" w:space="0" w:color="auto"/>
              <w:right w:val="single" w:sz="4" w:space="0" w:color="auto"/>
            </w:tcBorders>
            <w:textDirection w:val="lrTb"/>
            <w:vAlign w:val="center"/>
          </w:tcPr>
          <w:p w:rsidR="00A22617" w:rsidRPr="007D57DF" w:rsidP="008F2EE9">
            <w:pPr>
              <w:tabs>
                <w:tab w:val="left" w:pos="74"/>
              </w:tabs>
              <w:bidi w:val="0"/>
              <w:spacing w:before="120" w:after="120"/>
              <w:ind w:left="74" w:right="102" w:firstLine="11"/>
              <w:rPr>
                <w:rFonts w:ascii="Times New Roman" w:hAnsi="Times New Roman"/>
              </w:rPr>
            </w:pPr>
            <w:r w:rsidRPr="007D57DF">
              <w:rPr>
                <w:rFonts w:ascii="Times New Roman" w:hAnsi="Times New Roman"/>
              </w:rPr>
              <w:t>Ktoré skupiny zamestnancov budú ohrozené schválením predkladaného materiálu ?</w:t>
            </w:r>
          </w:p>
        </w:tc>
        <w:tc>
          <w:tcPr>
            <w:tcW w:w="4220" w:type="dxa"/>
            <w:tcBorders>
              <w:top w:val="single" w:sz="4" w:space="0" w:color="auto"/>
              <w:left w:val="single" w:sz="4" w:space="0" w:color="auto"/>
              <w:bottom w:val="single" w:sz="4" w:space="0" w:color="auto"/>
              <w:right w:val="single" w:sz="4" w:space="0" w:color="auto"/>
            </w:tcBorders>
            <w:textDirection w:val="lrTb"/>
            <w:vAlign w:val="center"/>
          </w:tcPr>
          <w:p w:rsidR="00A22617" w:rsidRPr="005C0ADF" w:rsidP="008F2EE9">
            <w:pPr>
              <w:bidi w:val="0"/>
              <w:spacing w:before="60" w:after="60"/>
              <w:rPr>
                <w:rFonts w:ascii="Times New Roman" w:hAnsi="Times New Roman"/>
              </w:rPr>
            </w:pPr>
            <w:r>
              <w:rPr>
                <w:rFonts w:ascii="Times New Roman" w:hAnsi="Times New Roman"/>
              </w:rPr>
              <w:t>Žiadne.</w:t>
            </w:r>
          </w:p>
        </w:tc>
      </w:tr>
      <w:tr>
        <w:tblPrEx>
          <w:tblW w:w="0" w:type="auto"/>
          <w:jc w:val="center"/>
          <w:tblCellMar>
            <w:left w:w="70" w:type="dxa"/>
            <w:right w:w="70" w:type="dxa"/>
          </w:tblCellMar>
        </w:tblPrEx>
        <w:trPr>
          <w:trHeight w:val="1084"/>
          <w:jc w:val="center"/>
        </w:trPr>
        <w:tc>
          <w:tcPr>
            <w:tcW w:w="4452" w:type="dxa"/>
            <w:tcBorders>
              <w:top w:val="single" w:sz="4" w:space="0" w:color="auto"/>
              <w:left w:val="single" w:sz="4" w:space="0" w:color="auto"/>
              <w:bottom w:val="single" w:sz="4" w:space="0" w:color="auto"/>
              <w:right w:val="single" w:sz="4" w:space="0" w:color="auto"/>
            </w:tcBorders>
            <w:textDirection w:val="lrTb"/>
            <w:vAlign w:val="center"/>
          </w:tcPr>
          <w:p w:rsidR="00A22617" w:rsidRPr="007D57DF" w:rsidP="008F2EE9">
            <w:pPr>
              <w:tabs>
                <w:tab w:val="left" w:pos="74"/>
              </w:tabs>
              <w:bidi w:val="0"/>
              <w:spacing w:before="120" w:after="120"/>
              <w:ind w:left="74" w:right="102" w:firstLine="11"/>
              <w:rPr>
                <w:rFonts w:ascii="Times New Roman" w:hAnsi="Times New Roman"/>
              </w:rPr>
            </w:pPr>
            <w:r w:rsidRPr="007D57DF">
              <w:rPr>
                <w:rFonts w:ascii="Times New Roman" w:hAnsi="Times New Roman"/>
              </w:rPr>
              <w:t>Hrozí v prípade schválenia predkladaného materiálu hromadné prepúšťanie ?</w:t>
            </w:r>
          </w:p>
        </w:tc>
        <w:tc>
          <w:tcPr>
            <w:tcW w:w="4220" w:type="dxa"/>
            <w:tcBorders>
              <w:top w:val="single" w:sz="4" w:space="0" w:color="auto"/>
              <w:left w:val="single" w:sz="4" w:space="0" w:color="auto"/>
              <w:bottom w:val="single" w:sz="4" w:space="0" w:color="auto"/>
              <w:right w:val="single" w:sz="4" w:space="0" w:color="auto"/>
            </w:tcBorders>
            <w:textDirection w:val="lrTb"/>
            <w:vAlign w:val="center"/>
          </w:tcPr>
          <w:p w:rsidR="00A22617" w:rsidRPr="005C0ADF" w:rsidP="008F2EE9">
            <w:pPr>
              <w:bidi w:val="0"/>
              <w:spacing w:before="60" w:after="60"/>
              <w:rPr>
                <w:rFonts w:ascii="Times New Roman" w:hAnsi="Times New Roman"/>
              </w:rPr>
            </w:pPr>
            <w:r w:rsidRPr="005C0ADF">
              <w:rPr>
                <w:rFonts w:ascii="Times New Roman" w:hAnsi="Times New Roman"/>
              </w:rPr>
              <w:t>Nie</w:t>
            </w:r>
            <w:r>
              <w:rPr>
                <w:rFonts w:ascii="Times New Roman" w:hAnsi="Times New Roman"/>
              </w:rPr>
              <w:t>.</w:t>
            </w:r>
          </w:p>
        </w:tc>
      </w:tr>
    </w:tbl>
    <w:p w:rsidR="009C72EE" w:rsidP="00A92CB1">
      <w:pPr>
        <w:bidi w:val="0"/>
        <w:spacing w:line="276" w:lineRule="auto"/>
        <w:rPr>
          <w:rFonts w:ascii="Arial Narrow" w:hAnsi="Arial Narrow"/>
          <w:sz w:val="22"/>
          <w:szCs w:val="36"/>
          <w:lang w:eastAsia="en-US"/>
        </w:rPr>
      </w:pPr>
    </w:p>
    <w:tbl>
      <w:tblPr>
        <w:tblStyle w:val="TableNormal"/>
        <w:tblW w:w="0" w:type="auto"/>
        <w:tblCellMar>
          <w:left w:w="70" w:type="dxa"/>
          <w:right w:w="70" w:type="dxa"/>
        </w:tblCellMar>
        <w:tblLook w:val="04A0"/>
      </w:tblPr>
      <w:tblGrid>
        <w:gridCol w:w="2260"/>
        <w:gridCol w:w="1420"/>
        <w:gridCol w:w="920"/>
        <w:gridCol w:w="920"/>
        <w:gridCol w:w="1780"/>
        <w:gridCol w:w="920"/>
        <w:gridCol w:w="920"/>
      </w:tblGrid>
      <w:tr>
        <w:tblPrEx>
          <w:tblW w:w="0" w:type="auto"/>
          <w:tblCellMar>
            <w:left w:w="70" w:type="dxa"/>
            <w:right w:w="70" w:type="dxa"/>
          </w:tblCellMar>
          <w:tblLook w:val="04A0"/>
        </w:tblPrEx>
        <w:trPr>
          <w:trHeight w:val="270"/>
        </w:trPr>
        <w:tc>
          <w:tcPr>
            <w:tcW w:w="9140" w:type="dxa"/>
            <w:gridSpan w:val="7"/>
            <w:tcBorders>
              <w:top w:val="single" w:sz="8" w:space="0" w:color="auto"/>
              <w:left w:val="single" w:sz="8" w:space="0" w:color="auto"/>
              <w:bottom w:val="single" w:sz="8" w:space="0" w:color="000000"/>
              <w:right w:val="single" w:sz="8" w:space="0" w:color="000000"/>
            </w:tcBorders>
            <w:shd w:val="clear" w:color="000000" w:fill="000000"/>
            <w:textDirection w:val="lrTb"/>
            <w:vAlign w:val="center"/>
          </w:tcPr>
          <w:p w:rsidR="009C72EE" w:rsidP="00B9507E">
            <w:pPr>
              <w:bidi w:val="0"/>
              <w:rPr>
                <w:rFonts w:ascii="Arial Narrow" w:hAnsi="Arial Narrow"/>
                <w:b/>
                <w:bCs/>
                <w:color w:val="FFFFFF"/>
                <w:sz w:val="20"/>
                <w:szCs w:val="20"/>
              </w:rPr>
            </w:pPr>
          </w:p>
          <w:p w:rsidR="009C72EE" w:rsidP="00B9507E">
            <w:pPr>
              <w:bidi w:val="0"/>
              <w:rPr>
                <w:rFonts w:ascii="Arial Narrow" w:hAnsi="Arial Narrow"/>
                <w:b/>
                <w:bCs/>
                <w:color w:val="FFFFFF"/>
                <w:sz w:val="20"/>
                <w:szCs w:val="20"/>
              </w:rPr>
            </w:pPr>
          </w:p>
          <w:p w:rsidR="009C72EE" w:rsidRPr="00A92CB1" w:rsidP="00B9507E">
            <w:pPr>
              <w:bidi w:val="0"/>
              <w:rPr>
                <w:rFonts w:ascii="Arial Narrow" w:hAnsi="Arial Narrow"/>
                <w:b/>
                <w:bCs/>
                <w:color w:val="FFFFFF"/>
                <w:sz w:val="20"/>
                <w:szCs w:val="20"/>
              </w:rPr>
            </w:pPr>
            <w:r w:rsidRPr="00A92CB1">
              <w:rPr>
                <w:rFonts w:ascii="Arial Narrow" w:hAnsi="Arial Narrow"/>
                <w:b/>
                <w:bCs/>
                <w:color w:val="FFFFFF"/>
                <w:sz w:val="20"/>
                <w:szCs w:val="20"/>
              </w:rPr>
              <w:t>Ilustratívny príklad výpočtu čistých príjmov pred a po reforme daní, cl</w:t>
            </w:r>
            <w:r>
              <w:rPr>
                <w:rFonts w:ascii="Arial Narrow" w:hAnsi="Arial Narrow"/>
                <w:b/>
                <w:bCs/>
                <w:color w:val="FFFFFF"/>
                <w:sz w:val="20"/>
                <w:szCs w:val="20"/>
              </w:rPr>
              <w:t>a</w:t>
            </w:r>
            <w:r w:rsidRPr="00A92CB1">
              <w:rPr>
                <w:rFonts w:ascii="Arial Narrow" w:hAnsi="Arial Narrow"/>
                <w:b/>
                <w:bCs/>
                <w:color w:val="FFFFFF"/>
                <w:sz w:val="20"/>
                <w:szCs w:val="20"/>
              </w:rPr>
              <w:t xml:space="preserve"> a </w:t>
            </w:r>
            <w:r>
              <w:rPr>
                <w:rFonts w:ascii="Arial Narrow" w:hAnsi="Arial Narrow"/>
                <w:b/>
                <w:bCs/>
                <w:color w:val="FFFFFF"/>
                <w:sz w:val="20"/>
                <w:szCs w:val="20"/>
              </w:rPr>
              <w:t>poistného</w:t>
            </w:r>
            <w:r w:rsidRPr="00A92CB1">
              <w:rPr>
                <w:rFonts w:ascii="Arial Narrow" w:hAnsi="Arial Narrow"/>
                <w:b/>
                <w:bCs/>
                <w:color w:val="FFFFFF"/>
                <w:sz w:val="20"/>
                <w:szCs w:val="20"/>
              </w:rPr>
              <w:t xml:space="preserve"> (rok 2012)</w:t>
            </w:r>
          </w:p>
        </w:tc>
      </w:tr>
      <w:tr>
        <w:tblPrEx>
          <w:tblW w:w="0" w:type="auto"/>
          <w:tblCellMar>
            <w:left w:w="70" w:type="dxa"/>
            <w:right w:w="70" w:type="dxa"/>
          </w:tblCellMar>
          <w:tblLook w:val="04A0"/>
        </w:tblPrEx>
        <w:trPr>
          <w:trHeight w:val="284"/>
        </w:trPr>
        <w:tc>
          <w:tcPr>
            <w:tcW w:w="2260" w:type="dxa"/>
            <w:vMerge w:val="restart"/>
            <w:tcBorders>
              <w:top w:val="nil"/>
              <w:left w:val="single" w:sz="8" w:space="0" w:color="auto"/>
              <w:bottom w:val="single" w:sz="8" w:space="0" w:color="000000"/>
              <w:right w:val="single" w:sz="8" w:space="0" w:color="000000"/>
            </w:tcBorders>
            <w:shd w:val="clear" w:color="000000" w:fill="BFBFBF"/>
            <w:textDirection w:val="lrTb"/>
            <w:vAlign w:val="center"/>
          </w:tcPr>
          <w:p w:rsidR="009C72EE" w:rsidRPr="00A92CB1" w:rsidP="00B9507E">
            <w:pPr>
              <w:bidi w:val="0"/>
              <w:rPr>
                <w:rFonts w:ascii="Arial Narrow" w:hAnsi="Arial Narrow"/>
                <w:b/>
                <w:bCs/>
                <w:i/>
                <w:iCs/>
                <w:color w:val="000000"/>
                <w:sz w:val="12"/>
                <w:szCs w:val="12"/>
              </w:rPr>
            </w:pPr>
            <w:r w:rsidRPr="00A92CB1">
              <w:rPr>
                <w:rFonts w:ascii="Arial Narrow" w:hAnsi="Arial Narrow"/>
                <w:b/>
                <w:bCs/>
                <w:i/>
                <w:iCs/>
                <w:color w:val="000000"/>
                <w:sz w:val="12"/>
                <w:szCs w:val="12"/>
              </w:rPr>
              <w:t>Použité skratky: ZO – zdravotný odvod, SO – sociálny odvod,  ŽM – životné minimum (výpočet na mesačnej báze)</w:t>
            </w:r>
          </w:p>
        </w:tc>
        <w:tc>
          <w:tcPr>
            <w:tcW w:w="6880" w:type="dxa"/>
            <w:gridSpan w:val="6"/>
            <w:tcBorders>
              <w:top w:val="single" w:sz="8" w:space="0" w:color="000000"/>
              <w:left w:val="nil"/>
              <w:bottom w:val="single" w:sz="8" w:space="0" w:color="000000"/>
              <w:right w:val="single" w:sz="8" w:space="0" w:color="000000"/>
            </w:tcBorders>
            <w:shd w:val="clear" w:color="000000" w:fill="BFBFBF"/>
            <w:textDirection w:val="lrTb"/>
            <w:vAlign w:val="center"/>
          </w:tcPr>
          <w:p w:rsidR="009C72EE" w:rsidRPr="00A92CB1" w:rsidP="00B9507E">
            <w:pPr>
              <w:bidi w:val="0"/>
              <w:jc w:val="center"/>
              <w:rPr>
                <w:rFonts w:ascii="Arial Narrow" w:hAnsi="Arial Narrow"/>
                <w:b/>
                <w:bCs/>
                <w:color w:val="000000"/>
                <w:sz w:val="16"/>
                <w:szCs w:val="16"/>
              </w:rPr>
            </w:pPr>
            <w:r w:rsidRPr="00A92CB1">
              <w:rPr>
                <w:rFonts w:ascii="Arial Narrow" w:hAnsi="Arial Narrow"/>
                <w:b/>
                <w:bCs/>
                <w:color w:val="000000"/>
                <w:sz w:val="16"/>
                <w:szCs w:val="16"/>
              </w:rPr>
              <w:t>SZČO uplatňujúca si paušálne výdavky a </w:t>
            </w:r>
            <w:r>
              <w:rPr>
                <w:rFonts w:ascii="Arial Narrow" w:hAnsi="Arial Narrow"/>
                <w:b/>
                <w:bCs/>
                <w:color w:val="000000"/>
                <w:sz w:val="16"/>
                <w:szCs w:val="16"/>
              </w:rPr>
              <w:t>poistné</w:t>
            </w:r>
            <w:r w:rsidRPr="00A92CB1">
              <w:rPr>
                <w:rFonts w:ascii="Arial Narrow" w:hAnsi="Arial Narrow"/>
                <w:b/>
                <w:bCs/>
                <w:color w:val="000000"/>
                <w:sz w:val="16"/>
                <w:szCs w:val="16"/>
              </w:rPr>
              <w:t xml:space="preserve"> platí z minimálneho VZ*</w:t>
            </w:r>
          </w:p>
        </w:tc>
      </w:tr>
      <w:tr>
        <w:tblPrEx>
          <w:tblW w:w="0" w:type="auto"/>
          <w:tblCellMar>
            <w:left w:w="70" w:type="dxa"/>
            <w:right w:w="70" w:type="dxa"/>
          </w:tblCellMar>
          <w:tblLook w:val="04A0"/>
        </w:tblPrEx>
        <w:trPr>
          <w:trHeight w:val="284"/>
        </w:trPr>
        <w:tc>
          <w:tcPr>
            <w:tcW w:w="2260" w:type="dxa"/>
            <w:vMerge/>
            <w:tcBorders>
              <w:top w:val="nil"/>
              <w:left w:val="single" w:sz="8" w:space="0" w:color="auto"/>
              <w:bottom w:val="single" w:sz="8" w:space="0" w:color="000000"/>
              <w:right w:val="single" w:sz="8" w:space="0" w:color="000000"/>
            </w:tcBorders>
            <w:textDirection w:val="lrTb"/>
            <w:vAlign w:val="center"/>
          </w:tcPr>
          <w:p w:rsidR="009C72EE" w:rsidRPr="00A92CB1" w:rsidP="00B9507E">
            <w:pPr>
              <w:bidi w:val="0"/>
              <w:rPr>
                <w:rFonts w:ascii="Arial Narrow" w:hAnsi="Arial Narrow"/>
                <w:b/>
                <w:bCs/>
                <w:i/>
                <w:iCs/>
                <w:color w:val="000000"/>
                <w:sz w:val="12"/>
                <w:szCs w:val="12"/>
              </w:rPr>
            </w:pPr>
          </w:p>
        </w:tc>
        <w:tc>
          <w:tcPr>
            <w:tcW w:w="3260" w:type="dxa"/>
            <w:gridSpan w:val="3"/>
            <w:tcBorders>
              <w:top w:val="single" w:sz="8" w:space="0" w:color="000000"/>
              <w:left w:val="nil"/>
              <w:bottom w:val="single" w:sz="8" w:space="0" w:color="000000"/>
              <w:right w:val="single" w:sz="8" w:space="0" w:color="000000"/>
            </w:tcBorders>
            <w:shd w:val="clear" w:color="000000" w:fill="BFBFBF"/>
            <w:textDirection w:val="lrTb"/>
            <w:vAlign w:val="center"/>
          </w:tcPr>
          <w:p w:rsidR="009C72EE" w:rsidRPr="00A92CB1" w:rsidP="00B9507E">
            <w:pPr>
              <w:bidi w:val="0"/>
              <w:jc w:val="center"/>
              <w:rPr>
                <w:rFonts w:ascii="Arial Narrow" w:hAnsi="Arial Narrow"/>
                <w:b/>
                <w:bCs/>
                <w:color w:val="000000"/>
                <w:sz w:val="16"/>
                <w:szCs w:val="16"/>
              </w:rPr>
            </w:pPr>
            <w:r w:rsidRPr="00A92CB1">
              <w:rPr>
                <w:rFonts w:ascii="Arial Narrow" w:hAnsi="Arial Narrow"/>
                <w:b/>
                <w:bCs/>
                <w:color w:val="000000"/>
                <w:sz w:val="16"/>
                <w:szCs w:val="16"/>
              </w:rPr>
              <w:t>I.   Súčasný systém</w:t>
            </w:r>
          </w:p>
        </w:tc>
        <w:tc>
          <w:tcPr>
            <w:tcW w:w="3620" w:type="dxa"/>
            <w:gridSpan w:val="3"/>
            <w:tcBorders>
              <w:top w:val="single" w:sz="8" w:space="0" w:color="000000"/>
              <w:left w:val="nil"/>
              <w:bottom w:val="single" w:sz="8" w:space="0" w:color="000000"/>
              <w:right w:val="single" w:sz="8" w:space="0" w:color="000000"/>
            </w:tcBorders>
            <w:shd w:val="clear" w:color="000000" w:fill="BFBFBF"/>
            <w:textDirection w:val="lrTb"/>
            <w:vAlign w:val="center"/>
          </w:tcPr>
          <w:p w:rsidR="009C72EE" w:rsidRPr="00A92CB1" w:rsidP="00B9507E">
            <w:pPr>
              <w:bidi w:val="0"/>
              <w:jc w:val="center"/>
              <w:rPr>
                <w:rFonts w:ascii="Arial Narrow" w:hAnsi="Arial Narrow"/>
                <w:b/>
                <w:bCs/>
                <w:color w:val="000000"/>
                <w:sz w:val="16"/>
                <w:szCs w:val="16"/>
              </w:rPr>
            </w:pPr>
            <w:r w:rsidRPr="00A92CB1">
              <w:rPr>
                <w:rFonts w:ascii="Arial Narrow" w:hAnsi="Arial Narrow"/>
                <w:b/>
                <w:bCs/>
                <w:color w:val="000000"/>
                <w:sz w:val="16"/>
                <w:szCs w:val="16"/>
              </w:rPr>
              <w:t>II. Návrh</w:t>
            </w:r>
          </w:p>
        </w:tc>
      </w:tr>
      <w:tr>
        <w:tblPrEx>
          <w:tblW w:w="0" w:type="auto"/>
          <w:tblCellMar>
            <w:left w:w="70" w:type="dxa"/>
            <w:right w:w="70" w:type="dxa"/>
          </w:tblCellMar>
          <w:tblLook w:val="04A0"/>
        </w:tblPrEx>
        <w:trPr>
          <w:trHeight w:val="284"/>
        </w:trPr>
        <w:tc>
          <w:tcPr>
            <w:tcW w:w="2260" w:type="dxa"/>
            <w:vMerge/>
            <w:tcBorders>
              <w:top w:val="nil"/>
              <w:left w:val="single" w:sz="8" w:space="0" w:color="auto"/>
              <w:bottom w:val="single" w:sz="8" w:space="0" w:color="000000"/>
              <w:right w:val="single" w:sz="8" w:space="0" w:color="000000"/>
            </w:tcBorders>
            <w:textDirection w:val="lrTb"/>
            <w:vAlign w:val="center"/>
          </w:tcPr>
          <w:p w:rsidR="009C72EE" w:rsidRPr="00A92CB1" w:rsidP="00B9507E">
            <w:pPr>
              <w:bidi w:val="0"/>
              <w:rPr>
                <w:rFonts w:ascii="Arial Narrow" w:hAnsi="Arial Narrow"/>
                <w:b/>
                <w:bCs/>
                <w:i/>
                <w:iCs/>
                <w:color w:val="000000"/>
                <w:sz w:val="12"/>
                <w:szCs w:val="12"/>
              </w:rPr>
            </w:pPr>
          </w:p>
        </w:tc>
        <w:tc>
          <w:tcPr>
            <w:tcW w:w="1420" w:type="dxa"/>
            <w:tcBorders>
              <w:top w:val="nil"/>
              <w:left w:val="nil"/>
              <w:bottom w:val="single" w:sz="8" w:space="0" w:color="000000"/>
              <w:right w:val="single" w:sz="8" w:space="0" w:color="000000"/>
            </w:tcBorders>
            <w:shd w:val="clear" w:color="000000" w:fill="BFBFBF"/>
            <w:textDirection w:val="lrTb"/>
            <w:vAlign w:val="center"/>
          </w:tcPr>
          <w:p w:rsidR="009C72EE" w:rsidRPr="00A92CB1" w:rsidP="00B9507E">
            <w:pPr>
              <w:bidi w:val="0"/>
              <w:jc w:val="center"/>
              <w:rPr>
                <w:rFonts w:ascii="Arial Narrow" w:hAnsi="Arial Narrow"/>
                <w:color w:val="000000"/>
                <w:sz w:val="16"/>
                <w:szCs w:val="16"/>
              </w:rPr>
            </w:pPr>
            <w:r w:rsidRPr="00A92CB1">
              <w:rPr>
                <w:rFonts w:ascii="Arial Narrow" w:hAnsi="Arial Narrow"/>
                <w:color w:val="000000"/>
                <w:sz w:val="16"/>
                <w:szCs w:val="16"/>
              </w:rPr>
              <w:t>sadzba v % [výpočet]</w:t>
            </w:r>
          </w:p>
        </w:tc>
        <w:tc>
          <w:tcPr>
            <w:tcW w:w="920" w:type="dxa"/>
            <w:tcBorders>
              <w:top w:val="nil"/>
              <w:left w:val="nil"/>
              <w:bottom w:val="single" w:sz="8" w:space="0" w:color="000000"/>
              <w:right w:val="single" w:sz="8" w:space="0" w:color="000000"/>
            </w:tcBorders>
            <w:shd w:val="clear" w:color="000000" w:fill="BFBFBF"/>
            <w:textDirection w:val="lrTb"/>
            <w:vAlign w:val="center"/>
          </w:tcPr>
          <w:p w:rsidR="009C72EE" w:rsidRPr="00A92CB1" w:rsidP="00B9507E">
            <w:pPr>
              <w:bidi w:val="0"/>
              <w:jc w:val="center"/>
              <w:rPr>
                <w:rFonts w:ascii="Arial Narrow" w:hAnsi="Arial Narrow"/>
                <w:color w:val="000000"/>
                <w:sz w:val="16"/>
                <w:szCs w:val="16"/>
              </w:rPr>
            </w:pPr>
            <w:r w:rsidRPr="00A92CB1">
              <w:rPr>
                <w:rFonts w:ascii="Arial Narrow" w:hAnsi="Arial Narrow"/>
                <w:color w:val="000000"/>
                <w:sz w:val="16"/>
                <w:szCs w:val="16"/>
              </w:rPr>
              <w:t>750 EUR/mesiac</w:t>
            </w:r>
          </w:p>
        </w:tc>
        <w:tc>
          <w:tcPr>
            <w:tcW w:w="920" w:type="dxa"/>
            <w:tcBorders>
              <w:top w:val="nil"/>
              <w:left w:val="nil"/>
              <w:bottom w:val="single" w:sz="8" w:space="0" w:color="000000"/>
              <w:right w:val="single" w:sz="8" w:space="0" w:color="000000"/>
            </w:tcBorders>
            <w:shd w:val="clear" w:color="000000" w:fill="BFBFBF"/>
            <w:textDirection w:val="lrTb"/>
            <w:vAlign w:val="center"/>
          </w:tcPr>
          <w:p w:rsidR="009C72EE" w:rsidRPr="00A92CB1" w:rsidP="00B9507E">
            <w:pPr>
              <w:bidi w:val="0"/>
              <w:jc w:val="center"/>
              <w:rPr>
                <w:rFonts w:ascii="Arial Narrow" w:hAnsi="Arial Narrow"/>
                <w:color w:val="000000"/>
                <w:sz w:val="16"/>
                <w:szCs w:val="16"/>
              </w:rPr>
            </w:pPr>
            <w:r w:rsidRPr="00A92CB1">
              <w:rPr>
                <w:rFonts w:ascii="Arial Narrow" w:hAnsi="Arial Narrow"/>
                <w:color w:val="000000"/>
                <w:sz w:val="16"/>
                <w:szCs w:val="16"/>
              </w:rPr>
              <w:t>1</w:t>
            </w:r>
            <w:r>
              <w:rPr>
                <w:rFonts w:ascii="Arial Narrow" w:hAnsi="Arial Narrow"/>
                <w:color w:val="000000"/>
                <w:sz w:val="16"/>
                <w:szCs w:val="16"/>
              </w:rPr>
              <w:t xml:space="preserve"> </w:t>
            </w:r>
            <w:r w:rsidRPr="00A92CB1">
              <w:rPr>
                <w:rFonts w:ascii="Arial Narrow" w:hAnsi="Arial Narrow"/>
                <w:color w:val="000000"/>
                <w:sz w:val="16"/>
                <w:szCs w:val="16"/>
              </w:rPr>
              <w:t>500 EUR/mesiac</w:t>
            </w:r>
          </w:p>
        </w:tc>
        <w:tc>
          <w:tcPr>
            <w:tcW w:w="1780" w:type="dxa"/>
            <w:tcBorders>
              <w:top w:val="nil"/>
              <w:left w:val="nil"/>
              <w:bottom w:val="single" w:sz="8" w:space="0" w:color="000000"/>
              <w:right w:val="single" w:sz="8" w:space="0" w:color="000000"/>
            </w:tcBorders>
            <w:shd w:val="clear" w:color="000000" w:fill="BFBFBF"/>
            <w:textDirection w:val="lrTb"/>
            <w:vAlign w:val="center"/>
          </w:tcPr>
          <w:p w:rsidR="009C72EE" w:rsidRPr="00A92CB1" w:rsidP="00B9507E">
            <w:pPr>
              <w:bidi w:val="0"/>
              <w:jc w:val="center"/>
              <w:rPr>
                <w:rFonts w:ascii="Arial Narrow" w:hAnsi="Arial Narrow"/>
                <w:color w:val="000000"/>
                <w:sz w:val="16"/>
                <w:szCs w:val="16"/>
              </w:rPr>
            </w:pPr>
            <w:r w:rsidRPr="00A92CB1">
              <w:rPr>
                <w:rFonts w:ascii="Arial Narrow" w:hAnsi="Arial Narrow"/>
                <w:color w:val="000000"/>
                <w:sz w:val="16"/>
                <w:szCs w:val="16"/>
              </w:rPr>
              <w:t>sadzba v % [výpočet]</w:t>
            </w:r>
          </w:p>
        </w:tc>
        <w:tc>
          <w:tcPr>
            <w:tcW w:w="920" w:type="dxa"/>
            <w:tcBorders>
              <w:top w:val="nil"/>
              <w:left w:val="nil"/>
              <w:bottom w:val="single" w:sz="8" w:space="0" w:color="000000"/>
              <w:right w:val="single" w:sz="8" w:space="0" w:color="000000"/>
            </w:tcBorders>
            <w:shd w:val="clear" w:color="000000" w:fill="BFBFBF"/>
            <w:textDirection w:val="lrTb"/>
            <w:vAlign w:val="center"/>
          </w:tcPr>
          <w:p w:rsidR="009C72EE" w:rsidRPr="00A92CB1" w:rsidP="00B9507E">
            <w:pPr>
              <w:bidi w:val="0"/>
              <w:jc w:val="center"/>
              <w:rPr>
                <w:rFonts w:ascii="Arial Narrow" w:hAnsi="Arial Narrow"/>
                <w:color w:val="000000"/>
                <w:sz w:val="16"/>
                <w:szCs w:val="16"/>
              </w:rPr>
            </w:pPr>
            <w:r w:rsidRPr="00A92CB1">
              <w:rPr>
                <w:rFonts w:ascii="Arial Narrow" w:hAnsi="Arial Narrow"/>
                <w:color w:val="000000"/>
                <w:sz w:val="16"/>
                <w:szCs w:val="16"/>
              </w:rPr>
              <w:t>750 EUR/mesiac</w:t>
            </w:r>
          </w:p>
        </w:tc>
        <w:tc>
          <w:tcPr>
            <w:tcW w:w="920" w:type="dxa"/>
            <w:tcBorders>
              <w:top w:val="nil"/>
              <w:left w:val="nil"/>
              <w:bottom w:val="single" w:sz="8" w:space="0" w:color="000000"/>
              <w:right w:val="single" w:sz="8" w:space="0" w:color="000000"/>
            </w:tcBorders>
            <w:shd w:val="clear" w:color="000000" w:fill="BFBFBF"/>
            <w:textDirection w:val="lrTb"/>
            <w:vAlign w:val="center"/>
          </w:tcPr>
          <w:p w:rsidR="009C72EE" w:rsidRPr="00A92CB1" w:rsidP="00B9507E">
            <w:pPr>
              <w:bidi w:val="0"/>
              <w:jc w:val="center"/>
              <w:rPr>
                <w:rFonts w:ascii="Arial Narrow" w:hAnsi="Arial Narrow"/>
                <w:color w:val="000000"/>
                <w:sz w:val="16"/>
                <w:szCs w:val="16"/>
              </w:rPr>
            </w:pPr>
            <w:r w:rsidRPr="00A92CB1">
              <w:rPr>
                <w:rFonts w:ascii="Arial Narrow" w:hAnsi="Arial Narrow"/>
                <w:color w:val="000000"/>
                <w:sz w:val="16"/>
                <w:szCs w:val="16"/>
              </w:rPr>
              <w:t>1500 EUR/mesiac</w:t>
            </w:r>
          </w:p>
        </w:tc>
      </w:tr>
      <w:tr>
        <w:tblPrEx>
          <w:tblW w:w="0" w:type="auto"/>
          <w:tblCellMar>
            <w:left w:w="70" w:type="dxa"/>
            <w:right w:w="70" w:type="dxa"/>
          </w:tblCellMar>
          <w:tblLook w:val="04A0"/>
        </w:tblPrEx>
        <w:trPr>
          <w:trHeight w:val="255"/>
        </w:trPr>
        <w:tc>
          <w:tcPr>
            <w:tcW w:w="2260" w:type="dxa"/>
            <w:tcBorders>
              <w:top w:val="nil"/>
              <w:left w:val="single" w:sz="8" w:space="0" w:color="auto"/>
              <w:bottom w:val="single" w:sz="8" w:space="0" w:color="000000"/>
              <w:right w:val="single" w:sz="8" w:space="0" w:color="000000"/>
            </w:tcBorders>
            <w:textDirection w:val="lrTb"/>
            <w:vAlign w:val="center"/>
          </w:tcPr>
          <w:p w:rsidR="009C72EE" w:rsidRPr="00A92CB1" w:rsidP="00B9507E">
            <w:pPr>
              <w:bidi w:val="0"/>
              <w:rPr>
                <w:rFonts w:ascii="Arial Narrow" w:hAnsi="Arial Narrow"/>
                <w:color w:val="000000"/>
                <w:sz w:val="14"/>
                <w:szCs w:val="14"/>
              </w:rPr>
            </w:pPr>
            <w:r w:rsidRPr="00A92CB1">
              <w:rPr>
                <w:rFonts w:ascii="Arial Narrow" w:hAnsi="Arial Narrow"/>
                <w:color w:val="000000"/>
                <w:sz w:val="14"/>
                <w:szCs w:val="14"/>
              </w:rPr>
              <w:t xml:space="preserve">A] príjmy spolu </w:t>
            </w:r>
          </w:p>
        </w:tc>
        <w:tc>
          <w:tcPr>
            <w:tcW w:w="142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w:t>
            </w:r>
          </w:p>
        </w:tc>
        <w:tc>
          <w:tcPr>
            <w:tcW w:w="92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750</w:t>
            </w:r>
          </w:p>
        </w:tc>
        <w:tc>
          <w:tcPr>
            <w:tcW w:w="92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1 500</w:t>
            </w:r>
          </w:p>
        </w:tc>
        <w:tc>
          <w:tcPr>
            <w:tcW w:w="178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w:t>
            </w:r>
          </w:p>
        </w:tc>
        <w:tc>
          <w:tcPr>
            <w:tcW w:w="920" w:type="dxa"/>
            <w:tcBorders>
              <w:top w:val="nil"/>
              <w:left w:val="nil"/>
              <w:bottom w:val="single" w:sz="8" w:space="0" w:color="000000"/>
              <w:right w:val="single" w:sz="8" w:space="0" w:color="auto"/>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750</w:t>
            </w:r>
          </w:p>
        </w:tc>
        <w:tc>
          <w:tcPr>
            <w:tcW w:w="920" w:type="dxa"/>
            <w:tcBorders>
              <w:top w:val="nil"/>
              <w:left w:val="nil"/>
              <w:bottom w:val="single" w:sz="8" w:space="0" w:color="000000"/>
              <w:right w:val="single" w:sz="8" w:space="0" w:color="auto"/>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1 500</w:t>
            </w:r>
          </w:p>
        </w:tc>
      </w:tr>
      <w:tr>
        <w:tblPrEx>
          <w:tblW w:w="0" w:type="auto"/>
          <w:tblCellMar>
            <w:left w:w="70" w:type="dxa"/>
            <w:right w:w="70" w:type="dxa"/>
          </w:tblCellMar>
          <w:tblLook w:val="04A0"/>
        </w:tblPrEx>
        <w:trPr>
          <w:trHeight w:val="255"/>
        </w:trPr>
        <w:tc>
          <w:tcPr>
            <w:tcW w:w="2260" w:type="dxa"/>
            <w:tcBorders>
              <w:top w:val="nil"/>
              <w:left w:val="single" w:sz="8" w:space="0" w:color="auto"/>
              <w:bottom w:val="nil"/>
              <w:right w:val="single" w:sz="8" w:space="0" w:color="000000"/>
            </w:tcBorders>
            <w:textDirection w:val="lrTb"/>
            <w:vAlign w:val="center"/>
          </w:tcPr>
          <w:p w:rsidR="009C72EE" w:rsidRPr="00A92CB1" w:rsidP="00B9507E">
            <w:pPr>
              <w:bidi w:val="0"/>
              <w:rPr>
                <w:rFonts w:ascii="Arial Narrow" w:hAnsi="Arial Narrow"/>
                <w:color w:val="000000"/>
                <w:sz w:val="14"/>
                <w:szCs w:val="14"/>
              </w:rPr>
            </w:pPr>
            <w:r w:rsidRPr="00A92CB1">
              <w:rPr>
                <w:rFonts w:ascii="Arial Narrow" w:hAnsi="Arial Narrow"/>
                <w:color w:val="000000"/>
                <w:sz w:val="14"/>
                <w:szCs w:val="14"/>
              </w:rPr>
              <w:t xml:space="preserve">B] paušálne výdavky </w:t>
            </w:r>
          </w:p>
        </w:tc>
        <w:tc>
          <w:tcPr>
            <w:tcW w:w="1420" w:type="dxa"/>
            <w:tcBorders>
              <w:top w:val="nil"/>
              <w:left w:val="nil"/>
              <w:bottom w:val="nil"/>
              <w:right w:val="single" w:sz="8" w:space="0" w:color="000000"/>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40 % z [A]</w:t>
            </w:r>
          </w:p>
        </w:tc>
        <w:tc>
          <w:tcPr>
            <w:tcW w:w="920" w:type="dxa"/>
            <w:tcBorders>
              <w:top w:val="nil"/>
              <w:left w:val="nil"/>
              <w:bottom w:val="nil"/>
              <w:right w:val="single" w:sz="8" w:space="0" w:color="000000"/>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300</w:t>
            </w:r>
          </w:p>
        </w:tc>
        <w:tc>
          <w:tcPr>
            <w:tcW w:w="920" w:type="dxa"/>
            <w:tcBorders>
              <w:top w:val="nil"/>
              <w:left w:val="nil"/>
              <w:bottom w:val="nil"/>
              <w:right w:val="single" w:sz="8" w:space="0" w:color="000000"/>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600</w:t>
            </w:r>
          </w:p>
        </w:tc>
        <w:tc>
          <w:tcPr>
            <w:tcW w:w="1780" w:type="dxa"/>
            <w:tcBorders>
              <w:top w:val="nil"/>
              <w:left w:val="nil"/>
              <w:bottom w:val="single" w:sz="8" w:space="0" w:color="auto"/>
              <w:right w:val="single" w:sz="8" w:space="0" w:color="000000"/>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40% z [A] max. 200</w:t>
            </w:r>
          </w:p>
        </w:tc>
        <w:tc>
          <w:tcPr>
            <w:tcW w:w="920" w:type="dxa"/>
            <w:tcBorders>
              <w:top w:val="nil"/>
              <w:left w:val="nil"/>
              <w:bottom w:val="nil"/>
              <w:right w:val="single" w:sz="8" w:space="0" w:color="auto"/>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200</w:t>
            </w:r>
          </w:p>
        </w:tc>
        <w:tc>
          <w:tcPr>
            <w:tcW w:w="920" w:type="dxa"/>
            <w:tcBorders>
              <w:top w:val="nil"/>
              <w:left w:val="nil"/>
              <w:bottom w:val="nil"/>
              <w:right w:val="single" w:sz="8" w:space="0" w:color="auto"/>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200</w:t>
            </w:r>
          </w:p>
        </w:tc>
      </w:tr>
      <w:tr>
        <w:tblPrEx>
          <w:tblW w:w="0" w:type="auto"/>
          <w:tblCellMar>
            <w:left w:w="70" w:type="dxa"/>
            <w:right w:w="70" w:type="dxa"/>
          </w:tblCellMar>
          <w:tblLook w:val="04A0"/>
        </w:tblPrEx>
        <w:trPr>
          <w:trHeight w:val="255"/>
        </w:trPr>
        <w:tc>
          <w:tcPr>
            <w:tcW w:w="2260" w:type="dxa"/>
            <w:tcBorders>
              <w:top w:val="single" w:sz="8" w:space="0" w:color="auto"/>
              <w:left w:val="single" w:sz="8" w:space="0" w:color="auto"/>
              <w:bottom w:val="single" w:sz="8" w:space="0" w:color="auto"/>
              <w:right w:val="single" w:sz="8" w:space="0" w:color="000000"/>
            </w:tcBorders>
            <w:textDirection w:val="lrTb"/>
            <w:vAlign w:val="center"/>
          </w:tcPr>
          <w:p w:rsidR="009C72EE" w:rsidRPr="00A92CB1" w:rsidP="00B9507E">
            <w:pPr>
              <w:bidi w:val="0"/>
              <w:rPr>
                <w:rFonts w:ascii="Arial Narrow" w:hAnsi="Arial Narrow"/>
                <w:color w:val="000000"/>
                <w:sz w:val="14"/>
                <w:szCs w:val="14"/>
              </w:rPr>
            </w:pPr>
            <w:r w:rsidRPr="00A92CB1">
              <w:rPr>
                <w:rFonts w:ascii="Arial Narrow" w:hAnsi="Arial Narrow"/>
                <w:color w:val="000000"/>
                <w:sz w:val="14"/>
                <w:szCs w:val="14"/>
              </w:rPr>
              <w:t>C] zaplatené poistné*</w:t>
            </w:r>
          </w:p>
        </w:tc>
        <w:tc>
          <w:tcPr>
            <w:tcW w:w="1420" w:type="dxa"/>
            <w:tcBorders>
              <w:top w:val="single" w:sz="8" w:space="0" w:color="auto"/>
              <w:left w:val="nil"/>
              <w:bottom w:val="single" w:sz="8" w:space="0" w:color="auto"/>
              <w:right w:val="single" w:sz="8" w:space="0" w:color="000000"/>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47,15% z 340,37</w:t>
            </w:r>
          </w:p>
        </w:tc>
        <w:tc>
          <w:tcPr>
            <w:tcW w:w="920" w:type="dxa"/>
            <w:tcBorders>
              <w:top w:val="single" w:sz="8" w:space="0" w:color="auto"/>
              <w:left w:val="nil"/>
              <w:bottom w:val="single" w:sz="8" w:space="0" w:color="auto"/>
              <w:right w:val="single" w:sz="8" w:space="0" w:color="000000"/>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160,48</w:t>
            </w:r>
          </w:p>
        </w:tc>
        <w:tc>
          <w:tcPr>
            <w:tcW w:w="920" w:type="dxa"/>
            <w:tcBorders>
              <w:top w:val="single" w:sz="8" w:space="0" w:color="auto"/>
              <w:left w:val="nil"/>
              <w:bottom w:val="single" w:sz="8" w:space="0" w:color="auto"/>
              <w:right w:val="single" w:sz="8" w:space="0" w:color="000000"/>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160,48</w:t>
            </w:r>
          </w:p>
        </w:tc>
        <w:tc>
          <w:tcPr>
            <w:tcW w:w="1780" w:type="dxa"/>
            <w:tcBorders>
              <w:top w:val="nil"/>
              <w:left w:val="nil"/>
              <w:bottom w:val="single" w:sz="8" w:space="0" w:color="auto"/>
              <w:right w:val="single" w:sz="8" w:space="0" w:color="000000"/>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22% z min(625,84;PPZDP)</w:t>
            </w:r>
          </w:p>
        </w:tc>
        <w:tc>
          <w:tcPr>
            <w:tcW w:w="920" w:type="dxa"/>
            <w:tcBorders>
              <w:top w:val="single" w:sz="8" w:space="0" w:color="auto"/>
              <w:left w:val="nil"/>
              <w:bottom w:val="single" w:sz="8" w:space="0" w:color="auto"/>
              <w:right w:val="single" w:sz="8" w:space="0" w:color="auto"/>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137,67</w:t>
            </w:r>
          </w:p>
        </w:tc>
        <w:tc>
          <w:tcPr>
            <w:tcW w:w="920" w:type="dxa"/>
            <w:tcBorders>
              <w:top w:val="single" w:sz="8" w:space="0" w:color="auto"/>
              <w:left w:val="nil"/>
              <w:bottom w:val="single" w:sz="8" w:space="0" w:color="auto"/>
              <w:right w:val="single" w:sz="8" w:space="0" w:color="auto"/>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198,00</w:t>
            </w:r>
          </w:p>
        </w:tc>
      </w:tr>
      <w:tr>
        <w:tblPrEx>
          <w:tblW w:w="0" w:type="auto"/>
          <w:tblCellMar>
            <w:left w:w="70" w:type="dxa"/>
            <w:right w:w="70" w:type="dxa"/>
          </w:tblCellMar>
          <w:tblLook w:val="04A0"/>
        </w:tblPrEx>
        <w:trPr>
          <w:trHeight w:val="255"/>
        </w:trPr>
        <w:tc>
          <w:tcPr>
            <w:tcW w:w="2260" w:type="dxa"/>
            <w:tcBorders>
              <w:top w:val="nil"/>
              <w:left w:val="single" w:sz="8" w:space="0" w:color="auto"/>
              <w:bottom w:val="single" w:sz="8" w:space="0" w:color="000000"/>
              <w:right w:val="single" w:sz="8" w:space="0" w:color="000000"/>
            </w:tcBorders>
            <w:textDirection w:val="lrTb"/>
            <w:vAlign w:val="center"/>
          </w:tcPr>
          <w:p w:rsidR="009C72EE" w:rsidRPr="00A92CB1" w:rsidP="00B9507E">
            <w:pPr>
              <w:bidi w:val="0"/>
              <w:rPr>
                <w:rFonts w:ascii="Arial Narrow" w:hAnsi="Arial Narrow"/>
                <w:color w:val="000000"/>
                <w:sz w:val="14"/>
                <w:szCs w:val="14"/>
              </w:rPr>
            </w:pPr>
            <w:r w:rsidRPr="00A92CB1">
              <w:rPr>
                <w:rFonts w:ascii="Arial Narrow" w:hAnsi="Arial Narrow"/>
                <w:color w:val="000000"/>
                <w:sz w:val="14"/>
                <w:szCs w:val="14"/>
              </w:rPr>
              <w:t>D] výdavky spolu</w:t>
            </w:r>
          </w:p>
        </w:tc>
        <w:tc>
          <w:tcPr>
            <w:tcW w:w="142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[B+C]</w:t>
            </w:r>
          </w:p>
        </w:tc>
        <w:tc>
          <w:tcPr>
            <w:tcW w:w="92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460,48</w:t>
            </w:r>
          </w:p>
        </w:tc>
        <w:tc>
          <w:tcPr>
            <w:tcW w:w="92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760,48</w:t>
            </w:r>
          </w:p>
        </w:tc>
        <w:tc>
          <w:tcPr>
            <w:tcW w:w="178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[C]</w:t>
            </w:r>
          </w:p>
        </w:tc>
        <w:tc>
          <w:tcPr>
            <w:tcW w:w="920" w:type="dxa"/>
            <w:tcBorders>
              <w:top w:val="nil"/>
              <w:left w:val="nil"/>
              <w:bottom w:val="single" w:sz="8" w:space="0" w:color="000000"/>
              <w:right w:val="single" w:sz="8" w:space="0" w:color="auto"/>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200,00</w:t>
            </w:r>
          </w:p>
        </w:tc>
        <w:tc>
          <w:tcPr>
            <w:tcW w:w="920" w:type="dxa"/>
            <w:tcBorders>
              <w:top w:val="nil"/>
              <w:left w:val="nil"/>
              <w:bottom w:val="single" w:sz="8" w:space="0" w:color="000000"/>
              <w:right w:val="single" w:sz="8" w:space="0" w:color="auto"/>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200,00</w:t>
            </w:r>
          </w:p>
        </w:tc>
      </w:tr>
      <w:tr>
        <w:tblPrEx>
          <w:tblW w:w="0" w:type="auto"/>
          <w:tblCellMar>
            <w:left w:w="70" w:type="dxa"/>
            <w:right w:w="70" w:type="dxa"/>
          </w:tblCellMar>
          <w:tblLook w:val="04A0"/>
        </w:tblPrEx>
        <w:trPr>
          <w:trHeight w:val="255"/>
        </w:trPr>
        <w:tc>
          <w:tcPr>
            <w:tcW w:w="2260" w:type="dxa"/>
            <w:tcBorders>
              <w:top w:val="nil"/>
              <w:left w:val="single" w:sz="8" w:space="0" w:color="auto"/>
              <w:bottom w:val="single" w:sz="8" w:space="0" w:color="000000"/>
              <w:right w:val="single" w:sz="8" w:space="0" w:color="000000"/>
            </w:tcBorders>
            <w:textDirection w:val="lrTb"/>
            <w:vAlign w:val="center"/>
          </w:tcPr>
          <w:p w:rsidR="009C72EE" w:rsidRPr="00A92CB1" w:rsidP="00B9507E">
            <w:pPr>
              <w:bidi w:val="0"/>
              <w:rPr>
                <w:rFonts w:ascii="Arial Narrow" w:hAnsi="Arial Narrow"/>
                <w:color w:val="000000"/>
                <w:sz w:val="14"/>
                <w:szCs w:val="14"/>
              </w:rPr>
            </w:pPr>
            <w:r w:rsidRPr="00A92CB1">
              <w:rPr>
                <w:rFonts w:ascii="Arial Narrow" w:hAnsi="Arial Narrow"/>
                <w:color w:val="000000"/>
                <w:sz w:val="14"/>
                <w:szCs w:val="14"/>
              </w:rPr>
              <w:t>E] základ dane</w:t>
            </w:r>
          </w:p>
        </w:tc>
        <w:tc>
          <w:tcPr>
            <w:tcW w:w="142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[A-D]</w:t>
            </w:r>
          </w:p>
        </w:tc>
        <w:tc>
          <w:tcPr>
            <w:tcW w:w="92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289,52</w:t>
            </w:r>
          </w:p>
        </w:tc>
        <w:tc>
          <w:tcPr>
            <w:tcW w:w="92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739,52</w:t>
            </w:r>
          </w:p>
        </w:tc>
        <w:tc>
          <w:tcPr>
            <w:tcW w:w="178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[A-D]</w:t>
            </w:r>
          </w:p>
        </w:tc>
        <w:tc>
          <w:tcPr>
            <w:tcW w:w="920" w:type="dxa"/>
            <w:tcBorders>
              <w:top w:val="nil"/>
              <w:left w:val="nil"/>
              <w:bottom w:val="single" w:sz="8" w:space="0" w:color="000000"/>
              <w:right w:val="single" w:sz="8" w:space="0" w:color="auto"/>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550</w:t>
            </w:r>
          </w:p>
        </w:tc>
        <w:tc>
          <w:tcPr>
            <w:tcW w:w="920" w:type="dxa"/>
            <w:tcBorders>
              <w:top w:val="nil"/>
              <w:left w:val="nil"/>
              <w:bottom w:val="single" w:sz="8" w:space="0" w:color="000000"/>
              <w:right w:val="single" w:sz="8" w:space="0" w:color="auto"/>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1 300</w:t>
            </w:r>
          </w:p>
        </w:tc>
      </w:tr>
      <w:tr>
        <w:tblPrEx>
          <w:tblW w:w="0" w:type="auto"/>
          <w:tblCellMar>
            <w:left w:w="70" w:type="dxa"/>
            <w:right w:w="70" w:type="dxa"/>
          </w:tblCellMar>
          <w:tblLook w:val="04A0"/>
        </w:tblPrEx>
        <w:trPr>
          <w:trHeight w:val="255"/>
        </w:trPr>
        <w:tc>
          <w:tcPr>
            <w:tcW w:w="2260" w:type="dxa"/>
            <w:tcBorders>
              <w:top w:val="nil"/>
              <w:left w:val="single" w:sz="8" w:space="0" w:color="auto"/>
              <w:bottom w:val="single" w:sz="8" w:space="0" w:color="000000"/>
              <w:right w:val="single" w:sz="8" w:space="0" w:color="000000"/>
            </w:tcBorders>
            <w:textDirection w:val="lrTb"/>
            <w:vAlign w:val="center"/>
          </w:tcPr>
          <w:p w:rsidR="009C72EE" w:rsidRPr="00A92CB1" w:rsidP="00B9507E">
            <w:pPr>
              <w:bidi w:val="0"/>
              <w:rPr>
                <w:rFonts w:ascii="Arial Narrow" w:hAnsi="Arial Narrow"/>
                <w:color w:val="000000"/>
                <w:sz w:val="14"/>
                <w:szCs w:val="14"/>
              </w:rPr>
            </w:pPr>
            <w:r w:rsidRPr="00A92CB1">
              <w:rPr>
                <w:rFonts w:ascii="Arial Narrow" w:hAnsi="Arial Narrow"/>
                <w:color w:val="000000"/>
                <w:sz w:val="14"/>
                <w:szCs w:val="14"/>
              </w:rPr>
              <w:t>F] nezdaniteľná časť základu dane</w:t>
            </w:r>
          </w:p>
        </w:tc>
        <w:tc>
          <w:tcPr>
            <w:tcW w:w="142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1,6 * ŽM</w:t>
            </w:r>
          </w:p>
        </w:tc>
        <w:tc>
          <w:tcPr>
            <w:tcW w:w="92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303,44</w:t>
            </w:r>
          </w:p>
        </w:tc>
        <w:tc>
          <w:tcPr>
            <w:tcW w:w="92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303,44</w:t>
            </w:r>
          </w:p>
        </w:tc>
        <w:tc>
          <w:tcPr>
            <w:tcW w:w="178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1,5 * ŽM</w:t>
            </w:r>
          </w:p>
        </w:tc>
        <w:tc>
          <w:tcPr>
            <w:tcW w:w="920" w:type="dxa"/>
            <w:tcBorders>
              <w:top w:val="nil"/>
              <w:left w:val="nil"/>
              <w:bottom w:val="single" w:sz="8" w:space="0" w:color="000000"/>
              <w:right w:val="single" w:sz="8" w:space="0" w:color="auto"/>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284,48</w:t>
            </w:r>
          </w:p>
        </w:tc>
        <w:tc>
          <w:tcPr>
            <w:tcW w:w="920" w:type="dxa"/>
            <w:tcBorders>
              <w:top w:val="nil"/>
              <w:left w:val="nil"/>
              <w:bottom w:val="single" w:sz="8" w:space="0" w:color="000000"/>
              <w:right w:val="single" w:sz="8" w:space="0" w:color="auto"/>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284,48</w:t>
            </w:r>
          </w:p>
        </w:tc>
      </w:tr>
      <w:tr>
        <w:tblPrEx>
          <w:tblW w:w="0" w:type="auto"/>
          <w:tblCellMar>
            <w:left w:w="70" w:type="dxa"/>
            <w:right w:w="70" w:type="dxa"/>
          </w:tblCellMar>
          <w:tblLook w:val="04A0"/>
        </w:tblPrEx>
        <w:trPr>
          <w:trHeight w:val="255"/>
        </w:trPr>
        <w:tc>
          <w:tcPr>
            <w:tcW w:w="2260" w:type="dxa"/>
            <w:tcBorders>
              <w:top w:val="nil"/>
              <w:left w:val="single" w:sz="8" w:space="0" w:color="auto"/>
              <w:bottom w:val="single" w:sz="8" w:space="0" w:color="000000"/>
              <w:right w:val="single" w:sz="8" w:space="0" w:color="000000"/>
            </w:tcBorders>
            <w:textDirection w:val="lrTb"/>
            <w:vAlign w:val="center"/>
          </w:tcPr>
          <w:p w:rsidR="009C72EE" w:rsidRPr="00A92CB1" w:rsidP="00B9507E">
            <w:pPr>
              <w:bidi w:val="0"/>
              <w:rPr>
                <w:rFonts w:ascii="Arial Narrow" w:hAnsi="Arial Narrow"/>
                <w:color w:val="000000"/>
                <w:sz w:val="14"/>
                <w:szCs w:val="14"/>
              </w:rPr>
            </w:pPr>
            <w:r w:rsidRPr="00A92CB1">
              <w:rPr>
                <w:rFonts w:ascii="Arial Narrow" w:hAnsi="Arial Narrow"/>
                <w:color w:val="000000"/>
                <w:sz w:val="14"/>
                <w:szCs w:val="14"/>
              </w:rPr>
              <w:t>G] zdaniteľný príjem</w:t>
            </w:r>
          </w:p>
        </w:tc>
        <w:tc>
          <w:tcPr>
            <w:tcW w:w="142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[E-F]</w:t>
            </w:r>
          </w:p>
        </w:tc>
        <w:tc>
          <w:tcPr>
            <w:tcW w:w="92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0</w:t>
            </w:r>
          </w:p>
        </w:tc>
        <w:tc>
          <w:tcPr>
            <w:tcW w:w="92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436,08</w:t>
            </w:r>
          </w:p>
        </w:tc>
        <w:tc>
          <w:tcPr>
            <w:tcW w:w="178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[E-F]</w:t>
            </w:r>
          </w:p>
        </w:tc>
        <w:tc>
          <w:tcPr>
            <w:tcW w:w="920" w:type="dxa"/>
            <w:tcBorders>
              <w:top w:val="nil"/>
              <w:left w:val="nil"/>
              <w:bottom w:val="single" w:sz="8" w:space="0" w:color="000000"/>
              <w:right w:val="single" w:sz="8" w:space="0" w:color="auto"/>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265,52</w:t>
            </w:r>
          </w:p>
        </w:tc>
        <w:tc>
          <w:tcPr>
            <w:tcW w:w="920" w:type="dxa"/>
            <w:tcBorders>
              <w:top w:val="nil"/>
              <w:left w:val="nil"/>
              <w:bottom w:val="single" w:sz="8" w:space="0" w:color="000000"/>
              <w:right w:val="single" w:sz="8" w:space="0" w:color="auto"/>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1 015,52</w:t>
            </w:r>
          </w:p>
        </w:tc>
      </w:tr>
      <w:tr>
        <w:tblPrEx>
          <w:tblW w:w="0" w:type="auto"/>
          <w:tblCellMar>
            <w:left w:w="70" w:type="dxa"/>
            <w:right w:w="70" w:type="dxa"/>
          </w:tblCellMar>
          <w:tblLook w:val="04A0"/>
        </w:tblPrEx>
        <w:trPr>
          <w:trHeight w:val="255"/>
        </w:trPr>
        <w:tc>
          <w:tcPr>
            <w:tcW w:w="2260" w:type="dxa"/>
            <w:tcBorders>
              <w:top w:val="nil"/>
              <w:left w:val="single" w:sz="8" w:space="0" w:color="auto"/>
              <w:bottom w:val="single" w:sz="8" w:space="0" w:color="000000"/>
              <w:right w:val="single" w:sz="8" w:space="0" w:color="000000"/>
            </w:tcBorders>
            <w:textDirection w:val="lrTb"/>
            <w:vAlign w:val="center"/>
          </w:tcPr>
          <w:p w:rsidR="009C72EE" w:rsidRPr="00A92CB1" w:rsidP="00B9507E">
            <w:pPr>
              <w:bidi w:val="0"/>
              <w:rPr>
                <w:rFonts w:ascii="Arial Narrow" w:hAnsi="Arial Narrow"/>
                <w:color w:val="000000"/>
                <w:sz w:val="14"/>
                <w:szCs w:val="14"/>
              </w:rPr>
            </w:pPr>
            <w:r w:rsidRPr="00A92CB1">
              <w:rPr>
                <w:rFonts w:ascii="Arial Narrow" w:hAnsi="Arial Narrow"/>
                <w:color w:val="000000"/>
                <w:sz w:val="14"/>
                <w:szCs w:val="14"/>
              </w:rPr>
              <w:t>H] daň z príjmu FO</w:t>
            </w:r>
          </w:p>
        </w:tc>
        <w:tc>
          <w:tcPr>
            <w:tcW w:w="142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19 % z [G]</w:t>
            </w:r>
          </w:p>
        </w:tc>
        <w:tc>
          <w:tcPr>
            <w:tcW w:w="92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0</w:t>
            </w:r>
          </w:p>
        </w:tc>
        <w:tc>
          <w:tcPr>
            <w:tcW w:w="92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82,85</w:t>
            </w:r>
          </w:p>
        </w:tc>
        <w:tc>
          <w:tcPr>
            <w:tcW w:w="178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19 % z [G]</w:t>
            </w:r>
          </w:p>
        </w:tc>
        <w:tc>
          <w:tcPr>
            <w:tcW w:w="920" w:type="dxa"/>
            <w:tcBorders>
              <w:top w:val="nil"/>
              <w:left w:val="nil"/>
              <w:bottom w:val="single" w:sz="8" w:space="0" w:color="000000"/>
              <w:right w:val="single" w:sz="8" w:space="0" w:color="auto"/>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50,44</w:t>
            </w:r>
          </w:p>
        </w:tc>
        <w:tc>
          <w:tcPr>
            <w:tcW w:w="920" w:type="dxa"/>
            <w:tcBorders>
              <w:top w:val="nil"/>
              <w:left w:val="nil"/>
              <w:bottom w:val="single" w:sz="8" w:space="0" w:color="000000"/>
              <w:right w:val="single" w:sz="8" w:space="0" w:color="auto"/>
            </w:tcBorders>
            <w:textDirection w:val="lrTb"/>
            <w:vAlign w:val="center"/>
          </w:tcPr>
          <w:p w:rsidR="009C72EE" w:rsidRPr="00A92CB1" w:rsidP="00B9507E">
            <w:pPr>
              <w:bidi w:val="0"/>
              <w:jc w:val="center"/>
              <w:rPr>
                <w:rFonts w:ascii="Arial Narrow" w:hAnsi="Arial Narrow"/>
                <w:color w:val="000000"/>
                <w:sz w:val="14"/>
                <w:szCs w:val="14"/>
              </w:rPr>
            </w:pPr>
            <w:r w:rsidRPr="00A92CB1">
              <w:rPr>
                <w:rFonts w:ascii="Arial Narrow" w:hAnsi="Arial Narrow"/>
                <w:color w:val="000000"/>
                <w:sz w:val="14"/>
                <w:szCs w:val="14"/>
              </w:rPr>
              <w:t>192,94</w:t>
            </w:r>
          </w:p>
        </w:tc>
      </w:tr>
      <w:tr>
        <w:tblPrEx>
          <w:tblW w:w="0" w:type="auto"/>
          <w:tblCellMar>
            <w:left w:w="70" w:type="dxa"/>
            <w:right w:w="70" w:type="dxa"/>
          </w:tblCellMar>
          <w:tblLook w:val="04A0"/>
        </w:tblPrEx>
        <w:trPr>
          <w:trHeight w:val="255"/>
        </w:trPr>
        <w:tc>
          <w:tcPr>
            <w:tcW w:w="2260" w:type="dxa"/>
            <w:tcBorders>
              <w:top w:val="nil"/>
              <w:left w:val="single" w:sz="8" w:space="0" w:color="auto"/>
              <w:bottom w:val="single" w:sz="8" w:space="0" w:color="000000"/>
              <w:right w:val="single" w:sz="8" w:space="0" w:color="000000"/>
            </w:tcBorders>
            <w:textDirection w:val="lrTb"/>
            <w:vAlign w:val="center"/>
          </w:tcPr>
          <w:p w:rsidR="009C72EE" w:rsidRPr="00A92CB1" w:rsidP="00B9507E">
            <w:pPr>
              <w:bidi w:val="0"/>
              <w:rPr>
                <w:rFonts w:ascii="Arial Narrow" w:hAnsi="Arial Narrow"/>
                <w:b/>
                <w:bCs/>
                <w:color w:val="000000"/>
                <w:sz w:val="14"/>
                <w:szCs w:val="14"/>
              </w:rPr>
            </w:pPr>
            <w:r w:rsidRPr="00A92CB1">
              <w:rPr>
                <w:rFonts w:ascii="Arial Narrow" w:hAnsi="Arial Narrow"/>
                <w:b/>
                <w:bCs/>
                <w:color w:val="000000"/>
                <w:sz w:val="14"/>
                <w:szCs w:val="14"/>
              </w:rPr>
              <w:t>I] čistý príjem **</w:t>
            </w:r>
          </w:p>
        </w:tc>
        <w:tc>
          <w:tcPr>
            <w:tcW w:w="142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b/>
                <w:bCs/>
                <w:color w:val="000000"/>
                <w:sz w:val="14"/>
                <w:szCs w:val="14"/>
              </w:rPr>
            </w:pPr>
            <w:r w:rsidRPr="00A92CB1">
              <w:rPr>
                <w:rFonts w:ascii="Arial Narrow" w:hAnsi="Arial Narrow"/>
                <w:b/>
                <w:bCs/>
                <w:color w:val="000000"/>
                <w:sz w:val="14"/>
                <w:szCs w:val="14"/>
              </w:rPr>
              <w:t>[A-20%*B-C-H]</w:t>
            </w:r>
          </w:p>
        </w:tc>
        <w:tc>
          <w:tcPr>
            <w:tcW w:w="92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b/>
                <w:bCs/>
                <w:color w:val="000000"/>
                <w:sz w:val="14"/>
                <w:szCs w:val="14"/>
              </w:rPr>
            </w:pPr>
            <w:r w:rsidRPr="00A92CB1">
              <w:rPr>
                <w:rFonts w:ascii="Arial Narrow" w:hAnsi="Arial Narrow"/>
                <w:b/>
                <w:bCs/>
                <w:color w:val="000000"/>
                <w:sz w:val="14"/>
                <w:szCs w:val="14"/>
              </w:rPr>
              <w:t>529,52</w:t>
            </w:r>
          </w:p>
        </w:tc>
        <w:tc>
          <w:tcPr>
            <w:tcW w:w="92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b/>
                <w:bCs/>
                <w:color w:val="000000"/>
                <w:sz w:val="14"/>
                <w:szCs w:val="14"/>
              </w:rPr>
            </w:pPr>
            <w:r w:rsidRPr="00A92CB1">
              <w:rPr>
                <w:rFonts w:ascii="Arial Narrow" w:hAnsi="Arial Narrow"/>
                <w:b/>
                <w:bCs/>
                <w:color w:val="000000"/>
                <w:sz w:val="14"/>
                <w:szCs w:val="14"/>
              </w:rPr>
              <w:t>1 136,67</w:t>
            </w:r>
          </w:p>
        </w:tc>
        <w:tc>
          <w:tcPr>
            <w:tcW w:w="178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b/>
                <w:bCs/>
                <w:color w:val="000000"/>
                <w:sz w:val="14"/>
                <w:szCs w:val="14"/>
              </w:rPr>
            </w:pPr>
            <w:r w:rsidRPr="00A92CB1">
              <w:rPr>
                <w:rFonts w:ascii="Arial Narrow" w:hAnsi="Arial Narrow"/>
                <w:b/>
                <w:bCs/>
                <w:color w:val="000000"/>
                <w:sz w:val="14"/>
                <w:szCs w:val="14"/>
              </w:rPr>
              <w:t>[A-20%*B I. -C-H]</w:t>
            </w:r>
          </w:p>
        </w:tc>
        <w:tc>
          <w:tcPr>
            <w:tcW w:w="92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b/>
                <w:bCs/>
                <w:color w:val="000000"/>
                <w:sz w:val="14"/>
                <w:szCs w:val="14"/>
              </w:rPr>
            </w:pPr>
            <w:r w:rsidRPr="00A92CB1">
              <w:rPr>
                <w:rFonts w:ascii="Arial Narrow" w:hAnsi="Arial Narrow"/>
                <w:b/>
                <w:bCs/>
                <w:color w:val="000000"/>
                <w:sz w:val="14"/>
                <w:szCs w:val="14"/>
              </w:rPr>
              <w:t>501,89</w:t>
            </w:r>
          </w:p>
        </w:tc>
        <w:tc>
          <w:tcPr>
            <w:tcW w:w="92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b/>
                <w:bCs/>
                <w:color w:val="000000"/>
                <w:sz w:val="14"/>
                <w:szCs w:val="14"/>
              </w:rPr>
            </w:pPr>
            <w:r w:rsidRPr="00A92CB1">
              <w:rPr>
                <w:rFonts w:ascii="Arial Narrow" w:hAnsi="Arial Narrow"/>
                <w:b/>
                <w:bCs/>
                <w:color w:val="000000"/>
                <w:sz w:val="14"/>
                <w:szCs w:val="14"/>
              </w:rPr>
              <w:t>989,06</w:t>
            </w:r>
          </w:p>
        </w:tc>
      </w:tr>
      <w:tr>
        <w:tblPrEx>
          <w:tblW w:w="0" w:type="auto"/>
          <w:tblCellMar>
            <w:left w:w="70" w:type="dxa"/>
            <w:right w:w="70" w:type="dxa"/>
          </w:tblCellMar>
          <w:tblLook w:val="04A0"/>
        </w:tblPrEx>
        <w:trPr>
          <w:trHeight w:val="255"/>
        </w:trPr>
        <w:tc>
          <w:tcPr>
            <w:tcW w:w="2260" w:type="dxa"/>
            <w:tcBorders>
              <w:top w:val="nil"/>
              <w:left w:val="single" w:sz="8" w:space="0" w:color="auto"/>
              <w:bottom w:val="single" w:sz="8" w:space="0" w:color="000000"/>
              <w:right w:val="single" w:sz="8" w:space="0" w:color="000000"/>
            </w:tcBorders>
            <w:textDirection w:val="lrTb"/>
            <w:vAlign w:val="center"/>
          </w:tcPr>
          <w:p w:rsidR="009C72EE" w:rsidRPr="00A92CB1" w:rsidP="00B9507E">
            <w:pPr>
              <w:bidi w:val="0"/>
              <w:rPr>
                <w:rFonts w:ascii="Arial Narrow" w:hAnsi="Arial Narrow"/>
                <w:b/>
                <w:bCs/>
                <w:color w:val="000000"/>
                <w:sz w:val="14"/>
                <w:szCs w:val="14"/>
              </w:rPr>
            </w:pPr>
            <w:r w:rsidRPr="00A92CB1">
              <w:rPr>
                <w:rFonts w:ascii="Arial Narrow" w:hAnsi="Arial Narrow"/>
                <w:b/>
                <w:bCs/>
                <w:color w:val="000000"/>
                <w:sz w:val="14"/>
                <w:szCs w:val="14"/>
              </w:rPr>
              <w:t xml:space="preserve">J] dane + </w:t>
            </w:r>
            <w:r>
              <w:rPr>
                <w:rFonts w:ascii="Arial Narrow" w:hAnsi="Arial Narrow"/>
                <w:b/>
                <w:bCs/>
                <w:color w:val="000000"/>
                <w:sz w:val="14"/>
                <w:szCs w:val="14"/>
              </w:rPr>
              <w:t>poistné</w:t>
            </w:r>
            <w:r w:rsidRPr="00A92CB1">
              <w:rPr>
                <w:rFonts w:ascii="Arial Narrow" w:hAnsi="Arial Narrow"/>
                <w:b/>
                <w:bCs/>
                <w:color w:val="000000"/>
                <w:sz w:val="14"/>
                <w:szCs w:val="14"/>
              </w:rPr>
              <w:t xml:space="preserve"> štátu</w:t>
            </w:r>
          </w:p>
        </w:tc>
        <w:tc>
          <w:tcPr>
            <w:tcW w:w="142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b/>
                <w:bCs/>
                <w:color w:val="000000"/>
                <w:sz w:val="14"/>
                <w:szCs w:val="14"/>
              </w:rPr>
            </w:pPr>
            <w:r w:rsidRPr="00A92CB1">
              <w:rPr>
                <w:rFonts w:ascii="Arial Narrow" w:hAnsi="Arial Narrow"/>
                <w:b/>
                <w:bCs/>
                <w:color w:val="000000"/>
                <w:sz w:val="14"/>
                <w:szCs w:val="14"/>
              </w:rPr>
              <w:t>[C+H]</w:t>
            </w:r>
          </w:p>
        </w:tc>
        <w:tc>
          <w:tcPr>
            <w:tcW w:w="92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b/>
                <w:bCs/>
                <w:color w:val="000000"/>
                <w:sz w:val="14"/>
                <w:szCs w:val="14"/>
              </w:rPr>
            </w:pPr>
            <w:r w:rsidRPr="00A92CB1">
              <w:rPr>
                <w:rFonts w:ascii="Arial Narrow" w:hAnsi="Arial Narrow"/>
                <w:b/>
                <w:bCs/>
                <w:color w:val="000000"/>
                <w:sz w:val="14"/>
                <w:szCs w:val="14"/>
              </w:rPr>
              <w:t>160,48</w:t>
            </w:r>
          </w:p>
        </w:tc>
        <w:tc>
          <w:tcPr>
            <w:tcW w:w="92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b/>
                <w:bCs/>
                <w:color w:val="000000"/>
                <w:sz w:val="14"/>
                <w:szCs w:val="14"/>
              </w:rPr>
            </w:pPr>
            <w:r w:rsidRPr="00A92CB1">
              <w:rPr>
                <w:rFonts w:ascii="Arial Narrow" w:hAnsi="Arial Narrow"/>
                <w:b/>
                <w:bCs/>
                <w:color w:val="000000"/>
                <w:sz w:val="14"/>
                <w:szCs w:val="14"/>
              </w:rPr>
              <w:t>243,33</w:t>
            </w:r>
          </w:p>
        </w:tc>
        <w:tc>
          <w:tcPr>
            <w:tcW w:w="178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b/>
                <w:bCs/>
                <w:color w:val="000000"/>
                <w:sz w:val="14"/>
                <w:szCs w:val="14"/>
              </w:rPr>
            </w:pPr>
            <w:r w:rsidRPr="00A92CB1">
              <w:rPr>
                <w:rFonts w:ascii="Arial Narrow" w:hAnsi="Arial Narrow"/>
                <w:b/>
                <w:bCs/>
                <w:color w:val="000000"/>
                <w:sz w:val="14"/>
                <w:szCs w:val="14"/>
              </w:rPr>
              <w:t>[C+H]</w:t>
            </w:r>
          </w:p>
        </w:tc>
        <w:tc>
          <w:tcPr>
            <w:tcW w:w="92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b/>
                <w:bCs/>
                <w:color w:val="000000"/>
                <w:sz w:val="14"/>
                <w:szCs w:val="14"/>
              </w:rPr>
            </w:pPr>
            <w:r w:rsidRPr="00A92CB1">
              <w:rPr>
                <w:rFonts w:ascii="Arial Narrow" w:hAnsi="Arial Narrow"/>
                <w:b/>
                <w:bCs/>
                <w:color w:val="000000"/>
                <w:sz w:val="14"/>
                <w:szCs w:val="14"/>
              </w:rPr>
              <w:t>188,11</w:t>
            </w:r>
          </w:p>
        </w:tc>
        <w:tc>
          <w:tcPr>
            <w:tcW w:w="920" w:type="dxa"/>
            <w:tcBorders>
              <w:top w:val="nil"/>
              <w:left w:val="nil"/>
              <w:bottom w:val="single" w:sz="8" w:space="0" w:color="000000"/>
              <w:right w:val="single" w:sz="8" w:space="0" w:color="000000"/>
            </w:tcBorders>
            <w:textDirection w:val="lrTb"/>
            <w:vAlign w:val="center"/>
          </w:tcPr>
          <w:p w:rsidR="009C72EE" w:rsidRPr="00A92CB1" w:rsidP="00B9507E">
            <w:pPr>
              <w:bidi w:val="0"/>
              <w:jc w:val="center"/>
              <w:rPr>
                <w:rFonts w:ascii="Arial Narrow" w:hAnsi="Arial Narrow"/>
                <w:b/>
                <w:bCs/>
                <w:color w:val="000000"/>
                <w:sz w:val="14"/>
                <w:szCs w:val="14"/>
              </w:rPr>
            </w:pPr>
            <w:r w:rsidRPr="00A92CB1">
              <w:rPr>
                <w:rFonts w:ascii="Arial Narrow" w:hAnsi="Arial Narrow"/>
                <w:b/>
                <w:bCs/>
                <w:color w:val="000000"/>
                <w:sz w:val="14"/>
                <w:szCs w:val="14"/>
              </w:rPr>
              <w:t>390,94</w:t>
            </w:r>
          </w:p>
        </w:tc>
      </w:tr>
      <w:tr>
        <w:tblPrEx>
          <w:tblW w:w="0" w:type="auto"/>
          <w:tblCellMar>
            <w:left w:w="70" w:type="dxa"/>
            <w:right w:w="70" w:type="dxa"/>
          </w:tblCellMar>
          <w:tblLook w:val="04A0"/>
        </w:tblPrEx>
        <w:trPr>
          <w:trHeight w:val="284"/>
        </w:trPr>
        <w:tc>
          <w:tcPr>
            <w:tcW w:w="9140" w:type="dxa"/>
            <w:gridSpan w:val="7"/>
            <w:tcBorders>
              <w:top w:val="single" w:sz="8" w:space="0" w:color="000000"/>
              <w:left w:val="nil"/>
              <w:bottom w:val="nil"/>
              <w:right w:val="nil"/>
            </w:tcBorders>
            <w:textDirection w:val="lrTb"/>
            <w:vAlign w:val="center"/>
          </w:tcPr>
          <w:p w:rsidR="009C72EE" w:rsidRPr="00A92CB1" w:rsidP="00B9507E">
            <w:pPr>
              <w:bidi w:val="0"/>
              <w:rPr>
                <w:rFonts w:ascii="Arial Narrow" w:hAnsi="Arial Narrow"/>
                <w:i/>
                <w:iCs/>
                <w:color w:val="000000"/>
                <w:sz w:val="14"/>
                <w:szCs w:val="14"/>
              </w:rPr>
            </w:pPr>
            <w:r w:rsidRPr="00A92CB1">
              <w:rPr>
                <w:rFonts w:ascii="Arial Narrow" w:hAnsi="Arial Narrow"/>
                <w:i/>
                <w:iCs/>
                <w:color w:val="000000"/>
                <w:sz w:val="14"/>
                <w:szCs w:val="14"/>
              </w:rPr>
              <w:t xml:space="preserve">* predpoklad, že SZČO platí </w:t>
            </w:r>
            <w:r>
              <w:rPr>
                <w:rFonts w:ascii="Arial Narrow" w:hAnsi="Arial Narrow"/>
                <w:i/>
                <w:iCs/>
                <w:color w:val="000000"/>
                <w:sz w:val="14"/>
                <w:szCs w:val="14"/>
              </w:rPr>
              <w:t>poistné</w:t>
            </w:r>
            <w:r w:rsidRPr="00A92CB1">
              <w:rPr>
                <w:rFonts w:ascii="Arial Narrow" w:hAnsi="Arial Narrow"/>
                <w:i/>
                <w:iCs/>
                <w:color w:val="000000"/>
                <w:sz w:val="14"/>
                <w:szCs w:val="14"/>
              </w:rPr>
              <w:t xml:space="preserve"> z minimálneho vymeriavacieho základu (nakoľko výpočet závisí od ZD z predchádzajúceho zdaňovacieho obdobia), po zmene v </w:t>
            </w:r>
            <w:r>
              <w:rPr>
                <w:rFonts w:ascii="Arial Narrow" w:hAnsi="Arial Narrow"/>
                <w:i/>
                <w:iCs/>
                <w:color w:val="000000"/>
                <w:sz w:val="14"/>
                <w:szCs w:val="14"/>
              </w:rPr>
              <w:t>poistnom</w:t>
            </w:r>
            <w:r w:rsidRPr="00A92CB1">
              <w:rPr>
                <w:rFonts w:ascii="Arial Narrow" w:hAnsi="Arial Narrow"/>
                <w:i/>
                <w:iCs/>
                <w:color w:val="000000"/>
                <w:sz w:val="14"/>
                <w:szCs w:val="14"/>
              </w:rPr>
              <w:t xml:space="preserve"> však podľa prepočítanej poslednej známej daňovej povinnosti (PPZDP)</w:t>
            </w:r>
          </w:p>
        </w:tc>
      </w:tr>
      <w:tr>
        <w:tblPrEx>
          <w:tblW w:w="0" w:type="auto"/>
          <w:tblCellMar>
            <w:left w:w="70" w:type="dxa"/>
            <w:right w:w="70" w:type="dxa"/>
          </w:tblCellMar>
          <w:tblLook w:val="04A0"/>
        </w:tblPrEx>
        <w:trPr>
          <w:trHeight w:val="284"/>
        </w:trPr>
        <w:tc>
          <w:tcPr>
            <w:tcW w:w="9140" w:type="dxa"/>
            <w:gridSpan w:val="7"/>
            <w:tcBorders>
              <w:top w:val="nil"/>
              <w:left w:val="nil"/>
              <w:bottom w:val="nil"/>
              <w:right w:val="nil"/>
            </w:tcBorders>
            <w:textDirection w:val="lrTb"/>
            <w:vAlign w:val="center"/>
          </w:tcPr>
          <w:p w:rsidR="009C72EE" w:rsidRPr="00A92CB1" w:rsidP="00B9507E">
            <w:pPr>
              <w:bidi w:val="0"/>
              <w:jc w:val="both"/>
              <w:rPr>
                <w:rFonts w:ascii="Arial Narrow" w:hAnsi="Arial Narrow"/>
                <w:i/>
                <w:iCs/>
                <w:color w:val="000000"/>
                <w:sz w:val="14"/>
                <w:szCs w:val="14"/>
              </w:rPr>
            </w:pPr>
            <w:r w:rsidRPr="00A92CB1">
              <w:rPr>
                <w:rFonts w:ascii="Arial Narrow" w:hAnsi="Arial Narrow"/>
                <w:i/>
                <w:iCs/>
                <w:color w:val="000000"/>
                <w:sz w:val="14"/>
                <w:szCs w:val="14"/>
              </w:rPr>
              <w:t>** predpoklad, že iba 20</w:t>
            </w:r>
            <w:r>
              <w:rPr>
                <w:rFonts w:ascii="Arial Narrow" w:hAnsi="Arial Narrow"/>
                <w:i/>
                <w:iCs/>
                <w:color w:val="000000"/>
                <w:sz w:val="14"/>
                <w:szCs w:val="14"/>
              </w:rPr>
              <w:t xml:space="preserve"> </w:t>
            </w:r>
            <w:r w:rsidRPr="00A92CB1">
              <w:rPr>
                <w:rFonts w:ascii="Arial Narrow" w:hAnsi="Arial Narrow"/>
                <w:i/>
                <w:iCs/>
                <w:color w:val="000000"/>
                <w:sz w:val="14"/>
                <w:szCs w:val="14"/>
              </w:rPr>
              <w:t>% paušálnych výdavkov zodpovedá skutočným výdavkom</w:t>
            </w:r>
          </w:p>
        </w:tc>
      </w:tr>
    </w:tbl>
    <w:p w:rsidR="009C72EE" w:rsidP="00A92CB1">
      <w:pPr>
        <w:bidi w:val="0"/>
        <w:spacing w:line="276" w:lineRule="auto"/>
        <w:rPr>
          <w:rFonts w:ascii="Arial Narrow" w:hAnsi="Arial Narrow"/>
          <w:sz w:val="22"/>
          <w:szCs w:val="36"/>
          <w:lang w:eastAsia="en-US"/>
        </w:rPr>
      </w:pPr>
    </w:p>
    <w:p w:rsidR="00D10737" w:rsidRPr="00A92CB1" w:rsidP="00A92CB1">
      <w:pPr>
        <w:bidi w:val="0"/>
        <w:spacing w:line="276" w:lineRule="auto"/>
        <w:rPr>
          <w:rFonts w:ascii="Arial Narrow" w:hAnsi="Arial Narrow"/>
          <w:sz w:val="22"/>
          <w:szCs w:val="36"/>
          <w:lang w:eastAsia="en-US"/>
        </w:rPr>
      </w:pPr>
    </w:p>
    <w:tbl>
      <w:tblPr>
        <w:tblStyle w:val="TableNormal"/>
        <w:tblW w:w="9120" w:type="dxa"/>
        <w:tblInd w:w="57" w:type="dxa"/>
        <w:tblCellMar>
          <w:left w:w="70" w:type="dxa"/>
          <w:right w:w="70" w:type="dxa"/>
        </w:tblCellMar>
        <w:tblLook w:val="04A0"/>
      </w:tblPr>
      <w:tblGrid>
        <w:gridCol w:w="3440"/>
        <w:gridCol w:w="1420"/>
        <w:gridCol w:w="1420"/>
        <w:gridCol w:w="1420"/>
        <w:gridCol w:w="1420"/>
      </w:tblGrid>
      <w:tr>
        <w:tblPrEx>
          <w:tblW w:w="9120" w:type="dxa"/>
          <w:tblInd w:w="57" w:type="dxa"/>
          <w:tblCellMar>
            <w:left w:w="70" w:type="dxa"/>
            <w:right w:w="70" w:type="dxa"/>
          </w:tblCellMar>
          <w:tblLook w:val="04A0"/>
        </w:tblPrEx>
        <w:trPr>
          <w:trHeight w:val="270"/>
        </w:trPr>
        <w:tc>
          <w:tcPr>
            <w:tcW w:w="9120" w:type="dxa"/>
            <w:gridSpan w:val="5"/>
            <w:tcBorders>
              <w:top w:val="single" w:sz="8" w:space="0" w:color="auto"/>
              <w:left w:val="single" w:sz="8" w:space="0" w:color="auto"/>
              <w:bottom w:val="single" w:sz="8" w:space="0" w:color="000000"/>
              <w:right w:val="single" w:sz="8" w:space="0" w:color="000000"/>
            </w:tcBorders>
            <w:shd w:val="clear" w:color="000000" w:fill="000000"/>
            <w:textDirection w:val="lrTb"/>
            <w:vAlign w:val="center"/>
          </w:tcPr>
          <w:p w:rsidR="00A92CB1" w:rsidRPr="00A92CB1" w:rsidP="00A92CB1">
            <w:pPr>
              <w:bidi w:val="0"/>
              <w:rPr>
                <w:rFonts w:ascii="Arial Narrow" w:hAnsi="Arial Narrow"/>
                <w:b/>
                <w:bCs/>
                <w:color w:val="FFFFFF"/>
                <w:sz w:val="20"/>
                <w:szCs w:val="20"/>
              </w:rPr>
            </w:pPr>
            <w:r w:rsidRPr="00A92CB1">
              <w:rPr>
                <w:rFonts w:ascii="Arial Narrow" w:hAnsi="Arial Narrow"/>
                <w:b/>
                <w:bCs/>
                <w:color w:val="FFFFFF"/>
                <w:sz w:val="20"/>
                <w:szCs w:val="20"/>
              </w:rPr>
              <w:t>Ilustratívny príklad výpočtu čistých príjmov pred a po reforme daní, c</w:t>
            </w:r>
            <w:r w:rsidR="006C6629">
              <w:rPr>
                <w:rFonts w:ascii="Arial Narrow" w:hAnsi="Arial Narrow"/>
                <w:b/>
                <w:bCs/>
                <w:color w:val="FFFFFF"/>
                <w:sz w:val="20"/>
                <w:szCs w:val="20"/>
              </w:rPr>
              <w:t>la</w:t>
            </w:r>
            <w:r w:rsidRPr="00A92CB1">
              <w:rPr>
                <w:rFonts w:ascii="Arial Narrow" w:hAnsi="Arial Narrow"/>
                <w:b/>
                <w:bCs/>
                <w:color w:val="FFFFFF"/>
                <w:sz w:val="20"/>
                <w:szCs w:val="20"/>
              </w:rPr>
              <w:t xml:space="preserve"> a </w:t>
            </w:r>
            <w:r w:rsidR="006C6629">
              <w:rPr>
                <w:rFonts w:ascii="Arial Narrow" w:hAnsi="Arial Narrow"/>
                <w:b/>
                <w:bCs/>
                <w:color w:val="FFFFFF"/>
                <w:sz w:val="20"/>
                <w:szCs w:val="20"/>
              </w:rPr>
              <w:t>poistného</w:t>
            </w:r>
            <w:r w:rsidRPr="00A92CB1">
              <w:rPr>
                <w:rFonts w:ascii="Arial Narrow" w:hAnsi="Arial Narrow"/>
                <w:b/>
                <w:bCs/>
                <w:color w:val="FFFFFF"/>
                <w:sz w:val="20"/>
                <w:szCs w:val="20"/>
              </w:rPr>
              <w:t xml:space="preserve"> (rok 2012)</w:t>
            </w:r>
          </w:p>
        </w:tc>
      </w:tr>
      <w:tr>
        <w:tblPrEx>
          <w:tblW w:w="9120" w:type="dxa"/>
          <w:tblInd w:w="57" w:type="dxa"/>
          <w:tblCellMar>
            <w:left w:w="70" w:type="dxa"/>
            <w:right w:w="70" w:type="dxa"/>
          </w:tblCellMar>
          <w:tblLook w:val="04A0"/>
        </w:tblPrEx>
        <w:trPr>
          <w:trHeight w:val="284"/>
        </w:trPr>
        <w:tc>
          <w:tcPr>
            <w:tcW w:w="3440" w:type="dxa"/>
            <w:vMerge w:val="restart"/>
            <w:tcBorders>
              <w:top w:val="nil"/>
              <w:left w:val="single" w:sz="8" w:space="0" w:color="auto"/>
              <w:bottom w:val="single" w:sz="8" w:space="0" w:color="000000"/>
              <w:right w:val="single" w:sz="8" w:space="0" w:color="000000"/>
            </w:tcBorders>
            <w:shd w:val="clear" w:color="000000" w:fill="BFBFBF"/>
            <w:textDirection w:val="lrTb"/>
            <w:vAlign w:val="top"/>
          </w:tcPr>
          <w:p w:rsidR="00A92CB1" w:rsidRPr="00A92CB1" w:rsidP="00A92CB1">
            <w:pPr>
              <w:bidi w:val="0"/>
              <w:jc w:val="center"/>
              <w:rPr>
                <w:rFonts w:ascii="Arial Narrow" w:hAnsi="Arial Narrow"/>
                <w:b/>
                <w:bCs/>
                <w:color w:val="000000"/>
                <w:sz w:val="18"/>
                <w:szCs w:val="18"/>
              </w:rPr>
            </w:pPr>
            <w:r w:rsidRPr="00A92CB1">
              <w:rPr>
                <w:rFonts w:ascii="Arial Narrow" w:hAnsi="Arial Narrow"/>
                <w:b/>
                <w:bCs/>
                <w:color w:val="000000"/>
                <w:sz w:val="18"/>
                <w:szCs w:val="18"/>
              </w:rPr>
              <w:t> </w:t>
            </w:r>
          </w:p>
        </w:tc>
        <w:tc>
          <w:tcPr>
            <w:tcW w:w="5680" w:type="dxa"/>
            <w:gridSpan w:val="4"/>
            <w:tcBorders>
              <w:top w:val="single" w:sz="8" w:space="0" w:color="000000"/>
              <w:left w:val="nil"/>
              <w:bottom w:val="single" w:sz="8" w:space="0" w:color="000000"/>
              <w:right w:val="single" w:sz="8" w:space="0" w:color="000000"/>
            </w:tcBorders>
            <w:shd w:val="clear" w:color="000000" w:fill="BFBFBF"/>
            <w:textDirection w:val="lrTb"/>
            <w:vAlign w:val="center"/>
          </w:tcPr>
          <w:p w:rsidR="00A92CB1" w:rsidRPr="00A92CB1" w:rsidP="00A92CB1">
            <w:pPr>
              <w:bidi w:val="0"/>
              <w:jc w:val="center"/>
              <w:rPr>
                <w:rFonts w:ascii="Arial Narrow" w:hAnsi="Arial Narrow"/>
                <w:b/>
                <w:bCs/>
                <w:color w:val="000000"/>
                <w:sz w:val="16"/>
                <w:szCs w:val="16"/>
              </w:rPr>
            </w:pPr>
            <w:r w:rsidRPr="00A92CB1">
              <w:rPr>
                <w:rFonts w:ascii="Arial Narrow" w:hAnsi="Arial Narrow"/>
                <w:b/>
                <w:bCs/>
                <w:color w:val="000000"/>
                <w:sz w:val="16"/>
                <w:szCs w:val="16"/>
              </w:rPr>
              <w:t>Rodina s dvoma deťmi, otec pracuje s príjmom =100% priemernej mzdy, matka poberá rodičovský príspevok</w:t>
            </w:r>
          </w:p>
        </w:tc>
      </w:tr>
      <w:tr>
        <w:tblPrEx>
          <w:tblW w:w="9120" w:type="dxa"/>
          <w:tblInd w:w="57" w:type="dxa"/>
          <w:tblCellMar>
            <w:left w:w="70" w:type="dxa"/>
            <w:right w:w="70" w:type="dxa"/>
          </w:tblCellMar>
          <w:tblLook w:val="04A0"/>
        </w:tblPrEx>
        <w:trPr>
          <w:trHeight w:val="284"/>
        </w:trPr>
        <w:tc>
          <w:tcPr>
            <w:tcW w:w="3440" w:type="dxa"/>
            <w:vMerge/>
            <w:tcBorders>
              <w:top w:val="nil"/>
              <w:left w:val="single" w:sz="8" w:space="0" w:color="auto"/>
              <w:bottom w:val="single" w:sz="8" w:space="0" w:color="000000"/>
              <w:right w:val="single" w:sz="8" w:space="0" w:color="000000"/>
            </w:tcBorders>
            <w:textDirection w:val="lrTb"/>
            <w:vAlign w:val="center"/>
          </w:tcPr>
          <w:p w:rsidR="00A92CB1" w:rsidRPr="00A92CB1" w:rsidP="00A92CB1">
            <w:pPr>
              <w:bidi w:val="0"/>
              <w:rPr>
                <w:rFonts w:ascii="Arial Narrow" w:hAnsi="Arial Narrow"/>
                <w:b/>
                <w:bCs/>
                <w:color w:val="000000"/>
                <w:sz w:val="18"/>
                <w:szCs w:val="18"/>
              </w:rPr>
            </w:pPr>
          </w:p>
        </w:tc>
        <w:tc>
          <w:tcPr>
            <w:tcW w:w="2840" w:type="dxa"/>
            <w:gridSpan w:val="2"/>
            <w:tcBorders>
              <w:top w:val="single" w:sz="8" w:space="0" w:color="000000"/>
              <w:left w:val="nil"/>
              <w:bottom w:val="single" w:sz="8" w:space="0" w:color="000000"/>
              <w:right w:val="single" w:sz="8" w:space="0" w:color="000000"/>
            </w:tcBorders>
            <w:shd w:val="clear" w:color="000000" w:fill="BFBFBF"/>
            <w:textDirection w:val="lrTb"/>
            <w:vAlign w:val="center"/>
          </w:tcPr>
          <w:p w:rsidR="00A92CB1" w:rsidRPr="00A92CB1" w:rsidP="00A92CB1">
            <w:pPr>
              <w:bidi w:val="0"/>
              <w:jc w:val="center"/>
              <w:rPr>
                <w:rFonts w:ascii="Arial Narrow" w:hAnsi="Arial Narrow"/>
                <w:b/>
                <w:bCs/>
                <w:color w:val="000000"/>
                <w:sz w:val="16"/>
                <w:szCs w:val="16"/>
              </w:rPr>
            </w:pPr>
            <w:r w:rsidRPr="00A92CB1">
              <w:rPr>
                <w:rFonts w:ascii="Arial Narrow" w:hAnsi="Arial Narrow"/>
                <w:b/>
                <w:bCs/>
                <w:color w:val="000000"/>
                <w:sz w:val="16"/>
                <w:szCs w:val="16"/>
              </w:rPr>
              <w:t>I.</w:t>
            </w:r>
            <w:r w:rsidRPr="00A92CB1">
              <w:rPr>
                <w:rFonts w:ascii="Times New Roman" w:hAnsi="Times New Roman"/>
                <w:b/>
                <w:bCs/>
                <w:color w:val="000000"/>
                <w:sz w:val="16"/>
                <w:szCs w:val="16"/>
              </w:rPr>
              <w:t xml:space="preserve">   </w:t>
            </w:r>
            <w:r w:rsidRPr="00A92CB1">
              <w:rPr>
                <w:rFonts w:ascii="Arial Narrow" w:hAnsi="Arial Narrow"/>
                <w:b/>
                <w:bCs/>
                <w:color w:val="000000"/>
                <w:sz w:val="16"/>
                <w:szCs w:val="16"/>
              </w:rPr>
              <w:t>Súčasný systém</w:t>
            </w:r>
          </w:p>
        </w:tc>
        <w:tc>
          <w:tcPr>
            <w:tcW w:w="2840" w:type="dxa"/>
            <w:gridSpan w:val="2"/>
            <w:tcBorders>
              <w:top w:val="single" w:sz="8" w:space="0" w:color="000000"/>
              <w:left w:val="nil"/>
              <w:bottom w:val="single" w:sz="8" w:space="0" w:color="000000"/>
              <w:right w:val="single" w:sz="8" w:space="0" w:color="000000"/>
            </w:tcBorders>
            <w:shd w:val="clear" w:color="000000" w:fill="BFBFBF"/>
            <w:textDirection w:val="lrTb"/>
            <w:vAlign w:val="center"/>
          </w:tcPr>
          <w:p w:rsidR="00A92CB1" w:rsidRPr="00A92CB1" w:rsidP="00A92CB1">
            <w:pPr>
              <w:bidi w:val="0"/>
              <w:jc w:val="center"/>
              <w:rPr>
                <w:rFonts w:ascii="Arial Narrow" w:hAnsi="Arial Narrow"/>
                <w:b/>
                <w:bCs/>
                <w:color w:val="000000"/>
                <w:sz w:val="16"/>
                <w:szCs w:val="16"/>
              </w:rPr>
            </w:pPr>
            <w:r w:rsidRPr="00A92CB1">
              <w:rPr>
                <w:rFonts w:ascii="Arial Narrow" w:hAnsi="Arial Narrow"/>
                <w:b/>
                <w:bCs/>
                <w:color w:val="000000"/>
                <w:sz w:val="16"/>
                <w:szCs w:val="16"/>
              </w:rPr>
              <w:t>II.</w:t>
            </w:r>
            <w:r w:rsidRPr="00A92CB1">
              <w:rPr>
                <w:rFonts w:ascii="Times New Roman" w:hAnsi="Times New Roman"/>
                <w:b/>
                <w:bCs/>
                <w:color w:val="000000"/>
                <w:sz w:val="16"/>
                <w:szCs w:val="16"/>
              </w:rPr>
              <w:t> Návrh</w:t>
            </w:r>
          </w:p>
        </w:tc>
      </w:tr>
      <w:tr>
        <w:tblPrEx>
          <w:tblW w:w="9120" w:type="dxa"/>
          <w:tblInd w:w="57" w:type="dxa"/>
          <w:tblCellMar>
            <w:left w:w="70" w:type="dxa"/>
            <w:right w:w="70" w:type="dxa"/>
          </w:tblCellMar>
          <w:tblLook w:val="04A0"/>
        </w:tblPrEx>
        <w:trPr>
          <w:trHeight w:val="284"/>
        </w:trPr>
        <w:tc>
          <w:tcPr>
            <w:tcW w:w="3440" w:type="dxa"/>
            <w:vMerge/>
            <w:tcBorders>
              <w:top w:val="nil"/>
              <w:left w:val="single" w:sz="8" w:space="0" w:color="auto"/>
              <w:bottom w:val="single" w:sz="8" w:space="0" w:color="000000"/>
              <w:right w:val="single" w:sz="8" w:space="0" w:color="000000"/>
            </w:tcBorders>
            <w:textDirection w:val="lrTb"/>
            <w:vAlign w:val="center"/>
          </w:tcPr>
          <w:p w:rsidR="00A92CB1" w:rsidRPr="00A92CB1" w:rsidP="00A92CB1">
            <w:pPr>
              <w:bidi w:val="0"/>
              <w:rPr>
                <w:rFonts w:ascii="Arial Narrow" w:hAnsi="Arial Narrow"/>
                <w:b/>
                <w:bCs/>
                <w:color w:val="000000"/>
                <w:sz w:val="18"/>
                <w:szCs w:val="18"/>
              </w:rPr>
            </w:pPr>
          </w:p>
        </w:tc>
        <w:tc>
          <w:tcPr>
            <w:tcW w:w="1420" w:type="dxa"/>
            <w:tcBorders>
              <w:top w:val="nil"/>
              <w:left w:val="nil"/>
              <w:bottom w:val="single" w:sz="8" w:space="0" w:color="000000"/>
              <w:right w:val="single" w:sz="8" w:space="0" w:color="000000"/>
            </w:tcBorders>
            <w:shd w:val="clear" w:color="000000" w:fill="BFBFBF"/>
            <w:textDirection w:val="lrTb"/>
            <w:vAlign w:val="center"/>
          </w:tcPr>
          <w:p w:rsidR="00A92CB1" w:rsidRPr="00A92CB1" w:rsidP="00A92CB1">
            <w:pPr>
              <w:bidi w:val="0"/>
              <w:jc w:val="center"/>
              <w:rPr>
                <w:rFonts w:ascii="Arial Narrow" w:hAnsi="Arial Narrow"/>
                <w:color w:val="000000"/>
                <w:sz w:val="16"/>
                <w:szCs w:val="16"/>
              </w:rPr>
            </w:pPr>
            <w:r w:rsidRPr="00A92CB1">
              <w:rPr>
                <w:rFonts w:ascii="Arial Narrow" w:hAnsi="Arial Narrow"/>
                <w:color w:val="000000"/>
                <w:sz w:val="16"/>
                <w:szCs w:val="16"/>
              </w:rPr>
              <w:t>sadzba v % [výpočet]</w:t>
            </w:r>
          </w:p>
        </w:tc>
        <w:tc>
          <w:tcPr>
            <w:tcW w:w="1420" w:type="dxa"/>
            <w:tcBorders>
              <w:top w:val="nil"/>
              <w:left w:val="nil"/>
              <w:bottom w:val="single" w:sz="8" w:space="0" w:color="000000"/>
              <w:right w:val="single" w:sz="8" w:space="0" w:color="000000"/>
            </w:tcBorders>
            <w:shd w:val="clear" w:color="000000" w:fill="BFBFBF"/>
            <w:textDirection w:val="lrTb"/>
            <w:vAlign w:val="center"/>
          </w:tcPr>
          <w:p w:rsidR="00A92CB1" w:rsidRPr="00A92CB1" w:rsidP="00A92CB1">
            <w:pPr>
              <w:bidi w:val="0"/>
              <w:jc w:val="center"/>
              <w:rPr>
                <w:rFonts w:ascii="Arial Narrow" w:hAnsi="Arial Narrow"/>
                <w:color w:val="000000"/>
                <w:sz w:val="16"/>
                <w:szCs w:val="16"/>
              </w:rPr>
            </w:pPr>
            <w:r w:rsidRPr="00A92CB1">
              <w:rPr>
                <w:rFonts w:ascii="Arial Narrow" w:hAnsi="Arial Narrow"/>
                <w:color w:val="000000"/>
                <w:sz w:val="16"/>
                <w:szCs w:val="16"/>
              </w:rPr>
              <w:t>EUR</w:t>
            </w:r>
            <w:r w:rsidRPr="00A92CB1">
              <w:rPr>
                <w:rFonts w:ascii="Arial Narrow" w:hAnsi="Arial Narrow"/>
                <w:color w:val="000000"/>
                <w:sz w:val="16"/>
                <w:szCs w:val="16"/>
                <w:vertAlign w:val="superscript"/>
              </w:rPr>
              <w:t>1</w:t>
            </w:r>
          </w:p>
        </w:tc>
        <w:tc>
          <w:tcPr>
            <w:tcW w:w="1420" w:type="dxa"/>
            <w:tcBorders>
              <w:top w:val="nil"/>
              <w:left w:val="nil"/>
              <w:bottom w:val="single" w:sz="8" w:space="0" w:color="000000"/>
              <w:right w:val="single" w:sz="8" w:space="0" w:color="000000"/>
            </w:tcBorders>
            <w:shd w:val="clear" w:color="000000" w:fill="BFBFBF"/>
            <w:textDirection w:val="lrTb"/>
            <w:vAlign w:val="center"/>
          </w:tcPr>
          <w:p w:rsidR="00A92CB1" w:rsidRPr="00A92CB1" w:rsidP="00A92CB1">
            <w:pPr>
              <w:bidi w:val="0"/>
              <w:jc w:val="center"/>
              <w:rPr>
                <w:rFonts w:ascii="Arial Narrow" w:hAnsi="Arial Narrow"/>
                <w:color w:val="000000"/>
                <w:sz w:val="16"/>
                <w:szCs w:val="16"/>
              </w:rPr>
            </w:pPr>
            <w:r w:rsidRPr="00A92CB1">
              <w:rPr>
                <w:rFonts w:ascii="Arial Narrow" w:hAnsi="Arial Narrow"/>
                <w:color w:val="000000"/>
                <w:sz w:val="16"/>
                <w:szCs w:val="16"/>
              </w:rPr>
              <w:t>sadzba v % [výpočet]</w:t>
            </w:r>
          </w:p>
        </w:tc>
        <w:tc>
          <w:tcPr>
            <w:tcW w:w="1420" w:type="dxa"/>
            <w:tcBorders>
              <w:top w:val="nil"/>
              <w:left w:val="nil"/>
              <w:bottom w:val="single" w:sz="8" w:space="0" w:color="000000"/>
              <w:right w:val="single" w:sz="8" w:space="0" w:color="auto"/>
            </w:tcBorders>
            <w:shd w:val="clear" w:color="000000" w:fill="BFBFBF"/>
            <w:textDirection w:val="lrTb"/>
            <w:vAlign w:val="center"/>
          </w:tcPr>
          <w:p w:rsidR="00A92CB1" w:rsidRPr="00A92CB1" w:rsidP="00A92CB1">
            <w:pPr>
              <w:bidi w:val="0"/>
              <w:jc w:val="center"/>
              <w:rPr>
                <w:rFonts w:ascii="Arial Narrow" w:hAnsi="Arial Narrow"/>
                <w:color w:val="000000"/>
                <w:sz w:val="16"/>
                <w:szCs w:val="16"/>
              </w:rPr>
            </w:pPr>
            <w:r w:rsidRPr="00A92CB1">
              <w:rPr>
                <w:rFonts w:ascii="Arial Narrow" w:hAnsi="Arial Narrow"/>
                <w:color w:val="000000"/>
                <w:sz w:val="16"/>
                <w:szCs w:val="16"/>
              </w:rPr>
              <w:t>EUR</w:t>
            </w:r>
            <w:r w:rsidRPr="00A92CB1">
              <w:rPr>
                <w:rFonts w:ascii="Arial Narrow" w:hAnsi="Arial Narrow"/>
                <w:color w:val="000000"/>
                <w:sz w:val="16"/>
                <w:szCs w:val="16"/>
                <w:vertAlign w:val="superscript"/>
              </w:rPr>
              <w:t>1</w:t>
            </w:r>
          </w:p>
        </w:tc>
      </w:tr>
      <w:tr>
        <w:tblPrEx>
          <w:tblW w:w="9120" w:type="dxa"/>
          <w:tblInd w:w="57" w:type="dxa"/>
          <w:tblCellMar>
            <w:left w:w="70" w:type="dxa"/>
            <w:right w:w="70" w:type="dxa"/>
          </w:tblCellMar>
          <w:tblLook w:val="04A0"/>
        </w:tblPrEx>
        <w:trPr>
          <w:trHeight w:val="255"/>
        </w:trPr>
        <w:tc>
          <w:tcPr>
            <w:tcW w:w="3440" w:type="dxa"/>
            <w:tcBorders>
              <w:top w:val="nil"/>
              <w:left w:val="single" w:sz="8" w:space="0" w:color="auto"/>
              <w:bottom w:val="single" w:sz="8" w:space="0" w:color="000000"/>
              <w:right w:val="single" w:sz="8" w:space="0" w:color="000000"/>
            </w:tcBorders>
            <w:textDirection w:val="lrTb"/>
            <w:vAlign w:val="center"/>
          </w:tcPr>
          <w:p w:rsidR="00A92CB1" w:rsidRPr="00A92CB1" w:rsidP="00A92CB1">
            <w:pPr>
              <w:bidi w:val="0"/>
              <w:rPr>
                <w:rFonts w:ascii="Arial Narrow" w:hAnsi="Arial Narrow"/>
                <w:color w:val="000000"/>
                <w:sz w:val="14"/>
                <w:szCs w:val="14"/>
              </w:rPr>
            </w:pPr>
            <w:r w:rsidRPr="00A92CB1">
              <w:rPr>
                <w:rFonts w:ascii="Arial Narrow" w:hAnsi="Arial Narrow"/>
                <w:color w:val="000000"/>
                <w:sz w:val="14"/>
                <w:szCs w:val="14"/>
              </w:rPr>
              <w:t xml:space="preserve">A] hrubá mzda spolu </w:t>
            </w:r>
          </w:p>
        </w:tc>
        <w:tc>
          <w:tcPr>
            <w:tcW w:w="1420" w:type="dxa"/>
            <w:tcBorders>
              <w:top w:val="nil"/>
              <w:left w:val="nil"/>
              <w:bottom w:val="nil"/>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w:t>
            </w:r>
          </w:p>
        </w:tc>
        <w:tc>
          <w:tcPr>
            <w:tcW w:w="1420" w:type="dxa"/>
            <w:tcBorders>
              <w:top w:val="nil"/>
              <w:left w:val="nil"/>
              <w:bottom w:val="nil"/>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844,38</w:t>
            </w: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w:t>
            </w: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w:t>
            </w:r>
          </w:p>
        </w:tc>
      </w:tr>
      <w:tr>
        <w:tblPrEx>
          <w:tblW w:w="9120" w:type="dxa"/>
          <w:tblInd w:w="57" w:type="dxa"/>
          <w:tblCellMar>
            <w:left w:w="70" w:type="dxa"/>
            <w:right w:w="70" w:type="dxa"/>
          </w:tblCellMar>
          <w:tblLook w:val="04A0"/>
        </w:tblPrEx>
        <w:trPr>
          <w:trHeight w:val="255"/>
        </w:trPr>
        <w:tc>
          <w:tcPr>
            <w:tcW w:w="3440" w:type="dxa"/>
            <w:tcBorders>
              <w:top w:val="nil"/>
              <w:left w:val="single" w:sz="8" w:space="0" w:color="auto"/>
              <w:bottom w:val="nil"/>
              <w:right w:val="nil"/>
            </w:tcBorders>
            <w:textDirection w:val="lrTb"/>
            <w:vAlign w:val="center"/>
          </w:tcPr>
          <w:p w:rsidR="00A92CB1" w:rsidRPr="00A92CB1" w:rsidP="00A92CB1">
            <w:pPr>
              <w:bidi w:val="0"/>
              <w:rPr>
                <w:rFonts w:ascii="Arial Narrow" w:hAnsi="Arial Narrow"/>
                <w:color w:val="000000"/>
                <w:sz w:val="14"/>
                <w:szCs w:val="14"/>
              </w:rPr>
            </w:pPr>
            <w:r w:rsidRPr="00A92CB1">
              <w:rPr>
                <w:rFonts w:ascii="Arial Narrow" w:hAnsi="Arial Narrow"/>
                <w:color w:val="000000"/>
                <w:sz w:val="14"/>
                <w:szCs w:val="14"/>
              </w:rPr>
              <w:t xml:space="preserve">B] </w:t>
            </w:r>
            <w:r w:rsidR="006C6629">
              <w:rPr>
                <w:rFonts w:ascii="Arial Narrow" w:hAnsi="Arial Narrow"/>
                <w:color w:val="000000"/>
                <w:sz w:val="14"/>
                <w:szCs w:val="14"/>
              </w:rPr>
              <w:t>poistné</w:t>
            </w:r>
            <w:r w:rsidRPr="00A92CB1">
              <w:rPr>
                <w:rFonts w:ascii="Arial Narrow" w:hAnsi="Arial Narrow"/>
                <w:color w:val="000000"/>
                <w:sz w:val="14"/>
                <w:szCs w:val="14"/>
              </w:rPr>
              <w:t xml:space="preserve"> zamestnávateľa spolu</w:t>
            </w:r>
          </w:p>
        </w:tc>
        <w:tc>
          <w:tcPr>
            <w:tcW w:w="1420" w:type="dxa"/>
            <w:tcBorders>
              <w:top w:val="single" w:sz="8" w:space="0" w:color="auto"/>
              <w:left w:val="single" w:sz="8" w:space="0" w:color="auto"/>
              <w:bottom w:val="single" w:sz="8" w:space="0" w:color="auto"/>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35,2 % z [A]</w:t>
            </w:r>
          </w:p>
        </w:tc>
        <w:tc>
          <w:tcPr>
            <w:tcW w:w="1420" w:type="dxa"/>
            <w:tcBorders>
              <w:top w:val="single" w:sz="8" w:space="0" w:color="auto"/>
              <w:left w:val="nil"/>
              <w:bottom w:val="single" w:sz="8" w:space="0" w:color="auto"/>
              <w:right w:val="single" w:sz="8" w:space="0" w:color="auto"/>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297,19</w:t>
            </w:r>
          </w:p>
        </w:tc>
        <w:tc>
          <w:tcPr>
            <w:tcW w:w="1420" w:type="dxa"/>
            <w:tcBorders>
              <w:top w:val="nil"/>
              <w:left w:val="nil"/>
              <w:bottom w:val="nil"/>
              <w:right w:val="single" w:sz="8" w:space="0" w:color="000000"/>
            </w:tcBorders>
            <w:shd w:val="clear" w:color="000000" w:fill="D8D8D8"/>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0,592 % z [C]</w:t>
            </w:r>
          </w:p>
        </w:tc>
        <w:tc>
          <w:tcPr>
            <w:tcW w:w="1420" w:type="dxa"/>
            <w:tcBorders>
              <w:top w:val="nil"/>
              <w:left w:val="nil"/>
              <w:bottom w:val="nil"/>
              <w:right w:val="single" w:sz="8" w:space="0" w:color="auto"/>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6,75</w:t>
            </w:r>
          </w:p>
        </w:tc>
      </w:tr>
      <w:tr>
        <w:tblPrEx>
          <w:tblW w:w="9120" w:type="dxa"/>
          <w:tblInd w:w="57" w:type="dxa"/>
          <w:tblCellMar>
            <w:left w:w="70" w:type="dxa"/>
            <w:right w:w="70" w:type="dxa"/>
          </w:tblCellMar>
          <w:tblLook w:val="04A0"/>
        </w:tblPrEx>
        <w:trPr>
          <w:trHeight w:val="255"/>
        </w:trPr>
        <w:tc>
          <w:tcPr>
            <w:tcW w:w="3440" w:type="dxa"/>
            <w:vMerge w:val="restart"/>
            <w:tcBorders>
              <w:top w:val="single" w:sz="8" w:space="0" w:color="auto"/>
              <w:left w:val="single" w:sz="8" w:space="0" w:color="auto"/>
              <w:bottom w:val="single" w:sz="8" w:space="0" w:color="000000"/>
              <w:right w:val="single" w:sz="8" w:space="0" w:color="000000"/>
            </w:tcBorders>
            <w:textDirection w:val="lrTb"/>
            <w:vAlign w:val="center"/>
          </w:tcPr>
          <w:p w:rsidR="00A92CB1" w:rsidRPr="00A92CB1" w:rsidP="00A92CB1">
            <w:pPr>
              <w:bidi w:val="0"/>
              <w:rPr>
                <w:rFonts w:ascii="Arial Narrow" w:hAnsi="Arial Narrow"/>
                <w:b/>
                <w:bCs/>
                <w:color w:val="000000"/>
                <w:sz w:val="14"/>
                <w:szCs w:val="14"/>
              </w:rPr>
            </w:pPr>
            <w:r w:rsidRPr="00A92CB1">
              <w:rPr>
                <w:rFonts w:ascii="Arial Narrow" w:hAnsi="Arial Narrow"/>
                <w:b/>
                <w:bCs/>
                <w:color w:val="000000"/>
                <w:sz w:val="14"/>
                <w:szCs w:val="14"/>
              </w:rPr>
              <w:t>C] náklady práce spolu/(superhrubá mzda)</w:t>
            </w:r>
          </w:p>
        </w:tc>
        <w:tc>
          <w:tcPr>
            <w:tcW w:w="1420" w:type="dxa"/>
            <w:vMerge w:val="restart"/>
            <w:tcBorders>
              <w:top w:val="nil"/>
              <w:left w:val="single" w:sz="8" w:space="0" w:color="000000"/>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b/>
                <w:bCs/>
                <w:color w:val="000000"/>
                <w:sz w:val="14"/>
                <w:szCs w:val="14"/>
              </w:rPr>
            </w:pPr>
            <w:r w:rsidRPr="00A92CB1">
              <w:rPr>
                <w:rFonts w:ascii="Arial Narrow" w:hAnsi="Arial Narrow"/>
                <w:b/>
                <w:bCs/>
                <w:color w:val="000000"/>
                <w:sz w:val="14"/>
                <w:szCs w:val="14"/>
              </w:rPr>
              <w:t>[A+B]</w:t>
            </w:r>
          </w:p>
        </w:tc>
        <w:tc>
          <w:tcPr>
            <w:tcW w:w="1420" w:type="dxa"/>
            <w:vMerge w:val="restart"/>
            <w:tcBorders>
              <w:top w:val="nil"/>
              <w:left w:val="single" w:sz="8" w:space="0" w:color="000000"/>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b/>
                <w:bCs/>
                <w:color w:val="000000"/>
                <w:sz w:val="14"/>
                <w:szCs w:val="14"/>
              </w:rPr>
            </w:pPr>
            <w:r w:rsidRPr="00A92CB1">
              <w:rPr>
                <w:rFonts w:ascii="Arial Narrow" w:hAnsi="Arial Narrow"/>
                <w:b/>
                <w:bCs/>
                <w:color w:val="000000"/>
                <w:sz w:val="14"/>
                <w:szCs w:val="14"/>
              </w:rPr>
              <w:t>1 141,57</w:t>
            </w:r>
          </w:p>
        </w:tc>
        <w:tc>
          <w:tcPr>
            <w:tcW w:w="1420" w:type="dxa"/>
            <w:tcBorders>
              <w:top w:val="single" w:sz="8" w:space="0" w:color="000000"/>
              <w:left w:val="nil"/>
              <w:bottom w:val="nil"/>
              <w:right w:val="single" w:sz="8" w:space="0" w:color="000000"/>
            </w:tcBorders>
            <w:shd w:val="clear" w:color="000000" w:fill="D8D8D8"/>
            <w:textDirection w:val="lrTb"/>
            <w:vAlign w:val="center"/>
          </w:tcPr>
          <w:p w:rsidR="00A92CB1" w:rsidRPr="00A92CB1" w:rsidP="00A92CB1">
            <w:pPr>
              <w:bidi w:val="0"/>
              <w:jc w:val="center"/>
              <w:rPr>
                <w:rFonts w:ascii="Arial Narrow" w:hAnsi="Arial Narrow"/>
                <w:b/>
                <w:bCs/>
                <w:color w:val="000000"/>
                <w:sz w:val="14"/>
                <w:szCs w:val="14"/>
              </w:rPr>
            </w:pPr>
            <w:r w:rsidRPr="00A92CB1">
              <w:rPr>
                <w:rFonts w:ascii="Arial Narrow" w:hAnsi="Arial Narrow"/>
                <w:b/>
                <w:bCs/>
                <w:color w:val="000000"/>
                <w:sz w:val="14"/>
                <w:szCs w:val="14"/>
              </w:rPr>
              <w:t xml:space="preserve">[A+B] z I.               </w:t>
            </w:r>
          </w:p>
        </w:tc>
        <w:tc>
          <w:tcPr>
            <w:tcW w:w="1420" w:type="dxa"/>
            <w:tcBorders>
              <w:top w:val="single" w:sz="8" w:space="0" w:color="000000"/>
              <w:left w:val="nil"/>
              <w:bottom w:val="nil"/>
              <w:right w:val="single" w:sz="8" w:space="0" w:color="auto"/>
            </w:tcBorders>
            <w:textDirection w:val="lrTb"/>
            <w:vAlign w:val="center"/>
          </w:tcPr>
          <w:p w:rsidR="00A92CB1" w:rsidRPr="00A92CB1" w:rsidP="00A92CB1">
            <w:pPr>
              <w:bidi w:val="0"/>
              <w:jc w:val="center"/>
              <w:rPr>
                <w:rFonts w:ascii="Arial Narrow" w:hAnsi="Arial Narrow"/>
                <w:b/>
                <w:bCs/>
                <w:color w:val="000000"/>
                <w:sz w:val="14"/>
                <w:szCs w:val="14"/>
              </w:rPr>
            </w:pPr>
            <w:r w:rsidRPr="00A92CB1">
              <w:rPr>
                <w:rFonts w:ascii="Arial Narrow" w:hAnsi="Arial Narrow"/>
                <w:b/>
                <w:bCs/>
                <w:color w:val="000000"/>
                <w:sz w:val="14"/>
                <w:szCs w:val="14"/>
              </w:rPr>
              <w:t>1 141,57</w:t>
            </w:r>
          </w:p>
        </w:tc>
      </w:tr>
      <w:tr>
        <w:tblPrEx>
          <w:tblW w:w="9120" w:type="dxa"/>
          <w:tblInd w:w="57" w:type="dxa"/>
          <w:tblCellMar>
            <w:left w:w="70" w:type="dxa"/>
            <w:right w:w="70" w:type="dxa"/>
          </w:tblCellMar>
          <w:tblLook w:val="04A0"/>
        </w:tblPrEx>
        <w:trPr>
          <w:trHeight w:val="255"/>
        </w:trPr>
        <w:tc>
          <w:tcPr>
            <w:tcW w:w="3440" w:type="dxa"/>
            <w:vMerge/>
            <w:tcBorders>
              <w:top w:val="single" w:sz="8" w:space="0" w:color="auto"/>
              <w:left w:val="single" w:sz="8" w:space="0" w:color="auto"/>
              <w:bottom w:val="single" w:sz="8" w:space="0" w:color="000000"/>
              <w:right w:val="single" w:sz="8" w:space="0" w:color="000000"/>
            </w:tcBorders>
            <w:textDirection w:val="lrTb"/>
            <w:vAlign w:val="center"/>
          </w:tcPr>
          <w:p w:rsidR="00A92CB1" w:rsidRPr="00A92CB1" w:rsidP="00A92CB1">
            <w:pPr>
              <w:bidi w:val="0"/>
              <w:rPr>
                <w:rFonts w:ascii="Arial Narrow" w:hAnsi="Arial Narrow"/>
                <w:b/>
                <w:bCs/>
                <w:color w:val="000000"/>
                <w:sz w:val="14"/>
                <w:szCs w:val="14"/>
              </w:rPr>
            </w:pPr>
          </w:p>
        </w:tc>
        <w:tc>
          <w:tcPr>
            <w:tcW w:w="1420" w:type="dxa"/>
            <w:vMerge/>
            <w:tcBorders>
              <w:top w:val="nil"/>
              <w:left w:val="single" w:sz="8" w:space="0" w:color="000000"/>
              <w:bottom w:val="single" w:sz="8" w:space="0" w:color="000000"/>
              <w:right w:val="single" w:sz="8" w:space="0" w:color="000000"/>
            </w:tcBorders>
            <w:textDirection w:val="lrTb"/>
            <w:vAlign w:val="center"/>
          </w:tcPr>
          <w:p w:rsidR="00A92CB1" w:rsidRPr="00A92CB1" w:rsidP="00A92CB1">
            <w:pPr>
              <w:bidi w:val="0"/>
              <w:rPr>
                <w:rFonts w:ascii="Arial Narrow" w:hAnsi="Arial Narrow"/>
                <w:b/>
                <w:bCs/>
                <w:color w:val="000000"/>
                <w:sz w:val="14"/>
                <w:szCs w:val="14"/>
              </w:rPr>
            </w:pPr>
          </w:p>
        </w:tc>
        <w:tc>
          <w:tcPr>
            <w:tcW w:w="1420" w:type="dxa"/>
            <w:vMerge/>
            <w:tcBorders>
              <w:top w:val="nil"/>
              <w:left w:val="single" w:sz="8" w:space="0" w:color="000000"/>
              <w:bottom w:val="single" w:sz="8" w:space="0" w:color="000000"/>
              <w:right w:val="single" w:sz="8" w:space="0" w:color="000000"/>
            </w:tcBorders>
            <w:textDirection w:val="lrTb"/>
            <w:vAlign w:val="center"/>
          </w:tcPr>
          <w:p w:rsidR="00A92CB1" w:rsidRPr="00A92CB1" w:rsidP="00A92CB1">
            <w:pPr>
              <w:bidi w:val="0"/>
              <w:rPr>
                <w:rFonts w:ascii="Arial Narrow" w:hAnsi="Arial Narrow"/>
                <w:b/>
                <w:bCs/>
                <w:color w:val="000000"/>
                <w:sz w:val="14"/>
                <w:szCs w:val="14"/>
              </w:rPr>
            </w:pPr>
          </w:p>
        </w:tc>
        <w:tc>
          <w:tcPr>
            <w:tcW w:w="1420" w:type="dxa"/>
            <w:tcBorders>
              <w:top w:val="nil"/>
              <w:left w:val="nil"/>
              <w:bottom w:val="single" w:sz="8" w:space="0" w:color="auto"/>
              <w:right w:val="single" w:sz="8" w:space="0" w:color="000000"/>
            </w:tcBorders>
            <w:shd w:val="clear" w:color="000000" w:fill="D8D8D8"/>
            <w:textDirection w:val="lrTb"/>
            <w:vAlign w:val="center"/>
          </w:tcPr>
          <w:p w:rsidR="00A92CB1" w:rsidRPr="00A92CB1" w:rsidP="00A92CB1">
            <w:pPr>
              <w:bidi w:val="0"/>
              <w:jc w:val="center"/>
              <w:rPr>
                <w:rFonts w:ascii="Arial Narrow" w:hAnsi="Arial Narrow"/>
                <w:b/>
                <w:bCs/>
                <w:color w:val="000000"/>
                <w:sz w:val="14"/>
                <w:szCs w:val="14"/>
              </w:rPr>
            </w:pPr>
            <w:r w:rsidRPr="00A92CB1">
              <w:rPr>
                <w:rFonts w:ascii="Arial Narrow" w:hAnsi="Arial Narrow"/>
                <w:b/>
                <w:bCs/>
                <w:color w:val="000000"/>
                <w:sz w:val="14"/>
                <w:szCs w:val="14"/>
              </w:rPr>
              <w:t xml:space="preserve">([A+B] z I. - [B]) </w:t>
            </w:r>
          </w:p>
        </w:tc>
        <w:tc>
          <w:tcPr>
            <w:tcW w:w="1420" w:type="dxa"/>
            <w:tcBorders>
              <w:top w:val="nil"/>
              <w:left w:val="nil"/>
              <w:bottom w:val="single" w:sz="8" w:space="0" w:color="auto"/>
              <w:right w:val="single" w:sz="8" w:space="0" w:color="auto"/>
            </w:tcBorders>
            <w:textDirection w:val="lrTb"/>
            <w:vAlign w:val="center"/>
          </w:tcPr>
          <w:p w:rsidR="00A92CB1" w:rsidRPr="00A92CB1" w:rsidP="00A92CB1">
            <w:pPr>
              <w:bidi w:val="0"/>
              <w:jc w:val="center"/>
              <w:rPr>
                <w:rFonts w:ascii="Arial Narrow" w:hAnsi="Arial Narrow"/>
                <w:b/>
                <w:bCs/>
                <w:color w:val="000000"/>
                <w:sz w:val="14"/>
                <w:szCs w:val="14"/>
              </w:rPr>
            </w:pPr>
            <w:r w:rsidRPr="00A92CB1">
              <w:rPr>
                <w:rFonts w:ascii="Arial Narrow" w:hAnsi="Arial Narrow"/>
                <w:b/>
                <w:bCs/>
                <w:color w:val="000000"/>
                <w:sz w:val="14"/>
                <w:szCs w:val="14"/>
              </w:rPr>
              <w:t>1 134,82</w:t>
            </w:r>
          </w:p>
        </w:tc>
      </w:tr>
      <w:tr>
        <w:tblPrEx>
          <w:tblW w:w="9120" w:type="dxa"/>
          <w:tblInd w:w="57" w:type="dxa"/>
          <w:tblCellMar>
            <w:left w:w="70" w:type="dxa"/>
            <w:right w:w="70" w:type="dxa"/>
          </w:tblCellMar>
          <w:tblLook w:val="04A0"/>
        </w:tblPrEx>
        <w:trPr>
          <w:trHeight w:val="255"/>
        </w:trPr>
        <w:tc>
          <w:tcPr>
            <w:tcW w:w="3440" w:type="dxa"/>
            <w:vMerge w:val="restart"/>
            <w:tcBorders>
              <w:top w:val="nil"/>
              <w:left w:val="single" w:sz="8" w:space="0" w:color="auto"/>
              <w:bottom w:val="single" w:sz="8" w:space="0" w:color="000000"/>
              <w:right w:val="single" w:sz="8" w:space="0" w:color="000000"/>
            </w:tcBorders>
            <w:textDirection w:val="lrTb"/>
            <w:vAlign w:val="center"/>
          </w:tcPr>
          <w:p w:rsidR="00A92CB1" w:rsidRPr="00A92CB1" w:rsidP="00A92CB1">
            <w:pPr>
              <w:bidi w:val="0"/>
              <w:rPr>
                <w:rFonts w:ascii="Arial Narrow" w:hAnsi="Arial Narrow"/>
                <w:color w:val="000000"/>
                <w:sz w:val="14"/>
                <w:szCs w:val="14"/>
              </w:rPr>
            </w:pPr>
            <w:r w:rsidRPr="00A92CB1">
              <w:rPr>
                <w:rFonts w:ascii="Arial Narrow" w:hAnsi="Arial Narrow"/>
                <w:color w:val="000000"/>
                <w:sz w:val="14"/>
                <w:szCs w:val="14"/>
              </w:rPr>
              <w:t xml:space="preserve">D] </w:t>
            </w:r>
            <w:r w:rsidR="006C6629">
              <w:rPr>
                <w:rFonts w:ascii="Arial Narrow" w:hAnsi="Arial Narrow"/>
                <w:color w:val="000000"/>
                <w:sz w:val="14"/>
                <w:szCs w:val="14"/>
              </w:rPr>
              <w:t>poistné</w:t>
            </w:r>
            <w:r w:rsidRPr="00A92CB1">
              <w:rPr>
                <w:rFonts w:ascii="Arial Narrow" w:hAnsi="Arial Narrow"/>
                <w:color w:val="000000"/>
                <w:sz w:val="14"/>
                <w:szCs w:val="14"/>
              </w:rPr>
              <w:t xml:space="preserve"> rodiny</w:t>
            </w:r>
          </w:p>
        </w:tc>
        <w:tc>
          <w:tcPr>
            <w:tcW w:w="1420" w:type="dxa"/>
            <w:vMerge w:val="restart"/>
            <w:tcBorders>
              <w:top w:val="nil"/>
              <w:left w:val="single" w:sz="8" w:space="0" w:color="000000"/>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13,4 % z [A]</w:t>
            </w:r>
          </w:p>
        </w:tc>
        <w:tc>
          <w:tcPr>
            <w:tcW w:w="1420" w:type="dxa"/>
            <w:vMerge w:val="restart"/>
            <w:tcBorders>
              <w:top w:val="nil"/>
              <w:left w:val="single" w:sz="8" w:space="0" w:color="000000"/>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113,13</w:t>
            </w:r>
          </w:p>
        </w:tc>
        <w:tc>
          <w:tcPr>
            <w:tcW w:w="1420" w:type="dxa"/>
            <w:tcBorders>
              <w:top w:val="nil"/>
              <w:left w:val="nil"/>
              <w:bottom w:val="nil"/>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 xml:space="preserve">28 % z [(C)]      </w:t>
            </w:r>
          </w:p>
        </w:tc>
        <w:tc>
          <w:tcPr>
            <w:tcW w:w="1420" w:type="dxa"/>
            <w:tcBorders>
              <w:top w:val="nil"/>
              <w:left w:val="nil"/>
              <w:bottom w:val="nil"/>
              <w:right w:val="single" w:sz="8" w:space="0" w:color="auto"/>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317,74</w:t>
            </w:r>
          </w:p>
        </w:tc>
      </w:tr>
      <w:tr>
        <w:tblPrEx>
          <w:tblW w:w="9120" w:type="dxa"/>
          <w:tblInd w:w="57" w:type="dxa"/>
          <w:tblCellMar>
            <w:left w:w="70" w:type="dxa"/>
            <w:right w:w="70" w:type="dxa"/>
          </w:tblCellMar>
          <w:tblLook w:val="04A0"/>
        </w:tblPrEx>
        <w:trPr>
          <w:trHeight w:val="255"/>
        </w:trPr>
        <w:tc>
          <w:tcPr>
            <w:tcW w:w="3440" w:type="dxa"/>
            <w:vMerge/>
            <w:tcBorders>
              <w:top w:val="nil"/>
              <w:left w:val="single" w:sz="8" w:space="0" w:color="auto"/>
              <w:bottom w:val="single" w:sz="8" w:space="0" w:color="000000"/>
              <w:right w:val="single" w:sz="8" w:space="0" w:color="000000"/>
            </w:tcBorders>
            <w:textDirection w:val="lrTb"/>
            <w:vAlign w:val="center"/>
          </w:tcPr>
          <w:p w:rsidR="00A92CB1" w:rsidRPr="00A92CB1" w:rsidP="00A92CB1">
            <w:pPr>
              <w:bidi w:val="0"/>
              <w:rPr>
                <w:rFonts w:ascii="Arial Narrow" w:hAnsi="Arial Narrow"/>
                <w:color w:val="000000"/>
                <w:sz w:val="14"/>
                <w:szCs w:val="14"/>
              </w:rPr>
            </w:pPr>
          </w:p>
        </w:tc>
        <w:tc>
          <w:tcPr>
            <w:tcW w:w="1420" w:type="dxa"/>
            <w:vMerge/>
            <w:tcBorders>
              <w:top w:val="nil"/>
              <w:left w:val="single" w:sz="8" w:space="0" w:color="000000"/>
              <w:bottom w:val="single" w:sz="8" w:space="0" w:color="000000"/>
              <w:right w:val="single" w:sz="8" w:space="0" w:color="000000"/>
            </w:tcBorders>
            <w:textDirection w:val="lrTb"/>
            <w:vAlign w:val="center"/>
          </w:tcPr>
          <w:p w:rsidR="00A92CB1" w:rsidRPr="00A92CB1" w:rsidP="00A92CB1">
            <w:pPr>
              <w:bidi w:val="0"/>
              <w:rPr>
                <w:rFonts w:ascii="Arial Narrow" w:hAnsi="Arial Narrow"/>
                <w:color w:val="000000"/>
                <w:sz w:val="14"/>
                <w:szCs w:val="14"/>
              </w:rPr>
            </w:pPr>
          </w:p>
        </w:tc>
        <w:tc>
          <w:tcPr>
            <w:tcW w:w="1420" w:type="dxa"/>
            <w:vMerge/>
            <w:tcBorders>
              <w:top w:val="nil"/>
              <w:left w:val="single" w:sz="8" w:space="0" w:color="000000"/>
              <w:bottom w:val="single" w:sz="8" w:space="0" w:color="000000"/>
              <w:right w:val="single" w:sz="8" w:space="0" w:color="000000"/>
            </w:tcBorders>
            <w:textDirection w:val="lrTb"/>
            <w:vAlign w:val="center"/>
          </w:tcPr>
          <w:p w:rsidR="00A92CB1" w:rsidRPr="00A92CB1" w:rsidP="00A92CB1">
            <w:pPr>
              <w:bidi w:val="0"/>
              <w:rPr>
                <w:rFonts w:ascii="Arial Narrow" w:hAnsi="Arial Narrow"/>
                <w:color w:val="000000"/>
                <w:sz w:val="14"/>
                <w:szCs w:val="14"/>
              </w:rPr>
            </w:pP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t.j.19% SO a 9% ZO</w:t>
            </w:r>
          </w:p>
        </w:tc>
        <w:tc>
          <w:tcPr>
            <w:tcW w:w="1420" w:type="dxa"/>
            <w:tcBorders>
              <w:top w:val="nil"/>
              <w:left w:val="nil"/>
              <w:bottom w:val="single" w:sz="8" w:space="0" w:color="000000"/>
              <w:right w:val="single" w:sz="8" w:space="0" w:color="auto"/>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t.j. 215,61 + 102,13</w:t>
            </w:r>
          </w:p>
        </w:tc>
      </w:tr>
      <w:tr>
        <w:tblPrEx>
          <w:tblW w:w="9120" w:type="dxa"/>
          <w:tblInd w:w="57" w:type="dxa"/>
          <w:tblCellMar>
            <w:left w:w="70" w:type="dxa"/>
            <w:right w:w="70" w:type="dxa"/>
          </w:tblCellMar>
          <w:tblLook w:val="04A0"/>
        </w:tblPrEx>
        <w:trPr>
          <w:trHeight w:val="255"/>
        </w:trPr>
        <w:tc>
          <w:tcPr>
            <w:tcW w:w="3440" w:type="dxa"/>
            <w:tcBorders>
              <w:top w:val="nil"/>
              <w:left w:val="single" w:sz="8" w:space="0" w:color="auto"/>
              <w:bottom w:val="single" w:sz="8" w:space="0" w:color="000000"/>
              <w:right w:val="single" w:sz="8" w:space="0" w:color="000000"/>
            </w:tcBorders>
            <w:textDirection w:val="lrTb"/>
            <w:vAlign w:val="center"/>
          </w:tcPr>
          <w:p w:rsidR="00A92CB1" w:rsidRPr="00A92CB1" w:rsidP="00A92CB1">
            <w:pPr>
              <w:bidi w:val="0"/>
              <w:rPr>
                <w:rFonts w:ascii="Arial Narrow" w:hAnsi="Arial Narrow"/>
                <w:color w:val="000000"/>
                <w:sz w:val="14"/>
                <w:szCs w:val="14"/>
              </w:rPr>
            </w:pPr>
            <w:r w:rsidRPr="00A92CB1">
              <w:rPr>
                <w:rFonts w:ascii="Arial Narrow" w:hAnsi="Arial Narrow"/>
                <w:color w:val="000000"/>
                <w:sz w:val="14"/>
                <w:szCs w:val="14"/>
              </w:rPr>
              <w:t>E] základ dane</w:t>
            </w: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[A-D]</w:t>
            </w: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731,25</w:t>
            </w: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[(C)]</w:t>
            </w:r>
          </w:p>
        </w:tc>
        <w:tc>
          <w:tcPr>
            <w:tcW w:w="1420" w:type="dxa"/>
            <w:tcBorders>
              <w:top w:val="nil"/>
              <w:left w:val="nil"/>
              <w:bottom w:val="single" w:sz="8" w:space="0" w:color="000000"/>
              <w:right w:val="single" w:sz="8" w:space="0" w:color="auto"/>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1 134,82</w:t>
            </w:r>
          </w:p>
        </w:tc>
      </w:tr>
      <w:tr>
        <w:tblPrEx>
          <w:tblW w:w="9120" w:type="dxa"/>
          <w:tblInd w:w="57" w:type="dxa"/>
          <w:tblCellMar>
            <w:left w:w="70" w:type="dxa"/>
            <w:right w:w="70" w:type="dxa"/>
          </w:tblCellMar>
          <w:tblLook w:val="04A0"/>
        </w:tblPrEx>
        <w:trPr>
          <w:trHeight w:val="255"/>
        </w:trPr>
        <w:tc>
          <w:tcPr>
            <w:tcW w:w="3440" w:type="dxa"/>
            <w:tcBorders>
              <w:top w:val="nil"/>
              <w:left w:val="single" w:sz="8" w:space="0" w:color="auto"/>
              <w:bottom w:val="single" w:sz="8" w:space="0" w:color="000000"/>
              <w:right w:val="single" w:sz="8" w:space="0" w:color="000000"/>
            </w:tcBorders>
            <w:textDirection w:val="lrTb"/>
            <w:vAlign w:val="center"/>
          </w:tcPr>
          <w:p w:rsidR="00A92CB1" w:rsidRPr="00A92CB1" w:rsidP="00A92CB1">
            <w:pPr>
              <w:bidi w:val="0"/>
              <w:rPr>
                <w:rFonts w:ascii="Arial Narrow" w:hAnsi="Arial Narrow"/>
                <w:color w:val="000000"/>
                <w:sz w:val="14"/>
                <w:szCs w:val="14"/>
              </w:rPr>
            </w:pPr>
            <w:r w:rsidRPr="00A92CB1">
              <w:rPr>
                <w:rFonts w:ascii="Arial Narrow" w:hAnsi="Arial Narrow"/>
                <w:color w:val="000000"/>
                <w:sz w:val="14"/>
                <w:szCs w:val="14"/>
              </w:rPr>
              <w:t>F] nezdaniteľne časti základu dane</w:t>
            </w: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2 * 1,6 * ŽM</w:t>
            </w: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606,88</w:t>
            </w: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2 * 1,5 * ŽM</w:t>
            </w:r>
          </w:p>
        </w:tc>
        <w:tc>
          <w:tcPr>
            <w:tcW w:w="1420" w:type="dxa"/>
            <w:tcBorders>
              <w:top w:val="nil"/>
              <w:left w:val="nil"/>
              <w:bottom w:val="single" w:sz="8" w:space="0" w:color="000000"/>
              <w:right w:val="single" w:sz="8" w:space="0" w:color="auto"/>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568,95</w:t>
            </w:r>
          </w:p>
        </w:tc>
      </w:tr>
      <w:tr>
        <w:tblPrEx>
          <w:tblW w:w="9120" w:type="dxa"/>
          <w:tblInd w:w="57" w:type="dxa"/>
          <w:tblCellMar>
            <w:left w:w="70" w:type="dxa"/>
            <w:right w:w="70" w:type="dxa"/>
          </w:tblCellMar>
          <w:tblLook w:val="04A0"/>
        </w:tblPrEx>
        <w:trPr>
          <w:trHeight w:val="255"/>
        </w:trPr>
        <w:tc>
          <w:tcPr>
            <w:tcW w:w="3440" w:type="dxa"/>
            <w:tcBorders>
              <w:top w:val="nil"/>
              <w:left w:val="single" w:sz="8" w:space="0" w:color="auto"/>
              <w:bottom w:val="single" w:sz="8" w:space="0" w:color="000000"/>
              <w:right w:val="single" w:sz="8" w:space="0" w:color="000000"/>
            </w:tcBorders>
            <w:textDirection w:val="lrTb"/>
            <w:vAlign w:val="center"/>
          </w:tcPr>
          <w:p w:rsidR="00A92CB1" w:rsidRPr="00A92CB1" w:rsidP="00A92CB1">
            <w:pPr>
              <w:bidi w:val="0"/>
              <w:rPr>
                <w:rFonts w:ascii="Arial Narrow" w:hAnsi="Arial Narrow"/>
                <w:color w:val="000000"/>
                <w:sz w:val="14"/>
                <w:szCs w:val="14"/>
              </w:rPr>
            </w:pPr>
            <w:r w:rsidRPr="00A92CB1">
              <w:rPr>
                <w:rFonts w:ascii="Arial Narrow" w:hAnsi="Arial Narrow"/>
                <w:color w:val="000000"/>
                <w:sz w:val="14"/>
                <w:szCs w:val="14"/>
              </w:rPr>
              <w:t>G] zdaniteľný príjem</w:t>
            </w: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[E-F]</w:t>
            </w: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124,37</w:t>
            </w: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[E-F]</w:t>
            </w:r>
          </w:p>
        </w:tc>
        <w:tc>
          <w:tcPr>
            <w:tcW w:w="1420" w:type="dxa"/>
            <w:tcBorders>
              <w:top w:val="nil"/>
              <w:left w:val="nil"/>
              <w:bottom w:val="single" w:sz="8" w:space="0" w:color="000000"/>
              <w:right w:val="single" w:sz="8" w:space="0" w:color="auto"/>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565,87</w:t>
            </w:r>
          </w:p>
        </w:tc>
      </w:tr>
      <w:tr>
        <w:tblPrEx>
          <w:tblW w:w="9120" w:type="dxa"/>
          <w:tblInd w:w="57" w:type="dxa"/>
          <w:tblCellMar>
            <w:left w:w="70" w:type="dxa"/>
            <w:right w:w="70" w:type="dxa"/>
          </w:tblCellMar>
          <w:tblLook w:val="04A0"/>
        </w:tblPrEx>
        <w:trPr>
          <w:trHeight w:val="255"/>
        </w:trPr>
        <w:tc>
          <w:tcPr>
            <w:tcW w:w="3440" w:type="dxa"/>
            <w:tcBorders>
              <w:top w:val="nil"/>
              <w:left w:val="single" w:sz="8" w:space="0" w:color="auto"/>
              <w:bottom w:val="single" w:sz="8" w:space="0" w:color="000000"/>
              <w:right w:val="single" w:sz="8" w:space="0" w:color="000000"/>
            </w:tcBorders>
            <w:textDirection w:val="lrTb"/>
            <w:vAlign w:val="center"/>
          </w:tcPr>
          <w:p w:rsidR="00A92CB1" w:rsidRPr="00A92CB1" w:rsidP="00A92CB1">
            <w:pPr>
              <w:bidi w:val="0"/>
              <w:rPr>
                <w:rFonts w:ascii="Arial Narrow" w:hAnsi="Arial Narrow"/>
                <w:color w:val="000000"/>
                <w:sz w:val="14"/>
                <w:szCs w:val="14"/>
              </w:rPr>
            </w:pPr>
            <w:r w:rsidRPr="00A92CB1">
              <w:rPr>
                <w:rFonts w:ascii="Arial Narrow" w:hAnsi="Arial Narrow"/>
                <w:color w:val="000000"/>
                <w:sz w:val="14"/>
                <w:szCs w:val="14"/>
              </w:rPr>
              <w:t>H] daňový bonus (DB)</w:t>
            </w: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2 * DB</w:t>
            </w: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41,62</w:t>
            </w: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2 * DB</w:t>
            </w: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41,62</w:t>
            </w:r>
          </w:p>
        </w:tc>
      </w:tr>
      <w:tr>
        <w:tblPrEx>
          <w:tblW w:w="9120" w:type="dxa"/>
          <w:tblInd w:w="57" w:type="dxa"/>
          <w:tblCellMar>
            <w:left w:w="70" w:type="dxa"/>
            <w:right w:w="70" w:type="dxa"/>
          </w:tblCellMar>
          <w:tblLook w:val="04A0"/>
        </w:tblPrEx>
        <w:trPr>
          <w:trHeight w:val="255"/>
        </w:trPr>
        <w:tc>
          <w:tcPr>
            <w:tcW w:w="3440" w:type="dxa"/>
            <w:tcBorders>
              <w:top w:val="nil"/>
              <w:left w:val="single" w:sz="8" w:space="0" w:color="auto"/>
              <w:bottom w:val="single" w:sz="8" w:space="0" w:color="000000"/>
              <w:right w:val="single" w:sz="8" w:space="0" w:color="000000"/>
            </w:tcBorders>
            <w:textDirection w:val="lrTb"/>
            <w:vAlign w:val="center"/>
          </w:tcPr>
          <w:p w:rsidR="00A92CB1" w:rsidRPr="00A92CB1" w:rsidP="00A92CB1">
            <w:pPr>
              <w:bidi w:val="0"/>
              <w:rPr>
                <w:rFonts w:ascii="Arial Narrow" w:hAnsi="Arial Narrow"/>
                <w:color w:val="000000"/>
                <w:sz w:val="14"/>
                <w:szCs w:val="14"/>
              </w:rPr>
            </w:pPr>
            <w:r w:rsidRPr="00A92CB1">
              <w:rPr>
                <w:rFonts w:ascii="Arial Narrow" w:hAnsi="Arial Narrow"/>
                <w:color w:val="000000"/>
                <w:sz w:val="14"/>
                <w:szCs w:val="14"/>
              </w:rPr>
              <w:t>I] daň z príjmu FO</w:t>
            </w: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(19 % z [G] - [H])</w:t>
            </w:r>
          </w:p>
        </w:tc>
        <w:tc>
          <w:tcPr>
            <w:tcW w:w="1420" w:type="dxa"/>
            <w:tcBorders>
              <w:top w:val="nil"/>
              <w:left w:val="nil"/>
              <w:bottom w:val="single" w:sz="8" w:space="0" w:color="000000"/>
              <w:right w:val="single" w:sz="8" w:space="0" w:color="auto"/>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-17,98</w:t>
            </w: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(19 % z [G] - [H])</w:t>
            </w:r>
          </w:p>
        </w:tc>
        <w:tc>
          <w:tcPr>
            <w:tcW w:w="1420" w:type="dxa"/>
            <w:tcBorders>
              <w:top w:val="nil"/>
              <w:left w:val="nil"/>
              <w:bottom w:val="single" w:sz="8" w:space="0" w:color="000000"/>
              <w:right w:val="single" w:sz="8" w:space="0" w:color="auto"/>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65,89</w:t>
            </w:r>
          </w:p>
        </w:tc>
      </w:tr>
      <w:tr>
        <w:tblPrEx>
          <w:tblW w:w="9120" w:type="dxa"/>
          <w:tblInd w:w="57" w:type="dxa"/>
          <w:tblCellMar>
            <w:left w:w="70" w:type="dxa"/>
            <w:right w:w="70" w:type="dxa"/>
          </w:tblCellMar>
          <w:tblLook w:val="04A0"/>
        </w:tblPrEx>
        <w:trPr>
          <w:trHeight w:val="255"/>
        </w:trPr>
        <w:tc>
          <w:tcPr>
            <w:tcW w:w="3440" w:type="dxa"/>
            <w:tcBorders>
              <w:top w:val="nil"/>
              <w:left w:val="single" w:sz="8" w:space="0" w:color="auto"/>
              <w:bottom w:val="single" w:sz="8" w:space="0" w:color="auto"/>
              <w:right w:val="single" w:sz="8" w:space="0" w:color="000000"/>
            </w:tcBorders>
            <w:textDirection w:val="lrTb"/>
            <w:vAlign w:val="center"/>
          </w:tcPr>
          <w:p w:rsidR="00A92CB1" w:rsidRPr="00A92CB1" w:rsidP="00A92CB1">
            <w:pPr>
              <w:bidi w:val="0"/>
              <w:rPr>
                <w:rFonts w:ascii="Arial Narrow" w:hAnsi="Arial Narrow"/>
                <w:b/>
                <w:bCs/>
                <w:color w:val="000000"/>
                <w:sz w:val="14"/>
                <w:szCs w:val="14"/>
              </w:rPr>
            </w:pPr>
            <w:r w:rsidRPr="00A92CB1">
              <w:rPr>
                <w:rFonts w:ascii="Arial Narrow" w:hAnsi="Arial Narrow"/>
                <w:b/>
                <w:bCs/>
                <w:color w:val="000000"/>
                <w:sz w:val="14"/>
                <w:szCs w:val="14"/>
              </w:rPr>
              <w:t>J] čistá mzda</w:t>
            </w:r>
          </w:p>
        </w:tc>
        <w:tc>
          <w:tcPr>
            <w:tcW w:w="1420" w:type="dxa"/>
            <w:tcBorders>
              <w:top w:val="nil"/>
              <w:left w:val="nil"/>
              <w:bottom w:val="single" w:sz="8" w:space="0" w:color="auto"/>
              <w:right w:val="single" w:sz="8" w:space="0" w:color="000000"/>
            </w:tcBorders>
            <w:textDirection w:val="lrTb"/>
            <w:vAlign w:val="center"/>
          </w:tcPr>
          <w:p w:rsidR="00A92CB1" w:rsidRPr="00A92CB1" w:rsidP="00A92CB1">
            <w:pPr>
              <w:bidi w:val="0"/>
              <w:jc w:val="center"/>
              <w:rPr>
                <w:rFonts w:ascii="Arial Narrow" w:hAnsi="Arial Narrow"/>
                <w:b/>
                <w:bCs/>
                <w:color w:val="000000"/>
                <w:sz w:val="14"/>
                <w:szCs w:val="14"/>
              </w:rPr>
            </w:pPr>
            <w:r w:rsidRPr="00A92CB1">
              <w:rPr>
                <w:rFonts w:ascii="Arial Narrow" w:hAnsi="Arial Narrow"/>
                <w:b/>
                <w:bCs/>
                <w:color w:val="000000"/>
                <w:sz w:val="14"/>
                <w:szCs w:val="14"/>
              </w:rPr>
              <w:t>[E-I]</w:t>
            </w:r>
          </w:p>
        </w:tc>
        <w:tc>
          <w:tcPr>
            <w:tcW w:w="1420" w:type="dxa"/>
            <w:tcBorders>
              <w:top w:val="nil"/>
              <w:left w:val="nil"/>
              <w:bottom w:val="single" w:sz="8" w:space="0" w:color="auto"/>
              <w:right w:val="single" w:sz="8" w:space="0" w:color="000000"/>
            </w:tcBorders>
            <w:textDirection w:val="lrTb"/>
            <w:vAlign w:val="center"/>
          </w:tcPr>
          <w:p w:rsidR="00A92CB1" w:rsidRPr="00A92CB1" w:rsidP="00A92CB1">
            <w:pPr>
              <w:bidi w:val="0"/>
              <w:jc w:val="center"/>
              <w:rPr>
                <w:rFonts w:ascii="Arial Narrow" w:hAnsi="Arial Narrow"/>
                <w:b/>
                <w:bCs/>
                <w:color w:val="000000"/>
                <w:sz w:val="14"/>
                <w:szCs w:val="14"/>
              </w:rPr>
            </w:pPr>
            <w:r w:rsidRPr="00A92CB1">
              <w:rPr>
                <w:rFonts w:ascii="Arial Narrow" w:hAnsi="Arial Narrow"/>
                <w:b/>
                <w:bCs/>
                <w:color w:val="000000"/>
                <w:sz w:val="14"/>
                <w:szCs w:val="14"/>
              </w:rPr>
              <w:t>749,23</w:t>
            </w:r>
          </w:p>
        </w:tc>
        <w:tc>
          <w:tcPr>
            <w:tcW w:w="1420" w:type="dxa"/>
            <w:tcBorders>
              <w:top w:val="nil"/>
              <w:left w:val="nil"/>
              <w:bottom w:val="single" w:sz="8" w:space="0" w:color="auto"/>
              <w:right w:val="single" w:sz="8" w:space="0" w:color="000000"/>
            </w:tcBorders>
            <w:textDirection w:val="lrTb"/>
            <w:vAlign w:val="center"/>
          </w:tcPr>
          <w:p w:rsidR="00A92CB1" w:rsidRPr="00A92CB1" w:rsidP="00A92CB1">
            <w:pPr>
              <w:bidi w:val="0"/>
              <w:jc w:val="center"/>
              <w:rPr>
                <w:rFonts w:ascii="Arial Narrow" w:hAnsi="Arial Narrow"/>
                <w:b/>
                <w:bCs/>
                <w:color w:val="000000"/>
                <w:sz w:val="14"/>
                <w:szCs w:val="14"/>
              </w:rPr>
            </w:pPr>
            <w:r w:rsidRPr="00A92CB1">
              <w:rPr>
                <w:rFonts w:ascii="Arial Narrow" w:hAnsi="Arial Narrow"/>
                <w:b/>
                <w:bCs/>
                <w:color w:val="000000"/>
                <w:sz w:val="14"/>
                <w:szCs w:val="14"/>
              </w:rPr>
              <w:t>[(C)-D-I]</w:t>
            </w:r>
          </w:p>
        </w:tc>
        <w:tc>
          <w:tcPr>
            <w:tcW w:w="1420" w:type="dxa"/>
            <w:tcBorders>
              <w:top w:val="nil"/>
              <w:left w:val="nil"/>
              <w:bottom w:val="single" w:sz="8" w:space="0" w:color="auto"/>
              <w:right w:val="single" w:sz="8" w:space="0" w:color="auto"/>
            </w:tcBorders>
            <w:textDirection w:val="lrTb"/>
            <w:vAlign w:val="center"/>
          </w:tcPr>
          <w:p w:rsidR="00A92CB1" w:rsidRPr="00A92CB1" w:rsidP="00A92CB1">
            <w:pPr>
              <w:bidi w:val="0"/>
              <w:jc w:val="center"/>
              <w:rPr>
                <w:rFonts w:ascii="Arial Narrow" w:hAnsi="Arial Narrow"/>
                <w:b/>
                <w:bCs/>
                <w:color w:val="000000"/>
                <w:sz w:val="14"/>
                <w:szCs w:val="14"/>
              </w:rPr>
            </w:pPr>
            <w:r w:rsidRPr="00A92CB1">
              <w:rPr>
                <w:rFonts w:ascii="Arial Narrow" w:hAnsi="Arial Narrow"/>
                <w:b/>
                <w:bCs/>
                <w:color w:val="000000"/>
                <w:sz w:val="14"/>
                <w:szCs w:val="14"/>
              </w:rPr>
              <w:t>751,19</w:t>
            </w:r>
          </w:p>
        </w:tc>
      </w:tr>
      <w:tr>
        <w:tblPrEx>
          <w:tblW w:w="9120" w:type="dxa"/>
          <w:tblInd w:w="57" w:type="dxa"/>
          <w:tblCellMar>
            <w:left w:w="70" w:type="dxa"/>
            <w:right w:w="70" w:type="dxa"/>
          </w:tblCellMar>
          <w:tblLook w:val="04A0"/>
        </w:tblPrEx>
        <w:trPr>
          <w:trHeight w:val="255"/>
        </w:trPr>
        <w:tc>
          <w:tcPr>
            <w:tcW w:w="3440" w:type="dxa"/>
            <w:tcBorders>
              <w:top w:val="nil"/>
              <w:left w:val="single" w:sz="8" w:space="0" w:color="auto"/>
              <w:bottom w:val="single" w:sz="8" w:space="0" w:color="000000"/>
              <w:right w:val="single" w:sz="8" w:space="0" w:color="000000"/>
            </w:tcBorders>
            <w:textDirection w:val="lrTb"/>
            <w:vAlign w:val="center"/>
          </w:tcPr>
          <w:p w:rsidR="00A92CB1" w:rsidRPr="00A92CB1" w:rsidP="00A92CB1">
            <w:pPr>
              <w:bidi w:val="0"/>
              <w:rPr>
                <w:rFonts w:ascii="Arial Narrow" w:hAnsi="Arial Narrow"/>
                <w:color w:val="000000"/>
                <w:sz w:val="14"/>
                <w:szCs w:val="14"/>
              </w:rPr>
            </w:pPr>
            <w:r w:rsidRPr="00A92CB1">
              <w:rPr>
                <w:rFonts w:ascii="Arial Narrow" w:hAnsi="Arial Narrow"/>
                <w:color w:val="000000"/>
                <w:sz w:val="14"/>
                <w:szCs w:val="14"/>
              </w:rPr>
              <w:t>K] prídavky na dieťa (PD)</w:t>
            </w: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2*PD</w:t>
            </w: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45,04</w:t>
            </w: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2*PD</w:t>
            </w: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45,04</w:t>
            </w:r>
          </w:p>
        </w:tc>
      </w:tr>
      <w:tr>
        <w:tblPrEx>
          <w:tblW w:w="9120" w:type="dxa"/>
          <w:tblInd w:w="57" w:type="dxa"/>
          <w:tblCellMar>
            <w:left w:w="70" w:type="dxa"/>
            <w:right w:w="70" w:type="dxa"/>
          </w:tblCellMar>
          <w:tblLook w:val="04A0"/>
        </w:tblPrEx>
        <w:trPr>
          <w:trHeight w:val="255"/>
        </w:trPr>
        <w:tc>
          <w:tcPr>
            <w:tcW w:w="3440" w:type="dxa"/>
            <w:tcBorders>
              <w:top w:val="nil"/>
              <w:left w:val="single" w:sz="8" w:space="0" w:color="auto"/>
              <w:bottom w:val="single" w:sz="8" w:space="0" w:color="auto"/>
              <w:right w:val="single" w:sz="8" w:space="0" w:color="000000"/>
            </w:tcBorders>
            <w:textDirection w:val="lrTb"/>
            <w:vAlign w:val="center"/>
          </w:tcPr>
          <w:p w:rsidR="00A92CB1" w:rsidRPr="00A92CB1" w:rsidP="00A92CB1">
            <w:pPr>
              <w:bidi w:val="0"/>
              <w:rPr>
                <w:rFonts w:ascii="Arial Narrow" w:hAnsi="Arial Narrow"/>
                <w:b/>
                <w:bCs/>
                <w:color w:val="000000"/>
                <w:sz w:val="14"/>
                <w:szCs w:val="14"/>
              </w:rPr>
            </w:pPr>
            <w:r w:rsidRPr="00A92CB1">
              <w:rPr>
                <w:rFonts w:ascii="Arial Narrow" w:hAnsi="Arial Narrow"/>
                <w:b/>
                <w:bCs/>
                <w:color w:val="000000"/>
                <w:sz w:val="14"/>
                <w:szCs w:val="14"/>
              </w:rPr>
              <w:t>L] čistý príjem rodiny</w:t>
            </w:r>
          </w:p>
        </w:tc>
        <w:tc>
          <w:tcPr>
            <w:tcW w:w="1420" w:type="dxa"/>
            <w:tcBorders>
              <w:top w:val="nil"/>
              <w:left w:val="nil"/>
              <w:bottom w:val="single" w:sz="8" w:space="0" w:color="auto"/>
              <w:right w:val="single" w:sz="8" w:space="0" w:color="000000"/>
            </w:tcBorders>
            <w:textDirection w:val="lrTb"/>
            <w:vAlign w:val="center"/>
          </w:tcPr>
          <w:p w:rsidR="00A92CB1" w:rsidRPr="00A92CB1" w:rsidP="00A92CB1">
            <w:pPr>
              <w:bidi w:val="0"/>
              <w:jc w:val="center"/>
              <w:rPr>
                <w:rFonts w:ascii="Arial Narrow" w:hAnsi="Arial Narrow"/>
                <w:b/>
                <w:bCs/>
                <w:color w:val="000000"/>
                <w:sz w:val="14"/>
                <w:szCs w:val="14"/>
              </w:rPr>
            </w:pPr>
            <w:r w:rsidRPr="00A92CB1">
              <w:rPr>
                <w:rFonts w:ascii="Arial Narrow" w:hAnsi="Arial Narrow"/>
                <w:b/>
                <w:bCs/>
                <w:color w:val="000000"/>
                <w:sz w:val="14"/>
                <w:szCs w:val="14"/>
              </w:rPr>
              <w:t>[J+K]</w:t>
            </w:r>
          </w:p>
        </w:tc>
        <w:tc>
          <w:tcPr>
            <w:tcW w:w="1420" w:type="dxa"/>
            <w:tcBorders>
              <w:top w:val="nil"/>
              <w:left w:val="nil"/>
              <w:bottom w:val="single" w:sz="8" w:space="0" w:color="auto"/>
              <w:right w:val="single" w:sz="8" w:space="0" w:color="000000"/>
            </w:tcBorders>
            <w:textDirection w:val="lrTb"/>
            <w:vAlign w:val="center"/>
          </w:tcPr>
          <w:p w:rsidR="00A92CB1" w:rsidRPr="00A92CB1" w:rsidP="00A92CB1">
            <w:pPr>
              <w:bidi w:val="0"/>
              <w:jc w:val="center"/>
              <w:rPr>
                <w:rFonts w:ascii="Arial Narrow" w:hAnsi="Arial Narrow"/>
                <w:b/>
                <w:bCs/>
                <w:color w:val="000000"/>
                <w:sz w:val="14"/>
                <w:szCs w:val="14"/>
              </w:rPr>
            </w:pPr>
            <w:r w:rsidRPr="00A92CB1">
              <w:rPr>
                <w:rFonts w:ascii="Arial Narrow" w:hAnsi="Arial Narrow"/>
                <w:b/>
                <w:bCs/>
                <w:color w:val="000000"/>
                <w:sz w:val="14"/>
                <w:szCs w:val="14"/>
              </w:rPr>
              <w:t>794,27</w:t>
            </w:r>
          </w:p>
        </w:tc>
        <w:tc>
          <w:tcPr>
            <w:tcW w:w="1420" w:type="dxa"/>
            <w:tcBorders>
              <w:top w:val="nil"/>
              <w:left w:val="nil"/>
              <w:bottom w:val="single" w:sz="8" w:space="0" w:color="auto"/>
              <w:right w:val="single" w:sz="8" w:space="0" w:color="000000"/>
            </w:tcBorders>
            <w:textDirection w:val="lrTb"/>
            <w:vAlign w:val="center"/>
          </w:tcPr>
          <w:p w:rsidR="00A92CB1" w:rsidRPr="00A92CB1" w:rsidP="00A92CB1">
            <w:pPr>
              <w:bidi w:val="0"/>
              <w:jc w:val="center"/>
              <w:rPr>
                <w:rFonts w:ascii="Arial Narrow" w:hAnsi="Arial Narrow"/>
                <w:b/>
                <w:bCs/>
                <w:color w:val="000000"/>
                <w:sz w:val="14"/>
                <w:szCs w:val="14"/>
              </w:rPr>
            </w:pPr>
            <w:r w:rsidRPr="00A92CB1">
              <w:rPr>
                <w:rFonts w:ascii="Arial Narrow" w:hAnsi="Arial Narrow"/>
                <w:b/>
                <w:bCs/>
                <w:color w:val="000000"/>
                <w:sz w:val="14"/>
                <w:szCs w:val="14"/>
              </w:rPr>
              <w:t>[(C)-D-H]</w:t>
            </w:r>
          </w:p>
        </w:tc>
        <w:tc>
          <w:tcPr>
            <w:tcW w:w="1420" w:type="dxa"/>
            <w:tcBorders>
              <w:top w:val="nil"/>
              <w:left w:val="nil"/>
              <w:bottom w:val="single" w:sz="8" w:space="0" w:color="auto"/>
              <w:right w:val="single" w:sz="8" w:space="0" w:color="000000"/>
            </w:tcBorders>
            <w:textDirection w:val="lrTb"/>
            <w:vAlign w:val="center"/>
          </w:tcPr>
          <w:p w:rsidR="00A92CB1" w:rsidRPr="00A92CB1" w:rsidP="00A92CB1">
            <w:pPr>
              <w:bidi w:val="0"/>
              <w:jc w:val="center"/>
              <w:rPr>
                <w:rFonts w:ascii="Arial Narrow" w:hAnsi="Arial Narrow"/>
                <w:b/>
                <w:bCs/>
                <w:color w:val="000000"/>
                <w:sz w:val="14"/>
                <w:szCs w:val="14"/>
              </w:rPr>
            </w:pPr>
            <w:r w:rsidRPr="00A92CB1">
              <w:rPr>
                <w:rFonts w:ascii="Arial Narrow" w:hAnsi="Arial Narrow"/>
                <w:b/>
                <w:bCs/>
                <w:color w:val="000000"/>
                <w:sz w:val="14"/>
                <w:szCs w:val="14"/>
              </w:rPr>
              <w:t>796,23</w:t>
            </w:r>
          </w:p>
        </w:tc>
      </w:tr>
    </w:tbl>
    <w:p w:rsidR="00A92CB1" w:rsidP="00A92CB1">
      <w:pPr>
        <w:bidi w:val="0"/>
        <w:spacing w:line="276" w:lineRule="auto"/>
        <w:rPr>
          <w:rFonts w:ascii="Arial Narrow" w:hAnsi="Arial Narrow"/>
          <w:sz w:val="22"/>
          <w:szCs w:val="36"/>
          <w:lang w:eastAsia="en-US"/>
        </w:rPr>
      </w:pPr>
    </w:p>
    <w:p w:rsidR="00D10737" w:rsidRPr="00A92CB1" w:rsidP="00A92CB1">
      <w:pPr>
        <w:bidi w:val="0"/>
        <w:spacing w:line="276" w:lineRule="auto"/>
        <w:rPr>
          <w:rFonts w:ascii="Arial Narrow" w:hAnsi="Arial Narrow"/>
          <w:sz w:val="22"/>
          <w:szCs w:val="36"/>
          <w:lang w:eastAsia="en-US"/>
        </w:rPr>
      </w:pPr>
    </w:p>
    <w:tbl>
      <w:tblPr>
        <w:tblStyle w:val="TableNormal"/>
        <w:tblW w:w="9120" w:type="dxa"/>
        <w:tblInd w:w="58" w:type="dxa"/>
        <w:tblCellMar>
          <w:left w:w="70" w:type="dxa"/>
          <w:right w:w="70" w:type="dxa"/>
        </w:tblCellMar>
        <w:tblLook w:val="04A0"/>
      </w:tblPr>
      <w:tblGrid>
        <w:gridCol w:w="3440"/>
        <w:gridCol w:w="1420"/>
        <w:gridCol w:w="1420"/>
        <w:gridCol w:w="1420"/>
        <w:gridCol w:w="1420"/>
      </w:tblGrid>
      <w:tr>
        <w:tblPrEx>
          <w:tblW w:w="9120" w:type="dxa"/>
          <w:tblInd w:w="58" w:type="dxa"/>
          <w:tblCellMar>
            <w:left w:w="70" w:type="dxa"/>
            <w:right w:w="70" w:type="dxa"/>
          </w:tblCellMar>
          <w:tblLook w:val="04A0"/>
        </w:tblPrEx>
        <w:trPr>
          <w:trHeight w:val="270"/>
        </w:trPr>
        <w:tc>
          <w:tcPr>
            <w:tcW w:w="9120" w:type="dxa"/>
            <w:gridSpan w:val="5"/>
            <w:tcBorders>
              <w:top w:val="single" w:sz="8" w:space="0" w:color="auto"/>
              <w:left w:val="single" w:sz="8" w:space="0" w:color="auto"/>
              <w:bottom w:val="single" w:sz="8" w:space="0" w:color="000000"/>
              <w:right w:val="single" w:sz="8" w:space="0" w:color="000000"/>
            </w:tcBorders>
            <w:shd w:val="clear" w:color="000000" w:fill="000000"/>
            <w:textDirection w:val="lrTb"/>
            <w:vAlign w:val="center"/>
          </w:tcPr>
          <w:p w:rsidR="00A92CB1" w:rsidRPr="00A92CB1" w:rsidP="00A92CB1">
            <w:pPr>
              <w:bidi w:val="0"/>
              <w:rPr>
                <w:rFonts w:ascii="Arial Narrow" w:hAnsi="Arial Narrow"/>
                <w:b/>
                <w:bCs/>
                <w:color w:val="FFFFFF"/>
                <w:sz w:val="20"/>
                <w:szCs w:val="20"/>
              </w:rPr>
            </w:pPr>
            <w:r w:rsidRPr="00A92CB1">
              <w:rPr>
                <w:rFonts w:ascii="Arial Narrow" w:hAnsi="Arial Narrow"/>
                <w:b/>
                <w:bCs/>
                <w:color w:val="FFFFFF"/>
                <w:sz w:val="20"/>
                <w:szCs w:val="20"/>
              </w:rPr>
              <w:t>Ilustratívny príklad výpočtu čistých príjmov pred a po reforme daní, cl</w:t>
            </w:r>
            <w:r w:rsidR="006C6629">
              <w:rPr>
                <w:rFonts w:ascii="Arial Narrow" w:hAnsi="Arial Narrow"/>
                <w:b/>
                <w:bCs/>
                <w:color w:val="FFFFFF"/>
                <w:sz w:val="20"/>
                <w:szCs w:val="20"/>
              </w:rPr>
              <w:t>a</w:t>
            </w:r>
            <w:r w:rsidRPr="00A92CB1">
              <w:rPr>
                <w:rFonts w:ascii="Arial Narrow" w:hAnsi="Arial Narrow"/>
                <w:b/>
                <w:bCs/>
                <w:color w:val="FFFFFF"/>
                <w:sz w:val="20"/>
                <w:szCs w:val="20"/>
              </w:rPr>
              <w:t xml:space="preserve"> a</w:t>
            </w:r>
            <w:r w:rsidR="006C6629">
              <w:rPr>
                <w:rFonts w:ascii="Arial Narrow" w:hAnsi="Arial Narrow"/>
                <w:b/>
                <w:bCs/>
                <w:color w:val="FFFFFF"/>
                <w:sz w:val="20"/>
                <w:szCs w:val="20"/>
              </w:rPr>
              <w:t xml:space="preserve"> poistného </w:t>
            </w:r>
            <w:r w:rsidRPr="00A92CB1">
              <w:rPr>
                <w:rFonts w:ascii="Arial Narrow" w:hAnsi="Arial Narrow"/>
                <w:b/>
                <w:bCs/>
                <w:color w:val="FFFFFF"/>
                <w:sz w:val="20"/>
                <w:szCs w:val="20"/>
              </w:rPr>
              <w:t>(rok 2012)</w:t>
            </w:r>
          </w:p>
        </w:tc>
      </w:tr>
      <w:tr>
        <w:tblPrEx>
          <w:tblW w:w="9120" w:type="dxa"/>
          <w:tblInd w:w="58" w:type="dxa"/>
          <w:tblCellMar>
            <w:left w:w="70" w:type="dxa"/>
            <w:right w:w="70" w:type="dxa"/>
          </w:tblCellMar>
          <w:tblLook w:val="04A0"/>
        </w:tblPrEx>
        <w:trPr>
          <w:trHeight w:val="284"/>
        </w:trPr>
        <w:tc>
          <w:tcPr>
            <w:tcW w:w="3440" w:type="dxa"/>
            <w:vMerge w:val="restart"/>
            <w:tcBorders>
              <w:top w:val="nil"/>
              <w:left w:val="single" w:sz="8" w:space="0" w:color="auto"/>
              <w:bottom w:val="single" w:sz="8" w:space="0" w:color="000000"/>
              <w:right w:val="single" w:sz="8" w:space="0" w:color="000000"/>
            </w:tcBorders>
            <w:shd w:val="clear" w:color="000000" w:fill="BFBFBF"/>
            <w:textDirection w:val="lrTb"/>
            <w:vAlign w:val="top"/>
          </w:tcPr>
          <w:p w:rsidR="00A92CB1" w:rsidRPr="00A92CB1" w:rsidP="00A92CB1">
            <w:pPr>
              <w:bidi w:val="0"/>
              <w:jc w:val="center"/>
              <w:rPr>
                <w:rFonts w:ascii="Arial Narrow" w:hAnsi="Arial Narrow"/>
                <w:b/>
                <w:bCs/>
                <w:color w:val="000000"/>
                <w:sz w:val="18"/>
                <w:szCs w:val="18"/>
              </w:rPr>
            </w:pPr>
            <w:r w:rsidRPr="00A92CB1">
              <w:rPr>
                <w:rFonts w:ascii="Arial Narrow" w:hAnsi="Arial Narrow"/>
                <w:b/>
                <w:bCs/>
                <w:color w:val="000000"/>
                <w:sz w:val="18"/>
                <w:szCs w:val="18"/>
              </w:rPr>
              <w:t> </w:t>
            </w:r>
          </w:p>
        </w:tc>
        <w:tc>
          <w:tcPr>
            <w:tcW w:w="5680" w:type="dxa"/>
            <w:gridSpan w:val="4"/>
            <w:tcBorders>
              <w:top w:val="single" w:sz="8" w:space="0" w:color="000000"/>
              <w:left w:val="nil"/>
              <w:bottom w:val="single" w:sz="8" w:space="0" w:color="000000"/>
              <w:right w:val="single" w:sz="8" w:space="0" w:color="000000"/>
            </w:tcBorders>
            <w:shd w:val="clear" w:color="000000" w:fill="BFBFBF"/>
            <w:textDirection w:val="lrTb"/>
            <w:vAlign w:val="center"/>
          </w:tcPr>
          <w:p w:rsidR="00A92CB1" w:rsidRPr="00A92CB1" w:rsidP="00A92CB1">
            <w:pPr>
              <w:bidi w:val="0"/>
              <w:jc w:val="center"/>
              <w:rPr>
                <w:rFonts w:ascii="Arial Narrow" w:hAnsi="Arial Narrow"/>
                <w:b/>
                <w:bCs/>
                <w:color w:val="000000"/>
                <w:sz w:val="16"/>
                <w:szCs w:val="16"/>
              </w:rPr>
            </w:pPr>
            <w:r w:rsidRPr="00A92CB1">
              <w:rPr>
                <w:rFonts w:ascii="Arial Narrow" w:hAnsi="Arial Narrow"/>
                <w:b/>
                <w:bCs/>
                <w:color w:val="000000"/>
                <w:sz w:val="16"/>
                <w:szCs w:val="16"/>
              </w:rPr>
              <w:t>Rodina bez detí, otec pracuje s príjmom =100</w:t>
            </w:r>
            <w:r w:rsidR="006C6629">
              <w:rPr>
                <w:rFonts w:ascii="Arial Narrow" w:hAnsi="Arial Narrow"/>
                <w:b/>
                <w:bCs/>
                <w:color w:val="000000"/>
                <w:sz w:val="16"/>
                <w:szCs w:val="16"/>
              </w:rPr>
              <w:t xml:space="preserve"> </w:t>
            </w:r>
            <w:r w:rsidRPr="00A92CB1">
              <w:rPr>
                <w:rFonts w:ascii="Arial Narrow" w:hAnsi="Arial Narrow"/>
                <w:b/>
                <w:bCs/>
                <w:color w:val="000000"/>
                <w:sz w:val="16"/>
                <w:szCs w:val="16"/>
              </w:rPr>
              <w:t>% priemernej mzdy, matka nepracuje</w:t>
            </w:r>
          </w:p>
        </w:tc>
      </w:tr>
      <w:tr>
        <w:tblPrEx>
          <w:tblW w:w="9120" w:type="dxa"/>
          <w:tblInd w:w="58" w:type="dxa"/>
          <w:tblCellMar>
            <w:left w:w="70" w:type="dxa"/>
            <w:right w:w="70" w:type="dxa"/>
          </w:tblCellMar>
          <w:tblLook w:val="04A0"/>
        </w:tblPrEx>
        <w:trPr>
          <w:trHeight w:val="284"/>
        </w:trPr>
        <w:tc>
          <w:tcPr>
            <w:tcW w:w="3440" w:type="dxa"/>
            <w:vMerge/>
            <w:tcBorders>
              <w:top w:val="nil"/>
              <w:left w:val="single" w:sz="8" w:space="0" w:color="auto"/>
              <w:bottom w:val="single" w:sz="8" w:space="0" w:color="000000"/>
              <w:right w:val="single" w:sz="8" w:space="0" w:color="000000"/>
            </w:tcBorders>
            <w:textDirection w:val="lrTb"/>
            <w:vAlign w:val="center"/>
          </w:tcPr>
          <w:p w:rsidR="00A92CB1" w:rsidRPr="00A92CB1" w:rsidP="00A92CB1">
            <w:pPr>
              <w:bidi w:val="0"/>
              <w:rPr>
                <w:rFonts w:ascii="Arial Narrow" w:hAnsi="Arial Narrow"/>
                <w:b/>
                <w:bCs/>
                <w:color w:val="000000"/>
                <w:sz w:val="18"/>
                <w:szCs w:val="18"/>
              </w:rPr>
            </w:pPr>
          </w:p>
        </w:tc>
        <w:tc>
          <w:tcPr>
            <w:tcW w:w="2840" w:type="dxa"/>
            <w:gridSpan w:val="2"/>
            <w:tcBorders>
              <w:top w:val="single" w:sz="8" w:space="0" w:color="000000"/>
              <w:left w:val="nil"/>
              <w:bottom w:val="single" w:sz="8" w:space="0" w:color="000000"/>
              <w:right w:val="single" w:sz="8" w:space="0" w:color="000000"/>
            </w:tcBorders>
            <w:shd w:val="clear" w:color="000000" w:fill="BFBFBF"/>
            <w:textDirection w:val="lrTb"/>
            <w:vAlign w:val="center"/>
          </w:tcPr>
          <w:p w:rsidR="00A92CB1" w:rsidRPr="00A92CB1" w:rsidP="00A92CB1">
            <w:pPr>
              <w:bidi w:val="0"/>
              <w:jc w:val="center"/>
              <w:rPr>
                <w:rFonts w:ascii="Arial Narrow" w:hAnsi="Arial Narrow"/>
                <w:b/>
                <w:bCs/>
                <w:color w:val="000000"/>
                <w:sz w:val="16"/>
                <w:szCs w:val="16"/>
              </w:rPr>
            </w:pPr>
            <w:r w:rsidRPr="00A92CB1">
              <w:rPr>
                <w:rFonts w:ascii="Arial Narrow" w:hAnsi="Arial Narrow"/>
                <w:b/>
                <w:bCs/>
                <w:color w:val="000000"/>
                <w:sz w:val="16"/>
                <w:szCs w:val="16"/>
              </w:rPr>
              <w:t>I.</w:t>
            </w:r>
            <w:r w:rsidRPr="00A92CB1">
              <w:rPr>
                <w:rFonts w:ascii="Times New Roman" w:hAnsi="Times New Roman"/>
                <w:b/>
                <w:bCs/>
                <w:color w:val="000000"/>
                <w:sz w:val="16"/>
                <w:szCs w:val="16"/>
              </w:rPr>
              <w:t xml:space="preserve">   </w:t>
            </w:r>
            <w:r w:rsidRPr="00A92CB1">
              <w:rPr>
                <w:rFonts w:ascii="Arial Narrow" w:hAnsi="Arial Narrow"/>
                <w:b/>
                <w:bCs/>
                <w:color w:val="000000"/>
                <w:sz w:val="16"/>
                <w:szCs w:val="16"/>
              </w:rPr>
              <w:t>Súčasný systém</w:t>
            </w:r>
          </w:p>
        </w:tc>
        <w:tc>
          <w:tcPr>
            <w:tcW w:w="2840" w:type="dxa"/>
            <w:gridSpan w:val="2"/>
            <w:tcBorders>
              <w:top w:val="single" w:sz="8" w:space="0" w:color="000000"/>
              <w:left w:val="nil"/>
              <w:bottom w:val="single" w:sz="8" w:space="0" w:color="000000"/>
              <w:right w:val="single" w:sz="8" w:space="0" w:color="000000"/>
            </w:tcBorders>
            <w:shd w:val="clear" w:color="000000" w:fill="BFBFBF"/>
            <w:textDirection w:val="lrTb"/>
            <w:vAlign w:val="center"/>
          </w:tcPr>
          <w:p w:rsidR="00A92CB1" w:rsidRPr="00A92CB1" w:rsidP="00A92CB1">
            <w:pPr>
              <w:bidi w:val="0"/>
              <w:jc w:val="center"/>
              <w:rPr>
                <w:rFonts w:ascii="Arial Narrow" w:hAnsi="Arial Narrow"/>
                <w:b/>
                <w:bCs/>
                <w:color w:val="000000"/>
                <w:sz w:val="16"/>
                <w:szCs w:val="16"/>
              </w:rPr>
            </w:pPr>
            <w:r w:rsidRPr="00A92CB1">
              <w:rPr>
                <w:rFonts w:ascii="Arial Narrow" w:hAnsi="Arial Narrow"/>
                <w:b/>
                <w:bCs/>
                <w:color w:val="000000"/>
                <w:sz w:val="16"/>
                <w:szCs w:val="16"/>
              </w:rPr>
              <w:t>II.</w:t>
            </w:r>
            <w:r w:rsidRPr="00A92CB1">
              <w:rPr>
                <w:rFonts w:ascii="Times New Roman" w:hAnsi="Times New Roman"/>
                <w:b/>
                <w:bCs/>
                <w:color w:val="000000"/>
                <w:sz w:val="16"/>
                <w:szCs w:val="16"/>
              </w:rPr>
              <w:t> Návrh</w:t>
            </w:r>
          </w:p>
        </w:tc>
      </w:tr>
      <w:tr>
        <w:tblPrEx>
          <w:tblW w:w="9120" w:type="dxa"/>
          <w:tblInd w:w="58" w:type="dxa"/>
          <w:tblCellMar>
            <w:left w:w="70" w:type="dxa"/>
            <w:right w:w="70" w:type="dxa"/>
          </w:tblCellMar>
          <w:tblLook w:val="04A0"/>
        </w:tblPrEx>
        <w:trPr>
          <w:trHeight w:val="284"/>
        </w:trPr>
        <w:tc>
          <w:tcPr>
            <w:tcW w:w="3440" w:type="dxa"/>
            <w:vMerge/>
            <w:tcBorders>
              <w:top w:val="nil"/>
              <w:left w:val="single" w:sz="8" w:space="0" w:color="auto"/>
              <w:bottom w:val="single" w:sz="8" w:space="0" w:color="000000"/>
              <w:right w:val="single" w:sz="8" w:space="0" w:color="000000"/>
            </w:tcBorders>
            <w:textDirection w:val="lrTb"/>
            <w:vAlign w:val="center"/>
          </w:tcPr>
          <w:p w:rsidR="00A92CB1" w:rsidRPr="00A92CB1" w:rsidP="00A92CB1">
            <w:pPr>
              <w:bidi w:val="0"/>
              <w:rPr>
                <w:rFonts w:ascii="Arial Narrow" w:hAnsi="Arial Narrow"/>
                <w:b/>
                <w:bCs/>
                <w:color w:val="000000"/>
                <w:sz w:val="18"/>
                <w:szCs w:val="18"/>
              </w:rPr>
            </w:pPr>
          </w:p>
        </w:tc>
        <w:tc>
          <w:tcPr>
            <w:tcW w:w="1420" w:type="dxa"/>
            <w:tcBorders>
              <w:top w:val="nil"/>
              <w:left w:val="nil"/>
              <w:bottom w:val="single" w:sz="8" w:space="0" w:color="000000"/>
              <w:right w:val="single" w:sz="8" w:space="0" w:color="000000"/>
            </w:tcBorders>
            <w:shd w:val="clear" w:color="000000" w:fill="BFBFBF"/>
            <w:textDirection w:val="lrTb"/>
            <w:vAlign w:val="center"/>
          </w:tcPr>
          <w:p w:rsidR="00A92CB1" w:rsidRPr="00A92CB1" w:rsidP="00A92CB1">
            <w:pPr>
              <w:bidi w:val="0"/>
              <w:jc w:val="center"/>
              <w:rPr>
                <w:rFonts w:ascii="Arial Narrow" w:hAnsi="Arial Narrow"/>
                <w:color w:val="000000"/>
                <w:sz w:val="16"/>
                <w:szCs w:val="16"/>
              </w:rPr>
            </w:pPr>
            <w:r w:rsidRPr="00A92CB1">
              <w:rPr>
                <w:rFonts w:ascii="Arial Narrow" w:hAnsi="Arial Narrow"/>
                <w:color w:val="000000"/>
                <w:sz w:val="16"/>
                <w:szCs w:val="16"/>
              </w:rPr>
              <w:t>sadzba v % [výpočet]</w:t>
            </w:r>
          </w:p>
        </w:tc>
        <w:tc>
          <w:tcPr>
            <w:tcW w:w="1420" w:type="dxa"/>
            <w:tcBorders>
              <w:top w:val="nil"/>
              <w:left w:val="nil"/>
              <w:bottom w:val="single" w:sz="8" w:space="0" w:color="000000"/>
              <w:right w:val="single" w:sz="8" w:space="0" w:color="000000"/>
            </w:tcBorders>
            <w:shd w:val="clear" w:color="000000" w:fill="BFBFBF"/>
            <w:textDirection w:val="lrTb"/>
            <w:vAlign w:val="center"/>
          </w:tcPr>
          <w:p w:rsidR="00A92CB1" w:rsidRPr="00A92CB1" w:rsidP="00A92CB1">
            <w:pPr>
              <w:bidi w:val="0"/>
              <w:jc w:val="center"/>
              <w:rPr>
                <w:rFonts w:ascii="Arial Narrow" w:hAnsi="Arial Narrow"/>
                <w:color w:val="000000"/>
                <w:sz w:val="16"/>
                <w:szCs w:val="16"/>
              </w:rPr>
            </w:pPr>
            <w:r w:rsidRPr="00A92CB1">
              <w:rPr>
                <w:rFonts w:ascii="Arial Narrow" w:hAnsi="Arial Narrow"/>
                <w:color w:val="000000"/>
                <w:sz w:val="16"/>
                <w:szCs w:val="16"/>
              </w:rPr>
              <w:t>EUR</w:t>
            </w:r>
            <w:r w:rsidRPr="00A92CB1">
              <w:rPr>
                <w:rFonts w:ascii="Arial Narrow" w:hAnsi="Arial Narrow"/>
                <w:color w:val="000000"/>
                <w:sz w:val="16"/>
                <w:szCs w:val="16"/>
                <w:vertAlign w:val="superscript"/>
              </w:rPr>
              <w:t>1</w:t>
            </w:r>
          </w:p>
        </w:tc>
        <w:tc>
          <w:tcPr>
            <w:tcW w:w="1420" w:type="dxa"/>
            <w:tcBorders>
              <w:top w:val="nil"/>
              <w:left w:val="nil"/>
              <w:bottom w:val="single" w:sz="8" w:space="0" w:color="000000"/>
              <w:right w:val="single" w:sz="8" w:space="0" w:color="000000"/>
            </w:tcBorders>
            <w:shd w:val="clear" w:color="000000" w:fill="BFBFBF"/>
            <w:textDirection w:val="lrTb"/>
            <w:vAlign w:val="center"/>
          </w:tcPr>
          <w:p w:rsidR="00A92CB1" w:rsidRPr="00A92CB1" w:rsidP="00A92CB1">
            <w:pPr>
              <w:bidi w:val="0"/>
              <w:jc w:val="center"/>
              <w:rPr>
                <w:rFonts w:ascii="Arial Narrow" w:hAnsi="Arial Narrow"/>
                <w:color w:val="000000"/>
                <w:sz w:val="16"/>
                <w:szCs w:val="16"/>
              </w:rPr>
            </w:pPr>
            <w:r w:rsidRPr="00A92CB1">
              <w:rPr>
                <w:rFonts w:ascii="Arial Narrow" w:hAnsi="Arial Narrow"/>
                <w:color w:val="000000"/>
                <w:sz w:val="16"/>
                <w:szCs w:val="16"/>
              </w:rPr>
              <w:t>sadzba v % [výpočet]</w:t>
            </w:r>
          </w:p>
        </w:tc>
        <w:tc>
          <w:tcPr>
            <w:tcW w:w="1420" w:type="dxa"/>
            <w:tcBorders>
              <w:top w:val="nil"/>
              <w:left w:val="nil"/>
              <w:bottom w:val="single" w:sz="8" w:space="0" w:color="000000"/>
              <w:right w:val="single" w:sz="8" w:space="0" w:color="auto"/>
            </w:tcBorders>
            <w:shd w:val="clear" w:color="000000" w:fill="BFBFBF"/>
            <w:textDirection w:val="lrTb"/>
            <w:vAlign w:val="center"/>
          </w:tcPr>
          <w:p w:rsidR="00A92CB1" w:rsidRPr="00A92CB1" w:rsidP="00A92CB1">
            <w:pPr>
              <w:bidi w:val="0"/>
              <w:jc w:val="center"/>
              <w:rPr>
                <w:rFonts w:ascii="Arial Narrow" w:hAnsi="Arial Narrow"/>
                <w:color w:val="000000"/>
                <w:sz w:val="16"/>
                <w:szCs w:val="16"/>
              </w:rPr>
            </w:pPr>
            <w:r w:rsidRPr="00A92CB1">
              <w:rPr>
                <w:rFonts w:ascii="Arial Narrow" w:hAnsi="Arial Narrow"/>
                <w:color w:val="000000"/>
                <w:sz w:val="16"/>
                <w:szCs w:val="16"/>
              </w:rPr>
              <w:t>EUR</w:t>
            </w:r>
            <w:r w:rsidRPr="00A92CB1">
              <w:rPr>
                <w:rFonts w:ascii="Arial Narrow" w:hAnsi="Arial Narrow"/>
                <w:color w:val="000000"/>
                <w:sz w:val="16"/>
                <w:szCs w:val="16"/>
                <w:vertAlign w:val="superscript"/>
              </w:rPr>
              <w:t>1</w:t>
            </w:r>
          </w:p>
        </w:tc>
      </w:tr>
      <w:tr>
        <w:tblPrEx>
          <w:tblW w:w="9120" w:type="dxa"/>
          <w:tblInd w:w="58" w:type="dxa"/>
          <w:tblCellMar>
            <w:left w:w="70" w:type="dxa"/>
            <w:right w:w="70" w:type="dxa"/>
          </w:tblCellMar>
          <w:tblLook w:val="04A0"/>
        </w:tblPrEx>
        <w:trPr>
          <w:trHeight w:val="255"/>
        </w:trPr>
        <w:tc>
          <w:tcPr>
            <w:tcW w:w="3440" w:type="dxa"/>
            <w:tcBorders>
              <w:top w:val="nil"/>
              <w:left w:val="single" w:sz="8" w:space="0" w:color="auto"/>
              <w:bottom w:val="single" w:sz="8" w:space="0" w:color="000000"/>
              <w:right w:val="single" w:sz="8" w:space="0" w:color="000000"/>
            </w:tcBorders>
            <w:textDirection w:val="lrTb"/>
            <w:vAlign w:val="center"/>
          </w:tcPr>
          <w:p w:rsidR="00A92CB1" w:rsidRPr="00A92CB1" w:rsidP="00A92CB1">
            <w:pPr>
              <w:bidi w:val="0"/>
              <w:rPr>
                <w:rFonts w:ascii="Arial Narrow" w:hAnsi="Arial Narrow"/>
                <w:color w:val="000000"/>
                <w:sz w:val="14"/>
                <w:szCs w:val="14"/>
              </w:rPr>
            </w:pPr>
            <w:r w:rsidRPr="00A92CB1">
              <w:rPr>
                <w:rFonts w:ascii="Arial Narrow" w:hAnsi="Arial Narrow"/>
                <w:color w:val="000000"/>
                <w:sz w:val="14"/>
                <w:szCs w:val="14"/>
              </w:rPr>
              <w:t xml:space="preserve">A] hrubá mzda spolu </w:t>
            </w:r>
          </w:p>
        </w:tc>
        <w:tc>
          <w:tcPr>
            <w:tcW w:w="1420" w:type="dxa"/>
            <w:tcBorders>
              <w:top w:val="nil"/>
              <w:left w:val="nil"/>
              <w:bottom w:val="nil"/>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w:t>
            </w:r>
          </w:p>
        </w:tc>
        <w:tc>
          <w:tcPr>
            <w:tcW w:w="1420" w:type="dxa"/>
            <w:tcBorders>
              <w:top w:val="nil"/>
              <w:left w:val="nil"/>
              <w:bottom w:val="nil"/>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844,38</w:t>
            </w: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w:t>
            </w: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w:t>
            </w:r>
          </w:p>
        </w:tc>
      </w:tr>
      <w:tr>
        <w:tblPrEx>
          <w:tblW w:w="9120" w:type="dxa"/>
          <w:tblInd w:w="58" w:type="dxa"/>
          <w:tblCellMar>
            <w:left w:w="70" w:type="dxa"/>
            <w:right w:w="70" w:type="dxa"/>
          </w:tblCellMar>
          <w:tblLook w:val="04A0"/>
        </w:tblPrEx>
        <w:trPr>
          <w:trHeight w:val="255"/>
        </w:trPr>
        <w:tc>
          <w:tcPr>
            <w:tcW w:w="3440" w:type="dxa"/>
            <w:tcBorders>
              <w:top w:val="nil"/>
              <w:left w:val="single" w:sz="8" w:space="0" w:color="auto"/>
              <w:bottom w:val="nil"/>
              <w:right w:val="nil"/>
            </w:tcBorders>
            <w:textDirection w:val="lrTb"/>
            <w:vAlign w:val="center"/>
          </w:tcPr>
          <w:p w:rsidR="00A92CB1" w:rsidRPr="00A92CB1" w:rsidP="00A92CB1">
            <w:pPr>
              <w:bidi w:val="0"/>
              <w:rPr>
                <w:rFonts w:ascii="Arial Narrow" w:hAnsi="Arial Narrow"/>
                <w:color w:val="000000"/>
                <w:sz w:val="14"/>
                <w:szCs w:val="14"/>
              </w:rPr>
            </w:pPr>
            <w:r w:rsidRPr="00A92CB1">
              <w:rPr>
                <w:rFonts w:ascii="Arial Narrow" w:hAnsi="Arial Narrow"/>
                <w:color w:val="000000"/>
                <w:sz w:val="14"/>
                <w:szCs w:val="14"/>
              </w:rPr>
              <w:t xml:space="preserve">B] </w:t>
            </w:r>
            <w:r w:rsidR="006C6629">
              <w:rPr>
                <w:rFonts w:ascii="Arial Narrow" w:hAnsi="Arial Narrow"/>
                <w:color w:val="000000"/>
                <w:sz w:val="14"/>
                <w:szCs w:val="14"/>
              </w:rPr>
              <w:t>poistné</w:t>
            </w:r>
            <w:r w:rsidRPr="00A92CB1">
              <w:rPr>
                <w:rFonts w:ascii="Arial Narrow" w:hAnsi="Arial Narrow"/>
                <w:color w:val="000000"/>
                <w:sz w:val="14"/>
                <w:szCs w:val="14"/>
              </w:rPr>
              <w:t xml:space="preserve"> zamestnávateľa spolu</w:t>
            </w:r>
          </w:p>
        </w:tc>
        <w:tc>
          <w:tcPr>
            <w:tcW w:w="1420" w:type="dxa"/>
            <w:tcBorders>
              <w:top w:val="single" w:sz="8" w:space="0" w:color="auto"/>
              <w:left w:val="single" w:sz="8" w:space="0" w:color="auto"/>
              <w:bottom w:val="single" w:sz="8" w:space="0" w:color="auto"/>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35,2 % z [A]</w:t>
            </w:r>
          </w:p>
        </w:tc>
        <w:tc>
          <w:tcPr>
            <w:tcW w:w="1420" w:type="dxa"/>
            <w:tcBorders>
              <w:top w:val="single" w:sz="8" w:space="0" w:color="auto"/>
              <w:left w:val="nil"/>
              <w:bottom w:val="single" w:sz="8" w:space="0" w:color="auto"/>
              <w:right w:val="single" w:sz="8" w:space="0" w:color="auto"/>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297,19</w:t>
            </w:r>
          </w:p>
        </w:tc>
        <w:tc>
          <w:tcPr>
            <w:tcW w:w="1420" w:type="dxa"/>
            <w:tcBorders>
              <w:top w:val="nil"/>
              <w:left w:val="nil"/>
              <w:bottom w:val="nil"/>
              <w:right w:val="single" w:sz="8" w:space="0" w:color="000000"/>
            </w:tcBorders>
            <w:shd w:val="clear" w:color="000000" w:fill="D8D8D8"/>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0,592 % z [C]</w:t>
            </w:r>
          </w:p>
        </w:tc>
        <w:tc>
          <w:tcPr>
            <w:tcW w:w="1420" w:type="dxa"/>
            <w:tcBorders>
              <w:top w:val="nil"/>
              <w:left w:val="nil"/>
              <w:bottom w:val="nil"/>
              <w:right w:val="single" w:sz="8" w:space="0" w:color="auto"/>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6,75</w:t>
            </w:r>
          </w:p>
        </w:tc>
      </w:tr>
      <w:tr>
        <w:tblPrEx>
          <w:tblW w:w="9120" w:type="dxa"/>
          <w:tblInd w:w="58" w:type="dxa"/>
          <w:tblCellMar>
            <w:left w:w="70" w:type="dxa"/>
            <w:right w:w="70" w:type="dxa"/>
          </w:tblCellMar>
          <w:tblLook w:val="04A0"/>
        </w:tblPrEx>
        <w:trPr>
          <w:trHeight w:val="255"/>
        </w:trPr>
        <w:tc>
          <w:tcPr>
            <w:tcW w:w="3440" w:type="dxa"/>
            <w:vMerge w:val="restart"/>
            <w:tcBorders>
              <w:top w:val="single" w:sz="8" w:space="0" w:color="auto"/>
              <w:left w:val="single" w:sz="8" w:space="0" w:color="auto"/>
              <w:bottom w:val="single" w:sz="8" w:space="0" w:color="000000"/>
              <w:right w:val="single" w:sz="8" w:space="0" w:color="000000"/>
            </w:tcBorders>
            <w:textDirection w:val="lrTb"/>
            <w:vAlign w:val="center"/>
          </w:tcPr>
          <w:p w:rsidR="00A92CB1" w:rsidRPr="00A92CB1" w:rsidP="00A92CB1">
            <w:pPr>
              <w:bidi w:val="0"/>
              <w:rPr>
                <w:rFonts w:ascii="Arial Narrow" w:hAnsi="Arial Narrow"/>
                <w:b/>
                <w:bCs/>
                <w:color w:val="000000"/>
                <w:sz w:val="14"/>
                <w:szCs w:val="14"/>
              </w:rPr>
            </w:pPr>
            <w:r w:rsidRPr="00A92CB1">
              <w:rPr>
                <w:rFonts w:ascii="Arial Narrow" w:hAnsi="Arial Narrow"/>
                <w:b/>
                <w:bCs/>
                <w:color w:val="000000"/>
                <w:sz w:val="14"/>
                <w:szCs w:val="14"/>
              </w:rPr>
              <w:t>C] náklady práce spolu/(superhrubá mzda)</w:t>
            </w:r>
          </w:p>
        </w:tc>
        <w:tc>
          <w:tcPr>
            <w:tcW w:w="1420" w:type="dxa"/>
            <w:vMerge w:val="restart"/>
            <w:tcBorders>
              <w:top w:val="nil"/>
              <w:left w:val="single" w:sz="8" w:space="0" w:color="000000"/>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b/>
                <w:bCs/>
                <w:color w:val="000000"/>
                <w:sz w:val="14"/>
                <w:szCs w:val="14"/>
              </w:rPr>
            </w:pPr>
            <w:r w:rsidRPr="00A92CB1">
              <w:rPr>
                <w:rFonts w:ascii="Arial Narrow" w:hAnsi="Arial Narrow"/>
                <w:b/>
                <w:bCs/>
                <w:color w:val="000000"/>
                <w:sz w:val="14"/>
                <w:szCs w:val="14"/>
              </w:rPr>
              <w:t>[A+B]</w:t>
            </w:r>
          </w:p>
        </w:tc>
        <w:tc>
          <w:tcPr>
            <w:tcW w:w="1420" w:type="dxa"/>
            <w:vMerge w:val="restart"/>
            <w:tcBorders>
              <w:top w:val="nil"/>
              <w:left w:val="single" w:sz="8" w:space="0" w:color="000000"/>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b/>
                <w:bCs/>
                <w:color w:val="000000"/>
                <w:sz w:val="14"/>
                <w:szCs w:val="14"/>
              </w:rPr>
            </w:pPr>
            <w:r w:rsidRPr="00A92CB1">
              <w:rPr>
                <w:rFonts w:ascii="Arial Narrow" w:hAnsi="Arial Narrow"/>
                <w:b/>
                <w:bCs/>
                <w:color w:val="000000"/>
                <w:sz w:val="14"/>
                <w:szCs w:val="14"/>
              </w:rPr>
              <w:t>1 141,57</w:t>
            </w:r>
          </w:p>
        </w:tc>
        <w:tc>
          <w:tcPr>
            <w:tcW w:w="1420" w:type="dxa"/>
            <w:tcBorders>
              <w:top w:val="single" w:sz="8" w:space="0" w:color="000000"/>
              <w:left w:val="nil"/>
              <w:bottom w:val="nil"/>
              <w:right w:val="single" w:sz="8" w:space="0" w:color="000000"/>
            </w:tcBorders>
            <w:shd w:val="clear" w:color="000000" w:fill="D8D8D8"/>
            <w:textDirection w:val="lrTb"/>
            <w:vAlign w:val="center"/>
          </w:tcPr>
          <w:p w:rsidR="00A92CB1" w:rsidRPr="00A92CB1" w:rsidP="00A92CB1">
            <w:pPr>
              <w:bidi w:val="0"/>
              <w:jc w:val="center"/>
              <w:rPr>
                <w:rFonts w:ascii="Arial Narrow" w:hAnsi="Arial Narrow"/>
                <w:b/>
                <w:bCs/>
                <w:color w:val="000000"/>
                <w:sz w:val="14"/>
                <w:szCs w:val="14"/>
              </w:rPr>
            </w:pPr>
            <w:r w:rsidRPr="00A92CB1">
              <w:rPr>
                <w:rFonts w:ascii="Arial Narrow" w:hAnsi="Arial Narrow"/>
                <w:b/>
                <w:bCs/>
                <w:color w:val="000000"/>
                <w:sz w:val="14"/>
                <w:szCs w:val="14"/>
              </w:rPr>
              <w:t xml:space="preserve">[A+B] z I.               </w:t>
            </w:r>
          </w:p>
        </w:tc>
        <w:tc>
          <w:tcPr>
            <w:tcW w:w="1420" w:type="dxa"/>
            <w:tcBorders>
              <w:top w:val="single" w:sz="8" w:space="0" w:color="000000"/>
              <w:left w:val="nil"/>
              <w:bottom w:val="nil"/>
              <w:right w:val="single" w:sz="8" w:space="0" w:color="auto"/>
            </w:tcBorders>
            <w:textDirection w:val="lrTb"/>
            <w:vAlign w:val="center"/>
          </w:tcPr>
          <w:p w:rsidR="00A92CB1" w:rsidRPr="00A92CB1" w:rsidP="00A92CB1">
            <w:pPr>
              <w:bidi w:val="0"/>
              <w:jc w:val="center"/>
              <w:rPr>
                <w:rFonts w:ascii="Arial Narrow" w:hAnsi="Arial Narrow"/>
                <w:b/>
                <w:bCs/>
                <w:color w:val="000000"/>
                <w:sz w:val="14"/>
                <w:szCs w:val="14"/>
              </w:rPr>
            </w:pPr>
            <w:r w:rsidRPr="00A92CB1">
              <w:rPr>
                <w:rFonts w:ascii="Arial Narrow" w:hAnsi="Arial Narrow"/>
                <w:b/>
                <w:bCs/>
                <w:color w:val="000000"/>
                <w:sz w:val="14"/>
                <w:szCs w:val="14"/>
              </w:rPr>
              <w:t>1 141,57</w:t>
            </w:r>
          </w:p>
        </w:tc>
      </w:tr>
      <w:tr>
        <w:tblPrEx>
          <w:tblW w:w="9120" w:type="dxa"/>
          <w:tblInd w:w="58" w:type="dxa"/>
          <w:tblCellMar>
            <w:left w:w="70" w:type="dxa"/>
            <w:right w:w="70" w:type="dxa"/>
          </w:tblCellMar>
          <w:tblLook w:val="04A0"/>
        </w:tblPrEx>
        <w:trPr>
          <w:trHeight w:val="255"/>
        </w:trPr>
        <w:tc>
          <w:tcPr>
            <w:tcW w:w="3440" w:type="dxa"/>
            <w:vMerge/>
            <w:tcBorders>
              <w:top w:val="single" w:sz="8" w:space="0" w:color="auto"/>
              <w:left w:val="single" w:sz="8" w:space="0" w:color="auto"/>
              <w:bottom w:val="single" w:sz="8" w:space="0" w:color="000000"/>
              <w:right w:val="single" w:sz="8" w:space="0" w:color="000000"/>
            </w:tcBorders>
            <w:textDirection w:val="lrTb"/>
            <w:vAlign w:val="center"/>
          </w:tcPr>
          <w:p w:rsidR="00A92CB1" w:rsidRPr="00A92CB1" w:rsidP="00A92CB1">
            <w:pPr>
              <w:bidi w:val="0"/>
              <w:rPr>
                <w:rFonts w:ascii="Arial Narrow" w:hAnsi="Arial Narrow"/>
                <w:b/>
                <w:bCs/>
                <w:color w:val="000000"/>
                <w:sz w:val="14"/>
                <w:szCs w:val="14"/>
              </w:rPr>
            </w:pPr>
          </w:p>
        </w:tc>
        <w:tc>
          <w:tcPr>
            <w:tcW w:w="1420" w:type="dxa"/>
            <w:vMerge/>
            <w:tcBorders>
              <w:top w:val="nil"/>
              <w:left w:val="single" w:sz="8" w:space="0" w:color="000000"/>
              <w:bottom w:val="single" w:sz="8" w:space="0" w:color="000000"/>
              <w:right w:val="single" w:sz="8" w:space="0" w:color="000000"/>
            </w:tcBorders>
            <w:textDirection w:val="lrTb"/>
            <w:vAlign w:val="center"/>
          </w:tcPr>
          <w:p w:rsidR="00A92CB1" w:rsidRPr="00A92CB1" w:rsidP="00A92CB1">
            <w:pPr>
              <w:bidi w:val="0"/>
              <w:rPr>
                <w:rFonts w:ascii="Arial Narrow" w:hAnsi="Arial Narrow"/>
                <w:b/>
                <w:bCs/>
                <w:color w:val="000000"/>
                <w:sz w:val="14"/>
                <w:szCs w:val="14"/>
              </w:rPr>
            </w:pPr>
          </w:p>
        </w:tc>
        <w:tc>
          <w:tcPr>
            <w:tcW w:w="1420" w:type="dxa"/>
            <w:vMerge/>
            <w:tcBorders>
              <w:top w:val="nil"/>
              <w:left w:val="single" w:sz="8" w:space="0" w:color="000000"/>
              <w:bottom w:val="single" w:sz="8" w:space="0" w:color="000000"/>
              <w:right w:val="single" w:sz="8" w:space="0" w:color="000000"/>
            </w:tcBorders>
            <w:textDirection w:val="lrTb"/>
            <w:vAlign w:val="center"/>
          </w:tcPr>
          <w:p w:rsidR="00A92CB1" w:rsidRPr="00A92CB1" w:rsidP="00A92CB1">
            <w:pPr>
              <w:bidi w:val="0"/>
              <w:rPr>
                <w:rFonts w:ascii="Arial Narrow" w:hAnsi="Arial Narrow"/>
                <w:b/>
                <w:bCs/>
                <w:color w:val="000000"/>
                <w:sz w:val="14"/>
                <w:szCs w:val="14"/>
              </w:rPr>
            </w:pPr>
          </w:p>
        </w:tc>
        <w:tc>
          <w:tcPr>
            <w:tcW w:w="1420" w:type="dxa"/>
            <w:tcBorders>
              <w:top w:val="nil"/>
              <w:left w:val="nil"/>
              <w:bottom w:val="single" w:sz="8" w:space="0" w:color="auto"/>
              <w:right w:val="single" w:sz="8" w:space="0" w:color="000000"/>
            </w:tcBorders>
            <w:shd w:val="clear" w:color="000000" w:fill="D8D8D8"/>
            <w:textDirection w:val="lrTb"/>
            <w:vAlign w:val="center"/>
          </w:tcPr>
          <w:p w:rsidR="00A92CB1" w:rsidRPr="00A92CB1" w:rsidP="00A92CB1">
            <w:pPr>
              <w:bidi w:val="0"/>
              <w:jc w:val="center"/>
              <w:rPr>
                <w:rFonts w:ascii="Arial Narrow" w:hAnsi="Arial Narrow"/>
                <w:b/>
                <w:bCs/>
                <w:color w:val="000000"/>
                <w:sz w:val="14"/>
                <w:szCs w:val="14"/>
              </w:rPr>
            </w:pPr>
            <w:r w:rsidRPr="00A92CB1">
              <w:rPr>
                <w:rFonts w:ascii="Arial Narrow" w:hAnsi="Arial Narrow"/>
                <w:b/>
                <w:bCs/>
                <w:color w:val="000000"/>
                <w:sz w:val="14"/>
                <w:szCs w:val="14"/>
              </w:rPr>
              <w:t xml:space="preserve">([A+B] z I. - [B]) </w:t>
            </w:r>
          </w:p>
        </w:tc>
        <w:tc>
          <w:tcPr>
            <w:tcW w:w="1420" w:type="dxa"/>
            <w:tcBorders>
              <w:top w:val="nil"/>
              <w:left w:val="nil"/>
              <w:bottom w:val="single" w:sz="8" w:space="0" w:color="auto"/>
              <w:right w:val="single" w:sz="8" w:space="0" w:color="auto"/>
            </w:tcBorders>
            <w:textDirection w:val="lrTb"/>
            <w:vAlign w:val="center"/>
          </w:tcPr>
          <w:p w:rsidR="00A92CB1" w:rsidRPr="00A92CB1" w:rsidP="00A92CB1">
            <w:pPr>
              <w:bidi w:val="0"/>
              <w:jc w:val="center"/>
              <w:rPr>
                <w:rFonts w:ascii="Arial Narrow" w:hAnsi="Arial Narrow"/>
                <w:b/>
                <w:bCs/>
                <w:color w:val="000000"/>
                <w:sz w:val="14"/>
                <w:szCs w:val="14"/>
              </w:rPr>
            </w:pPr>
            <w:r w:rsidRPr="00A92CB1">
              <w:rPr>
                <w:rFonts w:ascii="Arial Narrow" w:hAnsi="Arial Narrow"/>
                <w:b/>
                <w:bCs/>
                <w:color w:val="000000"/>
                <w:sz w:val="14"/>
                <w:szCs w:val="14"/>
              </w:rPr>
              <w:t>1 134,82</w:t>
            </w:r>
          </w:p>
        </w:tc>
      </w:tr>
      <w:tr>
        <w:tblPrEx>
          <w:tblW w:w="9120" w:type="dxa"/>
          <w:tblInd w:w="58" w:type="dxa"/>
          <w:tblCellMar>
            <w:left w:w="70" w:type="dxa"/>
            <w:right w:w="70" w:type="dxa"/>
          </w:tblCellMar>
          <w:tblLook w:val="04A0"/>
        </w:tblPrEx>
        <w:trPr>
          <w:trHeight w:val="255"/>
        </w:trPr>
        <w:tc>
          <w:tcPr>
            <w:tcW w:w="3440" w:type="dxa"/>
            <w:vMerge w:val="restart"/>
            <w:tcBorders>
              <w:top w:val="nil"/>
              <w:left w:val="single" w:sz="8" w:space="0" w:color="auto"/>
              <w:bottom w:val="single" w:sz="8" w:space="0" w:color="000000"/>
              <w:right w:val="single" w:sz="8" w:space="0" w:color="000000"/>
            </w:tcBorders>
            <w:textDirection w:val="lrTb"/>
            <w:vAlign w:val="center"/>
          </w:tcPr>
          <w:p w:rsidR="00A92CB1" w:rsidRPr="00A92CB1" w:rsidP="00A92CB1">
            <w:pPr>
              <w:bidi w:val="0"/>
              <w:rPr>
                <w:rFonts w:ascii="Arial Narrow" w:hAnsi="Arial Narrow"/>
                <w:color w:val="000000"/>
                <w:sz w:val="14"/>
                <w:szCs w:val="14"/>
              </w:rPr>
            </w:pPr>
            <w:r w:rsidRPr="00A92CB1">
              <w:rPr>
                <w:rFonts w:ascii="Arial Narrow" w:hAnsi="Arial Narrow"/>
                <w:color w:val="000000"/>
                <w:sz w:val="14"/>
                <w:szCs w:val="14"/>
              </w:rPr>
              <w:t xml:space="preserve">D] </w:t>
            </w:r>
            <w:r w:rsidR="006C6629">
              <w:rPr>
                <w:rFonts w:ascii="Arial Narrow" w:hAnsi="Arial Narrow"/>
                <w:color w:val="000000"/>
                <w:sz w:val="14"/>
                <w:szCs w:val="14"/>
              </w:rPr>
              <w:t>poistné</w:t>
            </w:r>
            <w:r w:rsidRPr="00A92CB1">
              <w:rPr>
                <w:rFonts w:ascii="Arial Narrow" w:hAnsi="Arial Narrow"/>
                <w:color w:val="000000"/>
                <w:sz w:val="14"/>
                <w:szCs w:val="14"/>
              </w:rPr>
              <w:t xml:space="preserve"> rodiny</w:t>
            </w:r>
          </w:p>
        </w:tc>
        <w:tc>
          <w:tcPr>
            <w:tcW w:w="1420" w:type="dxa"/>
            <w:vMerge w:val="restart"/>
            <w:tcBorders>
              <w:top w:val="nil"/>
              <w:left w:val="single" w:sz="8" w:space="0" w:color="000000"/>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13,4 % z [A]</w:t>
            </w:r>
          </w:p>
        </w:tc>
        <w:tc>
          <w:tcPr>
            <w:tcW w:w="1420" w:type="dxa"/>
            <w:vMerge w:val="restart"/>
            <w:tcBorders>
              <w:top w:val="nil"/>
              <w:left w:val="single" w:sz="8" w:space="0" w:color="000000"/>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113,13</w:t>
            </w:r>
          </w:p>
        </w:tc>
        <w:tc>
          <w:tcPr>
            <w:tcW w:w="1420" w:type="dxa"/>
            <w:tcBorders>
              <w:top w:val="nil"/>
              <w:left w:val="nil"/>
              <w:bottom w:val="nil"/>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 xml:space="preserve">28 % z [(C)]      </w:t>
            </w:r>
          </w:p>
        </w:tc>
        <w:tc>
          <w:tcPr>
            <w:tcW w:w="1420" w:type="dxa"/>
            <w:tcBorders>
              <w:top w:val="nil"/>
              <w:left w:val="nil"/>
              <w:bottom w:val="nil"/>
              <w:right w:val="single" w:sz="8" w:space="0" w:color="auto"/>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317,74</w:t>
            </w:r>
          </w:p>
        </w:tc>
      </w:tr>
      <w:tr>
        <w:tblPrEx>
          <w:tblW w:w="9120" w:type="dxa"/>
          <w:tblInd w:w="58" w:type="dxa"/>
          <w:tblCellMar>
            <w:left w:w="70" w:type="dxa"/>
            <w:right w:w="70" w:type="dxa"/>
          </w:tblCellMar>
          <w:tblLook w:val="04A0"/>
        </w:tblPrEx>
        <w:trPr>
          <w:trHeight w:val="255"/>
        </w:trPr>
        <w:tc>
          <w:tcPr>
            <w:tcW w:w="3440" w:type="dxa"/>
            <w:vMerge/>
            <w:tcBorders>
              <w:top w:val="nil"/>
              <w:left w:val="single" w:sz="8" w:space="0" w:color="auto"/>
              <w:bottom w:val="single" w:sz="8" w:space="0" w:color="000000"/>
              <w:right w:val="single" w:sz="8" w:space="0" w:color="000000"/>
            </w:tcBorders>
            <w:textDirection w:val="lrTb"/>
            <w:vAlign w:val="center"/>
          </w:tcPr>
          <w:p w:rsidR="00A92CB1" w:rsidRPr="00A92CB1" w:rsidP="00A92CB1">
            <w:pPr>
              <w:bidi w:val="0"/>
              <w:rPr>
                <w:rFonts w:ascii="Arial Narrow" w:hAnsi="Arial Narrow"/>
                <w:color w:val="000000"/>
                <w:sz w:val="14"/>
                <w:szCs w:val="14"/>
              </w:rPr>
            </w:pPr>
          </w:p>
        </w:tc>
        <w:tc>
          <w:tcPr>
            <w:tcW w:w="1420" w:type="dxa"/>
            <w:vMerge/>
            <w:tcBorders>
              <w:top w:val="nil"/>
              <w:left w:val="single" w:sz="8" w:space="0" w:color="000000"/>
              <w:bottom w:val="single" w:sz="8" w:space="0" w:color="000000"/>
              <w:right w:val="single" w:sz="8" w:space="0" w:color="000000"/>
            </w:tcBorders>
            <w:textDirection w:val="lrTb"/>
            <w:vAlign w:val="center"/>
          </w:tcPr>
          <w:p w:rsidR="00A92CB1" w:rsidRPr="00A92CB1" w:rsidP="00A92CB1">
            <w:pPr>
              <w:bidi w:val="0"/>
              <w:rPr>
                <w:rFonts w:ascii="Arial Narrow" w:hAnsi="Arial Narrow"/>
                <w:color w:val="000000"/>
                <w:sz w:val="14"/>
                <w:szCs w:val="14"/>
              </w:rPr>
            </w:pPr>
          </w:p>
        </w:tc>
        <w:tc>
          <w:tcPr>
            <w:tcW w:w="1420" w:type="dxa"/>
            <w:vMerge/>
            <w:tcBorders>
              <w:top w:val="nil"/>
              <w:left w:val="single" w:sz="8" w:space="0" w:color="000000"/>
              <w:bottom w:val="single" w:sz="8" w:space="0" w:color="000000"/>
              <w:right w:val="single" w:sz="8" w:space="0" w:color="000000"/>
            </w:tcBorders>
            <w:textDirection w:val="lrTb"/>
            <w:vAlign w:val="center"/>
          </w:tcPr>
          <w:p w:rsidR="00A92CB1" w:rsidRPr="00A92CB1" w:rsidP="00A92CB1">
            <w:pPr>
              <w:bidi w:val="0"/>
              <w:rPr>
                <w:rFonts w:ascii="Arial Narrow" w:hAnsi="Arial Narrow"/>
                <w:color w:val="000000"/>
                <w:sz w:val="14"/>
                <w:szCs w:val="14"/>
              </w:rPr>
            </w:pP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t.j.19% SO a 9% ZO</w:t>
            </w:r>
          </w:p>
        </w:tc>
        <w:tc>
          <w:tcPr>
            <w:tcW w:w="1420" w:type="dxa"/>
            <w:tcBorders>
              <w:top w:val="nil"/>
              <w:left w:val="nil"/>
              <w:bottom w:val="single" w:sz="8" w:space="0" w:color="000000"/>
              <w:right w:val="single" w:sz="8" w:space="0" w:color="auto"/>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t.j. 215,61 + 102,13</w:t>
            </w:r>
          </w:p>
        </w:tc>
      </w:tr>
      <w:tr>
        <w:tblPrEx>
          <w:tblW w:w="9120" w:type="dxa"/>
          <w:tblInd w:w="58" w:type="dxa"/>
          <w:tblCellMar>
            <w:left w:w="70" w:type="dxa"/>
            <w:right w:w="70" w:type="dxa"/>
          </w:tblCellMar>
          <w:tblLook w:val="04A0"/>
        </w:tblPrEx>
        <w:trPr>
          <w:trHeight w:val="255"/>
        </w:trPr>
        <w:tc>
          <w:tcPr>
            <w:tcW w:w="3440" w:type="dxa"/>
            <w:tcBorders>
              <w:top w:val="nil"/>
              <w:left w:val="single" w:sz="8" w:space="0" w:color="auto"/>
              <w:bottom w:val="single" w:sz="8" w:space="0" w:color="000000"/>
              <w:right w:val="single" w:sz="8" w:space="0" w:color="000000"/>
            </w:tcBorders>
            <w:textDirection w:val="lrTb"/>
            <w:vAlign w:val="center"/>
          </w:tcPr>
          <w:p w:rsidR="00A92CB1" w:rsidRPr="00A92CB1" w:rsidP="00A92CB1">
            <w:pPr>
              <w:bidi w:val="0"/>
              <w:rPr>
                <w:rFonts w:ascii="Arial Narrow" w:hAnsi="Arial Narrow"/>
                <w:color w:val="000000"/>
                <w:sz w:val="14"/>
                <w:szCs w:val="14"/>
              </w:rPr>
            </w:pPr>
            <w:r w:rsidRPr="00A92CB1">
              <w:rPr>
                <w:rFonts w:ascii="Arial Narrow" w:hAnsi="Arial Narrow"/>
                <w:color w:val="000000"/>
                <w:sz w:val="14"/>
                <w:szCs w:val="14"/>
              </w:rPr>
              <w:t>E] základ dane</w:t>
            </w: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[A-D]</w:t>
            </w: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731,25</w:t>
            </w: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[(C)]</w:t>
            </w:r>
          </w:p>
        </w:tc>
        <w:tc>
          <w:tcPr>
            <w:tcW w:w="1420" w:type="dxa"/>
            <w:tcBorders>
              <w:top w:val="nil"/>
              <w:left w:val="nil"/>
              <w:bottom w:val="single" w:sz="8" w:space="0" w:color="000000"/>
              <w:right w:val="single" w:sz="8" w:space="0" w:color="auto"/>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1 134,82</w:t>
            </w:r>
          </w:p>
        </w:tc>
      </w:tr>
      <w:tr>
        <w:tblPrEx>
          <w:tblW w:w="9120" w:type="dxa"/>
          <w:tblInd w:w="58" w:type="dxa"/>
          <w:tblCellMar>
            <w:left w:w="70" w:type="dxa"/>
            <w:right w:w="70" w:type="dxa"/>
          </w:tblCellMar>
          <w:tblLook w:val="04A0"/>
        </w:tblPrEx>
        <w:trPr>
          <w:trHeight w:val="255"/>
        </w:trPr>
        <w:tc>
          <w:tcPr>
            <w:tcW w:w="3440" w:type="dxa"/>
            <w:tcBorders>
              <w:top w:val="nil"/>
              <w:left w:val="single" w:sz="8" w:space="0" w:color="auto"/>
              <w:bottom w:val="single" w:sz="8" w:space="0" w:color="000000"/>
              <w:right w:val="single" w:sz="8" w:space="0" w:color="000000"/>
            </w:tcBorders>
            <w:textDirection w:val="lrTb"/>
            <w:vAlign w:val="center"/>
          </w:tcPr>
          <w:p w:rsidR="00A92CB1" w:rsidRPr="00A92CB1" w:rsidP="00A92CB1">
            <w:pPr>
              <w:bidi w:val="0"/>
              <w:rPr>
                <w:rFonts w:ascii="Arial Narrow" w:hAnsi="Arial Narrow"/>
                <w:color w:val="000000"/>
                <w:sz w:val="14"/>
                <w:szCs w:val="14"/>
              </w:rPr>
            </w:pPr>
            <w:r w:rsidRPr="00A92CB1">
              <w:rPr>
                <w:rFonts w:ascii="Arial Narrow" w:hAnsi="Arial Narrow"/>
                <w:color w:val="000000"/>
                <w:sz w:val="14"/>
                <w:szCs w:val="14"/>
              </w:rPr>
              <w:t>F] nezdaniteľne časti základu dane</w:t>
            </w: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2 * 1,6 * ŽM</w:t>
            </w: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606,88</w:t>
            </w: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1 * 1,5 * ŽM</w:t>
            </w:r>
          </w:p>
        </w:tc>
        <w:tc>
          <w:tcPr>
            <w:tcW w:w="1420" w:type="dxa"/>
            <w:tcBorders>
              <w:top w:val="nil"/>
              <w:left w:val="nil"/>
              <w:bottom w:val="single" w:sz="8" w:space="0" w:color="000000"/>
              <w:right w:val="single" w:sz="8" w:space="0" w:color="auto"/>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284,48</w:t>
            </w:r>
          </w:p>
        </w:tc>
      </w:tr>
      <w:tr>
        <w:tblPrEx>
          <w:tblW w:w="9120" w:type="dxa"/>
          <w:tblInd w:w="58" w:type="dxa"/>
          <w:tblCellMar>
            <w:left w:w="70" w:type="dxa"/>
            <w:right w:w="70" w:type="dxa"/>
          </w:tblCellMar>
          <w:tblLook w:val="04A0"/>
        </w:tblPrEx>
        <w:trPr>
          <w:trHeight w:val="255"/>
        </w:trPr>
        <w:tc>
          <w:tcPr>
            <w:tcW w:w="3440" w:type="dxa"/>
            <w:tcBorders>
              <w:top w:val="nil"/>
              <w:left w:val="single" w:sz="8" w:space="0" w:color="auto"/>
              <w:bottom w:val="single" w:sz="8" w:space="0" w:color="000000"/>
              <w:right w:val="single" w:sz="8" w:space="0" w:color="000000"/>
            </w:tcBorders>
            <w:textDirection w:val="lrTb"/>
            <w:vAlign w:val="center"/>
          </w:tcPr>
          <w:p w:rsidR="00A92CB1" w:rsidRPr="00A92CB1" w:rsidP="00A92CB1">
            <w:pPr>
              <w:bidi w:val="0"/>
              <w:rPr>
                <w:rFonts w:ascii="Arial Narrow" w:hAnsi="Arial Narrow"/>
                <w:color w:val="000000"/>
                <w:sz w:val="14"/>
                <w:szCs w:val="14"/>
              </w:rPr>
            </w:pPr>
            <w:r w:rsidRPr="00A92CB1">
              <w:rPr>
                <w:rFonts w:ascii="Arial Narrow" w:hAnsi="Arial Narrow"/>
                <w:color w:val="000000"/>
                <w:sz w:val="14"/>
                <w:szCs w:val="14"/>
              </w:rPr>
              <w:t>G] zdaniteľný príjem</w:t>
            </w: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[E-F]</w:t>
            </w: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124,37</w:t>
            </w: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[E-F]</w:t>
            </w:r>
          </w:p>
        </w:tc>
        <w:tc>
          <w:tcPr>
            <w:tcW w:w="1420" w:type="dxa"/>
            <w:tcBorders>
              <w:top w:val="nil"/>
              <w:left w:val="nil"/>
              <w:bottom w:val="single" w:sz="8" w:space="0" w:color="000000"/>
              <w:right w:val="single" w:sz="8" w:space="0" w:color="auto"/>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850,35</w:t>
            </w:r>
          </w:p>
        </w:tc>
      </w:tr>
      <w:tr>
        <w:tblPrEx>
          <w:tblW w:w="9120" w:type="dxa"/>
          <w:tblInd w:w="58" w:type="dxa"/>
          <w:tblCellMar>
            <w:left w:w="70" w:type="dxa"/>
            <w:right w:w="70" w:type="dxa"/>
          </w:tblCellMar>
          <w:tblLook w:val="04A0"/>
        </w:tblPrEx>
        <w:trPr>
          <w:trHeight w:val="255"/>
        </w:trPr>
        <w:tc>
          <w:tcPr>
            <w:tcW w:w="3440" w:type="dxa"/>
            <w:tcBorders>
              <w:top w:val="nil"/>
              <w:left w:val="single" w:sz="8" w:space="0" w:color="auto"/>
              <w:bottom w:val="single" w:sz="8" w:space="0" w:color="000000"/>
              <w:right w:val="single" w:sz="8" w:space="0" w:color="000000"/>
            </w:tcBorders>
            <w:textDirection w:val="lrTb"/>
            <w:vAlign w:val="center"/>
          </w:tcPr>
          <w:p w:rsidR="00A92CB1" w:rsidRPr="00A92CB1" w:rsidP="00A92CB1">
            <w:pPr>
              <w:bidi w:val="0"/>
              <w:rPr>
                <w:rFonts w:ascii="Arial Narrow" w:hAnsi="Arial Narrow"/>
                <w:color w:val="000000"/>
                <w:sz w:val="14"/>
                <w:szCs w:val="14"/>
              </w:rPr>
            </w:pPr>
            <w:r w:rsidRPr="00A92CB1">
              <w:rPr>
                <w:rFonts w:ascii="Arial Narrow" w:hAnsi="Arial Narrow"/>
                <w:color w:val="000000"/>
                <w:sz w:val="14"/>
                <w:szCs w:val="14"/>
              </w:rPr>
              <w:t>H] daň z príjmu FO</w:t>
            </w: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19 % z [G]</w:t>
            </w:r>
          </w:p>
        </w:tc>
        <w:tc>
          <w:tcPr>
            <w:tcW w:w="1420" w:type="dxa"/>
            <w:tcBorders>
              <w:top w:val="nil"/>
              <w:left w:val="nil"/>
              <w:bottom w:val="single" w:sz="8" w:space="0" w:color="000000"/>
              <w:right w:val="single" w:sz="8" w:space="0" w:color="auto"/>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23,63</w:t>
            </w:r>
          </w:p>
        </w:tc>
        <w:tc>
          <w:tcPr>
            <w:tcW w:w="1420" w:type="dxa"/>
            <w:tcBorders>
              <w:top w:val="nil"/>
              <w:left w:val="nil"/>
              <w:bottom w:val="single" w:sz="8" w:space="0" w:color="000000"/>
              <w:right w:val="single" w:sz="8" w:space="0" w:color="000000"/>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19 % z [G]</w:t>
            </w:r>
          </w:p>
        </w:tc>
        <w:tc>
          <w:tcPr>
            <w:tcW w:w="1420" w:type="dxa"/>
            <w:tcBorders>
              <w:top w:val="nil"/>
              <w:left w:val="nil"/>
              <w:bottom w:val="single" w:sz="8" w:space="0" w:color="000000"/>
              <w:right w:val="single" w:sz="8" w:space="0" w:color="auto"/>
            </w:tcBorders>
            <w:textDirection w:val="lrTb"/>
            <w:vAlign w:val="center"/>
          </w:tcPr>
          <w:p w:rsidR="00A92CB1" w:rsidRPr="00A92CB1" w:rsidP="00A92CB1">
            <w:pPr>
              <w:bidi w:val="0"/>
              <w:jc w:val="center"/>
              <w:rPr>
                <w:rFonts w:ascii="Arial Narrow" w:hAnsi="Arial Narrow"/>
                <w:color w:val="000000"/>
                <w:sz w:val="14"/>
                <w:szCs w:val="14"/>
              </w:rPr>
            </w:pPr>
            <w:r w:rsidRPr="00A92CB1">
              <w:rPr>
                <w:rFonts w:ascii="Arial Narrow" w:hAnsi="Arial Narrow"/>
                <w:color w:val="000000"/>
                <w:sz w:val="14"/>
                <w:szCs w:val="14"/>
              </w:rPr>
              <w:t>161,56</w:t>
            </w:r>
          </w:p>
        </w:tc>
      </w:tr>
      <w:tr>
        <w:tblPrEx>
          <w:tblW w:w="9120" w:type="dxa"/>
          <w:tblInd w:w="58" w:type="dxa"/>
          <w:tblCellMar>
            <w:left w:w="70" w:type="dxa"/>
            <w:right w:w="70" w:type="dxa"/>
          </w:tblCellMar>
          <w:tblLook w:val="04A0"/>
        </w:tblPrEx>
        <w:trPr>
          <w:trHeight w:val="255"/>
        </w:trPr>
        <w:tc>
          <w:tcPr>
            <w:tcW w:w="3440" w:type="dxa"/>
            <w:tcBorders>
              <w:top w:val="nil"/>
              <w:left w:val="single" w:sz="8" w:space="0" w:color="auto"/>
              <w:bottom w:val="single" w:sz="8" w:space="0" w:color="auto"/>
              <w:right w:val="single" w:sz="8" w:space="0" w:color="000000"/>
            </w:tcBorders>
            <w:textDirection w:val="lrTb"/>
            <w:vAlign w:val="center"/>
          </w:tcPr>
          <w:p w:rsidR="00A92CB1" w:rsidRPr="00A92CB1" w:rsidP="00A92CB1">
            <w:pPr>
              <w:bidi w:val="0"/>
              <w:rPr>
                <w:rFonts w:ascii="Arial Narrow" w:hAnsi="Arial Narrow"/>
                <w:b/>
                <w:bCs/>
                <w:color w:val="000000"/>
                <w:sz w:val="14"/>
                <w:szCs w:val="14"/>
              </w:rPr>
            </w:pPr>
            <w:r w:rsidRPr="00A92CB1">
              <w:rPr>
                <w:rFonts w:ascii="Arial Narrow" w:hAnsi="Arial Narrow"/>
                <w:b/>
                <w:bCs/>
                <w:color w:val="000000"/>
                <w:sz w:val="14"/>
                <w:szCs w:val="14"/>
              </w:rPr>
              <w:t>I] čistý príjem rodiny</w:t>
            </w:r>
          </w:p>
        </w:tc>
        <w:tc>
          <w:tcPr>
            <w:tcW w:w="1420" w:type="dxa"/>
            <w:tcBorders>
              <w:top w:val="nil"/>
              <w:left w:val="nil"/>
              <w:bottom w:val="single" w:sz="8" w:space="0" w:color="auto"/>
              <w:right w:val="single" w:sz="8" w:space="0" w:color="000000"/>
            </w:tcBorders>
            <w:textDirection w:val="lrTb"/>
            <w:vAlign w:val="center"/>
          </w:tcPr>
          <w:p w:rsidR="00A92CB1" w:rsidRPr="00A92CB1" w:rsidP="00A92CB1">
            <w:pPr>
              <w:bidi w:val="0"/>
              <w:jc w:val="center"/>
              <w:rPr>
                <w:rFonts w:ascii="Arial Narrow" w:hAnsi="Arial Narrow"/>
                <w:b/>
                <w:bCs/>
                <w:color w:val="000000"/>
                <w:sz w:val="14"/>
                <w:szCs w:val="14"/>
              </w:rPr>
            </w:pPr>
            <w:r w:rsidRPr="00A92CB1">
              <w:rPr>
                <w:rFonts w:ascii="Arial Narrow" w:hAnsi="Arial Narrow"/>
                <w:b/>
                <w:bCs/>
                <w:color w:val="000000"/>
                <w:sz w:val="14"/>
                <w:szCs w:val="14"/>
              </w:rPr>
              <w:t>[E-H]</w:t>
            </w:r>
          </w:p>
        </w:tc>
        <w:tc>
          <w:tcPr>
            <w:tcW w:w="1420" w:type="dxa"/>
            <w:tcBorders>
              <w:top w:val="nil"/>
              <w:left w:val="nil"/>
              <w:bottom w:val="single" w:sz="8" w:space="0" w:color="auto"/>
              <w:right w:val="single" w:sz="8" w:space="0" w:color="000000"/>
            </w:tcBorders>
            <w:textDirection w:val="lrTb"/>
            <w:vAlign w:val="center"/>
          </w:tcPr>
          <w:p w:rsidR="00A92CB1" w:rsidRPr="00A92CB1" w:rsidP="00A92CB1">
            <w:pPr>
              <w:bidi w:val="0"/>
              <w:jc w:val="center"/>
              <w:rPr>
                <w:rFonts w:ascii="Arial Narrow" w:hAnsi="Arial Narrow"/>
                <w:b/>
                <w:bCs/>
                <w:color w:val="000000"/>
                <w:sz w:val="14"/>
                <w:szCs w:val="14"/>
              </w:rPr>
            </w:pPr>
            <w:r w:rsidRPr="00A92CB1">
              <w:rPr>
                <w:rFonts w:ascii="Arial Narrow" w:hAnsi="Arial Narrow"/>
                <w:b/>
                <w:bCs/>
                <w:color w:val="000000"/>
                <w:sz w:val="14"/>
                <w:szCs w:val="14"/>
              </w:rPr>
              <w:t>707,62</w:t>
            </w:r>
          </w:p>
        </w:tc>
        <w:tc>
          <w:tcPr>
            <w:tcW w:w="1420" w:type="dxa"/>
            <w:tcBorders>
              <w:top w:val="nil"/>
              <w:left w:val="nil"/>
              <w:bottom w:val="single" w:sz="8" w:space="0" w:color="auto"/>
              <w:right w:val="single" w:sz="8" w:space="0" w:color="000000"/>
            </w:tcBorders>
            <w:textDirection w:val="lrTb"/>
            <w:vAlign w:val="center"/>
          </w:tcPr>
          <w:p w:rsidR="00A92CB1" w:rsidRPr="00A92CB1" w:rsidP="00A92CB1">
            <w:pPr>
              <w:bidi w:val="0"/>
              <w:jc w:val="center"/>
              <w:rPr>
                <w:rFonts w:ascii="Arial Narrow" w:hAnsi="Arial Narrow"/>
                <w:b/>
                <w:bCs/>
                <w:color w:val="000000"/>
                <w:sz w:val="14"/>
                <w:szCs w:val="14"/>
              </w:rPr>
            </w:pPr>
            <w:r w:rsidRPr="00A92CB1">
              <w:rPr>
                <w:rFonts w:ascii="Arial Narrow" w:hAnsi="Arial Narrow"/>
                <w:b/>
                <w:bCs/>
                <w:color w:val="000000"/>
                <w:sz w:val="14"/>
                <w:szCs w:val="14"/>
              </w:rPr>
              <w:t>[(C)-D-H]</w:t>
            </w:r>
          </w:p>
        </w:tc>
        <w:tc>
          <w:tcPr>
            <w:tcW w:w="1420" w:type="dxa"/>
            <w:tcBorders>
              <w:top w:val="nil"/>
              <w:left w:val="nil"/>
              <w:bottom w:val="single" w:sz="8" w:space="0" w:color="auto"/>
              <w:right w:val="single" w:sz="8" w:space="0" w:color="auto"/>
            </w:tcBorders>
            <w:textDirection w:val="lrTb"/>
            <w:vAlign w:val="center"/>
          </w:tcPr>
          <w:p w:rsidR="00A92CB1" w:rsidRPr="00A92CB1" w:rsidP="00A92CB1">
            <w:pPr>
              <w:bidi w:val="0"/>
              <w:jc w:val="center"/>
              <w:rPr>
                <w:rFonts w:ascii="Arial Narrow" w:hAnsi="Arial Narrow"/>
                <w:b/>
                <w:bCs/>
                <w:color w:val="000000"/>
                <w:sz w:val="14"/>
                <w:szCs w:val="14"/>
              </w:rPr>
            </w:pPr>
            <w:r w:rsidRPr="00A92CB1">
              <w:rPr>
                <w:rFonts w:ascii="Arial Narrow" w:hAnsi="Arial Narrow"/>
                <w:b/>
                <w:bCs/>
                <w:color w:val="000000"/>
                <w:sz w:val="14"/>
                <w:szCs w:val="14"/>
              </w:rPr>
              <w:t>655,52</w:t>
            </w:r>
          </w:p>
        </w:tc>
      </w:tr>
    </w:tbl>
    <w:p w:rsidR="00A64820" w:rsidRPr="00A92CB1" w:rsidP="00A92CB1">
      <w:pPr>
        <w:bidi w:val="0"/>
        <w:spacing w:after="200" w:line="276" w:lineRule="auto"/>
        <w:rPr>
          <w:rFonts w:ascii="Arial Narrow" w:hAnsi="Arial Narrow"/>
          <w:sz w:val="22"/>
          <w:szCs w:val="36"/>
          <w:lang w:eastAsia="en-US"/>
        </w:rPr>
      </w:pPr>
    </w:p>
    <w:tbl>
      <w:tblPr>
        <w:tblStyle w:val="TableNormal"/>
        <w:tblW w:w="9120" w:type="dxa"/>
        <w:jc w:val="center"/>
        <w:tblCellMar>
          <w:left w:w="70" w:type="dxa"/>
          <w:right w:w="70" w:type="dxa"/>
        </w:tblCellMar>
        <w:tblLook w:val="04A0"/>
      </w:tblPr>
      <w:tblGrid>
        <w:gridCol w:w="3440"/>
        <w:gridCol w:w="1420"/>
        <w:gridCol w:w="1420"/>
        <w:gridCol w:w="1420"/>
        <w:gridCol w:w="1420"/>
      </w:tblGrid>
      <w:tr>
        <w:tblPrEx>
          <w:tblW w:w="9120" w:type="dxa"/>
          <w:jc w:val="center"/>
          <w:tblCellMar>
            <w:left w:w="70" w:type="dxa"/>
            <w:right w:w="70" w:type="dxa"/>
          </w:tblCellMar>
          <w:tblLook w:val="04A0"/>
        </w:tblPrEx>
        <w:trPr>
          <w:trHeight w:val="340"/>
          <w:jc w:val="center"/>
        </w:trPr>
        <w:tc>
          <w:tcPr>
            <w:tcW w:w="9120" w:type="dxa"/>
            <w:gridSpan w:val="5"/>
            <w:tcBorders>
              <w:top w:val="single" w:sz="8" w:space="0" w:color="auto"/>
              <w:left w:val="single" w:sz="8" w:space="0" w:color="auto"/>
              <w:bottom w:val="single" w:sz="8" w:space="0" w:color="000000"/>
              <w:right w:val="single" w:sz="8" w:space="0" w:color="000000"/>
            </w:tcBorders>
            <w:shd w:val="clear" w:color="000000" w:fill="000000"/>
            <w:textDirection w:val="lrTb"/>
            <w:vAlign w:val="center"/>
          </w:tcPr>
          <w:p w:rsidR="00844C20" w:rsidRPr="00A86C7E" w:rsidP="00801DE1">
            <w:pPr>
              <w:bidi w:val="0"/>
              <w:rPr>
                <w:rFonts w:ascii="Arial Narrow" w:hAnsi="Arial Narrow"/>
                <w:b/>
                <w:bCs/>
                <w:color w:val="FFFFFF"/>
                <w:sz w:val="20"/>
                <w:szCs w:val="20"/>
              </w:rPr>
            </w:pPr>
            <w:r w:rsidRPr="00A86C7E">
              <w:rPr>
                <w:rFonts w:ascii="Arial Narrow" w:hAnsi="Arial Narrow" w:cs="Arial Narrow"/>
                <w:b/>
                <w:bCs/>
                <w:color w:val="FFFFFF"/>
                <w:sz w:val="20"/>
                <w:szCs w:val="20"/>
              </w:rPr>
              <w:t xml:space="preserve">Ilustratívny príklad výpočtu čistých príjmov pred a po reforme daní, </w:t>
            </w:r>
            <w:r w:rsidR="00801DE1">
              <w:rPr>
                <w:rFonts w:ascii="Arial Narrow" w:hAnsi="Arial Narrow" w:cs="Arial Narrow"/>
                <w:b/>
                <w:bCs/>
                <w:color w:val="FFFFFF"/>
                <w:sz w:val="20"/>
                <w:szCs w:val="20"/>
              </w:rPr>
              <w:t>cla</w:t>
            </w:r>
            <w:r w:rsidRPr="00801DE1" w:rsidR="00801DE1">
              <w:rPr>
                <w:rFonts w:ascii="Arial Narrow" w:hAnsi="Arial Narrow" w:cs="Arial Narrow"/>
                <w:b/>
                <w:bCs/>
                <w:color w:val="FFFFFF"/>
                <w:sz w:val="20"/>
                <w:szCs w:val="20"/>
              </w:rPr>
              <w:t xml:space="preserve"> a </w:t>
            </w:r>
            <w:r w:rsidR="00801DE1">
              <w:rPr>
                <w:rFonts w:ascii="Arial Narrow" w:hAnsi="Arial Narrow" w:cs="Arial Narrow"/>
                <w:b/>
                <w:bCs/>
                <w:color w:val="FFFFFF"/>
                <w:sz w:val="20"/>
                <w:szCs w:val="20"/>
              </w:rPr>
              <w:t>poistného</w:t>
            </w:r>
            <w:r w:rsidRPr="00A86C7E">
              <w:rPr>
                <w:rFonts w:ascii="Arial Narrow" w:hAnsi="Arial Narrow" w:cs="Arial Narrow"/>
                <w:b/>
                <w:bCs/>
                <w:color w:val="FFFFFF"/>
                <w:sz w:val="20"/>
                <w:szCs w:val="20"/>
              </w:rPr>
              <w:t xml:space="preserve"> (rok 2012)</w:t>
            </w:r>
          </w:p>
        </w:tc>
      </w:tr>
      <w:tr>
        <w:tblPrEx>
          <w:tblW w:w="9120" w:type="dxa"/>
          <w:jc w:val="center"/>
          <w:tblCellMar>
            <w:left w:w="70" w:type="dxa"/>
            <w:right w:w="70" w:type="dxa"/>
          </w:tblCellMar>
          <w:tblLook w:val="04A0"/>
        </w:tblPrEx>
        <w:trPr>
          <w:trHeight w:val="284"/>
          <w:jc w:val="center"/>
        </w:trPr>
        <w:tc>
          <w:tcPr>
            <w:tcW w:w="3440" w:type="dxa"/>
            <w:vMerge w:val="restart"/>
            <w:tcBorders>
              <w:top w:val="nil"/>
              <w:left w:val="single" w:sz="8" w:space="0" w:color="auto"/>
              <w:bottom w:val="single" w:sz="8" w:space="0" w:color="000000"/>
              <w:right w:val="single" w:sz="8" w:space="0" w:color="000000"/>
            </w:tcBorders>
            <w:shd w:val="clear" w:color="000000" w:fill="BFBFBF"/>
            <w:textDirection w:val="lrTb"/>
            <w:vAlign w:val="top"/>
          </w:tcPr>
          <w:p w:rsidR="00844C20" w:rsidRPr="00A86C7E" w:rsidP="005C14D4">
            <w:pPr>
              <w:bidi w:val="0"/>
              <w:spacing w:before="120"/>
              <w:rPr>
                <w:rFonts w:ascii="Arial Narrow" w:hAnsi="Arial Narrow"/>
                <w:b/>
                <w:bCs/>
                <w:i/>
                <w:color w:val="000000"/>
                <w:sz w:val="16"/>
                <w:szCs w:val="16"/>
              </w:rPr>
            </w:pPr>
            <w:r w:rsidRPr="00A86C7E">
              <w:rPr>
                <w:rFonts w:ascii="Arial Narrow" w:hAnsi="Arial Narrow" w:cs="Arial Narrow"/>
                <w:b/>
                <w:bCs/>
                <w:i/>
                <w:color w:val="000000"/>
                <w:sz w:val="16"/>
                <w:szCs w:val="16"/>
              </w:rPr>
              <w:t>Použité skratky: ZO – zdravotný odvod, SO – sociálny odvod,  ŽM – životné minimum</w:t>
            </w:r>
          </w:p>
        </w:tc>
        <w:tc>
          <w:tcPr>
            <w:tcW w:w="5680" w:type="dxa"/>
            <w:gridSpan w:val="4"/>
            <w:tcBorders>
              <w:top w:val="single" w:sz="8" w:space="0" w:color="000000"/>
              <w:left w:val="nil"/>
              <w:bottom w:val="single" w:sz="8" w:space="0" w:color="000000"/>
              <w:right w:val="single" w:sz="8" w:space="0" w:color="000000"/>
            </w:tcBorders>
            <w:shd w:val="clear" w:color="000000" w:fill="BFBFBF"/>
            <w:textDirection w:val="lrTb"/>
            <w:vAlign w:val="center"/>
          </w:tcPr>
          <w:p w:rsidR="00844C20" w:rsidRPr="00A86C7E" w:rsidP="005C14D4">
            <w:pPr>
              <w:bidi w:val="0"/>
              <w:jc w:val="center"/>
              <w:rPr>
                <w:rFonts w:ascii="Arial Narrow" w:hAnsi="Arial Narrow"/>
                <w:b/>
                <w:bCs/>
                <w:color w:val="000000"/>
                <w:sz w:val="16"/>
                <w:szCs w:val="16"/>
              </w:rPr>
            </w:pPr>
            <w:r w:rsidRPr="00A86C7E">
              <w:rPr>
                <w:rFonts w:ascii="Arial Narrow" w:hAnsi="Arial Narrow" w:cs="Arial Narrow"/>
                <w:b/>
                <w:bCs/>
                <w:color w:val="000000"/>
                <w:sz w:val="16"/>
                <w:szCs w:val="16"/>
              </w:rPr>
              <w:t>Zamestnanec (jednotlivec bez detí, príjem = 100% priemernej mzdy)</w:t>
            </w:r>
          </w:p>
        </w:tc>
      </w:tr>
      <w:tr>
        <w:tblPrEx>
          <w:tblW w:w="9120" w:type="dxa"/>
          <w:jc w:val="center"/>
          <w:tblCellMar>
            <w:left w:w="70" w:type="dxa"/>
            <w:right w:w="70" w:type="dxa"/>
          </w:tblCellMar>
          <w:tblLook w:val="04A0"/>
        </w:tblPrEx>
        <w:trPr>
          <w:trHeight w:val="284"/>
          <w:jc w:val="center"/>
        </w:trPr>
        <w:tc>
          <w:tcPr>
            <w:tcW w:w="3440" w:type="dxa"/>
            <w:vMerge/>
            <w:tcBorders>
              <w:top w:val="nil"/>
              <w:left w:val="single" w:sz="8" w:space="0" w:color="auto"/>
              <w:bottom w:val="single" w:sz="8" w:space="0" w:color="000000"/>
              <w:right w:val="single" w:sz="8" w:space="0" w:color="000000"/>
            </w:tcBorders>
            <w:textDirection w:val="lrTb"/>
            <w:vAlign w:val="center"/>
          </w:tcPr>
          <w:p w:rsidR="00844C20" w:rsidRPr="00A86C7E" w:rsidP="005C14D4">
            <w:pPr>
              <w:bidi w:val="0"/>
              <w:rPr>
                <w:rFonts w:ascii="Arial Narrow" w:hAnsi="Arial Narrow"/>
                <w:b/>
                <w:bCs/>
                <w:color w:val="000000"/>
                <w:sz w:val="16"/>
                <w:szCs w:val="16"/>
              </w:rPr>
            </w:pPr>
          </w:p>
        </w:tc>
        <w:tc>
          <w:tcPr>
            <w:tcW w:w="2840" w:type="dxa"/>
            <w:gridSpan w:val="2"/>
            <w:tcBorders>
              <w:top w:val="single" w:sz="8" w:space="0" w:color="000000"/>
              <w:left w:val="nil"/>
              <w:bottom w:val="single" w:sz="8" w:space="0" w:color="000000"/>
              <w:right w:val="single" w:sz="8" w:space="0" w:color="000000"/>
            </w:tcBorders>
            <w:shd w:val="clear" w:color="000000" w:fill="BFBFBF"/>
            <w:textDirection w:val="lrTb"/>
            <w:vAlign w:val="center"/>
          </w:tcPr>
          <w:p w:rsidR="00844C20" w:rsidRPr="00A86C7E" w:rsidP="005C14D4">
            <w:pPr>
              <w:bidi w:val="0"/>
              <w:jc w:val="center"/>
              <w:rPr>
                <w:rFonts w:ascii="Arial Narrow" w:hAnsi="Arial Narrow" w:cs="Arial Narrow"/>
                <w:b/>
                <w:bCs/>
                <w:color w:val="000000"/>
                <w:sz w:val="16"/>
                <w:szCs w:val="16"/>
              </w:rPr>
            </w:pPr>
            <w:r w:rsidRPr="00A86C7E">
              <w:rPr>
                <w:rFonts w:ascii="Arial Narrow" w:hAnsi="Arial Narrow" w:cs="Arial Narrow"/>
                <w:b/>
                <w:bCs/>
                <w:color w:val="000000"/>
                <w:sz w:val="16"/>
                <w:szCs w:val="16"/>
              </w:rPr>
              <w:t>I.   Súčasný systém</w:t>
            </w:r>
          </w:p>
        </w:tc>
        <w:tc>
          <w:tcPr>
            <w:tcW w:w="2840" w:type="dxa"/>
            <w:gridSpan w:val="2"/>
            <w:tcBorders>
              <w:top w:val="single" w:sz="8" w:space="0" w:color="000000"/>
              <w:left w:val="nil"/>
              <w:bottom w:val="single" w:sz="8" w:space="0" w:color="000000"/>
              <w:right w:val="single" w:sz="8" w:space="0" w:color="000000"/>
            </w:tcBorders>
            <w:shd w:val="clear" w:color="000000" w:fill="BFBFBF"/>
            <w:textDirection w:val="lrTb"/>
            <w:vAlign w:val="center"/>
          </w:tcPr>
          <w:p w:rsidR="00844C20" w:rsidRPr="00A86C7E" w:rsidP="005C14D4">
            <w:pPr>
              <w:bidi w:val="0"/>
              <w:jc w:val="center"/>
              <w:rPr>
                <w:rFonts w:ascii="Arial Narrow" w:hAnsi="Arial Narrow" w:cs="Arial Narrow"/>
                <w:b/>
                <w:bCs/>
                <w:color w:val="000000"/>
                <w:sz w:val="16"/>
                <w:szCs w:val="16"/>
              </w:rPr>
            </w:pPr>
            <w:r w:rsidRPr="00A86C7E">
              <w:rPr>
                <w:rFonts w:ascii="Arial Narrow" w:hAnsi="Arial Narrow" w:cs="Arial Narrow"/>
                <w:b/>
                <w:bCs/>
                <w:color w:val="000000"/>
                <w:sz w:val="16"/>
                <w:szCs w:val="16"/>
              </w:rPr>
              <w:t>II. Návrh</w:t>
            </w:r>
          </w:p>
        </w:tc>
      </w:tr>
      <w:tr>
        <w:tblPrEx>
          <w:tblW w:w="9120" w:type="dxa"/>
          <w:jc w:val="center"/>
          <w:tblCellMar>
            <w:left w:w="70" w:type="dxa"/>
            <w:right w:w="70" w:type="dxa"/>
          </w:tblCellMar>
          <w:tblLook w:val="04A0"/>
        </w:tblPrEx>
        <w:trPr>
          <w:trHeight w:val="284"/>
          <w:jc w:val="center"/>
        </w:trPr>
        <w:tc>
          <w:tcPr>
            <w:tcW w:w="3440" w:type="dxa"/>
            <w:vMerge/>
            <w:tcBorders>
              <w:top w:val="nil"/>
              <w:left w:val="single" w:sz="8" w:space="0" w:color="auto"/>
              <w:bottom w:val="single" w:sz="8" w:space="0" w:color="000000"/>
              <w:right w:val="single" w:sz="8" w:space="0" w:color="000000"/>
            </w:tcBorders>
            <w:textDirection w:val="lrTb"/>
            <w:vAlign w:val="center"/>
          </w:tcPr>
          <w:p w:rsidR="00844C20" w:rsidRPr="00A86C7E" w:rsidP="005C14D4">
            <w:pPr>
              <w:bidi w:val="0"/>
              <w:rPr>
                <w:rFonts w:ascii="Arial Narrow" w:hAnsi="Arial Narrow"/>
                <w:b/>
                <w:bCs/>
                <w:color w:val="000000"/>
                <w:sz w:val="16"/>
                <w:szCs w:val="16"/>
              </w:rPr>
            </w:pPr>
          </w:p>
        </w:tc>
        <w:tc>
          <w:tcPr>
            <w:tcW w:w="1420" w:type="dxa"/>
            <w:tcBorders>
              <w:top w:val="nil"/>
              <w:left w:val="nil"/>
              <w:bottom w:val="single" w:sz="8" w:space="0" w:color="000000"/>
              <w:right w:val="single" w:sz="8" w:space="0" w:color="000000"/>
            </w:tcBorders>
            <w:shd w:val="clear" w:color="000000" w:fill="BFBFBF"/>
            <w:textDirection w:val="lrTb"/>
            <w:vAlign w:val="center"/>
          </w:tcPr>
          <w:p w:rsidR="00844C20" w:rsidRPr="00A86C7E" w:rsidP="005C14D4">
            <w:pPr>
              <w:bidi w:val="0"/>
              <w:jc w:val="center"/>
              <w:rPr>
                <w:rFonts w:ascii="Arial Narrow" w:hAnsi="Arial Narrow"/>
                <w:color w:val="000000"/>
                <w:sz w:val="16"/>
                <w:szCs w:val="16"/>
              </w:rPr>
            </w:pPr>
            <w:r w:rsidRPr="00A86C7E">
              <w:rPr>
                <w:rFonts w:ascii="Arial Narrow" w:hAnsi="Arial Narrow" w:cs="Arial Narrow"/>
                <w:color w:val="000000"/>
                <w:sz w:val="16"/>
                <w:szCs w:val="16"/>
              </w:rPr>
              <w:t>sadzba v % [výpočet]</w:t>
            </w:r>
          </w:p>
        </w:tc>
        <w:tc>
          <w:tcPr>
            <w:tcW w:w="1420" w:type="dxa"/>
            <w:tcBorders>
              <w:top w:val="nil"/>
              <w:left w:val="nil"/>
              <w:bottom w:val="single" w:sz="8" w:space="0" w:color="000000"/>
              <w:right w:val="single" w:sz="8" w:space="0" w:color="000000"/>
            </w:tcBorders>
            <w:shd w:val="clear" w:color="000000" w:fill="BFBFBF"/>
            <w:textDirection w:val="lrTb"/>
            <w:vAlign w:val="center"/>
          </w:tcPr>
          <w:p w:rsidR="00844C20" w:rsidRPr="00A86C7E" w:rsidP="005C14D4">
            <w:pPr>
              <w:bidi w:val="0"/>
              <w:jc w:val="center"/>
              <w:rPr>
                <w:rFonts w:ascii="Arial Narrow" w:hAnsi="Arial Narrow"/>
                <w:color w:val="000000"/>
                <w:sz w:val="16"/>
                <w:szCs w:val="16"/>
              </w:rPr>
            </w:pPr>
            <w:r w:rsidRPr="00A86C7E">
              <w:rPr>
                <w:rFonts w:ascii="Arial Narrow" w:hAnsi="Arial Narrow" w:cs="Arial Narrow"/>
                <w:color w:val="000000"/>
                <w:sz w:val="16"/>
                <w:szCs w:val="16"/>
              </w:rPr>
              <w:t>EUR</w:t>
            </w:r>
            <w:r w:rsidRPr="00A86C7E">
              <w:rPr>
                <w:rFonts w:ascii="Arial Narrow" w:hAnsi="Arial Narrow" w:cs="Arial Narrow"/>
                <w:color w:val="000000"/>
                <w:sz w:val="16"/>
                <w:szCs w:val="16"/>
                <w:vertAlign w:val="superscript"/>
              </w:rPr>
              <w:t>1</w:t>
            </w:r>
          </w:p>
        </w:tc>
        <w:tc>
          <w:tcPr>
            <w:tcW w:w="1420" w:type="dxa"/>
            <w:tcBorders>
              <w:top w:val="nil"/>
              <w:left w:val="nil"/>
              <w:bottom w:val="single" w:sz="8" w:space="0" w:color="000000"/>
              <w:right w:val="single" w:sz="8" w:space="0" w:color="000000"/>
            </w:tcBorders>
            <w:shd w:val="clear" w:color="000000" w:fill="BFBFBF"/>
            <w:textDirection w:val="lrTb"/>
            <w:vAlign w:val="center"/>
          </w:tcPr>
          <w:p w:rsidR="00844C20" w:rsidRPr="00A86C7E" w:rsidP="005C14D4">
            <w:pPr>
              <w:bidi w:val="0"/>
              <w:jc w:val="center"/>
              <w:rPr>
                <w:rFonts w:ascii="Arial Narrow" w:hAnsi="Arial Narrow"/>
                <w:color w:val="000000"/>
                <w:sz w:val="16"/>
                <w:szCs w:val="16"/>
              </w:rPr>
            </w:pPr>
            <w:r w:rsidRPr="00A86C7E">
              <w:rPr>
                <w:rFonts w:ascii="Arial Narrow" w:hAnsi="Arial Narrow" w:cs="Arial Narrow"/>
                <w:color w:val="000000"/>
                <w:sz w:val="16"/>
                <w:szCs w:val="16"/>
              </w:rPr>
              <w:t>sadzba v % [výpočet]</w:t>
            </w:r>
          </w:p>
        </w:tc>
        <w:tc>
          <w:tcPr>
            <w:tcW w:w="1420" w:type="dxa"/>
            <w:tcBorders>
              <w:top w:val="nil"/>
              <w:left w:val="nil"/>
              <w:bottom w:val="single" w:sz="8" w:space="0" w:color="000000"/>
              <w:right w:val="single" w:sz="8" w:space="0" w:color="auto"/>
            </w:tcBorders>
            <w:shd w:val="clear" w:color="000000" w:fill="BFBFBF"/>
            <w:textDirection w:val="lrTb"/>
            <w:vAlign w:val="center"/>
          </w:tcPr>
          <w:p w:rsidR="00844C20" w:rsidRPr="00A86C7E" w:rsidP="005C14D4">
            <w:pPr>
              <w:bidi w:val="0"/>
              <w:jc w:val="center"/>
              <w:rPr>
                <w:rFonts w:ascii="Arial Narrow" w:hAnsi="Arial Narrow"/>
                <w:color w:val="000000"/>
                <w:sz w:val="16"/>
                <w:szCs w:val="16"/>
              </w:rPr>
            </w:pPr>
            <w:r w:rsidRPr="00A86C7E">
              <w:rPr>
                <w:rFonts w:ascii="Arial Narrow" w:hAnsi="Arial Narrow" w:cs="Arial Narrow"/>
                <w:color w:val="000000"/>
                <w:sz w:val="16"/>
                <w:szCs w:val="16"/>
              </w:rPr>
              <w:t>EUR</w:t>
            </w:r>
            <w:r w:rsidRPr="00A86C7E">
              <w:rPr>
                <w:rFonts w:ascii="Arial Narrow" w:hAnsi="Arial Narrow" w:cs="Arial Narrow"/>
                <w:color w:val="000000"/>
                <w:sz w:val="16"/>
                <w:szCs w:val="16"/>
                <w:vertAlign w:val="superscript"/>
              </w:rPr>
              <w:t>1</w:t>
            </w:r>
          </w:p>
        </w:tc>
      </w:tr>
      <w:tr>
        <w:tblPrEx>
          <w:tblW w:w="9120" w:type="dxa"/>
          <w:jc w:val="center"/>
          <w:tblCellMar>
            <w:left w:w="70" w:type="dxa"/>
            <w:right w:w="70" w:type="dxa"/>
          </w:tblCellMar>
          <w:tblLook w:val="04A0"/>
        </w:tblPrEx>
        <w:trPr>
          <w:trHeight w:val="270"/>
          <w:jc w:val="center"/>
        </w:trPr>
        <w:tc>
          <w:tcPr>
            <w:tcW w:w="3440" w:type="dxa"/>
            <w:tcBorders>
              <w:top w:val="nil"/>
              <w:left w:val="single" w:sz="8" w:space="0" w:color="auto"/>
              <w:bottom w:val="single" w:sz="8" w:space="0" w:color="000000"/>
              <w:right w:val="single" w:sz="8" w:space="0" w:color="000000"/>
            </w:tcBorders>
            <w:textDirection w:val="lrTb"/>
            <w:vAlign w:val="center"/>
          </w:tcPr>
          <w:p w:rsidR="00844C20" w:rsidRPr="00A86C7E" w:rsidP="005C14D4">
            <w:pPr>
              <w:bidi w:val="0"/>
              <w:rPr>
                <w:rFonts w:ascii="Arial Narrow" w:hAnsi="Arial Narrow"/>
                <w:color w:val="000000"/>
                <w:sz w:val="14"/>
                <w:szCs w:val="14"/>
              </w:rPr>
            </w:pPr>
            <w:r w:rsidRPr="00A86C7E">
              <w:rPr>
                <w:rFonts w:ascii="Arial Narrow" w:hAnsi="Arial Narrow"/>
                <w:color w:val="000000"/>
                <w:sz w:val="14"/>
                <w:szCs w:val="14"/>
              </w:rPr>
              <w:t>A] hrubá mzda (priemerná, odhad 2012)</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s="Arial Narrow"/>
                <w:color w:val="000000"/>
                <w:sz w:val="14"/>
                <w:szCs w:val="14"/>
              </w:rPr>
              <w:t>-</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s="Arial Narrow"/>
                <w:color w:val="000000"/>
                <w:sz w:val="14"/>
                <w:szCs w:val="14"/>
              </w:rPr>
              <w:t>844,38</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s="Arial Narrow"/>
                <w:color w:val="000000"/>
                <w:sz w:val="14"/>
                <w:szCs w:val="14"/>
              </w:rPr>
              <w:t>-</w:t>
            </w:r>
          </w:p>
        </w:tc>
        <w:tc>
          <w:tcPr>
            <w:tcW w:w="1420" w:type="dxa"/>
            <w:tcBorders>
              <w:top w:val="single" w:sz="8" w:space="0" w:color="000000"/>
              <w:left w:val="nil"/>
              <w:bottom w:val="single" w:sz="8" w:space="0" w:color="000000"/>
              <w:right w:val="single" w:sz="8" w:space="0" w:color="auto"/>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s="Arial Narrow"/>
                <w:color w:val="000000"/>
                <w:sz w:val="14"/>
                <w:szCs w:val="14"/>
              </w:rPr>
              <w:t>-</w:t>
            </w:r>
          </w:p>
        </w:tc>
      </w:tr>
      <w:tr>
        <w:tblPrEx>
          <w:tblW w:w="9120" w:type="dxa"/>
          <w:jc w:val="center"/>
          <w:tblCellMar>
            <w:left w:w="70" w:type="dxa"/>
            <w:right w:w="70" w:type="dxa"/>
          </w:tblCellMar>
          <w:tblLook w:val="04A0"/>
        </w:tblPrEx>
        <w:trPr>
          <w:trHeight w:val="270"/>
          <w:jc w:val="center"/>
        </w:trPr>
        <w:tc>
          <w:tcPr>
            <w:tcW w:w="3440" w:type="dxa"/>
            <w:tcBorders>
              <w:top w:val="nil"/>
              <w:left w:val="single" w:sz="8" w:space="0" w:color="auto"/>
              <w:bottom w:val="nil"/>
              <w:right w:val="single" w:sz="8" w:space="0" w:color="000000"/>
            </w:tcBorders>
            <w:textDirection w:val="lrTb"/>
            <w:vAlign w:val="center"/>
          </w:tcPr>
          <w:p w:rsidR="00844C20" w:rsidRPr="00A86C7E" w:rsidP="005C14D4">
            <w:pPr>
              <w:bidi w:val="0"/>
              <w:rPr>
                <w:rFonts w:ascii="Arial Narrow" w:hAnsi="Arial Narrow"/>
                <w:color w:val="000000"/>
                <w:sz w:val="14"/>
                <w:szCs w:val="14"/>
              </w:rPr>
            </w:pPr>
            <w:r w:rsidRPr="00801DE1" w:rsidR="00801DE1">
              <w:rPr>
                <w:rFonts w:ascii="Arial Narrow" w:hAnsi="Arial Narrow"/>
                <w:color w:val="000000"/>
                <w:sz w:val="14"/>
                <w:szCs w:val="14"/>
              </w:rPr>
              <w:t xml:space="preserve">B] </w:t>
            </w:r>
            <w:r w:rsidR="00801DE1">
              <w:rPr>
                <w:rFonts w:ascii="Arial Narrow" w:hAnsi="Arial Narrow"/>
                <w:color w:val="000000"/>
                <w:sz w:val="14"/>
                <w:szCs w:val="14"/>
              </w:rPr>
              <w:t>poistné</w:t>
            </w:r>
            <w:r w:rsidRPr="00A86C7E">
              <w:rPr>
                <w:rFonts w:ascii="Arial Narrow" w:hAnsi="Arial Narrow"/>
                <w:color w:val="000000"/>
                <w:sz w:val="14"/>
                <w:szCs w:val="14"/>
              </w:rPr>
              <w:t xml:space="preserve"> zamestnávateľa</w:t>
            </w:r>
          </w:p>
        </w:tc>
        <w:tc>
          <w:tcPr>
            <w:tcW w:w="1420" w:type="dxa"/>
            <w:tcBorders>
              <w:top w:val="nil"/>
              <w:left w:val="nil"/>
              <w:bottom w:val="nil"/>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s="Arial Narrow"/>
                <w:color w:val="000000"/>
                <w:sz w:val="14"/>
                <w:szCs w:val="14"/>
              </w:rPr>
              <w:t>35,2 % z [A]</w:t>
            </w:r>
          </w:p>
        </w:tc>
        <w:tc>
          <w:tcPr>
            <w:tcW w:w="1420" w:type="dxa"/>
            <w:tcBorders>
              <w:top w:val="nil"/>
              <w:left w:val="nil"/>
              <w:bottom w:val="nil"/>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s="Arial Narrow"/>
                <w:color w:val="000000"/>
                <w:sz w:val="14"/>
                <w:szCs w:val="14"/>
              </w:rPr>
              <w:t>297,19</w:t>
            </w:r>
          </w:p>
        </w:tc>
        <w:tc>
          <w:tcPr>
            <w:tcW w:w="1420" w:type="dxa"/>
            <w:tcBorders>
              <w:top w:val="nil"/>
              <w:left w:val="nil"/>
              <w:bottom w:val="nil"/>
              <w:right w:val="single" w:sz="8" w:space="0" w:color="000000"/>
            </w:tcBorders>
            <w:shd w:val="clear" w:color="000000" w:fill="D8D8D8"/>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s="Arial Narrow"/>
                <w:color w:val="000000"/>
                <w:sz w:val="14"/>
                <w:szCs w:val="14"/>
              </w:rPr>
              <w:t>0,592 % z [C]</w:t>
            </w:r>
            <w:r w:rsidRPr="00A86C7E">
              <w:rPr>
                <w:rFonts w:ascii="Arial Narrow" w:hAnsi="Arial Narrow" w:cs="Arial Narrow"/>
                <w:color w:val="000000"/>
                <w:sz w:val="14"/>
                <w:szCs w:val="14"/>
                <w:vertAlign w:val="superscript"/>
              </w:rPr>
              <w:t>2</w:t>
            </w:r>
          </w:p>
        </w:tc>
        <w:tc>
          <w:tcPr>
            <w:tcW w:w="1420" w:type="dxa"/>
            <w:tcBorders>
              <w:top w:val="nil"/>
              <w:left w:val="nil"/>
              <w:bottom w:val="nil"/>
              <w:right w:val="single" w:sz="8" w:space="0" w:color="auto"/>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s="Arial Narrow"/>
                <w:color w:val="000000"/>
                <w:sz w:val="14"/>
                <w:szCs w:val="14"/>
              </w:rPr>
              <w:t>6,75</w:t>
            </w:r>
            <w:r w:rsidRPr="00A86C7E">
              <w:rPr>
                <w:rFonts w:ascii="Arial Narrow" w:hAnsi="Arial Narrow" w:cs="Arial Narrow"/>
                <w:color w:val="000000"/>
                <w:sz w:val="14"/>
                <w:szCs w:val="14"/>
                <w:vertAlign w:val="superscript"/>
              </w:rPr>
              <w:t>2</w:t>
            </w:r>
          </w:p>
        </w:tc>
      </w:tr>
      <w:tr>
        <w:tblPrEx>
          <w:tblW w:w="9120" w:type="dxa"/>
          <w:jc w:val="center"/>
          <w:tblCellMar>
            <w:left w:w="70" w:type="dxa"/>
            <w:right w:w="70" w:type="dxa"/>
          </w:tblCellMar>
          <w:tblLook w:val="04A0"/>
        </w:tblPrEx>
        <w:trPr>
          <w:trHeight w:val="540"/>
          <w:jc w:val="center"/>
        </w:trPr>
        <w:tc>
          <w:tcPr>
            <w:tcW w:w="3440" w:type="dxa"/>
            <w:tcBorders>
              <w:top w:val="single" w:sz="8" w:space="0" w:color="auto"/>
              <w:left w:val="single" w:sz="8" w:space="0" w:color="auto"/>
              <w:bottom w:val="single" w:sz="8" w:space="0" w:color="auto"/>
              <w:right w:val="single" w:sz="8" w:space="0" w:color="000000"/>
            </w:tcBorders>
            <w:textDirection w:val="lrTb"/>
            <w:vAlign w:val="center"/>
          </w:tcPr>
          <w:p w:rsidR="00844C20" w:rsidRPr="00A86C7E" w:rsidP="005C14D4">
            <w:pPr>
              <w:bidi w:val="0"/>
              <w:rPr>
                <w:rFonts w:ascii="Arial Narrow" w:hAnsi="Arial Narrow"/>
                <w:b/>
                <w:bCs/>
                <w:color w:val="000000"/>
                <w:sz w:val="14"/>
                <w:szCs w:val="14"/>
              </w:rPr>
            </w:pPr>
            <w:r w:rsidRPr="00A86C7E">
              <w:rPr>
                <w:rFonts w:ascii="Arial Narrow" w:hAnsi="Arial Narrow"/>
                <w:b/>
                <w:bCs/>
                <w:color w:val="000000"/>
                <w:sz w:val="14"/>
                <w:szCs w:val="14"/>
              </w:rPr>
              <w:t>C] náklady práce/(superhrubá mzda)</w:t>
            </w:r>
          </w:p>
        </w:tc>
        <w:tc>
          <w:tcPr>
            <w:tcW w:w="1420" w:type="dxa"/>
            <w:tcBorders>
              <w:top w:val="single" w:sz="8" w:space="0" w:color="auto"/>
              <w:left w:val="nil"/>
              <w:bottom w:val="single" w:sz="8" w:space="0" w:color="auto"/>
              <w:right w:val="single" w:sz="8" w:space="0" w:color="000000"/>
            </w:tcBorders>
            <w:textDirection w:val="lrTb"/>
            <w:vAlign w:val="center"/>
          </w:tcPr>
          <w:p w:rsidR="00844C20" w:rsidRPr="00A86C7E" w:rsidP="005C14D4">
            <w:pPr>
              <w:bidi w:val="0"/>
              <w:jc w:val="center"/>
              <w:rPr>
                <w:rFonts w:ascii="Arial Narrow" w:hAnsi="Arial Narrow"/>
                <w:b/>
                <w:bCs/>
                <w:color w:val="000000"/>
                <w:sz w:val="14"/>
                <w:szCs w:val="14"/>
              </w:rPr>
            </w:pPr>
            <w:r w:rsidRPr="00A86C7E">
              <w:rPr>
                <w:rFonts w:ascii="Arial Narrow" w:hAnsi="Arial Narrow"/>
                <w:b/>
                <w:bCs/>
                <w:color w:val="000000"/>
                <w:sz w:val="14"/>
                <w:szCs w:val="14"/>
                <w:lang w:val="en-US"/>
              </w:rPr>
              <w:t>[A+B]</w:t>
            </w:r>
          </w:p>
        </w:tc>
        <w:tc>
          <w:tcPr>
            <w:tcW w:w="1420" w:type="dxa"/>
            <w:tcBorders>
              <w:top w:val="single" w:sz="8" w:space="0" w:color="auto"/>
              <w:left w:val="nil"/>
              <w:bottom w:val="single" w:sz="8" w:space="0" w:color="auto"/>
              <w:right w:val="single" w:sz="8" w:space="0" w:color="000000"/>
            </w:tcBorders>
            <w:textDirection w:val="lrTb"/>
            <w:vAlign w:val="center"/>
          </w:tcPr>
          <w:p w:rsidR="00844C20" w:rsidRPr="00A86C7E" w:rsidP="005C14D4">
            <w:pPr>
              <w:bidi w:val="0"/>
              <w:jc w:val="center"/>
              <w:rPr>
                <w:rFonts w:ascii="Arial Narrow" w:hAnsi="Arial Narrow"/>
                <w:b/>
                <w:bCs/>
                <w:color w:val="000000"/>
                <w:sz w:val="14"/>
                <w:szCs w:val="14"/>
              </w:rPr>
            </w:pPr>
            <w:r w:rsidRPr="00A86C7E">
              <w:rPr>
                <w:rFonts w:ascii="Arial Narrow" w:hAnsi="Arial Narrow" w:cs="Arial Narrow"/>
                <w:b/>
                <w:bCs/>
                <w:color w:val="000000"/>
                <w:sz w:val="14"/>
                <w:szCs w:val="14"/>
              </w:rPr>
              <w:t>1 141,57</w:t>
            </w:r>
          </w:p>
        </w:tc>
        <w:tc>
          <w:tcPr>
            <w:tcW w:w="1420" w:type="dxa"/>
            <w:tcBorders>
              <w:top w:val="single" w:sz="8" w:space="0" w:color="auto"/>
              <w:left w:val="nil"/>
              <w:bottom w:val="single" w:sz="8" w:space="0" w:color="auto"/>
              <w:right w:val="single" w:sz="8" w:space="0" w:color="000000"/>
            </w:tcBorders>
            <w:shd w:val="clear" w:color="000000" w:fill="D8D8D8"/>
            <w:textDirection w:val="lrTb"/>
            <w:vAlign w:val="center"/>
          </w:tcPr>
          <w:p w:rsidR="00844C20" w:rsidRPr="00A86C7E" w:rsidP="005C14D4">
            <w:pPr>
              <w:bidi w:val="0"/>
              <w:spacing w:line="288" w:lineRule="auto"/>
              <w:jc w:val="center"/>
              <w:rPr>
                <w:rFonts w:ascii="Arial Narrow" w:hAnsi="Arial Narrow"/>
                <w:b/>
                <w:bCs/>
                <w:color w:val="000000"/>
                <w:sz w:val="14"/>
                <w:szCs w:val="14"/>
                <w:lang w:val="en-US"/>
              </w:rPr>
            </w:pPr>
            <w:r w:rsidRPr="00A86C7E">
              <w:rPr>
                <w:rFonts w:ascii="Arial Narrow" w:hAnsi="Arial Narrow"/>
                <w:b/>
                <w:bCs/>
                <w:color w:val="000000"/>
                <w:sz w:val="14"/>
                <w:szCs w:val="14"/>
                <w:lang w:val="en-US"/>
              </w:rPr>
              <w:t>[A+B] z I.</w:t>
            </w:r>
          </w:p>
          <w:p w:rsidR="00844C20" w:rsidRPr="00A86C7E" w:rsidP="005C14D4">
            <w:pPr>
              <w:bidi w:val="0"/>
              <w:spacing w:line="288" w:lineRule="auto"/>
              <w:jc w:val="center"/>
              <w:rPr>
                <w:rFonts w:ascii="Arial Narrow" w:hAnsi="Arial Narrow"/>
                <w:b/>
                <w:bCs/>
                <w:color w:val="000000"/>
                <w:sz w:val="14"/>
                <w:szCs w:val="14"/>
              </w:rPr>
            </w:pPr>
            <w:r w:rsidRPr="00A86C7E">
              <w:rPr>
                <w:rFonts w:ascii="Arial Narrow" w:hAnsi="Arial Narrow"/>
                <w:b/>
                <w:bCs/>
                <w:color w:val="000000"/>
                <w:sz w:val="14"/>
                <w:szCs w:val="14"/>
                <w:lang w:val="en-US"/>
              </w:rPr>
              <w:t>([A+B] z I. - [B])</w:t>
            </w:r>
            <w:r w:rsidRPr="00A86C7E">
              <w:rPr>
                <w:rFonts w:ascii="Arial Narrow" w:hAnsi="Arial Narrow" w:cs="Arial Narrow"/>
                <w:color w:val="000000"/>
                <w:sz w:val="14"/>
                <w:szCs w:val="14"/>
                <w:vertAlign w:val="superscript"/>
              </w:rPr>
              <w:t>2</w:t>
            </w:r>
          </w:p>
        </w:tc>
        <w:tc>
          <w:tcPr>
            <w:tcW w:w="1420" w:type="dxa"/>
            <w:tcBorders>
              <w:top w:val="single" w:sz="8" w:space="0" w:color="auto"/>
              <w:left w:val="nil"/>
              <w:bottom w:val="single" w:sz="8" w:space="0" w:color="auto"/>
              <w:right w:val="single" w:sz="8" w:space="0" w:color="auto"/>
            </w:tcBorders>
            <w:textDirection w:val="lrTb"/>
            <w:vAlign w:val="center"/>
          </w:tcPr>
          <w:p w:rsidR="00844C20" w:rsidRPr="00A86C7E" w:rsidP="005C14D4">
            <w:pPr>
              <w:bidi w:val="0"/>
              <w:spacing w:line="288" w:lineRule="auto"/>
              <w:jc w:val="center"/>
              <w:rPr>
                <w:rFonts w:ascii="Arial Narrow" w:hAnsi="Arial Narrow"/>
                <w:b/>
                <w:bCs/>
                <w:color w:val="000000"/>
                <w:sz w:val="14"/>
                <w:szCs w:val="14"/>
              </w:rPr>
            </w:pPr>
            <w:r w:rsidRPr="00A86C7E">
              <w:rPr>
                <w:rFonts w:ascii="Arial Narrow" w:hAnsi="Arial Narrow" w:cs="Arial Narrow"/>
                <w:b/>
                <w:bCs/>
                <w:color w:val="000000"/>
                <w:sz w:val="14"/>
                <w:szCs w:val="14"/>
              </w:rPr>
              <w:t>1 141,57                   (1 134,82)</w:t>
            </w:r>
          </w:p>
        </w:tc>
      </w:tr>
      <w:tr>
        <w:tblPrEx>
          <w:tblW w:w="9120" w:type="dxa"/>
          <w:jc w:val="center"/>
          <w:tblCellMar>
            <w:left w:w="70" w:type="dxa"/>
            <w:right w:w="70" w:type="dxa"/>
          </w:tblCellMar>
          <w:tblLook w:val="04A0"/>
        </w:tblPrEx>
        <w:trPr>
          <w:trHeight w:val="539"/>
          <w:jc w:val="center"/>
        </w:trPr>
        <w:tc>
          <w:tcPr>
            <w:tcW w:w="3440" w:type="dxa"/>
            <w:tcBorders>
              <w:top w:val="nil"/>
              <w:left w:val="single" w:sz="8" w:space="0" w:color="auto"/>
              <w:bottom w:val="single" w:sz="8" w:space="0" w:color="000000"/>
              <w:right w:val="single" w:sz="8" w:space="0" w:color="000000"/>
            </w:tcBorders>
            <w:textDirection w:val="lrTb"/>
            <w:vAlign w:val="center"/>
          </w:tcPr>
          <w:p w:rsidR="00844C20" w:rsidRPr="00A86C7E" w:rsidP="005C14D4">
            <w:pPr>
              <w:bidi w:val="0"/>
              <w:rPr>
                <w:rFonts w:ascii="Arial Narrow" w:hAnsi="Arial Narrow"/>
                <w:color w:val="000000"/>
                <w:sz w:val="14"/>
                <w:szCs w:val="14"/>
              </w:rPr>
            </w:pPr>
            <w:r w:rsidRPr="00801DE1" w:rsidR="00801DE1">
              <w:rPr>
                <w:rFonts w:ascii="Arial Narrow" w:hAnsi="Arial Narrow"/>
                <w:color w:val="000000"/>
                <w:sz w:val="14"/>
                <w:szCs w:val="14"/>
              </w:rPr>
              <w:t xml:space="preserve">D] </w:t>
            </w:r>
            <w:r w:rsidR="00801DE1">
              <w:rPr>
                <w:rFonts w:ascii="Arial Narrow" w:hAnsi="Arial Narrow"/>
                <w:color w:val="000000"/>
                <w:sz w:val="14"/>
                <w:szCs w:val="14"/>
              </w:rPr>
              <w:t>poistné</w:t>
            </w:r>
            <w:r w:rsidRPr="00A86C7E">
              <w:rPr>
                <w:rFonts w:ascii="Arial Narrow" w:hAnsi="Arial Narrow"/>
                <w:color w:val="000000"/>
                <w:sz w:val="14"/>
                <w:szCs w:val="14"/>
              </w:rPr>
              <w:t xml:space="preserve"> zamestnanca</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spacing w:line="288" w:lineRule="auto"/>
              <w:jc w:val="center"/>
              <w:rPr>
                <w:rFonts w:ascii="Arial Narrow" w:hAnsi="Arial Narrow"/>
                <w:color w:val="000000"/>
                <w:sz w:val="14"/>
                <w:szCs w:val="14"/>
              </w:rPr>
            </w:pPr>
            <w:r w:rsidRPr="00A86C7E">
              <w:rPr>
                <w:rFonts w:ascii="Arial Narrow" w:hAnsi="Arial Narrow" w:cs="Arial Narrow"/>
                <w:color w:val="000000"/>
                <w:sz w:val="14"/>
                <w:szCs w:val="14"/>
              </w:rPr>
              <w:t>13,4 % z [(A)]             t.j. 9,4% SO a 4% ZO</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s="Arial Narrow"/>
                <w:color w:val="000000"/>
                <w:sz w:val="14"/>
                <w:szCs w:val="14"/>
              </w:rPr>
              <w:t>113,13</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spacing w:line="288" w:lineRule="auto"/>
              <w:jc w:val="center"/>
              <w:rPr>
                <w:rFonts w:ascii="Arial Narrow" w:hAnsi="Arial Narrow"/>
                <w:color w:val="000000"/>
                <w:sz w:val="14"/>
                <w:szCs w:val="14"/>
              </w:rPr>
            </w:pPr>
            <w:r w:rsidRPr="00A86C7E">
              <w:rPr>
                <w:rFonts w:ascii="Arial Narrow" w:hAnsi="Arial Narrow" w:cs="Arial Narrow"/>
                <w:color w:val="000000"/>
                <w:sz w:val="14"/>
                <w:szCs w:val="14"/>
              </w:rPr>
              <w:t>28 % z [(C)]             t.j. 19% SO a 9% ZO</w:t>
            </w:r>
          </w:p>
        </w:tc>
        <w:tc>
          <w:tcPr>
            <w:tcW w:w="1420" w:type="dxa"/>
            <w:tcBorders>
              <w:top w:val="nil"/>
              <w:left w:val="nil"/>
              <w:bottom w:val="single" w:sz="8" w:space="0" w:color="000000"/>
              <w:right w:val="single" w:sz="8" w:space="0" w:color="auto"/>
            </w:tcBorders>
            <w:textDirection w:val="lrTb"/>
            <w:vAlign w:val="center"/>
          </w:tcPr>
          <w:p w:rsidR="00844C20" w:rsidRPr="00A86C7E" w:rsidP="005C14D4">
            <w:pPr>
              <w:bidi w:val="0"/>
              <w:spacing w:line="288" w:lineRule="auto"/>
              <w:jc w:val="center"/>
              <w:rPr>
                <w:rFonts w:ascii="Arial Narrow" w:hAnsi="Arial Narrow"/>
                <w:color w:val="000000"/>
                <w:sz w:val="14"/>
                <w:szCs w:val="14"/>
              </w:rPr>
            </w:pPr>
            <w:r w:rsidRPr="00A86C7E">
              <w:rPr>
                <w:rFonts w:ascii="Arial Narrow" w:hAnsi="Arial Narrow" w:cs="Arial Narrow"/>
                <w:color w:val="000000"/>
                <w:sz w:val="14"/>
                <w:szCs w:val="14"/>
              </w:rPr>
              <w:t>317,74                      t.j. 215,61 + 102,13</w:t>
            </w:r>
          </w:p>
        </w:tc>
      </w:tr>
      <w:tr>
        <w:tblPrEx>
          <w:tblW w:w="9120" w:type="dxa"/>
          <w:jc w:val="center"/>
          <w:tblCellMar>
            <w:left w:w="70" w:type="dxa"/>
            <w:right w:w="70" w:type="dxa"/>
          </w:tblCellMar>
          <w:tblLook w:val="04A0"/>
        </w:tblPrEx>
        <w:trPr>
          <w:trHeight w:val="270"/>
          <w:jc w:val="center"/>
        </w:trPr>
        <w:tc>
          <w:tcPr>
            <w:tcW w:w="3440" w:type="dxa"/>
            <w:tcBorders>
              <w:top w:val="nil"/>
              <w:left w:val="single" w:sz="8" w:space="0" w:color="auto"/>
              <w:bottom w:val="single" w:sz="8" w:space="0" w:color="000000"/>
              <w:right w:val="single" w:sz="8" w:space="0" w:color="000000"/>
            </w:tcBorders>
            <w:textDirection w:val="lrTb"/>
            <w:vAlign w:val="center"/>
          </w:tcPr>
          <w:p w:rsidR="00844C20" w:rsidRPr="00A86C7E" w:rsidP="005C14D4">
            <w:pPr>
              <w:bidi w:val="0"/>
              <w:rPr>
                <w:rFonts w:ascii="Arial Narrow" w:hAnsi="Arial Narrow"/>
                <w:color w:val="000000"/>
                <w:sz w:val="14"/>
                <w:szCs w:val="14"/>
              </w:rPr>
            </w:pPr>
            <w:r w:rsidRPr="00A86C7E">
              <w:rPr>
                <w:rFonts w:ascii="Arial Narrow" w:hAnsi="Arial Narrow"/>
                <w:color w:val="000000"/>
                <w:sz w:val="14"/>
                <w:szCs w:val="14"/>
              </w:rPr>
              <w:t>E] základ dane</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lang w:val="en-US"/>
              </w:rPr>
              <w:t>[A-D]</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lang w:val="en-US"/>
              </w:rPr>
              <w:t>731,25</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lang w:val="en-US"/>
              </w:rPr>
              <w:t>[(C)]</w:t>
            </w:r>
          </w:p>
        </w:tc>
        <w:tc>
          <w:tcPr>
            <w:tcW w:w="1420" w:type="dxa"/>
            <w:tcBorders>
              <w:top w:val="nil"/>
              <w:left w:val="nil"/>
              <w:bottom w:val="single" w:sz="8" w:space="0" w:color="000000"/>
              <w:right w:val="single" w:sz="8" w:space="0" w:color="auto"/>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s="Arial Narrow"/>
                <w:color w:val="000000"/>
                <w:sz w:val="14"/>
                <w:szCs w:val="14"/>
              </w:rPr>
              <w:t>1 134,82</w:t>
            </w:r>
          </w:p>
        </w:tc>
      </w:tr>
      <w:tr>
        <w:tblPrEx>
          <w:tblW w:w="9120" w:type="dxa"/>
          <w:jc w:val="center"/>
          <w:tblCellMar>
            <w:left w:w="70" w:type="dxa"/>
            <w:right w:w="70" w:type="dxa"/>
          </w:tblCellMar>
          <w:tblLook w:val="04A0"/>
        </w:tblPrEx>
        <w:trPr>
          <w:trHeight w:val="270"/>
          <w:jc w:val="center"/>
        </w:trPr>
        <w:tc>
          <w:tcPr>
            <w:tcW w:w="3440" w:type="dxa"/>
            <w:tcBorders>
              <w:top w:val="nil"/>
              <w:left w:val="single" w:sz="8" w:space="0" w:color="auto"/>
              <w:bottom w:val="single" w:sz="8" w:space="0" w:color="000000"/>
              <w:right w:val="single" w:sz="8" w:space="0" w:color="000000"/>
            </w:tcBorders>
            <w:textDirection w:val="lrTb"/>
            <w:vAlign w:val="center"/>
          </w:tcPr>
          <w:p w:rsidR="00844C20" w:rsidRPr="00A86C7E" w:rsidP="005C14D4">
            <w:pPr>
              <w:bidi w:val="0"/>
              <w:rPr>
                <w:rFonts w:ascii="Arial Narrow" w:hAnsi="Arial Narrow"/>
                <w:color w:val="000000"/>
                <w:sz w:val="14"/>
                <w:szCs w:val="14"/>
              </w:rPr>
            </w:pPr>
            <w:r w:rsidRPr="00A86C7E">
              <w:rPr>
                <w:rFonts w:ascii="Arial Narrow" w:hAnsi="Arial Narrow"/>
                <w:color w:val="000000"/>
                <w:sz w:val="14"/>
                <w:szCs w:val="14"/>
              </w:rPr>
              <w:t>F] nezdaniteľná časť základu dane</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s="Arial Narrow"/>
                <w:color w:val="000000"/>
                <w:sz w:val="14"/>
                <w:szCs w:val="14"/>
              </w:rPr>
              <w:t>1,6 * ŽM</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s="Arial Narrow"/>
                <w:color w:val="000000"/>
                <w:sz w:val="14"/>
                <w:szCs w:val="14"/>
              </w:rPr>
              <w:t>303,44</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s="Arial Narrow"/>
                <w:color w:val="000000"/>
                <w:sz w:val="14"/>
                <w:szCs w:val="14"/>
              </w:rPr>
              <w:t>1,5 * ŽM</w:t>
            </w:r>
          </w:p>
        </w:tc>
        <w:tc>
          <w:tcPr>
            <w:tcW w:w="1420" w:type="dxa"/>
            <w:tcBorders>
              <w:top w:val="nil"/>
              <w:left w:val="nil"/>
              <w:bottom w:val="single" w:sz="8" w:space="0" w:color="000000"/>
              <w:right w:val="single" w:sz="8" w:space="0" w:color="auto"/>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s="Arial Narrow"/>
                <w:color w:val="000000"/>
                <w:sz w:val="14"/>
                <w:szCs w:val="14"/>
              </w:rPr>
              <w:t>284,48</w:t>
            </w:r>
          </w:p>
        </w:tc>
      </w:tr>
      <w:tr>
        <w:tblPrEx>
          <w:tblW w:w="9120" w:type="dxa"/>
          <w:jc w:val="center"/>
          <w:tblCellMar>
            <w:left w:w="70" w:type="dxa"/>
            <w:right w:w="70" w:type="dxa"/>
          </w:tblCellMar>
          <w:tblLook w:val="04A0"/>
        </w:tblPrEx>
        <w:trPr>
          <w:trHeight w:val="270"/>
          <w:jc w:val="center"/>
        </w:trPr>
        <w:tc>
          <w:tcPr>
            <w:tcW w:w="3440" w:type="dxa"/>
            <w:tcBorders>
              <w:top w:val="nil"/>
              <w:left w:val="single" w:sz="8" w:space="0" w:color="auto"/>
              <w:bottom w:val="single" w:sz="8" w:space="0" w:color="000000"/>
              <w:right w:val="single" w:sz="8" w:space="0" w:color="000000"/>
            </w:tcBorders>
            <w:textDirection w:val="lrTb"/>
            <w:vAlign w:val="center"/>
          </w:tcPr>
          <w:p w:rsidR="00844C20" w:rsidRPr="00A86C7E" w:rsidP="005C14D4">
            <w:pPr>
              <w:bidi w:val="0"/>
              <w:rPr>
                <w:rFonts w:ascii="Arial Narrow" w:hAnsi="Arial Narrow"/>
                <w:color w:val="000000"/>
                <w:sz w:val="14"/>
                <w:szCs w:val="14"/>
              </w:rPr>
            </w:pPr>
            <w:r w:rsidRPr="00A86C7E">
              <w:rPr>
                <w:rFonts w:ascii="Arial Narrow" w:hAnsi="Arial Narrow"/>
                <w:color w:val="000000"/>
                <w:sz w:val="14"/>
                <w:szCs w:val="14"/>
              </w:rPr>
              <w:t>G] zdaniteľný príjem</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lang w:val="en-US"/>
              </w:rPr>
              <w:t>[E-F]</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lang w:val="en-US"/>
              </w:rPr>
              <w:t>427,81</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lang w:val="en-US"/>
              </w:rPr>
              <w:t>[E-F]</w:t>
            </w:r>
          </w:p>
        </w:tc>
        <w:tc>
          <w:tcPr>
            <w:tcW w:w="1420" w:type="dxa"/>
            <w:tcBorders>
              <w:top w:val="nil"/>
              <w:left w:val="nil"/>
              <w:bottom w:val="single" w:sz="8" w:space="0" w:color="000000"/>
              <w:right w:val="single" w:sz="8" w:space="0" w:color="auto"/>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s="Arial Narrow"/>
                <w:color w:val="000000"/>
                <w:sz w:val="14"/>
                <w:szCs w:val="14"/>
              </w:rPr>
              <w:t>850,34</w:t>
            </w:r>
          </w:p>
        </w:tc>
      </w:tr>
      <w:tr>
        <w:tblPrEx>
          <w:tblW w:w="9120" w:type="dxa"/>
          <w:jc w:val="center"/>
          <w:tblCellMar>
            <w:left w:w="70" w:type="dxa"/>
            <w:right w:w="70" w:type="dxa"/>
          </w:tblCellMar>
          <w:tblLook w:val="04A0"/>
        </w:tblPrEx>
        <w:trPr>
          <w:trHeight w:val="270"/>
          <w:jc w:val="center"/>
        </w:trPr>
        <w:tc>
          <w:tcPr>
            <w:tcW w:w="3440" w:type="dxa"/>
            <w:tcBorders>
              <w:top w:val="nil"/>
              <w:left w:val="single" w:sz="8" w:space="0" w:color="auto"/>
              <w:bottom w:val="single" w:sz="8" w:space="0" w:color="000000"/>
              <w:right w:val="single" w:sz="8" w:space="0" w:color="000000"/>
            </w:tcBorders>
            <w:textDirection w:val="lrTb"/>
            <w:vAlign w:val="center"/>
          </w:tcPr>
          <w:p w:rsidR="00844C20" w:rsidRPr="00A86C7E" w:rsidP="005C14D4">
            <w:pPr>
              <w:bidi w:val="0"/>
              <w:rPr>
                <w:rFonts w:ascii="Arial Narrow" w:hAnsi="Arial Narrow"/>
                <w:color w:val="000000"/>
                <w:sz w:val="14"/>
                <w:szCs w:val="14"/>
              </w:rPr>
            </w:pPr>
            <w:r w:rsidRPr="00A86C7E">
              <w:rPr>
                <w:rFonts w:ascii="Arial Narrow" w:hAnsi="Arial Narrow"/>
                <w:color w:val="000000"/>
                <w:sz w:val="14"/>
                <w:szCs w:val="14"/>
              </w:rPr>
              <w:t>H] daň z príjmu FO</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s="Arial Narrow"/>
                <w:color w:val="000000"/>
                <w:sz w:val="14"/>
                <w:szCs w:val="14"/>
              </w:rPr>
              <w:t>19 % z [G]</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s="Arial Narrow"/>
                <w:color w:val="000000"/>
                <w:sz w:val="14"/>
                <w:szCs w:val="14"/>
              </w:rPr>
              <w:t>81,28</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s="Arial Narrow"/>
                <w:color w:val="000000"/>
                <w:sz w:val="14"/>
                <w:szCs w:val="14"/>
              </w:rPr>
              <w:t>19 % z [G]</w:t>
            </w:r>
          </w:p>
        </w:tc>
        <w:tc>
          <w:tcPr>
            <w:tcW w:w="1420" w:type="dxa"/>
            <w:tcBorders>
              <w:top w:val="nil"/>
              <w:left w:val="nil"/>
              <w:bottom w:val="single" w:sz="8" w:space="0" w:color="000000"/>
              <w:right w:val="single" w:sz="8" w:space="0" w:color="auto"/>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s="Arial Narrow"/>
                <w:color w:val="000000"/>
                <w:sz w:val="14"/>
                <w:szCs w:val="14"/>
              </w:rPr>
              <w:t>161,57</w:t>
            </w:r>
          </w:p>
        </w:tc>
      </w:tr>
      <w:tr>
        <w:tblPrEx>
          <w:tblW w:w="9120" w:type="dxa"/>
          <w:jc w:val="center"/>
          <w:tblCellMar>
            <w:left w:w="70" w:type="dxa"/>
            <w:right w:w="70" w:type="dxa"/>
          </w:tblCellMar>
          <w:tblLook w:val="04A0"/>
        </w:tblPrEx>
        <w:trPr>
          <w:trHeight w:val="270"/>
          <w:jc w:val="center"/>
        </w:trPr>
        <w:tc>
          <w:tcPr>
            <w:tcW w:w="3440" w:type="dxa"/>
            <w:tcBorders>
              <w:top w:val="single" w:sz="8" w:space="0" w:color="000000"/>
              <w:left w:val="single" w:sz="8" w:space="0" w:color="auto"/>
              <w:bottom w:val="single" w:sz="8" w:space="0" w:color="000000"/>
              <w:right w:val="single" w:sz="8" w:space="0" w:color="000000"/>
            </w:tcBorders>
            <w:textDirection w:val="lrTb"/>
            <w:vAlign w:val="center"/>
          </w:tcPr>
          <w:p w:rsidR="00844C20" w:rsidRPr="00A86C7E" w:rsidP="005C14D4">
            <w:pPr>
              <w:bidi w:val="0"/>
              <w:rPr>
                <w:rFonts w:ascii="Arial Narrow" w:hAnsi="Arial Narrow"/>
                <w:b/>
                <w:bCs/>
                <w:color w:val="000000"/>
                <w:sz w:val="14"/>
                <w:szCs w:val="14"/>
              </w:rPr>
            </w:pPr>
            <w:r w:rsidRPr="00A86C7E">
              <w:rPr>
                <w:rFonts w:ascii="Arial Narrow" w:hAnsi="Arial Narrow"/>
                <w:b/>
                <w:bCs/>
                <w:color w:val="000000"/>
                <w:sz w:val="14"/>
                <w:szCs w:val="14"/>
              </w:rPr>
              <w:t>I] čistá mzda</w:t>
            </w:r>
          </w:p>
        </w:tc>
        <w:tc>
          <w:tcPr>
            <w:tcW w:w="1420" w:type="dxa"/>
            <w:tcBorders>
              <w:top w:val="single" w:sz="8" w:space="0" w:color="000000"/>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b/>
                <w:bCs/>
                <w:color w:val="000000"/>
                <w:sz w:val="14"/>
                <w:szCs w:val="14"/>
              </w:rPr>
            </w:pPr>
            <w:r w:rsidRPr="00A86C7E">
              <w:rPr>
                <w:rFonts w:ascii="Arial Narrow" w:hAnsi="Arial Narrow"/>
                <w:b/>
                <w:bCs/>
                <w:color w:val="000000"/>
                <w:sz w:val="14"/>
                <w:szCs w:val="14"/>
                <w:lang w:val="en-US"/>
              </w:rPr>
              <w:t>[E-H]</w:t>
            </w:r>
          </w:p>
        </w:tc>
        <w:tc>
          <w:tcPr>
            <w:tcW w:w="1420" w:type="dxa"/>
            <w:tcBorders>
              <w:top w:val="single" w:sz="8" w:space="0" w:color="000000"/>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b/>
                <w:bCs/>
                <w:color w:val="000000"/>
                <w:sz w:val="14"/>
                <w:szCs w:val="14"/>
              </w:rPr>
            </w:pPr>
            <w:r w:rsidRPr="00A86C7E">
              <w:rPr>
                <w:rFonts w:ascii="Arial Narrow" w:hAnsi="Arial Narrow"/>
                <w:b/>
                <w:bCs/>
                <w:color w:val="000000"/>
                <w:sz w:val="14"/>
                <w:szCs w:val="14"/>
                <w:lang w:val="en-US"/>
              </w:rPr>
              <w:t>649,97</w:t>
            </w:r>
          </w:p>
        </w:tc>
        <w:tc>
          <w:tcPr>
            <w:tcW w:w="1420" w:type="dxa"/>
            <w:tcBorders>
              <w:top w:val="single" w:sz="8" w:space="0" w:color="000000"/>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b/>
                <w:bCs/>
                <w:color w:val="000000"/>
                <w:sz w:val="14"/>
                <w:szCs w:val="14"/>
              </w:rPr>
            </w:pPr>
            <w:r w:rsidRPr="00A86C7E">
              <w:rPr>
                <w:rFonts w:ascii="Arial Narrow" w:hAnsi="Arial Narrow"/>
                <w:b/>
                <w:bCs/>
                <w:color w:val="000000"/>
                <w:sz w:val="14"/>
                <w:szCs w:val="14"/>
                <w:lang w:val="en-US"/>
              </w:rPr>
              <w:t>[(C)-D-H]</w:t>
            </w:r>
          </w:p>
        </w:tc>
        <w:tc>
          <w:tcPr>
            <w:tcW w:w="1420" w:type="dxa"/>
            <w:tcBorders>
              <w:top w:val="single" w:sz="8" w:space="0" w:color="000000"/>
              <w:left w:val="nil"/>
              <w:bottom w:val="single" w:sz="8" w:space="0" w:color="000000"/>
              <w:right w:val="single" w:sz="8" w:space="0" w:color="auto"/>
            </w:tcBorders>
            <w:textDirection w:val="lrTb"/>
            <w:vAlign w:val="center"/>
          </w:tcPr>
          <w:p w:rsidR="00844C20" w:rsidRPr="00A86C7E" w:rsidP="005C14D4">
            <w:pPr>
              <w:bidi w:val="0"/>
              <w:jc w:val="center"/>
              <w:rPr>
                <w:rFonts w:ascii="Arial Narrow" w:hAnsi="Arial Narrow"/>
                <w:b/>
                <w:bCs/>
                <w:color w:val="000000"/>
                <w:sz w:val="14"/>
                <w:szCs w:val="14"/>
              </w:rPr>
            </w:pPr>
            <w:r w:rsidRPr="00A86C7E">
              <w:rPr>
                <w:rFonts w:ascii="Arial Narrow" w:hAnsi="Arial Narrow" w:cs="Arial Narrow"/>
                <w:b/>
                <w:bCs/>
                <w:color w:val="000000"/>
                <w:sz w:val="14"/>
                <w:szCs w:val="14"/>
              </w:rPr>
              <w:t>655,51</w:t>
            </w:r>
          </w:p>
        </w:tc>
      </w:tr>
      <w:tr>
        <w:tblPrEx>
          <w:tblW w:w="9120" w:type="dxa"/>
          <w:jc w:val="center"/>
          <w:tblCellMar>
            <w:left w:w="70" w:type="dxa"/>
            <w:right w:w="70" w:type="dxa"/>
          </w:tblCellMar>
          <w:tblLook w:val="04A0"/>
        </w:tblPrEx>
        <w:trPr>
          <w:trHeight w:val="270"/>
          <w:jc w:val="center"/>
        </w:trPr>
        <w:tc>
          <w:tcPr>
            <w:tcW w:w="9120" w:type="dxa"/>
            <w:gridSpan w:val="5"/>
            <w:tcBorders>
              <w:top w:val="single" w:sz="8" w:space="0" w:color="000000"/>
              <w:left w:val="none" w:sz="0" w:space="0" w:color="auto"/>
              <w:bottom w:val="none" w:sz="0" w:space="0" w:color="auto"/>
              <w:right w:val="none" w:sz="0" w:space="0" w:color="auto"/>
            </w:tcBorders>
            <w:textDirection w:val="lrTb"/>
            <w:vAlign w:val="center"/>
          </w:tcPr>
          <w:p w:rsidR="00844C20" w:rsidRPr="00A86C7E" w:rsidP="005C14D4">
            <w:pPr>
              <w:bidi w:val="0"/>
              <w:jc w:val="both"/>
              <w:rPr>
                <w:rFonts w:ascii="Arial Narrow" w:hAnsi="Arial Narrow" w:cs="Arial Narrow"/>
                <w:bCs/>
                <w:color w:val="000000"/>
                <w:sz w:val="16"/>
                <w:szCs w:val="16"/>
                <w:vertAlign w:val="superscript"/>
              </w:rPr>
            </w:pPr>
            <w:r w:rsidRPr="00A86C7E">
              <w:rPr>
                <w:rFonts w:ascii="Arial Narrow" w:hAnsi="Arial Narrow" w:cs="Arial Narrow"/>
                <w:bCs/>
                <w:color w:val="000000"/>
                <w:sz w:val="16"/>
                <w:szCs w:val="16"/>
                <w:vertAlign w:val="superscript"/>
              </w:rPr>
              <w:t>1</w:t>
            </w:r>
            <w:r w:rsidRPr="00A86C7E">
              <w:rPr>
                <w:rFonts w:ascii="Arial Narrow" w:hAnsi="Arial Narrow" w:cs="Arial Narrow"/>
                <w:bCs/>
                <w:color w:val="000000"/>
                <w:sz w:val="16"/>
                <w:szCs w:val="16"/>
              </w:rPr>
              <w:t xml:space="preserve"> uvedené sumy sú zaokrúhlené podľa súčasnej legislatívy</w:t>
            </w:r>
          </w:p>
        </w:tc>
      </w:tr>
      <w:tr>
        <w:tblPrEx>
          <w:tblW w:w="9120" w:type="dxa"/>
          <w:jc w:val="center"/>
          <w:tblCellMar>
            <w:left w:w="70" w:type="dxa"/>
            <w:right w:w="70" w:type="dxa"/>
          </w:tblCellMar>
          <w:tblLook w:val="04A0"/>
        </w:tblPrEx>
        <w:trPr>
          <w:trHeight w:val="270"/>
          <w:jc w:val="center"/>
        </w:trPr>
        <w:tc>
          <w:tcPr>
            <w:tcW w:w="9120" w:type="dxa"/>
            <w:gridSpan w:val="5"/>
            <w:tcBorders>
              <w:top w:val="none" w:sz="0" w:space="0" w:color="auto"/>
              <w:left w:val="none" w:sz="0" w:space="0" w:color="auto"/>
              <w:bottom w:val="none" w:sz="0" w:space="0" w:color="auto"/>
              <w:right w:val="none" w:sz="0" w:space="0" w:color="auto"/>
            </w:tcBorders>
            <w:textDirection w:val="lrTb"/>
            <w:vAlign w:val="top"/>
          </w:tcPr>
          <w:p w:rsidR="00844C20" w:rsidRPr="00A86C7E" w:rsidP="005C14D4">
            <w:pPr>
              <w:bidi w:val="0"/>
              <w:ind w:left="113" w:hanging="113"/>
              <w:jc w:val="both"/>
              <w:rPr>
                <w:rFonts w:ascii="Arial Narrow" w:hAnsi="Arial Narrow" w:cs="Arial Narrow"/>
                <w:bCs/>
                <w:color w:val="000000"/>
                <w:sz w:val="16"/>
                <w:szCs w:val="16"/>
                <w:vertAlign w:val="superscript"/>
              </w:rPr>
            </w:pPr>
            <w:r w:rsidRPr="00A86C7E">
              <w:rPr>
                <w:rFonts w:ascii="Arial Narrow" w:hAnsi="Arial Narrow" w:cs="Arial Narrow"/>
                <w:bCs/>
                <w:color w:val="000000"/>
                <w:sz w:val="16"/>
                <w:szCs w:val="16"/>
                <w:vertAlign w:val="superscript"/>
              </w:rPr>
              <w:t>2</w:t>
            </w:r>
            <w:r w:rsidRPr="00A86C7E">
              <w:rPr>
                <w:rFonts w:ascii="Arial Narrow" w:hAnsi="Arial Narrow" w:cs="Arial Narrow"/>
                <w:bCs/>
                <w:color w:val="000000"/>
                <w:sz w:val="16"/>
                <w:szCs w:val="16"/>
              </w:rPr>
              <w:t xml:space="preserve"> podľa návrhu sa superhrubá mzda rovná súčasným nákladom práce zníženým o úrazového poistenie - 0,8% hrubej mzdy = 0,592% nákladov práce</w:t>
            </w:r>
          </w:p>
          <w:p w:rsidR="00844C20" w:rsidRPr="00A86C7E" w:rsidP="005C14D4">
            <w:pPr>
              <w:bidi w:val="0"/>
              <w:ind w:left="113" w:hanging="113"/>
              <w:jc w:val="both"/>
              <w:rPr>
                <w:rFonts w:ascii="Arial Narrow" w:hAnsi="Arial Narrow" w:cs="Arial Narrow"/>
                <w:bCs/>
                <w:color w:val="000000"/>
                <w:sz w:val="16"/>
                <w:szCs w:val="16"/>
                <w:vertAlign w:val="superscript"/>
              </w:rPr>
            </w:pPr>
          </w:p>
        </w:tc>
      </w:tr>
      <w:tr>
        <w:tblPrEx>
          <w:tblW w:w="9120" w:type="dxa"/>
          <w:jc w:val="center"/>
          <w:tblCellMar>
            <w:left w:w="70" w:type="dxa"/>
            <w:right w:w="70" w:type="dxa"/>
          </w:tblCellMar>
          <w:tblLook w:val="04A0"/>
        </w:tblPrEx>
        <w:trPr>
          <w:trHeight w:val="340"/>
          <w:jc w:val="center"/>
        </w:trPr>
        <w:tc>
          <w:tcPr>
            <w:tcW w:w="9120" w:type="dxa"/>
            <w:gridSpan w:val="5"/>
            <w:tcBorders>
              <w:top w:val="single" w:sz="8" w:space="0" w:color="auto"/>
              <w:left w:val="single" w:sz="8" w:space="0" w:color="auto"/>
              <w:bottom w:val="single" w:sz="8" w:space="0" w:color="000000"/>
              <w:right w:val="single" w:sz="8" w:space="0" w:color="000000"/>
            </w:tcBorders>
            <w:shd w:val="clear" w:color="000000" w:fill="000000"/>
            <w:textDirection w:val="lrTb"/>
            <w:vAlign w:val="center"/>
          </w:tcPr>
          <w:p w:rsidR="00844C20" w:rsidRPr="00A86C7E" w:rsidP="005C14D4">
            <w:pPr>
              <w:bidi w:val="0"/>
              <w:rPr>
                <w:rFonts w:ascii="Arial Narrow" w:hAnsi="Arial Narrow"/>
                <w:b/>
                <w:bCs/>
                <w:color w:val="FFFFFF"/>
                <w:sz w:val="20"/>
                <w:szCs w:val="20"/>
              </w:rPr>
            </w:pPr>
            <w:r w:rsidRPr="00A86C7E">
              <w:rPr>
                <w:rFonts w:ascii="Arial Narrow" w:hAnsi="Arial Narrow" w:cs="Arial Narrow"/>
                <w:b/>
                <w:bCs/>
                <w:color w:val="FFFFFF"/>
                <w:sz w:val="20"/>
                <w:szCs w:val="20"/>
              </w:rPr>
              <w:t>Ilustratívny príklad výpočtu čistých prí</w:t>
            </w:r>
            <w:r w:rsidRPr="00801DE1" w:rsidR="00801DE1">
              <w:rPr>
                <w:rFonts w:ascii="Arial Narrow" w:hAnsi="Arial Narrow" w:cs="Arial Narrow"/>
                <w:b/>
                <w:bCs/>
                <w:color w:val="FFFFFF"/>
                <w:sz w:val="20"/>
                <w:szCs w:val="20"/>
              </w:rPr>
              <w:t>jmov pred a po reforme daní, c</w:t>
            </w:r>
            <w:r w:rsidRPr="00A86C7E">
              <w:rPr>
                <w:rFonts w:ascii="Arial Narrow" w:hAnsi="Arial Narrow" w:cs="Arial Narrow"/>
                <w:b/>
                <w:bCs/>
                <w:color w:val="FFFFFF"/>
                <w:sz w:val="20"/>
                <w:szCs w:val="20"/>
              </w:rPr>
              <w:t>l</w:t>
            </w:r>
            <w:r w:rsidR="00801DE1">
              <w:rPr>
                <w:rFonts w:ascii="Arial Narrow" w:hAnsi="Arial Narrow" w:cs="Arial Narrow"/>
                <w:b/>
                <w:bCs/>
                <w:color w:val="FFFFFF"/>
                <w:sz w:val="20"/>
                <w:szCs w:val="20"/>
              </w:rPr>
              <w:t>a</w:t>
            </w:r>
            <w:r w:rsidRPr="00801DE1" w:rsidR="00801DE1">
              <w:rPr>
                <w:rFonts w:ascii="Arial Narrow" w:hAnsi="Arial Narrow" w:cs="Arial Narrow"/>
                <w:b/>
                <w:bCs/>
                <w:color w:val="FFFFFF"/>
                <w:sz w:val="20"/>
                <w:szCs w:val="20"/>
              </w:rPr>
              <w:t xml:space="preserve"> a </w:t>
            </w:r>
            <w:r w:rsidR="00801DE1">
              <w:rPr>
                <w:rFonts w:ascii="Arial Narrow" w:hAnsi="Arial Narrow" w:cs="Arial Narrow"/>
                <w:b/>
                <w:bCs/>
                <w:color w:val="FFFFFF"/>
                <w:sz w:val="20"/>
                <w:szCs w:val="20"/>
              </w:rPr>
              <w:t>poistného</w:t>
            </w:r>
            <w:r w:rsidRPr="00A86C7E">
              <w:rPr>
                <w:rFonts w:ascii="Arial Narrow" w:hAnsi="Arial Narrow" w:cs="Arial Narrow"/>
                <w:b/>
                <w:bCs/>
                <w:color w:val="FFFFFF"/>
                <w:sz w:val="20"/>
                <w:szCs w:val="20"/>
              </w:rPr>
              <w:t xml:space="preserve"> (rok 2012)</w:t>
            </w:r>
          </w:p>
        </w:tc>
      </w:tr>
      <w:tr>
        <w:tblPrEx>
          <w:tblW w:w="9120" w:type="dxa"/>
          <w:jc w:val="center"/>
          <w:tblCellMar>
            <w:left w:w="70" w:type="dxa"/>
            <w:right w:w="70" w:type="dxa"/>
          </w:tblCellMar>
          <w:tblLook w:val="04A0"/>
        </w:tblPrEx>
        <w:trPr>
          <w:trHeight w:val="284"/>
          <w:jc w:val="center"/>
        </w:trPr>
        <w:tc>
          <w:tcPr>
            <w:tcW w:w="3440" w:type="dxa"/>
            <w:vMerge w:val="restart"/>
            <w:tcBorders>
              <w:top w:val="nil"/>
              <w:left w:val="single" w:sz="8" w:space="0" w:color="auto"/>
              <w:bottom w:val="single" w:sz="8" w:space="0" w:color="000000"/>
              <w:right w:val="single" w:sz="8" w:space="0" w:color="000000"/>
            </w:tcBorders>
            <w:shd w:val="clear" w:color="000000" w:fill="BFBFBF"/>
            <w:textDirection w:val="lrTb"/>
            <w:vAlign w:val="top"/>
          </w:tcPr>
          <w:p w:rsidR="00844C20" w:rsidRPr="00A86C7E" w:rsidP="005C14D4">
            <w:pPr>
              <w:bidi w:val="0"/>
              <w:spacing w:before="120"/>
              <w:rPr>
                <w:rFonts w:ascii="Arial Narrow" w:hAnsi="Arial Narrow"/>
                <w:b/>
                <w:bCs/>
                <w:i/>
                <w:color w:val="000000"/>
                <w:sz w:val="16"/>
                <w:szCs w:val="16"/>
              </w:rPr>
            </w:pPr>
            <w:r w:rsidRPr="00A86C7E">
              <w:rPr>
                <w:rFonts w:ascii="Arial Narrow" w:hAnsi="Arial Narrow" w:cs="Arial Narrow"/>
                <w:b/>
                <w:bCs/>
                <w:i/>
                <w:color w:val="000000"/>
                <w:sz w:val="16"/>
                <w:szCs w:val="16"/>
              </w:rPr>
              <w:t>Použité skratky: ZO – zdravotný odvod, SO – sociálny odvod,  ŽM – životné minimum</w:t>
            </w:r>
          </w:p>
        </w:tc>
        <w:tc>
          <w:tcPr>
            <w:tcW w:w="5680" w:type="dxa"/>
            <w:gridSpan w:val="4"/>
            <w:tcBorders>
              <w:top w:val="single" w:sz="8" w:space="0" w:color="000000"/>
              <w:left w:val="nil"/>
              <w:bottom w:val="single" w:sz="8" w:space="0" w:color="000000"/>
              <w:right w:val="single" w:sz="8" w:space="0" w:color="000000"/>
            </w:tcBorders>
            <w:shd w:val="clear" w:color="000000" w:fill="BFBFBF"/>
            <w:textDirection w:val="lrTb"/>
            <w:vAlign w:val="center"/>
          </w:tcPr>
          <w:p w:rsidR="00844C20" w:rsidRPr="00A86C7E" w:rsidP="005C14D4">
            <w:pPr>
              <w:bidi w:val="0"/>
              <w:jc w:val="center"/>
              <w:rPr>
                <w:rFonts w:ascii="Arial Narrow" w:hAnsi="Arial Narrow"/>
                <w:b/>
                <w:bCs/>
                <w:color w:val="000000"/>
                <w:sz w:val="16"/>
                <w:szCs w:val="16"/>
              </w:rPr>
            </w:pPr>
            <w:r w:rsidRPr="00A86C7E">
              <w:rPr>
                <w:rFonts w:ascii="Arial Narrow" w:hAnsi="Arial Narrow" w:cs="Arial Narrow"/>
                <w:b/>
                <w:bCs/>
                <w:color w:val="000000"/>
                <w:sz w:val="16"/>
                <w:szCs w:val="16"/>
              </w:rPr>
              <w:t>Rodina s 2 deťmi, obaja rodičia pracujú, otec príjem = 100% priemernej mzdy, matka 67% priemernej mzdy</w:t>
            </w:r>
            <w:r w:rsidRPr="00A86C7E">
              <w:rPr>
                <w:rFonts w:ascii="Arial Narrow" w:hAnsi="Arial Narrow" w:cs="Arial Narrow"/>
                <w:b/>
                <w:bCs/>
                <w:color w:val="000000"/>
                <w:kern w:val="18"/>
                <w:sz w:val="16"/>
                <w:szCs w:val="16"/>
                <w:vertAlign w:val="superscript"/>
              </w:rPr>
              <w:t>3</w:t>
            </w:r>
          </w:p>
        </w:tc>
      </w:tr>
      <w:tr>
        <w:tblPrEx>
          <w:tblW w:w="9120" w:type="dxa"/>
          <w:jc w:val="center"/>
          <w:tblCellMar>
            <w:left w:w="70" w:type="dxa"/>
            <w:right w:w="70" w:type="dxa"/>
          </w:tblCellMar>
          <w:tblLook w:val="04A0"/>
        </w:tblPrEx>
        <w:trPr>
          <w:trHeight w:val="284"/>
          <w:jc w:val="center"/>
        </w:trPr>
        <w:tc>
          <w:tcPr>
            <w:tcW w:w="3440" w:type="dxa"/>
            <w:vMerge/>
            <w:tcBorders>
              <w:top w:val="nil"/>
              <w:left w:val="single" w:sz="8" w:space="0" w:color="auto"/>
              <w:bottom w:val="single" w:sz="8" w:space="0" w:color="000000"/>
              <w:right w:val="single" w:sz="8" w:space="0" w:color="000000"/>
            </w:tcBorders>
            <w:textDirection w:val="lrTb"/>
            <w:vAlign w:val="center"/>
          </w:tcPr>
          <w:p w:rsidR="00844C20" w:rsidRPr="00A86C7E" w:rsidP="005C14D4">
            <w:pPr>
              <w:bidi w:val="0"/>
              <w:rPr>
                <w:rFonts w:ascii="Arial Narrow" w:hAnsi="Arial Narrow"/>
                <w:b/>
                <w:bCs/>
                <w:color w:val="000000"/>
                <w:sz w:val="16"/>
                <w:szCs w:val="16"/>
              </w:rPr>
            </w:pPr>
          </w:p>
        </w:tc>
        <w:tc>
          <w:tcPr>
            <w:tcW w:w="2840" w:type="dxa"/>
            <w:gridSpan w:val="2"/>
            <w:tcBorders>
              <w:top w:val="single" w:sz="8" w:space="0" w:color="000000"/>
              <w:left w:val="nil"/>
              <w:bottom w:val="single" w:sz="8" w:space="0" w:color="000000"/>
              <w:right w:val="single" w:sz="8" w:space="0" w:color="000000"/>
            </w:tcBorders>
            <w:shd w:val="clear" w:color="000000" w:fill="BFBFBF"/>
            <w:textDirection w:val="lrTb"/>
            <w:vAlign w:val="center"/>
          </w:tcPr>
          <w:p w:rsidR="00844C20" w:rsidRPr="00A86C7E" w:rsidP="005C14D4">
            <w:pPr>
              <w:bidi w:val="0"/>
              <w:jc w:val="center"/>
              <w:rPr>
                <w:rFonts w:ascii="Arial Narrow" w:hAnsi="Arial Narrow" w:cs="Arial Narrow"/>
                <w:b/>
                <w:bCs/>
                <w:color w:val="000000"/>
                <w:sz w:val="16"/>
                <w:szCs w:val="16"/>
              </w:rPr>
            </w:pPr>
            <w:r w:rsidRPr="00A86C7E">
              <w:rPr>
                <w:rFonts w:ascii="Arial Narrow" w:hAnsi="Arial Narrow" w:cs="Arial Narrow"/>
                <w:b/>
                <w:bCs/>
                <w:color w:val="000000"/>
                <w:sz w:val="16"/>
                <w:szCs w:val="16"/>
              </w:rPr>
              <w:t>I.   Súčasný systém</w:t>
            </w:r>
          </w:p>
        </w:tc>
        <w:tc>
          <w:tcPr>
            <w:tcW w:w="2840" w:type="dxa"/>
            <w:gridSpan w:val="2"/>
            <w:tcBorders>
              <w:top w:val="single" w:sz="8" w:space="0" w:color="000000"/>
              <w:left w:val="nil"/>
              <w:bottom w:val="single" w:sz="8" w:space="0" w:color="000000"/>
              <w:right w:val="single" w:sz="8" w:space="0" w:color="000000"/>
            </w:tcBorders>
            <w:shd w:val="clear" w:color="000000" w:fill="BFBFBF"/>
            <w:textDirection w:val="lrTb"/>
            <w:vAlign w:val="center"/>
          </w:tcPr>
          <w:p w:rsidR="00844C20" w:rsidRPr="00A86C7E" w:rsidP="005C14D4">
            <w:pPr>
              <w:bidi w:val="0"/>
              <w:jc w:val="center"/>
              <w:rPr>
                <w:rFonts w:ascii="Arial Narrow" w:hAnsi="Arial Narrow" w:cs="Arial Narrow"/>
                <w:b/>
                <w:bCs/>
                <w:color w:val="000000"/>
                <w:sz w:val="16"/>
                <w:szCs w:val="16"/>
              </w:rPr>
            </w:pPr>
            <w:r w:rsidRPr="00A86C7E">
              <w:rPr>
                <w:rFonts w:ascii="Arial Narrow" w:hAnsi="Arial Narrow" w:cs="Arial Narrow"/>
                <w:b/>
                <w:bCs/>
                <w:color w:val="000000"/>
                <w:sz w:val="16"/>
                <w:szCs w:val="16"/>
              </w:rPr>
              <w:t>II. Návrh</w:t>
            </w:r>
          </w:p>
        </w:tc>
      </w:tr>
      <w:tr>
        <w:tblPrEx>
          <w:tblW w:w="9120" w:type="dxa"/>
          <w:jc w:val="center"/>
          <w:tblCellMar>
            <w:left w:w="70" w:type="dxa"/>
            <w:right w:w="70" w:type="dxa"/>
          </w:tblCellMar>
          <w:tblLook w:val="04A0"/>
        </w:tblPrEx>
        <w:trPr>
          <w:trHeight w:val="284"/>
          <w:jc w:val="center"/>
        </w:trPr>
        <w:tc>
          <w:tcPr>
            <w:tcW w:w="3440" w:type="dxa"/>
            <w:vMerge/>
            <w:tcBorders>
              <w:top w:val="nil"/>
              <w:left w:val="single" w:sz="8" w:space="0" w:color="auto"/>
              <w:bottom w:val="single" w:sz="8" w:space="0" w:color="000000"/>
              <w:right w:val="single" w:sz="8" w:space="0" w:color="000000"/>
            </w:tcBorders>
            <w:textDirection w:val="lrTb"/>
            <w:vAlign w:val="center"/>
          </w:tcPr>
          <w:p w:rsidR="00844C20" w:rsidRPr="00A86C7E" w:rsidP="005C14D4">
            <w:pPr>
              <w:bidi w:val="0"/>
              <w:rPr>
                <w:rFonts w:ascii="Arial Narrow" w:hAnsi="Arial Narrow"/>
                <w:b/>
                <w:bCs/>
                <w:color w:val="000000"/>
                <w:sz w:val="16"/>
                <w:szCs w:val="16"/>
              </w:rPr>
            </w:pPr>
          </w:p>
        </w:tc>
        <w:tc>
          <w:tcPr>
            <w:tcW w:w="1420" w:type="dxa"/>
            <w:tcBorders>
              <w:top w:val="nil"/>
              <w:left w:val="nil"/>
              <w:bottom w:val="single" w:sz="8" w:space="0" w:color="000000"/>
              <w:right w:val="single" w:sz="8" w:space="0" w:color="000000"/>
            </w:tcBorders>
            <w:shd w:val="clear" w:color="000000" w:fill="BFBFBF"/>
            <w:textDirection w:val="lrTb"/>
            <w:vAlign w:val="center"/>
          </w:tcPr>
          <w:p w:rsidR="00844C20" w:rsidRPr="00A86C7E" w:rsidP="005C14D4">
            <w:pPr>
              <w:bidi w:val="0"/>
              <w:jc w:val="center"/>
              <w:rPr>
                <w:rFonts w:ascii="Arial Narrow" w:hAnsi="Arial Narrow"/>
                <w:color w:val="000000"/>
                <w:sz w:val="16"/>
                <w:szCs w:val="16"/>
              </w:rPr>
            </w:pPr>
            <w:r w:rsidRPr="00A86C7E">
              <w:rPr>
                <w:rFonts w:ascii="Arial Narrow" w:hAnsi="Arial Narrow" w:cs="Arial Narrow"/>
                <w:color w:val="000000"/>
                <w:sz w:val="16"/>
                <w:szCs w:val="16"/>
              </w:rPr>
              <w:t>sadzba v % [výpočet]</w:t>
            </w:r>
          </w:p>
        </w:tc>
        <w:tc>
          <w:tcPr>
            <w:tcW w:w="1420" w:type="dxa"/>
            <w:tcBorders>
              <w:top w:val="nil"/>
              <w:left w:val="nil"/>
              <w:bottom w:val="single" w:sz="8" w:space="0" w:color="000000"/>
              <w:right w:val="single" w:sz="8" w:space="0" w:color="000000"/>
            </w:tcBorders>
            <w:shd w:val="clear" w:color="000000" w:fill="BFBFBF"/>
            <w:textDirection w:val="lrTb"/>
            <w:vAlign w:val="center"/>
          </w:tcPr>
          <w:p w:rsidR="00844C20" w:rsidRPr="00A86C7E" w:rsidP="005C14D4">
            <w:pPr>
              <w:bidi w:val="0"/>
              <w:jc w:val="center"/>
              <w:rPr>
                <w:rFonts w:ascii="Arial Narrow" w:hAnsi="Arial Narrow"/>
                <w:color w:val="000000"/>
                <w:sz w:val="16"/>
                <w:szCs w:val="16"/>
              </w:rPr>
            </w:pPr>
            <w:r w:rsidRPr="00A86C7E">
              <w:rPr>
                <w:rFonts w:ascii="Arial Narrow" w:hAnsi="Arial Narrow" w:cs="Arial Narrow"/>
                <w:color w:val="000000"/>
                <w:sz w:val="16"/>
                <w:szCs w:val="16"/>
              </w:rPr>
              <w:t>EUR</w:t>
            </w:r>
            <w:r w:rsidRPr="00A86C7E">
              <w:rPr>
                <w:rFonts w:ascii="Arial Narrow" w:hAnsi="Arial Narrow" w:cs="Arial Narrow"/>
                <w:color w:val="000000"/>
                <w:sz w:val="16"/>
                <w:szCs w:val="16"/>
                <w:vertAlign w:val="superscript"/>
              </w:rPr>
              <w:t>1</w:t>
            </w:r>
          </w:p>
        </w:tc>
        <w:tc>
          <w:tcPr>
            <w:tcW w:w="1420" w:type="dxa"/>
            <w:tcBorders>
              <w:top w:val="nil"/>
              <w:left w:val="nil"/>
              <w:bottom w:val="single" w:sz="8" w:space="0" w:color="000000"/>
              <w:right w:val="single" w:sz="8" w:space="0" w:color="000000"/>
            </w:tcBorders>
            <w:shd w:val="clear" w:color="000000" w:fill="BFBFBF"/>
            <w:textDirection w:val="lrTb"/>
            <w:vAlign w:val="center"/>
          </w:tcPr>
          <w:p w:rsidR="00844C20" w:rsidRPr="00A86C7E" w:rsidP="005C14D4">
            <w:pPr>
              <w:bidi w:val="0"/>
              <w:jc w:val="center"/>
              <w:rPr>
                <w:rFonts w:ascii="Arial Narrow" w:hAnsi="Arial Narrow"/>
                <w:color w:val="000000"/>
                <w:sz w:val="16"/>
                <w:szCs w:val="16"/>
              </w:rPr>
            </w:pPr>
            <w:r w:rsidRPr="00A86C7E">
              <w:rPr>
                <w:rFonts w:ascii="Arial Narrow" w:hAnsi="Arial Narrow" w:cs="Arial Narrow"/>
                <w:color w:val="000000"/>
                <w:sz w:val="16"/>
                <w:szCs w:val="16"/>
              </w:rPr>
              <w:t>sadzba v % [výpočet]</w:t>
            </w:r>
          </w:p>
        </w:tc>
        <w:tc>
          <w:tcPr>
            <w:tcW w:w="1420" w:type="dxa"/>
            <w:tcBorders>
              <w:top w:val="nil"/>
              <w:left w:val="nil"/>
              <w:bottom w:val="single" w:sz="8" w:space="0" w:color="000000"/>
              <w:right w:val="single" w:sz="8" w:space="0" w:color="auto"/>
            </w:tcBorders>
            <w:shd w:val="clear" w:color="000000" w:fill="BFBFBF"/>
            <w:textDirection w:val="lrTb"/>
            <w:vAlign w:val="center"/>
          </w:tcPr>
          <w:p w:rsidR="00844C20" w:rsidRPr="00A86C7E" w:rsidP="005C14D4">
            <w:pPr>
              <w:bidi w:val="0"/>
              <w:jc w:val="center"/>
              <w:rPr>
                <w:rFonts w:ascii="Arial Narrow" w:hAnsi="Arial Narrow"/>
                <w:color w:val="000000"/>
                <w:sz w:val="16"/>
                <w:szCs w:val="16"/>
              </w:rPr>
            </w:pPr>
            <w:r w:rsidRPr="00A86C7E">
              <w:rPr>
                <w:rFonts w:ascii="Arial Narrow" w:hAnsi="Arial Narrow" w:cs="Arial Narrow"/>
                <w:color w:val="000000"/>
                <w:sz w:val="16"/>
                <w:szCs w:val="16"/>
              </w:rPr>
              <w:t>EUR</w:t>
            </w:r>
            <w:r w:rsidRPr="00A86C7E">
              <w:rPr>
                <w:rFonts w:ascii="Arial Narrow" w:hAnsi="Arial Narrow" w:cs="Arial Narrow"/>
                <w:color w:val="000000"/>
                <w:sz w:val="16"/>
                <w:szCs w:val="16"/>
                <w:vertAlign w:val="superscript"/>
              </w:rPr>
              <w:t>1</w:t>
            </w:r>
          </w:p>
        </w:tc>
      </w:tr>
      <w:tr>
        <w:tblPrEx>
          <w:tblW w:w="9120" w:type="dxa"/>
          <w:jc w:val="center"/>
          <w:tblCellMar>
            <w:left w:w="70" w:type="dxa"/>
            <w:right w:w="70" w:type="dxa"/>
          </w:tblCellMar>
          <w:tblLook w:val="04A0"/>
        </w:tblPrEx>
        <w:trPr>
          <w:trHeight w:val="270"/>
          <w:jc w:val="center"/>
        </w:trPr>
        <w:tc>
          <w:tcPr>
            <w:tcW w:w="3440" w:type="dxa"/>
            <w:tcBorders>
              <w:top w:val="nil"/>
              <w:left w:val="single" w:sz="8" w:space="0" w:color="auto"/>
              <w:bottom w:val="single" w:sz="8" w:space="0" w:color="000000"/>
              <w:right w:val="single" w:sz="8" w:space="0" w:color="000000"/>
            </w:tcBorders>
            <w:textDirection w:val="lrTb"/>
            <w:vAlign w:val="center"/>
          </w:tcPr>
          <w:p w:rsidR="00844C20" w:rsidRPr="00A86C7E" w:rsidP="005C14D4">
            <w:pPr>
              <w:bidi w:val="0"/>
              <w:rPr>
                <w:rFonts w:ascii="Arial Narrow" w:hAnsi="Arial Narrow"/>
                <w:color w:val="000000"/>
                <w:sz w:val="14"/>
                <w:szCs w:val="14"/>
              </w:rPr>
            </w:pPr>
            <w:r w:rsidRPr="00A86C7E">
              <w:rPr>
                <w:rFonts w:ascii="Arial Narrow" w:hAnsi="Arial Narrow"/>
                <w:color w:val="000000"/>
                <w:sz w:val="14"/>
                <w:szCs w:val="14"/>
              </w:rPr>
              <w:t xml:space="preserve">A] hrubá mzda spolu </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1 407,30</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w:t>
            </w:r>
          </w:p>
        </w:tc>
        <w:tc>
          <w:tcPr>
            <w:tcW w:w="1420" w:type="dxa"/>
            <w:tcBorders>
              <w:top w:val="single" w:sz="8" w:space="0" w:color="000000"/>
              <w:left w:val="nil"/>
              <w:bottom w:val="single" w:sz="8" w:space="0" w:color="000000"/>
              <w:right w:val="single" w:sz="8" w:space="0" w:color="auto"/>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w:t>
            </w:r>
          </w:p>
        </w:tc>
      </w:tr>
      <w:tr>
        <w:tblPrEx>
          <w:tblW w:w="9120" w:type="dxa"/>
          <w:jc w:val="center"/>
          <w:tblCellMar>
            <w:left w:w="70" w:type="dxa"/>
            <w:right w:w="70" w:type="dxa"/>
          </w:tblCellMar>
          <w:tblLook w:val="04A0"/>
        </w:tblPrEx>
        <w:trPr>
          <w:trHeight w:val="270"/>
          <w:jc w:val="center"/>
        </w:trPr>
        <w:tc>
          <w:tcPr>
            <w:tcW w:w="3440" w:type="dxa"/>
            <w:tcBorders>
              <w:top w:val="nil"/>
              <w:left w:val="single" w:sz="8" w:space="0" w:color="auto"/>
              <w:bottom w:val="nil"/>
              <w:right w:val="single" w:sz="8" w:space="0" w:color="000000"/>
            </w:tcBorders>
            <w:textDirection w:val="lrTb"/>
            <w:vAlign w:val="center"/>
          </w:tcPr>
          <w:p w:rsidR="00844C20" w:rsidRPr="00A86C7E" w:rsidP="005C14D4">
            <w:pPr>
              <w:bidi w:val="0"/>
              <w:rPr>
                <w:rFonts w:ascii="Arial Narrow" w:hAnsi="Arial Narrow"/>
                <w:color w:val="000000"/>
                <w:sz w:val="14"/>
                <w:szCs w:val="14"/>
              </w:rPr>
            </w:pPr>
            <w:r w:rsidRPr="00801DE1" w:rsidR="00801DE1">
              <w:rPr>
                <w:rFonts w:ascii="Arial Narrow" w:hAnsi="Arial Narrow"/>
                <w:color w:val="000000"/>
                <w:sz w:val="14"/>
                <w:szCs w:val="14"/>
              </w:rPr>
              <w:t xml:space="preserve">B] </w:t>
            </w:r>
            <w:r w:rsidR="00801DE1">
              <w:rPr>
                <w:rFonts w:ascii="Arial Narrow" w:hAnsi="Arial Narrow"/>
                <w:color w:val="000000"/>
                <w:sz w:val="14"/>
                <w:szCs w:val="14"/>
              </w:rPr>
              <w:t>poistné</w:t>
            </w:r>
            <w:r w:rsidRPr="00A86C7E">
              <w:rPr>
                <w:rFonts w:ascii="Arial Narrow" w:hAnsi="Arial Narrow"/>
                <w:color w:val="000000"/>
                <w:sz w:val="14"/>
                <w:szCs w:val="14"/>
              </w:rPr>
              <w:t xml:space="preserve"> zamestnávateľa spolu</w:t>
            </w:r>
          </w:p>
        </w:tc>
        <w:tc>
          <w:tcPr>
            <w:tcW w:w="1420" w:type="dxa"/>
            <w:tcBorders>
              <w:top w:val="nil"/>
              <w:left w:val="nil"/>
              <w:bottom w:val="nil"/>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35,2 % z [A]</w:t>
            </w:r>
          </w:p>
        </w:tc>
        <w:tc>
          <w:tcPr>
            <w:tcW w:w="1420" w:type="dxa"/>
            <w:tcBorders>
              <w:top w:val="nil"/>
              <w:left w:val="nil"/>
              <w:bottom w:val="nil"/>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495,29</w:t>
            </w:r>
          </w:p>
        </w:tc>
        <w:tc>
          <w:tcPr>
            <w:tcW w:w="1420" w:type="dxa"/>
            <w:tcBorders>
              <w:top w:val="nil"/>
              <w:left w:val="nil"/>
              <w:bottom w:val="nil"/>
              <w:right w:val="single" w:sz="8" w:space="0" w:color="000000"/>
            </w:tcBorders>
            <w:shd w:val="clear" w:color="000000" w:fill="D8D8D8"/>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0,592 % z [C]</w:t>
            </w:r>
          </w:p>
        </w:tc>
        <w:tc>
          <w:tcPr>
            <w:tcW w:w="1420" w:type="dxa"/>
            <w:tcBorders>
              <w:top w:val="nil"/>
              <w:left w:val="nil"/>
              <w:bottom w:val="nil"/>
              <w:right w:val="single" w:sz="8" w:space="0" w:color="auto"/>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11,26</w:t>
            </w:r>
            <w:r w:rsidRPr="00A86C7E">
              <w:rPr>
                <w:rFonts w:ascii="Arial Narrow" w:hAnsi="Arial Narrow" w:cs="Arial Narrow"/>
                <w:color w:val="000000"/>
                <w:sz w:val="14"/>
                <w:szCs w:val="14"/>
                <w:vertAlign w:val="superscript"/>
              </w:rPr>
              <w:t>2</w:t>
            </w:r>
          </w:p>
        </w:tc>
      </w:tr>
      <w:tr>
        <w:tblPrEx>
          <w:tblW w:w="9120" w:type="dxa"/>
          <w:jc w:val="center"/>
          <w:tblCellMar>
            <w:left w:w="70" w:type="dxa"/>
            <w:right w:w="70" w:type="dxa"/>
          </w:tblCellMar>
          <w:tblLook w:val="04A0"/>
        </w:tblPrEx>
        <w:trPr>
          <w:trHeight w:val="540"/>
          <w:jc w:val="center"/>
        </w:trPr>
        <w:tc>
          <w:tcPr>
            <w:tcW w:w="3440" w:type="dxa"/>
            <w:tcBorders>
              <w:top w:val="single" w:sz="8" w:space="0" w:color="auto"/>
              <w:left w:val="single" w:sz="8" w:space="0" w:color="auto"/>
              <w:bottom w:val="single" w:sz="8" w:space="0" w:color="auto"/>
              <w:right w:val="single" w:sz="8" w:space="0" w:color="000000"/>
            </w:tcBorders>
            <w:textDirection w:val="lrTb"/>
            <w:vAlign w:val="center"/>
          </w:tcPr>
          <w:p w:rsidR="00844C20" w:rsidRPr="00A86C7E" w:rsidP="005C14D4">
            <w:pPr>
              <w:bidi w:val="0"/>
              <w:rPr>
                <w:rFonts w:ascii="Arial Narrow" w:hAnsi="Arial Narrow"/>
                <w:b/>
                <w:bCs/>
                <w:color w:val="000000"/>
                <w:sz w:val="14"/>
                <w:szCs w:val="14"/>
              </w:rPr>
            </w:pPr>
            <w:r w:rsidRPr="00A86C7E">
              <w:rPr>
                <w:rFonts w:ascii="Arial Narrow" w:hAnsi="Arial Narrow"/>
                <w:b/>
                <w:bCs/>
                <w:color w:val="000000"/>
                <w:sz w:val="14"/>
                <w:szCs w:val="14"/>
              </w:rPr>
              <w:t>C] náklady práce spolu/(superhrubá mzda)</w:t>
            </w:r>
          </w:p>
        </w:tc>
        <w:tc>
          <w:tcPr>
            <w:tcW w:w="1420" w:type="dxa"/>
            <w:tcBorders>
              <w:top w:val="single" w:sz="8" w:space="0" w:color="auto"/>
              <w:left w:val="nil"/>
              <w:bottom w:val="single" w:sz="8" w:space="0" w:color="auto"/>
              <w:right w:val="single" w:sz="8" w:space="0" w:color="000000"/>
            </w:tcBorders>
            <w:textDirection w:val="lrTb"/>
            <w:vAlign w:val="center"/>
          </w:tcPr>
          <w:p w:rsidR="00844C20" w:rsidRPr="00A86C7E" w:rsidP="005C14D4">
            <w:pPr>
              <w:bidi w:val="0"/>
              <w:jc w:val="center"/>
              <w:rPr>
                <w:rFonts w:ascii="Arial Narrow" w:hAnsi="Arial Narrow"/>
                <w:b/>
                <w:bCs/>
                <w:color w:val="000000"/>
                <w:sz w:val="14"/>
                <w:szCs w:val="14"/>
              </w:rPr>
            </w:pPr>
            <w:r w:rsidRPr="00A86C7E">
              <w:rPr>
                <w:rFonts w:ascii="Arial Narrow" w:hAnsi="Arial Narrow"/>
                <w:b/>
                <w:bCs/>
                <w:color w:val="000000"/>
                <w:sz w:val="14"/>
                <w:szCs w:val="14"/>
              </w:rPr>
              <w:t>[A+B]</w:t>
            </w:r>
          </w:p>
        </w:tc>
        <w:tc>
          <w:tcPr>
            <w:tcW w:w="1420" w:type="dxa"/>
            <w:tcBorders>
              <w:top w:val="single" w:sz="8" w:space="0" w:color="auto"/>
              <w:left w:val="nil"/>
              <w:bottom w:val="single" w:sz="8" w:space="0" w:color="auto"/>
              <w:right w:val="single" w:sz="8" w:space="0" w:color="000000"/>
            </w:tcBorders>
            <w:textDirection w:val="lrTb"/>
            <w:vAlign w:val="center"/>
          </w:tcPr>
          <w:p w:rsidR="00844C20" w:rsidRPr="00A86C7E" w:rsidP="005C14D4">
            <w:pPr>
              <w:bidi w:val="0"/>
              <w:jc w:val="center"/>
              <w:rPr>
                <w:rFonts w:ascii="Arial Narrow" w:hAnsi="Arial Narrow"/>
                <w:b/>
                <w:bCs/>
                <w:color w:val="000000"/>
                <w:sz w:val="14"/>
                <w:szCs w:val="14"/>
              </w:rPr>
            </w:pPr>
            <w:r w:rsidRPr="00A86C7E">
              <w:rPr>
                <w:rFonts w:ascii="Arial Narrow" w:hAnsi="Arial Narrow"/>
                <w:b/>
                <w:bCs/>
                <w:color w:val="000000"/>
                <w:sz w:val="14"/>
                <w:szCs w:val="14"/>
              </w:rPr>
              <w:t>1 902,59</w:t>
            </w:r>
          </w:p>
        </w:tc>
        <w:tc>
          <w:tcPr>
            <w:tcW w:w="1420" w:type="dxa"/>
            <w:tcBorders>
              <w:top w:val="single" w:sz="8" w:space="0" w:color="auto"/>
              <w:left w:val="nil"/>
              <w:bottom w:val="single" w:sz="8" w:space="0" w:color="auto"/>
              <w:right w:val="single" w:sz="8" w:space="0" w:color="000000"/>
            </w:tcBorders>
            <w:shd w:val="clear" w:color="000000" w:fill="D8D8D8"/>
            <w:textDirection w:val="lrTb"/>
            <w:vAlign w:val="center"/>
          </w:tcPr>
          <w:p w:rsidR="00844C20" w:rsidRPr="00A86C7E" w:rsidP="005C14D4">
            <w:pPr>
              <w:bidi w:val="0"/>
              <w:jc w:val="center"/>
              <w:rPr>
                <w:rFonts w:ascii="Arial Narrow" w:hAnsi="Arial Narrow"/>
                <w:b/>
                <w:bCs/>
                <w:color w:val="000000"/>
                <w:sz w:val="14"/>
                <w:szCs w:val="14"/>
              </w:rPr>
            </w:pPr>
            <w:r w:rsidRPr="00A86C7E">
              <w:rPr>
                <w:rFonts w:ascii="Arial Narrow" w:hAnsi="Arial Narrow"/>
                <w:b/>
                <w:bCs/>
                <w:color w:val="000000"/>
                <w:sz w:val="14"/>
                <w:szCs w:val="14"/>
              </w:rPr>
              <w:t xml:space="preserve">[A+B] z I.               ([A+B] z I. - [B]) </w:t>
            </w:r>
          </w:p>
        </w:tc>
        <w:tc>
          <w:tcPr>
            <w:tcW w:w="1420" w:type="dxa"/>
            <w:tcBorders>
              <w:top w:val="single" w:sz="8" w:space="0" w:color="auto"/>
              <w:left w:val="nil"/>
              <w:bottom w:val="single" w:sz="8" w:space="0" w:color="auto"/>
              <w:right w:val="single" w:sz="8" w:space="0" w:color="auto"/>
            </w:tcBorders>
            <w:textDirection w:val="lrTb"/>
            <w:vAlign w:val="center"/>
          </w:tcPr>
          <w:p w:rsidR="00844C20" w:rsidRPr="00A86C7E" w:rsidP="005C14D4">
            <w:pPr>
              <w:bidi w:val="0"/>
              <w:jc w:val="center"/>
              <w:rPr>
                <w:rFonts w:ascii="Arial Narrow" w:hAnsi="Arial Narrow"/>
                <w:b/>
                <w:bCs/>
                <w:color w:val="000000"/>
                <w:sz w:val="14"/>
                <w:szCs w:val="14"/>
              </w:rPr>
            </w:pPr>
            <w:r w:rsidRPr="00A86C7E">
              <w:rPr>
                <w:rFonts w:ascii="Arial Narrow" w:hAnsi="Arial Narrow"/>
                <w:b/>
                <w:bCs/>
                <w:color w:val="000000"/>
                <w:sz w:val="14"/>
                <w:szCs w:val="14"/>
              </w:rPr>
              <w:t>1 902,59                        (1 891,32)</w:t>
            </w:r>
          </w:p>
        </w:tc>
      </w:tr>
      <w:tr>
        <w:tblPrEx>
          <w:tblW w:w="9120" w:type="dxa"/>
          <w:jc w:val="center"/>
          <w:tblCellMar>
            <w:left w:w="70" w:type="dxa"/>
            <w:right w:w="70" w:type="dxa"/>
          </w:tblCellMar>
          <w:tblLook w:val="04A0"/>
        </w:tblPrEx>
        <w:trPr>
          <w:trHeight w:val="539"/>
          <w:jc w:val="center"/>
        </w:trPr>
        <w:tc>
          <w:tcPr>
            <w:tcW w:w="3440" w:type="dxa"/>
            <w:tcBorders>
              <w:top w:val="nil"/>
              <w:left w:val="single" w:sz="8" w:space="0" w:color="auto"/>
              <w:bottom w:val="single" w:sz="8" w:space="0" w:color="000000"/>
              <w:right w:val="single" w:sz="8" w:space="0" w:color="000000"/>
            </w:tcBorders>
            <w:textDirection w:val="lrTb"/>
            <w:vAlign w:val="center"/>
          </w:tcPr>
          <w:p w:rsidR="00844C20" w:rsidRPr="00A86C7E" w:rsidP="005C14D4">
            <w:pPr>
              <w:bidi w:val="0"/>
              <w:rPr>
                <w:rFonts w:ascii="Arial Narrow" w:hAnsi="Arial Narrow"/>
                <w:color w:val="000000"/>
                <w:sz w:val="14"/>
                <w:szCs w:val="14"/>
              </w:rPr>
            </w:pPr>
            <w:r w:rsidRPr="00801DE1" w:rsidR="00801DE1">
              <w:rPr>
                <w:rFonts w:ascii="Arial Narrow" w:hAnsi="Arial Narrow"/>
                <w:color w:val="000000"/>
                <w:sz w:val="14"/>
                <w:szCs w:val="14"/>
              </w:rPr>
              <w:t xml:space="preserve">D] </w:t>
            </w:r>
            <w:r w:rsidR="00801DE1">
              <w:rPr>
                <w:rFonts w:ascii="Arial Narrow" w:hAnsi="Arial Narrow"/>
                <w:color w:val="000000"/>
                <w:sz w:val="14"/>
                <w:szCs w:val="14"/>
              </w:rPr>
              <w:t>poistné</w:t>
            </w:r>
            <w:r w:rsidRPr="00A86C7E">
              <w:rPr>
                <w:rFonts w:ascii="Arial Narrow" w:hAnsi="Arial Narrow"/>
                <w:color w:val="000000"/>
                <w:sz w:val="14"/>
                <w:szCs w:val="14"/>
              </w:rPr>
              <w:t xml:space="preserve"> rodiny</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13,4 % z [A]</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188,53</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28 % z [(C)]      t.j.19% SO a 9% ZO</w:t>
            </w:r>
          </w:p>
        </w:tc>
        <w:tc>
          <w:tcPr>
            <w:tcW w:w="1420" w:type="dxa"/>
            <w:tcBorders>
              <w:top w:val="nil"/>
              <w:left w:val="nil"/>
              <w:bottom w:val="single" w:sz="8" w:space="0" w:color="000000"/>
              <w:right w:val="single" w:sz="8" w:space="0" w:color="auto"/>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529,58                          t.j. 359,36 + 170,22</w:t>
            </w:r>
          </w:p>
        </w:tc>
      </w:tr>
      <w:tr>
        <w:tblPrEx>
          <w:tblW w:w="9120" w:type="dxa"/>
          <w:jc w:val="center"/>
          <w:tblCellMar>
            <w:left w:w="70" w:type="dxa"/>
            <w:right w:w="70" w:type="dxa"/>
          </w:tblCellMar>
          <w:tblLook w:val="04A0"/>
        </w:tblPrEx>
        <w:trPr>
          <w:trHeight w:val="270"/>
          <w:jc w:val="center"/>
        </w:trPr>
        <w:tc>
          <w:tcPr>
            <w:tcW w:w="3440" w:type="dxa"/>
            <w:tcBorders>
              <w:top w:val="nil"/>
              <w:left w:val="single" w:sz="8" w:space="0" w:color="auto"/>
              <w:bottom w:val="single" w:sz="8" w:space="0" w:color="000000"/>
              <w:right w:val="single" w:sz="8" w:space="0" w:color="000000"/>
            </w:tcBorders>
            <w:textDirection w:val="lrTb"/>
            <w:vAlign w:val="center"/>
          </w:tcPr>
          <w:p w:rsidR="00844C20" w:rsidRPr="00A86C7E" w:rsidP="005C14D4">
            <w:pPr>
              <w:bidi w:val="0"/>
              <w:rPr>
                <w:rFonts w:ascii="Arial Narrow" w:hAnsi="Arial Narrow"/>
                <w:color w:val="000000"/>
                <w:sz w:val="14"/>
                <w:szCs w:val="14"/>
              </w:rPr>
            </w:pPr>
            <w:r w:rsidRPr="00A86C7E">
              <w:rPr>
                <w:rFonts w:ascii="Arial Narrow" w:hAnsi="Arial Narrow"/>
                <w:color w:val="000000"/>
                <w:sz w:val="14"/>
                <w:szCs w:val="14"/>
              </w:rPr>
              <w:t>E] základ dane</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[A-D]</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1 218,77</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[(C)]</w:t>
            </w:r>
          </w:p>
        </w:tc>
        <w:tc>
          <w:tcPr>
            <w:tcW w:w="1420" w:type="dxa"/>
            <w:tcBorders>
              <w:top w:val="nil"/>
              <w:left w:val="nil"/>
              <w:bottom w:val="single" w:sz="8" w:space="0" w:color="000000"/>
              <w:right w:val="single" w:sz="8" w:space="0" w:color="auto"/>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1 891,32</w:t>
            </w:r>
          </w:p>
        </w:tc>
      </w:tr>
      <w:tr>
        <w:tblPrEx>
          <w:tblW w:w="9120" w:type="dxa"/>
          <w:jc w:val="center"/>
          <w:tblCellMar>
            <w:left w:w="70" w:type="dxa"/>
            <w:right w:w="70" w:type="dxa"/>
          </w:tblCellMar>
          <w:tblLook w:val="04A0"/>
        </w:tblPrEx>
        <w:trPr>
          <w:trHeight w:val="270"/>
          <w:jc w:val="center"/>
        </w:trPr>
        <w:tc>
          <w:tcPr>
            <w:tcW w:w="3440" w:type="dxa"/>
            <w:tcBorders>
              <w:top w:val="nil"/>
              <w:left w:val="single" w:sz="8" w:space="0" w:color="auto"/>
              <w:bottom w:val="single" w:sz="8" w:space="0" w:color="000000"/>
              <w:right w:val="single" w:sz="8" w:space="0" w:color="000000"/>
            </w:tcBorders>
            <w:textDirection w:val="lrTb"/>
            <w:vAlign w:val="center"/>
          </w:tcPr>
          <w:p w:rsidR="00844C20" w:rsidRPr="00A86C7E" w:rsidP="005C14D4">
            <w:pPr>
              <w:bidi w:val="0"/>
              <w:rPr>
                <w:rFonts w:ascii="Arial Narrow" w:hAnsi="Arial Narrow"/>
                <w:color w:val="000000"/>
                <w:sz w:val="14"/>
                <w:szCs w:val="14"/>
              </w:rPr>
            </w:pPr>
            <w:r w:rsidRPr="00A86C7E">
              <w:rPr>
                <w:rFonts w:ascii="Arial Narrow" w:hAnsi="Arial Narrow"/>
                <w:color w:val="000000"/>
                <w:sz w:val="14"/>
                <w:szCs w:val="14"/>
              </w:rPr>
              <w:t>F] nezdaniteľne časti základu dane</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2 * 1,6 * ŽM</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606,88</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2 * 1,5 * ŽM</w:t>
            </w:r>
          </w:p>
        </w:tc>
        <w:tc>
          <w:tcPr>
            <w:tcW w:w="1420" w:type="dxa"/>
            <w:tcBorders>
              <w:top w:val="nil"/>
              <w:left w:val="nil"/>
              <w:bottom w:val="single" w:sz="8" w:space="0" w:color="000000"/>
              <w:right w:val="single" w:sz="8" w:space="0" w:color="auto"/>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568,95</w:t>
            </w:r>
          </w:p>
        </w:tc>
      </w:tr>
      <w:tr>
        <w:tblPrEx>
          <w:tblW w:w="9120" w:type="dxa"/>
          <w:jc w:val="center"/>
          <w:tblCellMar>
            <w:left w:w="70" w:type="dxa"/>
            <w:right w:w="70" w:type="dxa"/>
          </w:tblCellMar>
          <w:tblLook w:val="04A0"/>
        </w:tblPrEx>
        <w:trPr>
          <w:trHeight w:val="270"/>
          <w:jc w:val="center"/>
        </w:trPr>
        <w:tc>
          <w:tcPr>
            <w:tcW w:w="3440" w:type="dxa"/>
            <w:tcBorders>
              <w:top w:val="nil"/>
              <w:left w:val="single" w:sz="8" w:space="0" w:color="auto"/>
              <w:bottom w:val="single" w:sz="8" w:space="0" w:color="000000"/>
              <w:right w:val="single" w:sz="8" w:space="0" w:color="000000"/>
            </w:tcBorders>
            <w:textDirection w:val="lrTb"/>
            <w:vAlign w:val="center"/>
          </w:tcPr>
          <w:p w:rsidR="00844C20" w:rsidRPr="00A86C7E" w:rsidP="005C14D4">
            <w:pPr>
              <w:bidi w:val="0"/>
              <w:rPr>
                <w:rFonts w:ascii="Arial Narrow" w:hAnsi="Arial Narrow"/>
                <w:color w:val="000000"/>
                <w:sz w:val="14"/>
                <w:szCs w:val="14"/>
              </w:rPr>
            </w:pPr>
            <w:r w:rsidRPr="00A86C7E">
              <w:rPr>
                <w:rFonts w:ascii="Arial Narrow" w:hAnsi="Arial Narrow"/>
                <w:color w:val="000000"/>
                <w:sz w:val="14"/>
                <w:szCs w:val="14"/>
              </w:rPr>
              <w:t>G] zdaniteľný príjem</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[E-F]</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611,89</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[E-F]</w:t>
            </w:r>
          </w:p>
        </w:tc>
        <w:tc>
          <w:tcPr>
            <w:tcW w:w="1420" w:type="dxa"/>
            <w:tcBorders>
              <w:top w:val="nil"/>
              <w:left w:val="nil"/>
              <w:bottom w:val="single" w:sz="8" w:space="0" w:color="000000"/>
              <w:right w:val="single" w:sz="8" w:space="0" w:color="auto"/>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1 332,37</w:t>
            </w:r>
          </w:p>
        </w:tc>
      </w:tr>
      <w:tr>
        <w:tblPrEx>
          <w:tblW w:w="9120" w:type="dxa"/>
          <w:jc w:val="center"/>
          <w:tblCellMar>
            <w:left w:w="70" w:type="dxa"/>
            <w:right w:w="70" w:type="dxa"/>
          </w:tblCellMar>
          <w:tblLook w:val="04A0"/>
        </w:tblPrEx>
        <w:trPr>
          <w:trHeight w:val="270"/>
          <w:jc w:val="center"/>
        </w:trPr>
        <w:tc>
          <w:tcPr>
            <w:tcW w:w="3440" w:type="dxa"/>
            <w:tcBorders>
              <w:top w:val="nil"/>
              <w:left w:val="single" w:sz="8" w:space="0" w:color="auto"/>
              <w:bottom w:val="single" w:sz="8" w:space="0" w:color="000000"/>
              <w:right w:val="single" w:sz="8" w:space="0" w:color="000000"/>
            </w:tcBorders>
            <w:textDirection w:val="lrTb"/>
            <w:vAlign w:val="center"/>
          </w:tcPr>
          <w:p w:rsidR="00844C20" w:rsidRPr="00A86C7E" w:rsidP="005C14D4">
            <w:pPr>
              <w:bidi w:val="0"/>
              <w:rPr>
                <w:rFonts w:ascii="Arial Narrow" w:hAnsi="Arial Narrow"/>
                <w:color w:val="000000"/>
                <w:sz w:val="14"/>
                <w:szCs w:val="14"/>
              </w:rPr>
            </w:pPr>
            <w:r w:rsidRPr="00A86C7E">
              <w:rPr>
                <w:rFonts w:ascii="Arial Narrow" w:hAnsi="Arial Narrow"/>
                <w:color w:val="000000"/>
                <w:sz w:val="14"/>
                <w:szCs w:val="14"/>
              </w:rPr>
              <w:t>H] daňový bonus (DB)</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2 * DB</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41,62</w:t>
            </w:r>
          </w:p>
        </w:tc>
        <w:tc>
          <w:tcPr>
            <w:tcW w:w="1420" w:type="dxa"/>
            <w:tcBorders>
              <w:top w:val="nil"/>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2 * DB</w:t>
            </w:r>
          </w:p>
        </w:tc>
        <w:tc>
          <w:tcPr>
            <w:tcW w:w="1420" w:type="dxa"/>
            <w:tcBorders>
              <w:top w:val="nil"/>
              <w:left w:val="nil"/>
              <w:bottom w:val="single" w:sz="8" w:space="0" w:color="000000"/>
              <w:right w:val="single" w:sz="8" w:space="0" w:color="auto"/>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41,62</w:t>
            </w:r>
          </w:p>
        </w:tc>
      </w:tr>
      <w:tr>
        <w:tblPrEx>
          <w:tblW w:w="9120" w:type="dxa"/>
          <w:jc w:val="center"/>
          <w:tblCellMar>
            <w:left w:w="70" w:type="dxa"/>
            <w:right w:w="70" w:type="dxa"/>
          </w:tblCellMar>
          <w:tblLook w:val="04A0"/>
        </w:tblPrEx>
        <w:trPr>
          <w:trHeight w:val="270"/>
          <w:jc w:val="center"/>
        </w:trPr>
        <w:tc>
          <w:tcPr>
            <w:tcW w:w="3440" w:type="dxa"/>
            <w:tcBorders>
              <w:top w:val="single" w:sz="8" w:space="0" w:color="000000"/>
              <w:left w:val="single" w:sz="8" w:space="0" w:color="auto"/>
              <w:bottom w:val="single" w:sz="8" w:space="0" w:color="000000"/>
              <w:right w:val="single" w:sz="8" w:space="0" w:color="000000"/>
            </w:tcBorders>
            <w:textDirection w:val="lrTb"/>
            <w:vAlign w:val="center"/>
          </w:tcPr>
          <w:p w:rsidR="00844C20" w:rsidRPr="00A86C7E" w:rsidP="005C14D4">
            <w:pPr>
              <w:bidi w:val="0"/>
              <w:rPr>
                <w:rFonts w:ascii="Arial Narrow" w:hAnsi="Arial Narrow"/>
                <w:color w:val="000000"/>
                <w:sz w:val="14"/>
                <w:szCs w:val="14"/>
              </w:rPr>
            </w:pPr>
            <w:r w:rsidRPr="00A86C7E">
              <w:rPr>
                <w:rFonts w:ascii="Arial Narrow" w:hAnsi="Arial Narrow"/>
                <w:color w:val="000000"/>
                <w:sz w:val="14"/>
                <w:szCs w:val="14"/>
              </w:rPr>
              <w:t>I] daň z príjmu FO</w:t>
            </w:r>
          </w:p>
        </w:tc>
        <w:tc>
          <w:tcPr>
            <w:tcW w:w="1420" w:type="dxa"/>
            <w:tcBorders>
              <w:top w:val="single" w:sz="8" w:space="0" w:color="000000"/>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(19 % z [G] - [H])</w:t>
            </w:r>
          </w:p>
        </w:tc>
        <w:tc>
          <w:tcPr>
            <w:tcW w:w="1420" w:type="dxa"/>
            <w:tcBorders>
              <w:top w:val="single" w:sz="8" w:space="0" w:color="000000"/>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74,63</w:t>
            </w:r>
          </w:p>
        </w:tc>
        <w:tc>
          <w:tcPr>
            <w:tcW w:w="1420" w:type="dxa"/>
            <w:tcBorders>
              <w:top w:val="single" w:sz="8" w:space="0" w:color="000000"/>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(19 % z [G] - [H])</w:t>
            </w:r>
          </w:p>
        </w:tc>
        <w:tc>
          <w:tcPr>
            <w:tcW w:w="1420" w:type="dxa"/>
            <w:tcBorders>
              <w:top w:val="single" w:sz="8" w:space="0" w:color="000000"/>
              <w:left w:val="nil"/>
              <w:bottom w:val="single" w:sz="8" w:space="0" w:color="000000"/>
              <w:right w:val="single" w:sz="8" w:space="0" w:color="auto"/>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211,53</w:t>
            </w:r>
          </w:p>
        </w:tc>
      </w:tr>
      <w:tr>
        <w:tblPrEx>
          <w:tblW w:w="9120" w:type="dxa"/>
          <w:jc w:val="center"/>
          <w:tblCellMar>
            <w:left w:w="70" w:type="dxa"/>
            <w:right w:w="70" w:type="dxa"/>
          </w:tblCellMar>
          <w:tblLook w:val="04A0"/>
        </w:tblPrEx>
        <w:trPr>
          <w:trHeight w:val="270"/>
          <w:jc w:val="center"/>
        </w:trPr>
        <w:tc>
          <w:tcPr>
            <w:tcW w:w="3440" w:type="dxa"/>
            <w:tcBorders>
              <w:top w:val="single" w:sz="8" w:space="0" w:color="000000"/>
              <w:left w:val="single" w:sz="8" w:space="0" w:color="auto"/>
              <w:bottom w:val="single" w:sz="8" w:space="0" w:color="000000"/>
              <w:right w:val="single" w:sz="8" w:space="0" w:color="000000"/>
            </w:tcBorders>
            <w:textDirection w:val="lrTb"/>
            <w:vAlign w:val="center"/>
          </w:tcPr>
          <w:p w:rsidR="00844C20" w:rsidRPr="00A86C7E" w:rsidP="005C14D4">
            <w:pPr>
              <w:bidi w:val="0"/>
              <w:rPr>
                <w:rFonts w:ascii="Arial Narrow" w:hAnsi="Arial Narrow"/>
                <w:b/>
                <w:bCs/>
                <w:color w:val="000000"/>
                <w:sz w:val="14"/>
                <w:szCs w:val="14"/>
              </w:rPr>
            </w:pPr>
            <w:r w:rsidRPr="00A86C7E">
              <w:rPr>
                <w:rFonts w:ascii="Arial Narrow" w:hAnsi="Arial Narrow"/>
                <w:b/>
                <w:bCs/>
                <w:color w:val="000000"/>
                <w:sz w:val="14"/>
                <w:szCs w:val="14"/>
              </w:rPr>
              <w:t>J] čistá mzda</w:t>
            </w:r>
          </w:p>
        </w:tc>
        <w:tc>
          <w:tcPr>
            <w:tcW w:w="1420" w:type="dxa"/>
            <w:tcBorders>
              <w:top w:val="single" w:sz="8" w:space="0" w:color="000000"/>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b/>
                <w:bCs/>
                <w:color w:val="000000"/>
                <w:sz w:val="14"/>
                <w:szCs w:val="14"/>
              </w:rPr>
            </w:pPr>
            <w:r w:rsidRPr="00A86C7E">
              <w:rPr>
                <w:rFonts w:ascii="Arial Narrow" w:hAnsi="Arial Narrow"/>
                <w:b/>
                <w:bCs/>
                <w:color w:val="000000"/>
                <w:sz w:val="14"/>
                <w:szCs w:val="14"/>
              </w:rPr>
              <w:t>[E-I]</w:t>
            </w:r>
          </w:p>
        </w:tc>
        <w:tc>
          <w:tcPr>
            <w:tcW w:w="1420" w:type="dxa"/>
            <w:tcBorders>
              <w:top w:val="single" w:sz="8" w:space="0" w:color="000000"/>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b/>
                <w:bCs/>
                <w:color w:val="000000"/>
                <w:sz w:val="14"/>
                <w:szCs w:val="14"/>
              </w:rPr>
            </w:pPr>
            <w:r w:rsidRPr="00A86C7E">
              <w:rPr>
                <w:rFonts w:ascii="Arial Narrow" w:hAnsi="Arial Narrow"/>
                <w:b/>
                <w:bCs/>
                <w:color w:val="000000"/>
                <w:sz w:val="14"/>
                <w:szCs w:val="14"/>
              </w:rPr>
              <w:t>1 144,14</w:t>
            </w:r>
          </w:p>
        </w:tc>
        <w:tc>
          <w:tcPr>
            <w:tcW w:w="1420" w:type="dxa"/>
            <w:tcBorders>
              <w:top w:val="single" w:sz="8" w:space="0" w:color="000000"/>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b/>
                <w:bCs/>
                <w:color w:val="000000"/>
                <w:sz w:val="14"/>
                <w:szCs w:val="14"/>
              </w:rPr>
            </w:pPr>
            <w:r w:rsidRPr="00A86C7E">
              <w:rPr>
                <w:rFonts w:ascii="Arial Narrow" w:hAnsi="Arial Narrow"/>
                <w:b/>
                <w:bCs/>
                <w:color w:val="000000"/>
                <w:sz w:val="14"/>
                <w:szCs w:val="14"/>
              </w:rPr>
              <w:t>[(C)-D-I]</w:t>
            </w:r>
          </w:p>
        </w:tc>
        <w:tc>
          <w:tcPr>
            <w:tcW w:w="1420" w:type="dxa"/>
            <w:tcBorders>
              <w:top w:val="single" w:sz="8" w:space="0" w:color="000000"/>
              <w:left w:val="nil"/>
              <w:bottom w:val="single" w:sz="8" w:space="0" w:color="000000"/>
              <w:right w:val="single" w:sz="8" w:space="0" w:color="auto"/>
            </w:tcBorders>
            <w:textDirection w:val="lrTb"/>
            <w:vAlign w:val="center"/>
          </w:tcPr>
          <w:p w:rsidR="00844C20" w:rsidRPr="00A86C7E" w:rsidP="005C14D4">
            <w:pPr>
              <w:bidi w:val="0"/>
              <w:jc w:val="center"/>
              <w:rPr>
                <w:rFonts w:ascii="Arial Narrow" w:hAnsi="Arial Narrow"/>
                <w:b/>
                <w:bCs/>
                <w:color w:val="000000"/>
                <w:sz w:val="14"/>
                <w:szCs w:val="14"/>
              </w:rPr>
            </w:pPr>
            <w:r w:rsidRPr="00A86C7E">
              <w:rPr>
                <w:rFonts w:ascii="Arial Narrow" w:hAnsi="Arial Narrow"/>
                <w:b/>
                <w:bCs/>
                <w:color w:val="000000"/>
                <w:sz w:val="14"/>
                <w:szCs w:val="14"/>
              </w:rPr>
              <w:t>1 150,21</w:t>
            </w:r>
          </w:p>
        </w:tc>
      </w:tr>
      <w:tr>
        <w:tblPrEx>
          <w:tblW w:w="9120" w:type="dxa"/>
          <w:jc w:val="center"/>
          <w:tblCellMar>
            <w:left w:w="70" w:type="dxa"/>
            <w:right w:w="70" w:type="dxa"/>
          </w:tblCellMar>
          <w:tblLook w:val="04A0"/>
        </w:tblPrEx>
        <w:trPr>
          <w:trHeight w:val="270"/>
          <w:jc w:val="center"/>
        </w:trPr>
        <w:tc>
          <w:tcPr>
            <w:tcW w:w="3440" w:type="dxa"/>
            <w:tcBorders>
              <w:top w:val="single" w:sz="8" w:space="0" w:color="000000"/>
              <w:left w:val="single" w:sz="8" w:space="0" w:color="auto"/>
              <w:bottom w:val="single" w:sz="8" w:space="0" w:color="000000"/>
              <w:right w:val="single" w:sz="8" w:space="0" w:color="000000"/>
            </w:tcBorders>
            <w:textDirection w:val="lrTb"/>
            <w:vAlign w:val="center"/>
          </w:tcPr>
          <w:p w:rsidR="00844C20" w:rsidRPr="00A86C7E" w:rsidP="005C14D4">
            <w:pPr>
              <w:bidi w:val="0"/>
              <w:rPr>
                <w:rFonts w:ascii="Arial Narrow" w:hAnsi="Arial Narrow"/>
                <w:color w:val="000000"/>
                <w:sz w:val="14"/>
                <w:szCs w:val="14"/>
              </w:rPr>
            </w:pPr>
            <w:r w:rsidRPr="00A86C7E">
              <w:rPr>
                <w:rFonts w:ascii="Arial Narrow" w:hAnsi="Arial Narrow"/>
                <w:color w:val="000000"/>
                <w:sz w:val="14"/>
                <w:szCs w:val="14"/>
              </w:rPr>
              <w:t>K] prídavky na dieťa (PD)</w:t>
            </w:r>
          </w:p>
        </w:tc>
        <w:tc>
          <w:tcPr>
            <w:tcW w:w="1420" w:type="dxa"/>
            <w:tcBorders>
              <w:top w:val="single" w:sz="8" w:space="0" w:color="000000"/>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2*PD</w:t>
            </w:r>
          </w:p>
        </w:tc>
        <w:tc>
          <w:tcPr>
            <w:tcW w:w="1420" w:type="dxa"/>
            <w:tcBorders>
              <w:top w:val="single" w:sz="8" w:space="0" w:color="000000"/>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45,04</w:t>
            </w:r>
          </w:p>
        </w:tc>
        <w:tc>
          <w:tcPr>
            <w:tcW w:w="1420" w:type="dxa"/>
            <w:tcBorders>
              <w:top w:val="single" w:sz="8" w:space="0" w:color="000000"/>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2*PD</w:t>
            </w:r>
          </w:p>
        </w:tc>
        <w:tc>
          <w:tcPr>
            <w:tcW w:w="1420" w:type="dxa"/>
            <w:tcBorders>
              <w:top w:val="single" w:sz="8" w:space="0" w:color="000000"/>
              <w:left w:val="nil"/>
              <w:bottom w:val="single" w:sz="8" w:space="0" w:color="000000"/>
              <w:right w:val="single" w:sz="8" w:space="0" w:color="auto"/>
            </w:tcBorders>
            <w:textDirection w:val="lrTb"/>
            <w:vAlign w:val="center"/>
          </w:tcPr>
          <w:p w:rsidR="00844C20"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45,04</w:t>
            </w:r>
          </w:p>
        </w:tc>
      </w:tr>
      <w:tr>
        <w:tblPrEx>
          <w:tblW w:w="9120" w:type="dxa"/>
          <w:jc w:val="center"/>
          <w:tblCellMar>
            <w:left w:w="70" w:type="dxa"/>
            <w:right w:w="70" w:type="dxa"/>
          </w:tblCellMar>
          <w:tblLook w:val="04A0"/>
        </w:tblPrEx>
        <w:trPr>
          <w:trHeight w:val="270"/>
          <w:jc w:val="center"/>
        </w:trPr>
        <w:tc>
          <w:tcPr>
            <w:tcW w:w="3440" w:type="dxa"/>
            <w:tcBorders>
              <w:top w:val="single" w:sz="8" w:space="0" w:color="000000"/>
              <w:left w:val="single" w:sz="8" w:space="0" w:color="auto"/>
              <w:bottom w:val="single" w:sz="8" w:space="0" w:color="000000"/>
              <w:right w:val="single" w:sz="8" w:space="0" w:color="000000"/>
            </w:tcBorders>
            <w:textDirection w:val="lrTb"/>
            <w:vAlign w:val="center"/>
          </w:tcPr>
          <w:p w:rsidR="00844C20" w:rsidRPr="00A86C7E" w:rsidP="005C14D4">
            <w:pPr>
              <w:bidi w:val="0"/>
              <w:rPr>
                <w:rFonts w:ascii="Arial Narrow" w:hAnsi="Arial Narrow"/>
                <w:b/>
                <w:bCs/>
                <w:color w:val="000000"/>
                <w:sz w:val="14"/>
                <w:szCs w:val="14"/>
              </w:rPr>
            </w:pPr>
            <w:r w:rsidRPr="00A86C7E">
              <w:rPr>
                <w:rFonts w:ascii="Arial Narrow" w:hAnsi="Arial Narrow"/>
                <w:b/>
                <w:bCs/>
                <w:color w:val="000000"/>
                <w:sz w:val="14"/>
                <w:szCs w:val="14"/>
              </w:rPr>
              <w:t>L] čistý príjem rodiny</w:t>
            </w:r>
          </w:p>
        </w:tc>
        <w:tc>
          <w:tcPr>
            <w:tcW w:w="1420" w:type="dxa"/>
            <w:tcBorders>
              <w:top w:val="single" w:sz="8" w:space="0" w:color="000000"/>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b/>
                <w:bCs/>
                <w:color w:val="000000"/>
                <w:sz w:val="14"/>
                <w:szCs w:val="14"/>
              </w:rPr>
            </w:pPr>
            <w:r w:rsidRPr="00A86C7E">
              <w:rPr>
                <w:rFonts w:ascii="Arial Narrow" w:hAnsi="Arial Narrow"/>
                <w:b/>
                <w:bCs/>
                <w:color w:val="000000"/>
                <w:sz w:val="14"/>
                <w:szCs w:val="14"/>
              </w:rPr>
              <w:t>[J+K]</w:t>
            </w:r>
          </w:p>
        </w:tc>
        <w:tc>
          <w:tcPr>
            <w:tcW w:w="1420" w:type="dxa"/>
            <w:tcBorders>
              <w:top w:val="single" w:sz="8" w:space="0" w:color="000000"/>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b/>
                <w:bCs/>
                <w:color w:val="000000"/>
                <w:sz w:val="14"/>
                <w:szCs w:val="14"/>
              </w:rPr>
            </w:pPr>
            <w:r w:rsidRPr="00A86C7E">
              <w:rPr>
                <w:rFonts w:ascii="Arial Narrow" w:hAnsi="Arial Narrow"/>
                <w:b/>
                <w:bCs/>
                <w:color w:val="000000"/>
                <w:sz w:val="14"/>
                <w:szCs w:val="14"/>
              </w:rPr>
              <w:t>1 189,18</w:t>
            </w:r>
          </w:p>
        </w:tc>
        <w:tc>
          <w:tcPr>
            <w:tcW w:w="1420" w:type="dxa"/>
            <w:tcBorders>
              <w:top w:val="single" w:sz="8" w:space="0" w:color="000000"/>
              <w:left w:val="nil"/>
              <w:bottom w:val="single" w:sz="8" w:space="0" w:color="000000"/>
              <w:right w:val="single" w:sz="8" w:space="0" w:color="000000"/>
            </w:tcBorders>
            <w:textDirection w:val="lrTb"/>
            <w:vAlign w:val="center"/>
          </w:tcPr>
          <w:p w:rsidR="00844C20" w:rsidRPr="00A86C7E" w:rsidP="005C14D4">
            <w:pPr>
              <w:bidi w:val="0"/>
              <w:jc w:val="center"/>
              <w:rPr>
                <w:rFonts w:ascii="Arial Narrow" w:hAnsi="Arial Narrow"/>
                <w:b/>
                <w:bCs/>
                <w:color w:val="000000"/>
                <w:sz w:val="14"/>
                <w:szCs w:val="14"/>
              </w:rPr>
            </w:pPr>
            <w:r w:rsidRPr="00A86C7E">
              <w:rPr>
                <w:rFonts w:ascii="Arial Narrow" w:hAnsi="Arial Narrow"/>
                <w:b/>
                <w:bCs/>
                <w:color w:val="000000"/>
                <w:sz w:val="14"/>
                <w:szCs w:val="14"/>
              </w:rPr>
              <w:t>[J+K]</w:t>
            </w:r>
          </w:p>
        </w:tc>
        <w:tc>
          <w:tcPr>
            <w:tcW w:w="1420" w:type="dxa"/>
            <w:tcBorders>
              <w:top w:val="single" w:sz="8" w:space="0" w:color="000000"/>
              <w:left w:val="nil"/>
              <w:bottom w:val="single" w:sz="8" w:space="0" w:color="000000"/>
              <w:right w:val="single" w:sz="8" w:space="0" w:color="auto"/>
            </w:tcBorders>
            <w:textDirection w:val="lrTb"/>
            <w:vAlign w:val="center"/>
          </w:tcPr>
          <w:p w:rsidR="00844C20" w:rsidRPr="00A86C7E" w:rsidP="005C14D4">
            <w:pPr>
              <w:bidi w:val="0"/>
              <w:jc w:val="center"/>
              <w:rPr>
                <w:rFonts w:ascii="Arial Narrow" w:hAnsi="Arial Narrow"/>
                <w:b/>
                <w:bCs/>
                <w:color w:val="000000"/>
                <w:sz w:val="14"/>
                <w:szCs w:val="14"/>
              </w:rPr>
            </w:pPr>
            <w:r w:rsidRPr="00A86C7E">
              <w:rPr>
                <w:rFonts w:ascii="Arial Narrow" w:hAnsi="Arial Narrow"/>
                <w:b/>
                <w:bCs/>
                <w:color w:val="000000"/>
                <w:sz w:val="14"/>
                <w:szCs w:val="14"/>
              </w:rPr>
              <w:t>1 195,25</w:t>
            </w:r>
          </w:p>
        </w:tc>
      </w:tr>
      <w:tr>
        <w:tblPrEx>
          <w:tblW w:w="9120" w:type="dxa"/>
          <w:jc w:val="center"/>
          <w:tblCellMar>
            <w:left w:w="70" w:type="dxa"/>
            <w:right w:w="70" w:type="dxa"/>
          </w:tblCellMar>
          <w:tblLook w:val="04A0"/>
        </w:tblPrEx>
        <w:trPr>
          <w:trHeight w:val="270"/>
          <w:jc w:val="center"/>
        </w:trPr>
        <w:tc>
          <w:tcPr>
            <w:tcW w:w="9120" w:type="dxa"/>
            <w:gridSpan w:val="5"/>
            <w:tcBorders>
              <w:top w:val="single" w:sz="8" w:space="0" w:color="000000"/>
              <w:left w:val="none" w:sz="0" w:space="0" w:color="auto"/>
              <w:bottom w:val="none" w:sz="0" w:space="0" w:color="auto"/>
              <w:right w:val="none" w:sz="0" w:space="0" w:color="auto"/>
            </w:tcBorders>
            <w:textDirection w:val="lrTb"/>
            <w:vAlign w:val="center"/>
          </w:tcPr>
          <w:p w:rsidR="00844C20" w:rsidRPr="00A86C7E" w:rsidP="005C14D4">
            <w:pPr>
              <w:bidi w:val="0"/>
              <w:jc w:val="both"/>
              <w:rPr>
                <w:rFonts w:ascii="Arial Narrow" w:hAnsi="Arial Narrow" w:cs="Arial Narrow"/>
                <w:bCs/>
                <w:color w:val="000000"/>
                <w:sz w:val="16"/>
                <w:szCs w:val="16"/>
                <w:vertAlign w:val="superscript"/>
              </w:rPr>
            </w:pPr>
            <w:r w:rsidRPr="00A86C7E">
              <w:rPr>
                <w:rFonts w:ascii="Arial Narrow" w:hAnsi="Arial Narrow" w:cs="Arial Narrow"/>
                <w:bCs/>
                <w:color w:val="000000"/>
                <w:sz w:val="16"/>
                <w:szCs w:val="16"/>
                <w:vertAlign w:val="superscript"/>
              </w:rPr>
              <w:t>1</w:t>
            </w:r>
            <w:r w:rsidRPr="00A86C7E">
              <w:rPr>
                <w:rFonts w:ascii="Arial Narrow" w:hAnsi="Arial Narrow" w:cs="Arial Narrow"/>
                <w:bCs/>
                <w:color w:val="000000"/>
                <w:sz w:val="16"/>
                <w:szCs w:val="16"/>
              </w:rPr>
              <w:t xml:space="preserve"> uvedené sumy sú zaokrúhlené podľa súčasnej legislatívy</w:t>
            </w:r>
          </w:p>
        </w:tc>
      </w:tr>
      <w:tr>
        <w:tblPrEx>
          <w:tblW w:w="9120" w:type="dxa"/>
          <w:jc w:val="center"/>
          <w:tblCellMar>
            <w:left w:w="70" w:type="dxa"/>
            <w:right w:w="70" w:type="dxa"/>
          </w:tblCellMar>
          <w:tblLook w:val="04A0"/>
        </w:tblPrEx>
        <w:trPr>
          <w:trHeight w:val="270"/>
          <w:jc w:val="center"/>
        </w:trPr>
        <w:tc>
          <w:tcPr>
            <w:tcW w:w="9120" w:type="dxa"/>
            <w:gridSpan w:val="5"/>
            <w:tcBorders>
              <w:top w:val="none" w:sz="0" w:space="0" w:color="auto"/>
              <w:left w:val="none" w:sz="0" w:space="0" w:color="auto"/>
              <w:bottom w:val="none" w:sz="0" w:space="0" w:color="auto"/>
              <w:right w:val="none" w:sz="0" w:space="0" w:color="auto"/>
            </w:tcBorders>
            <w:textDirection w:val="lrTb"/>
            <w:vAlign w:val="top"/>
          </w:tcPr>
          <w:p w:rsidR="00844C20" w:rsidRPr="00A86C7E" w:rsidP="005C14D4">
            <w:pPr>
              <w:bidi w:val="0"/>
              <w:ind w:left="113" w:hanging="113"/>
              <w:jc w:val="both"/>
              <w:rPr>
                <w:rFonts w:ascii="Arial Narrow" w:hAnsi="Arial Narrow" w:cs="Arial Narrow"/>
                <w:bCs/>
                <w:color w:val="000000"/>
                <w:sz w:val="16"/>
                <w:szCs w:val="16"/>
              </w:rPr>
            </w:pPr>
            <w:r w:rsidRPr="00A86C7E">
              <w:rPr>
                <w:rFonts w:ascii="Arial Narrow" w:hAnsi="Arial Narrow" w:cs="Arial Narrow"/>
                <w:bCs/>
                <w:color w:val="000000"/>
                <w:sz w:val="16"/>
                <w:szCs w:val="16"/>
                <w:vertAlign w:val="superscript"/>
              </w:rPr>
              <w:t>2</w:t>
            </w:r>
            <w:r w:rsidRPr="00A86C7E">
              <w:rPr>
                <w:rFonts w:ascii="Arial Narrow" w:hAnsi="Arial Narrow" w:cs="Arial Narrow"/>
                <w:bCs/>
                <w:color w:val="000000"/>
                <w:sz w:val="16"/>
                <w:szCs w:val="16"/>
              </w:rPr>
              <w:t xml:space="preserve"> podľa návrhu sa superhrubá mzda rovná súčasným nákladom práce zníženým o úrazového poistenie - 0,8% hrubej mzdy = 0,592% nákladov práce</w:t>
            </w:r>
          </w:p>
          <w:p w:rsidR="00844C20" w:rsidRPr="00A86C7E" w:rsidP="005C14D4">
            <w:pPr>
              <w:bidi w:val="0"/>
              <w:ind w:left="113" w:hanging="113"/>
              <w:jc w:val="both"/>
              <w:rPr>
                <w:rFonts w:ascii="Arial Narrow" w:hAnsi="Arial Narrow" w:cs="Arial Narrow"/>
                <w:bCs/>
                <w:color w:val="000000"/>
                <w:sz w:val="16"/>
                <w:szCs w:val="16"/>
                <w:vertAlign w:val="superscript"/>
              </w:rPr>
            </w:pPr>
            <w:r w:rsidRPr="00A86C7E">
              <w:rPr>
                <w:rFonts w:ascii="Arial Narrow" w:hAnsi="Arial Narrow" w:cs="Arial Narrow"/>
                <w:bCs/>
                <w:color w:val="000000"/>
                <w:sz w:val="16"/>
                <w:szCs w:val="16"/>
                <w:vertAlign w:val="superscript"/>
              </w:rPr>
              <w:t>3</w:t>
            </w:r>
            <w:r w:rsidRPr="00A86C7E">
              <w:rPr>
                <w:rFonts w:ascii="Arial Narrow" w:hAnsi="Arial Narrow" w:cs="Arial Narrow"/>
                <w:bCs/>
                <w:color w:val="000000"/>
                <w:sz w:val="16"/>
                <w:szCs w:val="16"/>
              </w:rPr>
              <w:t xml:space="preserve"> predpokladá sa, že rodina okrem prídavkov na deti nepoberá žiadne iné sociálne dávky (štipendiá, príspevok na starostlivosť o postihnuté, resp. dlhodobo choré dieťa a pod.)</w:t>
            </w:r>
          </w:p>
        </w:tc>
      </w:tr>
    </w:tbl>
    <w:p w:rsidR="00801DE1" w:rsidP="00221271">
      <w:pPr>
        <w:bidi w:val="0"/>
        <w:jc w:val="center"/>
        <w:rPr>
          <w:rFonts w:ascii="Times New Roman" w:hAnsi="Times New Roman"/>
          <w:color w:val="0070C0"/>
        </w:rPr>
      </w:pPr>
    </w:p>
    <w:tbl>
      <w:tblPr>
        <w:tblStyle w:val="TableNormal"/>
        <w:tblW w:w="9120" w:type="dxa"/>
        <w:jc w:val="center"/>
        <w:tblCellMar>
          <w:left w:w="70" w:type="dxa"/>
          <w:right w:w="70" w:type="dxa"/>
        </w:tblCellMar>
        <w:tblLook w:val="04A0"/>
      </w:tblPr>
      <w:tblGrid>
        <w:gridCol w:w="3440"/>
        <w:gridCol w:w="1420"/>
        <w:gridCol w:w="1420"/>
        <w:gridCol w:w="1420"/>
        <w:gridCol w:w="1420"/>
      </w:tblGrid>
      <w:tr>
        <w:tblPrEx>
          <w:tblW w:w="9120" w:type="dxa"/>
          <w:jc w:val="center"/>
          <w:tblCellMar>
            <w:left w:w="70" w:type="dxa"/>
            <w:right w:w="70" w:type="dxa"/>
          </w:tblCellMar>
          <w:tblLook w:val="04A0"/>
        </w:tblPrEx>
        <w:trPr>
          <w:trHeight w:val="340"/>
          <w:jc w:val="center"/>
        </w:trPr>
        <w:tc>
          <w:tcPr>
            <w:tcW w:w="9120" w:type="dxa"/>
            <w:gridSpan w:val="5"/>
            <w:tcBorders>
              <w:top w:val="single" w:sz="8" w:space="0" w:color="auto"/>
              <w:left w:val="single" w:sz="8" w:space="0" w:color="auto"/>
              <w:bottom w:val="single" w:sz="8" w:space="0" w:color="000000"/>
              <w:right w:val="single" w:sz="8" w:space="0" w:color="000000"/>
            </w:tcBorders>
            <w:shd w:val="clear" w:color="000000" w:fill="000000"/>
            <w:textDirection w:val="lrTb"/>
            <w:vAlign w:val="center"/>
          </w:tcPr>
          <w:p w:rsidR="00801DE1" w:rsidRPr="00A86C7E" w:rsidP="005C14D4">
            <w:pPr>
              <w:bidi w:val="0"/>
              <w:rPr>
                <w:rFonts w:ascii="Arial Narrow" w:hAnsi="Arial Narrow"/>
                <w:b/>
                <w:bCs/>
                <w:color w:val="FFFFFF"/>
                <w:sz w:val="20"/>
                <w:szCs w:val="20"/>
              </w:rPr>
            </w:pPr>
            <w:r w:rsidRPr="00A86C7E">
              <w:rPr>
                <w:rFonts w:ascii="Arial Narrow" w:hAnsi="Arial Narrow" w:cs="Arial Narrow"/>
                <w:b/>
                <w:bCs/>
                <w:color w:val="FFFFFF"/>
                <w:sz w:val="20"/>
                <w:szCs w:val="20"/>
              </w:rPr>
              <w:t>Ilustratívny príklad výpočtu čistých prí</w:t>
            </w:r>
            <w:r w:rsidRPr="00801DE1">
              <w:rPr>
                <w:rFonts w:ascii="Arial Narrow" w:hAnsi="Arial Narrow" w:cs="Arial Narrow"/>
                <w:b/>
                <w:bCs/>
                <w:color w:val="FFFFFF"/>
                <w:sz w:val="20"/>
                <w:szCs w:val="20"/>
              </w:rPr>
              <w:t>jmov pred a po reforme daní, c</w:t>
            </w:r>
            <w:r w:rsidRPr="00A86C7E">
              <w:rPr>
                <w:rFonts w:ascii="Arial Narrow" w:hAnsi="Arial Narrow" w:cs="Arial Narrow"/>
                <w:b/>
                <w:bCs/>
                <w:color w:val="FFFFFF"/>
                <w:sz w:val="20"/>
                <w:szCs w:val="20"/>
              </w:rPr>
              <w:t>l</w:t>
            </w:r>
            <w:r>
              <w:rPr>
                <w:rFonts w:ascii="Arial Narrow" w:hAnsi="Arial Narrow" w:cs="Arial Narrow"/>
                <w:b/>
                <w:bCs/>
                <w:color w:val="FFFFFF"/>
                <w:sz w:val="20"/>
                <w:szCs w:val="20"/>
              </w:rPr>
              <w:t>a</w:t>
            </w:r>
            <w:r w:rsidRPr="00801DE1">
              <w:rPr>
                <w:rFonts w:ascii="Arial Narrow" w:hAnsi="Arial Narrow" w:cs="Arial Narrow"/>
                <w:b/>
                <w:bCs/>
                <w:color w:val="FFFFFF"/>
                <w:sz w:val="20"/>
                <w:szCs w:val="20"/>
              </w:rPr>
              <w:t xml:space="preserve"> a </w:t>
            </w:r>
            <w:r>
              <w:rPr>
                <w:rFonts w:ascii="Arial Narrow" w:hAnsi="Arial Narrow" w:cs="Arial Narrow"/>
                <w:b/>
                <w:bCs/>
                <w:color w:val="FFFFFF"/>
                <w:sz w:val="20"/>
                <w:szCs w:val="20"/>
              </w:rPr>
              <w:t>poistného</w:t>
            </w:r>
            <w:r w:rsidRPr="00A86C7E">
              <w:rPr>
                <w:rFonts w:ascii="Arial Narrow" w:hAnsi="Arial Narrow" w:cs="Arial Narrow"/>
                <w:b/>
                <w:bCs/>
                <w:color w:val="FFFFFF"/>
                <w:sz w:val="20"/>
                <w:szCs w:val="20"/>
              </w:rPr>
              <w:t xml:space="preserve"> (rok 2012)</w:t>
            </w:r>
          </w:p>
        </w:tc>
      </w:tr>
      <w:tr>
        <w:tblPrEx>
          <w:tblW w:w="9120" w:type="dxa"/>
          <w:jc w:val="center"/>
          <w:tblCellMar>
            <w:left w:w="70" w:type="dxa"/>
            <w:right w:w="70" w:type="dxa"/>
          </w:tblCellMar>
          <w:tblLook w:val="04A0"/>
        </w:tblPrEx>
        <w:trPr>
          <w:trHeight w:val="284"/>
          <w:jc w:val="center"/>
        </w:trPr>
        <w:tc>
          <w:tcPr>
            <w:tcW w:w="3440" w:type="dxa"/>
            <w:vMerge w:val="restart"/>
            <w:tcBorders>
              <w:top w:val="nil"/>
              <w:left w:val="single" w:sz="8" w:space="0" w:color="auto"/>
              <w:bottom w:val="single" w:sz="8" w:space="0" w:color="000000"/>
              <w:right w:val="single" w:sz="8" w:space="0" w:color="000000"/>
            </w:tcBorders>
            <w:shd w:val="clear" w:color="000000" w:fill="BFBFBF"/>
            <w:textDirection w:val="lrTb"/>
            <w:vAlign w:val="top"/>
          </w:tcPr>
          <w:p w:rsidR="00801DE1" w:rsidRPr="00A86C7E" w:rsidP="005C14D4">
            <w:pPr>
              <w:bidi w:val="0"/>
              <w:spacing w:before="120"/>
              <w:rPr>
                <w:rFonts w:ascii="Arial Narrow" w:hAnsi="Arial Narrow"/>
                <w:b/>
                <w:bCs/>
                <w:i/>
                <w:color w:val="000000"/>
                <w:sz w:val="16"/>
                <w:szCs w:val="16"/>
              </w:rPr>
            </w:pPr>
            <w:r w:rsidRPr="00A86C7E">
              <w:rPr>
                <w:rFonts w:ascii="Arial Narrow" w:hAnsi="Arial Narrow" w:cs="Arial Narrow"/>
                <w:b/>
                <w:bCs/>
                <w:i/>
                <w:color w:val="000000"/>
                <w:sz w:val="16"/>
                <w:szCs w:val="16"/>
              </w:rPr>
              <w:t>Použité skratky: ZO – zdravotný odvod, SO – sociálny odvod,  ŽM – životné minimum</w:t>
            </w:r>
          </w:p>
        </w:tc>
        <w:tc>
          <w:tcPr>
            <w:tcW w:w="5680" w:type="dxa"/>
            <w:gridSpan w:val="4"/>
            <w:tcBorders>
              <w:top w:val="single" w:sz="8" w:space="0" w:color="000000"/>
              <w:left w:val="nil"/>
              <w:bottom w:val="single" w:sz="8" w:space="0" w:color="000000"/>
              <w:right w:val="single" w:sz="8" w:space="0" w:color="000000"/>
            </w:tcBorders>
            <w:shd w:val="clear" w:color="000000" w:fill="BFBFBF"/>
            <w:textDirection w:val="lrTb"/>
            <w:vAlign w:val="center"/>
          </w:tcPr>
          <w:p w:rsidR="00801DE1" w:rsidRPr="00A86C7E" w:rsidP="005C14D4">
            <w:pPr>
              <w:bidi w:val="0"/>
              <w:jc w:val="center"/>
              <w:rPr>
                <w:rFonts w:ascii="Arial Narrow" w:hAnsi="Arial Narrow"/>
                <w:b/>
                <w:bCs/>
                <w:color w:val="000000"/>
                <w:sz w:val="16"/>
                <w:szCs w:val="16"/>
              </w:rPr>
            </w:pPr>
            <w:r w:rsidRPr="00A86C7E">
              <w:rPr>
                <w:rFonts w:ascii="Arial Narrow" w:hAnsi="Arial Narrow" w:cs="Arial Narrow"/>
                <w:b/>
                <w:bCs/>
                <w:color w:val="000000"/>
                <w:sz w:val="16"/>
                <w:szCs w:val="16"/>
              </w:rPr>
              <w:t>Rodina so 4 deťmi, otec pracuje s príjmom = 70% priem. mzdy, matka 70% priemernej mzdy</w:t>
            </w:r>
          </w:p>
        </w:tc>
      </w:tr>
      <w:tr>
        <w:tblPrEx>
          <w:tblW w:w="9120" w:type="dxa"/>
          <w:jc w:val="center"/>
          <w:tblCellMar>
            <w:left w:w="70" w:type="dxa"/>
            <w:right w:w="70" w:type="dxa"/>
          </w:tblCellMar>
          <w:tblLook w:val="04A0"/>
        </w:tblPrEx>
        <w:trPr>
          <w:trHeight w:val="284"/>
          <w:jc w:val="center"/>
        </w:trPr>
        <w:tc>
          <w:tcPr>
            <w:tcW w:w="3440" w:type="dxa"/>
            <w:vMerge/>
            <w:tcBorders>
              <w:top w:val="nil"/>
              <w:left w:val="single" w:sz="8" w:space="0" w:color="auto"/>
              <w:bottom w:val="single" w:sz="8" w:space="0" w:color="000000"/>
              <w:right w:val="single" w:sz="8" w:space="0" w:color="000000"/>
            </w:tcBorders>
            <w:textDirection w:val="lrTb"/>
            <w:vAlign w:val="center"/>
          </w:tcPr>
          <w:p w:rsidR="00801DE1" w:rsidRPr="00A86C7E" w:rsidP="005C14D4">
            <w:pPr>
              <w:bidi w:val="0"/>
              <w:rPr>
                <w:rFonts w:ascii="Arial Narrow" w:hAnsi="Arial Narrow"/>
                <w:b/>
                <w:bCs/>
                <w:color w:val="000000"/>
                <w:sz w:val="16"/>
                <w:szCs w:val="16"/>
              </w:rPr>
            </w:pPr>
          </w:p>
        </w:tc>
        <w:tc>
          <w:tcPr>
            <w:tcW w:w="2840" w:type="dxa"/>
            <w:gridSpan w:val="2"/>
            <w:tcBorders>
              <w:top w:val="single" w:sz="8" w:space="0" w:color="000000"/>
              <w:left w:val="nil"/>
              <w:bottom w:val="single" w:sz="8" w:space="0" w:color="000000"/>
              <w:right w:val="single" w:sz="8" w:space="0" w:color="000000"/>
            </w:tcBorders>
            <w:shd w:val="clear" w:color="000000" w:fill="BFBFBF"/>
            <w:textDirection w:val="lrTb"/>
            <w:vAlign w:val="center"/>
          </w:tcPr>
          <w:p w:rsidR="00801DE1" w:rsidRPr="00A86C7E" w:rsidP="005C14D4">
            <w:pPr>
              <w:bidi w:val="0"/>
              <w:jc w:val="center"/>
              <w:rPr>
                <w:rFonts w:ascii="Arial Narrow" w:hAnsi="Arial Narrow" w:cs="Arial Narrow"/>
                <w:b/>
                <w:bCs/>
                <w:color w:val="000000"/>
                <w:sz w:val="16"/>
                <w:szCs w:val="16"/>
              </w:rPr>
            </w:pPr>
            <w:r w:rsidRPr="00A86C7E">
              <w:rPr>
                <w:rFonts w:ascii="Arial Narrow" w:hAnsi="Arial Narrow" w:cs="Arial Narrow"/>
                <w:b/>
                <w:bCs/>
                <w:color w:val="000000"/>
                <w:sz w:val="16"/>
                <w:szCs w:val="16"/>
              </w:rPr>
              <w:t>I.   Súčasný systém</w:t>
            </w:r>
          </w:p>
        </w:tc>
        <w:tc>
          <w:tcPr>
            <w:tcW w:w="2840" w:type="dxa"/>
            <w:gridSpan w:val="2"/>
            <w:tcBorders>
              <w:top w:val="single" w:sz="8" w:space="0" w:color="000000"/>
              <w:left w:val="nil"/>
              <w:bottom w:val="single" w:sz="8" w:space="0" w:color="000000"/>
              <w:right w:val="single" w:sz="8" w:space="0" w:color="000000"/>
            </w:tcBorders>
            <w:shd w:val="clear" w:color="000000" w:fill="BFBFBF"/>
            <w:textDirection w:val="lrTb"/>
            <w:vAlign w:val="center"/>
          </w:tcPr>
          <w:p w:rsidR="00801DE1" w:rsidRPr="00A86C7E" w:rsidP="005C14D4">
            <w:pPr>
              <w:bidi w:val="0"/>
              <w:jc w:val="center"/>
              <w:rPr>
                <w:rFonts w:ascii="Arial Narrow" w:hAnsi="Arial Narrow" w:cs="Arial Narrow"/>
                <w:b/>
                <w:bCs/>
                <w:color w:val="000000"/>
                <w:sz w:val="16"/>
                <w:szCs w:val="16"/>
              </w:rPr>
            </w:pPr>
            <w:r w:rsidRPr="00A86C7E">
              <w:rPr>
                <w:rFonts w:ascii="Arial Narrow" w:hAnsi="Arial Narrow" w:cs="Arial Narrow"/>
                <w:b/>
                <w:bCs/>
                <w:color w:val="000000"/>
                <w:sz w:val="16"/>
                <w:szCs w:val="16"/>
              </w:rPr>
              <w:t>II. Návrh</w:t>
            </w:r>
          </w:p>
        </w:tc>
      </w:tr>
      <w:tr>
        <w:tblPrEx>
          <w:tblW w:w="9120" w:type="dxa"/>
          <w:jc w:val="center"/>
          <w:tblCellMar>
            <w:left w:w="70" w:type="dxa"/>
            <w:right w:w="70" w:type="dxa"/>
          </w:tblCellMar>
          <w:tblLook w:val="04A0"/>
        </w:tblPrEx>
        <w:trPr>
          <w:trHeight w:val="284"/>
          <w:jc w:val="center"/>
        </w:trPr>
        <w:tc>
          <w:tcPr>
            <w:tcW w:w="3440" w:type="dxa"/>
            <w:vMerge/>
            <w:tcBorders>
              <w:top w:val="nil"/>
              <w:left w:val="single" w:sz="8" w:space="0" w:color="auto"/>
              <w:bottom w:val="single" w:sz="8" w:space="0" w:color="000000"/>
              <w:right w:val="single" w:sz="8" w:space="0" w:color="000000"/>
            </w:tcBorders>
            <w:textDirection w:val="lrTb"/>
            <w:vAlign w:val="center"/>
          </w:tcPr>
          <w:p w:rsidR="00801DE1" w:rsidRPr="00A86C7E" w:rsidP="005C14D4">
            <w:pPr>
              <w:bidi w:val="0"/>
              <w:rPr>
                <w:rFonts w:ascii="Arial Narrow" w:hAnsi="Arial Narrow"/>
                <w:b/>
                <w:bCs/>
                <w:color w:val="000000"/>
                <w:sz w:val="16"/>
                <w:szCs w:val="16"/>
              </w:rPr>
            </w:pPr>
          </w:p>
        </w:tc>
        <w:tc>
          <w:tcPr>
            <w:tcW w:w="1420" w:type="dxa"/>
            <w:tcBorders>
              <w:top w:val="nil"/>
              <w:left w:val="nil"/>
              <w:bottom w:val="single" w:sz="8" w:space="0" w:color="000000"/>
              <w:right w:val="single" w:sz="8" w:space="0" w:color="000000"/>
            </w:tcBorders>
            <w:shd w:val="clear" w:color="000000" w:fill="BFBFBF"/>
            <w:textDirection w:val="lrTb"/>
            <w:vAlign w:val="center"/>
          </w:tcPr>
          <w:p w:rsidR="00801DE1" w:rsidRPr="00A86C7E" w:rsidP="005C14D4">
            <w:pPr>
              <w:bidi w:val="0"/>
              <w:jc w:val="center"/>
              <w:rPr>
                <w:rFonts w:ascii="Arial Narrow" w:hAnsi="Arial Narrow"/>
                <w:color w:val="000000"/>
                <w:sz w:val="16"/>
                <w:szCs w:val="16"/>
              </w:rPr>
            </w:pPr>
            <w:r w:rsidRPr="00A86C7E">
              <w:rPr>
                <w:rFonts w:ascii="Arial Narrow" w:hAnsi="Arial Narrow" w:cs="Arial Narrow"/>
                <w:color w:val="000000"/>
                <w:sz w:val="16"/>
                <w:szCs w:val="16"/>
              </w:rPr>
              <w:t>sadzba v % [výpočet]</w:t>
            </w:r>
          </w:p>
        </w:tc>
        <w:tc>
          <w:tcPr>
            <w:tcW w:w="1420" w:type="dxa"/>
            <w:tcBorders>
              <w:top w:val="nil"/>
              <w:left w:val="nil"/>
              <w:bottom w:val="single" w:sz="8" w:space="0" w:color="000000"/>
              <w:right w:val="single" w:sz="8" w:space="0" w:color="000000"/>
            </w:tcBorders>
            <w:shd w:val="clear" w:color="000000" w:fill="BFBFBF"/>
            <w:textDirection w:val="lrTb"/>
            <w:vAlign w:val="center"/>
          </w:tcPr>
          <w:p w:rsidR="00801DE1" w:rsidRPr="00A86C7E" w:rsidP="005C14D4">
            <w:pPr>
              <w:bidi w:val="0"/>
              <w:jc w:val="center"/>
              <w:rPr>
                <w:rFonts w:ascii="Arial Narrow" w:hAnsi="Arial Narrow"/>
                <w:color w:val="000000"/>
                <w:sz w:val="16"/>
                <w:szCs w:val="16"/>
              </w:rPr>
            </w:pPr>
            <w:r w:rsidRPr="00A86C7E">
              <w:rPr>
                <w:rFonts w:ascii="Arial Narrow" w:hAnsi="Arial Narrow" w:cs="Arial Narrow"/>
                <w:color w:val="000000"/>
                <w:sz w:val="16"/>
                <w:szCs w:val="16"/>
              </w:rPr>
              <w:t>EUR</w:t>
            </w:r>
            <w:r w:rsidRPr="00A86C7E">
              <w:rPr>
                <w:rFonts w:ascii="Arial Narrow" w:hAnsi="Arial Narrow" w:cs="Arial Narrow"/>
                <w:color w:val="000000"/>
                <w:sz w:val="16"/>
                <w:szCs w:val="16"/>
                <w:vertAlign w:val="superscript"/>
              </w:rPr>
              <w:t>1</w:t>
            </w:r>
          </w:p>
        </w:tc>
        <w:tc>
          <w:tcPr>
            <w:tcW w:w="1420" w:type="dxa"/>
            <w:tcBorders>
              <w:top w:val="nil"/>
              <w:left w:val="nil"/>
              <w:bottom w:val="single" w:sz="8" w:space="0" w:color="000000"/>
              <w:right w:val="single" w:sz="8" w:space="0" w:color="000000"/>
            </w:tcBorders>
            <w:shd w:val="clear" w:color="000000" w:fill="BFBFBF"/>
            <w:textDirection w:val="lrTb"/>
            <w:vAlign w:val="center"/>
          </w:tcPr>
          <w:p w:rsidR="00801DE1" w:rsidRPr="00A86C7E" w:rsidP="005C14D4">
            <w:pPr>
              <w:bidi w:val="0"/>
              <w:jc w:val="center"/>
              <w:rPr>
                <w:rFonts w:ascii="Arial Narrow" w:hAnsi="Arial Narrow"/>
                <w:color w:val="000000"/>
                <w:sz w:val="16"/>
                <w:szCs w:val="16"/>
              </w:rPr>
            </w:pPr>
            <w:r w:rsidRPr="00A86C7E">
              <w:rPr>
                <w:rFonts w:ascii="Arial Narrow" w:hAnsi="Arial Narrow" w:cs="Arial Narrow"/>
                <w:color w:val="000000"/>
                <w:sz w:val="16"/>
                <w:szCs w:val="16"/>
              </w:rPr>
              <w:t>sadzba v % [výpočet]</w:t>
            </w:r>
          </w:p>
        </w:tc>
        <w:tc>
          <w:tcPr>
            <w:tcW w:w="1420" w:type="dxa"/>
            <w:tcBorders>
              <w:top w:val="nil"/>
              <w:left w:val="nil"/>
              <w:bottom w:val="single" w:sz="8" w:space="0" w:color="000000"/>
              <w:right w:val="single" w:sz="8" w:space="0" w:color="auto"/>
            </w:tcBorders>
            <w:shd w:val="clear" w:color="000000" w:fill="BFBFBF"/>
            <w:textDirection w:val="lrTb"/>
            <w:vAlign w:val="center"/>
          </w:tcPr>
          <w:p w:rsidR="00801DE1" w:rsidRPr="00A86C7E" w:rsidP="005C14D4">
            <w:pPr>
              <w:bidi w:val="0"/>
              <w:jc w:val="center"/>
              <w:rPr>
                <w:rFonts w:ascii="Arial Narrow" w:hAnsi="Arial Narrow"/>
                <w:color w:val="000000"/>
                <w:sz w:val="16"/>
                <w:szCs w:val="16"/>
              </w:rPr>
            </w:pPr>
            <w:r w:rsidRPr="00A86C7E">
              <w:rPr>
                <w:rFonts w:ascii="Arial Narrow" w:hAnsi="Arial Narrow" w:cs="Arial Narrow"/>
                <w:color w:val="000000"/>
                <w:sz w:val="16"/>
                <w:szCs w:val="16"/>
              </w:rPr>
              <w:t>EUR</w:t>
            </w:r>
            <w:r w:rsidRPr="00A86C7E">
              <w:rPr>
                <w:rFonts w:ascii="Arial Narrow" w:hAnsi="Arial Narrow" w:cs="Arial Narrow"/>
                <w:color w:val="000000"/>
                <w:sz w:val="16"/>
                <w:szCs w:val="16"/>
                <w:vertAlign w:val="superscript"/>
              </w:rPr>
              <w:t>1</w:t>
            </w:r>
          </w:p>
        </w:tc>
      </w:tr>
      <w:tr>
        <w:tblPrEx>
          <w:tblW w:w="9120" w:type="dxa"/>
          <w:jc w:val="center"/>
          <w:tblCellMar>
            <w:left w:w="70" w:type="dxa"/>
            <w:right w:w="70" w:type="dxa"/>
          </w:tblCellMar>
          <w:tblLook w:val="04A0"/>
        </w:tblPrEx>
        <w:trPr>
          <w:trHeight w:val="270"/>
          <w:jc w:val="center"/>
        </w:trPr>
        <w:tc>
          <w:tcPr>
            <w:tcW w:w="3440" w:type="dxa"/>
            <w:tcBorders>
              <w:top w:val="nil"/>
              <w:left w:val="single" w:sz="8" w:space="0" w:color="auto"/>
              <w:bottom w:val="single" w:sz="8" w:space="0" w:color="000000"/>
              <w:right w:val="single" w:sz="8" w:space="0" w:color="000000"/>
            </w:tcBorders>
            <w:textDirection w:val="lrTb"/>
            <w:vAlign w:val="center"/>
          </w:tcPr>
          <w:p w:rsidR="00801DE1" w:rsidRPr="00A86C7E" w:rsidP="005C14D4">
            <w:pPr>
              <w:bidi w:val="0"/>
              <w:rPr>
                <w:rFonts w:ascii="Arial Narrow" w:hAnsi="Arial Narrow"/>
                <w:color w:val="000000"/>
                <w:sz w:val="14"/>
                <w:szCs w:val="14"/>
              </w:rPr>
            </w:pPr>
            <w:r w:rsidRPr="00A86C7E">
              <w:rPr>
                <w:rFonts w:ascii="Arial Narrow" w:hAnsi="Arial Narrow"/>
                <w:color w:val="000000"/>
                <w:sz w:val="14"/>
                <w:szCs w:val="14"/>
              </w:rPr>
              <w:t xml:space="preserve">A] hrubá mzda spolu </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1 182,13</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w:t>
            </w:r>
          </w:p>
        </w:tc>
        <w:tc>
          <w:tcPr>
            <w:tcW w:w="1420" w:type="dxa"/>
            <w:tcBorders>
              <w:top w:val="single" w:sz="8" w:space="0" w:color="000000"/>
              <w:left w:val="nil"/>
              <w:bottom w:val="single" w:sz="8" w:space="0" w:color="000000"/>
              <w:right w:val="single" w:sz="8" w:space="0" w:color="auto"/>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w:t>
            </w:r>
          </w:p>
        </w:tc>
      </w:tr>
      <w:tr>
        <w:tblPrEx>
          <w:tblW w:w="9120" w:type="dxa"/>
          <w:jc w:val="center"/>
          <w:tblCellMar>
            <w:left w:w="70" w:type="dxa"/>
            <w:right w:w="70" w:type="dxa"/>
          </w:tblCellMar>
          <w:tblLook w:val="04A0"/>
        </w:tblPrEx>
        <w:trPr>
          <w:trHeight w:val="270"/>
          <w:jc w:val="center"/>
        </w:trPr>
        <w:tc>
          <w:tcPr>
            <w:tcW w:w="3440" w:type="dxa"/>
            <w:tcBorders>
              <w:top w:val="nil"/>
              <w:left w:val="single" w:sz="8" w:space="0" w:color="auto"/>
              <w:bottom w:val="nil"/>
              <w:right w:val="single" w:sz="8" w:space="0" w:color="000000"/>
            </w:tcBorders>
            <w:textDirection w:val="lrTb"/>
            <w:vAlign w:val="center"/>
          </w:tcPr>
          <w:p w:rsidR="00801DE1" w:rsidRPr="00A86C7E" w:rsidP="005C14D4">
            <w:pPr>
              <w:bidi w:val="0"/>
              <w:rPr>
                <w:rFonts w:ascii="Arial Narrow" w:hAnsi="Arial Narrow"/>
                <w:color w:val="000000"/>
                <w:sz w:val="14"/>
                <w:szCs w:val="14"/>
              </w:rPr>
            </w:pPr>
            <w:r w:rsidRPr="00801DE1">
              <w:rPr>
                <w:rFonts w:ascii="Arial Narrow" w:hAnsi="Arial Narrow"/>
                <w:color w:val="000000"/>
                <w:sz w:val="14"/>
                <w:szCs w:val="14"/>
              </w:rPr>
              <w:t xml:space="preserve">B] </w:t>
            </w:r>
            <w:r>
              <w:rPr>
                <w:rFonts w:ascii="Arial Narrow" w:hAnsi="Arial Narrow"/>
                <w:color w:val="000000"/>
                <w:sz w:val="14"/>
                <w:szCs w:val="14"/>
              </w:rPr>
              <w:t>poistné</w:t>
            </w:r>
            <w:r w:rsidRPr="00A86C7E">
              <w:rPr>
                <w:rFonts w:ascii="Arial Narrow" w:hAnsi="Arial Narrow"/>
                <w:color w:val="000000"/>
                <w:sz w:val="14"/>
                <w:szCs w:val="14"/>
              </w:rPr>
              <w:t xml:space="preserve"> zamestnávateľa spolu</w:t>
            </w:r>
          </w:p>
        </w:tc>
        <w:tc>
          <w:tcPr>
            <w:tcW w:w="1420" w:type="dxa"/>
            <w:tcBorders>
              <w:top w:val="nil"/>
              <w:left w:val="nil"/>
              <w:bottom w:val="nil"/>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35,2 % z [A]</w:t>
            </w:r>
          </w:p>
        </w:tc>
        <w:tc>
          <w:tcPr>
            <w:tcW w:w="1420" w:type="dxa"/>
            <w:tcBorders>
              <w:top w:val="nil"/>
              <w:left w:val="nil"/>
              <w:bottom w:val="nil"/>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416,02</w:t>
            </w:r>
          </w:p>
        </w:tc>
        <w:tc>
          <w:tcPr>
            <w:tcW w:w="1420" w:type="dxa"/>
            <w:tcBorders>
              <w:top w:val="nil"/>
              <w:left w:val="nil"/>
              <w:bottom w:val="nil"/>
              <w:right w:val="single" w:sz="8" w:space="0" w:color="000000"/>
            </w:tcBorders>
            <w:shd w:val="clear" w:color="000000" w:fill="D8D8D8"/>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0,592 % z [C]</w:t>
            </w:r>
          </w:p>
        </w:tc>
        <w:tc>
          <w:tcPr>
            <w:tcW w:w="1420" w:type="dxa"/>
            <w:tcBorders>
              <w:top w:val="nil"/>
              <w:left w:val="nil"/>
              <w:bottom w:val="nil"/>
              <w:right w:val="single" w:sz="8" w:space="0" w:color="auto"/>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9,46</w:t>
            </w:r>
          </w:p>
        </w:tc>
      </w:tr>
      <w:tr>
        <w:tblPrEx>
          <w:tblW w:w="9120" w:type="dxa"/>
          <w:jc w:val="center"/>
          <w:tblCellMar>
            <w:left w:w="70" w:type="dxa"/>
            <w:right w:w="70" w:type="dxa"/>
          </w:tblCellMar>
          <w:tblLook w:val="04A0"/>
        </w:tblPrEx>
        <w:trPr>
          <w:trHeight w:val="540"/>
          <w:jc w:val="center"/>
        </w:trPr>
        <w:tc>
          <w:tcPr>
            <w:tcW w:w="3440" w:type="dxa"/>
            <w:tcBorders>
              <w:top w:val="single" w:sz="8" w:space="0" w:color="auto"/>
              <w:left w:val="single" w:sz="8" w:space="0" w:color="auto"/>
              <w:bottom w:val="single" w:sz="8" w:space="0" w:color="auto"/>
              <w:right w:val="single" w:sz="8" w:space="0" w:color="000000"/>
            </w:tcBorders>
            <w:textDirection w:val="lrTb"/>
            <w:vAlign w:val="center"/>
          </w:tcPr>
          <w:p w:rsidR="00801DE1" w:rsidRPr="00A86C7E" w:rsidP="005C14D4">
            <w:pPr>
              <w:bidi w:val="0"/>
              <w:rPr>
                <w:rFonts w:ascii="Arial Narrow" w:hAnsi="Arial Narrow"/>
                <w:b/>
                <w:bCs/>
                <w:color w:val="000000"/>
                <w:sz w:val="14"/>
                <w:szCs w:val="14"/>
              </w:rPr>
            </w:pPr>
            <w:r w:rsidRPr="00A86C7E">
              <w:rPr>
                <w:rFonts w:ascii="Arial Narrow" w:hAnsi="Arial Narrow"/>
                <w:b/>
                <w:bCs/>
                <w:color w:val="000000"/>
                <w:sz w:val="14"/>
                <w:szCs w:val="14"/>
              </w:rPr>
              <w:t>C] náklady práce spolu/(superhrubá mzda)</w:t>
            </w:r>
          </w:p>
        </w:tc>
        <w:tc>
          <w:tcPr>
            <w:tcW w:w="1420" w:type="dxa"/>
            <w:tcBorders>
              <w:top w:val="single" w:sz="8" w:space="0" w:color="auto"/>
              <w:left w:val="nil"/>
              <w:bottom w:val="single" w:sz="8" w:space="0" w:color="auto"/>
              <w:right w:val="single" w:sz="8" w:space="0" w:color="000000"/>
            </w:tcBorders>
            <w:textDirection w:val="lrTb"/>
            <w:vAlign w:val="center"/>
          </w:tcPr>
          <w:p w:rsidR="00801DE1" w:rsidRPr="00A86C7E" w:rsidP="005C14D4">
            <w:pPr>
              <w:bidi w:val="0"/>
              <w:jc w:val="center"/>
              <w:rPr>
                <w:rFonts w:ascii="Arial Narrow" w:hAnsi="Arial Narrow"/>
                <w:b/>
                <w:bCs/>
                <w:color w:val="000000"/>
                <w:sz w:val="14"/>
                <w:szCs w:val="14"/>
                <w:lang w:eastAsia="en-US"/>
              </w:rPr>
            </w:pPr>
            <w:r w:rsidRPr="00A86C7E">
              <w:rPr>
                <w:rFonts w:ascii="Arial Narrow" w:hAnsi="Arial Narrow"/>
                <w:b/>
                <w:bCs/>
                <w:color w:val="000000"/>
                <w:sz w:val="14"/>
                <w:szCs w:val="14"/>
                <w:lang w:eastAsia="en-US"/>
              </w:rPr>
              <w:t>[A+B]</w:t>
            </w:r>
          </w:p>
        </w:tc>
        <w:tc>
          <w:tcPr>
            <w:tcW w:w="1420" w:type="dxa"/>
            <w:tcBorders>
              <w:top w:val="single" w:sz="8" w:space="0" w:color="auto"/>
              <w:left w:val="nil"/>
              <w:bottom w:val="single" w:sz="8" w:space="0" w:color="auto"/>
              <w:right w:val="single" w:sz="8" w:space="0" w:color="000000"/>
            </w:tcBorders>
            <w:textDirection w:val="lrTb"/>
            <w:vAlign w:val="center"/>
          </w:tcPr>
          <w:p w:rsidR="00801DE1" w:rsidRPr="00A86C7E" w:rsidP="005C14D4">
            <w:pPr>
              <w:bidi w:val="0"/>
              <w:jc w:val="center"/>
              <w:rPr>
                <w:rFonts w:ascii="Arial Narrow" w:hAnsi="Arial Narrow"/>
                <w:b/>
                <w:bCs/>
                <w:color w:val="000000"/>
                <w:sz w:val="14"/>
                <w:szCs w:val="14"/>
                <w:lang w:eastAsia="en-US"/>
              </w:rPr>
            </w:pPr>
            <w:r w:rsidRPr="00A86C7E">
              <w:rPr>
                <w:rFonts w:ascii="Arial Narrow" w:hAnsi="Arial Narrow"/>
                <w:b/>
                <w:bCs/>
                <w:color w:val="000000"/>
                <w:sz w:val="14"/>
                <w:szCs w:val="14"/>
                <w:lang w:eastAsia="en-US"/>
              </w:rPr>
              <w:t>1 598,15</w:t>
            </w:r>
          </w:p>
        </w:tc>
        <w:tc>
          <w:tcPr>
            <w:tcW w:w="1420" w:type="dxa"/>
            <w:tcBorders>
              <w:top w:val="single" w:sz="8" w:space="0" w:color="auto"/>
              <w:left w:val="nil"/>
              <w:bottom w:val="single" w:sz="8" w:space="0" w:color="auto"/>
              <w:right w:val="single" w:sz="8" w:space="0" w:color="000000"/>
            </w:tcBorders>
            <w:shd w:val="clear" w:color="000000" w:fill="D8D8D8"/>
            <w:textDirection w:val="lrTb"/>
            <w:vAlign w:val="center"/>
          </w:tcPr>
          <w:p w:rsidR="00801DE1" w:rsidRPr="00A86C7E" w:rsidP="005C14D4">
            <w:pPr>
              <w:bidi w:val="0"/>
              <w:jc w:val="center"/>
              <w:rPr>
                <w:rFonts w:ascii="Arial Narrow" w:hAnsi="Arial Narrow"/>
                <w:b/>
                <w:bCs/>
                <w:color w:val="000000"/>
                <w:sz w:val="14"/>
                <w:szCs w:val="14"/>
                <w:lang w:eastAsia="en-US"/>
              </w:rPr>
            </w:pPr>
            <w:r w:rsidRPr="00A86C7E">
              <w:rPr>
                <w:rFonts w:ascii="Arial Narrow" w:hAnsi="Arial Narrow"/>
                <w:b/>
                <w:bCs/>
                <w:color w:val="000000"/>
                <w:sz w:val="14"/>
                <w:szCs w:val="14"/>
              </w:rPr>
              <w:t>[A+B] z I,               ([A+B] z I, - [B])</w:t>
            </w:r>
          </w:p>
        </w:tc>
        <w:tc>
          <w:tcPr>
            <w:tcW w:w="1420" w:type="dxa"/>
            <w:tcBorders>
              <w:top w:val="single" w:sz="8" w:space="0" w:color="auto"/>
              <w:left w:val="nil"/>
              <w:bottom w:val="single" w:sz="8" w:space="0" w:color="auto"/>
              <w:right w:val="single" w:sz="8" w:space="0" w:color="auto"/>
            </w:tcBorders>
            <w:textDirection w:val="lrTb"/>
            <w:vAlign w:val="center"/>
          </w:tcPr>
          <w:p w:rsidR="00801DE1" w:rsidRPr="00A86C7E" w:rsidP="005C14D4">
            <w:pPr>
              <w:bidi w:val="0"/>
              <w:jc w:val="center"/>
              <w:rPr>
                <w:rFonts w:ascii="Arial Narrow" w:hAnsi="Arial Narrow"/>
                <w:b/>
                <w:bCs/>
                <w:color w:val="000000"/>
                <w:sz w:val="14"/>
                <w:szCs w:val="14"/>
                <w:lang w:eastAsia="en-US"/>
              </w:rPr>
            </w:pPr>
            <w:r w:rsidRPr="00A86C7E">
              <w:rPr>
                <w:rFonts w:ascii="Arial Narrow" w:hAnsi="Arial Narrow"/>
                <w:b/>
                <w:bCs/>
                <w:color w:val="000000"/>
                <w:sz w:val="14"/>
                <w:szCs w:val="14"/>
                <w:lang w:eastAsia="en-US"/>
              </w:rPr>
              <w:t>1 598,15</w:t>
            </w:r>
          </w:p>
          <w:p w:rsidR="00801DE1" w:rsidRPr="00A86C7E" w:rsidP="005C14D4">
            <w:pPr>
              <w:bidi w:val="0"/>
              <w:jc w:val="center"/>
              <w:rPr>
                <w:rFonts w:ascii="Arial Narrow" w:hAnsi="Arial Narrow"/>
                <w:b/>
                <w:bCs/>
                <w:color w:val="000000"/>
                <w:sz w:val="14"/>
                <w:szCs w:val="14"/>
                <w:lang w:eastAsia="en-US"/>
              </w:rPr>
            </w:pPr>
            <w:r w:rsidRPr="00A86C7E">
              <w:rPr>
                <w:rFonts w:ascii="Arial Narrow" w:hAnsi="Arial Narrow"/>
                <w:b/>
                <w:bCs/>
                <w:color w:val="000000"/>
                <w:sz w:val="14"/>
                <w:szCs w:val="14"/>
                <w:lang w:eastAsia="en-US"/>
              </w:rPr>
              <w:t>1 588,69</w:t>
            </w:r>
          </w:p>
        </w:tc>
      </w:tr>
      <w:tr>
        <w:tblPrEx>
          <w:tblW w:w="9120" w:type="dxa"/>
          <w:jc w:val="center"/>
          <w:tblCellMar>
            <w:left w:w="70" w:type="dxa"/>
            <w:right w:w="70" w:type="dxa"/>
          </w:tblCellMar>
          <w:tblLook w:val="04A0"/>
        </w:tblPrEx>
        <w:trPr>
          <w:trHeight w:val="539"/>
          <w:jc w:val="center"/>
        </w:trPr>
        <w:tc>
          <w:tcPr>
            <w:tcW w:w="3440" w:type="dxa"/>
            <w:tcBorders>
              <w:top w:val="nil"/>
              <w:left w:val="single" w:sz="8" w:space="0" w:color="auto"/>
              <w:bottom w:val="single" w:sz="8" w:space="0" w:color="000000"/>
              <w:right w:val="single" w:sz="8" w:space="0" w:color="000000"/>
            </w:tcBorders>
            <w:textDirection w:val="lrTb"/>
            <w:vAlign w:val="center"/>
          </w:tcPr>
          <w:p w:rsidR="00801DE1" w:rsidRPr="00A86C7E" w:rsidP="005C14D4">
            <w:pPr>
              <w:bidi w:val="0"/>
              <w:rPr>
                <w:rFonts w:ascii="Arial Narrow" w:hAnsi="Arial Narrow"/>
                <w:color w:val="000000"/>
                <w:sz w:val="14"/>
                <w:szCs w:val="14"/>
              </w:rPr>
            </w:pPr>
            <w:r w:rsidRPr="00801DE1">
              <w:rPr>
                <w:rFonts w:ascii="Arial Narrow" w:hAnsi="Arial Narrow"/>
                <w:color w:val="000000"/>
                <w:sz w:val="14"/>
                <w:szCs w:val="14"/>
              </w:rPr>
              <w:t xml:space="preserve">D] </w:t>
            </w:r>
            <w:r>
              <w:rPr>
                <w:rFonts w:ascii="Arial Narrow" w:hAnsi="Arial Narrow"/>
                <w:color w:val="000000"/>
                <w:sz w:val="14"/>
                <w:szCs w:val="14"/>
              </w:rPr>
              <w:t>poistné</w:t>
            </w:r>
            <w:r w:rsidRPr="00A86C7E">
              <w:rPr>
                <w:rFonts w:ascii="Arial Narrow" w:hAnsi="Arial Narrow"/>
                <w:color w:val="000000"/>
                <w:sz w:val="14"/>
                <w:szCs w:val="14"/>
              </w:rPr>
              <w:t xml:space="preserve"> rodiny</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13,4 % z [A]</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158,38</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b/>
                <w:bCs/>
                <w:color w:val="000000"/>
                <w:sz w:val="14"/>
                <w:szCs w:val="14"/>
                <w:lang w:eastAsia="en-US"/>
              </w:rPr>
            </w:pPr>
            <w:r w:rsidRPr="00A86C7E">
              <w:rPr>
                <w:rFonts w:ascii="Arial Narrow" w:hAnsi="Arial Narrow"/>
                <w:color w:val="000000"/>
                <w:sz w:val="14"/>
                <w:szCs w:val="14"/>
              </w:rPr>
              <w:t>28 % z [(C)]      t,j,19% SO a 9% ZO</w:t>
            </w:r>
          </w:p>
        </w:tc>
        <w:tc>
          <w:tcPr>
            <w:tcW w:w="1420" w:type="dxa"/>
            <w:tcBorders>
              <w:top w:val="nil"/>
              <w:left w:val="nil"/>
              <w:bottom w:val="single" w:sz="8" w:space="0" w:color="000000"/>
              <w:right w:val="single" w:sz="8" w:space="0" w:color="auto"/>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446,14</w:t>
            </w:r>
          </w:p>
          <w:p w:rsidR="00801DE1" w:rsidRPr="00A86C7E" w:rsidP="005C14D4">
            <w:pPr>
              <w:bidi w:val="0"/>
              <w:jc w:val="center"/>
              <w:rPr>
                <w:rFonts w:ascii="Arial Narrow" w:hAnsi="Arial Narrow"/>
                <w:b/>
                <w:bCs/>
                <w:color w:val="000000"/>
                <w:sz w:val="14"/>
                <w:szCs w:val="14"/>
                <w:lang w:eastAsia="en-US"/>
              </w:rPr>
            </w:pPr>
            <w:r w:rsidRPr="00A86C7E">
              <w:rPr>
                <w:rFonts w:ascii="Arial Narrow" w:hAnsi="Arial Narrow"/>
                <w:color w:val="000000"/>
                <w:sz w:val="14"/>
                <w:szCs w:val="14"/>
                <w:lang w:eastAsia="en-US"/>
              </w:rPr>
              <w:t>t,j, 301,85 + 142,98</w:t>
            </w:r>
          </w:p>
        </w:tc>
      </w:tr>
      <w:tr>
        <w:tblPrEx>
          <w:tblW w:w="9120" w:type="dxa"/>
          <w:jc w:val="center"/>
          <w:tblCellMar>
            <w:left w:w="70" w:type="dxa"/>
            <w:right w:w="70" w:type="dxa"/>
          </w:tblCellMar>
          <w:tblLook w:val="04A0"/>
        </w:tblPrEx>
        <w:trPr>
          <w:trHeight w:val="270"/>
          <w:jc w:val="center"/>
        </w:trPr>
        <w:tc>
          <w:tcPr>
            <w:tcW w:w="3440" w:type="dxa"/>
            <w:tcBorders>
              <w:top w:val="nil"/>
              <w:left w:val="single" w:sz="8" w:space="0" w:color="auto"/>
              <w:bottom w:val="single" w:sz="8" w:space="0" w:color="000000"/>
              <w:right w:val="single" w:sz="8" w:space="0" w:color="000000"/>
            </w:tcBorders>
            <w:textDirection w:val="lrTb"/>
            <w:vAlign w:val="center"/>
          </w:tcPr>
          <w:p w:rsidR="00801DE1" w:rsidRPr="00A86C7E" w:rsidP="005C14D4">
            <w:pPr>
              <w:bidi w:val="0"/>
              <w:rPr>
                <w:rFonts w:ascii="Arial Narrow" w:hAnsi="Arial Narrow"/>
                <w:color w:val="000000"/>
                <w:sz w:val="14"/>
                <w:szCs w:val="14"/>
              </w:rPr>
            </w:pPr>
            <w:r w:rsidRPr="00A86C7E">
              <w:rPr>
                <w:rFonts w:ascii="Arial Narrow" w:hAnsi="Arial Narrow"/>
                <w:color w:val="000000"/>
                <w:sz w:val="14"/>
                <w:szCs w:val="14"/>
              </w:rPr>
              <w:t>E] základ dane</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[A-D]</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1 023,75</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 xml:space="preserve">28 % z [(C)]      </w:t>
            </w:r>
          </w:p>
        </w:tc>
        <w:tc>
          <w:tcPr>
            <w:tcW w:w="1420" w:type="dxa"/>
            <w:tcBorders>
              <w:top w:val="nil"/>
              <w:left w:val="nil"/>
              <w:bottom w:val="single" w:sz="8" w:space="0" w:color="000000"/>
              <w:right w:val="single" w:sz="8" w:space="0" w:color="auto"/>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1 588,69</w:t>
            </w:r>
          </w:p>
        </w:tc>
      </w:tr>
      <w:tr>
        <w:tblPrEx>
          <w:tblW w:w="9120" w:type="dxa"/>
          <w:jc w:val="center"/>
          <w:tblCellMar>
            <w:left w:w="70" w:type="dxa"/>
            <w:right w:w="70" w:type="dxa"/>
          </w:tblCellMar>
          <w:tblLook w:val="04A0"/>
        </w:tblPrEx>
        <w:trPr>
          <w:trHeight w:val="270"/>
          <w:jc w:val="center"/>
        </w:trPr>
        <w:tc>
          <w:tcPr>
            <w:tcW w:w="3440" w:type="dxa"/>
            <w:tcBorders>
              <w:top w:val="nil"/>
              <w:left w:val="single" w:sz="8" w:space="0" w:color="auto"/>
              <w:bottom w:val="single" w:sz="8" w:space="0" w:color="000000"/>
              <w:right w:val="single" w:sz="8" w:space="0" w:color="000000"/>
            </w:tcBorders>
            <w:textDirection w:val="lrTb"/>
            <w:vAlign w:val="center"/>
          </w:tcPr>
          <w:p w:rsidR="00801DE1" w:rsidRPr="00A86C7E" w:rsidP="005C14D4">
            <w:pPr>
              <w:bidi w:val="0"/>
              <w:rPr>
                <w:rFonts w:ascii="Arial Narrow" w:hAnsi="Arial Narrow"/>
                <w:color w:val="000000"/>
                <w:sz w:val="14"/>
                <w:szCs w:val="14"/>
              </w:rPr>
            </w:pPr>
            <w:r w:rsidRPr="00A86C7E">
              <w:rPr>
                <w:rFonts w:ascii="Arial Narrow" w:hAnsi="Arial Narrow"/>
                <w:color w:val="000000"/>
                <w:sz w:val="14"/>
                <w:szCs w:val="14"/>
              </w:rPr>
              <w:t>F] nezdaniteľne časti základu dane</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2 * 1,6 * ŽM</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606,88</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t,j,19% SO a 9% ZO</w:t>
            </w:r>
          </w:p>
        </w:tc>
        <w:tc>
          <w:tcPr>
            <w:tcW w:w="1420" w:type="dxa"/>
            <w:tcBorders>
              <w:top w:val="nil"/>
              <w:left w:val="nil"/>
              <w:bottom w:val="single" w:sz="8" w:space="0" w:color="000000"/>
              <w:right w:val="single" w:sz="8" w:space="0" w:color="auto"/>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568,95</w:t>
            </w:r>
          </w:p>
        </w:tc>
      </w:tr>
      <w:tr>
        <w:tblPrEx>
          <w:tblW w:w="9120" w:type="dxa"/>
          <w:jc w:val="center"/>
          <w:tblCellMar>
            <w:left w:w="70" w:type="dxa"/>
            <w:right w:w="70" w:type="dxa"/>
          </w:tblCellMar>
          <w:tblLook w:val="04A0"/>
        </w:tblPrEx>
        <w:trPr>
          <w:trHeight w:val="270"/>
          <w:jc w:val="center"/>
        </w:trPr>
        <w:tc>
          <w:tcPr>
            <w:tcW w:w="3440" w:type="dxa"/>
            <w:tcBorders>
              <w:top w:val="nil"/>
              <w:left w:val="single" w:sz="8" w:space="0" w:color="auto"/>
              <w:bottom w:val="single" w:sz="8" w:space="0" w:color="000000"/>
              <w:right w:val="single" w:sz="8" w:space="0" w:color="000000"/>
            </w:tcBorders>
            <w:textDirection w:val="lrTb"/>
            <w:vAlign w:val="center"/>
          </w:tcPr>
          <w:p w:rsidR="00801DE1" w:rsidRPr="00A86C7E" w:rsidP="005C14D4">
            <w:pPr>
              <w:bidi w:val="0"/>
              <w:rPr>
                <w:rFonts w:ascii="Arial Narrow" w:hAnsi="Arial Narrow"/>
                <w:color w:val="000000"/>
                <w:sz w:val="14"/>
                <w:szCs w:val="14"/>
              </w:rPr>
            </w:pPr>
            <w:r w:rsidRPr="00A86C7E">
              <w:rPr>
                <w:rFonts w:ascii="Arial Narrow" w:hAnsi="Arial Narrow"/>
                <w:color w:val="000000"/>
                <w:sz w:val="14"/>
                <w:szCs w:val="14"/>
              </w:rPr>
              <w:t>G] zdaniteľný príjem</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[E-F]</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416,87</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[(C)]</w:t>
            </w:r>
          </w:p>
        </w:tc>
        <w:tc>
          <w:tcPr>
            <w:tcW w:w="1420" w:type="dxa"/>
            <w:tcBorders>
              <w:top w:val="nil"/>
              <w:left w:val="nil"/>
              <w:bottom w:val="single" w:sz="8" w:space="0" w:color="000000"/>
              <w:right w:val="single" w:sz="8" w:space="0" w:color="auto"/>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1 019,74</w:t>
            </w:r>
          </w:p>
        </w:tc>
      </w:tr>
      <w:tr>
        <w:tblPrEx>
          <w:tblW w:w="9120" w:type="dxa"/>
          <w:jc w:val="center"/>
          <w:tblCellMar>
            <w:left w:w="70" w:type="dxa"/>
            <w:right w:w="70" w:type="dxa"/>
          </w:tblCellMar>
          <w:tblLook w:val="04A0"/>
        </w:tblPrEx>
        <w:trPr>
          <w:trHeight w:val="270"/>
          <w:jc w:val="center"/>
        </w:trPr>
        <w:tc>
          <w:tcPr>
            <w:tcW w:w="3440" w:type="dxa"/>
            <w:tcBorders>
              <w:top w:val="nil"/>
              <w:left w:val="single" w:sz="8" w:space="0" w:color="auto"/>
              <w:bottom w:val="single" w:sz="8" w:space="0" w:color="000000"/>
              <w:right w:val="single" w:sz="8" w:space="0" w:color="000000"/>
            </w:tcBorders>
            <w:textDirection w:val="lrTb"/>
            <w:vAlign w:val="center"/>
          </w:tcPr>
          <w:p w:rsidR="00801DE1" w:rsidRPr="00A86C7E" w:rsidP="005C14D4">
            <w:pPr>
              <w:bidi w:val="0"/>
              <w:rPr>
                <w:rFonts w:ascii="Arial Narrow" w:hAnsi="Arial Narrow"/>
                <w:color w:val="000000"/>
                <w:sz w:val="14"/>
                <w:szCs w:val="14"/>
              </w:rPr>
            </w:pPr>
            <w:r w:rsidRPr="00A86C7E">
              <w:rPr>
                <w:rFonts w:ascii="Arial Narrow" w:hAnsi="Arial Narrow"/>
                <w:color w:val="000000"/>
                <w:sz w:val="14"/>
                <w:szCs w:val="14"/>
              </w:rPr>
              <w:t>H] daňový bonus (DB)</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4 * DB</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83,24</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2 * 1,5 * ŽM</w:t>
            </w:r>
          </w:p>
        </w:tc>
        <w:tc>
          <w:tcPr>
            <w:tcW w:w="1420" w:type="dxa"/>
            <w:tcBorders>
              <w:top w:val="nil"/>
              <w:left w:val="nil"/>
              <w:bottom w:val="single" w:sz="8" w:space="0" w:color="000000"/>
              <w:right w:val="single" w:sz="8" w:space="0" w:color="auto"/>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83,24</w:t>
            </w:r>
          </w:p>
        </w:tc>
      </w:tr>
      <w:tr>
        <w:tblPrEx>
          <w:tblW w:w="9120" w:type="dxa"/>
          <w:jc w:val="center"/>
          <w:tblCellMar>
            <w:left w:w="70" w:type="dxa"/>
            <w:right w:w="70" w:type="dxa"/>
          </w:tblCellMar>
          <w:tblLook w:val="04A0"/>
        </w:tblPrEx>
        <w:trPr>
          <w:trHeight w:val="270"/>
          <w:jc w:val="center"/>
        </w:trPr>
        <w:tc>
          <w:tcPr>
            <w:tcW w:w="3440" w:type="dxa"/>
            <w:tcBorders>
              <w:top w:val="nil"/>
              <w:left w:val="single" w:sz="8" w:space="0" w:color="auto"/>
              <w:bottom w:val="single" w:sz="8" w:space="0" w:color="000000"/>
              <w:right w:val="single" w:sz="8" w:space="0" w:color="000000"/>
            </w:tcBorders>
            <w:textDirection w:val="lrTb"/>
            <w:vAlign w:val="center"/>
          </w:tcPr>
          <w:p w:rsidR="00801DE1" w:rsidRPr="00A86C7E" w:rsidP="005C14D4">
            <w:pPr>
              <w:bidi w:val="0"/>
              <w:rPr>
                <w:rFonts w:ascii="Arial Narrow" w:hAnsi="Arial Narrow"/>
                <w:color w:val="000000"/>
                <w:sz w:val="14"/>
                <w:szCs w:val="14"/>
              </w:rPr>
            </w:pPr>
            <w:r w:rsidRPr="00A86C7E">
              <w:rPr>
                <w:rFonts w:ascii="Arial Narrow" w:hAnsi="Arial Narrow"/>
                <w:color w:val="000000"/>
                <w:sz w:val="14"/>
                <w:szCs w:val="14"/>
              </w:rPr>
              <w:t>I] daň z príjmu FO</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(19 % z [G] - [H])</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-4,03</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[E-F]</w:t>
            </w:r>
          </w:p>
        </w:tc>
        <w:tc>
          <w:tcPr>
            <w:tcW w:w="1420" w:type="dxa"/>
            <w:tcBorders>
              <w:top w:val="nil"/>
              <w:left w:val="nil"/>
              <w:bottom w:val="single" w:sz="8" w:space="0" w:color="000000"/>
              <w:right w:val="single" w:sz="8" w:space="0" w:color="auto"/>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110,51</w:t>
            </w:r>
          </w:p>
        </w:tc>
      </w:tr>
      <w:tr>
        <w:tblPrEx>
          <w:tblW w:w="9120" w:type="dxa"/>
          <w:jc w:val="center"/>
          <w:tblCellMar>
            <w:left w:w="70" w:type="dxa"/>
            <w:right w:w="70" w:type="dxa"/>
          </w:tblCellMar>
          <w:tblLook w:val="04A0"/>
        </w:tblPrEx>
        <w:trPr>
          <w:trHeight w:val="270"/>
          <w:jc w:val="center"/>
        </w:trPr>
        <w:tc>
          <w:tcPr>
            <w:tcW w:w="3440" w:type="dxa"/>
            <w:tcBorders>
              <w:top w:val="nil"/>
              <w:left w:val="single" w:sz="8" w:space="0" w:color="auto"/>
              <w:bottom w:val="single" w:sz="8" w:space="0" w:color="000000"/>
              <w:right w:val="single" w:sz="8" w:space="0" w:color="000000"/>
            </w:tcBorders>
            <w:textDirection w:val="lrTb"/>
            <w:vAlign w:val="center"/>
          </w:tcPr>
          <w:p w:rsidR="00801DE1" w:rsidRPr="00A86C7E" w:rsidP="005C14D4">
            <w:pPr>
              <w:bidi w:val="0"/>
              <w:rPr>
                <w:rFonts w:ascii="Arial Narrow" w:hAnsi="Arial Narrow"/>
                <w:b/>
                <w:bCs/>
                <w:color w:val="000000"/>
                <w:sz w:val="14"/>
                <w:szCs w:val="14"/>
              </w:rPr>
            </w:pPr>
            <w:r w:rsidRPr="00A86C7E">
              <w:rPr>
                <w:rFonts w:ascii="Arial Narrow" w:hAnsi="Arial Narrow"/>
                <w:b/>
                <w:bCs/>
                <w:color w:val="000000"/>
                <w:sz w:val="14"/>
                <w:szCs w:val="14"/>
              </w:rPr>
              <w:t>J] čistá mzda</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b/>
                <w:bCs/>
                <w:color w:val="000000"/>
                <w:sz w:val="14"/>
                <w:szCs w:val="14"/>
                <w:lang w:eastAsia="en-US"/>
              </w:rPr>
            </w:pPr>
            <w:r w:rsidRPr="00A86C7E">
              <w:rPr>
                <w:rFonts w:ascii="Arial Narrow" w:hAnsi="Arial Narrow"/>
                <w:b/>
                <w:bCs/>
                <w:color w:val="000000"/>
                <w:sz w:val="14"/>
                <w:szCs w:val="14"/>
                <w:lang w:eastAsia="en-US"/>
              </w:rPr>
              <w:t>[E-I]</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b/>
                <w:bCs/>
                <w:color w:val="000000"/>
                <w:sz w:val="14"/>
                <w:szCs w:val="14"/>
                <w:lang w:eastAsia="en-US"/>
              </w:rPr>
            </w:pPr>
            <w:r w:rsidRPr="00A86C7E">
              <w:rPr>
                <w:rFonts w:ascii="Arial Narrow" w:hAnsi="Arial Narrow"/>
                <w:b/>
                <w:bCs/>
                <w:color w:val="000000"/>
                <w:sz w:val="14"/>
                <w:szCs w:val="14"/>
                <w:lang w:eastAsia="en-US"/>
              </w:rPr>
              <w:t>1 027,78</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4 * DB</w:t>
            </w:r>
          </w:p>
        </w:tc>
        <w:tc>
          <w:tcPr>
            <w:tcW w:w="1420" w:type="dxa"/>
            <w:tcBorders>
              <w:top w:val="nil"/>
              <w:left w:val="nil"/>
              <w:bottom w:val="single" w:sz="8" w:space="0" w:color="000000"/>
              <w:right w:val="single" w:sz="8" w:space="0" w:color="auto"/>
            </w:tcBorders>
            <w:textDirection w:val="lrTb"/>
            <w:vAlign w:val="center"/>
          </w:tcPr>
          <w:p w:rsidR="00801DE1" w:rsidRPr="00A86C7E" w:rsidP="005C14D4">
            <w:pPr>
              <w:bidi w:val="0"/>
              <w:jc w:val="center"/>
              <w:rPr>
                <w:rFonts w:ascii="Arial Narrow" w:hAnsi="Arial Narrow"/>
                <w:b/>
                <w:bCs/>
                <w:color w:val="000000"/>
                <w:sz w:val="14"/>
                <w:szCs w:val="14"/>
                <w:lang w:eastAsia="en-US"/>
              </w:rPr>
            </w:pPr>
            <w:r w:rsidRPr="00A86C7E">
              <w:rPr>
                <w:rFonts w:ascii="Arial Narrow" w:hAnsi="Arial Narrow"/>
                <w:b/>
                <w:bCs/>
                <w:color w:val="000000"/>
                <w:sz w:val="14"/>
                <w:szCs w:val="14"/>
                <w:lang w:eastAsia="en-US"/>
              </w:rPr>
              <w:t>1 032,04</w:t>
            </w:r>
          </w:p>
        </w:tc>
      </w:tr>
      <w:tr>
        <w:tblPrEx>
          <w:tblW w:w="9120" w:type="dxa"/>
          <w:jc w:val="center"/>
          <w:tblCellMar>
            <w:left w:w="70" w:type="dxa"/>
            <w:right w:w="70" w:type="dxa"/>
          </w:tblCellMar>
          <w:tblLook w:val="04A0"/>
        </w:tblPrEx>
        <w:trPr>
          <w:trHeight w:val="270"/>
          <w:jc w:val="center"/>
        </w:trPr>
        <w:tc>
          <w:tcPr>
            <w:tcW w:w="3440" w:type="dxa"/>
            <w:tcBorders>
              <w:top w:val="single" w:sz="8" w:space="0" w:color="000000"/>
              <w:left w:val="single" w:sz="8" w:space="0" w:color="auto"/>
              <w:bottom w:val="single" w:sz="8" w:space="0" w:color="000000"/>
              <w:right w:val="single" w:sz="8" w:space="0" w:color="000000"/>
            </w:tcBorders>
            <w:textDirection w:val="lrTb"/>
            <w:vAlign w:val="center"/>
          </w:tcPr>
          <w:p w:rsidR="00801DE1" w:rsidRPr="00A86C7E" w:rsidP="005C14D4">
            <w:pPr>
              <w:bidi w:val="0"/>
              <w:rPr>
                <w:rFonts w:ascii="Arial Narrow" w:hAnsi="Arial Narrow"/>
                <w:color w:val="000000"/>
                <w:sz w:val="14"/>
                <w:szCs w:val="14"/>
              </w:rPr>
            </w:pPr>
            <w:r w:rsidRPr="00A86C7E">
              <w:rPr>
                <w:rFonts w:ascii="Arial Narrow" w:hAnsi="Arial Narrow"/>
                <w:color w:val="000000"/>
                <w:sz w:val="14"/>
                <w:szCs w:val="14"/>
              </w:rPr>
              <w:t>K] prídavky na dieťa (PD)</w:t>
            </w:r>
          </w:p>
        </w:tc>
        <w:tc>
          <w:tcPr>
            <w:tcW w:w="1420" w:type="dxa"/>
            <w:tcBorders>
              <w:top w:val="single" w:sz="8" w:space="0" w:color="000000"/>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4*PD</w:t>
            </w:r>
          </w:p>
        </w:tc>
        <w:tc>
          <w:tcPr>
            <w:tcW w:w="1420" w:type="dxa"/>
            <w:tcBorders>
              <w:top w:val="single" w:sz="8" w:space="0" w:color="000000"/>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90,08</w:t>
            </w:r>
          </w:p>
        </w:tc>
        <w:tc>
          <w:tcPr>
            <w:tcW w:w="1420" w:type="dxa"/>
            <w:tcBorders>
              <w:top w:val="single" w:sz="8" w:space="0" w:color="000000"/>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(19 % z [G] - [H])</w:t>
            </w:r>
          </w:p>
        </w:tc>
        <w:tc>
          <w:tcPr>
            <w:tcW w:w="1420" w:type="dxa"/>
            <w:tcBorders>
              <w:top w:val="single" w:sz="8" w:space="0" w:color="000000"/>
              <w:left w:val="nil"/>
              <w:bottom w:val="single" w:sz="8" w:space="0" w:color="000000"/>
              <w:right w:val="single" w:sz="8" w:space="0" w:color="auto"/>
            </w:tcBorders>
            <w:textDirection w:val="lrTb"/>
            <w:vAlign w:val="center"/>
          </w:tcPr>
          <w:p w:rsidR="00801DE1" w:rsidRPr="00A86C7E" w:rsidP="005C14D4">
            <w:pPr>
              <w:bidi w:val="0"/>
              <w:jc w:val="center"/>
              <w:rPr>
                <w:rFonts w:ascii="Arial Narrow" w:hAnsi="Arial Narrow"/>
                <w:color w:val="000000"/>
                <w:sz w:val="14"/>
                <w:szCs w:val="14"/>
                <w:lang w:eastAsia="en-US"/>
              </w:rPr>
            </w:pPr>
            <w:r w:rsidRPr="00A86C7E">
              <w:rPr>
                <w:rFonts w:ascii="Arial Narrow" w:hAnsi="Arial Narrow"/>
                <w:color w:val="000000"/>
                <w:sz w:val="14"/>
                <w:szCs w:val="14"/>
                <w:lang w:eastAsia="en-US"/>
              </w:rPr>
              <w:t>90,08</w:t>
            </w:r>
          </w:p>
        </w:tc>
      </w:tr>
      <w:tr>
        <w:tblPrEx>
          <w:tblW w:w="9120" w:type="dxa"/>
          <w:jc w:val="center"/>
          <w:tblCellMar>
            <w:left w:w="70" w:type="dxa"/>
            <w:right w:w="70" w:type="dxa"/>
          </w:tblCellMar>
          <w:tblLook w:val="04A0"/>
        </w:tblPrEx>
        <w:trPr>
          <w:trHeight w:val="270"/>
          <w:jc w:val="center"/>
        </w:trPr>
        <w:tc>
          <w:tcPr>
            <w:tcW w:w="3440" w:type="dxa"/>
            <w:tcBorders>
              <w:top w:val="single" w:sz="8" w:space="0" w:color="000000"/>
              <w:left w:val="single" w:sz="8" w:space="0" w:color="auto"/>
              <w:bottom w:val="single" w:sz="8" w:space="0" w:color="000000"/>
              <w:right w:val="single" w:sz="8" w:space="0" w:color="000000"/>
            </w:tcBorders>
            <w:textDirection w:val="lrTb"/>
            <w:vAlign w:val="center"/>
          </w:tcPr>
          <w:p w:rsidR="00801DE1" w:rsidRPr="00A86C7E" w:rsidP="005C14D4">
            <w:pPr>
              <w:bidi w:val="0"/>
              <w:rPr>
                <w:rFonts w:ascii="Arial Narrow" w:hAnsi="Arial Narrow"/>
                <w:b/>
                <w:bCs/>
                <w:color w:val="000000"/>
                <w:sz w:val="14"/>
                <w:szCs w:val="14"/>
              </w:rPr>
            </w:pPr>
            <w:r w:rsidRPr="00A86C7E">
              <w:rPr>
                <w:rFonts w:ascii="Arial Narrow" w:hAnsi="Arial Narrow"/>
                <w:b/>
                <w:bCs/>
                <w:color w:val="000000"/>
                <w:sz w:val="14"/>
                <w:szCs w:val="14"/>
              </w:rPr>
              <w:t>L] čistý príjem rodiny</w:t>
            </w:r>
          </w:p>
        </w:tc>
        <w:tc>
          <w:tcPr>
            <w:tcW w:w="1420" w:type="dxa"/>
            <w:tcBorders>
              <w:top w:val="single" w:sz="8" w:space="0" w:color="000000"/>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b/>
                <w:bCs/>
                <w:color w:val="000000"/>
                <w:sz w:val="14"/>
                <w:szCs w:val="14"/>
                <w:lang w:eastAsia="en-US"/>
              </w:rPr>
            </w:pPr>
            <w:r w:rsidRPr="00A86C7E">
              <w:rPr>
                <w:rFonts w:ascii="Arial Narrow" w:hAnsi="Arial Narrow"/>
                <w:b/>
                <w:bCs/>
                <w:color w:val="000000"/>
                <w:sz w:val="14"/>
                <w:szCs w:val="14"/>
                <w:lang w:eastAsia="en-US"/>
              </w:rPr>
              <w:t>[J+k]</w:t>
            </w:r>
          </w:p>
        </w:tc>
        <w:tc>
          <w:tcPr>
            <w:tcW w:w="1420" w:type="dxa"/>
            <w:tcBorders>
              <w:top w:val="single" w:sz="8" w:space="0" w:color="000000"/>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b/>
                <w:bCs/>
                <w:color w:val="000000"/>
                <w:sz w:val="14"/>
                <w:szCs w:val="14"/>
                <w:lang w:eastAsia="en-US"/>
              </w:rPr>
            </w:pPr>
            <w:r w:rsidRPr="00A86C7E">
              <w:rPr>
                <w:rFonts w:ascii="Arial Narrow" w:hAnsi="Arial Narrow"/>
                <w:b/>
                <w:bCs/>
                <w:color w:val="000000"/>
                <w:sz w:val="14"/>
                <w:szCs w:val="14"/>
                <w:lang w:eastAsia="en-US"/>
              </w:rPr>
              <w:t>1 117,86</w:t>
            </w:r>
          </w:p>
        </w:tc>
        <w:tc>
          <w:tcPr>
            <w:tcW w:w="1420" w:type="dxa"/>
            <w:tcBorders>
              <w:top w:val="single" w:sz="8" w:space="0" w:color="000000"/>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b/>
                <w:bCs/>
                <w:color w:val="000000"/>
                <w:sz w:val="14"/>
                <w:szCs w:val="14"/>
                <w:lang w:eastAsia="en-US"/>
              </w:rPr>
            </w:pPr>
            <w:r w:rsidRPr="00A86C7E">
              <w:rPr>
                <w:rFonts w:ascii="Arial Narrow" w:hAnsi="Arial Narrow"/>
                <w:b/>
                <w:bCs/>
                <w:color w:val="000000"/>
                <w:sz w:val="14"/>
                <w:szCs w:val="14"/>
                <w:lang w:eastAsia="en-US"/>
              </w:rPr>
              <w:t>[(C)-D-I]</w:t>
            </w:r>
          </w:p>
        </w:tc>
        <w:tc>
          <w:tcPr>
            <w:tcW w:w="1420" w:type="dxa"/>
            <w:tcBorders>
              <w:top w:val="single" w:sz="8" w:space="0" w:color="000000"/>
              <w:left w:val="nil"/>
              <w:bottom w:val="single" w:sz="8" w:space="0" w:color="000000"/>
              <w:right w:val="single" w:sz="8" w:space="0" w:color="auto"/>
            </w:tcBorders>
            <w:textDirection w:val="lrTb"/>
            <w:vAlign w:val="center"/>
          </w:tcPr>
          <w:p w:rsidR="00801DE1" w:rsidRPr="00A86C7E" w:rsidP="005C14D4">
            <w:pPr>
              <w:bidi w:val="0"/>
              <w:jc w:val="center"/>
              <w:rPr>
                <w:rFonts w:ascii="Arial Narrow" w:hAnsi="Arial Narrow"/>
                <w:b/>
                <w:bCs/>
                <w:color w:val="000000"/>
                <w:sz w:val="14"/>
                <w:szCs w:val="14"/>
                <w:lang w:eastAsia="en-US"/>
              </w:rPr>
            </w:pPr>
            <w:r w:rsidRPr="00A86C7E">
              <w:rPr>
                <w:rFonts w:ascii="Arial Narrow" w:hAnsi="Arial Narrow"/>
                <w:b/>
                <w:bCs/>
                <w:color w:val="000000"/>
                <w:sz w:val="14"/>
                <w:szCs w:val="14"/>
                <w:lang w:eastAsia="en-US"/>
              </w:rPr>
              <w:t>1 122,12</w:t>
            </w:r>
          </w:p>
        </w:tc>
      </w:tr>
      <w:tr>
        <w:tblPrEx>
          <w:tblW w:w="9120" w:type="dxa"/>
          <w:jc w:val="center"/>
          <w:tblCellMar>
            <w:left w:w="70" w:type="dxa"/>
            <w:right w:w="70" w:type="dxa"/>
          </w:tblCellMar>
          <w:tblLook w:val="04A0"/>
        </w:tblPrEx>
        <w:trPr>
          <w:trHeight w:val="270"/>
          <w:jc w:val="center"/>
        </w:trPr>
        <w:tc>
          <w:tcPr>
            <w:tcW w:w="9120" w:type="dxa"/>
            <w:gridSpan w:val="5"/>
            <w:tcBorders>
              <w:top w:val="single" w:sz="8" w:space="0" w:color="000000"/>
              <w:left w:val="none" w:sz="0" w:space="0" w:color="auto"/>
              <w:bottom w:val="none" w:sz="0" w:space="0" w:color="auto"/>
              <w:right w:val="none" w:sz="0" w:space="0" w:color="auto"/>
            </w:tcBorders>
            <w:textDirection w:val="lrTb"/>
            <w:vAlign w:val="center"/>
          </w:tcPr>
          <w:p w:rsidR="00801DE1" w:rsidRPr="00A86C7E" w:rsidP="005C14D4">
            <w:pPr>
              <w:bidi w:val="0"/>
              <w:jc w:val="both"/>
              <w:rPr>
                <w:rFonts w:ascii="Arial Narrow" w:hAnsi="Arial Narrow" w:cs="Arial Narrow"/>
                <w:bCs/>
                <w:color w:val="000000"/>
                <w:sz w:val="16"/>
                <w:szCs w:val="16"/>
                <w:vertAlign w:val="superscript"/>
              </w:rPr>
            </w:pPr>
            <w:r w:rsidRPr="00A86C7E">
              <w:rPr>
                <w:rFonts w:ascii="Arial Narrow" w:hAnsi="Arial Narrow" w:cs="Arial Narrow"/>
                <w:bCs/>
                <w:color w:val="000000"/>
                <w:sz w:val="16"/>
                <w:szCs w:val="16"/>
                <w:vertAlign w:val="superscript"/>
              </w:rPr>
              <w:t>1</w:t>
            </w:r>
            <w:r w:rsidRPr="00A86C7E">
              <w:rPr>
                <w:rFonts w:ascii="Arial Narrow" w:hAnsi="Arial Narrow" w:cs="Arial Narrow"/>
                <w:bCs/>
                <w:color w:val="000000"/>
                <w:sz w:val="16"/>
                <w:szCs w:val="16"/>
              </w:rPr>
              <w:t xml:space="preserve"> uvedené sumy sú zaokrúhlené podľa súčasnej legislatívy </w:t>
            </w:r>
          </w:p>
        </w:tc>
      </w:tr>
      <w:tr>
        <w:tblPrEx>
          <w:tblW w:w="9120" w:type="dxa"/>
          <w:jc w:val="center"/>
          <w:tblCellMar>
            <w:left w:w="70" w:type="dxa"/>
            <w:right w:w="70" w:type="dxa"/>
          </w:tblCellMar>
          <w:tblLook w:val="04A0"/>
        </w:tblPrEx>
        <w:trPr>
          <w:trHeight w:val="270"/>
          <w:jc w:val="center"/>
        </w:trPr>
        <w:tc>
          <w:tcPr>
            <w:tcW w:w="9120" w:type="dxa"/>
            <w:gridSpan w:val="5"/>
            <w:tcBorders>
              <w:top w:val="none" w:sz="0" w:space="0" w:color="auto"/>
              <w:left w:val="none" w:sz="0" w:space="0" w:color="auto"/>
              <w:bottom w:val="none" w:sz="0" w:space="0" w:color="auto"/>
              <w:right w:val="none" w:sz="0" w:space="0" w:color="auto"/>
            </w:tcBorders>
            <w:textDirection w:val="lrTb"/>
            <w:vAlign w:val="top"/>
          </w:tcPr>
          <w:p w:rsidR="00801DE1" w:rsidRPr="00A86C7E" w:rsidP="005C14D4">
            <w:pPr>
              <w:bidi w:val="0"/>
              <w:ind w:left="113" w:hanging="113"/>
              <w:jc w:val="both"/>
              <w:rPr>
                <w:rFonts w:ascii="Arial Narrow" w:hAnsi="Arial Narrow" w:cs="Arial Narrow"/>
                <w:bCs/>
                <w:color w:val="000000"/>
                <w:sz w:val="16"/>
                <w:szCs w:val="16"/>
              </w:rPr>
            </w:pPr>
            <w:r w:rsidRPr="00A86C7E">
              <w:rPr>
                <w:rFonts w:ascii="Arial Narrow" w:hAnsi="Arial Narrow" w:cs="Arial Narrow"/>
                <w:bCs/>
                <w:color w:val="000000"/>
                <w:sz w:val="16"/>
                <w:szCs w:val="16"/>
                <w:vertAlign w:val="superscript"/>
              </w:rPr>
              <w:t>2</w:t>
            </w:r>
            <w:r w:rsidRPr="00A86C7E">
              <w:rPr>
                <w:rFonts w:ascii="Arial Narrow" w:hAnsi="Arial Narrow" w:cs="Arial Narrow"/>
                <w:bCs/>
                <w:color w:val="000000"/>
                <w:sz w:val="16"/>
                <w:szCs w:val="16"/>
              </w:rPr>
              <w:t xml:space="preserve"> podľa návrhu sa superhrubá mzda rovná súčasným nákladom práce zníženým o úrazového poistenie - 0,8% hrubej mzdy = 0,592% nákladov práce</w:t>
            </w:r>
          </w:p>
          <w:p w:rsidR="00801DE1" w:rsidRPr="00A86C7E" w:rsidP="005C14D4">
            <w:pPr>
              <w:bidi w:val="0"/>
              <w:ind w:left="113" w:hanging="113"/>
              <w:jc w:val="both"/>
              <w:rPr>
                <w:rFonts w:ascii="Arial Narrow" w:hAnsi="Arial Narrow" w:cs="Arial Narrow"/>
                <w:bCs/>
                <w:color w:val="000000"/>
                <w:sz w:val="16"/>
                <w:szCs w:val="16"/>
                <w:vertAlign w:val="superscript"/>
              </w:rPr>
            </w:pPr>
          </w:p>
        </w:tc>
      </w:tr>
    </w:tbl>
    <w:p w:rsidR="00801DE1" w:rsidP="00221271">
      <w:pPr>
        <w:bidi w:val="0"/>
        <w:jc w:val="center"/>
        <w:rPr>
          <w:rFonts w:ascii="Times New Roman" w:hAnsi="Times New Roman"/>
          <w:color w:val="0070C0"/>
        </w:rPr>
      </w:pPr>
    </w:p>
    <w:tbl>
      <w:tblPr>
        <w:tblStyle w:val="TableNormal"/>
        <w:tblW w:w="9120" w:type="dxa"/>
        <w:jc w:val="center"/>
        <w:tblCellMar>
          <w:left w:w="70" w:type="dxa"/>
          <w:right w:w="70" w:type="dxa"/>
        </w:tblCellMar>
        <w:tblLook w:val="04A0"/>
      </w:tblPr>
      <w:tblGrid>
        <w:gridCol w:w="3440"/>
        <w:gridCol w:w="1420"/>
        <w:gridCol w:w="1420"/>
        <w:gridCol w:w="1420"/>
        <w:gridCol w:w="1420"/>
      </w:tblGrid>
      <w:tr>
        <w:tblPrEx>
          <w:tblW w:w="9120" w:type="dxa"/>
          <w:jc w:val="center"/>
          <w:tblCellMar>
            <w:left w:w="70" w:type="dxa"/>
            <w:right w:w="70" w:type="dxa"/>
          </w:tblCellMar>
          <w:tblLook w:val="04A0"/>
        </w:tblPrEx>
        <w:trPr>
          <w:trHeight w:val="340"/>
          <w:jc w:val="center"/>
        </w:trPr>
        <w:tc>
          <w:tcPr>
            <w:tcW w:w="9120" w:type="dxa"/>
            <w:gridSpan w:val="5"/>
            <w:tcBorders>
              <w:top w:val="single" w:sz="8" w:space="0" w:color="auto"/>
              <w:left w:val="single" w:sz="8" w:space="0" w:color="auto"/>
              <w:bottom w:val="single" w:sz="8" w:space="0" w:color="000000"/>
              <w:right w:val="single" w:sz="8" w:space="0" w:color="000000"/>
            </w:tcBorders>
            <w:shd w:val="clear" w:color="000000" w:fill="000000"/>
            <w:textDirection w:val="lrTb"/>
            <w:vAlign w:val="center"/>
          </w:tcPr>
          <w:p w:rsidR="00801DE1" w:rsidRPr="00A86C7E" w:rsidP="005C14D4">
            <w:pPr>
              <w:bidi w:val="0"/>
              <w:rPr>
                <w:rFonts w:ascii="Arial Narrow" w:hAnsi="Arial Narrow"/>
                <w:b/>
                <w:bCs/>
                <w:color w:val="FFFFFF"/>
                <w:sz w:val="20"/>
                <w:szCs w:val="20"/>
              </w:rPr>
            </w:pPr>
            <w:r w:rsidRPr="00A86C7E">
              <w:rPr>
                <w:rFonts w:ascii="Arial Narrow" w:hAnsi="Arial Narrow" w:cs="Arial Narrow"/>
                <w:b/>
                <w:bCs/>
                <w:color w:val="FFFFFF"/>
                <w:sz w:val="20"/>
                <w:szCs w:val="20"/>
              </w:rPr>
              <w:t>Ilustratívny príklad výpočtu čistých prí</w:t>
            </w:r>
            <w:r w:rsidRPr="00801DE1">
              <w:rPr>
                <w:rFonts w:ascii="Arial Narrow" w:hAnsi="Arial Narrow" w:cs="Arial Narrow"/>
                <w:b/>
                <w:bCs/>
                <w:color w:val="FFFFFF"/>
                <w:sz w:val="20"/>
                <w:szCs w:val="20"/>
              </w:rPr>
              <w:t>jmov pred a po reforme daní, c</w:t>
            </w:r>
            <w:r w:rsidRPr="00A86C7E">
              <w:rPr>
                <w:rFonts w:ascii="Arial Narrow" w:hAnsi="Arial Narrow" w:cs="Arial Narrow"/>
                <w:b/>
                <w:bCs/>
                <w:color w:val="FFFFFF"/>
                <w:sz w:val="20"/>
                <w:szCs w:val="20"/>
              </w:rPr>
              <w:t>l</w:t>
            </w:r>
            <w:r>
              <w:rPr>
                <w:rFonts w:ascii="Arial Narrow" w:hAnsi="Arial Narrow" w:cs="Arial Narrow"/>
                <w:b/>
                <w:bCs/>
                <w:color w:val="FFFFFF"/>
                <w:sz w:val="20"/>
                <w:szCs w:val="20"/>
              </w:rPr>
              <w:t>a</w:t>
            </w:r>
            <w:r w:rsidRPr="00801DE1">
              <w:rPr>
                <w:rFonts w:ascii="Arial Narrow" w:hAnsi="Arial Narrow" w:cs="Arial Narrow"/>
                <w:b/>
                <w:bCs/>
                <w:color w:val="FFFFFF"/>
                <w:sz w:val="20"/>
                <w:szCs w:val="20"/>
              </w:rPr>
              <w:t xml:space="preserve"> a </w:t>
            </w:r>
            <w:r>
              <w:rPr>
                <w:rFonts w:ascii="Arial Narrow" w:hAnsi="Arial Narrow" w:cs="Arial Narrow"/>
                <w:b/>
                <w:bCs/>
                <w:color w:val="FFFFFF"/>
                <w:sz w:val="20"/>
                <w:szCs w:val="20"/>
              </w:rPr>
              <w:t>poistného</w:t>
            </w:r>
            <w:r w:rsidRPr="00A86C7E">
              <w:rPr>
                <w:rFonts w:ascii="Arial Narrow" w:hAnsi="Arial Narrow" w:cs="Arial Narrow"/>
                <w:b/>
                <w:bCs/>
                <w:color w:val="FFFFFF"/>
                <w:sz w:val="20"/>
                <w:szCs w:val="20"/>
              </w:rPr>
              <w:t xml:space="preserve"> (rok 2012)</w:t>
            </w:r>
          </w:p>
        </w:tc>
      </w:tr>
      <w:tr>
        <w:tblPrEx>
          <w:tblW w:w="9120" w:type="dxa"/>
          <w:jc w:val="center"/>
          <w:tblCellMar>
            <w:left w:w="70" w:type="dxa"/>
            <w:right w:w="70" w:type="dxa"/>
          </w:tblCellMar>
          <w:tblLook w:val="04A0"/>
        </w:tblPrEx>
        <w:trPr>
          <w:trHeight w:val="284"/>
          <w:jc w:val="center"/>
        </w:trPr>
        <w:tc>
          <w:tcPr>
            <w:tcW w:w="3440" w:type="dxa"/>
            <w:vMerge w:val="restart"/>
            <w:tcBorders>
              <w:top w:val="nil"/>
              <w:left w:val="single" w:sz="8" w:space="0" w:color="auto"/>
              <w:bottom w:val="single" w:sz="8" w:space="0" w:color="000000"/>
              <w:right w:val="single" w:sz="8" w:space="0" w:color="000000"/>
            </w:tcBorders>
            <w:shd w:val="clear" w:color="000000" w:fill="BFBFBF"/>
            <w:textDirection w:val="lrTb"/>
            <w:vAlign w:val="top"/>
          </w:tcPr>
          <w:p w:rsidR="00801DE1" w:rsidRPr="00A86C7E" w:rsidP="005C14D4">
            <w:pPr>
              <w:bidi w:val="0"/>
              <w:spacing w:before="120"/>
              <w:rPr>
                <w:rFonts w:ascii="Arial Narrow" w:hAnsi="Arial Narrow"/>
                <w:b/>
                <w:bCs/>
                <w:i/>
                <w:color w:val="000000"/>
                <w:sz w:val="16"/>
                <w:szCs w:val="16"/>
              </w:rPr>
            </w:pPr>
            <w:r w:rsidRPr="00A86C7E">
              <w:rPr>
                <w:rFonts w:ascii="Arial Narrow" w:hAnsi="Arial Narrow" w:cs="Arial Narrow"/>
                <w:b/>
                <w:bCs/>
                <w:i/>
                <w:color w:val="000000"/>
                <w:sz w:val="16"/>
                <w:szCs w:val="16"/>
              </w:rPr>
              <w:t>Použité skratky: ZO – zdravotný odvod, SO – sociálny odvod,  ŽM – životné minimum</w:t>
            </w:r>
          </w:p>
        </w:tc>
        <w:tc>
          <w:tcPr>
            <w:tcW w:w="5680" w:type="dxa"/>
            <w:gridSpan w:val="4"/>
            <w:tcBorders>
              <w:top w:val="single" w:sz="8" w:space="0" w:color="000000"/>
              <w:left w:val="nil"/>
              <w:bottom w:val="single" w:sz="8" w:space="0" w:color="000000"/>
              <w:right w:val="single" w:sz="8" w:space="0" w:color="000000"/>
            </w:tcBorders>
            <w:shd w:val="clear" w:color="000000" w:fill="BFBFBF"/>
            <w:textDirection w:val="lrTb"/>
            <w:vAlign w:val="center"/>
          </w:tcPr>
          <w:p w:rsidR="00801DE1" w:rsidRPr="00A86C7E" w:rsidP="005C14D4">
            <w:pPr>
              <w:bidi w:val="0"/>
              <w:jc w:val="center"/>
              <w:rPr>
                <w:rFonts w:ascii="Arial Narrow" w:hAnsi="Arial Narrow"/>
                <w:b/>
                <w:bCs/>
                <w:color w:val="000000"/>
                <w:sz w:val="16"/>
                <w:szCs w:val="16"/>
              </w:rPr>
            </w:pPr>
            <w:r w:rsidRPr="00A86C7E">
              <w:rPr>
                <w:rFonts w:ascii="Arial Narrow" w:hAnsi="Arial Narrow" w:cs="Arial Narrow"/>
                <w:b/>
                <w:bCs/>
                <w:color w:val="000000"/>
                <w:sz w:val="16"/>
                <w:szCs w:val="16"/>
              </w:rPr>
              <w:t>Osamelá matka s 1 dieťaťom, pracuje, s príjmom = 67% priemernej mzdy</w:t>
            </w:r>
            <w:r w:rsidRPr="00A86C7E">
              <w:rPr>
                <w:rFonts w:ascii="Arial Narrow" w:hAnsi="Arial Narrow" w:cs="Arial Narrow"/>
                <w:b/>
                <w:bCs/>
                <w:color w:val="000000"/>
                <w:kern w:val="18"/>
                <w:sz w:val="16"/>
                <w:szCs w:val="16"/>
                <w:vertAlign w:val="superscript"/>
              </w:rPr>
              <w:t>3</w:t>
            </w:r>
          </w:p>
        </w:tc>
      </w:tr>
      <w:tr>
        <w:tblPrEx>
          <w:tblW w:w="9120" w:type="dxa"/>
          <w:jc w:val="center"/>
          <w:tblCellMar>
            <w:left w:w="70" w:type="dxa"/>
            <w:right w:w="70" w:type="dxa"/>
          </w:tblCellMar>
          <w:tblLook w:val="04A0"/>
        </w:tblPrEx>
        <w:trPr>
          <w:trHeight w:val="284"/>
          <w:jc w:val="center"/>
        </w:trPr>
        <w:tc>
          <w:tcPr>
            <w:tcW w:w="3440" w:type="dxa"/>
            <w:vMerge/>
            <w:tcBorders>
              <w:top w:val="nil"/>
              <w:left w:val="single" w:sz="8" w:space="0" w:color="auto"/>
              <w:bottom w:val="single" w:sz="8" w:space="0" w:color="000000"/>
              <w:right w:val="single" w:sz="8" w:space="0" w:color="000000"/>
            </w:tcBorders>
            <w:textDirection w:val="lrTb"/>
            <w:vAlign w:val="center"/>
          </w:tcPr>
          <w:p w:rsidR="00801DE1" w:rsidRPr="00A86C7E" w:rsidP="005C14D4">
            <w:pPr>
              <w:bidi w:val="0"/>
              <w:rPr>
                <w:rFonts w:ascii="Arial Narrow" w:hAnsi="Arial Narrow"/>
                <w:b/>
                <w:bCs/>
                <w:color w:val="000000"/>
                <w:sz w:val="16"/>
                <w:szCs w:val="16"/>
              </w:rPr>
            </w:pPr>
          </w:p>
        </w:tc>
        <w:tc>
          <w:tcPr>
            <w:tcW w:w="2840" w:type="dxa"/>
            <w:gridSpan w:val="2"/>
            <w:tcBorders>
              <w:top w:val="single" w:sz="8" w:space="0" w:color="000000"/>
              <w:left w:val="nil"/>
              <w:bottom w:val="single" w:sz="8" w:space="0" w:color="000000"/>
              <w:right w:val="single" w:sz="8" w:space="0" w:color="000000"/>
            </w:tcBorders>
            <w:shd w:val="clear" w:color="000000" w:fill="BFBFBF"/>
            <w:textDirection w:val="lrTb"/>
            <w:vAlign w:val="center"/>
          </w:tcPr>
          <w:p w:rsidR="00801DE1" w:rsidRPr="00A86C7E" w:rsidP="005C14D4">
            <w:pPr>
              <w:bidi w:val="0"/>
              <w:jc w:val="center"/>
              <w:rPr>
                <w:rFonts w:ascii="Arial Narrow" w:hAnsi="Arial Narrow" w:cs="Arial Narrow"/>
                <w:b/>
                <w:bCs/>
                <w:color w:val="000000"/>
                <w:sz w:val="16"/>
                <w:szCs w:val="16"/>
              </w:rPr>
            </w:pPr>
            <w:r w:rsidRPr="00A86C7E">
              <w:rPr>
                <w:rFonts w:ascii="Arial Narrow" w:hAnsi="Arial Narrow" w:cs="Arial Narrow"/>
                <w:b/>
                <w:bCs/>
                <w:color w:val="000000"/>
                <w:sz w:val="16"/>
                <w:szCs w:val="16"/>
              </w:rPr>
              <w:t>I.   Súčasný systém</w:t>
            </w:r>
          </w:p>
        </w:tc>
        <w:tc>
          <w:tcPr>
            <w:tcW w:w="2840" w:type="dxa"/>
            <w:gridSpan w:val="2"/>
            <w:tcBorders>
              <w:top w:val="single" w:sz="8" w:space="0" w:color="000000"/>
              <w:left w:val="nil"/>
              <w:bottom w:val="single" w:sz="8" w:space="0" w:color="000000"/>
              <w:right w:val="single" w:sz="8" w:space="0" w:color="000000"/>
            </w:tcBorders>
            <w:shd w:val="clear" w:color="000000" w:fill="BFBFBF"/>
            <w:textDirection w:val="lrTb"/>
            <w:vAlign w:val="center"/>
          </w:tcPr>
          <w:p w:rsidR="00801DE1" w:rsidRPr="00A86C7E" w:rsidP="005C14D4">
            <w:pPr>
              <w:bidi w:val="0"/>
              <w:jc w:val="center"/>
              <w:rPr>
                <w:rFonts w:ascii="Arial Narrow" w:hAnsi="Arial Narrow" w:cs="Arial Narrow"/>
                <w:b/>
                <w:bCs/>
                <w:color w:val="000000"/>
                <w:sz w:val="16"/>
                <w:szCs w:val="16"/>
              </w:rPr>
            </w:pPr>
            <w:r w:rsidRPr="00A86C7E">
              <w:rPr>
                <w:rFonts w:ascii="Arial Narrow" w:hAnsi="Arial Narrow" w:cs="Arial Narrow"/>
                <w:b/>
                <w:bCs/>
                <w:color w:val="000000"/>
                <w:sz w:val="16"/>
                <w:szCs w:val="16"/>
              </w:rPr>
              <w:t>II. Návrh</w:t>
            </w:r>
          </w:p>
        </w:tc>
      </w:tr>
      <w:tr>
        <w:tblPrEx>
          <w:tblW w:w="9120" w:type="dxa"/>
          <w:jc w:val="center"/>
          <w:tblCellMar>
            <w:left w:w="70" w:type="dxa"/>
            <w:right w:w="70" w:type="dxa"/>
          </w:tblCellMar>
          <w:tblLook w:val="04A0"/>
        </w:tblPrEx>
        <w:trPr>
          <w:trHeight w:val="284"/>
          <w:jc w:val="center"/>
        </w:trPr>
        <w:tc>
          <w:tcPr>
            <w:tcW w:w="3440" w:type="dxa"/>
            <w:vMerge/>
            <w:tcBorders>
              <w:top w:val="nil"/>
              <w:left w:val="single" w:sz="8" w:space="0" w:color="auto"/>
              <w:bottom w:val="single" w:sz="8" w:space="0" w:color="000000"/>
              <w:right w:val="single" w:sz="8" w:space="0" w:color="000000"/>
            </w:tcBorders>
            <w:textDirection w:val="lrTb"/>
            <w:vAlign w:val="center"/>
          </w:tcPr>
          <w:p w:rsidR="00801DE1" w:rsidRPr="00A86C7E" w:rsidP="005C14D4">
            <w:pPr>
              <w:bidi w:val="0"/>
              <w:rPr>
                <w:rFonts w:ascii="Arial Narrow" w:hAnsi="Arial Narrow"/>
                <w:b/>
                <w:bCs/>
                <w:color w:val="000000"/>
                <w:sz w:val="16"/>
                <w:szCs w:val="16"/>
              </w:rPr>
            </w:pPr>
          </w:p>
        </w:tc>
        <w:tc>
          <w:tcPr>
            <w:tcW w:w="1420" w:type="dxa"/>
            <w:tcBorders>
              <w:top w:val="nil"/>
              <w:left w:val="nil"/>
              <w:bottom w:val="single" w:sz="8" w:space="0" w:color="000000"/>
              <w:right w:val="single" w:sz="8" w:space="0" w:color="000000"/>
            </w:tcBorders>
            <w:shd w:val="clear" w:color="000000" w:fill="BFBFBF"/>
            <w:textDirection w:val="lrTb"/>
            <w:vAlign w:val="center"/>
          </w:tcPr>
          <w:p w:rsidR="00801DE1" w:rsidRPr="00A86C7E" w:rsidP="005C14D4">
            <w:pPr>
              <w:bidi w:val="0"/>
              <w:jc w:val="center"/>
              <w:rPr>
                <w:rFonts w:ascii="Arial Narrow" w:hAnsi="Arial Narrow"/>
                <w:color w:val="000000"/>
                <w:sz w:val="16"/>
                <w:szCs w:val="16"/>
              </w:rPr>
            </w:pPr>
            <w:r w:rsidRPr="00A86C7E">
              <w:rPr>
                <w:rFonts w:ascii="Arial Narrow" w:hAnsi="Arial Narrow" w:cs="Arial Narrow"/>
                <w:color w:val="000000"/>
                <w:sz w:val="16"/>
                <w:szCs w:val="16"/>
              </w:rPr>
              <w:t>sadzba v % [výpočet]</w:t>
            </w:r>
          </w:p>
        </w:tc>
        <w:tc>
          <w:tcPr>
            <w:tcW w:w="1420" w:type="dxa"/>
            <w:tcBorders>
              <w:top w:val="nil"/>
              <w:left w:val="nil"/>
              <w:bottom w:val="single" w:sz="8" w:space="0" w:color="000000"/>
              <w:right w:val="single" w:sz="8" w:space="0" w:color="000000"/>
            </w:tcBorders>
            <w:shd w:val="clear" w:color="000000" w:fill="BFBFBF"/>
            <w:textDirection w:val="lrTb"/>
            <w:vAlign w:val="center"/>
          </w:tcPr>
          <w:p w:rsidR="00801DE1" w:rsidRPr="00A86C7E" w:rsidP="005C14D4">
            <w:pPr>
              <w:bidi w:val="0"/>
              <w:jc w:val="center"/>
              <w:rPr>
                <w:rFonts w:ascii="Arial Narrow" w:hAnsi="Arial Narrow"/>
                <w:color w:val="000000"/>
                <w:sz w:val="16"/>
                <w:szCs w:val="16"/>
              </w:rPr>
            </w:pPr>
            <w:r w:rsidRPr="00A86C7E">
              <w:rPr>
                <w:rFonts w:ascii="Arial Narrow" w:hAnsi="Arial Narrow" w:cs="Arial Narrow"/>
                <w:color w:val="000000"/>
                <w:sz w:val="16"/>
                <w:szCs w:val="16"/>
              </w:rPr>
              <w:t>EUR</w:t>
            </w:r>
            <w:r w:rsidRPr="00A86C7E">
              <w:rPr>
                <w:rFonts w:ascii="Arial Narrow" w:hAnsi="Arial Narrow" w:cs="Arial Narrow"/>
                <w:color w:val="000000"/>
                <w:sz w:val="16"/>
                <w:szCs w:val="16"/>
                <w:vertAlign w:val="superscript"/>
              </w:rPr>
              <w:t>1</w:t>
            </w:r>
          </w:p>
        </w:tc>
        <w:tc>
          <w:tcPr>
            <w:tcW w:w="1420" w:type="dxa"/>
            <w:tcBorders>
              <w:top w:val="nil"/>
              <w:left w:val="nil"/>
              <w:bottom w:val="single" w:sz="8" w:space="0" w:color="000000"/>
              <w:right w:val="single" w:sz="8" w:space="0" w:color="000000"/>
            </w:tcBorders>
            <w:shd w:val="clear" w:color="000000" w:fill="BFBFBF"/>
            <w:textDirection w:val="lrTb"/>
            <w:vAlign w:val="center"/>
          </w:tcPr>
          <w:p w:rsidR="00801DE1" w:rsidRPr="00A86C7E" w:rsidP="005C14D4">
            <w:pPr>
              <w:bidi w:val="0"/>
              <w:jc w:val="center"/>
              <w:rPr>
                <w:rFonts w:ascii="Arial Narrow" w:hAnsi="Arial Narrow"/>
                <w:color w:val="000000"/>
                <w:sz w:val="16"/>
                <w:szCs w:val="16"/>
              </w:rPr>
            </w:pPr>
            <w:r w:rsidRPr="00A86C7E">
              <w:rPr>
                <w:rFonts w:ascii="Arial Narrow" w:hAnsi="Arial Narrow" w:cs="Arial Narrow"/>
                <w:color w:val="000000"/>
                <w:sz w:val="16"/>
                <w:szCs w:val="16"/>
              </w:rPr>
              <w:t>sadzba v % [výpočet]</w:t>
            </w:r>
          </w:p>
        </w:tc>
        <w:tc>
          <w:tcPr>
            <w:tcW w:w="1420" w:type="dxa"/>
            <w:tcBorders>
              <w:top w:val="nil"/>
              <w:left w:val="nil"/>
              <w:bottom w:val="single" w:sz="8" w:space="0" w:color="000000"/>
              <w:right w:val="single" w:sz="8" w:space="0" w:color="auto"/>
            </w:tcBorders>
            <w:shd w:val="clear" w:color="000000" w:fill="BFBFBF"/>
            <w:textDirection w:val="lrTb"/>
            <w:vAlign w:val="center"/>
          </w:tcPr>
          <w:p w:rsidR="00801DE1" w:rsidRPr="00A86C7E" w:rsidP="005C14D4">
            <w:pPr>
              <w:bidi w:val="0"/>
              <w:jc w:val="center"/>
              <w:rPr>
                <w:rFonts w:ascii="Arial Narrow" w:hAnsi="Arial Narrow"/>
                <w:color w:val="000000"/>
                <w:sz w:val="16"/>
                <w:szCs w:val="16"/>
              </w:rPr>
            </w:pPr>
            <w:r w:rsidRPr="00A86C7E">
              <w:rPr>
                <w:rFonts w:ascii="Arial Narrow" w:hAnsi="Arial Narrow" w:cs="Arial Narrow"/>
                <w:color w:val="000000"/>
                <w:sz w:val="16"/>
                <w:szCs w:val="16"/>
              </w:rPr>
              <w:t>EUR</w:t>
            </w:r>
            <w:r w:rsidRPr="00A86C7E">
              <w:rPr>
                <w:rFonts w:ascii="Arial Narrow" w:hAnsi="Arial Narrow" w:cs="Arial Narrow"/>
                <w:color w:val="000000"/>
                <w:sz w:val="16"/>
                <w:szCs w:val="16"/>
                <w:vertAlign w:val="superscript"/>
              </w:rPr>
              <w:t>1</w:t>
            </w:r>
          </w:p>
        </w:tc>
      </w:tr>
      <w:tr>
        <w:tblPrEx>
          <w:tblW w:w="9120" w:type="dxa"/>
          <w:jc w:val="center"/>
          <w:tblCellMar>
            <w:left w:w="70" w:type="dxa"/>
            <w:right w:w="70" w:type="dxa"/>
          </w:tblCellMar>
          <w:tblLook w:val="04A0"/>
        </w:tblPrEx>
        <w:trPr>
          <w:trHeight w:val="270"/>
          <w:jc w:val="center"/>
        </w:trPr>
        <w:tc>
          <w:tcPr>
            <w:tcW w:w="3440" w:type="dxa"/>
            <w:tcBorders>
              <w:top w:val="nil"/>
              <w:left w:val="single" w:sz="8" w:space="0" w:color="auto"/>
              <w:bottom w:val="single" w:sz="8" w:space="0" w:color="000000"/>
              <w:right w:val="single" w:sz="8" w:space="0" w:color="000000"/>
            </w:tcBorders>
            <w:textDirection w:val="lrTb"/>
            <w:vAlign w:val="center"/>
          </w:tcPr>
          <w:p w:rsidR="00801DE1" w:rsidRPr="00A86C7E" w:rsidP="005C14D4">
            <w:pPr>
              <w:bidi w:val="0"/>
              <w:rPr>
                <w:rFonts w:ascii="Arial Narrow" w:hAnsi="Arial Narrow"/>
                <w:color w:val="000000"/>
                <w:sz w:val="14"/>
                <w:szCs w:val="14"/>
              </w:rPr>
            </w:pPr>
            <w:r w:rsidRPr="00A86C7E">
              <w:rPr>
                <w:rFonts w:ascii="Arial Narrow" w:hAnsi="Arial Narrow"/>
                <w:color w:val="000000"/>
                <w:sz w:val="14"/>
                <w:szCs w:val="14"/>
              </w:rPr>
              <w:t xml:space="preserve">A] hrubá mzda spolu </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562,92</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w:t>
            </w:r>
          </w:p>
        </w:tc>
        <w:tc>
          <w:tcPr>
            <w:tcW w:w="1420" w:type="dxa"/>
            <w:tcBorders>
              <w:top w:val="single" w:sz="8" w:space="0" w:color="000000"/>
              <w:left w:val="nil"/>
              <w:bottom w:val="single" w:sz="8" w:space="0" w:color="000000"/>
              <w:right w:val="single" w:sz="8" w:space="0" w:color="auto"/>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w:t>
            </w:r>
          </w:p>
        </w:tc>
      </w:tr>
      <w:tr>
        <w:tblPrEx>
          <w:tblW w:w="9120" w:type="dxa"/>
          <w:jc w:val="center"/>
          <w:tblCellMar>
            <w:left w:w="70" w:type="dxa"/>
            <w:right w:w="70" w:type="dxa"/>
          </w:tblCellMar>
          <w:tblLook w:val="04A0"/>
        </w:tblPrEx>
        <w:trPr>
          <w:trHeight w:val="270"/>
          <w:jc w:val="center"/>
        </w:trPr>
        <w:tc>
          <w:tcPr>
            <w:tcW w:w="3440" w:type="dxa"/>
            <w:tcBorders>
              <w:top w:val="nil"/>
              <w:left w:val="single" w:sz="8" w:space="0" w:color="auto"/>
              <w:bottom w:val="nil"/>
              <w:right w:val="single" w:sz="8" w:space="0" w:color="000000"/>
            </w:tcBorders>
            <w:textDirection w:val="lrTb"/>
            <w:vAlign w:val="center"/>
          </w:tcPr>
          <w:p w:rsidR="00801DE1" w:rsidRPr="00A86C7E" w:rsidP="005C14D4">
            <w:pPr>
              <w:bidi w:val="0"/>
              <w:rPr>
                <w:rFonts w:ascii="Arial Narrow" w:hAnsi="Arial Narrow"/>
                <w:color w:val="000000"/>
                <w:sz w:val="14"/>
                <w:szCs w:val="14"/>
              </w:rPr>
            </w:pPr>
            <w:r w:rsidRPr="00801DE1">
              <w:rPr>
                <w:rFonts w:ascii="Arial Narrow" w:hAnsi="Arial Narrow"/>
                <w:color w:val="000000"/>
                <w:sz w:val="14"/>
                <w:szCs w:val="14"/>
              </w:rPr>
              <w:t xml:space="preserve">B] </w:t>
            </w:r>
            <w:r>
              <w:rPr>
                <w:rFonts w:ascii="Arial Narrow" w:hAnsi="Arial Narrow"/>
                <w:color w:val="000000"/>
                <w:sz w:val="14"/>
                <w:szCs w:val="14"/>
              </w:rPr>
              <w:t>poistné</w:t>
            </w:r>
            <w:r w:rsidRPr="00A86C7E">
              <w:rPr>
                <w:rFonts w:ascii="Arial Narrow" w:hAnsi="Arial Narrow"/>
                <w:color w:val="000000"/>
                <w:sz w:val="14"/>
                <w:szCs w:val="14"/>
              </w:rPr>
              <w:t xml:space="preserve"> zamestnávateľa spolu</w:t>
            </w:r>
          </w:p>
        </w:tc>
        <w:tc>
          <w:tcPr>
            <w:tcW w:w="1420" w:type="dxa"/>
            <w:tcBorders>
              <w:top w:val="nil"/>
              <w:left w:val="nil"/>
              <w:bottom w:val="nil"/>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35,2 % z [A]</w:t>
            </w:r>
          </w:p>
        </w:tc>
        <w:tc>
          <w:tcPr>
            <w:tcW w:w="1420" w:type="dxa"/>
            <w:tcBorders>
              <w:top w:val="nil"/>
              <w:left w:val="nil"/>
              <w:bottom w:val="nil"/>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198,10</w:t>
            </w:r>
          </w:p>
        </w:tc>
        <w:tc>
          <w:tcPr>
            <w:tcW w:w="1420" w:type="dxa"/>
            <w:tcBorders>
              <w:top w:val="nil"/>
              <w:left w:val="nil"/>
              <w:bottom w:val="nil"/>
              <w:right w:val="single" w:sz="8" w:space="0" w:color="000000"/>
            </w:tcBorders>
            <w:shd w:val="clear" w:color="000000" w:fill="D8D8D8"/>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0,592 % z [C]</w:t>
            </w:r>
          </w:p>
        </w:tc>
        <w:tc>
          <w:tcPr>
            <w:tcW w:w="1420" w:type="dxa"/>
            <w:tcBorders>
              <w:top w:val="nil"/>
              <w:left w:val="nil"/>
              <w:bottom w:val="nil"/>
              <w:right w:val="single" w:sz="8" w:space="0" w:color="auto"/>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4,50</w:t>
            </w:r>
            <w:r w:rsidRPr="00A86C7E">
              <w:rPr>
                <w:rFonts w:ascii="Arial Narrow" w:hAnsi="Arial Narrow" w:cs="Arial Narrow"/>
                <w:color w:val="000000"/>
                <w:sz w:val="14"/>
                <w:szCs w:val="14"/>
                <w:vertAlign w:val="superscript"/>
              </w:rPr>
              <w:t>2</w:t>
            </w:r>
          </w:p>
        </w:tc>
      </w:tr>
      <w:tr>
        <w:tblPrEx>
          <w:tblW w:w="9120" w:type="dxa"/>
          <w:jc w:val="center"/>
          <w:tblCellMar>
            <w:left w:w="70" w:type="dxa"/>
            <w:right w:w="70" w:type="dxa"/>
          </w:tblCellMar>
          <w:tblLook w:val="04A0"/>
        </w:tblPrEx>
        <w:trPr>
          <w:trHeight w:val="540"/>
          <w:jc w:val="center"/>
        </w:trPr>
        <w:tc>
          <w:tcPr>
            <w:tcW w:w="3440" w:type="dxa"/>
            <w:tcBorders>
              <w:top w:val="single" w:sz="8" w:space="0" w:color="auto"/>
              <w:left w:val="single" w:sz="8" w:space="0" w:color="auto"/>
              <w:bottom w:val="single" w:sz="8" w:space="0" w:color="auto"/>
              <w:right w:val="single" w:sz="8" w:space="0" w:color="000000"/>
            </w:tcBorders>
            <w:textDirection w:val="lrTb"/>
            <w:vAlign w:val="center"/>
          </w:tcPr>
          <w:p w:rsidR="00801DE1" w:rsidRPr="00A86C7E" w:rsidP="005C14D4">
            <w:pPr>
              <w:bidi w:val="0"/>
              <w:rPr>
                <w:rFonts w:ascii="Arial Narrow" w:hAnsi="Arial Narrow"/>
                <w:b/>
                <w:bCs/>
                <w:color w:val="000000"/>
                <w:sz w:val="14"/>
                <w:szCs w:val="14"/>
              </w:rPr>
            </w:pPr>
            <w:r w:rsidRPr="00A86C7E">
              <w:rPr>
                <w:rFonts w:ascii="Arial Narrow" w:hAnsi="Arial Narrow"/>
                <w:b/>
                <w:bCs/>
                <w:color w:val="000000"/>
                <w:sz w:val="14"/>
                <w:szCs w:val="14"/>
              </w:rPr>
              <w:t>C] náklady práce spolu/(superhrubá mzda)</w:t>
            </w:r>
          </w:p>
        </w:tc>
        <w:tc>
          <w:tcPr>
            <w:tcW w:w="1420" w:type="dxa"/>
            <w:tcBorders>
              <w:top w:val="single" w:sz="8" w:space="0" w:color="auto"/>
              <w:left w:val="nil"/>
              <w:bottom w:val="single" w:sz="8" w:space="0" w:color="auto"/>
              <w:right w:val="single" w:sz="8" w:space="0" w:color="000000"/>
            </w:tcBorders>
            <w:textDirection w:val="lrTb"/>
            <w:vAlign w:val="center"/>
          </w:tcPr>
          <w:p w:rsidR="00801DE1" w:rsidRPr="00A86C7E" w:rsidP="005C14D4">
            <w:pPr>
              <w:bidi w:val="0"/>
              <w:jc w:val="center"/>
              <w:rPr>
                <w:rFonts w:ascii="Arial Narrow" w:hAnsi="Arial Narrow"/>
                <w:b/>
                <w:bCs/>
                <w:color w:val="000000"/>
                <w:sz w:val="14"/>
                <w:szCs w:val="14"/>
              </w:rPr>
            </w:pPr>
            <w:r w:rsidRPr="00A86C7E">
              <w:rPr>
                <w:rFonts w:ascii="Arial Narrow" w:hAnsi="Arial Narrow"/>
                <w:b/>
                <w:bCs/>
                <w:color w:val="000000"/>
                <w:sz w:val="14"/>
                <w:szCs w:val="14"/>
              </w:rPr>
              <w:t>[A+B]</w:t>
            </w:r>
          </w:p>
        </w:tc>
        <w:tc>
          <w:tcPr>
            <w:tcW w:w="1420" w:type="dxa"/>
            <w:tcBorders>
              <w:top w:val="single" w:sz="8" w:space="0" w:color="auto"/>
              <w:left w:val="nil"/>
              <w:bottom w:val="single" w:sz="8" w:space="0" w:color="auto"/>
              <w:right w:val="single" w:sz="8" w:space="0" w:color="000000"/>
            </w:tcBorders>
            <w:textDirection w:val="lrTb"/>
            <w:vAlign w:val="center"/>
          </w:tcPr>
          <w:p w:rsidR="00801DE1" w:rsidRPr="00A86C7E" w:rsidP="005C14D4">
            <w:pPr>
              <w:bidi w:val="0"/>
              <w:jc w:val="center"/>
              <w:rPr>
                <w:rFonts w:ascii="Arial Narrow" w:hAnsi="Arial Narrow"/>
                <w:b/>
                <w:bCs/>
                <w:color w:val="000000"/>
                <w:sz w:val="14"/>
                <w:szCs w:val="14"/>
              </w:rPr>
            </w:pPr>
            <w:r w:rsidRPr="00A86C7E">
              <w:rPr>
                <w:rFonts w:ascii="Arial Narrow" w:hAnsi="Arial Narrow"/>
                <w:b/>
                <w:bCs/>
                <w:color w:val="000000"/>
                <w:sz w:val="14"/>
                <w:szCs w:val="14"/>
              </w:rPr>
              <w:t>761,02</w:t>
            </w:r>
          </w:p>
        </w:tc>
        <w:tc>
          <w:tcPr>
            <w:tcW w:w="1420" w:type="dxa"/>
            <w:tcBorders>
              <w:top w:val="single" w:sz="8" w:space="0" w:color="auto"/>
              <w:left w:val="nil"/>
              <w:bottom w:val="single" w:sz="8" w:space="0" w:color="auto"/>
              <w:right w:val="single" w:sz="8" w:space="0" w:color="000000"/>
            </w:tcBorders>
            <w:shd w:val="clear" w:color="000000" w:fill="D8D8D8"/>
            <w:textDirection w:val="lrTb"/>
            <w:vAlign w:val="center"/>
          </w:tcPr>
          <w:p w:rsidR="00801DE1" w:rsidRPr="00A86C7E" w:rsidP="005C14D4">
            <w:pPr>
              <w:bidi w:val="0"/>
              <w:jc w:val="center"/>
              <w:rPr>
                <w:rFonts w:ascii="Arial Narrow" w:hAnsi="Arial Narrow"/>
                <w:b/>
                <w:bCs/>
                <w:color w:val="000000"/>
                <w:sz w:val="14"/>
                <w:szCs w:val="14"/>
              </w:rPr>
            </w:pPr>
            <w:r w:rsidRPr="00A86C7E">
              <w:rPr>
                <w:rFonts w:ascii="Arial Narrow" w:hAnsi="Arial Narrow"/>
                <w:b/>
                <w:bCs/>
                <w:color w:val="000000"/>
                <w:sz w:val="14"/>
                <w:szCs w:val="14"/>
              </w:rPr>
              <w:t xml:space="preserve">[A+B] z I.               ([A+B] z I. - [B]) </w:t>
            </w:r>
          </w:p>
        </w:tc>
        <w:tc>
          <w:tcPr>
            <w:tcW w:w="1420" w:type="dxa"/>
            <w:tcBorders>
              <w:top w:val="single" w:sz="8" w:space="0" w:color="auto"/>
              <w:left w:val="nil"/>
              <w:bottom w:val="single" w:sz="8" w:space="0" w:color="auto"/>
              <w:right w:val="single" w:sz="8" w:space="0" w:color="auto"/>
            </w:tcBorders>
            <w:textDirection w:val="lrTb"/>
            <w:vAlign w:val="center"/>
          </w:tcPr>
          <w:p w:rsidR="00801DE1" w:rsidRPr="00A86C7E" w:rsidP="005C14D4">
            <w:pPr>
              <w:bidi w:val="0"/>
              <w:jc w:val="center"/>
              <w:rPr>
                <w:rFonts w:ascii="Arial Narrow" w:hAnsi="Arial Narrow"/>
                <w:b/>
                <w:bCs/>
                <w:color w:val="000000"/>
                <w:sz w:val="14"/>
                <w:szCs w:val="14"/>
              </w:rPr>
            </w:pPr>
            <w:r w:rsidRPr="00A86C7E">
              <w:rPr>
                <w:rFonts w:ascii="Arial Narrow" w:hAnsi="Arial Narrow"/>
                <w:b/>
                <w:bCs/>
                <w:color w:val="000000"/>
                <w:sz w:val="14"/>
                <w:szCs w:val="14"/>
              </w:rPr>
              <w:t>761,02                        (756,52)</w:t>
            </w:r>
          </w:p>
        </w:tc>
      </w:tr>
      <w:tr>
        <w:tblPrEx>
          <w:tblW w:w="9120" w:type="dxa"/>
          <w:jc w:val="center"/>
          <w:tblCellMar>
            <w:left w:w="70" w:type="dxa"/>
            <w:right w:w="70" w:type="dxa"/>
          </w:tblCellMar>
          <w:tblLook w:val="04A0"/>
        </w:tblPrEx>
        <w:trPr>
          <w:trHeight w:val="539"/>
          <w:jc w:val="center"/>
        </w:trPr>
        <w:tc>
          <w:tcPr>
            <w:tcW w:w="3440" w:type="dxa"/>
            <w:tcBorders>
              <w:top w:val="nil"/>
              <w:left w:val="single" w:sz="8" w:space="0" w:color="auto"/>
              <w:bottom w:val="single" w:sz="8" w:space="0" w:color="000000"/>
              <w:right w:val="single" w:sz="8" w:space="0" w:color="000000"/>
            </w:tcBorders>
            <w:textDirection w:val="lrTb"/>
            <w:vAlign w:val="center"/>
          </w:tcPr>
          <w:p w:rsidR="00801DE1" w:rsidRPr="00A86C7E" w:rsidP="005C14D4">
            <w:pPr>
              <w:bidi w:val="0"/>
              <w:rPr>
                <w:rFonts w:ascii="Arial Narrow" w:hAnsi="Arial Narrow"/>
                <w:color w:val="000000"/>
                <w:sz w:val="14"/>
                <w:szCs w:val="14"/>
              </w:rPr>
            </w:pPr>
            <w:r w:rsidRPr="00801DE1">
              <w:rPr>
                <w:rFonts w:ascii="Arial Narrow" w:hAnsi="Arial Narrow"/>
                <w:color w:val="000000"/>
                <w:sz w:val="14"/>
                <w:szCs w:val="14"/>
              </w:rPr>
              <w:t xml:space="preserve">D] </w:t>
            </w:r>
            <w:r>
              <w:rPr>
                <w:rFonts w:ascii="Arial Narrow" w:hAnsi="Arial Narrow"/>
                <w:color w:val="000000"/>
                <w:sz w:val="14"/>
                <w:szCs w:val="14"/>
              </w:rPr>
              <w:t>poistné</w:t>
            </w:r>
            <w:r w:rsidRPr="00A86C7E">
              <w:rPr>
                <w:rFonts w:ascii="Arial Narrow" w:hAnsi="Arial Narrow"/>
                <w:color w:val="000000"/>
                <w:sz w:val="14"/>
                <w:szCs w:val="14"/>
              </w:rPr>
              <w:t xml:space="preserve"> zamestnanca</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13,4 % z [A]</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75,40</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28 % z [(C)]      t.j.19% SO a 9% ZO</w:t>
            </w:r>
          </w:p>
        </w:tc>
        <w:tc>
          <w:tcPr>
            <w:tcW w:w="1420" w:type="dxa"/>
            <w:tcBorders>
              <w:top w:val="nil"/>
              <w:left w:val="nil"/>
              <w:bottom w:val="single" w:sz="8" w:space="0" w:color="000000"/>
              <w:right w:val="single" w:sz="8" w:space="0" w:color="auto"/>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212,44                        t.j. 143,74 + 68,08</w:t>
            </w:r>
          </w:p>
        </w:tc>
      </w:tr>
      <w:tr>
        <w:tblPrEx>
          <w:tblW w:w="9120" w:type="dxa"/>
          <w:jc w:val="center"/>
          <w:tblCellMar>
            <w:left w:w="70" w:type="dxa"/>
            <w:right w:w="70" w:type="dxa"/>
          </w:tblCellMar>
          <w:tblLook w:val="04A0"/>
        </w:tblPrEx>
        <w:trPr>
          <w:trHeight w:val="270"/>
          <w:jc w:val="center"/>
        </w:trPr>
        <w:tc>
          <w:tcPr>
            <w:tcW w:w="3440" w:type="dxa"/>
            <w:tcBorders>
              <w:top w:val="nil"/>
              <w:left w:val="single" w:sz="8" w:space="0" w:color="auto"/>
              <w:bottom w:val="single" w:sz="8" w:space="0" w:color="000000"/>
              <w:right w:val="single" w:sz="8" w:space="0" w:color="000000"/>
            </w:tcBorders>
            <w:textDirection w:val="lrTb"/>
            <w:vAlign w:val="center"/>
          </w:tcPr>
          <w:p w:rsidR="00801DE1" w:rsidRPr="00A86C7E" w:rsidP="005C14D4">
            <w:pPr>
              <w:bidi w:val="0"/>
              <w:rPr>
                <w:rFonts w:ascii="Arial Narrow" w:hAnsi="Arial Narrow"/>
                <w:color w:val="000000"/>
                <w:sz w:val="14"/>
                <w:szCs w:val="14"/>
              </w:rPr>
            </w:pPr>
            <w:r w:rsidRPr="00A86C7E">
              <w:rPr>
                <w:rFonts w:ascii="Arial Narrow" w:hAnsi="Arial Narrow"/>
                <w:color w:val="000000"/>
                <w:sz w:val="14"/>
                <w:szCs w:val="14"/>
              </w:rPr>
              <w:t>E] základ dane</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[A-D]</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487,52</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[(C)]</w:t>
            </w:r>
          </w:p>
        </w:tc>
        <w:tc>
          <w:tcPr>
            <w:tcW w:w="1420" w:type="dxa"/>
            <w:tcBorders>
              <w:top w:val="nil"/>
              <w:left w:val="nil"/>
              <w:bottom w:val="single" w:sz="8" w:space="0" w:color="000000"/>
              <w:right w:val="single" w:sz="8" w:space="0" w:color="auto"/>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756,52</w:t>
            </w:r>
          </w:p>
        </w:tc>
      </w:tr>
      <w:tr>
        <w:tblPrEx>
          <w:tblW w:w="9120" w:type="dxa"/>
          <w:jc w:val="center"/>
          <w:tblCellMar>
            <w:left w:w="70" w:type="dxa"/>
            <w:right w:w="70" w:type="dxa"/>
          </w:tblCellMar>
          <w:tblLook w:val="04A0"/>
        </w:tblPrEx>
        <w:trPr>
          <w:trHeight w:val="270"/>
          <w:jc w:val="center"/>
        </w:trPr>
        <w:tc>
          <w:tcPr>
            <w:tcW w:w="3440" w:type="dxa"/>
            <w:tcBorders>
              <w:top w:val="nil"/>
              <w:left w:val="single" w:sz="8" w:space="0" w:color="auto"/>
              <w:bottom w:val="single" w:sz="8" w:space="0" w:color="000000"/>
              <w:right w:val="single" w:sz="8" w:space="0" w:color="000000"/>
            </w:tcBorders>
            <w:textDirection w:val="lrTb"/>
            <w:vAlign w:val="center"/>
          </w:tcPr>
          <w:p w:rsidR="00801DE1" w:rsidRPr="00A86C7E" w:rsidP="005C14D4">
            <w:pPr>
              <w:bidi w:val="0"/>
              <w:rPr>
                <w:rFonts w:ascii="Arial Narrow" w:hAnsi="Arial Narrow"/>
                <w:color w:val="000000"/>
                <w:sz w:val="14"/>
                <w:szCs w:val="14"/>
              </w:rPr>
            </w:pPr>
            <w:r w:rsidRPr="00A86C7E">
              <w:rPr>
                <w:rFonts w:ascii="Arial Narrow" w:hAnsi="Arial Narrow"/>
                <w:color w:val="000000"/>
                <w:sz w:val="14"/>
                <w:szCs w:val="14"/>
              </w:rPr>
              <w:t>F] nezdaniteľná časť základu dane</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1,6 * ŽM</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303,44</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1,5 * ŽM</w:t>
            </w:r>
          </w:p>
        </w:tc>
        <w:tc>
          <w:tcPr>
            <w:tcW w:w="1420" w:type="dxa"/>
            <w:tcBorders>
              <w:top w:val="nil"/>
              <w:left w:val="nil"/>
              <w:bottom w:val="single" w:sz="8" w:space="0" w:color="000000"/>
              <w:right w:val="single" w:sz="8" w:space="0" w:color="auto"/>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284,48</w:t>
            </w:r>
          </w:p>
        </w:tc>
      </w:tr>
      <w:tr>
        <w:tblPrEx>
          <w:tblW w:w="9120" w:type="dxa"/>
          <w:jc w:val="center"/>
          <w:tblCellMar>
            <w:left w:w="70" w:type="dxa"/>
            <w:right w:w="70" w:type="dxa"/>
          </w:tblCellMar>
          <w:tblLook w:val="04A0"/>
        </w:tblPrEx>
        <w:trPr>
          <w:trHeight w:val="270"/>
          <w:jc w:val="center"/>
        </w:trPr>
        <w:tc>
          <w:tcPr>
            <w:tcW w:w="3440" w:type="dxa"/>
            <w:tcBorders>
              <w:top w:val="nil"/>
              <w:left w:val="single" w:sz="8" w:space="0" w:color="auto"/>
              <w:bottom w:val="single" w:sz="8" w:space="0" w:color="000000"/>
              <w:right w:val="single" w:sz="8" w:space="0" w:color="000000"/>
            </w:tcBorders>
            <w:textDirection w:val="lrTb"/>
            <w:vAlign w:val="center"/>
          </w:tcPr>
          <w:p w:rsidR="00801DE1" w:rsidRPr="00A86C7E" w:rsidP="005C14D4">
            <w:pPr>
              <w:bidi w:val="0"/>
              <w:rPr>
                <w:rFonts w:ascii="Arial Narrow" w:hAnsi="Arial Narrow"/>
                <w:color w:val="000000"/>
                <w:sz w:val="14"/>
                <w:szCs w:val="14"/>
              </w:rPr>
            </w:pPr>
            <w:r w:rsidRPr="00A86C7E">
              <w:rPr>
                <w:rFonts w:ascii="Arial Narrow" w:hAnsi="Arial Narrow"/>
                <w:color w:val="000000"/>
                <w:sz w:val="14"/>
                <w:szCs w:val="14"/>
              </w:rPr>
              <w:t>G] zdaniteľný príjem</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[E-F]</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184,08</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[E-F]</w:t>
            </w:r>
          </w:p>
        </w:tc>
        <w:tc>
          <w:tcPr>
            <w:tcW w:w="1420" w:type="dxa"/>
            <w:tcBorders>
              <w:top w:val="nil"/>
              <w:left w:val="nil"/>
              <w:bottom w:val="single" w:sz="8" w:space="0" w:color="000000"/>
              <w:right w:val="single" w:sz="8" w:space="0" w:color="auto"/>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472,04</w:t>
            </w:r>
          </w:p>
        </w:tc>
      </w:tr>
      <w:tr>
        <w:tblPrEx>
          <w:tblW w:w="9120" w:type="dxa"/>
          <w:jc w:val="center"/>
          <w:tblCellMar>
            <w:left w:w="70" w:type="dxa"/>
            <w:right w:w="70" w:type="dxa"/>
          </w:tblCellMar>
          <w:tblLook w:val="04A0"/>
        </w:tblPrEx>
        <w:trPr>
          <w:trHeight w:val="270"/>
          <w:jc w:val="center"/>
        </w:trPr>
        <w:tc>
          <w:tcPr>
            <w:tcW w:w="3440" w:type="dxa"/>
            <w:tcBorders>
              <w:top w:val="nil"/>
              <w:left w:val="single" w:sz="8" w:space="0" w:color="auto"/>
              <w:bottom w:val="single" w:sz="8" w:space="0" w:color="000000"/>
              <w:right w:val="single" w:sz="8" w:space="0" w:color="000000"/>
            </w:tcBorders>
            <w:textDirection w:val="lrTb"/>
            <w:vAlign w:val="center"/>
          </w:tcPr>
          <w:p w:rsidR="00801DE1" w:rsidRPr="00A86C7E" w:rsidP="005C14D4">
            <w:pPr>
              <w:bidi w:val="0"/>
              <w:rPr>
                <w:rFonts w:ascii="Arial Narrow" w:hAnsi="Arial Narrow"/>
                <w:color w:val="000000"/>
                <w:sz w:val="14"/>
                <w:szCs w:val="14"/>
              </w:rPr>
            </w:pPr>
            <w:r w:rsidRPr="00A86C7E">
              <w:rPr>
                <w:rFonts w:ascii="Arial Narrow" w:hAnsi="Arial Narrow"/>
                <w:color w:val="000000"/>
                <w:sz w:val="14"/>
                <w:szCs w:val="14"/>
              </w:rPr>
              <w:t>H] daňový bonus (DB)</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1 * DB</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20,81</w:t>
            </w:r>
          </w:p>
        </w:tc>
        <w:tc>
          <w:tcPr>
            <w:tcW w:w="1420" w:type="dxa"/>
            <w:tcBorders>
              <w:top w:val="nil"/>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1 * DB</w:t>
            </w:r>
          </w:p>
        </w:tc>
        <w:tc>
          <w:tcPr>
            <w:tcW w:w="1420" w:type="dxa"/>
            <w:tcBorders>
              <w:top w:val="nil"/>
              <w:left w:val="nil"/>
              <w:bottom w:val="single" w:sz="8" w:space="0" w:color="000000"/>
              <w:right w:val="single" w:sz="8" w:space="0" w:color="auto"/>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20,81</w:t>
            </w:r>
          </w:p>
        </w:tc>
      </w:tr>
      <w:tr>
        <w:tblPrEx>
          <w:tblW w:w="9120" w:type="dxa"/>
          <w:jc w:val="center"/>
          <w:tblCellMar>
            <w:left w:w="70" w:type="dxa"/>
            <w:right w:w="70" w:type="dxa"/>
          </w:tblCellMar>
          <w:tblLook w:val="04A0"/>
        </w:tblPrEx>
        <w:trPr>
          <w:trHeight w:val="270"/>
          <w:jc w:val="center"/>
        </w:trPr>
        <w:tc>
          <w:tcPr>
            <w:tcW w:w="3440" w:type="dxa"/>
            <w:tcBorders>
              <w:top w:val="single" w:sz="8" w:space="0" w:color="000000"/>
              <w:left w:val="single" w:sz="8" w:space="0" w:color="auto"/>
              <w:bottom w:val="single" w:sz="8" w:space="0" w:color="000000"/>
              <w:right w:val="single" w:sz="8" w:space="0" w:color="000000"/>
            </w:tcBorders>
            <w:textDirection w:val="lrTb"/>
            <w:vAlign w:val="center"/>
          </w:tcPr>
          <w:p w:rsidR="00801DE1" w:rsidRPr="00A86C7E" w:rsidP="005C14D4">
            <w:pPr>
              <w:bidi w:val="0"/>
              <w:rPr>
                <w:rFonts w:ascii="Arial Narrow" w:hAnsi="Arial Narrow"/>
                <w:color w:val="000000"/>
                <w:sz w:val="14"/>
                <w:szCs w:val="14"/>
              </w:rPr>
            </w:pPr>
            <w:r w:rsidRPr="00A86C7E">
              <w:rPr>
                <w:rFonts w:ascii="Arial Narrow" w:hAnsi="Arial Narrow"/>
                <w:color w:val="000000"/>
                <w:sz w:val="14"/>
                <w:szCs w:val="14"/>
              </w:rPr>
              <w:t>I] daň z príjmu FO</w:t>
            </w:r>
          </w:p>
        </w:tc>
        <w:tc>
          <w:tcPr>
            <w:tcW w:w="1420" w:type="dxa"/>
            <w:tcBorders>
              <w:top w:val="single" w:sz="8" w:space="0" w:color="000000"/>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(19 % z [G] - [H])</w:t>
            </w:r>
          </w:p>
        </w:tc>
        <w:tc>
          <w:tcPr>
            <w:tcW w:w="1420" w:type="dxa"/>
            <w:tcBorders>
              <w:top w:val="single" w:sz="8" w:space="0" w:color="000000"/>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14,16</w:t>
            </w:r>
          </w:p>
        </w:tc>
        <w:tc>
          <w:tcPr>
            <w:tcW w:w="1420" w:type="dxa"/>
            <w:tcBorders>
              <w:top w:val="single" w:sz="8" w:space="0" w:color="000000"/>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(19 % z [G] - [H])</w:t>
            </w:r>
          </w:p>
        </w:tc>
        <w:tc>
          <w:tcPr>
            <w:tcW w:w="1420" w:type="dxa"/>
            <w:tcBorders>
              <w:top w:val="single" w:sz="8" w:space="0" w:color="000000"/>
              <w:left w:val="nil"/>
              <w:bottom w:val="single" w:sz="8" w:space="0" w:color="000000"/>
              <w:right w:val="single" w:sz="8" w:space="0" w:color="auto"/>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68,88</w:t>
            </w:r>
          </w:p>
        </w:tc>
      </w:tr>
      <w:tr>
        <w:tblPrEx>
          <w:tblW w:w="9120" w:type="dxa"/>
          <w:jc w:val="center"/>
          <w:tblCellMar>
            <w:left w:w="70" w:type="dxa"/>
            <w:right w:w="70" w:type="dxa"/>
          </w:tblCellMar>
          <w:tblLook w:val="04A0"/>
        </w:tblPrEx>
        <w:trPr>
          <w:trHeight w:val="270"/>
          <w:jc w:val="center"/>
        </w:trPr>
        <w:tc>
          <w:tcPr>
            <w:tcW w:w="3440" w:type="dxa"/>
            <w:tcBorders>
              <w:top w:val="single" w:sz="8" w:space="0" w:color="000000"/>
              <w:left w:val="single" w:sz="8" w:space="0" w:color="auto"/>
              <w:bottom w:val="single" w:sz="8" w:space="0" w:color="000000"/>
              <w:right w:val="single" w:sz="8" w:space="0" w:color="000000"/>
            </w:tcBorders>
            <w:textDirection w:val="lrTb"/>
            <w:vAlign w:val="center"/>
          </w:tcPr>
          <w:p w:rsidR="00801DE1" w:rsidRPr="00A86C7E" w:rsidP="005C14D4">
            <w:pPr>
              <w:bidi w:val="0"/>
              <w:rPr>
                <w:rFonts w:ascii="Arial Narrow" w:hAnsi="Arial Narrow"/>
                <w:b/>
                <w:bCs/>
                <w:color w:val="000000"/>
                <w:sz w:val="14"/>
                <w:szCs w:val="14"/>
              </w:rPr>
            </w:pPr>
            <w:r w:rsidRPr="00A86C7E">
              <w:rPr>
                <w:rFonts w:ascii="Arial Narrow" w:hAnsi="Arial Narrow"/>
                <w:b/>
                <w:bCs/>
                <w:color w:val="000000"/>
                <w:sz w:val="14"/>
                <w:szCs w:val="14"/>
              </w:rPr>
              <w:t>J] čistá mzda</w:t>
            </w:r>
          </w:p>
        </w:tc>
        <w:tc>
          <w:tcPr>
            <w:tcW w:w="1420" w:type="dxa"/>
            <w:tcBorders>
              <w:top w:val="single" w:sz="8" w:space="0" w:color="000000"/>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b/>
                <w:bCs/>
                <w:color w:val="000000"/>
                <w:sz w:val="14"/>
                <w:szCs w:val="14"/>
              </w:rPr>
            </w:pPr>
            <w:r w:rsidRPr="00A86C7E">
              <w:rPr>
                <w:rFonts w:ascii="Arial Narrow" w:hAnsi="Arial Narrow"/>
                <w:b/>
                <w:bCs/>
                <w:color w:val="000000"/>
                <w:sz w:val="14"/>
                <w:szCs w:val="14"/>
              </w:rPr>
              <w:t>[E-I]</w:t>
            </w:r>
          </w:p>
        </w:tc>
        <w:tc>
          <w:tcPr>
            <w:tcW w:w="1420" w:type="dxa"/>
            <w:tcBorders>
              <w:top w:val="single" w:sz="8" w:space="0" w:color="000000"/>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b/>
                <w:bCs/>
                <w:color w:val="000000"/>
                <w:sz w:val="14"/>
                <w:szCs w:val="14"/>
              </w:rPr>
            </w:pPr>
            <w:r w:rsidRPr="00A86C7E">
              <w:rPr>
                <w:rFonts w:ascii="Arial Narrow" w:hAnsi="Arial Narrow"/>
                <w:b/>
                <w:bCs/>
                <w:color w:val="000000"/>
                <w:sz w:val="14"/>
                <w:szCs w:val="14"/>
              </w:rPr>
              <w:t>473,36</w:t>
            </w:r>
          </w:p>
        </w:tc>
        <w:tc>
          <w:tcPr>
            <w:tcW w:w="1420" w:type="dxa"/>
            <w:tcBorders>
              <w:top w:val="single" w:sz="8" w:space="0" w:color="000000"/>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b/>
                <w:bCs/>
                <w:color w:val="000000"/>
                <w:sz w:val="14"/>
                <w:szCs w:val="14"/>
              </w:rPr>
            </w:pPr>
            <w:r w:rsidRPr="00A86C7E">
              <w:rPr>
                <w:rFonts w:ascii="Arial Narrow" w:hAnsi="Arial Narrow"/>
                <w:b/>
                <w:bCs/>
                <w:color w:val="000000"/>
                <w:sz w:val="14"/>
                <w:szCs w:val="14"/>
              </w:rPr>
              <w:t>[(C)-D-I]</w:t>
            </w:r>
          </w:p>
        </w:tc>
        <w:tc>
          <w:tcPr>
            <w:tcW w:w="1420" w:type="dxa"/>
            <w:tcBorders>
              <w:top w:val="single" w:sz="8" w:space="0" w:color="000000"/>
              <w:left w:val="nil"/>
              <w:bottom w:val="single" w:sz="8" w:space="0" w:color="000000"/>
              <w:right w:val="single" w:sz="8" w:space="0" w:color="auto"/>
            </w:tcBorders>
            <w:textDirection w:val="lrTb"/>
            <w:vAlign w:val="center"/>
          </w:tcPr>
          <w:p w:rsidR="00801DE1" w:rsidRPr="00A86C7E" w:rsidP="005C14D4">
            <w:pPr>
              <w:bidi w:val="0"/>
              <w:jc w:val="center"/>
              <w:rPr>
                <w:rFonts w:ascii="Arial Narrow" w:hAnsi="Arial Narrow"/>
                <w:b/>
                <w:bCs/>
                <w:color w:val="000000"/>
                <w:sz w:val="14"/>
                <w:szCs w:val="14"/>
              </w:rPr>
            </w:pPr>
            <w:r w:rsidRPr="00A86C7E">
              <w:rPr>
                <w:rFonts w:ascii="Arial Narrow" w:hAnsi="Arial Narrow"/>
                <w:b/>
                <w:bCs/>
                <w:color w:val="000000"/>
                <w:sz w:val="14"/>
                <w:szCs w:val="14"/>
              </w:rPr>
              <w:t>475,2</w:t>
            </w:r>
          </w:p>
        </w:tc>
      </w:tr>
      <w:tr>
        <w:tblPrEx>
          <w:tblW w:w="9120" w:type="dxa"/>
          <w:jc w:val="center"/>
          <w:tblCellMar>
            <w:left w:w="70" w:type="dxa"/>
            <w:right w:w="70" w:type="dxa"/>
          </w:tblCellMar>
          <w:tblLook w:val="04A0"/>
        </w:tblPrEx>
        <w:trPr>
          <w:trHeight w:val="270"/>
          <w:jc w:val="center"/>
        </w:trPr>
        <w:tc>
          <w:tcPr>
            <w:tcW w:w="3440" w:type="dxa"/>
            <w:tcBorders>
              <w:top w:val="single" w:sz="8" w:space="0" w:color="000000"/>
              <w:left w:val="single" w:sz="8" w:space="0" w:color="auto"/>
              <w:bottom w:val="single" w:sz="8" w:space="0" w:color="000000"/>
              <w:right w:val="single" w:sz="8" w:space="0" w:color="000000"/>
            </w:tcBorders>
            <w:textDirection w:val="lrTb"/>
            <w:vAlign w:val="center"/>
          </w:tcPr>
          <w:p w:rsidR="00801DE1" w:rsidRPr="00A86C7E" w:rsidP="005C14D4">
            <w:pPr>
              <w:bidi w:val="0"/>
              <w:rPr>
                <w:rFonts w:ascii="Arial Narrow" w:hAnsi="Arial Narrow"/>
                <w:color w:val="000000"/>
                <w:sz w:val="14"/>
                <w:szCs w:val="14"/>
              </w:rPr>
            </w:pPr>
            <w:r w:rsidRPr="00A86C7E">
              <w:rPr>
                <w:rFonts w:ascii="Arial Narrow" w:hAnsi="Arial Narrow"/>
                <w:color w:val="000000"/>
                <w:sz w:val="14"/>
                <w:szCs w:val="14"/>
              </w:rPr>
              <w:t>K] prídavky na dieťa (PD)</w:t>
            </w:r>
          </w:p>
        </w:tc>
        <w:tc>
          <w:tcPr>
            <w:tcW w:w="1420" w:type="dxa"/>
            <w:tcBorders>
              <w:top w:val="single" w:sz="8" w:space="0" w:color="000000"/>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1*PD</w:t>
            </w:r>
          </w:p>
        </w:tc>
        <w:tc>
          <w:tcPr>
            <w:tcW w:w="1420" w:type="dxa"/>
            <w:tcBorders>
              <w:top w:val="single" w:sz="8" w:space="0" w:color="000000"/>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22,52</w:t>
            </w:r>
          </w:p>
        </w:tc>
        <w:tc>
          <w:tcPr>
            <w:tcW w:w="1420" w:type="dxa"/>
            <w:tcBorders>
              <w:top w:val="single" w:sz="8" w:space="0" w:color="000000"/>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1*PD</w:t>
            </w:r>
          </w:p>
        </w:tc>
        <w:tc>
          <w:tcPr>
            <w:tcW w:w="1420" w:type="dxa"/>
            <w:tcBorders>
              <w:top w:val="single" w:sz="8" w:space="0" w:color="000000"/>
              <w:left w:val="nil"/>
              <w:bottom w:val="single" w:sz="8" w:space="0" w:color="000000"/>
              <w:right w:val="single" w:sz="8" w:space="0" w:color="auto"/>
            </w:tcBorders>
            <w:textDirection w:val="lrTb"/>
            <w:vAlign w:val="center"/>
          </w:tcPr>
          <w:p w:rsidR="00801DE1" w:rsidRPr="00A86C7E" w:rsidP="005C14D4">
            <w:pPr>
              <w:bidi w:val="0"/>
              <w:jc w:val="center"/>
              <w:rPr>
                <w:rFonts w:ascii="Arial Narrow" w:hAnsi="Arial Narrow"/>
                <w:color w:val="000000"/>
                <w:sz w:val="14"/>
                <w:szCs w:val="14"/>
              </w:rPr>
            </w:pPr>
            <w:r w:rsidRPr="00A86C7E">
              <w:rPr>
                <w:rFonts w:ascii="Arial Narrow" w:hAnsi="Arial Narrow"/>
                <w:color w:val="000000"/>
                <w:sz w:val="14"/>
                <w:szCs w:val="14"/>
              </w:rPr>
              <w:t>22,52</w:t>
            </w:r>
          </w:p>
        </w:tc>
      </w:tr>
      <w:tr>
        <w:tblPrEx>
          <w:tblW w:w="9120" w:type="dxa"/>
          <w:jc w:val="center"/>
          <w:tblCellMar>
            <w:left w:w="70" w:type="dxa"/>
            <w:right w:w="70" w:type="dxa"/>
          </w:tblCellMar>
          <w:tblLook w:val="04A0"/>
        </w:tblPrEx>
        <w:trPr>
          <w:trHeight w:val="270"/>
          <w:jc w:val="center"/>
        </w:trPr>
        <w:tc>
          <w:tcPr>
            <w:tcW w:w="3440" w:type="dxa"/>
            <w:tcBorders>
              <w:top w:val="single" w:sz="8" w:space="0" w:color="000000"/>
              <w:left w:val="single" w:sz="8" w:space="0" w:color="auto"/>
              <w:bottom w:val="single" w:sz="8" w:space="0" w:color="000000"/>
              <w:right w:val="single" w:sz="8" w:space="0" w:color="000000"/>
            </w:tcBorders>
            <w:textDirection w:val="lrTb"/>
            <w:vAlign w:val="center"/>
          </w:tcPr>
          <w:p w:rsidR="00801DE1" w:rsidRPr="00A86C7E" w:rsidP="005C14D4">
            <w:pPr>
              <w:bidi w:val="0"/>
              <w:rPr>
                <w:rFonts w:ascii="Arial Narrow" w:hAnsi="Arial Narrow"/>
                <w:b/>
                <w:bCs/>
                <w:color w:val="000000"/>
                <w:sz w:val="14"/>
                <w:szCs w:val="14"/>
              </w:rPr>
            </w:pPr>
            <w:r w:rsidRPr="00A86C7E">
              <w:rPr>
                <w:rFonts w:ascii="Arial Narrow" w:hAnsi="Arial Narrow"/>
                <w:b/>
                <w:bCs/>
                <w:color w:val="000000"/>
                <w:sz w:val="14"/>
                <w:szCs w:val="14"/>
              </w:rPr>
              <w:t>L] čistý príjem rodiny</w:t>
            </w:r>
          </w:p>
        </w:tc>
        <w:tc>
          <w:tcPr>
            <w:tcW w:w="1420" w:type="dxa"/>
            <w:tcBorders>
              <w:top w:val="single" w:sz="8" w:space="0" w:color="000000"/>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b/>
                <w:bCs/>
                <w:color w:val="000000"/>
                <w:sz w:val="14"/>
                <w:szCs w:val="14"/>
              </w:rPr>
            </w:pPr>
            <w:r w:rsidRPr="00A86C7E">
              <w:rPr>
                <w:rFonts w:ascii="Arial Narrow" w:hAnsi="Arial Narrow"/>
                <w:b/>
                <w:bCs/>
                <w:color w:val="000000"/>
                <w:sz w:val="14"/>
                <w:szCs w:val="14"/>
              </w:rPr>
              <w:t>[J+K]</w:t>
            </w:r>
          </w:p>
        </w:tc>
        <w:tc>
          <w:tcPr>
            <w:tcW w:w="1420" w:type="dxa"/>
            <w:tcBorders>
              <w:top w:val="single" w:sz="8" w:space="0" w:color="000000"/>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b/>
                <w:bCs/>
                <w:color w:val="000000"/>
                <w:sz w:val="14"/>
                <w:szCs w:val="14"/>
              </w:rPr>
            </w:pPr>
            <w:r w:rsidRPr="00A86C7E">
              <w:rPr>
                <w:rFonts w:ascii="Arial Narrow" w:hAnsi="Arial Narrow"/>
                <w:b/>
                <w:bCs/>
                <w:color w:val="000000"/>
                <w:sz w:val="14"/>
                <w:szCs w:val="14"/>
              </w:rPr>
              <w:t>495,88</w:t>
            </w:r>
          </w:p>
        </w:tc>
        <w:tc>
          <w:tcPr>
            <w:tcW w:w="1420" w:type="dxa"/>
            <w:tcBorders>
              <w:top w:val="single" w:sz="8" w:space="0" w:color="000000"/>
              <w:left w:val="nil"/>
              <w:bottom w:val="single" w:sz="8" w:space="0" w:color="000000"/>
              <w:right w:val="single" w:sz="8" w:space="0" w:color="000000"/>
            </w:tcBorders>
            <w:textDirection w:val="lrTb"/>
            <w:vAlign w:val="center"/>
          </w:tcPr>
          <w:p w:rsidR="00801DE1" w:rsidRPr="00A86C7E" w:rsidP="005C14D4">
            <w:pPr>
              <w:bidi w:val="0"/>
              <w:jc w:val="center"/>
              <w:rPr>
                <w:rFonts w:ascii="Arial Narrow" w:hAnsi="Arial Narrow"/>
                <w:b/>
                <w:bCs/>
                <w:color w:val="000000"/>
                <w:sz w:val="14"/>
                <w:szCs w:val="14"/>
              </w:rPr>
            </w:pPr>
            <w:r w:rsidRPr="00A86C7E">
              <w:rPr>
                <w:rFonts w:ascii="Arial Narrow" w:hAnsi="Arial Narrow"/>
                <w:b/>
                <w:bCs/>
                <w:color w:val="000000"/>
                <w:sz w:val="14"/>
                <w:szCs w:val="14"/>
              </w:rPr>
              <w:t>[J+K]</w:t>
            </w:r>
          </w:p>
        </w:tc>
        <w:tc>
          <w:tcPr>
            <w:tcW w:w="1420" w:type="dxa"/>
            <w:tcBorders>
              <w:top w:val="single" w:sz="8" w:space="0" w:color="000000"/>
              <w:left w:val="nil"/>
              <w:bottom w:val="single" w:sz="8" w:space="0" w:color="000000"/>
              <w:right w:val="single" w:sz="8" w:space="0" w:color="auto"/>
            </w:tcBorders>
            <w:textDirection w:val="lrTb"/>
            <w:vAlign w:val="center"/>
          </w:tcPr>
          <w:p w:rsidR="00801DE1" w:rsidRPr="00A86C7E" w:rsidP="005C14D4">
            <w:pPr>
              <w:bidi w:val="0"/>
              <w:jc w:val="center"/>
              <w:rPr>
                <w:rFonts w:ascii="Arial Narrow" w:hAnsi="Arial Narrow"/>
                <w:b/>
                <w:bCs/>
                <w:color w:val="000000"/>
                <w:sz w:val="14"/>
                <w:szCs w:val="14"/>
              </w:rPr>
            </w:pPr>
            <w:r w:rsidRPr="00A86C7E">
              <w:rPr>
                <w:rFonts w:ascii="Arial Narrow" w:hAnsi="Arial Narrow"/>
                <w:b/>
                <w:bCs/>
                <w:color w:val="000000"/>
                <w:sz w:val="14"/>
                <w:szCs w:val="14"/>
              </w:rPr>
              <w:t>497,72</w:t>
            </w:r>
          </w:p>
        </w:tc>
      </w:tr>
      <w:tr>
        <w:tblPrEx>
          <w:tblW w:w="9120" w:type="dxa"/>
          <w:jc w:val="center"/>
          <w:tblCellMar>
            <w:left w:w="70" w:type="dxa"/>
            <w:right w:w="70" w:type="dxa"/>
          </w:tblCellMar>
          <w:tblLook w:val="04A0"/>
        </w:tblPrEx>
        <w:trPr>
          <w:trHeight w:val="270"/>
          <w:jc w:val="center"/>
        </w:trPr>
        <w:tc>
          <w:tcPr>
            <w:tcW w:w="9120" w:type="dxa"/>
            <w:gridSpan w:val="5"/>
            <w:tcBorders>
              <w:top w:val="single" w:sz="8" w:space="0" w:color="000000"/>
              <w:left w:val="none" w:sz="0" w:space="0" w:color="auto"/>
              <w:bottom w:val="none" w:sz="0" w:space="0" w:color="auto"/>
              <w:right w:val="none" w:sz="0" w:space="0" w:color="auto"/>
            </w:tcBorders>
            <w:textDirection w:val="lrTb"/>
            <w:vAlign w:val="center"/>
          </w:tcPr>
          <w:p w:rsidR="00801DE1" w:rsidRPr="00A86C7E" w:rsidP="005C14D4">
            <w:pPr>
              <w:bidi w:val="0"/>
              <w:jc w:val="both"/>
              <w:rPr>
                <w:rFonts w:ascii="Arial Narrow" w:hAnsi="Arial Narrow" w:cs="Arial Narrow"/>
                <w:bCs/>
                <w:color w:val="000000"/>
                <w:sz w:val="16"/>
                <w:szCs w:val="16"/>
                <w:vertAlign w:val="superscript"/>
              </w:rPr>
            </w:pPr>
            <w:r w:rsidRPr="00A86C7E">
              <w:rPr>
                <w:rFonts w:ascii="Arial Narrow" w:hAnsi="Arial Narrow" w:cs="Arial Narrow"/>
                <w:bCs/>
                <w:color w:val="000000"/>
                <w:sz w:val="16"/>
                <w:szCs w:val="16"/>
                <w:vertAlign w:val="superscript"/>
              </w:rPr>
              <w:t>1</w:t>
            </w:r>
            <w:r w:rsidRPr="00A86C7E">
              <w:rPr>
                <w:rFonts w:ascii="Arial Narrow" w:hAnsi="Arial Narrow" w:cs="Arial Narrow"/>
                <w:bCs/>
                <w:color w:val="000000"/>
                <w:sz w:val="16"/>
                <w:szCs w:val="16"/>
              </w:rPr>
              <w:t xml:space="preserve"> uvedené sumy sú zaokrúhlené podľa súčasnej legislatívy</w:t>
            </w:r>
          </w:p>
        </w:tc>
      </w:tr>
      <w:tr>
        <w:tblPrEx>
          <w:tblW w:w="9120" w:type="dxa"/>
          <w:jc w:val="center"/>
          <w:tblCellMar>
            <w:left w:w="70" w:type="dxa"/>
            <w:right w:w="70" w:type="dxa"/>
          </w:tblCellMar>
          <w:tblLook w:val="04A0"/>
        </w:tblPrEx>
        <w:trPr>
          <w:trHeight w:val="270"/>
          <w:jc w:val="center"/>
        </w:trPr>
        <w:tc>
          <w:tcPr>
            <w:tcW w:w="9120" w:type="dxa"/>
            <w:gridSpan w:val="5"/>
            <w:tcBorders>
              <w:top w:val="none" w:sz="0" w:space="0" w:color="auto"/>
              <w:left w:val="none" w:sz="0" w:space="0" w:color="auto"/>
              <w:bottom w:val="none" w:sz="0" w:space="0" w:color="auto"/>
              <w:right w:val="none" w:sz="0" w:space="0" w:color="auto"/>
            </w:tcBorders>
            <w:textDirection w:val="lrTb"/>
            <w:vAlign w:val="top"/>
          </w:tcPr>
          <w:p w:rsidR="00801DE1" w:rsidRPr="00A86C7E" w:rsidP="005C14D4">
            <w:pPr>
              <w:bidi w:val="0"/>
              <w:ind w:left="113" w:hanging="113"/>
              <w:jc w:val="both"/>
              <w:rPr>
                <w:rFonts w:ascii="Arial Narrow" w:hAnsi="Arial Narrow" w:cs="Arial Narrow"/>
                <w:bCs/>
                <w:color w:val="000000"/>
                <w:sz w:val="16"/>
                <w:szCs w:val="16"/>
              </w:rPr>
            </w:pPr>
            <w:r w:rsidRPr="00A86C7E">
              <w:rPr>
                <w:rFonts w:ascii="Arial Narrow" w:hAnsi="Arial Narrow" w:cs="Arial Narrow"/>
                <w:bCs/>
                <w:color w:val="000000"/>
                <w:sz w:val="16"/>
                <w:szCs w:val="16"/>
                <w:vertAlign w:val="superscript"/>
              </w:rPr>
              <w:t>2</w:t>
            </w:r>
            <w:r w:rsidRPr="00A86C7E">
              <w:rPr>
                <w:rFonts w:ascii="Arial Narrow" w:hAnsi="Arial Narrow" w:cs="Arial Narrow"/>
                <w:bCs/>
                <w:color w:val="000000"/>
                <w:sz w:val="16"/>
                <w:szCs w:val="16"/>
              </w:rPr>
              <w:t xml:space="preserve"> podľa návrhu sa superhrubá mzda rovná súčasným nákladom práce zníženým o úrazového poistenie - 0,8% hrubej mzdy = 0,592% nákladov práce</w:t>
            </w:r>
          </w:p>
          <w:p w:rsidR="00801DE1" w:rsidRPr="00A86C7E" w:rsidP="005C14D4">
            <w:pPr>
              <w:bidi w:val="0"/>
              <w:ind w:left="113" w:hanging="113"/>
              <w:jc w:val="both"/>
              <w:rPr>
                <w:rFonts w:ascii="Arial Narrow" w:hAnsi="Arial Narrow" w:cs="Arial Narrow"/>
                <w:bCs/>
                <w:color w:val="000000"/>
                <w:sz w:val="16"/>
                <w:szCs w:val="16"/>
              </w:rPr>
            </w:pPr>
            <w:r w:rsidRPr="00A86C7E">
              <w:rPr>
                <w:rFonts w:ascii="Arial Narrow" w:hAnsi="Arial Narrow" w:cs="Arial Narrow"/>
                <w:bCs/>
                <w:color w:val="000000"/>
                <w:sz w:val="16"/>
                <w:szCs w:val="16"/>
                <w:vertAlign w:val="superscript"/>
              </w:rPr>
              <w:t>3</w:t>
            </w:r>
            <w:r w:rsidRPr="00A86C7E">
              <w:rPr>
                <w:rFonts w:ascii="Arial Narrow" w:hAnsi="Arial Narrow" w:cs="Arial Narrow"/>
                <w:bCs/>
                <w:color w:val="000000"/>
                <w:sz w:val="16"/>
                <w:szCs w:val="16"/>
              </w:rPr>
              <w:t xml:space="preserve"> predpokladá sa, že matka okrem prídavku na dieťa nepoberá žiadne iné sociálne dávky (príspevok na bývanie, štipendium, príspevok na starostlivosť o postihnuté, resp. dlhodobo choré dieťa a pod.)</w:t>
            </w:r>
          </w:p>
          <w:p w:rsidR="00801DE1" w:rsidRPr="00A86C7E" w:rsidP="005C14D4">
            <w:pPr>
              <w:bidi w:val="0"/>
              <w:ind w:left="113" w:hanging="113"/>
              <w:jc w:val="both"/>
              <w:rPr>
                <w:rFonts w:ascii="Arial Narrow" w:hAnsi="Arial Narrow" w:cs="Arial Narrow"/>
                <w:bCs/>
                <w:color w:val="000000"/>
                <w:sz w:val="16"/>
                <w:szCs w:val="16"/>
                <w:vertAlign w:val="superscript"/>
              </w:rPr>
            </w:pPr>
          </w:p>
        </w:tc>
      </w:tr>
    </w:tbl>
    <w:p w:rsidR="00A22617" w:rsidP="00221271">
      <w:pPr>
        <w:bidi w:val="0"/>
        <w:jc w:val="center"/>
        <w:rPr>
          <w:rFonts w:ascii="Times New Roman" w:hAnsi="Times New Roman"/>
          <w:b/>
          <w:sz w:val="28"/>
          <w:szCs w:val="28"/>
        </w:rPr>
      </w:pPr>
      <w:r w:rsidR="00A64820">
        <w:rPr>
          <w:rFonts w:ascii="Times New Roman" w:hAnsi="Times New Roman"/>
          <w:color w:val="0070C0"/>
        </w:rPr>
        <w:br w:type="page"/>
      </w:r>
      <w:r w:rsidRPr="00F67DB7">
        <w:rPr>
          <w:rFonts w:ascii="Times New Roman" w:hAnsi="Times New Roman"/>
          <w:b/>
          <w:bCs/>
          <w:sz w:val="28"/>
          <w:szCs w:val="28"/>
        </w:rPr>
        <w:t>V</w:t>
      </w:r>
      <w:r w:rsidRPr="00F67DB7">
        <w:rPr>
          <w:rFonts w:ascii="Times New Roman" w:hAnsi="Times New Roman"/>
          <w:b/>
          <w:sz w:val="28"/>
          <w:szCs w:val="28"/>
        </w:rPr>
        <w:t>plyvy na životné prostredie</w:t>
      </w:r>
    </w:p>
    <w:p w:rsidR="00A22617" w:rsidRPr="00F67DB7" w:rsidP="00777C47">
      <w:pPr>
        <w:bidi w:val="0"/>
        <w:jc w:val="center"/>
        <w:rPr>
          <w:rFonts w:ascii="Times New Roman" w:hAnsi="Times New Roman"/>
          <w:b/>
          <w:sz w:val="28"/>
          <w:szCs w:val="28"/>
        </w:rPr>
      </w:pPr>
    </w:p>
    <w:tbl>
      <w:tblPr>
        <w:tblStyle w:val="TableNormal"/>
        <w:tblW w:w="8835" w:type="dxa"/>
        <w:tblInd w:w="55" w:type="dxa"/>
        <w:tblCellMar>
          <w:top w:w="28" w:type="dxa"/>
          <w:left w:w="70" w:type="dxa"/>
          <w:bottom w:w="28" w:type="dxa"/>
          <w:right w:w="70" w:type="dxa"/>
        </w:tblCellMar>
      </w:tblPr>
      <w:tblGrid>
        <w:gridCol w:w="4335"/>
        <w:gridCol w:w="4500"/>
      </w:tblGrid>
      <w:tr>
        <w:tblPrEx>
          <w:tblW w:w="8835" w:type="dxa"/>
          <w:tblInd w:w="55" w:type="dxa"/>
          <w:tblCellMar>
            <w:top w:w="28" w:type="dxa"/>
            <w:left w:w="70" w:type="dxa"/>
            <w:bottom w:w="28" w:type="dxa"/>
            <w:right w:w="70" w:type="dxa"/>
          </w:tblCellMar>
        </w:tblPrEx>
        <w:trPr>
          <w:trHeight w:val="600"/>
        </w:trPr>
        <w:tc>
          <w:tcPr>
            <w:tcW w:w="883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A22617" w:rsidRPr="004F7F00" w:rsidP="00311B81">
            <w:pPr>
              <w:bidi w:val="0"/>
              <w:jc w:val="center"/>
              <w:rPr>
                <w:rFonts w:ascii="Times New Roman" w:hAnsi="Times New Roman"/>
                <w:b/>
                <w:bCs/>
              </w:rPr>
            </w:pPr>
            <w:r w:rsidRPr="004F7F00">
              <w:rPr>
                <w:rFonts w:ascii="Times New Roman" w:hAnsi="Times New Roman"/>
                <w:b/>
                <w:bCs/>
              </w:rPr>
              <w:t>Životné prostredie</w:t>
            </w:r>
          </w:p>
        </w:tc>
      </w:tr>
      <w:tr>
        <w:tblPrEx>
          <w:tblW w:w="8835" w:type="dxa"/>
          <w:tblInd w:w="55" w:type="dxa"/>
          <w:tblCellMar>
            <w:top w:w="28" w:type="dxa"/>
            <w:left w:w="70" w:type="dxa"/>
            <w:bottom w:w="28" w:type="dxa"/>
            <w:right w:w="70" w:type="dxa"/>
          </w:tblCellMar>
        </w:tblPrEx>
        <w:trPr>
          <w:trHeight w:val="600"/>
        </w:trPr>
        <w:tc>
          <w:tcPr>
            <w:tcW w:w="4335" w:type="dxa"/>
            <w:tcBorders>
              <w:top w:val="nil"/>
              <w:left w:val="single" w:sz="8" w:space="0" w:color="auto"/>
              <w:bottom w:val="single" w:sz="4" w:space="0" w:color="auto"/>
              <w:right w:val="single" w:sz="4" w:space="0" w:color="auto"/>
            </w:tcBorders>
            <w:textDirection w:val="lrTb"/>
            <w:vAlign w:val="top"/>
          </w:tcPr>
          <w:p w:rsidR="00A22617" w:rsidRPr="004F7F00" w:rsidP="00311B81">
            <w:pPr>
              <w:bidi w:val="0"/>
              <w:rPr>
                <w:rFonts w:ascii="Times New Roman" w:hAnsi="Times New Roman"/>
                <w:b/>
              </w:rPr>
            </w:pPr>
          </w:p>
          <w:p w:rsidR="00A22617" w:rsidRPr="004F7F00" w:rsidP="00311B81">
            <w:pPr>
              <w:bidi w:val="0"/>
              <w:rPr>
                <w:rFonts w:ascii="Times New Roman" w:hAnsi="Times New Roman"/>
              </w:rPr>
            </w:pPr>
            <w:r w:rsidRPr="004F7F00">
              <w:rPr>
                <w:rFonts w:ascii="Times New Roman" w:hAnsi="Times New Roman"/>
                <w:b/>
              </w:rPr>
              <w:t>5.1.</w:t>
            </w:r>
            <w:r w:rsidRPr="004F7F00">
              <w:rPr>
                <w:rFonts w:ascii="Times New Roman" w:hAnsi="Times New Roman"/>
              </w:rPr>
              <w:t xml:space="preserve">  Ktoré zložky životného prostredia (najmä ovzdušie, voda, horniny, pôda, organizmy) budú návrhom ovplyvnené a aký bude ich vplyv (pozitívny alebo negatívny)?</w:t>
            </w:r>
          </w:p>
          <w:p w:rsidR="00A22617" w:rsidRPr="004F7F00" w:rsidP="00311B81">
            <w:pPr>
              <w:bidi w:val="0"/>
              <w:rPr>
                <w:rFonts w:ascii="Times New Roman" w:hAnsi="Times New Roman"/>
              </w:rPr>
            </w:pPr>
          </w:p>
        </w:tc>
        <w:tc>
          <w:tcPr>
            <w:tcW w:w="4500" w:type="dxa"/>
            <w:tcBorders>
              <w:top w:val="nil"/>
              <w:left w:val="nil"/>
              <w:bottom w:val="single" w:sz="4" w:space="0" w:color="auto"/>
              <w:right w:val="single" w:sz="8" w:space="0" w:color="auto"/>
            </w:tcBorders>
            <w:textDirection w:val="lrTb"/>
            <w:vAlign w:val="top"/>
          </w:tcPr>
          <w:p w:rsidR="00A22617" w:rsidRPr="004F7F00" w:rsidP="00311B81">
            <w:pPr>
              <w:bidi w:val="0"/>
              <w:rPr>
                <w:rFonts w:ascii="Times New Roman" w:hAnsi="Times New Roman"/>
              </w:rPr>
            </w:pPr>
          </w:p>
          <w:p w:rsidR="00A22617" w:rsidRPr="004F7F00" w:rsidP="00311B81">
            <w:pPr>
              <w:bidi w:val="0"/>
              <w:rPr>
                <w:rFonts w:ascii="Times New Roman" w:hAnsi="Times New Roman"/>
              </w:rPr>
            </w:pPr>
            <w:r w:rsidRPr="004F7F00">
              <w:rPr>
                <w:rFonts w:ascii="Times New Roman" w:hAnsi="Times New Roman"/>
              </w:rPr>
              <w:t>Nemá vplyv.</w:t>
            </w:r>
          </w:p>
        </w:tc>
      </w:tr>
      <w:tr>
        <w:tblPrEx>
          <w:tblW w:w="8835" w:type="dxa"/>
          <w:tblInd w:w="55" w:type="dxa"/>
          <w:tblCellMar>
            <w:top w:w="28" w:type="dxa"/>
            <w:left w:w="70" w:type="dxa"/>
            <w:bottom w:w="28" w:type="dxa"/>
            <w:right w:w="70" w:type="dxa"/>
          </w:tblCellMar>
        </w:tblPrEx>
        <w:trPr>
          <w:trHeight w:val="1020"/>
        </w:trPr>
        <w:tc>
          <w:tcPr>
            <w:tcW w:w="4335" w:type="dxa"/>
            <w:tcBorders>
              <w:top w:val="nil"/>
              <w:left w:val="single" w:sz="8" w:space="0" w:color="auto"/>
              <w:bottom w:val="single" w:sz="4" w:space="0" w:color="auto"/>
              <w:right w:val="single" w:sz="4" w:space="0" w:color="auto"/>
            </w:tcBorders>
            <w:textDirection w:val="lrTb"/>
            <w:vAlign w:val="top"/>
          </w:tcPr>
          <w:p w:rsidR="00A22617" w:rsidRPr="004F7F00" w:rsidP="00311B81">
            <w:pPr>
              <w:bidi w:val="0"/>
              <w:rPr>
                <w:rFonts w:ascii="Times New Roman" w:hAnsi="Times New Roman"/>
                <w:b/>
              </w:rPr>
            </w:pPr>
          </w:p>
          <w:p w:rsidR="00A22617" w:rsidRPr="004F7F00" w:rsidP="00311B81">
            <w:pPr>
              <w:bidi w:val="0"/>
              <w:rPr>
                <w:rFonts w:ascii="Times New Roman" w:hAnsi="Times New Roman"/>
              </w:rPr>
            </w:pPr>
            <w:r w:rsidRPr="004F7F00">
              <w:rPr>
                <w:rFonts w:ascii="Times New Roman" w:hAnsi="Times New Roman"/>
                <w:b/>
              </w:rPr>
              <w:t xml:space="preserve">5.2. </w:t>
            </w:r>
            <w:r w:rsidRPr="004F7F00">
              <w:rPr>
                <w:rFonts w:ascii="Times New Roman" w:hAnsi="Times New Roman"/>
              </w:rPr>
              <w:t>Bude mať navrhovaný materiál vplyv na chránené územia a ak áno aký?</w:t>
            </w:r>
          </w:p>
        </w:tc>
        <w:tc>
          <w:tcPr>
            <w:tcW w:w="4500" w:type="dxa"/>
            <w:tcBorders>
              <w:top w:val="nil"/>
              <w:left w:val="nil"/>
              <w:bottom w:val="single" w:sz="4" w:space="0" w:color="auto"/>
              <w:right w:val="single" w:sz="8" w:space="0" w:color="auto"/>
            </w:tcBorders>
            <w:textDirection w:val="lrTb"/>
            <w:vAlign w:val="top"/>
          </w:tcPr>
          <w:p w:rsidR="00A22617" w:rsidRPr="004F7F00" w:rsidP="00311B81">
            <w:pPr>
              <w:bidi w:val="0"/>
              <w:rPr>
                <w:rFonts w:ascii="Times New Roman" w:hAnsi="Times New Roman"/>
              </w:rPr>
            </w:pPr>
          </w:p>
          <w:p w:rsidR="00A22617" w:rsidRPr="004F7F00" w:rsidP="00311B81">
            <w:pPr>
              <w:bidi w:val="0"/>
              <w:rPr>
                <w:rFonts w:ascii="Times New Roman" w:hAnsi="Times New Roman"/>
              </w:rPr>
            </w:pPr>
            <w:r w:rsidRPr="004F7F00">
              <w:rPr>
                <w:rFonts w:ascii="Times New Roman" w:hAnsi="Times New Roman"/>
              </w:rPr>
              <w:t>Nemá vplyv.</w:t>
            </w:r>
          </w:p>
        </w:tc>
      </w:tr>
      <w:tr>
        <w:tblPrEx>
          <w:tblW w:w="8835" w:type="dxa"/>
          <w:tblInd w:w="55" w:type="dxa"/>
          <w:tblCellMar>
            <w:top w:w="28" w:type="dxa"/>
            <w:left w:w="70" w:type="dxa"/>
            <w:bottom w:w="28" w:type="dxa"/>
            <w:right w:w="70" w:type="dxa"/>
          </w:tblCellMar>
        </w:tblPrEx>
        <w:trPr>
          <w:trHeight w:val="600"/>
        </w:trPr>
        <w:tc>
          <w:tcPr>
            <w:tcW w:w="4335" w:type="dxa"/>
            <w:tcBorders>
              <w:top w:val="nil"/>
              <w:left w:val="single" w:sz="8" w:space="0" w:color="auto"/>
              <w:bottom w:val="nil"/>
              <w:right w:val="single" w:sz="4" w:space="0" w:color="auto"/>
            </w:tcBorders>
            <w:textDirection w:val="lrTb"/>
            <w:vAlign w:val="top"/>
          </w:tcPr>
          <w:p w:rsidR="00A22617" w:rsidRPr="004F7F00" w:rsidP="00311B81">
            <w:pPr>
              <w:bidi w:val="0"/>
              <w:rPr>
                <w:rFonts w:ascii="Times New Roman" w:hAnsi="Times New Roman"/>
                <w:b/>
              </w:rPr>
            </w:pPr>
          </w:p>
          <w:p w:rsidR="00A22617" w:rsidRPr="004F7F00" w:rsidP="00311B81">
            <w:pPr>
              <w:bidi w:val="0"/>
              <w:rPr>
                <w:rFonts w:ascii="Times New Roman" w:hAnsi="Times New Roman"/>
              </w:rPr>
            </w:pPr>
            <w:r w:rsidRPr="004F7F00">
              <w:rPr>
                <w:rFonts w:ascii="Times New Roman" w:hAnsi="Times New Roman"/>
                <w:b/>
              </w:rPr>
              <w:t>5.3.</w:t>
            </w:r>
            <w:r w:rsidRPr="004F7F00">
              <w:rPr>
                <w:rFonts w:ascii="Times New Roman" w:hAnsi="Times New Roman"/>
              </w:rPr>
              <w:t xml:space="preserve"> Bude mať návrh vplyv na životné prostredie presahujúce štátne hranice?</w:t>
            </w:r>
          </w:p>
          <w:p w:rsidR="00A22617" w:rsidRPr="004F7F00" w:rsidP="00311B81">
            <w:pPr>
              <w:bidi w:val="0"/>
              <w:rPr>
                <w:rFonts w:ascii="Times New Roman" w:hAnsi="Times New Roman"/>
              </w:rPr>
            </w:pPr>
          </w:p>
        </w:tc>
        <w:tc>
          <w:tcPr>
            <w:tcW w:w="4500" w:type="dxa"/>
            <w:tcBorders>
              <w:top w:val="nil"/>
              <w:left w:val="nil"/>
              <w:bottom w:val="nil"/>
              <w:right w:val="single" w:sz="8" w:space="0" w:color="auto"/>
            </w:tcBorders>
            <w:noWrap/>
            <w:textDirection w:val="lrTb"/>
            <w:vAlign w:val="top"/>
          </w:tcPr>
          <w:p w:rsidR="00A22617" w:rsidRPr="004F7F00" w:rsidP="00311B81">
            <w:pPr>
              <w:bidi w:val="0"/>
              <w:rPr>
                <w:rFonts w:ascii="Times New Roman" w:hAnsi="Times New Roman"/>
              </w:rPr>
            </w:pPr>
          </w:p>
          <w:p w:rsidR="00A22617" w:rsidRPr="004F7F00" w:rsidP="00311B81">
            <w:pPr>
              <w:bidi w:val="0"/>
              <w:rPr>
                <w:rFonts w:ascii="Times New Roman" w:hAnsi="Times New Roman"/>
              </w:rPr>
            </w:pPr>
            <w:r w:rsidRPr="004F7F00">
              <w:rPr>
                <w:rFonts w:ascii="Times New Roman" w:hAnsi="Times New Roman"/>
              </w:rPr>
              <w:t>Nemá vplyv.</w:t>
            </w:r>
          </w:p>
        </w:tc>
      </w:tr>
      <w:tr>
        <w:tblPrEx>
          <w:tblW w:w="8835" w:type="dxa"/>
          <w:tblInd w:w="55" w:type="dxa"/>
          <w:tblCellMar>
            <w:top w:w="28" w:type="dxa"/>
            <w:left w:w="70" w:type="dxa"/>
            <w:bottom w:w="28" w:type="dxa"/>
            <w:right w:w="70" w:type="dxa"/>
          </w:tblCellMar>
        </w:tblPrEx>
        <w:trPr>
          <w:trHeight w:val="52"/>
        </w:trPr>
        <w:tc>
          <w:tcPr>
            <w:tcW w:w="4335" w:type="dxa"/>
            <w:tcBorders>
              <w:top w:val="nil"/>
              <w:left w:val="single" w:sz="8" w:space="0" w:color="auto"/>
              <w:bottom w:val="single" w:sz="4" w:space="0" w:color="auto"/>
              <w:right w:val="single" w:sz="4" w:space="0" w:color="auto"/>
            </w:tcBorders>
            <w:textDirection w:val="lrTb"/>
            <w:vAlign w:val="top"/>
          </w:tcPr>
          <w:p w:rsidR="00A22617" w:rsidRPr="004F7F00" w:rsidP="00311B81">
            <w:pPr>
              <w:bidi w:val="0"/>
              <w:rPr>
                <w:rFonts w:ascii="Times New Roman" w:hAnsi="Times New Roman"/>
                <w:sz w:val="6"/>
              </w:rPr>
            </w:pPr>
          </w:p>
        </w:tc>
        <w:tc>
          <w:tcPr>
            <w:tcW w:w="4500" w:type="dxa"/>
            <w:tcBorders>
              <w:top w:val="nil"/>
              <w:left w:val="nil"/>
              <w:bottom w:val="single" w:sz="4" w:space="0" w:color="auto"/>
              <w:right w:val="single" w:sz="8" w:space="0" w:color="auto"/>
            </w:tcBorders>
            <w:noWrap/>
            <w:textDirection w:val="lrTb"/>
            <w:vAlign w:val="top"/>
          </w:tcPr>
          <w:p w:rsidR="00A22617" w:rsidRPr="004F7F00" w:rsidP="00311B81">
            <w:pPr>
              <w:bidi w:val="0"/>
              <w:rPr>
                <w:rFonts w:ascii="Times New Roman" w:hAnsi="Times New Roman"/>
                <w:sz w:val="6"/>
              </w:rPr>
            </w:pPr>
          </w:p>
        </w:tc>
      </w:tr>
    </w:tbl>
    <w:p w:rsidR="00A22617" w:rsidRPr="004F7F00" w:rsidP="00777C47">
      <w:pPr>
        <w:bidi w:val="0"/>
        <w:rPr>
          <w:rFonts w:ascii="Times New Roman" w:hAnsi="Times New Roman"/>
        </w:rPr>
      </w:pPr>
    </w:p>
    <w:p w:rsidR="00A22617" w:rsidRPr="00AA65B1" w:rsidP="00777C47">
      <w:pPr>
        <w:bidi w:val="0"/>
        <w:jc w:val="center"/>
        <w:rPr>
          <w:rFonts w:ascii="Times New Roman" w:hAnsi="Times New Roman"/>
          <w:b/>
          <w:color w:val="0070C0"/>
          <w:sz w:val="28"/>
          <w:szCs w:val="28"/>
        </w:rPr>
      </w:pPr>
    </w:p>
    <w:p w:rsidR="00A22617" w:rsidP="00777C47">
      <w:pPr>
        <w:bidi w:val="0"/>
        <w:jc w:val="center"/>
        <w:rPr>
          <w:rFonts w:ascii="Times New Roman" w:hAnsi="Times New Roman"/>
          <w:b/>
          <w:sz w:val="28"/>
          <w:szCs w:val="28"/>
        </w:rPr>
      </w:pPr>
      <w:r>
        <w:rPr>
          <w:rFonts w:ascii="Times New Roman" w:hAnsi="Times New Roman"/>
          <w:b/>
          <w:sz w:val="28"/>
          <w:szCs w:val="28"/>
        </w:rPr>
        <w:br w:type="page"/>
      </w:r>
      <w:r w:rsidRPr="0080380F">
        <w:rPr>
          <w:rFonts w:ascii="Times New Roman" w:hAnsi="Times New Roman"/>
          <w:b/>
          <w:sz w:val="28"/>
          <w:szCs w:val="28"/>
        </w:rPr>
        <w:t>Vplyvy na informatizáciu spoločnosti</w:t>
      </w:r>
    </w:p>
    <w:p w:rsidR="00A22617" w:rsidRPr="0080380F" w:rsidP="00777C47">
      <w:pPr>
        <w:bidi w:val="0"/>
        <w:jc w:val="center"/>
        <w:rPr>
          <w:rFonts w:ascii="Times New Roman" w:hAnsi="Times New Roman"/>
          <w:b/>
          <w:sz w:val="28"/>
          <w:szCs w:val="28"/>
        </w:rPr>
      </w:pPr>
    </w:p>
    <w:tbl>
      <w:tblPr>
        <w:tblStyle w:val="TableNormal"/>
        <w:tblW w:w="915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4881"/>
        <w:gridCol w:w="4276"/>
      </w:tblGrid>
      <w:tr>
        <w:tblPrEx>
          <w:tblW w:w="915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A22617" w:rsidRPr="0080380F" w:rsidP="00E36869">
            <w:pPr>
              <w:bidi w:val="0"/>
              <w:spacing w:before="60" w:after="60"/>
              <w:jc w:val="both"/>
              <w:rPr>
                <w:rFonts w:ascii="Times New Roman" w:hAnsi="Times New Roman"/>
                <w:b/>
              </w:rPr>
            </w:pPr>
            <w:r w:rsidRPr="0080380F">
              <w:rPr>
                <w:rFonts w:ascii="Times New Roman" w:hAnsi="Times New Roman"/>
                <w:b/>
              </w:rPr>
              <w:t>Budovanie základných pilierov informatizácie</w:t>
            </w:r>
          </w:p>
        </w:tc>
        <w:tc>
          <w:tcPr>
            <w:tcW w:w="427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A22617" w:rsidRPr="0080380F" w:rsidP="00E36869">
            <w:pPr>
              <w:bidi w:val="0"/>
              <w:spacing w:before="60" w:after="60"/>
              <w:jc w:val="both"/>
              <w:rPr>
                <w:rFonts w:ascii="Times New Roman" w:hAnsi="Times New Roman"/>
                <w:b/>
              </w:rPr>
            </w:pP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A22617" w:rsidRPr="0080380F" w:rsidP="00E36869">
            <w:pPr>
              <w:bidi w:val="0"/>
              <w:spacing w:before="60" w:after="60"/>
              <w:jc w:val="both"/>
              <w:rPr>
                <w:rFonts w:ascii="Times New Roman" w:hAnsi="Times New Roman"/>
                <w:b/>
              </w:rPr>
            </w:pPr>
            <w:r w:rsidRPr="0080380F">
              <w:rPr>
                <w:rFonts w:ascii="Times New Roman" w:hAnsi="Times New Roman"/>
                <w:b/>
              </w:rPr>
              <w:t>Obsah</w:t>
            </w:r>
          </w:p>
        </w:tc>
        <w:tc>
          <w:tcPr>
            <w:tcW w:w="4276"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A22617" w:rsidRPr="0080380F" w:rsidP="00E36869">
            <w:pPr>
              <w:bidi w:val="0"/>
              <w:spacing w:before="60" w:after="60"/>
              <w:jc w:val="both"/>
              <w:rPr>
                <w:rFonts w:ascii="Times New Roman" w:hAnsi="Times New Roman"/>
                <w:b/>
              </w:rPr>
            </w:pP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A22617" w:rsidRPr="0080380F" w:rsidP="00E36869">
            <w:pPr>
              <w:bidi w:val="0"/>
              <w:spacing w:before="60" w:after="60"/>
              <w:jc w:val="both"/>
              <w:rPr>
                <w:rFonts w:ascii="Times New Roman" w:hAnsi="Times New Roman"/>
              </w:rPr>
            </w:pPr>
            <w:r w:rsidRPr="0080380F">
              <w:rPr>
                <w:rFonts w:ascii="Times New Roman" w:hAnsi="Times New Roman"/>
                <w:b/>
              </w:rPr>
              <w:t>6.1.</w:t>
            </w:r>
            <w:r w:rsidRPr="0080380F">
              <w:rPr>
                <w:rFonts w:ascii="Times New Roman" w:hAnsi="Times New Roman"/>
              </w:rPr>
              <w:t xml:space="preserve"> Rozširujú alebo inovujú  sa existujúce alebo vytvárajú sa či zavádzajú  sa nové elektronické služby?</w:t>
            </w:r>
          </w:p>
          <w:p w:rsidR="00A22617" w:rsidRPr="0080380F" w:rsidP="00E36869">
            <w:pPr>
              <w:bidi w:val="0"/>
              <w:spacing w:before="60" w:after="60"/>
              <w:jc w:val="both"/>
              <w:rPr>
                <w:rFonts w:ascii="Times New Roman" w:hAnsi="Times New Roman"/>
              </w:rPr>
            </w:pPr>
            <w:r w:rsidRPr="0080380F">
              <w:rPr>
                <w:rFonts w:ascii="Times New Roman" w:hAnsi="Times New Roman"/>
                <w:i/>
                <w:iCs/>
              </w:rPr>
              <w:t>(Popíšte ich funkciu a úroveň poskytovania.)</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A22617" w:rsidRPr="0080380F" w:rsidP="00E36869">
            <w:pPr>
              <w:bidi w:val="0"/>
              <w:spacing w:before="60" w:after="60"/>
              <w:jc w:val="both"/>
              <w:rPr>
                <w:rFonts w:ascii="Times New Roman" w:hAnsi="Times New Roman"/>
              </w:rPr>
            </w:pPr>
            <w:r w:rsidR="00934580">
              <w:rPr>
                <w:rFonts w:ascii="Times New Roman" w:hAnsi="Times New Roman"/>
              </w:rPr>
              <w:t>Áno, vzhľadom nato, že doklad týkajúci sa vyúčtovani</w:t>
            </w:r>
            <w:r w:rsidR="002F75E5">
              <w:rPr>
                <w:rFonts w:ascii="Times New Roman" w:hAnsi="Times New Roman"/>
              </w:rPr>
              <w:t>a mzdy podľa navrhovaného § 130</w:t>
            </w:r>
            <w:r w:rsidR="00934580">
              <w:rPr>
                <w:rFonts w:ascii="Times New Roman" w:hAnsi="Times New Roman"/>
              </w:rPr>
              <w:t xml:space="preserve"> ods.</w:t>
            </w:r>
            <w:r w:rsidR="002F75E5">
              <w:rPr>
                <w:rFonts w:ascii="Times New Roman" w:hAnsi="Times New Roman"/>
              </w:rPr>
              <w:t xml:space="preserve"> </w:t>
            </w:r>
            <w:r w:rsidR="00934580">
              <w:rPr>
                <w:rFonts w:ascii="Times New Roman" w:hAnsi="Times New Roman"/>
              </w:rPr>
              <w:t>5 Zákonníka práce je možné poskytovať na základe dohody zamestnanca a zamestnávateľa elektronickými prostriedkami, zavádza sa nová elektronická služba s úrovňou II. (jednosmerná interakcia)</w:t>
            </w:r>
            <w:r w:rsidR="002F75E5">
              <w:rPr>
                <w:rFonts w:ascii="Times New Roman" w:hAnsi="Times New Roman"/>
              </w:rPr>
              <w:t>.</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A22617" w:rsidRPr="0080380F" w:rsidP="00E36869">
            <w:pPr>
              <w:bidi w:val="0"/>
              <w:spacing w:before="60" w:after="60"/>
              <w:jc w:val="both"/>
              <w:rPr>
                <w:rFonts w:ascii="Times New Roman" w:hAnsi="Times New Roman"/>
              </w:rPr>
            </w:pPr>
            <w:r w:rsidRPr="0080380F">
              <w:rPr>
                <w:rFonts w:ascii="Times New Roman" w:hAnsi="Times New Roman"/>
                <w:b/>
              </w:rPr>
              <w:t>6.2.</w:t>
            </w:r>
            <w:r w:rsidRPr="0080380F">
              <w:rPr>
                <w:rFonts w:ascii="Times New Roman" w:hAnsi="Times New Roman"/>
              </w:rPr>
              <w:t xml:space="preserve"> Vytvárajú sa podmienky pre sémantickú interoperabilitu?</w:t>
            </w:r>
          </w:p>
          <w:p w:rsidR="00A22617" w:rsidRPr="0080380F" w:rsidP="00E36869">
            <w:pPr>
              <w:bidi w:val="0"/>
              <w:spacing w:before="60" w:after="60"/>
              <w:jc w:val="both"/>
              <w:rPr>
                <w:rFonts w:ascii="Times New Roman" w:hAnsi="Times New Roman"/>
              </w:rPr>
            </w:pPr>
            <w:r w:rsidRPr="0080380F">
              <w:rPr>
                <w:rFonts w:ascii="Times New Roman" w:hAnsi="Times New Roman"/>
                <w:i/>
                <w:iCs/>
              </w:rPr>
              <w:t>(Popíšte spôsob jej zabezpečenia.)</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A22617" w:rsidRPr="0080380F" w:rsidP="00E36869">
            <w:pPr>
              <w:bidi w:val="0"/>
              <w:spacing w:before="60" w:after="60"/>
              <w:jc w:val="both"/>
              <w:rPr>
                <w:rFonts w:ascii="Times New Roman" w:hAnsi="Times New Roman"/>
              </w:rPr>
            </w:pPr>
            <w:r w:rsidRPr="0080380F">
              <w:rPr>
                <w:rFonts w:ascii="Times New Roman" w:hAnsi="Times New Roman"/>
              </w:rPr>
              <w:t>Nie.</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A22617" w:rsidRPr="0080380F" w:rsidP="00E36869">
            <w:pPr>
              <w:bidi w:val="0"/>
              <w:spacing w:before="60" w:after="60"/>
              <w:jc w:val="both"/>
              <w:rPr>
                <w:rFonts w:ascii="Times New Roman" w:hAnsi="Times New Roman"/>
                <w:b/>
              </w:rPr>
            </w:pPr>
            <w:r w:rsidRPr="0080380F">
              <w:rPr>
                <w:rFonts w:ascii="Times New Roman" w:hAnsi="Times New Roman"/>
                <w:b/>
              </w:rPr>
              <w:t>Ľudia</w:t>
            </w:r>
          </w:p>
        </w:tc>
        <w:tc>
          <w:tcPr>
            <w:tcW w:w="4276"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A22617" w:rsidRPr="0080380F" w:rsidP="00E36869">
            <w:pPr>
              <w:bidi w:val="0"/>
              <w:spacing w:before="60" w:after="60"/>
              <w:jc w:val="both"/>
              <w:rPr>
                <w:rFonts w:ascii="Times New Roman" w:hAnsi="Times New Roman"/>
              </w:rPr>
            </w:pP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A22617" w:rsidRPr="0080380F" w:rsidP="00E36869">
            <w:pPr>
              <w:bidi w:val="0"/>
              <w:spacing w:before="60" w:after="60"/>
              <w:jc w:val="both"/>
              <w:rPr>
                <w:rFonts w:ascii="Times New Roman" w:hAnsi="Times New Roman"/>
              </w:rPr>
            </w:pPr>
            <w:r w:rsidRPr="0080380F">
              <w:rPr>
                <w:rFonts w:ascii="Times New Roman" w:hAnsi="Times New Roman"/>
                <w:b/>
              </w:rPr>
              <w:t>6.3.</w:t>
            </w:r>
            <w:r w:rsidRPr="0080380F">
              <w:rPr>
                <w:rFonts w:ascii="Times New Roman" w:hAnsi="Times New Roman"/>
              </w:rPr>
              <w:t xml:space="preserve"> Zabezpečuje sa vzdelávanie v oblasti počítačovej gramotnosti a rozširovanie vedomostí o IKT?</w:t>
            </w:r>
          </w:p>
          <w:p w:rsidR="00A22617" w:rsidRPr="0080380F" w:rsidP="00E36869">
            <w:pPr>
              <w:bidi w:val="0"/>
              <w:spacing w:before="60" w:after="60"/>
              <w:jc w:val="both"/>
              <w:rPr>
                <w:rFonts w:ascii="Times New Roman" w:hAnsi="Times New Roman"/>
              </w:rPr>
            </w:pPr>
            <w:r w:rsidRPr="0080380F">
              <w:rPr>
                <w:rFonts w:ascii="Times New Roman" w:hAnsi="Times New Roman"/>
                <w:i/>
                <w:iCs/>
              </w:rPr>
              <w:t>(Uveďte spôsob, napr. projekty, školenia.)</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A22617" w:rsidRPr="0080380F" w:rsidP="00E36869">
            <w:pPr>
              <w:bidi w:val="0"/>
              <w:spacing w:before="60" w:after="60"/>
              <w:jc w:val="both"/>
              <w:rPr>
                <w:rFonts w:ascii="Times New Roman" w:hAnsi="Times New Roman"/>
              </w:rPr>
            </w:pPr>
            <w:r w:rsidRPr="0080380F">
              <w:rPr>
                <w:rFonts w:ascii="Times New Roman" w:hAnsi="Times New Roman"/>
              </w:rPr>
              <w:t>Nie.</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A22617" w:rsidRPr="0080380F" w:rsidP="00E36869">
            <w:pPr>
              <w:bidi w:val="0"/>
              <w:spacing w:before="60" w:after="60"/>
              <w:jc w:val="both"/>
              <w:rPr>
                <w:rFonts w:ascii="Times New Roman" w:hAnsi="Times New Roman"/>
              </w:rPr>
            </w:pPr>
            <w:r w:rsidRPr="0080380F">
              <w:rPr>
                <w:rFonts w:ascii="Times New Roman" w:hAnsi="Times New Roman"/>
                <w:b/>
              </w:rPr>
              <w:t>6.4.</w:t>
            </w:r>
            <w:r w:rsidRPr="0080380F">
              <w:rPr>
                <w:rFonts w:ascii="Times New Roman" w:hAnsi="Times New Roman"/>
              </w:rPr>
              <w:t xml:space="preserve"> Zabezpečuje sa rozvoj elektronického vzdelávania?</w:t>
            </w:r>
          </w:p>
          <w:p w:rsidR="00A22617" w:rsidRPr="0080380F" w:rsidP="00E36869">
            <w:pPr>
              <w:bidi w:val="0"/>
              <w:spacing w:before="60" w:after="60"/>
              <w:jc w:val="both"/>
              <w:rPr>
                <w:rFonts w:ascii="Times New Roman" w:hAnsi="Times New Roman"/>
              </w:rPr>
            </w:pPr>
            <w:r w:rsidRPr="0080380F">
              <w:rPr>
                <w:rFonts w:ascii="Times New Roman" w:hAnsi="Times New Roman"/>
                <w:i/>
                <w:iCs/>
              </w:rPr>
              <w:t>(Uveďte typ a spôsob zabezpečenia vzdelávacích aktivít.)</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A22617" w:rsidRPr="0080380F" w:rsidP="00E36869">
            <w:pPr>
              <w:bidi w:val="0"/>
              <w:spacing w:before="60" w:after="60"/>
              <w:jc w:val="both"/>
              <w:rPr>
                <w:rFonts w:ascii="Times New Roman" w:hAnsi="Times New Roman"/>
              </w:rPr>
            </w:pPr>
            <w:r w:rsidRPr="0080380F">
              <w:rPr>
                <w:rFonts w:ascii="Times New Roman" w:hAnsi="Times New Roman"/>
              </w:rPr>
              <w:t>Nie.</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A22617" w:rsidRPr="0080380F" w:rsidP="00E36869">
            <w:pPr>
              <w:bidi w:val="0"/>
              <w:spacing w:before="60" w:after="60"/>
              <w:jc w:val="both"/>
              <w:rPr>
                <w:rFonts w:ascii="Times New Roman" w:hAnsi="Times New Roman"/>
              </w:rPr>
            </w:pPr>
            <w:r w:rsidRPr="0080380F">
              <w:rPr>
                <w:rFonts w:ascii="Times New Roman" w:hAnsi="Times New Roman"/>
                <w:b/>
              </w:rPr>
              <w:t>6.5.</w:t>
            </w:r>
            <w:r w:rsidRPr="0080380F">
              <w:rPr>
                <w:rFonts w:ascii="Times New Roman" w:hAnsi="Times New Roman"/>
              </w:rPr>
              <w:t xml:space="preserve"> Zabezpečuje sa podporná a propagačná aktivita zameraná na zvyšovanie povedomia o informatizácii a IKT?</w:t>
            </w:r>
          </w:p>
          <w:p w:rsidR="00A22617" w:rsidRPr="0080380F" w:rsidP="00E36869">
            <w:pPr>
              <w:bidi w:val="0"/>
              <w:spacing w:before="60" w:after="60"/>
              <w:jc w:val="both"/>
              <w:rPr>
                <w:rFonts w:ascii="Times New Roman" w:hAnsi="Times New Roman"/>
              </w:rPr>
            </w:pPr>
            <w:r w:rsidRPr="0080380F">
              <w:rPr>
                <w:rFonts w:ascii="Times New Roman" w:hAnsi="Times New Roman"/>
                <w:i/>
                <w:iCs/>
              </w:rPr>
              <w:t>(Uveďte typ a spôsob zabezpečenia propagačných aktivít.)</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A22617" w:rsidRPr="0080380F" w:rsidP="00E36869">
            <w:pPr>
              <w:bidi w:val="0"/>
              <w:spacing w:before="60" w:after="60"/>
              <w:jc w:val="both"/>
              <w:rPr>
                <w:rFonts w:ascii="Times New Roman" w:hAnsi="Times New Roman"/>
              </w:rPr>
            </w:pPr>
            <w:r w:rsidRPr="0080380F">
              <w:rPr>
                <w:rFonts w:ascii="Times New Roman" w:hAnsi="Times New Roman"/>
              </w:rPr>
              <w:t>Nie.</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A22617" w:rsidRPr="0080380F" w:rsidP="00E36869">
            <w:pPr>
              <w:bidi w:val="0"/>
              <w:spacing w:before="60" w:after="60"/>
              <w:jc w:val="both"/>
              <w:rPr>
                <w:rFonts w:ascii="Times New Roman" w:hAnsi="Times New Roman"/>
              </w:rPr>
            </w:pPr>
            <w:r w:rsidRPr="0080380F">
              <w:rPr>
                <w:rFonts w:ascii="Times New Roman" w:hAnsi="Times New Roman"/>
                <w:b/>
              </w:rPr>
              <w:t>6.6.</w:t>
            </w:r>
            <w:r w:rsidRPr="0080380F">
              <w:rPr>
                <w:rFonts w:ascii="Times New Roman" w:hAnsi="Times New Roman"/>
              </w:rPr>
              <w:t xml:space="preserve"> Zabezpečuje/zohľadňuje/zlepšuje sa prístup znevýhodnených osôb k službám informačnej spoločnosti?</w:t>
            </w:r>
          </w:p>
          <w:p w:rsidR="00A22617" w:rsidRPr="0080380F" w:rsidP="00E36869">
            <w:pPr>
              <w:bidi w:val="0"/>
              <w:spacing w:before="60" w:after="60"/>
              <w:jc w:val="both"/>
              <w:rPr>
                <w:rFonts w:ascii="Times New Roman" w:hAnsi="Times New Roman"/>
              </w:rPr>
            </w:pPr>
            <w:r w:rsidRPr="0080380F">
              <w:rPr>
                <w:rFonts w:ascii="Times New Roman" w:hAnsi="Times New Roman"/>
                <w:i/>
                <w:iCs/>
              </w:rPr>
              <w:t>(Uveďte spôsob sprístupnenia digitálneho prostredia.)</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A22617" w:rsidRPr="0080380F" w:rsidP="00E36869">
            <w:pPr>
              <w:bidi w:val="0"/>
              <w:spacing w:before="60" w:after="60"/>
              <w:jc w:val="both"/>
              <w:rPr>
                <w:rFonts w:ascii="Times New Roman" w:hAnsi="Times New Roman"/>
              </w:rPr>
            </w:pPr>
            <w:r w:rsidRPr="0080380F">
              <w:rPr>
                <w:rFonts w:ascii="Times New Roman" w:hAnsi="Times New Roman"/>
              </w:rPr>
              <w:t>Nie.</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A22617" w:rsidRPr="0080380F" w:rsidP="00E36869">
            <w:pPr>
              <w:bidi w:val="0"/>
              <w:spacing w:before="60" w:after="60"/>
              <w:jc w:val="both"/>
              <w:rPr>
                <w:rFonts w:ascii="Times New Roman" w:hAnsi="Times New Roman"/>
                <w:b/>
              </w:rPr>
            </w:pPr>
            <w:r w:rsidRPr="0080380F">
              <w:rPr>
                <w:rFonts w:ascii="Times New Roman" w:hAnsi="Times New Roman"/>
                <w:b/>
              </w:rPr>
              <w:t>Infraštruktúra</w:t>
            </w:r>
          </w:p>
        </w:tc>
        <w:tc>
          <w:tcPr>
            <w:tcW w:w="4276"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A22617" w:rsidRPr="0080380F" w:rsidP="00E36869">
            <w:pPr>
              <w:bidi w:val="0"/>
              <w:spacing w:before="60" w:after="60"/>
              <w:jc w:val="both"/>
              <w:rPr>
                <w:rFonts w:ascii="Times New Roman" w:hAnsi="Times New Roman"/>
              </w:rPr>
            </w:pP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A22617" w:rsidRPr="0080380F" w:rsidP="00E36869">
            <w:pPr>
              <w:bidi w:val="0"/>
              <w:spacing w:before="60" w:after="60"/>
              <w:jc w:val="both"/>
              <w:rPr>
                <w:rFonts w:ascii="Times New Roman" w:hAnsi="Times New Roman"/>
              </w:rPr>
            </w:pPr>
            <w:r w:rsidRPr="0080380F">
              <w:rPr>
                <w:rFonts w:ascii="Times New Roman" w:hAnsi="Times New Roman"/>
                <w:b/>
              </w:rPr>
              <w:t>6.7.</w:t>
            </w:r>
            <w:r w:rsidRPr="0080380F">
              <w:rPr>
                <w:rFonts w:ascii="Times New Roman" w:hAnsi="Times New Roman"/>
              </w:rPr>
              <w:t xml:space="preserve"> Rozširuje, inovuje, vytvára alebo zavádza sa nový informačný systém?</w:t>
            </w:r>
          </w:p>
          <w:p w:rsidR="00A22617" w:rsidRPr="0080380F" w:rsidP="00E36869">
            <w:pPr>
              <w:bidi w:val="0"/>
              <w:spacing w:before="60" w:after="60"/>
              <w:jc w:val="both"/>
              <w:rPr>
                <w:rFonts w:ascii="Times New Roman" w:hAnsi="Times New Roman"/>
              </w:rPr>
            </w:pPr>
            <w:r w:rsidRPr="0080380F">
              <w:rPr>
                <w:rFonts w:ascii="Times New Roman" w:hAnsi="Times New Roman"/>
                <w:i/>
                <w:iCs/>
              </w:rPr>
              <w:t>(Uveďte jeho funkciu.)</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A22617" w:rsidRPr="0080380F" w:rsidP="00E36869">
            <w:pPr>
              <w:bidi w:val="0"/>
              <w:spacing w:before="60" w:after="60"/>
              <w:jc w:val="both"/>
              <w:rPr>
                <w:rFonts w:ascii="Times New Roman" w:hAnsi="Times New Roman"/>
              </w:rPr>
            </w:pPr>
            <w:r w:rsidRPr="0080380F">
              <w:rPr>
                <w:rFonts w:ascii="Times New Roman" w:hAnsi="Times New Roman"/>
              </w:rPr>
              <w:t>Dochádza k</w:t>
            </w:r>
            <w:r>
              <w:rPr>
                <w:rFonts w:ascii="Times New Roman" w:hAnsi="Times New Roman"/>
              </w:rPr>
              <w:t> </w:t>
            </w:r>
            <w:r w:rsidRPr="0080380F">
              <w:rPr>
                <w:rFonts w:ascii="Times New Roman" w:hAnsi="Times New Roman"/>
              </w:rPr>
              <w:t>úpravám</w:t>
            </w:r>
            <w:r>
              <w:rPr>
                <w:rFonts w:ascii="Times New Roman" w:hAnsi="Times New Roman"/>
              </w:rPr>
              <w:t xml:space="preserve"> funkcionality</w:t>
            </w:r>
            <w:r w:rsidRPr="0080380F">
              <w:rPr>
                <w:rFonts w:ascii="Times New Roman" w:hAnsi="Times New Roman"/>
              </w:rPr>
              <w:t xml:space="preserve"> existujúcich informačných systémov.</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A22617" w:rsidRPr="0080380F" w:rsidP="00E36869">
            <w:pPr>
              <w:bidi w:val="0"/>
              <w:spacing w:before="60" w:after="60"/>
              <w:jc w:val="both"/>
              <w:rPr>
                <w:rFonts w:ascii="Times New Roman" w:hAnsi="Times New Roman"/>
              </w:rPr>
            </w:pPr>
            <w:r w:rsidRPr="0080380F">
              <w:rPr>
                <w:rFonts w:ascii="Times New Roman" w:hAnsi="Times New Roman"/>
                <w:b/>
              </w:rPr>
              <w:t>6.8.</w:t>
            </w:r>
            <w:r w:rsidRPr="0080380F">
              <w:rPr>
                <w:rFonts w:ascii="Times New Roman" w:hAnsi="Times New Roman"/>
              </w:rPr>
              <w:t xml:space="preserve"> Rozširuje sa prístupnosť k internetu?</w:t>
            </w:r>
          </w:p>
          <w:p w:rsidR="00A22617" w:rsidRPr="0080380F" w:rsidP="00E36869">
            <w:pPr>
              <w:bidi w:val="0"/>
              <w:spacing w:before="60" w:after="60"/>
              <w:jc w:val="both"/>
              <w:rPr>
                <w:rFonts w:ascii="Times New Roman" w:hAnsi="Times New Roman"/>
              </w:rPr>
            </w:pPr>
            <w:r w:rsidRPr="0080380F">
              <w:rPr>
                <w:rFonts w:ascii="Times New Roman" w:hAnsi="Times New Roman"/>
                <w:i/>
                <w:iCs/>
              </w:rPr>
              <w:t>(Uveďte spôsob rozširovania prístupnosti.)</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A22617" w:rsidRPr="0080380F" w:rsidP="00E36869">
            <w:pPr>
              <w:bidi w:val="0"/>
              <w:spacing w:before="60" w:after="60"/>
              <w:jc w:val="both"/>
              <w:rPr>
                <w:rFonts w:ascii="Times New Roman" w:hAnsi="Times New Roman"/>
              </w:rPr>
            </w:pPr>
            <w:r w:rsidRPr="0080380F">
              <w:rPr>
                <w:rFonts w:ascii="Times New Roman" w:hAnsi="Times New Roman"/>
              </w:rPr>
              <w:t>Nie.</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A22617" w:rsidRPr="0080380F" w:rsidP="00E36869">
            <w:pPr>
              <w:bidi w:val="0"/>
              <w:spacing w:before="60" w:after="60"/>
              <w:rPr>
                <w:rFonts w:ascii="Times New Roman" w:hAnsi="Times New Roman"/>
              </w:rPr>
            </w:pPr>
            <w:r w:rsidRPr="0080380F">
              <w:rPr>
                <w:rFonts w:ascii="Times New Roman" w:hAnsi="Times New Roman"/>
                <w:b/>
              </w:rPr>
              <w:t>6.9.</w:t>
            </w:r>
            <w:r w:rsidRPr="0080380F">
              <w:rPr>
                <w:rFonts w:ascii="Times New Roman" w:hAnsi="Times New Roman"/>
              </w:rPr>
              <w:t xml:space="preserve"> Rozširuje sa prístupnosť k elektronickým službám?</w:t>
            </w:r>
          </w:p>
          <w:p w:rsidR="00A22617" w:rsidRPr="0080380F" w:rsidP="00E36869">
            <w:pPr>
              <w:bidi w:val="0"/>
              <w:spacing w:before="60" w:after="60"/>
              <w:rPr>
                <w:rFonts w:ascii="Times New Roman" w:hAnsi="Times New Roman"/>
              </w:rPr>
            </w:pPr>
            <w:r w:rsidRPr="0080380F">
              <w:rPr>
                <w:rFonts w:ascii="Times New Roman" w:hAnsi="Times New Roman"/>
                <w:i/>
                <w:iCs/>
              </w:rPr>
              <w:t>(Uveďte spôsob rozširovania prístupnosti.)</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A22617" w:rsidRPr="0080380F" w:rsidP="00E36869">
            <w:pPr>
              <w:bidi w:val="0"/>
              <w:spacing w:before="60" w:after="60"/>
              <w:jc w:val="both"/>
              <w:rPr>
                <w:rFonts w:ascii="Times New Roman" w:hAnsi="Times New Roman"/>
              </w:rPr>
            </w:pPr>
            <w:r w:rsidRPr="0080380F">
              <w:rPr>
                <w:rFonts w:ascii="Times New Roman" w:hAnsi="Times New Roman"/>
              </w:rPr>
              <w:t>Áno – Výmena informácii s</w:t>
            </w:r>
            <w:r>
              <w:rPr>
                <w:rFonts w:ascii="Times New Roman" w:hAnsi="Times New Roman"/>
              </w:rPr>
              <w:t xml:space="preserve"> povinnými osobami, </w:t>
            </w:r>
            <w:r w:rsidRPr="0080380F">
              <w:rPr>
                <w:rFonts w:ascii="Times New Roman" w:hAnsi="Times New Roman"/>
              </w:rPr>
              <w:t xml:space="preserve">inštitúciami verejnej správy, ako aj ostatným okolím bude v maximálnej možnej miere elektronizovaná a automatizovaná. </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A22617" w:rsidRPr="0080380F" w:rsidP="00E36869">
            <w:pPr>
              <w:bidi w:val="0"/>
              <w:spacing w:before="60" w:after="60"/>
              <w:jc w:val="both"/>
              <w:rPr>
                <w:rFonts w:ascii="Times New Roman" w:hAnsi="Times New Roman"/>
              </w:rPr>
            </w:pPr>
            <w:r w:rsidRPr="0080380F">
              <w:rPr>
                <w:rFonts w:ascii="Times New Roman" w:hAnsi="Times New Roman"/>
                <w:b/>
              </w:rPr>
              <w:t>6.10.</w:t>
            </w:r>
            <w:r w:rsidRPr="0080380F">
              <w:rPr>
                <w:rFonts w:ascii="Times New Roman" w:hAnsi="Times New Roman"/>
              </w:rPr>
              <w:t xml:space="preserve"> Zabezpečuje sa technická interoperabilita?</w:t>
            </w:r>
          </w:p>
          <w:p w:rsidR="00A22617" w:rsidRPr="0080380F" w:rsidP="00E36869">
            <w:pPr>
              <w:bidi w:val="0"/>
              <w:spacing w:before="60" w:after="60"/>
              <w:jc w:val="both"/>
              <w:rPr>
                <w:rFonts w:ascii="Times New Roman" w:hAnsi="Times New Roman"/>
              </w:rPr>
            </w:pPr>
            <w:r w:rsidRPr="0080380F">
              <w:rPr>
                <w:rFonts w:ascii="Times New Roman" w:hAnsi="Times New Roman"/>
                <w:i/>
                <w:iCs/>
              </w:rPr>
              <w:t>(Uveďte spôsob jej zabezpečenia.)</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A22617" w:rsidRPr="0080380F" w:rsidP="00E36869">
            <w:pPr>
              <w:bidi w:val="0"/>
              <w:spacing w:before="60" w:after="60"/>
              <w:jc w:val="both"/>
              <w:rPr>
                <w:rFonts w:ascii="Times New Roman" w:hAnsi="Times New Roman"/>
              </w:rPr>
            </w:pPr>
            <w:r>
              <w:rPr>
                <w:rFonts w:ascii="Times New Roman" w:hAnsi="Times New Roman"/>
              </w:rPr>
              <w:t>Nie.</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A22617" w:rsidRPr="0080380F" w:rsidP="00E36869">
            <w:pPr>
              <w:bidi w:val="0"/>
              <w:spacing w:before="60" w:after="60"/>
              <w:jc w:val="both"/>
              <w:rPr>
                <w:rFonts w:ascii="Times New Roman" w:hAnsi="Times New Roman"/>
              </w:rPr>
            </w:pPr>
            <w:r w:rsidRPr="0080380F">
              <w:rPr>
                <w:rFonts w:ascii="Times New Roman" w:hAnsi="Times New Roman"/>
                <w:b/>
              </w:rPr>
              <w:t>6.11.</w:t>
            </w:r>
            <w:r w:rsidRPr="0080380F">
              <w:rPr>
                <w:rFonts w:ascii="Times New Roman" w:hAnsi="Times New Roman"/>
              </w:rPr>
              <w:t xml:space="preserve"> Zvyšuje sa bezpečnosť IT?</w:t>
            </w:r>
          </w:p>
          <w:p w:rsidR="00A22617" w:rsidRPr="0080380F" w:rsidP="00E36869">
            <w:pPr>
              <w:bidi w:val="0"/>
              <w:spacing w:before="60" w:after="60"/>
              <w:jc w:val="both"/>
              <w:rPr>
                <w:rFonts w:ascii="Times New Roman" w:hAnsi="Times New Roman"/>
              </w:rPr>
            </w:pPr>
            <w:r w:rsidRPr="0080380F">
              <w:rPr>
                <w:rFonts w:ascii="Times New Roman" w:hAnsi="Times New Roman"/>
              </w:rPr>
              <w:t>(</w:t>
            </w:r>
            <w:r w:rsidRPr="0080380F">
              <w:rPr>
                <w:rFonts w:ascii="Times New Roman" w:hAnsi="Times New Roman"/>
                <w:i/>
                <w:iCs/>
              </w:rPr>
              <w:t>Uveďte spôsob zvýšenia bezpečnosti a ochrany IT.)</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A22617" w:rsidRPr="0080380F" w:rsidP="00E36869">
            <w:pPr>
              <w:bidi w:val="0"/>
              <w:spacing w:before="60" w:after="60"/>
              <w:jc w:val="both"/>
              <w:rPr>
                <w:rFonts w:ascii="Times New Roman" w:hAnsi="Times New Roman"/>
              </w:rPr>
            </w:pPr>
            <w:r w:rsidRPr="0080380F">
              <w:rPr>
                <w:rFonts w:ascii="Times New Roman" w:hAnsi="Times New Roman"/>
              </w:rPr>
              <w:t>Nie</w:t>
            </w:r>
            <w:r>
              <w:rPr>
                <w:rFonts w:ascii="Times New Roman" w:hAnsi="Times New Roman"/>
              </w:rPr>
              <w:t>.</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A22617" w:rsidRPr="0080380F" w:rsidP="00E36869">
            <w:pPr>
              <w:bidi w:val="0"/>
              <w:spacing w:before="60" w:after="60"/>
              <w:jc w:val="both"/>
              <w:rPr>
                <w:rFonts w:ascii="Times New Roman" w:hAnsi="Times New Roman"/>
              </w:rPr>
            </w:pPr>
            <w:r w:rsidRPr="0080380F">
              <w:rPr>
                <w:rFonts w:ascii="Times New Roman" w:hAnsi="Times New Roman"/>
                <w:b/>
              </w:rPr>
              <w:t>6.12.</w:t>
            </w:r>
            <w:r w:rsidRPr="0080380F">
              <w:rPr>
                <w:rFonts w:ascii="Times New Roman" w:hAnsi="Times New Roman"/>
              </w:rPr>
              <w:t xml:space="preserve"> Rozširuje sa technická infraštruktúra?</w:t>
            </w:r>
          </w:p>
          <w:p w:rsidR="00A22617" w:rsidRPr="0080380F" w:rsidP="00E36869">
            <w:pPr>
              <w:bidi w:val="0"/>
              <w:spacing w:before="60" w:after="60"/>
              <w:jc w:val="both"/>
              <w:rPr>
                <w:rFonts w:ascii="Times New Roman" w:hAnsi="Times New Roman"/>
                <w:i/>
                <w:iCs/>
              </w:rPr>
            </w:pPr>
            <w:r w:rsidRPr="0080380F">
              <w:rPr>
                <w:rFonts w:ascii="Times New Roman" w:hAnsi="Times New Roman"/>
              </w:rPr>
              <w:t>(</w:t>
            </w:r>
            <w:r w:rsidRPr="0080380F">
              <w:rPr>
                <w:rFonts w:ascii="Times New Roman" w:hAnsi="Times New Roman"/>
                <w:i/>
                <w:iCs/>
              </w:rPr>
              <w:t>Uveďte stručný popis zavádzanej infraštruktúry.)</w:t>
            </w:r>
          </w:p>
          <w:p w:rsidR="00A22617" w:rsidRPr="0080380F" w:rsidP="00E36869">
            <w:pPr>
              <w:bidi w:val="0"/>
              <w:spacing w:before="60" w:after="60"/>
              <w:jc w:val="both"/>
              <w:rPr>
                <w:rFonts w:ascii="Times New Roman" w:hAnsi="Times New Roman"/>
              </w:rPr>
            </w:pP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A22617" w:rsidRPr="0080380F" w:rsidP="00E36869">
            <w:pPr>
              <w:bidi w:val="0"/>
              <w:spacing w:before="60" w:after="60"/>
              <w:jc w:val="both"/>
              <w:rPr>
                <w:rFonts w:ascii="Times New Roman" w:hAnsi="Times New Roman"/>
              </w:rPr>
            </w:pPr>
            <w:r w:rsidRPr="0080380F">
              <w:rPr>
                <w:rFonts w:ascii="Times New Roman" w:hAnsi="Times New Roman"/>
              </w:rPr>
              <w:t>Nie</w:t>
            </w:r>
            <w:r>
              <w:rPr>
                <w:rFonts w:ascii="Times New Roman" w:hAnsi="Times New Roman"/>
              </w:rPr>
              <w:t>.</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A22617" w:rsidRPr="0080380F" w:rsidP="00E36869">
            <w:pPr>
              <w:bidi w:val="0"/>
              <w:spacing w:before="60" w:after="60"/>
              <w:rPr>
                <w:rFonts w:ascii="Times New Roman" w:hAnsi="Times New Roman"/>
                <w:b/>
              </w:rPr>
            </w:pPr>
            <w:r w:rsidRPr="0080380F">
              <w:rPr>
                <w:rFonts w:ascii="Times New Roman" w:hAnsi="Times New Roman"/>
                <w:b/>
              </w:rPr>
              <w:t>Riadenie procesu informatizácie</w:t>
            </w:r>
          </w:p>
        </w:tc>
        <w:tc>
          <w:tcPr>
            <w:tcW w:w="427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A22617" w:rsidRPr="0080380F" w:rsidP="00E36869">
            <w:pPr>
              <w:bidi w:val="0"/>
              <w:spacing w:before="60" w:after="60"/>
              <w:rPr>
                <w:rFonts w:ascii="Times New Roman" w:hAnsi="Times New Roman"/>
              </w:rPr>
            </w:pP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A22617" w:rsidRPr="0080380F" w:rsidP="00E36869">
            <w:pPr>
              <w:bidi w:val="0"/>
              <w:spacing w:before="60" w:after="60"/>
              <w:jc w:val="both"/>
              <w:rPr>
                <w:rFonts w:ascii="Times New Roman" w:hAnsi="Times New Roman"/>
              </w:rPr>
            </w:pPr>
            <w:r w:rsidRPr="0080380F">
              <w:rPr>
                <w:rFonts w:ascii="Times New Roman" w:hAnsi="Times New Roman"/>
                <w:b/>
              </w:rPr>
              <w:t>6.13.</w:t>
            </w:r>
            <w:r w:rsidRPr="0080380F">
              <w:rPr>
                <w:rFonts w:ascii="Times New Roman" w:hAnsi="Times New Roman"/>
              </w:rPr>
              <w:t xml:space="preserve"> Predpokladajú sa zmeny v riadení procesu informatizácie?</w:t>
            </w:r>
          </w:p>
          <w:p w:rsidR="00A22617" w:rsidRPr="0080380F" w:rsidP="00E36869">
            <w:pPr>
              <w:bidi w:val="0"/>
              <w:spacing w:before="60" w:after="60"/>
              <w:jc w:val="both"/>
              <w:rPr>
                <w:rFonts w:ascii="Times New Roman" w:hAnsi="Times New Roman"/>
              </w:rPr>
            </w:pPr>
            <w:r w:rsidRPr="0080380F">
              <w:rPr>
                <w:rFonts w:ascii="Times New Roman" w:hAnsi="Times New Roman"/>
                <w:i/>
                <w:iCs/>
              </w:rPr>
              <w:t>(Uveďte popis zmien.)</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A22617" w:rsidRPr="0080380F" w:rsidP="00E36869">
            <w:pPr>
              <w:bidi w:val="0"/>
              <w:spacing w:before="60" w:after="60"/>
              <w:jc w:val="both"/>
              <w:rPr>
                <w:rFonts w:ascii="Times New Roman" w:hAnsi="Times New Roman"/>
              </w:rPr>
            </w:pPr>
            <w:r w:rsidRPr="0080380F">
              <w:rPr>
                <w:rFonts w:ascii="Times New Roman" w:hAnsi="Times New Roman"/>
              </w:rPr>
              <w:t>Nie</w:t>
            </w:r>
            <w:r>
              <w:rPr>
                <w:rFonts w:ascii="Times New Roman" w:hAnsi="Times New Roman"/>
              </w:rPr>
              <w:t>.</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A22617" w:rsidRPr="0080380F" w:rsidP="00E36869">
            <w:pPr>
              <w:bidi w:val="0"/>
              <w:spacing w:before="60" w:after="60"/>
              <w:jc w:val="both"/>
              <w:rPr>
                <w:rFonts w:ascii="Times New Roman" w:hAnsi="Times New Roman"/>
                <w:b/>
              </w:rPr>
            </w:pPr>
            <w:r w:rsidRPr="0080380F">
              <w:rPr>
                <w:rFonts w:ascii="Times New Roman" w:hAnsi="Times New Roman"/>
                <w:b/>
              </w:rPr>
              <w:t>Financovanie procesu informatizácie</w:t>
            </w:r>
          </w:p>
        </w:tc>
        <w:tc>
          <w:tcPr>
            <w:tcW w:w="427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A22617" w:rsidRPr="0080380F" w:rsidP="00E36869">
            <w:pPr>
              <w:bidi w:val="0"/>
              <w:spacing w:before="60" w:after="60"/>
              <w:jc w:val="both"/>
              <w:rPr>
                <w:rFonts w:ascii="Times New Roman" w:hAnsi="Times New Roman"/>
              </w:rPr>
            </w:pP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A22617" w:rsidRPr="0080380F" w:rsidP="00E36869">
            <w:pPr>
              <w:bidi w:val="0"/>
              <w:spacing w:before="60" w:after="60"/>
              <w:rPr>
                <w:rFonts w:ascii="Times New Roman" w:hAnsi="Times New Roman"/>
              </w:rPr>
            </w:pPr>
            <w:r w:rsidRPr="0080380F">
              <w:rPr>
                <w:rFonts w:ascii="Times New Roman" w:hAnsi="Times New Roman"/>
                <w:b/>
              </w:rPr>
              <w:t>6.14.</w:t>
            </w:r>
            <w:r w:rsidRPr="0080380F">
              <w:rPr>
                <w:rFonts w:ascii="Times New Roman" w:hAnsi="Times New Roman"/>
              </w:rPr>
              <w:t xml:space="preserve"> Vyžaduje si proces informatizácie  finančné investície?</w:t>
            </w:r>
          </w:p>
          <w:p w:rsidR="00A22617" w:rsidRPr="0080380F" w:rsidP="00E36869">
            <w:pPr>
              <w:bidi w:val="0"/>
              <w:spacing w:before="60" w:after="60"/>
              <w:rPr>
                <w:rFonts w:ascii="Times New Roman" w:hAnsi="Times New Roman"/>
              </w:rPr>
            </w:pPr>
            <w:r w:rsidRPr="0080380F">
              <w:rPr>
                <w:rFonts w:ascii="Times New Roman" w:hAnsi="Times New Roman"/>
                <w:i/>
                <w:iCs/>
              </w:rPr>
              <w:t>(Popíšte príslušnú úroveň financovania.)</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A22617" w:rsidRPr="0080380F" w:rsidP="00E36869">
            <w:pPr>
              <w:bidi w:val="0"/>
              <w:spacing w:before="60" w:after="60"/>
              <w:jc w:val="both"/>
              <w:rPr>
                <w:rFonts w:ascii="Times New Roman" w:hAnsi="Times New Roman"/>
              </w:rPr>
            </w:pPr>
            <w:r>
              <w:rPr>
                <w:rFonts w:ascii="Times New Roman" w:hAnsi="Times New Roman"/>
              </w:rPr>
              <w:t>Áno – na jednorazové úpravy existujúcich informačných systémov podľa predloženého zákona.</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A22617" w:rsidRPr="0080380F" w:rsidP="00E36869">
            <w:pPr>
              <w:bidi w:val="0"/>
              <w:spacing w:before="60" w:after="60"/>
              <w:rPr>
                <w:rFonts w:ascii="Times New Roman" w:hAnsi="Times New Roman"/>
                <w:b/>
              </w:rPr>
            </w:pPr>
            <w:r w:rsidRPr="0080380F">
              <w:rPr>
                <w:rFonts w:ascii="Times New Roman" w:hAnsi="Times New Roman"/>
                <w:b/>
              </w:rPr>
              <w:t>Legislatívne prostredie procesu informatizácie</w:t>
            </w:r>
          </w:p>
        </w:tc>
        <w:tc>
          <w:tcPr>
            <w:tcW w:w="427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A22617" w:rsidRPr="0080380F" w:rsidP="00E36869">
            <w:pPr>
              <w:bidi w:val="0"/>
              <w:spacing w:before="60" w:after="60"/>
              <w:jc w:val="both"/>
              <w:rPr>
                <w:rFonts w:ascii="Times New Roman" w:hAnsi="Times New Roman"/>
              </w:rPr>
            </w:pP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A22617" w:rsidRPr="0080380F" w:rsidP="00E36869">
            <w:pPr>
              <w:bidi w:val="0"/>
              <w:spacing w:before="60" w:after="60"/>
              <w:rPr>
                <w:rFonts w:ascii="Times New Roman" w:hAnsi="Times New Roman"/>
              </w:rPr>
            </w:pPr>
            <w:r w:rsidRPr="0080380F">
              <w:rPr>
                <w:rFonts w:ascii="Times New Roman" w:hAnsi="Times New Roman"/>
                <w:b/>
              </w:rPr>
              <w:t>6.15.</w:t>
            </w:r>
            <w:r w:rsidRPr="0080380F">
              <w:rPr>
                <w:rFonts w:ascii="Times New Roman" w:hAnsi="Times New Roman"/>
              </w:rPr>
              <w:t xml:space="preserve"> Predpokladá nelegislatívny materiál potrebu úpravy legislatívneho prostredia  procesu informatizácie?</w:t>
            </w:r>
          </w:p>
          <w:p w:rsidR="00A22617" w:rsidRPr="0080380F" w:rsidP="00E36869">
            <w:pPr>
              <w:bidi w:val="0"/>
              <w:spacing w:before="60" w:after="60"/>
              <w:rPr>
                <w:rFonts w:ascii="Times New Roman" w:hAnsi="Times New Roman"/>
              </w:rPr>
            </w:pPr>
            <w:r w:rsidRPr="0080380F">
              <w:rPr>
                <w:rFonts w:ascii="Times New Roman" w:hAnsi="Times New Roman"/>
                <w:i/>
                <w:iCs/>
              </w:rPr>
              <w:t>(Stručne popíšte navrhované legislatívne zmeny.)</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A22617" w:rsidRPr="0080380F" w:rsidP="00E36869">
            <w:pPr>
              <w:bidi w:val="0"/>
              <w:spacing w:before="60" w:after="60"/>
              <w:jc w:val="both"/>
              <w:rPr>
                <w:rFonts w:ascii="Times New Roman" w:hAnsi="Times New Roman"/>
              </w:rPr>
            </w:pPr>
            <w:r>
              <w:rPr>
                <w:rFonts w:ascii="Times New Roman" w:hAnsi="Times New Roman"/>
              </w:rPr>
              <w:t>-</w:t>
            </w:r>
          </w:p>
        </w:tc>
      </w:tr>
    </w:tbl>
    <w:p w:rsidR="00A22617" w:rsidP="008F2EE9">
      <w:pPr>
        <w:bidi w:val="0"/>
        <w:rPr>
          <w:rFonts w:ascii="Times New Roman" w:hAnsi="Times New Roman"/>
        </w:rPr>
      </w:pPr>
    </w:p>
    <w:sectPr w:rsidSect="00A37E2D">
      <w:footnotePr>
        <w:pos w:val="beneathText"/>
      </w:footnotePr>
      <w:pgSz w:w="11906" w:h="16838" w:code="9"/>
      <w:pgMar w:top="1276" w:right="1417" w:bottom="1560" w:left="1417" w:header="708" w:footer="708" w:gutter="0"/>
      <w:lnNumType w:distance="0"/>
      <w:pgNumType w:start="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altName w:val="Times New Roman"/>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e?e?|||?|?e?|?ˇ¦¨§?e?"/>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ˇ§ˇ©????ˇ§ˇ©??ˇ§ˇ©˘§???"/>
    <w:panose1 w:val="020B0600000101010101"/>
    <w:charset w:val="81"/>
    <w:family w:val="swiss"/>
    <w:pitch w:val="variable"/>
    <w:sig w:usb0="00000000" w:usb1="00000000" w:usb2="00000000" w:usb3="00000000" w:csb0="0008009F" w:csb1="00000000"/>
  </w:font>
  <w:font w:name="SimHei">
    <w:altName w:val="??|||?||??e?e??|||?||??e?e?|||?"/>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ˇ§ˇ©????ˇ§ˇ©??ˇ§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Arial Unicode MS">
    <w:altName w:val="Arial"/>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rial Narrow">
    <w:altName w:val="Century Gothic"/>
    <w:panose1 w:val="020B060602020203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ms sans serif">
    <w:altName w:val="Times New Roman"/>
    <w:panose1 w:val="00000000000000000000"/>
    <w:charset w:val="00"/>
    <w:family w:val="roman"/>
    <w:pitch w:val="default"/>
    <w:sig w:usb0="00000000" w:usb1="00000000" w:usb2="00000000" w:usb3="00000000" w:csb0="00000001" w:csb1="00000000"/>
  </w:font>
  <w:font w:name="Univers">
    <w:panose1 w:val="00000000000000000000"/>
    <w:charset w:val="A2"/>
    <w:family w:val="swiss"/>
    <w:pitch w:val="variable"/>
    <w:sig w:usb0="00000000" w:usb1="00000000" w:usb2="00000000" w:usb3="00000000" w:csb0="00000093"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000000000000000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entury Gothic">
    <w:panose1 w:val="020B0502020202020204"/>
    <w:charset w:val="EE"/>
    <w:family w:val="swiss"/>
    <w:pitch w:val="variable"/>
    <w:sig w:usb0="00000000" w:usb1="00000000" w:usb2="00000000" w:usb3="00000000" w:csb0="0000009F"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Monotype Corsiva">
    <w:panose1 w:val="03010101010201010101"/>
    <w:charset w:val="EE"/>
    <w:family w:val="script"/>
    <w:pitch w:val="variable"/>
    <w:sig w:usb0="00000000" w:usb1="00000000" w:usb2="00000000" w:usb3="00000000" w:csb0="0000009F"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EE"/>
    <w:family w:val="roman"/>
    <w:pitch w:val="variable"/>
    <w:sig w:usb0="00000000" w:usb1="00000000" w:usb2="00000000" w:usb3="00000000" w:csb0="00000003"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TimesNewRoman">
    <w:altName w:val="Times New Roman"/>
    <w:panose1 w:val="00000000000000000000"/>
    <w:charset w:val="EE"/>
    <w:family w:val="auto"/>
    <w:pitch w:val="default"/>
    <w:sig w:usb0="00000000" w:usb1="00000000" w:usb2="00000000" w:usb3="00000000" w:csb0="00000003" w:csb1="00000000"/>
  </w:font>
  <w:font w:name="Times-Roman">
    <w:altName w:val="Times New Roman"/>
    <w:panose1 w:val="00000000000000000000"/>
    <w:charset w:val="00"/>
    <w:family w:val="roman"/>
    <w:pitch w:val="default"/>
    <w:sig w:usb0="00000000" w:usb1="00000000" w:usb2="00000000" w:usb3="00000000" w:csb0="00000001" w:csb1="00000000"/>
  </w:font>
  <w:font w:name="Hscode39ocrwide">
    <w:panose1 w:val="00000000000000000000"/>
    <w:charset w:val="02"/>
    <w:family w:val="auto"/>
    <w:pitch w:val="variable"/>
    <w:sig w:usb0="00000000" w:usb1="00000000" w:usb2="00000000" w:usb3="00000000" w:csb0="80000000" w:csb1="00000000"/>
  </w:font>
  <w:font w:name="Microsoft Sans Serif (Vietnames">
    <w:panose1 w:val="00000000000000000000"/>
    <w:charset w:val="A3"/>
    <w:family w:val="swiss"/>
    <w:pitch w:val="variable"/>
    <w:sig w:usb0="00000000" w:usb1="00000000" w:usb2="00000000" w:usb3="00000000" w:csb0="00000100" w:csb1="00000000"/>
  </w:font>
  <w:font w:name="MS Reference Sans Serif (Vietna">
    <w:panose1 w:val="00000000000000000000"/>
    <w:charset w:val="A3"/>
    <w:family w:val="swiss"/>
    <w:pitch w:val="variable"/>
    <w:sig w:usb0="00000000" w:usb1="00000000" w:usb2="00000000" w:usb3="00000000" w:csb0="00000100" w:csb1="00000000"/>
  </w:font>
  <w:font w:name="TTE21F0B50t00">
    <w:altName w:val="Times New Roman"/>
    <w:panose1 w:val="00000000000000000000"/>
    <w:charset w:val="00"/>
    <w:family w:val="auto"/>
    <w:pitch w:val="default"/>
    <w:sig w:usb0="00000000" w:usb1="00000000" w:usb2="00000000" w:usb3="00000000" w:csb0="00000001" w:csb1="00000000"/>
  </w:font>
  <w:font w:name="Albertus Medium">
    <w:panose1 w:val="020E0602030304020304"/>
    <w:charset w:val="EE"/>
    <w:family w:val="swiss"/>
    <w:pitch w:val="variable"/>
    <w:sig w:usb0="00000000" w:usb1="00000000" w:usb2="00000000" w:usb3="00000000" w:csb0="00000093" w:csb1="00000000"/>
  </w:font>
  <w:font w:name="Albertus">
    <w:panose1 w:val="020E0702040304020204"/>
    <w:charset w:val="EE"/>
    <w:family w:val="swiss"/>
    <w:pitch w:val="variable"/>
    <w:sig w:usb0="00000000" w:usb1="00000000" w:usb2="00000000" w:usb3="00000000" w:csb0="00000093" w:csb1="00000000"/>
  </w:font>
  <w:font w:name="Albertus Extra Bold">
    <w:panose1 w:val="020E0802040304020204"/>
    <w:charset w:val="EE"/>
    <w:family w:val="swiss"/>
    <w:pitch w:val="variable"/>
    <w:sig w:usb0="00000000" w:usb1="00000000" w:usb2="00000000" w:usb3="00000000" w:csb0="00000093" w:csb1="00000000"/>
  </w:font>
  <w:font w:name="ITC Avant Garde Gothic">
    <w:panose1 w:val="020B0602020202020204"/>
    <w:charset w:val="EE"/>
    <w:family w:val="swiss"/>
    <w:pitch w:val="variable"/>
    <w:sig w:usb0="00000000" w:usb1="00000000" w:usb2="00000000" w:usb3="00000000" w:csb0="00000093" w:csb1="00000000"/>
  </w:font>
  <w:font w:name="ITC Avant Garde Gothic Demi">
    <w:panose1 w:val="020B0802020202020204"/>
    <w:charset w:val="EE"/>
    <w:family w:val="swiss"/>
    <w:pitch w:val="variable"/>
    <w:sig w:usb0="00000000" w:usb1="00000000" w:usb2="00000000" w:usb3="00000000" w:csb0="00000013" w:csb1="00000000"/>
  </w:font>
  <w:font w:name="ITC Bookman Light">
    <w:panose1 w:val="02050604050505020204"/>
    <w:charset w:val="EE"/>
    <w:family w:val="roman"/>
    <w:pitch w:val="variable"/>
    <w:sig w:usb0="00000000" w:usb1="00000000" w:usb2="00000000" w:usb3="00000000" w:csb0="00000093" w:csb1="00000000"/>
  </w:font>
  <w:font w:name="ITC Bookman Demi">
    <w:panose1 w:val="02050804040505020204"/>
    <w:charset w:val="EE"/>
    <w:family w:val="roman"/>
    <w:pitch w:val="variable"/>
    <w:sig w:usb0="00000000" w:usb1="00000000" w:usb2="00000000" w:usb3="00000000" w:csb0="00000093" w:csb1="00000000"/>
  </w:font>
  <w:font w:name="CG Omega">
    <w:panose1 w:val="020B0502050508020304"/>
    <w:charset w:val="EE"/>
    <w:family w:val="swiss"/>
    <w:pitch w:val="variable"/>
    <w:sig w:usb0="00000000" w:usb1="00000000" w:usb2="00000000" w:usb3="00000000" w:csb0="00000093" w:csb1="00000000"/>
  </w:font>
  <w:font w:name="CG Times">
    <w:panose1 w:val="02020603050405020304"/>
    <w:charset w:val="EE"/>
    <w:family w:val="roman"/>
    <w:pitch w:val="variable"/>
    <w:sig w:usb0="00000000" w:usb1="00000000" w:usb2="00000000" w:usb3="00000000" w:csb0="00000093" w:csb1="00000000"/>
  </w:font>
  <w:font w:name="ITC Zapf Chancery">
    <w:panose1 w:val="03020702040403080804"/>
    <w:charset w:val="EE"/>
    <w:family w:val="script"/>
    <w:pitch w:val="variable"/>
    <w:sig w:usb0="00000000" w:usb1="00000000" w:usb2="00000000" w:usb3="00000000" w:csb0="00000093" w:csb1="00000000"/>
  </w:font>
  <w:font w:name="Clarendon">
    <w:panose1 w:val="02040604040505020204"/>
    <w:charset w:val="EE"/>
    <w:family w:val="roman"/>
    <w:pitch w:val="variable"/>
    <w:sig w:usb0="00000000" w:usb1="00000000" w:usb2="00000000" w:usb3="00000000" w:csb0="00000093" w:csb1="00000000"/>
  </w:font>
  <w:font w:name="Clarendon Condensed">
    <w:panose1 w:val="02040706040705040204"/>
    <w:charset w:val="EE"/>
    <w:family w:val="roman"/>
    <w:pitch w:val="variable"/>
    <w:sig w:usb0="00000000" w:usb1="00000000" w:usb2="00000000" w:usb3="00000000" w:csb0="00000093" w:csb1="00000000"/>
  </w:font>
  <w:font w:name="Clarendon Extended">
    <w:panose1 w:val="02040805050505020204"/>
    <w:charset w:val="EE"/>
    <w:family w:val="roman"/>
    <w:pitch w:val="variable"/>
    <w:sig w:usb0="00000000" w:usb1="00000000" w:usb2="00000000" w:usb3="00000000" w:csb0="00000093" w:csb1="00000000"/>
  </w:font>
  <w:font w:name="Coronet">
    <w:panose1 w:val="03030502040406070605"/>
    <w:charset w:val="EE"/>
    <w:family w:val="script"/>
    <w:pitch w:val="variable"/>
    <w:sig w:usb0="00000000" w:usb1="00000000" w:usb2="00000000" w:usb3="00000000" w:csb0="00000093" w:csb1="00000000"/>
  </w:font>
  <w:font w:name="CourierPS">
    <w:panose1 w:val="02070609020205020404"/>
    <w:charset w:val="EE"/>
    <w:family w:val="modern"/>
    <w:pitch w:val="fixed"/>
    <w:sig w:usb0="00000000" w:usb1="00000000" w:usb2="00000000" w:usb3="00000000" w:csb0="00000093" w:csb1="00000000"/>
  </w:font>
  <w:font w:name="ITC Zapf Dingbats">
    <w:panose1 w:val="05020102010704020609"/>
    <w:charset w:val="02"/>
    <w:family w:val="roman"/>
    <w:pitch w:val="variable"/>
    <w:sig w:usb0="00000000" w:usb1="00000000" w:usb2="00000000" w:usb3="00000000" w:csb0="80000000" w:csb1="00000000"/>
  </w:font>
  <w:font w:name="Helvetica Narrow">
    <w:panose1 w:val="020B0606020202030204"/>
    <w:charset w:val="EE"/>
    <w:family w:val="swiss"/>
    <w:pitch w:val="variable"/>
    <w:sig w:usb0="00000000" w:usb1="00000000" w:usb2="00000000" w:usb3="00000000" w:csb0="00000093" w:csb1="00000000"/>
  </w:font>
  <w:font w:name="Letter Gothic">
    <w:panose1 w:val="020B0409020202030204"/>
    <w:charset w:val="EE"/>
    <w:family w:val="modern"/>
    <w:pitch w:val="fixed"/>
    <w:sig w:usb0="00000000" w:usb1="00000000" w:usb2="00000000" w:usb3="00000000" w:csb0="00000093" w:csb1="00000000"/>
  </w:font>
  <w:font w:name="Marigold">
    <w:panose1 w:val="03020702040402020504"/>
    <w:charset w:val="EE"/>
    <w:family w:val="script"/>
    <w:pitch w:val="variable"/>
    <w:sig w:usb0="00000000" w:usb1="00000000" w:usb2="00000000" w:usb3="00000000" w:csb0="00000093" w:csb1="00000000"/>
  </w:font>
  <w:font w:name="New Century Schoolbook">
    <w:panose1 w:val="02040603050705020304"/>
    <w:charset w:val="EE"/>
    <w:family w:val="roman"/>
    <w:pitch w:val="variable"/>
    <w:sig w:usb0="00000000" w:usb1="00000000" w:usb2="00000000" w:usb3="00000000" w:csb0="00000093" w:csb1="00000000"/>
  </w:font>
  <w:font w:name="Antique Olive">
    <w:panose1 w:val="020B0603020204030204"/>
    <w:charset w:val="EE"/>
    <w:family w:val="swiss"/>
    <w:pitch w:val="variable"/>
    <w:sig w:usb0="00000000" w:usb1="00000000" w:usb2="00000000" w:usb3="00000000" w:csb0="00000093" w:csb1="00000000"/>
  </w:font>
  <w:font w:name="Antique Olive Compact">
    <w:panose1 w:val="020B0904030504030204"/>
    <w:charset w:val="EE"/>
    <w:family w:val="swiss"/>
    <w:pitch w:val="variable"/>
    <w:sig w:usb0="00000000" w:usb1="00000000" w:usb2="00000000" w:usb3="00000000" w:csb0="00000093" w:csb1="00000000"/>
  </w:font>
  <w:font w:name="Palatino">
    <w:panose1 w:val="02040502050505030304"/>
    <w:charset w:val="EE"/>
    <w:family w:val="roman"/>
    <w:pitch w:val="variable"/>
    <w:sig w:usb0="00000000" w:usb1="00000000" w:usb2="00000000" w:usb3="00000000" w:csb0="00000093" w:csb1="00000000"/>
  </w:font>
  <w:font w:name="SymbolPS">
    <w:panose1 w:val="05050102010607020607"/>
    <w:charset w:val="02"/>
    <w:family w:val="roman"/>
    <w:pitch w:val="variable"/>
    <w:sig w:usb0="00000000" w:usb1="00000000" w:usb2="00000000" w:usb3="00000000" w:csb0="80000000" w:csb1="00000000"/>
  </w:font>
  <w:font w:name="Times">
    <w:panose1 w:val="00000000000000000000"/>
    <w:charset w:val="EE"/>
    <w:family w:val="roman"/>
    <w:pitch w:val="variable"/>
    <w:sig w:usb0="00000000" w:usb1="00000000" w:usb2="00000000" w:usb3="00000000" w:csb0="000001FF" w:csb1="00000000"/>
  </w:font>
  <w:font w:name="Univers Condensed">
    <w:altName w:val="Impact"/>
    <w:panose1 w:val="020B0606020202060204"/>
    <w:charset w:val="EE"/>
    <w:family w:val="swiss"/>
    <w:pitch w:val="variable"/>
    <w:sig w:usb0="00000000" w:usb1="00000000" w:usb2="00000000" w:usb3="00000000" w:csb0="00000093" w:csb1="00000000"/>
  </w:font>
  <w:font w:name="PalatinoLinotype-Roman">
    <w:altName w:val="Arial Unicode MS"/>
    <w:panose1 w:val="00000000000000000000"/>
    <w:charset w:val="80"/>
    <w:family w:val="auto"/>
    <w:pitch w:val="default"/>
    <w:sig w:usb0="00000000" w:usb1="00000000" w:usb2="00000000" w:usb3="00000000" w:csb0="00020000" w:csb1="00000000"/>
  </w:font>
  <w:font w:name="EUAlbertina-Bold-Identity-H">
    <w:altName w:val="Arial Unicode MS"/>
    <w:panose1 w:val="00000000000000000000"/>
    <w:charset w:val="80"/>
    <w:family w:val="auto"/>
    <w:pitch w:val="default"/>
    <w:sig w:usb0="00000000" w:usb1="00000000" w:usb2="00000000" w:usb3="00000000" w:csb0="00020000" w:csb1="00000000"/>
  </w:font>
  <w:font w:name="@EUAlbertina-Bold-Identity-H">
    <w:panose1 w:val="00000000000000000000"/>
    <w:charset w:val="80"/>
    <w:family w:val="auto"/>
    <w:pitch w:val="default"/>
    <w:sig w:usb0="00000000" w:usb1="00000000" w:usb2="00000000" w:usb3="00000000" w:csb0="000200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ITC Avant Garde Gothic Demi Bal">
    <w:panose1 w:val="00000000000000000000"/>
    <w:charset w:val="BA"/>
    <w:family w:val="swiss"/>
    <w:pitch w:val="variable"/>
    <w:sig w:usb0="00000000" w:usb1="00000000" w:usb2="00000000" w:usb3="00000000" w:csb0="00000080" w:csb1="00000000"/>
  </w:font>
  <w:font w:name="TimesNewRomanPSMT">
    <w:altName w:val="Times New Roman"/>
    <w:panose1 w:val="00000000000000000000"/>
    <w:charset w:val="00"/>
    <w:family w:val="roman"/>
    <w:pitch w:val="default"/>
    <w:sig w:usb0="00000000" w:usb1="00000000" w:usb2="00000000" w:usb3="00000000" w:csb0="00000001" w:csb1="00000000"/>
  </w:font>
  <w:font w:name="CenturyGothic">
    <w:altName w:val="Times New Roman"/>
    <w:panose1 w:val="00000000000000000000"/>
    <w:charset w:val="EE"/>
    <w:family w:val="auto"/>
    <w:pitch w:val="default"/>
    <w:sig w:usb0="00000000" w:usb1="00000000" w:usb2="00000000" w:usb3="00000000" w:csb0="00000003" w:csb1="00000000"/>
  </w:font>
  <w:font w:name="Futura Book">
    <w:altName w:val="Times New Roman"/>
    <w:panose1 w:val="00000000000000000000"/>
    <w:charset w:val="00"/>
    <w:family w:val="auto"/>
    <w:pitch w:val="default"/>
    <w:sig w:usb0="00000000" w:usb1="00000000" w:usb2="00000000" w:usb3="00000000" w:csb0="00000001" w:csb1="00000000"/>
  </w:font>
  <w:font w:name="AT*Penguin">
    <w:altName w:val="Times New Roman"/>
    <w:panose1 w:val="00000000000000000000"/>
    <w:charset w:val="EE"/>
    <w:family w:val="auto"/>
    <w:pitch w:val="variable"/>
    <w:sig w:usb0="00000000" w:usb1="00000000" w:usb2="00000000" w:usb3="00000000" w:csb0="00000013" w:csb1="00000000"/>
  </w:font>
  <w:font w:name="AT* Prose Antique">
    <w:altName w:val="Courier New"/>
    <w:panose1 w:val="020BE200000000000000"/>
    <w:charset w:val="00"/>
    <w:family w:val="swiss"/>
    <w:pitch w:val="variable"/>
    <w:sig w:usb0="00000000" w:usb1="00000000" w:usb2="00000000" w:usb3="00000000" w:csb0="00000001" w:csb1="00000000"/>
  </w:font>
  <w:font w:name="TimesE">
    <w:altName w:val="Times New Roman"/>
    <w:panose1 w:val="00000000000000000000"/>
    <w:charset w:val="00"/>
    <w:family w:val="auto"/>
    <w:pitch w:val="default"/>
    <w:sig w:usb0="00000000" w:usb1="00000000" w:usb2="00000000" w:usb3="00000000" w:csb0="00000001" w:csb1="00000000"/>
  </w:font>
  <w:font w:name="AT*Toronto">
    <w:altName w:val="Times New Roman"/>
    <w:panose1 w:val="00000000000000000000"/>
    <w:charset w:val="EE"/>
    <w:family w:val="auto"/>
    <w:pitch w:val="variable"/>
    <w:sig w:usb0="00000000" w:usb1="00000000" w:usb2="00000000" w:usb3="00000000" w:csb0="00000013" w:csb1="00000000"/>
  </w:font>
  <w:font w:name="FusionEE">
    <w:altName w:val="Arial"/>
    <w:panose1 w:val="00000000000000000000"/>
    <w:charset w:val="00"/>
    <w:family w:val="swiss"/>
    <w:pitch w:val="variable"/>
    <w:sig w:usb0="00000000" w:usb1="00000000" w:usb2="00000000" w:usb3="00000000" w:csb0="00000001" w:csb1="00000000"/>
  </w:font>
  <w:font w:name="TTE16E27C8t00">
    <w:altName w:val="Times New Roman"/>
    <w:panose1 w:val="00000000000000000000"/>
    <w:charset w:val="00"/>
    <w:family w:val="auto"/>
    <w:pitch w:val="default"/>
    <w:sig w:usb0="00000000" w:usb1="00000000" w:usb2="00000000" w:usb3="00000000" w:csb0="00000001" w:csb1="00000000"/>
  </w:font>
  <w:font w:name="Times-Bold">
    <w:altName w:val="Times New Roman"/>
    <w:panose1 w:val="00000000000000000000"/>
    <w:charset w:val="00"/>
    <w:family w:val="auto"/>
    <w:pitch w:val="default"/>
    <w:sig w:usb0="00000000" w:usb1="00000000" w:usb2="00000000" w:usb3="00000000" w:csb0="00000001" w:csb1="00000000"/>
  </w:font>
  <w:font w:name="Z@R422.tmp">
    <w:panose1 w:val="00000000000000000000"/>
    <w:charset w:val="02"/>
    <w:family w:val="auto"/>
    <w:pitch w:val="variable"/>
    <w:sig w:usb0="00000000" w:usb1="00000000" w:usb2="00000000" w:usb3="00000000" w:csb0="80000000" w:csb1="00000000"/>
  </w:font>
  <w:font w:name="LiberationSerif-Regular">
    <w:panose1 w:val="00000000000000000000"/>
    <w:charset w:val="EE"/>
    <w:family w:val="auto"/>
    <w:pitch w:val="default"/>
    <w:sig w:usb0="00000000" w:usb1="00000000" w:usb2="00000000" w:usb3="00000000" w:csb0="00000002" w:csb1="00000000"/>
  </w:font>
  <w:font w:name="ITCBookmanEE">
    <w:panose1 w:val="00000000000000000000"/>
    <w:charset w:val="EE"/>
    <w:family w:val="auto"/>
    <w:pitch w:val="default"/>
    <w:sig w:usb0="00000000"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9BB" w:rsidP="00311B8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769BB" w:rsidP="00311B81">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9BB" w:rsidP="00311B8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A17711">
      <w:rPr>
        <w:rStyle w:val="PageNumber"/>
        <w:rFonts w:ascii="Times New Roman" w:hAnsi="Times New Roman"/>
        <w:noProof/>
      </w:rPr>
      <w:t>6</w:t>
    </w:r>
    <w:r>
      <w:rPr>
        <w:rStyle w:val="PageNumber"/>
        <w:rFonts w:ascii="Times New Roman" w:hAnsi="Times New Roman"/>
      </w:rPr>
      <w:fldChar w:fldCharType="end"/>
    </w:r>
  </w:p>
  <w:p w:rsidR="000769BB" w:rsidP="00311B81">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9B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769BB">
    <w:pPr>
      <w:pStyle w:val="Footer"/>
      <w:bidi w:val="0"/>
      <w:ind w:right="360"/>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9BB">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C0E">
      <w:pPr>
        <w:bidi w:val="0"/>
        <w:rPr>
          <w:rFonts w:ascii="Times New Roman" w:hAnsi="Times New Roman"/>
        </w:rPr>
      </w:pPr>
      <w:r>
        <w:rPr>
          <w:rFonts w:ascii="Times New Roman" w:hAnsi="Times New Roman"/>
        </w:rPr>
        <w:separator/>
      </w:r>
    </w:p>
  </w:footnote>
  <w:footnote w:type="continuationSeparator" w:id="1">
    <w:p w:rsidR="00EF6C0E">
      <w:pPr>
        <w:bidi w:val="0"/>
        <w:rPr>
          <w:rFonts w:ascii="Times New Roman" w:hAnsi="Times New Roman"/>
        </w:rPr>
      </w:pPr>
      <w:r>
        <w:rPr>
          <w:rFonts w:ascii="Times New Roman" w:hAnsi="Times New Roman"/>
        </w:rPr>
        <w:continuationSeparator/>
      </w:r>
    </w:p>
  </w:footnote>
  <w:footnote w:id="2">
    <w:p w:rsidP="00B300BA">
      <w:pPr>
        <w:pStyle w:val="FootnoteText"/>
        <w:bidi w:val="0"/>
        <w:rPr>
          <w:rFonts w:ascii="Times New Roman" w:hAnsi="Times New Roman"/>
        </w:rPr>
      </w:pPr>
      <w:r w:rsidRPr="002F75E5" w:rsidR="000769BB">
        <w:rPr>
          <w:rStyle w:val="FootnoteReference"/>
          <w:rFonts w:ascii="Times New Roman" w:hAnsi="Times New Roman"/>
        </w:rPr>
        <w:footnoteRef/>
      </w:r>
      <w:r w:rsidRPr="002F75E5" w:rsidR="000769BB">
        <w:rPr>
          <w:rFonts w:ascii="Times New Roman" w:hAnsi="Times New Roman"/>
        </w:rPr>
        <w:t xml:space="preserve">  Údaje predstavujú počet zamestnancov a SZČO bez ohľadu na to či, dosahujú súbeh príjmov alebo 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9BB">
    <w:pPr>
      <w:pStyle w:val="Header"/>
      <w:bidi w:val="0"/>
      <w:jc w:val="right"/>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9BB" w:rsidRPr="0080380F" w:rsidP="0080380F">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bullet"/>
      <w:lvlText w:val="-"/>
      <w:lvlJc w:val="left"/>
      <w:pPr>
        <w:tabs>
          <w:tab w:val="num" w:pos="0"/>
        </w:tabs>
        <w:ind w:left="720" w:hanging="360"/>
      </w:pPr>
      <w:rPr>
        <w:rFonts w:ascii="Arial Narrow" w:hAnsi="Arial Narrow"/>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0000004"/>
    <w:multiLevelType w:val="singleLevel"/>
    <w:tmpl w:val="00000004"/>
    <w:name w:val="WW8Num10"/>
    <w:lvl w:ilvl="0">
      <w:start w:val="1"/>
      <w:numFmt w:val="bullet"/>
      <w:lvlText w:val=""/>
      <w:lvlJc w:val="left"/>
      <w:pPr>
        <w:tabs>
          <w:tab w:val="num" w:pos="0"/>
        </w:tabs>
        <w:ind w:left="720" w:hanging="360"/>
      </w:pPr>
      <w:rPr>
        <w:rFonts w:ascii="Wingdings" w:hAnsi="Wingdings"/>
      </w:rPr>
    </w:lvl>
  </w:abstractNum>
  <w:abstractNum w:abstractNumId="2">
    <w:nsid w:val="002B17EC"/>
    <w:multiLevelType w:val="hybridMultilevel"/>
    <w:tmpl w:val="719E3D56"/>
    <w:lvl w:ilvl="0">
      <w:start w:val="1"/>
      <w:numFmt w:val="upp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
    <w:nsid w:val="02615FBE"/>
    <w:multiLevelType w:val="hybridMultilevel"/>
    <w:tmpl w:val="EB4A305A"/>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2D002EE"/>
    <w:multiLevelType w:val="hybridMultilevel"/>
    <w:tmpl w:val="423ED77C"/>
    <w:lvl w:ilvl="0">
      <w:start w:val="1"/>
      <w:numFmt w:val="lowerLetter"/>
      <w:lvlText w:val="%1."/>
      <w:lvlJc w:val="left"/>
      <w:pPr>
        <w:ind w:left="14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406189D"/>
    <w:multiLevelType w:val="hybridMultilevel"/>
    <w:tmpl w:val="431CD6FC"/>
    <w:lvl w:ilvl="0">
      <w:start w:val="4"/>
      <w:numFmt w:val="bullet"/>
      <w:lvlText w:val="-"/>
      <w:lvlJc w:val="left"/>
      <w:pPr>
        <w:ind w:left="720" w:hanging="360"/>
      </w:pPr>
      <w:rPr>
        <w:rFonts w:ascii="Times New Roman" w:eastAsia="Times New Roman" w:hAnsi="Times New Roman" w:hint="default"/>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FAE37A2"/>
    <w:multiLevelType w:val="hybridMultilevel"/>
    <w:tmpl w:val="D4044E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FD04524"/>
    <w:multiLevelType w:val="hybridMultilevel"/>
    <w:tmpl w:val="6C7C4B68"/>
    <w:lvl w:ilvl="0">
      <w:start w:val="1"/>
      <w:numFmt w:val="upperLetter"/>
      <w:lvlText w:val="%1."/>
      <w:lvlJc w:val="left"/>
      <w:pPr>
        <w:ind w:left="720" w:hanging="360"/>
      </w:pPr>
      <w:rPr>
        <w:rFonts w:cs="Times New Roman" w:hint="default"/>
        <w:b/>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0054825"/>
    <w:multiLevelType w:val="hybridMultilevel"/>
    <w:tmpl w:val="0D2CCF1A"/>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5BE5EC3"/>
    <w:multiLevelType w:val="hybridMultilevel"/>
    <w:tmpl w:val="7320F300"/>
    <w:lvl w:ilvl="0">
      <w:start w:val="1"/>
      <w:numFmt w:val="decimal"/>
      <w:lvlText w:val="%1."/>
      <w:lvlJc w:val="left"/>
      <w:pPr>
        <w:ind w:left="1140" w:hanging="360"/>
      </w:pPr>
      <w:rPr>
        <w:rFonts w:cs="Times New Roman"/>
        <w:rtl w:val="0"/>
        <w:cs w:val="0"/>
      </w:rPr>
    </w:lvl>
    <w:lvl w:ilvl="1">
      <w:start w:val="1"/>
      <w:numFmt w:val="lowerLetter"/>
      <w:lvlText w:val="%2."/>
      <w:lvlJc w:val="left"/>
      <w:pPr>
        <w:ind w:left="1860" w:hanging="360"/>
      </w:pPr>
      <w:rPr>
        <w:rFonts w:cs="Times New Roman"/>
        <w:rtl w:val="0"/>
        <w:cs w:val="0"/>
      </w:rPr>
    </w:lvl>
    <w:lvl w:ilvl="2">
      <w:start w:val="1"/>
      <w:numFmt w:val="lowerRoman"/>
      <w:lvlText w:val="%3."/>
      <w:lvlJc w:val="right"/>
      <w:pPr>
        <w:ind w:left="2580" w:hanging="180"/>
      </w:pPr>
      <w:rPr>
        <w:rFonts w:cs="Times New Roman"/>
        <w:rtl w:val="0"/>
        <w:cs w:val="0"/>
      </w:rPr>
    </w:lvl>
    <w:lvl w:ilvl="3">
      <w:start w:val="1"/>
      <w:numFmt w:val="decimal"/>
      <w:lvlText w:val="%4."/>
      <w:lvlJc w:val="left"/>
      <w:pPr>
        <w:ind w:left="3300" w:hanging="360"/>
      </w:pPr>
      <w:rPr>
        <w:rFonts w:cs="Times New Roman"/>
        <w:rtl w:val="0"/>
        <w:cs w:val="0"/>
      </w:rPr>
    </w:lvl>
    <w:lvl w:ilvl="4">
      <w:start w:val="1"/>
      <w:numFmt w:val="lowerLetter"/>
      <w:lvlText w:val="%5."/>
      <w:lvlJc w:val="left"/>
      <w:pPr>
        <w:ind w:left="4020" w:hanging="360"/>
      </w:pPr>
      <w:rPr>
        <w:rFonts w:cs="Times New Roman"/>
        <w:rtl w:val="0"/>
        <w:cs w:val="0"/>
      </w:rPr>
    </w:lvl>
    <w:lvl w:ilvl="5">
      <w:start w:val="1"/>
      <w:numFmt w:val="lowerRoman"/>
      <w:lvlText w:val="%6."/>
      <w:lvlJc w:val="right"/>
      <w:pPr>
        <w:ind w:left="4740" w:hanging="180"/>
      </w:pPr>
      <w:rPr>
        <w:rFonts w:cs="Times New Roman"/>
        <w:rtl w:val="0"/>
        <w:cs w:val="0"/>
      </w:rPr>
    </w:lvl>
    <w:lvl w:ilvl="6">
      <w:start w:val="1"/>
      <w:numFmt w:val="decimal"/>
      <w:lvlText w:val="%7."/>
      <w:lvlJc w:val="left"/>
      <w:pPr>
        <w:ind w:left="5460" w:hanging="360"/>
      </w:pPr>
      <w:rPr>
        <w:rFonts w:cs="Times New Roman"/>
        <w:rtl w:val="0"/>
        <w:cs w:val="0"/>
      </w:rPr>
    </w:lvl>
    <w:lvl w:ilvl="7">
      <w:start w:val="1"/>
      <w:numFmt w:val="lowerLetter"/>
      <w:lvlText w:val="%8."/>
      <w:lvlJc w:val="left"/>
      <w:pPr>
        <w:ind w:left="6180" w:hanging="360"/>
      </w:pPr>
      <w:rPr>
        <w:rFonts w:cs="Times New Roman"/>
        <w:rtl w:val="0"/>
        <w:cs w:val="0"/>
      </w:rPr>
    </w:lvl>
    <w:lvl w:ilvl="8">
      <w:start w:val="1"/>
      <w:numFmt w:val="lowerRoman"/>
      <w:lvlText w:val="%9."/>
      <w:lvlJc w:val="right"/>
      <w:pPr>
        <w:ind w:left="6900" w:hanging="180"/>
      </w:pPr>
      <w:rPr>
        <w:rFonts w:cs="Times New Roman"/>
        <w:rtl w:val="0"/>
        <w:cs w:val="0"/>
      </w:rPr>
    </w:lvl>
  </w:abstractNum>
  <w:abstractNum w:abstractNumId="10">
    <w:nsid w:val="185D5230"/>
    <w:multiLevelType w:val="hybridMultilevel"/>
    <w:tmpl w:val="DAE663BC"/>
    <w:lvl w:ilvl="0">
      <w:start w:val="1"/>
      <w:numFmt w:val="upperLetter"/>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8733217"/>
    <w:multiLevelType w:val="hybridMultilevel"/>
    <w:tmpl w:val="D5640FC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AFB3BA7"/>
    <w:multiLevelType w:val="hybridMultilevel"/>
    <w:tmpl w:val="2DB609E2"/>
    <w:lvl w:ilvl="0">
      <w:start w:val="1"/>
      <w:numFmt w:val="upp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1B333B85"/>
    <w:multiLevelType w:val="hybridMultilevel"/>
    <w:tmpl w:val="260E6700"/>
    <w:lvl w:ilvl="0">
      <w:start w:val="1"/>
      <w:numFmt w:val="upperLetter"/>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2B82A17"/>
    <w:multiLevelType w:val="hybridMultilevel"/>
    <w:tmpl w:val="F3FCBA26"/>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816081F"/>
    <w:multiLevelType w:val="hybridMultilevel"/>
    <w:tmpl w:val="DAE663BC"/>
    <w:lvl w:ilvl="0">
      <w:start w:val="1"/>
      <w:numFmt w:val="upperLetter"/>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B5C2BB0"/>
    <w:multiLevelType w:val="hybridMultilevel"/>
    <w:tmpl w:val="DAE663BC"/>
    <w:lvl w:ilvl="0">
      <w:start w:val="1"/>
      <w:numFmt w:val="upperLetter"/>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2D183187"/>
    <w:multiLevelType w:val="hybridMultilevel"/>
    <w:tmpl w:val="508698F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2DA252CC"/>
    <w:multiLevelType w:val="hybridMultilevel"/>
    <w:tmpl w:val="566868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10E1EBC"/>
    <w:multiLevelType w:val="hybridMultilevel"/>
    <w:tmpl w:val="5420B14A"/>
    <w:lvl w:ilvl="0">
      <w:start w:val="4"/>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4653838"/>
    <w:multiLevelType w:val="hybridMultilevel"/>
    <w:tmpl w:val="5F2A3D16"/>
    <w:lvl w:ilvl="0">
      <w:start w:val="2"/>
      <w:numFmt w:val="bullet"/>
      <w:lvlText w:val="-"/>
      <w:lvlJc w:val="left"/>
      <w:pPr>
        <w:tabs>
          <w:tab w:val="num" w:pos="644"/>
        </w:tabs>
        <w:ind w:left="644"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7295F97"/>
    <w:multiLevelType w:val="hybridMultilevel"/>
    <w:tmpl w:val="C86C51A4"/>
    <w:lvl w:ilvl="0">
      <w:start w:val="1"/>
      <w:numFmt w:val="decimal"/>
      <w:lvlText w:val="%1."/>
      <w:lvlJc w:val="left"/>
      <w:pPr>
        <w:ind w:left="360" w:hanging="360"/>
      </w:pPr>
      <w:rPr>
        <w:rFonts w:cs="Times New Roman" w:hint="default"/>
        <w:b w:val="0"/>
        <w:rtl w:val="0"/>
        <w:cs w:val="0"/>
      </w:rPr>
    </w:lvl>
    <w:lvl w:ilvl="1">
      <w:start w:val="1"/>
      <w:numFmt w:val="lowerLetter"/>
      <w:lvlText w:val="%2)"/>
      <w:lvlJc w:val="left"/>
      <w:pPr>
        <w:ind w:left="1440" w:hanging="360"/>
      </w:pPr>
      <w:rPr>
        <w:rFonts w:cs="Times New Roman"/>
        <w:b w:val="0"/>
        <w:i w:val="0"/>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39220B92"/>
    <w:multiLevelType w:val="hybridMultilevel"/>
    <w:tmpl w:val="1F8E075C"/>
    <w:lvl w:ilvl="0">
      <w:start w:val="1"/>
      <w:numFmt w:val="upperLetter"/>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3B3521CE"/>
    <w:multiLevelType w:val="hybridMultilevel"/>
    <w:tmpl w:val="260E6700"/>
    <w:lvl w:ilvl="0">
      <w:start w:val="1"/>
      <w:numFmt w:val="upperLetter"/>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3D3A1C06"/>
    <w:multiLevelType w:val="hybridMultilevel"/>
    <w:tmpl w:val="0C0A3834"/>
    <w:lvl w:ilvl="0">
      <w:start w:val="0"/>
      <w:numFmt w:val="bullet"/>
      <w:lvlText w:val="-"/>
      <w:lvlJc w:val="left"/>
      <w:pPr>
        <w:ind w:left="420" w:hanging="360"/>
      </w:pPr>
      <w:rPr>
        <w:rFonts w:ascii="Times New Roman" w:eastAsia="Times New Roman" w:hAnsi="Times New Roman" w:hint="default"/>
      </w:rPr>
    </w:lvl>
    <w:lvl w:ilvl="1">
      <w:start w:val="1"/>
      <w:numFmt w:val="bullet"/>
      <w:lvlText w:val="o"/>
      <w:lvlJc w:val="left"/>
      <w:pPr>
        <w:ind w:left="1140" w:hanging="360"/>
      </w:pPr>
      <w:rPr>
        <w:rFonts w:ascii="Courier New" w:hAnsi="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hint="default"/>
      </w:rPr>
    </w:lvl>
    <w:lvl w:ilvl="8">
      <w:start w:val="1"/>
      <w:numFmt w:val="bullet"/>
      <w:lvlText w:val=""/>
      <w:lvlJc w:val="left"/>
      <w:pPr>
        <w:ind w:left="6180" w:hanging="360"/>
      </w:pPr>
      <w:rPr>
        <w:rFonts w:ascii="Wingdings" w:hAnsi="Wingdings" w:hint="default"/>
      </w:rPr>
    </w:lvl>
  </w:abstractNum>
  <w:abstractNum w:abstractNumId="25">
    <w:nsid w:val="3D3A1F98"/>
    <w:multiLevelType w:val="hybridMultilevel"/>
    <w:tmpl w:val="A8C625CC"/>
    <w:lvl w:ilvl="0">
      <w:start w:val="1"/>
      <w:numFmt w:val="upperRoman"/>
      <w:lvlText w:val="%1."/>
      <w:lvlJc w:val="left"/>
      <w:pPr>
        <w:ind w:left="1004"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3DA10FEF"/>
    <w:multiLevelType w:val="hybridMultilevel"/>
    <w:tmpl w:val="F1C82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4114598C"/>
    <w:multiLevelType w:val="hybridMultilevel"/>
    <w:tmpl w:val="0E96D514"/>
    <w:lvl w:ilvl="0">
      <w:start w:val="1"/>
      <w:numFmt w:val="lowerLetter"/>
      <w:lvlText w:val="%1)"/>
      <w:lvlJc w:val="left"/>
      <w:pPr>
        <w:tabs>
          <w:tab w:val="num" w:pos="720"/>
        </w:tabs>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43C2290B"/>
    <w:multiLevelType w:val="hybridMultilevel"/>
    <w:tmpl w:val="C456CC2C"/>
    <w:lvl w:ilvl="0">
      <w:start w:val="4"/>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43D635D0"/>
    <w:multiLevelType w:val="hybridMultilevel"/>
    <w:tmpl w:val="C106879C"/>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44D55D33"/>
    <w:multiLevelType w:val="hybridMultilevel"/>
    <w:tmpl w:val="C06EBE14"/>
    <w:lvl w:ilvl="0">
      <w:start w:val="1"/>
      <w:numFmt w:val="bullet"/>
      <w:lvlText w:val="-"/>
      <w:lvlJc w:val="left"/>
      <w:pPr>
        <w:ind w:left="720" w:hanging="360"/>
      </w:pPr>
      <w:rPr>
        <w:rFonts w:ascii="Times New Roman" w:eastAsia="Times New Roman" w:hAnsi="Times New Roman" w:hint="default"/>
        <w:b/>
        <w:i/>
        <w:color w:val="00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45383650"/>
    <w:multiLevelType w:val="hybridMultilevel"/>
    <w:tmpl w:val="B8E85110"/>
    <w:lvl w:ilvl="0">
      <w:start w:val="1"/>
      <w:numFmt w:val="lowerLetter"/>
      <w:lvlText w:val="%1."/>
      <w:lvlJc w:val="left"/>
      <w:pPr>
        <w:ind w:left="14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455F0F3F"/>
    <w:multiLevelType w:val="hybridMultilevel"/>
    <w:tmpl w:val="51768C6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3">
    <w:nsid w:val="47C47F4F"/>
    <w:multiLevelType w:val="hybridMultilevel"/>
    <w:tmpl w:val="8F4A894C"/>
    <w:lvl w:ilvl="0">
      <w:start w:val="1"/>
      <w:numFmt w:val="bullet"/>
      <w:lvlText w:val="-"/>
      <w:lvlJc w:val="left"/>
      <w:pPr>
        <w:ind w:left="720" w:hanging="360"/>
      </w:pPr>
      <w:rPr>
        <w:rFonts w:ascii="Times New Roman" w:eastAsia="Times New Roman" w:hAnsi="Times New Roman" w:hint="default"/>
        <w:b/>
        <w:i/>
        <w:color w:val="00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4B734960"/>
    <w:multiLevelType w:val="hybridMultilevel"/>
    <w:tmpl w:val="673A9BA8"/>
    <w:lvl w:ilvl="0">
      <w:start w:val="1"/>
      <w:numFmt w:val="bullet"/>
      <w:lvlText w:val="-"/>
      <w:lvlJc w:val="left"/>
      <w:pPr>
        <w:ind w:left="720" w:hanging="360"/>
      </w:pPr>
      <w:rPr>
        <w:rFonts w:ascii="Times New Roman" w:eastAsia="Times New Roman" w:hAnsi="Times New Roman" w:hint="default"/>
        <w:b/>
        <w:i/>
        <w:color w:val="00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4D743074"/>
    <w:multiLevelType w:val="hybridMultilevel"/>
    <w:tmpl w:val="2F9821A6"/>
    <w:lvl w:ilvl="0">
      <w:start w:val="2"/>
      <w:numFmt w:val="decimal"/>
      <w:lvlText w:val="%1."/>
      <w:lvlJc w:val="left"/>
      <w:pPr>
        <w:ind w:left="1429" w:hanging="360"/>
      </w:pPr>
      <w:rPr>
        <w:rFonts w:cs="Times New Roman" w:hint="default"/>
        <w:b w:val="0"/>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36">
    <w:nsid w:val="4F4D70F9"/>
    <w:multiLevelType w:val="hybridMultilevel"/>
    <w:tmpl w:val="C2D4D7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4FA361AF"/>
    <w:multiLevelType w:val="hybridMultilevel"/>
    <w:tmpl w:val="677EE5BC"/>
    <w:lvl w:ilvl="0">
      <w:start w:val="1"/>
      <w:numFmt w:val="upp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508B3131"/>
    <w:multiLevelType w:val="hybridMultilevel"/>
    <w:tmpl w:val="8D4E4B0A"/>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524C759A"/>
    <w:multiLevelType w:val="hybridMultilevel"/>
    <w:tmpl w:val="BD0ACAA2"/>
    <w:lvl w:ilvl="0">
      <w:start w:val="1"/>
      <w:numFmt w:val="decimal"/>
      <w:lvlText w:val="%1."/>
      <w:lvlJc w:val="left"/>
      <w:pPr>
        <w:ind w:left="720" w:hanging="360"/>
      </w:pPr>
      <w:rPr>
        <w:rFonts w:ascii="Times New Roman" w:hAnsi="Times New Roman" w:cs="Times New Roman" w:hint="default"/>
        <w:b/>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53FC30E3"/>
    <w:multiLevelType w:val="hybridMultilevel"/>
    <w:tmpl w:val="A1C8EDD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54EE7E96"/>
    <w:multiLevelType w:val="hybridMultilevel"/>
    <w:tmpl w:val="80C47E0E"/>
    <w:lvl w:ilvl="0">
      <w:start w:val="1"/>
      <w:numFmt w:val="upperLetter"/>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5A6E7518"/>
    <w:multiLevelType w:val="hybridMultilevel"/>
    <w:tmpl w:val="D206EFE8"/>
    <w:lvl w:ilvl="0">
      <w:start w:val="1"/>
      <w:numFmt w:val="upperLetter"/>
      <w:lvlText w:val="%1."/>
      <w:lvlJc w:val="left"/>
      <w:pPr>
        <w:ind w:left="720" w:hanging="360"/>
      </w:pPr>
      <w:rPr>
        <w:rFonts w:ascii="Times New Roman" w:eastAsia="Times New Roman" w:hAnsi="Times New Roman" w:cs="Times New Roman"/>
        <w:b/>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5A7E5423"/>
    <w:multiLevelType w:val="hybridMultilevel"/>
    <w:tmpl w:val="0086901C"/>
    <w:lvl w:ilvl="0">
      <w:start w:val="4"/>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5B227B0D"/>
    <w:multiLevelType w:val="hybridMultilevel"/>
    <w:tmpl w:val="FC3E95D6"/>
    <w:lvl w:ilvl="0">
      <w:start w:val="1"/>
      <w:numFmt w:val="upperLetter"/>
      <w:lvlText w:val="%1."/>
      <w:lvlJc w:val="left"/>
      <w:pPr>
        <w:ind w:left="720" w:hanging="360"/>
      </w:pPr>
      <w:rPr>
        <w:rFonts w:cs="Times New Roman" w:hint="default"/>
        <w:b/>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5FEF104A"/>
    <w:multiLevelType w:val="hybridMultilevel"/>
    <w:tmpl w:val="AB2EB3D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61F834EB"/>
    <w:multiLevelType w:val="hybridMultilevel"/>
    <w:tmpl w:val="809EBBF0"/>
    <w:lvl w:ilvl="0">
      <w:start w:val="1"/>
      <w:numFmt w:val="upperRoman"/>
      <w:lvlText w:val="%1."/>
      <w:lvlJc w:val="left"/>
      <w:pPr>
        <w:ind w:left="1004" w:hanging="72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7">
    <w:nsid w:val="622B4888"/>
    <w:multiLevelType w:val="hybridMultilevel"/>
    <w:tmpl w:val="A8C625CC"/>
    <w:lvl w:ilvl="0">
      <w:start w:val="1"/>
      <w:numFmt w:val="upperRoman"/>
      <w:lvlText w:val="%1."/>
      <w:lvlJc w:val="left"/>
      <w:pPr>
        <w:ind w:left="1004"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68567CA1"/>
    <w:multiLevelType w:val="hybridMultilevel"/>
    <w:tmpl w:val="17162AFC"/>
    <w:lvl w:ilvl="0">
      <w:start w:val="1"/>
      <w:numFmt w:val="upperLetter"/>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340" w:hanging="360"/>
      </w:pPr>
      <w:rPr>
        <w:rFonts w:cs="Times New Roman" w:hint="default"/>
        <w:rtl w:val="0"/>
        <w:cs w:val="0"/>
      </w:rPr>
    </w:lvl>
    <w:lvl w:ilvl="3">
      <w:start w:val="2"/>
      <w:numFmt w:val="upperRoman"/>
      <w:lvlText w:val="%4."/>
      <w:lvlJc w:val="left"/>
      <w:pPr>
        <w:ind w:left="3240" w:hanging="72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
    <w:nsid w:val="6AD94D72"/>
    <w:multiLevelType w:val="hybridMultilevel"/>
    <w:tmpl w:val="B10ED1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6C2B7558"/>
    <w:multiLevelType w:val="hybridMultilevel"/>
    <w:tmpl w:val="423ED77C"/>
    <w:lvl w:ilvl="0">
      <w:start w:val="1"/>
      <w:numFmt w:val="lowerLetter"/>
      <w:lvlText w:val="%1."/>
      <w:lvlJc w:val="left"/>
      <w:pPr>
        <w:ind w:left="14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
    <w:nsid w:val="6DD00366"/>
    <w:multiLevelType w:val="hybridMultilevel"/>
    <w:tmpl w:val="14EC2102"/>
    <w:lvl w:ilvl="0">
      <w:start w:val="2"/>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6E29576C"/>
    <w:multiLevelType w:val="hybridMultilevel"/>
    <w:tmpl w:val="3D28BC90"/>
    <w:lvl w:ilvl="0">
      <w:start w:val="1"/>
      <w:numFmt w:val="decimal"/>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53">
    <w:nsid w:val="6E5B72BB"/>
    <w:multiLevelType w:val="hybridMultilevel"/>
    <w:tmpl w:val="56A8C356"/>
    <w:lvl w:ilvl="0">
      <w:start w:val="1"/>
      <w:numFmt w:val="upp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4">
    <w:nsid w:val="71202C46"/>
    <w:multiLevelType w:val="hybridMultilevel"/>
    <w:tmpl w:val="871A50AE"/>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
    <w:nsid w:val="72672099"/>
    <w:multiLevelType w:val="multilevel"/>
    <w:tmpl w:val="041B001D"/>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56">
    <w:nsid w:val="779279F5"/>
    <w:multiLevelType w:val="hybridMultilevel"/>
    <w:tmpl w:val="F7FC0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779D05E2"/>
    <w:multiLevelType w:val="hybridMultilevel"/>
    <w:tmpl w:val="B546DD6C"/>
    <w:lvl w:ilvl="0">
      <w:start w:val="1"/>
      <w:numFmt w:val="lowerLetter"/>
      <w:lvlText w:val="%1."/>
      <w:lvlJc w:val="left"/>
      <w:pPr>
        <w:ind w:left="1440" w:hanging="360"/>
      </w:pPr>
      <w:rPr>
        <w:rFonts w:ascii="Times New Roman" w:hAnsi="Times New Roman" w:cs="Times New Roman" w:hint="default"/>
        <w:b/>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
    <w:nsid w:val="7B94292F"/>
    <w:multiLevelType w:val="hybridMultilevel"/>
    <w:tmpl w:val="B6E025E4"/>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
    <w:nsid w:val="7BA365B4"/>
    <w:multiLevelType w:val="hybridMultilevel"/>
    <w:tmpl w:val="868074E6"/>
    <w:lvl w:ilvl="0">
      <w:start w:val="1"/>
      <w:numFmt w:val="lowerLetter"/>
      <w:lvlText w:val="%1)"/>
      <w:lvlJc w:val="left"/>
      <w:pPr>
        <w:ind w:left="14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7BE12D68"/>
    <w:multiLevelType w:val="hybridMultilevel"/>
    <w:tmpl w:val="423ED77C"/>
    <w:lvl w:ilvl="0">
      <w:start w:val="1"/>
      <w:numFmt w:val="lowerLetter"/>
      <w:lvlText w:val="%1."/>
      <w:lvlJc w:val="left"/>
      <w:pPr>
        <w:ind w:left="14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7F604EFC"/>
    <w:multiLevelType w:val="multilevel"/>
    <w:tmpl w:val="62C8F4EC"/>
    <w:lvl w:ilvl="0">
      <w:start w:val="1"/>
      <w:numFmt w:val="decimal"/>
      <w:suff w:val="nothing"/>
      <w:lvlText w:val="§ %1"/>
      <w:lvlJc w:val="center"/>
      <w:rPr>
        <w:rFonts w:ascii="Times New Roman" w:hAnsi="Times New Roman" w:cs="Times New Roman" w:hint="default"/>
        <w:b/>
        <w:bCs/>
        <w:i w:val="0"/>
        <w:iCs w:val="0"/>
        <w:caps w:val="0"/>
        <w:smallCaps w:val="0"/>
        <w:strike w:val="0"/>
        <w:dstrike w:val="0"/>
        <w:vanish w:val="0"/>
        <w:color w:val="000000"/>
        <w:spacing w:val="0"/>
        <w:w w:val="0"/>
        <w:kern w:val="0"/>
        <w:position w:val="0"/>
        <w:sz w:val="24"/>
        <w:szCs w:val="24"/>
        <w:u w:val="none"/>
        <w:vertAlign w:val="baseline"/>
        <w:rtl w:val="0"/>
        <w:cs w:val="0"/>
      </w:rPr>
    </w:lvl>
    <w:lvl w:ilvl="1">
      <w:start w:val="6"/>
      <w:numFmt w:val="decimal"/>
      <w:pStyle w:val="odsek"/>
      <w:suff w:val="space"/>
      <w:lvlText w:val="(%2) "/>
      <w:lvlJc w:val="left"/>
      <w:pPr>
        <w:ind w:left="284"/>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tl w:val="0"/>
        <w:cs w:val="0"/>
      </w:rPr>
    </w:lvl>
    <w:lvl w:ilvl="2">
      <w:start w:val="1"/>
      <w:numFmt w:val="lowerLetter"/>
      <w:lvlText w:val="%3)"/>
      <w:lvlJc w:val="left"/>
      <w:pPr>
        <w:tabs>
          <w:tab w:val="num" w:pos="0"/>
        </w:tabs>
        <w:ind w:left="340" w:hanging="340"/>
      </w:pPr>
      <w:rPr>
        <w:rFonts w:ascii="Times New Roman" w:hAnsi="Times New Roman" w:cs="Times New Roman" w:hint="default"/>
        <w:b w:val="0"/>
        <w:bCs w:val="0"/>
        <w:i w:val="0"/>
        <w:iCs w:val="0"/>
        <w:sz w:val="22"/>
        <w:szCs w:val="22"/>
        <w:rtl w:val="0"/>
        <w:cs w:val="0"/>
      </w:rPr>
    </w:lvl>
    <w:lvl w:ilvl="3">
      <w:start w:val="1"/>
      <w:numFmt w:val="decimal"/>
      <w:lvlText w:val="%4."/>
      <w:lvlJc w:val="left"/>
      <w:pPr>
        <w:tabs>
          <w:tab w:val="num" w:pos="0"/>
        </w:tabs>
        <w:ind w:left="680" w:hanging="340"/>
      </w:pPr>
      <w:rPr>
        <w:rFonts w:ascii="Times New Roman" w:hAnsi="Times New Roman" w:cs="Times New Roman" w:hint="default"/>
        <w:b w:val="0"/>
        <w:bCs w:val="0"/>
        <w:i w:val="0"/>
        <w:iCs w:val="0"/>
        <w:sz w:val="24"/>
        <w:szCs w:val="24"/>
        <w:rtl w:val="0"/>
        <w:cs w:val="0"/>
      </w:rPr>
    </w:lvl>
    <w:lvl w:ilvl="4">
      <w:start w:val="1"/>
      <w:numFmt w:val="decimal"/>
      <w:lvlText w:val="%5."/>
      <w:lvlJc w:val="left"/>
      <w:pPr>
        <w:tabs>
          <w:tab w:val="num" w:pos="0"/>
        </w:tabs>
      </w:pPr>
      <w:rPr>
        <w:rFonts w:cs="Times New Roman" w:hint="default"/>
        <w:rtl w:val="0"/>
        <w:cs w:val="0"/>
      </w:rPr>
    </w:lvl>
    <w:lvl w:ilvl="5">
      <w:start w:val="1"/>
      <w:numFmt w:val="lowerRoman"/>
      <w:lvlText w:val="(%6)"/>
      <w:lvlJc w:val="left"/>
      <w:pPr>
        <w:tabs>
          <w:tab w:val="num" w:pos="0"/>
        </w:tabs>
      </w:pPr>
      <w:rPr>
        <w:rFonts w:cs="Times New Roman" w:hint="default"/>
        <w:rtl w:val="0"/>
        <w:cs w:val="0"/>
      </w:rPr>
    </w:lvl>
    <w:lvl w:ilvl="6">
      <w:start w:val="1"/>
      <w:numFmt w:val="decimal"/>
      <w:lvlText w:val="%7."/>
      <w:lvlJc w:val="left"/>
      <w:pPr>
        <w:tabs>
          <w:tab w:val="num" w:pos="0"/>
        </w:tabs>
      </w:pPr>
      <w:rPr>
        <w:rFonts w:cs="Times New Roman" w:hint="default"/>
        <w:rtl w:val="0"/>
        <w:cs w:val="0"/>
      </w:rPr>
    </w:lvl>
    <w:lvl w:ilvl="7">
      <w:start w:val="1"/>
      <w:numFmt w:val="lowerLetter"/>
      <w:lvlText w:val="%8."/>
      <w:lvlJc w:val="left"/>
      <w:pPr>
        <w:tabs>
          <w:tab w:val="num" w:pos="0"/>
        </w:tabs>
      </w:pPr>
      <w:rPr>
        <w:rFonts w:cs="Times New Roman" w:hint="default"/>
        <w:rtl w:val="0"/>
        <w:cs w:val="0"/>
      </w:rPr>
    </w:lvl>
    <w:lvl w:ilvl="8">
      <w:start w:val="1"/>
      <w:numFmt w:val="lowerRoman"/>
      <w:lvlText w:val="%9."/>
      <w:lvlJc w:val="left"/>
      <w:pPr>
        <w:tabs>
          <w:tab w:val="num" w:pos="0"/>
        </w:tabs>
      </w:pPr>
      <w:rPr>
        <w:rFonts w:cs="Times New Roman" w:hint="default"/>
        <w:rtl w:val="0"/>
        <w:cs w:val="0"/>
      </w:rPr>
    </w:lvl>
  </w:abstractNum>
  <w:num w:numId="1">
    <w:abstractNumId w:val="52"/>
  </w:num>
  <w:num w:numId="2">
    <w:abstractNumId w:val="11"/>
  </w:num>
  <w:num w:numId="3">
    <w:abstractNumId w:val="9"/>
  </w:num>
  <w:num w:numId="4">
    <w:abstractNumId w:val="18"/>
  </w:num>
  <w:num w:numId="5">
    <w:abstractNumId w:val="56"/>
  </w:num>
  <w:num w:numId="6">
    <w:abstractNumId w:val="24"/>
  </w:num>
  <w:num w:numId="7">
    <w:abstractNumId w:val="26"/>
  </w:num>
  <w:num w:numId="8">
    <w:abstractNumId w:val="6"/>
  </w:num>
  <w:num w:numId="9">
    <w:abstractNumId w:val="49"/>
  </w:num>
  <w:num w:numId="10">
    <w:abstractNumId w:val="7"/>
  </w:num>
  <w:num w:numId="11">
    <w:abstractNumId w:val="48"/>
  </w:num>
  <w:num w:numId="12">
    <w:abstractNumId w:val="41"/>
  </w:num>
  <w:num w:numId="13">
    <w:abstractNumId w:val="4"/>
  </w:num>
  <w:num w:numId="14">
    <w:abstractNumId w:val="60"/>
  </w:num>
  <w:num w:numId="15">
    <w:abstractNumId w:val="50"/>
  </w:num>
  <w:num w:numId="16">
    <w:abstractNumId w:val="8"/>
  </w:num>
  <w:num w:numId="17">
    <w:abstractNumId w:val="58"/>
  </w:num>
  <w:num w:numId="18">
    <w:abstractNumId w:val="16"/>
  </w:num>
  <w:num w:numId="19">
    <w:abstractNumId w:val="31"/>
  </w:num>
  <w:num w:numId="20">
    <w:abstractNumId w:val="15"/>
  </w:num>
  <w:num w:numId="21">
    <w:abstractNumId w:val="20"/>
  </w:num>
  <w:num w:numId="22">
    <w:abstractNumId w:val="14"/>
  </w:num>
  <w:num w:numId="23">
    <w:abstractNumId w:val="0"/>
  </w:num>
  <w:num w:numId="24">
    <w:abstractNumId w:val="10"/>
  </w:num>
  <w:num w:numId="25">
    <w:abstractNumId w:val="59"/>
  </w:num>
  <w:num w:numId="26">
    <w:abstractNumId w:val="57"/>
  </w:num>
  <w:num w:numId="27">
    <w:abstractNumId w:val="42"/>
  </w:num>
  <w:num w:numId="28">
    <w:abstractNumId w:val="21"/>
  </w:num>
  <w:num w:numId="29">
    <w:abstractNumId w:val="37"/>
  </w:num>
  <w:num w:numId="30">
    <w:abstractNumId w:val="36"/>
  </w:num>
  <w:num w:numId="31">
    <w:abstractNumId w:val="17"/>
  </w:num>
  <w:num w:numId="32">
    <w:abstractNumId w:val="5"/>
  </w:num>
  <w:num w:numId="33">
    <w:abstractNumId w:val="28"/>
  </w:num>
  <w:num w:numId="34">
    <w:abstractNumId w:val="19"/>
  </w:num>
  <w:num w:numId="35">
    <w:abstractNumId w:val="43"/>
  </w:num>
  <w:num w:numId="36">
    <w:abstractNumId w:val="53"/>
  </w:num>
  <w:num w:numId="37">
    <w:abstractNumId w:val="2"/>
  </w:num>
  <w:num w:numId="38">
    <w:abstractNumId w:val="33"/>
  </w:num>
  <w:num w:numId="39">
    <w:abstractNumId w:val="30"/>
  </w:num>
  <w:num w:numId="40">
    <w:abstractNumId w:val="34"/>
  </w:num>
  <w:num w:numId="41">
    <w:abstractNumId w:val="27"/>
  </w:num>
  <w:num w:numId="42">
    <w:abstractNumId w:val="61"/>
  </w:num>
  <w:num w:numId="43">
    <w:abstractNumId w:val="6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51"/>
  </w:num>
  <w:num w:numId="46">
    <w:abstractNumId w:val="35"/>
  </w:num>
  <w:num w:numId="47">
    <w:abstractNumId w:val="55"/>
  </w:num>
  <w:num w:numId="48">
    <w:abstractNumId w:val="46"/>
  </w:num>
  <w:num w:numId="49">
    <w:abstractNumId w:val="1"/>
  </w:num>
  <w:num w:numId="50">
    <w:abstractNumId w:val="44"/>
  </w:num>
  <w:num w:numId="51">
    <w:abstractNumId w:val="13"/>
  </w:num>
  <w:num w:numId="52">
    <w:abstractNumId w:val="47"/>
  </w:num>
  <w:num w:numId="53">
    <w:abstractNumId w:val="22"/>
  </w:num>
  <w:num w:numId="54">
    <w:abstractNumId w:val="54"/>
  </w:num>
  <w:num w:numId="55">
    <w:abstractNumId w:val="40"/>
  </w:num>
  <w:num w:numId="56">
    <w:abstractNumId w:val="29"/>
  </w:num>
  <w:num w:numId="57">
    <w:abstractNumId w:val="39"/>
  </w:num>
  <w:num w:numId="58">
    <w:abstractNumId w:val="32"/>
  </w:num>
  <w:num w:numId="59">
    <w:abstractNumId w:val="25"/>
  </w:num>
  <w:num w:numId="60">
    <w:abstractNumId w:val="23"/>
  </w:num>
  <w:num w:numId="61">
    <w:abstractNumId w:val="12"/>
  </w:num>
  <w:num w:numId="62">
    <w:abstractNumId w:val="3"/>
  </w:num>
  <w:num w:numId="63">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20"/>
  <w:displayHorizontalDrawingGridEvery w:val="2"/>
  <w:characterSpacingControl w:val="doNotCompress"/>
  <w:footnotePr>
    <w:footnote w:id="0"/>
    <w:footnote w:id="1"/>
  </w:footnotePr>
  <w:compat/>
  <w:rsids>
    <w:rsidRoot w:val="008B0A69"/>
    <w:rsid w:val="00000720"/>
    <w:rsid w:val="00006269"/>
    <w:rsid w:val="00011BF7"/>
    <w:rsid w:val="000123B2"/>
    <w:rsid w:val="00017E97"/>
    <w:rsid w:val="00017EA5"/>
    <w:rsid w:val="0002058C"/>
    <w:rsid w:val="00030EBA"/>
    <w:rsid w:val="00033E43"/>
    <w:rsid w:val="00034A71"/>
    <w:rsid w:val="00034BAC"/>
    <w:rsid w:val="00037B9E"/>
    <w:rsid w:val="000418A6"/>
    <w:rsid w:val="00041D85"/>
    <w:rsid w:val="000448F4"/>
    <w:rsid w:val="00045FC1"/>
    <w:rsid w:val="00046983"/>
    <w:rsid w:val="00047FEB"/>
    <w:rsid w:val="00050079"/>
    <w:rsid w:val="00050913"/>
    <w:rsid w:val="0005466A"/>
    <w:rsid w:val="000557F6"/>
    <w:rsid w:val="0005788A"/>
    <w:rsid w:val="00057A96"/>
    <w:rsid w:val="00060891"/>
    <w:rsid w:val="000619A2"/>
    <w:rsid w:val="0006557E"/>
    <w:rsid w:val="0006624C"/>
    <w:rsid w:val="00072322"/>
    <w:rsid w:val="000769BB"/>
    <w:rsid w:val="000801CC"/>
    <w:rsid w:val="000814A1"/>
    <w:rsid w:val="000826E9"/>
    <w:rsid w:val="000935BB"/>
    <w:rsid w:val="00094A03"/>
    <w:rsid w:val="000A3DD0"/>
    <w:rsid w:val="000B455B"/>
    <w:rsid w:val="000B65FD"/>
    <w:rsid w:val="000B7B49"/>
    <w:rsid w:val="000C1712"/>
    <w:rsid w:val="000D2510"/>
    <w:rsid w:val="000D5E77"/>
    <w:rsid w:val="000E136F"/>
    <w:rsid w:val="000E2DC0"/>
    <w:rsid w:val="000E38F2"/>
    <w:rsid w:val="000E60A6"/>
    <w:rsid w:val="000E7B4C"/>
    <w:rsid w:val="000F0946"/>
    <w:rsid w:val="000F0CDB"/>
    <w:rsid w:val="000F2DAE"/>
    <w:rsid w:val="000F3500"/>
    <w:rsid w:val="000F6D95"/>
    <w:rsid w:val="000F7FCB"/>
    <w:rsid w:val="0010128B"/>
    <w:rsid w:val="001064DD"/>
    <w:rsid w:val="0011038C"/>
    <w:rsid w:val="00111474"/>
    <w:rsid w:val="00112DBF"/>
    <w:rsid w:val="001179ED"/>
    <w:rsid w:val="0012703A"/>
    <w:rsid w:val="00130B96"/>
    <w:rsid w:val="0014082E"/>
    <w:rsid w:val="00141033"/>
    <w:rsid w:val="001429ED"/>
    <w:rsid w:val="00142B27"/>
    <w:rsid w:val="0014360B"/>
    <w:rsid w:val="00144717"/>
    <w:rsid w:val="0015176B"/>
    <w:rsid w:val="00154C11"/>
    <w:rsid w:val="00154D4E"/>
    <w:rsid w:val="00155513"/>
    <w:rsid w:val="00156FF0"/>
    <w:rsid w:val="00161E54"/>
    <w:rsid w:val="001649F0"/>
    <w:rsid w:val="00164ED1"/>
    <w:rsid w:val="00167B31"/>
    <w:rsid w:val="00167C70"/>
    <w:rsid w:val="00172372"/>
    <w:rsid w:val="0018298F"/>
    <w:rsid w:val="00183E3A"/>
    <w:rsid w:val="001859B9"/>
    <w:rsid w:val="00187622"/>
    <w:rsid w:val="00193E43"/>
    <w:rsid w:val="0019435F"/>
    <w:rsid w:val="00194553"/>
    <w:rsid w:val="00197760"/>
    <w:rsid w:val="001A2949"/>
    <w:rsid w:val="001B6511"/>
    <w:rsid w:val="001B7D72"/>
    <w:rsid w:val="001C0A63"/>
    <w:rsid w:val="001D57ED"/>
    <w:rsid w:val="001D7210"/>
    <w:rsid w:val="001E0474"/>
    <w:rsid w:val="001E0C70"/>
    <w:rsid w:val="001E0E4C"/>
    <w:rsid w:val="001E190F"/>
    <w:rsid w:val="001E2271"/>
    <w:rsid w:val="001E343D"/>
    <w:rsid w:val="001E59DF"/>
    <w:rsid w:val="001F3190"/>
    <w:rsid w:val="00200F96"/>
    <w:rsid w:val="00201A6E"/>
    <w:rsid w:val="002030F7"/>
    <w:rsid w:val="002154FF"/>
    <w:rsid w:val="00221271"/>
    <w:rsid w:val="00222A61"/>
    <w:rsid w:val="002254B8"/>
    <w:rsid w:val="00226C89"/>
    <w:rsid w:val="00231CCB"/>
    <w:rsid w:val="00233079"/>
    <w:rsid w:val="00235CFB"/>
    <w:rsid w:val="00235DD9"/>
    <w:rsid w:val="002379CE"/>
    <w:rsid w:val="00243886"/>
    <w:rsid w:val="00243D03"/>
    <w:rsid w:val="00252955"/>
    <w:rsid w:val="00252ACD"/>
    <w:rsid w:val="00260D57"/>
    <w:rsid w:val="00261150"/>
    <w:rsid w:val="00261E66"/>
    <w:rsid w:val="00262CE5"/>
    <w:rsid w:val="0026424C"/>
    <w:rsid w:val="002664C9"/>
    <w:rsid w:val="00267792"/>
    <w:rsid w:val="00270FAA"/>
    <w:rsid w:val="00274121"/>
    <w:rsid w:val="002800C9"/>
    <w:rsid w:val="002850F6"/>
    <w:rsid w:val="0029144C"/>
    <w:rsid w:val="002956D4"/>
    <w:rsid w:val="002959C7"/>
    <w:rsid w:val="002974FF"/>
    <w:rsid w:val="002A008F"/>
    <w:rsid w:val="002A0379"/>
    <w:rsid w:val="002A07DE"/>
    <w:rsid w:val="002B0F9F"/>
    <w:rsid w:val="002B50DC"/>
    <w:rsid w:val="002C6927"/>
    <w:rsid w:val="002D5954"/>
    <w:rsid w:val="002D5A06"/>
    <w:rsid w:val="002D6C2E"/>
    <w:rsid w:val="002D7E19"/>
    <w:rsid w:val="002E1BD7"/>
    <w:rsid w:val="002E421C"/>
    <w:rsid w:val="002E6E77"/>
    <w:rsid w:val="002F16C8"/>
    <w:rsid w:val="002F49A4"/>
    <w:rsid w:val="002F5926"/>
    <w:rsid w:val="002F75E5"/>
    <w:rsid w:val="00307836"/>
    <w:rsid w:val="00311B81"/>
    <w:rsid w:val="00312BBE"/>
    <w:rsid w:val="0031310D"/>
    <w:rsid w:val="00313282"/>
    <w:rsid w:val="0031392B"/>
    <w:rsid w:val="00313B42"/>
    <w:rsid w:val="003204DC"/>
    <w:rsid w:val="00320E52"/>
    <w:rsid w:val="00322014"/>
    <w:rsid w:val="00322736"/>
    <w:rsid w:val="003260F0"/>
    <w:rsid w:val="0033160C"/>
    <w:rsid w:val="0033624F"/>
    <w:rsid w:val="00340C93"/>
    <w:rsid w:val="00344C97"/>
    <w:rsid w:val="0034566A"/>
    <w:rsid w:val="00346415"/>
    <w:rsid w:val="00347118"/>
    <w:rsid w:val="00356685"/>
    <w:rsid w:val="00357038"/>
    <w:rsid w:val="00357368"/>
    <w:rsid w:val="00365FD1"/>
    <w:rsid w:val="00367647"/>
    <w:rsid w:val="003733DD"/>
    <w:rsid w:val="0037415F"/>
    <w:rsid w:val="00375DF0"/>
    <w:rsid w:val="00376A5A"/>
    <w:rsid w:val="00380B1F"/>
    <w:rsid w:val="003902C8"/>
    <w:rsid w:val="003917EA"/>
    <w:rsid w:val="00391898"/>
    <w:rsid w:val="003972EB"/>
    <w:rsid w:val="003A1AE5"/>
    <w:rsid w:val="003A631A"/>
    <w:rsid w:val="003A639C"/>
    <w:rsid w:val="003B1A4D"/>
    <w:rsid w:val="003B3776"/>
    <w:rsid w:val="003B5A74"/>
    <w:rsid w:val="003C3004"/>
    <w:rsid w:val="003C536B"/>
    <w:rsid w:val="003C7E35"/>
    <w:rsid w:val="003D0C59"/>
    <w:rsid w:val="003E156F"/>
    <w:rsid w:val="003E1DF8"/>
    <w:rsid w:val="003E2554"/>
    <w:rsid w:val="003E3C33"/>
    <w:rsid w:val="003E52B1"/>
    <w:rsid w:val="003E730A"/>
    <w:rsid w:val="003F0223"/>
    <w:rsid w:val="003F06C7"/>
    <w:rsid w:val="003F0F1E"/>
    <w:rsid w:val="003F2E09"/>
    <w:rsid w:val="003F595B"/>
    <w:rsid w:val="003F788B"/>
    <w:rsid w:val="004007FB"/>
    <w:rsid w:val="004023BA"/>
    <w:rsid w:val="00404052"/>
    <w:rsid w:val="0041178E"/>
    <w:rsid w:val="0041493F"/>
    <w:rsid w:val="004150EC"/>
    <w:rsid w:val="004161A1"/>
    <w:rsid w:val="004176AB"/>
    <w:rsid w:val="004211A8"/>
    <w:rsid w:val="0042706F"/>
    <w:rsid w:val="00427C18"/>
    <w:rsid w:val="004338D1"/>
    <w:rsid w:val="004436B8"/>
    <w:rsid w:val="0044461F"/>
    <w:rsid w:val="00447551"/>
    <w:rsid w:val="004548C8"/>
    <w:rsid w:val="00454E80"/>
    <w:rsid w:val="004612D6"/>
    <w:rsid w:val="00475F2F"/>
    <w:rsid w:val="0047676D"/>
    <w:rsid w:val="00477035"/>
    <w:rsid w:val="004815B3"/>
    <w:rsid w:val="00484FF0"/>
    <w:rsid w:val="00493B8E"/>
    <w:rsid w:val="00495D32"/>
    <w:rsid w:val="00495F33"/>
    <w:rsid w:val="004A1EA8"/>
    <w:rsid w:val="004A4CFB"/>
    <w:rsid w:val="004A4D30"/>
    <w:rsid w:val="004A5F3B"/>
    <w:rsid w:val="004A63B6"/>
    <w:rsid w:val="004A66EE"/>
    <w:rsid w:val="004A72D9"/>
    <w:rsid w:val="004B2597"/>
    <w:rsid w:val="004C3260"/>
    <w:rsid w:val="004C596D"/>
    <w:rsid w:val="004D3E68"/>
    <w:rsid w:val="004E39C6"/>
    <w:rsid w:val="004F0B51"/>
    <w:rsid w:val="004F66F8"/>
    <w:rsid w:val="004F7F00"/>
    <w:rsid w:val="0050022D"/>
    <w:rsid w:val="00502206"/>
    <w:rsid w:val="00502F6B"/>
    <w:rsid w:val="0050381F"/>
    <w:rsid w:val="005052DF"/>
    <w:rsid w:val="00506952"/>
    <w:rsid w:val="005153D3"/>
    <w:rsid w:val="005205C4"/>
    <w:rsid w:val="00522323"/>
    <w:rsid w:val="00523174"/>
    <w:rsid w:val="00523BE8"/>
    <w:rsid w:val="005316AA"/>
    <w:rsid w:val="0053270B"/>
    <w:rsid w:val="00540478"/>
    <w:rsid w:val="00543E07"/>
    <w:rsid w:val="0054611D"/>
    <w:rsid w:val="00550D57"/>
    <w:rsid w:val="00556DED"/>
    <w:rsid w:val="00566B5B"/>
    <w:rsid w:val="005714E8"/>
    <w:rsid w:val="00574194"/>
    <w:rsid w:val="00586E4E"/>
    <w:rsid w:val="005908E9"/>
    <w:rsid w:val="005976F0"/>
    <w:rsid w:val="005A3C06"/>
    <w:rsid w:val="005A62C3"/>
    <w:rsid w:val="005B2B64"/>
    <w:rsid w:val="005B50BF"/>
    <w:rsid w:val="005B65B7"/>
    <w:rsid w:val="005B6DE0"/>
    <w:rsid w:val="005B6FB9"/>
    <w:rsid w:val="005C0ADF"/>
    <w:rsid w:val="005C14D4"/>
    <w:rsid w:val="005C172D"/>
    <w:rsid w:val="005C54CD"/>
    <w:rsid w:val="005C6FFD"/>
    <w:rsid w:val="005D0CAB"/>
    <w:rsid w:val="005D1356"/>
    <w:rsid w:val="005D18F6"/>
    <w:rsid w:val="005D2E9C"/>
    <w:rsid w:val="005D4BE2"/>
    <w:rsid w:val="005D54CC"/>
    <w:rsid w:val="005D72BF"/>
    <w:rsid w:val="005E0140"/>
    <w:rsid w:val="005E01D6"/>
    <w:rsid w:val="005E6C58"/>
    <w:rsid w:val="005F1670"/>
    <w:rsid w:val="005F32B5"/>
    <w:rsid w:val="005F477C"/>
    <w:rsid w:val="005F4B93"/>
    <w:rsid w:val="005F7C01"/>
    <w:rsid w:val="00601551"/>
    <w:rsid w:val="006024C1"/>
    <w:rsid w:val="006077A2"/>
    <w:rsid w:val="00610A0B"/>
    <w:rsid w:val="006133E2"/>
    <w:rsid w:val="0061347C"/>
    <w:rsid w:val="00624444"/>
    <w:rsid w:val="006244F1"/>
    <w:rsid w:val="00624764"/>
    <w:rsid w:val="00632AD6"/>
    <w:rsid w:val="00635A95"/>
    <w:rsid w:val="00641AB2"/>
    <w:rsid w:val="0064234C"/>
    <w:rsid w:val="00644FBA"/>
    <w:rsid w:val="00647A3B"/>
    <w:rsid w:val="0065085A"/>
    <w:rsid w:val="00650EC1"/>
    <w:rsid w:val="006515A2"/>
    <w:rsid w:val="00651BBF"/>
    <w:rsid w:val="006547D3"/>
    <w:rsid w:val="00656390"/>
    <w:rsid w:val="00661C9A"/>
    <w:rsid w:val="006644CD"/>
    <w:rsid w:val="0066499D"/>
    <w:rsid w:val="00670745"/>
    <w:rsid w:val="00670A09"/>
    <w:rsid w:val="00670A88"/>
    <w:rsid w:val="00672509"/>
    <w:rsid w:val="006727E0"/>
    <w:rsid w:val="0067510B"/>
    <w:rsid w:val="006769BA"/>
    <w:rsid w:val="00680F82"/>
    <w:rsid w:val="00684931"/>
    <w:rsid w:val="00685146"/>
    <w:rsid w:val="00694680"/>
    <w:rsid w:val="00694BC8"/>
    <w:rsid w:val="006B2C72"/>
    <w:rsid w:val="006C0BC9"/>
    <w:rsid w:val="006C344C"/>
    <w:rsid w:val="006C56DF"/>
    <w:rsid w:val="006C5E05"/>
    <w:rsid w:val="006C6629"/>
    <w:rsid w:val="006D0E27"/>
    <w:rsid w:val="006F06D5"/>
    <w:rsid w:val="006F0C00"/>
    <w:rsid w:val="006F1CAC"/>
    <w:rsid w:val="006F6AE3"/>
    <w:rsid w:val="0070426D"/>
    <w:rsid w:val="0070431F"/>
    <w:rsid w:val="00704438"/>
    <w:rsid w:val="007058A4"/>
    <w:rsid w:val="00705F05"/>
    <w:rsid w:val="00710112"/>
    <w:rsid w:val="00713F82"/>
    <w:rsid w:val="00714FEA"/>
    <w:rsid w:val="007151BE"/>
    <w:rsid w:val="0071630C"/>
    <w:rsid w:val="00720DD5"/>
    <w:rsid w:val="00722102"/>
    <w:rsid w:val="00722BA0"/>
    <w:rsid w:val="0072355E"/>
    <w:rsid w:val="007263EC"/>
    <w:rsid w:val="00730A4A"/>
    <w:rsid w:val="00734C88"/>
    <w:rsid w:val="00737132"/>
    <w:rsid w:val="00740AFE"/>
    <w:rsid w:val="00740E8F"/>
    <w:rsid w:val="00742797"/>
    <w:rsid w:val="007433D7"/>
    <w:rsid w:val="00747678"/>
    <w:rsid w:val="00751047"/>
    <w:rsid w:val="007525EE"/>
    <w:rsid w:val="00754204"/>
    <w:rsid w:val="00754DF3"/>
    <w:rsid w:val="00754F60"/>
    <w:rsid w:val="00755084"/>
    <w:rsid w:val="007551D7"/>
    <w:rsid w:val="0076759D"/>
    <w:rsid w:val="00771C21"/>
    <w:rsid w:val="00772706"/>
    <w:rsid w:val="0077341B"/>
    <w:rsid w:val="00777C47"/>
    <w:rsid w:val="00781AB0"/>
    <w:rsid w:val="00781AF3"/>
    <w:rsid w:val="00791384"/>
    <w:rsid w:val="00791AE0"/>
    <w:rsid w:val="007945FA"/>
    <w:rsid w:val="00794898"/>
    <w:rsid w:val="007948B9"/>
    <w:rsid w:val="007A0862"/>
    <w:rsid w:val="007A1A52"/>
    <w:rsid w:val="007A295A"/>
    <w:rsid w:val="007A4643"/>
    <w:rsid w:val="007A6EDE"/>
    <w:rsid w:val="007A7C89"/>
    <w:rsid w:val="007B1ACD"/>
    <w:rsid w:val="007B6677"/>
    <w:rsid w:val="007C062D"/>
    <w:rsid w:val="007C146D"/>
    <w:rsid w:val="007C3F23"/>
    <w:rsid w:val="007C4C02"/>
    <w:rsid w:val="007C5A28"/>
    <w:rsid w:val="007C7CAA"/>
    <w:rsid w:val="007D1EE8"/>
    <w:rsid w:val="007D57DF"/>
    <w:rsid w:val="007D6B4C"/>
    <w:rsid w:val="007D728E"/>
    <w:rsid w:val="007E6790"/>
    <w:rsid w:val="007E6BF8"/>
    <w:rsid w:val="007E7091"/>
    <w:rsid w:val="007F6CDE"/>
    <w:rsid w:val="007F7711"/>
    <w:rsid w:val="00800F4D"/>
    <w:rsid w:val="00801DE1"/>
    <w:rsid w:val="0080380F"/>
    <w:rsid w:val="00803BF5"/>
    <w:rsid w:val="00810525"/>
    <w:rsid w:val="00810C94"/>
    <w:rsid w:val="008142C2"/>
    <w:rsid w:val="008142C8"/>
    <w:rsid w:val="008149C9"/>
    <w:rsid w:val="00816490"/>
    <w:rsid w:val="008165F7"/>
    <w:rsid w:val="0082023A"/>
    <w:rsid w:val="00822946"/>
    <w:rsid w:val="00823883"/>
    <w:rsid w:val="00826089"/>
    <w:rsid w:val="008324CB"/>
    <w:rsid w:val="00832851"/>
    <w:rsid w:val="00832B7E"/>
    <w:rsid w:val="00840244"/>
    <w:rsid w:val="0084467B"/>
    <w:rsid w:val="00844C20"/>
    <w:rsid w:val="00845336"/>
    <w:rsid w:val="008465A6"/>
    <w:rsid w:val="00850B1A"/>
    <w:rsid w:val="00852DBB"/>
    <w:rsid w:val="008553DE"/>
    <w:rsid w:val="008569A0"/>
    <w:rsid w:val="008570F1"/>
    <w:rsid w:val="00860F6D"/>
    <w:rsid w:val="00863756"/>
    <w:rsid w:val="0086394D"/>
    <w:rsid w:val="00870C78"/>
    <w:rsid w:val="00876CAB"/>
    <w:rsid w:val="0087740B"/>
    <w:rsid w:val="008825EF"/>
    <w:rsid w:val="0089031F"/>
    <w:rsid w:val="008903AE"/>
    <w:rsid w:val="00893DAC"/>
    <w:rsid w:val="00895EB3"/>
    <w:rsid w:val="0089781B"/>
    <w:rsid w:val="008A0EFB"/>
    <w:rsid w:val="008A1A21"/>
    <w:rsid w:val="008A46D0"/>
    <w:rsid w:val="008B0A69"/>
    <w:rsid w:val="008B0F92"/>
    <w:rsid w:val="008B149A"/>
    <w:rsid w:val="008B2E9C"/>
    <w:rsid w:val="008B38DE"/>
    <w:rsid w:val="008B60BA"/>
    <w:rsid w:val="008C04F1"/>
    <w:rsid w:val="008C0B3E"/>
    <w:rsid w:val="008C16E3"/>
    <w:rsid w:val="008C3F59"/>
    <w:rsid w:val="008C5625"/>
    <w:rsid w:val="008C74B8"/>
    <w:rsid w:val="008D17D3"/>
    <w:rsid w:val="008E12F3"/>
    <w:rsid w:val="008E15AE"/>
    <w:rsid w:val="008E381C"/>
    <w:rsid w:val="008E44F5"/>
    <w:rsid w:val="008E5C18"/>
    <w:rsid w:val="008E7A7E"/>
    <w:rsid w:val="008F2EE9"/>
    <w:rsid w:val="008F429F"/>
    <w:rsid w:val="008F67C8"/>
    <w:rsid w:val="008F7AB5"/>
    <w:rsid w:val="00900A95"/>
    <w:rsid w:val="00902FA1"/>
    <w:rsid w:val="00904BB2"/>
    <w:rsid w:val="00907875"/>
    <w:rsid w:val="0091241E"/>
    <w:rsid w:val="00915610"/>
    <w:rsid w:val="00915A26"/>
    <w:rsid w:val="00915A63"/>
    <w:rsid w:val="00921001"/>
    <w:rsid w:val="00922963"/>
    <w:rsid w:val="00922DD9"/>
    <w:rsid w:val="00924823"/>
    <w:rsid w:val="009252A5"/>
    <w:rsid w:val="00926145"/>
    <w:rsid w:val="00931B7F"/>
    <w:rsid w:val="00934580"/>
    <w:rsid w:val="00937A7C"/>
    <w:rsid w:val="00940393"/>
    <w:rsid w:val="0094546C"/>
    <w:rsid w:val="00950B0E"/>
    <w:rsid w:val="00953BCC"/>
    <w:rsid w:val="00967C28"/>
    <w:rsid w:val="00967E8F"/>
    <w:rsid w:val="009705B8"/>
    <w:rsid w:val="00973694"/>
    <w:rsid w:val="00974285"/>
    <w:rsid w:val="009759AD"/>
    <w:rsid w:val="009767EC"/>
    <w:rsid w:val="00976FF6"/>
    <w:rsid w:val="00985C51"/>
    <w:rsid w:val="00986BBC"/>
    <w:rsid w:val="009909C3"/>
    <w:rsid w:val="00992C13"/>
    <w:rsid w:val="00994F2D"/>
    <w:rsid w:val="009A5D35"/>
    <w:rsid w:val="009A70C8"/>
    <w:rsid w:val="009B2B30"/>
    <w:rsid w:val="009B39D6"/>
    <w:rsid w:val="009B3A7A"/>
    <w:rsid w:val="009B45A8"/>
    <w:rsid w:val="009C0AC7"/>
    <w:rsid w:val="009C3157"/>
    <w:rsid w:val="009C4C52"/>
    <w:rsid w:val="009C72EE"/>
    <w:rsid w:val="009D1640"/>
    <w:rsid w:val="009D2103"/>
    <w:rsid w:val="009D292B"/>
    <w:rsid w:val="009D5184"/>
    <w:rsid w:val="009D6984"/>
    <w:rsid w:val="009E008D"/>
    <w:rsid w:val="009E44F8"/>
    <w:rsid w:val="009F008F"/>
    <w:rsid w:val="009F2F4F"/>
    <w:rsid w:val="009F5912"/>
    <w:rsid w:val="009F5E1A"/>
    <w:rsid w:val="009F6F67"/>
    <w:rsid w:val="00A0164B"/>
    <w:rsid w:val="00A05F3C"/>
    <w:rsid w:val="00A07F71"/>
    <w:rsid w:val="00A12F56"/>
    <w:rsid w:val="00A1337B"/>
    <w:rsid w:val="00A17711"/>
    <w:rsid w:val="00A2078F"/>
    <w:rsid w:val="00A210A8"/>
    <w:rsid w:val="00A22617"/>
    <w:rsid w:val="00A231F2"/>
    <w:rsid w:val="00A24B01"/>
    <w:rsid w:val="00A27B20"/>
    <w:rsid w:val="00A367E2"/>
    <w:rsid w:val="00A37E2D"/>
    <w:rsid w:val="00A4000B"/>
    <w:rsid w:val="00A42504"/>
    <w:rsid w:val="00A46D63"/>
    <w:rsid w:val="00A47CE3"/>
    <w:rsid w:val="00A5066E"/>
    <w:rsid w:val="00A51EC4"/>
    <w:rsid w:val="00A62E54"/>
    <w:rsid w:val="00A64820"/>
    <w:rsid w:val="00A6578D"/>
    <w:rsid w:val="00A66822"/>
    <w:rsid w:val="00A70079"/>
    <w:rsid w:val="00A80442"/>
    <w:rsid w:val="00A86C7E"/>
    <w:rsid w:val="00A91791"/>
    <w:rsid w:val="00A92CB1"/>
    <w:rsid w:val="00A93C46"/>
    <w:rsid w:val="00A95AF5"/>
    <w:rsid w:val="00A96E2B"/>
    <w:rsid w:val="00AA2A59"/>
    <w:rsid w:val="00AA54B4"/>
    <w:rsid w:val="00AA65B1"/>
    <w:rsid w:val="00AB28F3"/>
    <w:rsid w:val="00AC1732"/>
    <w:rsid w:val="00AC1E9C"/>
    <w:rsid w:val="00AC3A69"/>
    <w:rsid w:val="00AD40B2"/>
    <w:rsid w:val="00AE1225"/>
    <w:rsid w:val="00AE2C56"/>
    <w:rsid w:val="00AE7D8D"/>
    <w:rsid w:val="00AF4036"/>
    <w:rsid w:val="00AF4BDE"/>
    <w:rsid w:val="00AF6BB0"/>
    <w:rsid w:val="00AF73A5"/>
    <w:rsid w:val="00B00199"/>
    <w:rsid w:val="00B0262F"/>
    <w:rsid w:val="00B0398C"/>
    <w:rsid w:val="00B04067"/>
    <w:rsid w:val="00B07108"/>
    <w:rsid w:val="00B10844"/>
    <w:rsid w:val="00B10B33"/>
    <w:rsid w:val="00B110E0"/>
    <w:rsid w:val="00B149CD"/>
    <w:rsid w:val="00B176A3"/>
    <w:rsid w:val="00B2080E"/>
    <w:rsid w:val="00B22E0D"/>
    <w:rsid w:val="00B254EC"/>
    <w:rsid w:val="00B300BA"/>
    <w:rsid w:val="00B34335"/>
    <w:rsid w:val="00B350EE"/>
    <w:rsid w:val="00B3777E"/>
    <w:rsid w:val="00B37E71"/>
    <w:rsid w:val="00B429CC"/>
    <w:rsid w:val="00B43531"/>
    <w:rsid w:val="00B44A1C"/>
    <w:rsid w:val="00B455AE"/>
    <w:rsid w:val="00B45C5E"/>
    <w:rsid w:val="00B47788"/>
    <w:rsid w:val="00B519D9"/>
    <w:rsid w:val="00B535F0"/>
    <w:rsid w:val="00B538A9"/>
    <w:rsid w:val="00B570FD"/>
    <w:rsid w:val="00B603A8"/>
    <w:rsid w:val="00B61B6A"/>
    <w:rsid w:val="00B61E4D"/>
    <w:rsid w:val="00B6415B"/>
    <w:rsid w:val="00B72108"/>
    <w:rsid w:val="00B732C6"/>
    <w:rsid w:val="00B77A28"/>
    <w:rsid w:val="00B8297C"/>
    <w:rsid w:val="00B84230"/>
    <w:rsid w:val="00B87F87"/>
    <w:rsid w:val="00B90694"/>
    <w:rsid w:val="00B9507E"/>
    <w:rsid w:val="00B95507"/>
    <w:rsid w:val="00B9559B"/>
    <w:rsid w:val="00B97506"/>
    <w:rsid w:val="00BA6222"/>
    <w:rsid w:val="00BB01E3"/>
    <w:rsid w:val="00BB13C3"/>
    <w:rsid w:val="00BB13FB"/>
    <w:rsid w:val="00BC1149"/>
    <w:rsid w:val="00BC6541"/>
    <w:rsid w:val="00BC6D5A"/>
    <w:rsid w:val="00BD4A5C"/>
    <w:rsid w:val="00BD5AB9"/>
    <w:rsid w:val="00BE0CDD"/>
    <w:rsid w:val="00BE156E"/>
    <w:rsid w:val="00BE181A"/>
    <w:rsid w:val="00BE204E"/>
    <w:rsid w:val="00BE6963"/>
    <w:rsid w:val="00BE6B59"/>
    <w:rsid w:val="00BF14A3"/>
    <w:rsid w:val="00BF4F67"/>
    <w:rsid w:val="00BF60D2"/>
    <w:rsid w:val="00C0001A"/>
    <w:rsid w:val="00C011EB"/>
    <w:rsid w:val="00C065FE"/>
    <w:rsid w:val="00C075AC"/>
    <w:rsid w:val="00C1007E"/>
    <w:rsid w:val="00C1174C"/>
    <w:rsid w:val="00C1287B"/>
    <w:rsid w:val="00C205CE"/>
    <w:rsid w:val="00C224B1"/>
    <w:rsid w:val="00C23052"/>
    <w:rsid w:val="00C232D3"/>
    <w:rsid w:val="00C24072"/>
    <w:rsid w:val="00C24533"/>
    <w:rsid w:val="00C31185"/>
    <w:rsid w:val="00C31DF4"/>
    <w:rsid w:val="00C3632A"/>
    <w:rsid w:val="00C417CD"/>
    <w:rsid w:val="00C432E7"/>
    <w:rsid w:val="00C448F0"/>
    <w:rsid w:val="00C44944"/>
    <w:rsid w:val="00C50A02"/>
    <w:rsid w:val="00C52CBC"/>
    <w:rsid w:val="00C5470A"/>
    <w:rsid w:val="00C57E89"/>
    <w:rsid w:val="00C62583"/>
    <w:rsid w:val="00C655D6"/>
    <w:rsid w:val="00C72846"/>
    <w:rsid w:val="00C739A8"/>
    <w:rsid w:val="00C75B56"/>
    <w:rsid w:val="00C8586E"/>
    <w:rsid w:val="00C86123"/>
    <w:rsid w:val="00C9304F"/>
    <w:rsid w:val="00CA7115"/>
    <w:rsid w:val="00CB2D2F"/>
    <w:rsid w:val="00CB4DB0"/>
    <w:rsid w:val="00CB5E85"/>
    <w:rsid w:val="00CB71D1"/>
    <w:rsid w:val="00CC2F11"/>
    <w:rsid w:val="00CC2F68"/>
    <w:rsid w:val="00CC6FBC"/>
    <w:rsid w:val="00CD1A66"/>
    <w:rsid w:val="00CD2AC8"/>
    <w:rsid w:val="00CD4A93"/>
    <w:rsid w:val="00CE026F"/>
    <w:rsid w:val="00CE412C"/>
    <w:rsid w:val="00CE6722"/>
    <w:rsid w:val="00CF3984"/>
    <w:rsid w:val="00CF5F85"/>
    <w:rsid w:val="00CF6282"/>
    <w:rsid w:val="00CF6FDF"/>
    <w:rsid w:val="00D05447"/>
    <w:rsid w:val="00D058B2"/>
    <w:rsid w:val="00D05D12"/>
    <w:rsid w:val="00D06F52"/>
    <w:rsid w:val="00D07F72"/>
    <w:rsid w:val="00D10182"/>
    <w:rsid w:val="00D10737"/>
    <w:rsid w:val="00D13C96"/>
    <w:rsid w:val="00D166B5"/>
    <w:rsid w:val="00D16C50"/>
    <w:rsid w:val="00D172F9"/>
    <w:rsid w:val="00D22DEF"/>
    <w:rsid w:val="00D2382B"/>
    <w:rsid w:val="00D324D4"/>
    <w:rsid w:val="00D35D73"/>
    <w:rsid w:val="00D414E3"/>
    <w:rsid w:val="00D47BC4"/>
    <w:rsid w:val="00D621C7"/>
    <w:rsid w:val="00D629D5"/>
    <w:rsid w:val="00D667BF"/>
    <w:rsid w:val="00D673ED"/>
    <w:rsid w:val="00D71743"/>
    <w:rsid w:val="00D73101"/>
    <w:rsid w:val="00D8087C"/>
    <w:rsid w:val="00D827B0"/>
    <w:rsid w:val="00D8415F"/>
    <w:rsid w:val="00D84F75"/>
    <w:rsid w:val="00D868D9"/>
    <w:rsid w:val="00D91526"/>
    <w:rsid w:val="00D93786"/>
    <w:rsid w:val="00D9421B"/>
    <w:rsid w:val="00D94AAB"/>
    <w:rsid w:val="00D96349"/>
    <w:rsid w:val="00DA1E24"/>
    <w:rsid w:val="00DA337A"/>
    <w:rsid w:val="00DA691B"/>
    <w:rsid w:val="00DB591B"/>
    <w:rsid w:val="00DB7F5D"/>
    <w:rsid w:val="00DC0618"/>
    <w:rsid w:val="00DC53D8"/>
    <w:rsid w:val="00DD2A73"/>
    <w:rsid w:val="00DD31C7"/>
    <w:rsid w:val="00DD723C"/>
    <w:rsid w:val="00DE13BE"/>
    <w:rsid w:val="00DE1AE4"/>
    <w:rsid w:val="00DF0A9C"/>
    <w:rsid w:val="00DF2A62"/>
    <w:rsid w:val="00DF53C7"/>
    <w:rsid w:val="00DF5D19"/>
    <w:rsid w:val="00E033EA"/>
    <w:rsid w:val="00E03BC8"/>
    <w:rsid w:val="00E06C0B"/>
    <w:rsid w:val="00E1104D"/>
    <w:rsid w:val="00E129AB"/>
    <w:rsid w:val="00E261F2"/>
    <w:rsid w:val="00E265D5"/>
    <w:rsid w:val="00E26B61"/>
    <w:rsid w:val="00E36869"/>
    <w:rsid w:val="00E36E71"/>
    <w:rsid w:val="00E40964"/>
    <w:rsid w:val="00E426DE"/>
    <w:rsid w:val="00E448D6"/>
    <w:rsid w:val="00E54C87"/>
    <w:rsid w:val="00E56717"/>
    <w:rsid w:val="00E616C9"/>
    <w:rsid w:val="00E62E7A"/>
    <w:rsid w:val="00E678C4"/>
    <w:rsid w:val="00E67929"/>
    <w:rsid w:val="00E730F2"/>
    <w:rsid w:val="00E75EBF"/>
    <w:rsid w:val="00E773DB"/>
    <w:rsid w:val="00E8387D"/>
    <w:rsid w:val="00E84D2E"/>
    <w:rsid w:val="00E87651"/>
    <w:rsid w:val="00E900E6"/>
    <w:rsid w:val="00E90E02"/>
    <w:rsid w:val="00E927D2"/>
    <w:rsid w:val="00E92A94"/>
    <w:rsid w:val="00E92CD4"/>
    <w:rsid w:val="00E94B98"/>
    <w:rsid w:val="00E974DF"/>
    <w:rsid w:val="00EA448E"/>
    <w:rsid w:val="00EA573E"/>
    <w:rsid w:val="00EB3523"/>
    <w:rsid w:val="00EB4034"/>
    <w:rsid w:val="00EB6F71"/>
    <w:rsid w:val="00EC252A"/>
    <w:rsid w:val="00EC7739"/>
    <w:rsid w:val="00ED2121"/>
    <w:rsid w:val="00ED3921"/>
    <w:rsid w:val="00EE0277"/>
    <w:rsid w:val="00EE488D"/>
    <w:rsid w:val="00EE5273"/>
    <w:rsid w:val="00EE6827"/>
    <w:rsid w:val="00EF1C91"/>
    <w:rsid w:val="00EF3DEB"/>
    <w:rsid w:val="00EF64E0"/>
    <w:rsid w:val="00EF6C0E"/>
    <w:rsid w:val="00F009D0"/>
    <w:rsid w:val="00F0537C"/>
    <w:rsid w:val="00F05D29"/>
    <w:rsid w:val="00F07E6B"/>
    <w:rsid w:val="00F109C4"/>
    <w:rsid w:val="00F12B22"/>
    <w:rsid w:val="00F20678"/>
    <w:rsid w:val="00F214A1"/>
    <w:rsid w:val="00F35E7B"/>
    <w:rsid w:val="00F425F0"/>
    <w:rsid w:val="00F4276D"/>
    <w:rsid w:val="00F42A98"/>
    <w:rsid w:val="00F444CC"/>
    <w:rsid w:val="00F477F1"/>
    <w:rsid w:val="00F505BB"/>
    <w:rsid w:val="00F544BC"/>
    <w:rsid w:val="00F5540E"/>
    <w:rsid w:val="00F569C0"/>
    <w:rsid w:val="00F61BDD"/>
    <w:rsid w:val="00F62085"/>
    <w:rsid w:val="00F65FCF"/>
    <w:rsid w:val="00F67DB7"/>
    <w:rsid w:val="00F75B9D"/>
    <w:rsid w:val="00F75C24"/>
    <w:rsid w:val="00F7769A"/>
    <w:rsid w:val="00F82CA6"/>
    <w:rsid w:val="00F84152"/>
    <w:rsid w:val="00F8672E"/>
    <w:rsid w:val="00F92DC2"/>
    <w:rsid w:val="00F966F0"/>
    <w:rsid w:val="00FA4BC7"/>
    <w:rsid w:val="00FA72C0"/>
    <w:rsid w:val="00FA765B"/>
    <w:rsid w:val="00FB3CAD"/>
    <w:rsid w:val="00FB55E7"/>
    <w:rsid w:val="00FB6CBB"/>
    <w:rsid w:val="00FB7741"/>
    <w:rsid w:val="00FC2081"/>
    <w:rsid w:val="00FD05E8"/>
    <w:rsid w:val="00FD0B55"/>
    <w:rsid w:val="00FD0EAE"/>
    <w:rsid w:val="00FD5CE8"/>
    <w:rsid w:val="00FE009C"/>
    <w:rsid w:val="00FE190D"/>
    <w:rsid w:val="00FF0322"/>
    <w:rsid w:val="00FF070B"/>
    <w:rsid w:val="00FF2D5B"/>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annotation text" w:semiHidden="0" w:uiPriority="0" w:unhideWhenUsed="0"/>
    <w:lsdException w:name="caption" w:uiPriority="0" w:qFormat="1"/>
    <w:lsdException w:name="annotation reference" w:semiHidden="0" w:uiPriority="0" w:unhideWhenUsed="0"/>
    <w:lsdException w:name="page number" w:semiHidden="0" w:uiPriority="0" w:unhideWhenUsed="0"/>
    <w:lsdException w:name="Title" w:semiHidden="0" w:uiPriority="0" w:unhideWhenUsed="0" w:qFormat="1"/>
    <w:lsdException w:name="Default Paragraph Font" w:semiHidden="0" w:uiPriority="0" w:unhideWhenUsed="0"/>
    <w:lsdException w:name="Body Text" w:semiHidden="0" w:uiPriority="0" w:unhideWhenUsed="0"/>
    <w:lsdException w:name="Subtitle" w:semiHidden="0" w:uiPriority="0" w:unhideWhenUsed="0" w:qFormat="1"/>
    <w:lsdException w:name="Body Text 2" w:semiHidden="0" w:uiPriority="0" w:unhideWhenUsed="0"/>
    <w:lsdException w:name="Strong" w:semiHidden="0" w:uiPriority="0" w:unhideWhenUsed="0" w:qFormat="1"/>
    <w:lsdException w:name="Emphasis" w:semiHidden="0" w:uiPriority="0" w:unhideWhenUsed="0" w:qFormat="1"/>
    <w:lsdException w:name="annotation subject" w:semiHidden="0" w:uiPriority="0" w:unhideWhenUsed="0"/>
    <w:lsdException w:name="Balloon Text" w:semiHidden="0"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A6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5">
    <w:name w:val="heading 5"/>
    <w:basedOn w:val="Normal"/>
    <w:link w:val="Nadpis5Char"/>
    <w:uiPriority w:val="9"/>
    <w:qFormat/>
    <w:locked/>
    <w:rsid w:val="009F008F"/>
    <w:pPr>
      <w:spacing w:before="100" w:beforeAutospacing="1" w:after="100" w:afterAutospacing="1"/>
      <w:jc w:val="center"/>
      <w:outlineLvl w:val="4"/>
    </w:pPr>
    <w:rPr>
      <w:rFonts w:ascii="Arial" w:hAnsi="Arial"/>
      <w:b/>
      <w:bCs/>
      <w:color w:val="30303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5Char">
    <w:name w:val="Nadpis 5 Char"/>
    <w:basedOn w:val="DefaultParagraphFont"/>
    <w:link w:val="Heading5"/>
    <w:uiPriority w:val="9"/>
    <w:locked/>
    <w:rsid w:val="009F008F"/>
    <w:rPr>
      <w:rFonts w:ascii="Arial" w:hAnsi="Arial" w:cs="Times New Roman"/>
      <w:b/>
      <w:color w:val="303030"/>
      <w:rtl w:val="0"/>
      <w:cs w:val="0"/>
    </w:rPr>
  </w:style>
  <w:style w:type="paragraph" w:styleId="BodyText">
    <w:name w:val="Body Text"/>
    <w:basedOn w:val="Normal"/>
    <w:link w:val="ZkladntextChar"/>
    <w:uiPriority w:val="99"/>
    <w:rsid w:val="008B0A69"/>
    <w:pPr>
      <w:jc w:val="left"/>
    </w:pPr>
    <w:rPr>
      <w:b/>
      <w:sz w:val="20"/>
      <w:szCs w:val="20"/>
    </w:rPr>
  </w:style>
  <w:style w:type="character" w:customStyle="1" w:styleId="ZkladntextChar">
    <w:name w:val="Základný text Char"/>
    <w:basedOn w:val="DefaultParagraphFont"/>
    <w:link w:val="BodyText"/>
    <w:uiPriority w:val="99"/>
    <w:locked/>
    <w:rsid w:val="008B0A69"/>
    <w:rPr>
      <w:rFonts w:ascii="Times New Roman" w:hAnsi="Times New Roman" w:cs="Times New Roman"/>
      <w:b/>
      <w:sz w:val="20"/>
      <w:rtl w:val="0"/>
      <w:cs w:val="0"/>
      <w:lang w:val="x-none" w:eastAsia="sk-SK"/>
    </w:rPr>
  </w:style>
  <w:style w:type="paragraph" w:styleId="BodyText2">
    <w:name w:val="Body Text 2"/>
    <w:basedOn w:val="Normal"/>
    <w:link w:val="Zkladntext2Char"/>
    <w:uiPriority w:val="99"/>
    <w:rsid w:val="008B0A69"/>
    <w:pPr>
      <w:jc w:val="left"/>
    </w:pPr>
    <w:rPr>
      <w:sz w:val="20"/>
      <w:szCs w:val="20"/>
    </w:rPr>
  </w:style>
  <w:style w:type="character" w:customStyle="1" w:styleId="Zkladntext2Char">
    <w:name w:val="Základný text 2 Char"/>
    <w:basedOn w:val="DefaultParagraphFont"/>
    <w:link w:val="BodyText2"/>
    <w:uiPriority w:val="99"/>
    <w:locked/>
    <w:rsid w:val="008B0A69"/>
    <w:rPr>
      <w:rFonts w:ascii="Times New Roman" w:hAnsi="Times New Roman" w:cs="Times New Roman"/>
      <w:sz w:val="20"/>
      <w:rtl w:val="0"/>
      <w:cs w:val="0"/>
      <w:lang w:val="x-none" w:eastAsia="sk-SK"/>
    </w:rPr>
  </w:style>
  <w:style w:type="paragraph" w:styleId="Header">
    <w:name w:val="header"/>
    <w:basedOn w:val="Normal"/>
    <w:link w:val="HlavikaChar"/>
    <w:uiPriority w:val="99"/>
    <w:rsid w:val="008B0A69"/>
    <w:pPr>
      <w:tabs>
        <w:tab w:val="center" w:pos="4536"/>
        <w:tab w:val="right" w:pos="9072"/>
      </w:tabs>
      <w:jc w:val="left"/>
    </w:pPr>
    <w:rPr>
      <w:szCs w:val="20"/>
    </w:rPr>
  </w:style>
  <w:style w:type="character" w:customStyle="1" w:styleId="HlavikaChar">
    <w:name w:val="Hlavička Char"/>
    <w:basedOn w:val="DefaultParagraphFont"/>
    <w:link w:val="Header"/>
    <w:uiPriority w:val="99"/>
    <w:locked/>
    <w:rsid w:val="008B0A69"/>
    <w:rPr>
      <w:rFonts w:ascii="Times New Roman" w:hAnsi="Times New Roman" w:cs="Times New Roman"/>
      <w:sz w:val="24"/>
      <w:rtl w:val="0"/>
      <w:cs w:val="0"/>
      <w:lang w:val="x-none" w:eastAsia="sk-SK"/>
    </w:rPr>
  </w:style>
  <w:style w:type="paragraph" w:customStyle="1" w:styleId="Odsekzoznamu1">
    <w:name w:val="Odsek zoznamu1"/>
    <w:basedOn w:val="Normal"/>
    <w:uiPriority w:val="99"/>
    <w:rsid w:val="008B0A69"/>
    <w:pPr>
      <w:spacing w:after="200" w:line="276" w:lineRule="auto"/>
      <w:ind w:left="720"/>
      <w:contextualSpacing/>
      <w:jc w:val="left"/>
    </w:pPr>
    <w:rPr>
      <w:rFonts w:ascii="Calibri" w:hAnsi="Calibri"/>
      <w:sz w:val="22"/>
      <w:szCs w:val="22"/>
      <w:lang w:eastAsia="en-US"/>
    </w:rPr>
  </w:style>
  <w:style w:type="paragraph" w:styleId="NormalWeb">
    <w:name w:val="Normal (Web)"/>
    <w:aliases w:val="webb"/>
    <w:basedOn w:val="Normal"/>
    <w:uiPriority w:val="99"/>
    <w:rsid w:val="008B0A69"/>
    <w:pPr>
      <w:spacing w:before="100" w:beforeAutospacing="1" w:after="100" w:afterAutospacing="1"/>
      <w:jc w:val="left"/>
    </w:pPr>
  </w:style>
  <w:style w:type="paragraph" w:styleId="ListParagraph">
    <w:name w:val="List Paragraph"/>
    <w:basedOn w:val="Normal"/>
    <w:uiPriority w:val="99"/>
    <w:qFormat/>
    <w:rsid w:val="008B0A69"/>
    <w:pPr>
      <w:ind w:left="708"/>
      <w:jc w:val="left"/>
    </w:pPr>
  </w:style>
  <w:style w:type="paragraph" w:styleId="BalloonText">
    <w:name w:val="Balloon Text"/>
    <w:basedOn w:val="Normal"/>
    <w:link w:val="TextbublinyChar"/>
    <w:uiPriority w:val="99"/>
    <w:rsid w:val="008B0A69"/>
    <w:pPr>
      <w:jc w:val="left"/>
    </w:pPr>
    <w:rPr>
      <w:rFonts w:ascii="Tahoma" w:hAnsi="Tahoma"/>
      <w:sz w:val="16"/>
      <w:szCs w:val="20"/>
    </w:rPr>
  </w:style>
  <w:style w:type="character" w:customStyle="1" w:styleId="TextbublinyChar">
    <w:name w:val="Text bubliny Char"/>
    <w:basedOn w:val="DefaultParagraphFont"/>
    <w:link w:val="BalloonText"/>
    <w:uiPriority w:val="99"/>
    <w:locked/>
    <w:rsid w:val="008B0A69"/>
    <w:rPr>
      <w:rFonts w:ascii="Tahoma" w:hAnsi="Tahoma" w:cs="Times New Roman"/>
      <w:sz w:val="16"/>
      <w:rtl w:val="0"/>
      <w:cs w:val="0"/>
      <w:lang w:val="x-none" w:eastAsia="sk-SK"/>
    </w:rPr>
  </w:style>
  <w:style w:type="character" w:styleId="CommentReference">
    <w:name w:val="annotation reference"/>
    <w:basedOn w:val="DefaultParagraphFont"/>
    <w:uiPriority w:val="99"/>
    <w:rsid w:val="008B0A69"/>
    <w:rPr>
      <w:rFonts w:cs="Times New Roman"/>
      <w:sz w:val="16"/>
      <w:rtl w:val="0"/>
      <w:cs w:val="0"/>
    </w:rPr>
  </w:style>
  <w:style w:type="paragraph" w:styleId="CommentText">
    <w:name w:val="annotation text"/>
    <w:basedOn w:val="Normal"/>
    <w:link w:val="TextkomentraChar"/>
    <w:uiPriority w:val="99"/>
    <w:rsid w:val="008B0A69"/>
    <w:pPr>
      <w:jc w:val="left"/>
    </w:pPr>
    <w:rPr>
      <w:sz w:val="20"/>
      <w:szCs w:val="20"/>
    </w:rPr>
  </w:style>
  <w:style w:type="character" w:customStyle="1" w:styleId="TextkomentraChar">
    <w:name w:val="Text komentára Char"/>
    <w:basedOn w:val="DefaultParagraphFont"/>
    <w:link w:val="CommentText"/>
    <w:uiPriority w:val="99"/>
    <w:locked/>
    <w:rsid w:val="008B0A69"/>
    <w:rPr>
      <w:rFonts w:ascii="Times New Roman" w:hAnsi="Times New Roman" w:cs="Times New Roman"/>
      <w:sz w:val="20"/>
      <w:rtl w:val="0"/>
      <w:cs w:val="0"/>
      <w:lang w:val="x-none" w:eastAsia="sk-SK"/>
    </w:rPr>
  </w:style>
  <w:style w:type="paragraph" w:styleId="CommentSubject">
    <w:name w:val="annotation subject"/>
    <w:basedOn w:val="CommentText"/>
    <w:next w:val="CommentText"/>
    <w:link w:val="PredmetkomentraChar"/>
    <w:uiPriority w:val="99"/>
    <w:rsid w:val="008B0A69"/>
    <w:pPr>
      <w:jc w:val="left"/>
    </w:pPr>
    <w:rPr>
      <w:b/>
    </w:rPr>
  </w:style>
  <w:style w:type="character" w:customStyle="1" w:styleId="PredmetkomentraChar">
    <w:name w:val="Predmet komentára Char"/>
    <w:basedOn w:val="TextkomentraChar"/>
    <w:link w:val="CommentSubject"/>
    <w:uiPriority w:val="99"/>
    <w:locked/>
    <w:rsid w:val="008B0A69"/>
    <w:rPr>
      <w:b/>
    </w:rPr>
  </w:style>
  <w:style w:type="paragraph" w:styleId="FootnoteText">
    <w:name w:val="footnote text"/>
    <w:basedOn w:val="Normal"/>
    <w:link w:val="TextpoznmkypodiarouChar"/>
    <w:uiPriority w:val="99"/>
    <w:rsid w:val="008B0A69"/>
    <w:pPr>
      <w:jc w:val="left"/>
    </w:pPr>
    <w:rPr>
      <w:sz w:val="20"/>
      <w:szCs w:val="20"/>
    </w:rPr>
  </w:style>
  <w:style w:type="character" w:customStyle="1" w:styleId="TextpoznmkypodiarouChar">
    <w:name w:val="Text poznámky pod čiarou Char"/>
    <w:basedOn w:val="DefaultParagraphFont"/>
    <w:link w:val="FootnoteText"/>
    <w:uiPriority w:val="99"/>
    <w:locked/>
    <w:rsid w:val="008B0A69"/>
    <w:rPr>
      <w:rFonts w:ascii="Times New Roman" w:hAnsi="Times New Roman" w:cs="Times New Roman"/>
      <w:sz w:val="20"/>
      <w:rtl w:val="0"/>
      <w:cs w:val="0"/>
      <w:lang w:val="x-none" w:eastAsia="sk-SK"/>
    </w:rPr>
  </w:style>
  <w:style w:type="character" w:styleId="FootnoteReference">
    <w:name w:val="footnote reference"/>
    <w:basedOn w:val="DefaultParagraphFont"/>
    <w:uiPriority w:val="99"/>
    <w:rsid w:val="008B0A69"/>
    <w:rPr>
      <w:rFonts w:cs="Times New Roman"/>
      <w:vertAlign w:val="superscript"/>
      <w:rtl w:val="0"/>
      <w:cs w:val="0"/>
    </w:rPr>
  </w:style>
  <w:style w:type="paragraph" w:styleId="Footer">
    <w:name w:val="footer"/>
    <w:basedOn w:val="Normal"/>
    <w:link w:val="PtaChar"/>
    <w:uiPriority w:val="99"/>
    <w:rsid w:val="008B0A69"/>
    <w:pPr>
      <w:tabs>
        <w:tab w:val="center" w:pos="4536"/>
        <w:tab w:val="right" w:pos="9072"/>
      </w:tabs>
      <w:jc w:val="left"/>
    </w:pPr>
    <w:rPr>
      <w:szCs w:val="20"/>
    </w:rPr>
  </w:style>
  <w:style w:type="character" w:customStyle="1" w:styleId="PtaChar">
    <w:name w:val="Päta Char"/>
    <w:basedOn w:val="DefaultParagraphFont"/>
    <w:link w:val="Footer"/>
    <w:uiPriority w:val="99"/>
    <w:locked/>
    <w:rsid w:val="008B0A69"/>
    <w:rPr>
      <w:rFonts w:ascii="Times New Roman" w:hAnsi="Times New Roman" w:cs="Times New Roman"/>
      <w:sz w:val="24"/>
      <w:rtl w:val="0"/>
      <w:cs w:val="0"/>
      <w:lang w:val="x-none" w:eastAsia="sk-SK"/>
    </w:rPr>
  </w:style>
  <w:style w:type="character" w:styleId="PageNumber">
    <w:name w:val="page number"/>
    <w:basedOn w:val="DefaultParagraphFont"/>
    <w:uiPriority w:val="99"/>
    <w:rsid w:val="008B0A69"/>
    <w:rPr>
      <w:rFonts w:cs="Times New Roman"/>
      <w:rtl w:val="0"/>
      <w:cs w:val="0"/>
    </w:rPr>
  </w:style>
  <w:style w:type="paragraph" w:styleId="Title">
    <w:name w:val="Title"/>
    <w:basedOn w:val="Normal"/>
    <w:link w:val="NzovChar"/>
    <w:uiPriority w:val="99"/>
    <w:qFormat/>
    <w:rsid w:val="008B0A69"/>
    <w:pPr>
      <w:jc w:val="center"/>
    </w:pPr>
    <w:rPr>
      <w:sz w:val="20"/>
      <w:szCs w:val="20"/>
    </w:rPr>
  </w:style>
  <w:style w:type="character" w:customStyle="1" w:styleId="NzovChar">
    <w:name w:val="Názov Char"/>
    <w:basedOn w:val="DefaultParagraphFont"/>
    <w:link w:val="Title"/>
    <w:uiPriority w:val="99"/>
    <w:locked/>
    <w:rsid w:val="008B0A69"/>
    <w:rPr>
      <w:rFonts w:ascii="Times New Roman" w:hAnsi="Times New Roman" w:cs="Times New Roman"/>
      <w:sz w:val="20"/>
      <w:rtl w:val="0"/>
      <w:cs w:val="0"/>
      <w:lang w:val="x-none" w:eastAsia="sk-SK"/>
    </w:rPr>
  </w:style>
  <w:style w:type="character" w:customStyle="1" w:styleId="FootnoteCharacters">
    <w:name w:val="Footnote Characters"/>
    <w:uiPriority w:val="99"/>
    <w:rsid w:val="004C596D"/>
    <w:rPr>
      <w:vertAlign w:val="superscript"/>
    </w:rPr>
  </w:style>
  <w:style w:type="paragraph" w:styleId="Revision">
    <w:name w:val="Revision"/>
    <w:hidden/>
    <w:uiPriority w:val="99"/>
    <w:semiHidden/>
    <w:rsid w:val="002A037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xmsolistparagraph">
    <w:name w:val="x_msolistparagraph"/>
    <w:basedOn w:val="Normal"/>
    <w:uiPriority w:val="99"/>
    <w:rsid w:val="007D728E"/>
    <w:pPr>
      <w:spacing w:before="100" w:beforeAutospacing="1" w:after="100" w:afterAutospacing="1"/>
      <w:jc w:val="left"/>
    </w:pPr>
  </w:style>
  <w:style w:type="paragraph" w:customStyle="1" w:styleId="Odstavecseseznamem">
    <w:name w:val="Odstavec se seznamem"/>
    <w:basedOn w:val="Normal"/>
    <w:uiPriority w:val="99"/>
    <w:rsid w:val="00BB13FB"/>
    <w:pPr>
      <w:ind w:left="708"/>
      <w:jc w:val="left"/>
    </w:pPr>
  </w:style>
  <w:style w:type="paragraph" w:styleId="EndnoteText">
    <w:name w:val="endnote text"/>
    <w:basedOn w:val="Normal"/>
    <w:link w:val="TextvysvetlivkyChar"/>
    <w:uiPriority w:val="99"/>
    <w:semiHidden/>
    <w:rsid w:val="0050022D"/>
    <w:pPr>
      <w:jc w:val="left"/>
    </w:pPr>
    <w:rPr>
      <w:sz w:val="20"/>
      <w:szCs w:val="20"/>
    </w:rPr>
  </w:style>
  <w:style w:type="character" w:customStyle="1" w:styleId="TextvysvetlivkyChar">
    <w:name w:val="Text vysvetlivky Char"/>
    <w:basedOn w:val="DefaultParagraphFont"/>
    <w:link w:val="EndnoteText"/>
    <w:uiPriority w:val="99"/>
    <w:semiHidden/>
    <w:locked/>
    <w:rsid w:val="0050022D"/>
    <w:rPr>
      <w:rFonts w:ascii="Times New Roman" w:hAnsi="Times New Roman" w:cs="Times New Roman"/>
      <w:rtl w:val="0"/>
      <w:cs w:val="0"/>
      <w:lang w:val="x-none" w:eastAsia="sk-SK"/>
    </w:rPr>
  </w:style>
  <w:style w:type="paragraph" w:customStyle="1" w:styleId="Odsekzoznamu2">
    <w:name w:val="Odsek zoznamu2"/>
    <w:basedOn w:val="Normal"/>
    <w:rsid w:val="00924823"/>
    <w:pPr>
      <w:spacing w:after="200" w:line="276" w:lineRule="auto"/>
      <w:ind w:left="720"/>
      <w:jc w:val="left"/>
    </w:pPr>
    <w:rPr>
      <w:rFonts w:ascii="Arial Narrow" w:hAnsi="Arial Narrow"/>
      <w:sz w:val="22"/>
      <w:szCs w:val="22"/>
    </w:rPr>
  </w:style>
  <w:style w:type="character" w:styleId="EndnoteReference">
    <w:name w:val="endnote reference"/>
    <w:basedOn w:val="DefaultParagraphFont"/>
    <w:uiPriority w:val="99"/>
    <w:semiHidden/>
    <w:rsid w:val="0050022D"/>
    <w:rPr>
      <w:rFonts w:cs="Times New Roman"/>
      <w:vertAlign w:val="superscript"/>
      <w:rtl w:val="0"/>
      <w:cs w:val="0"/>
    </w:rPr>
  </w:style>
  <w:style w:type="paragraph" w:styleId="Caption">
    <w:name w:val="caption"/>
    <w:basedOn w:val="Normal"/>
    <w:next w:val="Normal"/>
    <w:uiPriority w:val="35"/>
    <w:unhideWhenUsed/>
    <w:qFormat/>
    <w:locked/>
    <w:rsid w:val="000F0946"/>
    <w:pPr>
      <w:jc w:val="left"/>
    </w:pPr>
    <w:rPr>
      <w:b/>
      <w:bCs/>
      <w:sz w:val="20"/>
      <w:szCs w:val="20"/>
    </w:rPr>
  </w:style>
  <w:style w:type="paragraph" w:customStyle="1" w:styleId="odsek">
    <w:name w:val="odsek"/>
    <w:basedOn w:val="Normal"/>
    <w:uiPriority w:val="99"/>
    <w:rsid w:val="00B429CC"/>
    <w:pPr>
      <w:numPr>
        <w:ilvl w:val="1"/>
        <w:numId w:val="42"/>
      </w:numPr>
      <w:spacing w:before="120" w:after="120"/>
      <w:ind w:left="284"/>
      <w:jc w:val="both"/>
    </w:pPr>
    <w:rPr>
      <w:caps/>
      <w:sz w:val="22"/>
      <w:szCs w:val="20"/>
    </w:rPr>
  </w:style>
  <w:style w:type="character" w:styleId="PlaceholderText">
    <w:name w:val="Placeholder Text"/>
    <w:basedOn w:val="DefaultParagraphFont"/>
    <w:uiPriority w:val="99"/>
    <w:semiHidden/>
    <w:rsid w:val="00A6578D"/>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4.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1.xml" /><Relationship Id="rId9" Type="http://schemas.openxmlformats.org/officeDocument/2006/relationships/footer" Target="foot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7AF8C-0CD1-4804-97F3-3C75496F1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60</Pages>
  <Words>19104</Words>
  <Characters>108898</Characters>
  <Application>Microsoft Office Word</Application>
  <DocSecurity>0</DocSecurity>
  <Lines>0</Lines>
  <Paragraphs>0</Paragraphs>
  <ScaleCrop>false</ScaleCrop>
  <Company>TOSHIBA</Company>
  <LinksUpToDate>false</LinksUpToDate>
  <CharactersWithSpaces>127747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Benkova Ingrid</dc:creator>
  <cp:lastModifiedBy>Benkova Ingrid</cp:lastModifiedBy>
  <cp:revision>5</cp:revision>
  <cp:lastPrinted>2011-08-19T08:36:00Z</cp:lastPrinted>
  <dcterms:created xsi:type="dcterms:W3CDTF">2011-08-19T19:25:00Z</dcterms:created>
  <dcterms:modified xsi:type="dcterms:W3CDTF">2011-08-19T19:29:00Z</dcterms:modified>
</cp:coreProperties>
</file>