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41B99" w:rsidP="00A41B99">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A41B99" w:rsidP="00A41B99">
      <w:pPr>
        <w:bidi w:val="0"/>
        <w:jc w:val="center"/>
        <w:rPr>
          <w:rFonts w:ascii="Times New Roman" w:hAnsi="Times New Roman"/>
          <w:b/>
          <w:bCs/>
          <w:color w:val="000000"/>
        </w:rPr>
      </w:pPr>
      <w:r>
        <w:rPr>
          <w:rFonts w:ascii="Times New Roman" w:hAnsi="Times New Roman"/>
          <w:b/>
          <w:bCs/>
          <w:color w:val="000000"/>
        </w:rPr>
        <w:t>vybraných vplyvov</w:t>
      </w:r>
    </w:p>
    <w:p w:rsidR="00A41B99" w:rsidP="00A41B99">
      <w:pPr>
        <w:bidi w:val="0"/>
        <w:rPr>
          <w:rFonts w:ascii="Times New Roman" w:hAnsi="Times New Roman"/>
          <w:color w:val="000000"/>
        </w:rPr>
      </w:pPr>
    </w:p>
    <w:p w:rsidR="00A41B99" w:rsidP="00A41B99">
      <w:pPr>
        <w:bidi w:val="0"/>
        <w:rPr>
          <w:rFonts w:ascii="Times New Roman" w:hAnsi="Times New Roman"/>
          <w:color w:val="000000"/>
        </w:rPr>
      </w:pPr>
    </w:p>
    <w:p w:rsidR="00A41B99" w:rsidP="007E2F72">
      <w:pPr>
        <w:bidi w:val="0"/>
        <w:ind w:left="567" w:hanging="567"/>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 xml:space="preserve">Návrh zákona o kontrole hraníc a pobyte cudzincov a o zmene </w:t>
      </w:r>
      <w:r w:rsidR="007E2F72">
        <w:rPr>
          <w:rFonts w:ascii="Times New Roman" w:hAnsi="Times New Roman"/>
          <w:color w:val="000000"/>
        </w:rPr>
        <w:t xml:space="preserve">                   </w:t>
      </w:r>
      <w:r>
        <w:rPr>
          <w:rFonts w:ascii="Times New Roman" w:hAnsi="Times New Roman"/>
          <w:color w:val="000000"/>
        </w:rPr>
        <w:t>a doplnení niektorých zákonov </w:t>
      </w:r>
    </w:p>
    <w:p w:rsidR="00A41B99" w:rsidP="00A41B99">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1.2.2011-3.2.2011  </w:t>
      </w:r>
    </w:p>
    <w:p w:rsidR="00A41B99" w:rsidP="00A41B99">
      <w:pPr>
        <w:bidi w:val="0"/>
        <w:jc w:val="both"/>
        <w:rPr>
          <w:rFonts w:ascii="Times New Roman" w:hAnsi="Times New Roman"/>
          <w:b/>
          <w:bCs/>
          <w:color w:val="000000"/>
        </w:rPr>
      </w:pPr>
    </w:p>
    <w:p w:rsidR="00A41B99" w:rsidP="00A41B99">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r>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A41B99" w:rsidP="00D40FAD">
            <w:pPr>
              <w:bidi w:val="0"/>
              <w:jc w:val="center"/>
              <w:rPr>
                <w:rFonts w:ascii="Times New Roman" w:hAnsi="Times New Roman"/>
                <w:color w:val="000000"/>
              </w:rPr>
            </w:pPr>
          </w:p>
        </w:tc>
      </w:tr>
    </w:tbl>
    <w:p w:rsidR="00A41B99" w:rsidP="00A41B99">
      <w:pPr>
        <w:bidi w:val="0"/>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b/>
          <w:bCs/>
          <w:color w:val="000000"/>
        </w:rPr>
      </w:pPr>
    </w:p>
    <w:p w:rsidR="00A41B99" w:rsidP="00A41B99">
      <w:pPr>
        <w:bidi w:val="0"/>
        <w:jc w:val="both"/>
        <w:rPr>
          <w:rFonts w:ascii="Times New Roman" w:hAnsi="Times New Roman"/>
          <w:b/>
          <w:bCs/>
          <w:color w:val="000000"/>
        </w:rPr>
      </w:pPr>
      <w:r>
        <w:rPr>
          <w:rFonts w:ascii="Times New Roman" w:hAnsi="Times New Roman"/>
          <w:b/>
          <w:bCs/>
          <w:color w:val="000000"/>
        </w:rPr>
        <w:t>A.3. Poznámky</w:t>
      </w:r>
    </w:p>
    <w:p w:rsidR="00A41B99" w:rsidP="00A41B99">
      <w:pPr>
        <w:bidi w:val="0"/>
        <w:jc w:val="both"/>
        <w:rPr>
          <w:rFonts w:ascii="Times New Roman" w:hAnsi="Times New Roman"/>
          <w:color w:val="000000"/>
        </w:rPr>
      </w:pPr>
      <w:r>
        <w:rPr>
          <w:rFonts w:ascii="Times New Roman" w:hAnsi="Times New Roman"/>
          <w:b/>
          <w:color w:val="000000"/>
        </w:rPr>
        <w:t>Sociálne vplyvy:</w:t>
      </w:r>
    </w:p>
    <w:p w:rsidR="00A41B99" w:rsidP="00A41B99">
      <w:pPr>
        <w:bidi w:val="0"/>
        <w:jc w:val="both"/>
        <w:rPr>
          <w:rFonts w:ascii="Times New Roman" w:hAnsi="Times New Roman"/>
          <w:color w:val="000000"/>
        </w:rPr>
      </w:pPr>
      <w:r>
        <w:rPr>
          <w:rFonts w:ascii="Times New Roman" w:hAnsi="Times New Roman"/>
          <w:color w:val="000000"/>
          <w:u w:val="single"/>
        </w:rPr>
        <w:t>Vplyvy na zamestnanosť</w:t>
      </w:r>
    </w:p>
    <w:p w:rsidR="00A41B99" w:rsidP="00A41B99">
      <w:pPr>
        <w:bidi w:val="0"/>
        <w:jc w:val="both"/>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color w:val="000000"/>
        </w:rPr>
      </w:pPr>
      <w:r>
        <w:rPr>
          <w:rFonts w:ascii="Times New Roman" w:hAnsi="Times New Roman"/>
          <w:color w:val="000000"/>
        </w:rPr>
        <w:t xml:space="preserve">Zmenou je skutočnosť, že štátnemu príslušníkovi tretej krajiny, ktorý má udelený prechodný pobyt na účel zlúčenia rodiny, sa umožňuje podnikať. </w:t>
      </w:r>
    </w:p>
    <w:p w:rsidR="00A41B99" w:rsidP="00A41B99">
      <w:pPr>
        <w:bidi w:val="0"/>
        <w:jc w:val="both"/>
        <w:rPr>
          <w:rFonts w:ascii="Times New Roman" w:hAnsi="Times New Roman"/>
          <w:color w:val="000000"/>
        </w:rPr>
      </w:pPr>
      <w:r>
        <w:rPr>
          <w:rFonts w:ascii="Times New Roman" w:hAnsi="Times New Roman"/>
          <w:color w:val="000000"/>
        </w:rPr>
        <w:t>Ďalšou zmenou je, že cudzinci môžu vstupovať do pracovnoprávneho vzťahu v rozsahu a za podmienok ustanovených osobitným predpisom – zákonom č. 5/2004 Z. z. o službách zamestnanosti a o zmene a doplnení niektorých zákonov v znení neskorších predpisov.</w:t>
      </w:r>
    </w:p>
    <w:p w:rsidR="00A41B99" w:rsidP="00A41B99">
      <w:pPr>
        <w:bidi w:val="0"/>
        <w:jc w:val="both"/>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color w:val="000000"/>
        </w:rPr>
      </w:pPr>
      <w:r>
        <w:rPr>
          <w:rFonts w:ascii="Times New Roman" w:hAnsi="Times New Roman"/>
          <w:color w:val="000000"/>
          <w:u w:val="single"/>
        </w:rPr>
        <w:t>Vplyvy na rovnosť príležitostí</w:t>
      </w:r>
    </w:p>
    <w:p w:rsidR="00A41B99" w:rsidP="00A41B99">
      <w:pPr>
        <w:bidi w:val="0"/>
        <w:jc w:val="both"/>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color w:val="000000"/>
        </w:rPr>
      </w:pPr>
      <w:r>
        <w:rPr>
          <w:rFonts w:ascii="Times New Roman" w:hAnsi="Times New Roman"/>
          <w:color w:val="000000"/>
        </w:rPr>
        <w:t>Zásadne je riešená otázka vzťahu Slovenskej republiky k občanom Európskej únie a ich rodinným príslušníkom. Slovenská republika v plnej miere rešpektuje ich právo voľne sa pohybovať a zdržiavať na území členských štátov Európskej únie, ktoré im zaručuje smernica 2004/38/ES.</w:t>
      </w:r>
    </w:p>
    <w:p w:rsidR="00A41B99" w:rsidP="00A41B99">
      <w:pPr>
        <w:bidi w:val="0"/>
        <w:jc w:val="both"/>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color w:val="000000"/>
        </w:rPr>
      </w:pPr>
      <w:r>
        <w:rPr>
          <w:rFonts w:ascii="Times New Roman" w:hAnsi="Times New Roman"/>
          <w:b/>
          <w:color w:val="000000"/>
        </w:rPr>
        <w:t>Vplyvy na rozpočet verejnej správy:</w:t>
      </w:r>
    </w:p>
    <w:p w:rsidR="00A41B99" w:rsidP="00A41B99">
      <w:pPr>
        <w:bidi w:val="0"/>
        <w:jc w:val="both"/>
        <w:rPr>
          <w:rFonts w:ascii="Times New Roman" w:hAnsi="Times New Roman"/>
          <w:color w:val="000000"/>
        </w:rPr>
      </w:pPr>
      <w:r>
        <w:rPr>
          <w:rFonts w:ascii="Times New Roman" w:hAnsi="Times New Roman"/>
          <w:color w:val="000000"/>
          <w:u w:val="single"/>
        </w:rPr>
        <w:t>Vplyvy na rozpočet Ministerstva vnútra Slovenskej republiky</w:t>
      </w:r>
    </w:p>
    <w:p w:rsidR="00A41B99" w:rsidP="00A41B99">
      <w:pPr>
        <w:bidi w:val="0"/>
        <w:jc w:val="both"/>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color w:val="000000"/>
        </w:rPr>
      </w:pPr>
      <w:r>
        <w:rPr>
          <w:rFonts w:ascii="Times New Roman" w:hAnsi="Times New Roman"/>
          <w:color w:val="000000"/>
        </w:rPr>
        <w:t>Novou právnou úpravou sa odstránila neúplná transpozícia smernice 2004/38/ES a dosiahol sa úplný súlad s európskym právom.</w:t>
      </w:r>
    </w:p>
    <w:p w:rsidR="00A41B99" w:rsidP="00A41B99">
      <w:pPr>
        <w:bidi w:val="0"/>
        <w:jc w:val="both"/>
        <w:rPr>
          <w:rFonts w:ascii="Times New Roman" w:hAnsi="Times New Roman"/>
          <w:color w:val="000000"/>
        </w:rPr>
      </w:pPr>
      <w:r>
        <w:rPr>
          <w:rFonts w:ascii="Times New Roman" w:hAnsi="Times New Roman"/>
          <w:color w:val="000000"/>
        </w:rPr>
        <w:t xml:space="preserve">Zmenou je aj rozšírenie nových účelov na prechodný pobyt o účel výskumu a vývoja, o prechodný pobyt štátneho príslušníka tretej krajiny, ktorý má priznané postavenie Slováka žijúceho v zahraničí a o prechodný pobyt štátneho príslušníka tretej krajiny, ktorý má priznané postavenie osoby s dlhodobým pobytom v inom členskom štáte Európskej únie. Udelenie trvalého pobytu nová právna úprava nerozdeľuje na „prvé povolenie“ a „ďalšie povolenie“, avšak rozlišuje udelenie trvalého pobytu na päť rokov, trvalého pobytu na neobmedzený čas pobyt a pobyt štátneho príslušníka tretej krajiny s priznaným postavením osoby s dlhodobým pobytom EÚ na území Slovenskej republiky.         </w:t>
        <w:br/>
      </w:r>
    </w:p>
    <w:p w:rsidR="00A41B99" w:rsidP="00A41B99">
      <w:pPr>
        <w:bidi w:val="0"/>
        <w:jc w:val="both"/>
        <w:rPr>
          <w:rFonts w:ascii="Times New Roman" w:hAnsi="Times New Roman"/>
          <w:color w:val="000000"/>
        </w:rPr>
      </w:pPr>
      <w:r>
        <w:rPr>
          <w:rFonts w:ascii="Times New Roman" w:hAnsi="Times New Roman"/>
          <w:color w:val="000000"/>
          <w:u w:val="single"/>
        </w:rPr>
        <w:t>Vplyvy na štátny rozpočet</w:t>
      </w:r>
    </w:p>
    <w:p w:rsidR="00A41B99" w:rsidP="00A41B99">
      <w:pPr>
        <w:bidi w:val="0"/>
        <w:jc w:val="both"/>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color w:val="000000"/>
        </w:rPr>
      </w:pPr>
      <w:r>
        <w:rPr>
          <w:rFonts w:ascii="Times New Roman" w:hAnsi="Times New Roman"/>
          <w:color w:val="000000"/>
        </w:rPr>
        <w:t xml:space="preserve">Návrh zákona rozširuje okruh štátnych príslušníkov tretích krajín, ktorí majú nárok na udelenie trvalého pobytu (pobyt štátneho príslušníka tretej krajiny s priznaným postavením osoby s dlhodobým pobytom EÚ (ďalej len „dlhodobý pobyt“)). Podmienky udelenia dlhodobého pobytu štátnemu príslušníkovi tretej krajiny na území Slovenskej republiky sa zosúladili s právom Európskej únie v tom smere, že dlhodobý pobyt sa udelí štátnemu príslušníkovi tretej krajiny, ktorý sa  na území Slovenskej republiky zdržiava oprávnene a nepretržite po dobu piatich rokov bezprostredne pred podaním žiadosti o udelenie dlhodobého pobytu. Ustanovenia návrhu zákona taktiež uvádzajú okruh cudzincov, na ktorých sa udelenie dlhodobého pobytu nevzťahuje. Uvedené bude mať pozitívny vplyv na verejné financie.      </w:t>
      </w:r>
    </w:p>
    <w:p w:rsidR="00A41B99" w:rsidP="00A41B99">
      <w:pPr>
        <w:bidi w:val="0"/>
        <w:jc w:val="both"/>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color w:val="000000"/>
        </w:rPr>
      </w:pPr>
      <w:r>
        <w:rPr>
          <w:rFonts w:ascii="Times New Roman" w:hAnsi="Times New Roman"/>
          <w:color w:val="000000"/>
        </w:rPr>
        <w:t>Rozšírenie okruhu štátnych príslušníkov tretích krajín, ktorým policajný útvar, po splnení podmienok, udelí prechodný pobyt na účel osobitnej činnosti na činnosť novinára akreditovaného v Slovenskej republike nebude mať veľký vplyv na verejné financie, nakoľko ministerstvo vnútra má poznatky iba o 1 novinárovi z Japonska, ktorý tu chcel vykonávať túto činnosť. Uvedený okruh sa rozšíril z dôvodu problémov zaregistrovania sa na príslušných úradov, nakoľko sa jedná o výkon slobodného povolenia. Tento problém mal dosah na splnenie jednej z podmienok stanovených zákonom a to preukázanie účelu pobytu.</w:t>
      </w:r>
    </w:p>
    <w:p w:rsidR="00A41B99" w:rsidP="00A41B99">
      <w:pPr>
        <w:bidi w:val="0"/>
        <w:jc w:val="both"/>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color w:val="000000"/>
        </w:rPr>
      </w:pPr>
      <w:r>
        <w:rPr>
          <w:rFonts w:ascii="Times New Roman" w:hAnsi="Times New Roman"/>
          <w:color w:val="000000"/>
        </w:rPr>
        <w:t xml:space="preserve">Súčasťou návrhu zákona o kontrole hraníc a pobyte cudzincov je aj novela zákona </w:t>
      </w:r>
      <w:r w:rsidR="007E2F72">
        <w:rPr>
          <w:rFonts w:ascii="Times New Roman" w:hAnsi="Times New Roman"/>
          <w:color w:val="000000"/>
        </w:rPr>
        <w:t xml:space="preserve">                       </w:t>
      </w:r>
      <w:r>
        <w:rPr>
          <w:rFonts w:ascii="Times New Roman" w:hAnsi="Times New Roman"/>
          <w:color w:val="000000"/>
        </w:rPr>
        <w:t xml:space="preserve">č. 145/1995 Z. z. o správnych poplatkoch v znení neskorších predpisov, kde sa zavádza nový správny poplatok za podanie odvolania proti rozhodnutiu o zamietnutí žiadosti o udelenie schengenského víza, o zrušení alebo odvolaní udeleného schengenského víza, ktoré vydal zastupiteľský úrad Slovenskej republiky. Navrhuje sa zmena správneho poplatku za vydanie dokladu o pobyte  ako   náhrada za zničený, stratený, odcudzený alebo poškodený doklad a taktiež sa rozšíril okruh osôb, ktoré sú oslobodené od správnych poplatkov za podanie žiadosti o udelenie pobytu a podania žiadosti o udelenie víza. </w:t>
      </w:r>
    </w:p>
    <w:p w:rsidR="00A41B99" w:rsidP="00A41B99">
      <w:pPr>
        <w:bidi w:val="0"/>
        <w:spacing w:after="280" w:afterAutospacing="1"/>
        <w:rPr>
          <w:rFonts w:ascii="Times New Roman" w:hAnsi="Times New Roman"/>
          <w:color w:val="000000"/>
        </w:rPr>
      </w:pPr>
      <w:r>
        <w:rPr>
          <w:rFonts w:ascii="Times New Roman" w:hAnsi="Times New Roman"/>
          <w:color w:val="000000"/>
        </w:rPr>
        <w:t> </w:t>
      </w:r>
    </w:p>
    <w:p w:rsidR="00A41B99" w:rsidP="00A41B99">
      <w:pPr>
        <w:bidi w:val="0"/>
        <w:jc w:val="both"/>
        <w:rPr>
          <w:rFonts w:ascii="Times New Roman" w:hAnsi="Times New Roman"/>
          <w:i/>
          <w:iCs/>
          <w:color w:val="000000"/>
        </w:rPr>
      </w:pPr>
      <w:r>
        <w:rPr>
          <w:rFonts w:ascii="Times New Roman" w:hAnsi="Times New Roman"/>
          <w:i/>
          <w:iCs/>
          <w:color w:val="000000"/>
        </w:rPr>
        <w:t xml:space="preserve">      </w:t>
      </w:r>
    </w:p>
    <w:p w:rsidR="00A41B99" w:rsidP="00A41B99">
      <w:pPr>
        <w:bidi w:val="0"/>
        <w:jc w:val="both"/>
        <w:rPr>
          <w:rFonts w:ascii="Times New Roman" w:hAnsi="Times New Roman"/>
          <w:b/>
          <w:bCs/>
          <w:color w:val="000000"/>
        </w:rPr>
      </w:pPr>
      <w:r>
        <w:rPr>
          <w:rFonts w:ascii="Times New Roman" w:hAnsi="Times New Roman"/>
          <w:b/>
          <w:bCs/>
          <w:color w:val="000000"/>
        </w:rPr>
        <w:t>A.4. Alternatívne riešenia</w:t>
      </w:r>
    </w:p>
    <w:p w:rsidR="00A41B99" w:rsidP="00A41B99">
      <w:pPr>
        <w:bidi w:val="0"/>
        <w:jc w:val="both"/>
        <w:rPr>
          <w:rFonts w:ascii="Times New Roman" w:hAnsi="Times New Roman"/>
          <w:b/>
          <w:bCs/>
          <w:color w:val="000000"/>
        </w:rPr>
      </w:pPr>
      <w:r>
        <w:rPr>
          <w:rFonts w:ascii="Times New Roman" w:hAnsi="Times New Roman"/>
          <w:color w:val="000000"/>
        </w:rPr>
        <w:t> </w:t>
      </w:r>
    </w:p>
    <w:p w:rsidR="00A41B99" w:rsidP="00A41B99">
      <w:pPr>
        <w:bidi w:val="0"/>
        <w:jc w:val="both"/>
        <w:rPr>
          <w:rFonts w:ascii="Times New Roman" w:hAnsi="Times New Roman"/>
          <w:b/>
          <w:bCs/>
          <w:color w:val="000000"/>
        </w:rPr>
      </w:pPr>
    </w:p>
    <w:p w:rsidR="00A41B99" w:rsidP="00A41B99">
      <w:pPr>
        <w:bidi w:val="0"/>
        <w:jc w:val="both"/>
        <w:rPr>
          <w:rFonts w:ascii="Times New Roman" w:hAnsi="Times New Roman"/>
          <w:b/>
          <w:bCs/>
          <w:color w:val="000000"/>
        </w:rPr>
      </w:pPr>
      <w:r>
        <w:rPr>
          <w:rFonts w:ascii="Times New Roman" w:hAnsi="Times New Roman"/>
          <w:b/>
          <w:bCs/>
          <w:color w:val="000000"/>
        </w:rPr>
        <w:t>A.5. Stanovisko gestorov</w:t>
      </w:r>
    </w:p>
    <w:p w:rsidR="00A41B99" w:rsidP="00A41B99">
      <w:pPr>
        <w:numPr>
          <w:numId w:val="9"/>
        </w:numPr>
        <w:tabs>
          <w:tab w:val="left" w:pos="720"/>
        </w:tabs>
        <w:bidi w:val="0"/>
        <w:adjustRightInd w:val="0"/>
        <w:spacing w:after="280" w:afterAutospacing="1" w:line="276" w:lineRule="auto"/>
        <w:ind w:left="0"/>
        <w:jc w:val="both"/>
        <w:rPr>
          <w:rFonts w:ascii="Times New Roman" w:hAnsi="Times New Roman"/>
          <w:b/>
          <w:bCs/>
          <w:color w:val="000000"/>
        </w:rPr>
      </w:pPr>
      <w:r>
        <w:rPr>
          <w:rFonts w:ascii="Times New Roman" w:hAnsi="Times New Roman"/>
          <w:color w:val="000000"/>
        </w:rPr>
        <w:t>Ministerstvo financií Slovenskej republiky malo zásadnú pripomienku k doložke vybraných vplyvov</w:t>
      </w:r>
    </w:p>
    <w:p w:rsidR="00A41B99" w:rsidP="00A41B99">
      <w:pPr>
        <w:bidi w:val="0"/>
        <w:ind w:left="720"/>
        <w:jc w:val="both"/>
        <w:rPr>
          <w:rFonts w:ascii="Times New Roman" w:hAnsi="Times New Roman"/>
          <w:color w:val="000000"/>
        </w:rPr>
      </w:pPr>
      <w:r>
        <w:rPr>
          <w:rFonts w:ascii="Times New Roman" w:hAnsi="Times New Roman"/>
          <w:color w:val="000000"/>
        </w:rPr>
        <w:t> </w:t>
      </w:r>
    </w:p>
    <w:p w:rsidR="00A41B99" w:rsidP="00A41B99">
      <w:pPr>
        <w:bidi w:val="0"/>
        <w:ind w:left="720"/>
        <w:jc w:val="both"/>
        <w:rPr>
          <w:rFonts w:ascii="Times New Roman" w:hAnsi="Times New Roman"/>
          <w:color w:val="000000"/>
        </w:rPr>
      </w:pPr>
      <w:r>
        <w:rPr>
          <w:rFonts w:ascii="Times New Roman" w:hAnsi="Times New Roman"/>
          <w:color w:val="000000"/>
        </w:rPr>
        <w:t>V doložke vybraných vplyvov (ďalej len „doložka vplyvov“) žiadali</w:t>
      </w:r>
    </w:p>
    <w:p w:rsidR="00A41B99" w:rsidP="00A41B99">
      <w:pPr>
        <w:bidi w:val="0"/>
        <w:ind w:left="142"/>
        <w:jc w:val="both"/>
        <w:rPr>
          <w:rFonts w:ascii="Times New Roman" w:hAnsi="Times New Roman"/>
          <w:color w:val="000000"/>
        </w:rPr>
      </w:pPr>
      <w:r>
        <w:rPr>
          <w:rFonts w:ascii="Times New Roman" w:hAnsi="Times New Roman"/>
          <w:color w:val="000000"/>
        </w:rPr>
        <w:t>a)</w:t>
      </w:r>
      <w:r>
        <w:rPr>
          <w:rFonts w:ascii="Times New Roman" w:hAnsi="Times New Roman"/>
          <w:color w:val="000000"/>
          <w:sz w:val="14"/>
        </w:rPr>
        <w:t xml:space="preserve">             </w:t>
      </w:r>
      <w:r>
        <w:rPr>
          <w:rFonts w:ascii="Times New Roman" w:hAnsi="Times New Roman"/>
          <w:color w:val="000000"/>
        </w:rPr>
        <w:t xml:space="preserve">jednoznačne špecifikovať zdroje na úhradu predpokladaných finančných prostriedkov v sume 1 430 000 eur, a to či ide o zdroje z rozpočtu kapitoly Úradu vlády SR alebo zdroje </w:t>
      </w:r>
      <w:r w:rsidR="007E2F72">
        <w:rPr>
          <w:rFonts w:ascii="Times New Roman" w:hAnsi="Times New Roman"/>
          <w:color w:val="000000"/>
        </w:rPr>
        <w:t xml:space="preserve"> </w:t>
      </w:r>
      <w:r>
        <w:rPr>
          <w:rFonts w:ascii="Times New Roman" w:hAnsi="Times New Roman"/>
          <w:color w:val="000000"/>
        </w:rPr>
        <w:t xml:space="preserve">z kapitoly Všeobecná pokladničná správa - rezerva vlády SR, pretože údaje uvedené </w:t>
      </w:r>
      <w:r w:rsidR="007E2F72">
        <w:rPr>
          <w:rFonts w:ascii="Times New Roman" w:hAnsi="Times New Roman"/>
          <w:color w:val="000000"/>
        </w:rPr>
        <w:t xml:space="preserve">                   </w:t>
      </w:r>
      <w:r>
        <w:rPr>
          <w:rFonts w:ascii="Times New Roman" w:hAnsi="Times New Roman"/>
          <w:color w:val="000000"/>
        </w:rPr>
        <w:t>v tabuľke č. 1 bode 2.1. Zhrnutie vplyvov na rozpočet verejnej správy v návrhu riadku Financovanie zabezpečené v rozpočte a konštatovanie v textovej časti 2.3.4. Výpočty vplyvov na verejné financie sú nesúladné; upozorňujem, že ak ide o zdroje z rezervy vlády SR, do kapitoly Ministerstva vnútra SR bola dňa 22. februára 2011 uvoľnená suma 3 850 000 eur v súlade s uzneseniami vlády SR č. 91/2011 a č. 103/2011,</w:t>
      </w:r>
    </w:p>
    <w:p w:rsidR="00A41B99" w:rsidP="00A41B99">
      <w:pPr>
        <w:bidi w:val="0"/>
        <w:ind w:left="142"/>
        <w:jc w:val="both"/>
        <w:rPr>
          <w:rFonts w:ascii="Times New Roman" w:hAnsi="Times New Roman"/>
          <w:color w:val="000000"/>
        </w:rPr>
      </w:pPr>
      <w:r>
        <w:rPr>
          <w:rFonts w:ascii="Times New Roman" w:hAnsi="Times New Roman"/>
          <w:color w:val="000000"/>
        </w:rPr>
        <w:br/>
        <w:t xml:space="preserve">b) uviesť, či suma 1 430 000 eur je súčasťou limitu 3 850 000 eur alebo ide o dodatočnú požiadavku na rezervu vlády SR; ak suma 1 430 000 eur nie je zabezpečená z prostriedkov vyčlenených na financovanie SIS II, je potrebné ju zabezpečiť v rámci schválených limitov výdavkov kapitoly ministerstva vnútra na rok 2011, </w:t>
      </w:r>
    </w:p>
    <w:p w:rsidR="00A41B99" w:rsidP="00A41B99">
      <w:pPr>
        <w:bidi w:val="0"/>
        <w:ind w:left="142"/>
        <w:jc w:val="both"/>
        <w:rPr>
          <w:rFonts w:ascii="Times New Roman" w:hAnsi="Times New Roman"/>
          <w:color w:val="000000"/>
        </w:rPr>
      </w:pPr>
      <w:r>
        <w:rPr>
          <w:rFonts w:ascii="Times New Roman" w:hAnsi="Times New Roman"/>
          <w:color w:val="000000"/>
        </w:rPr>
        <w:br/>
        <w:t xml:space="preserve">c) v tabuľke č. 1 bode 2.1. Zhrnutie vplyvov na rozpočet verejnej správy v návrhu upraviť údaje týkajúce sa príjmov súvisiacich so správnymi poplatkami, ktoré sú príjmom kapitoly všeobecná pokladničná správa a nie príjmom Ministerstva zahraničných vecí SR; zároveň je potrebné upraviť sumy v riadku „Príjmy verejnej správy celkom“, </w:t>
      </w:r>
    </w:p>
    <w:p w:rsidR="00A41B99" w:rsidP="00A41B99">
      <w:pPr>
        <w:bidi w:val="0"/>
        <w:ind w:left="142"/>
        <w:jc w:val="both"/>
        <w:rPr>
          <w:rFonts w:ascii="Times New Roman" w:hAnsi="Times New Roman"/>
          <w:color w:val="000000"/>
        </w:rPr>
      </w:pPr>
      <w:r>
        <w:rPr>
          <w:rFonts w:ascii="Times New Roman" w:hAnsi="Times New Roman"/>
          <w:color w:val="000000"/>
        </w:rPr>
        <w:br/>
        <w:t xml:space="preserve">d) opraviť tabuľku č. 2 v bode 2.2. Financovanie návrhu, pretože suma 1 430 000 eur v roku 2011 nepredstavuje ostatné zdroje financovania a vymazať sumy z riadku „rozpočtovo nekrytý vplyv/úspora“, pretože nedochádza k úspore vynakladaných prostriedkov, </w:t>
      </w:r>
    </w:p>
    <w:p w:rsidR="00A41B99" w:rsidP="00A41B99">
      <w:pPr>
        <w:bidi w:val="0"/>
        <w:ind w:left="142"/>
        <w:jc w:val="both"/>
        <w:rPr>
          <w:rFonts w:ascii="Times New Roman" w:hAnsi="Times New Roman"/>
          <w:color w:val="000000"/>
        </w:rPr>
      </w:pPr>
      <w:r>
        <w:rPr>
          <w:rFonts w:ascii="Times New Roman" w:hAnsi="Times New Roman"/>
          <w:color w:val="000000"/>
        </w:rPr>
        <w:br/>
        <w:t xml:space="preserve">e) v tabuľke č. 5 vyplniť súčtové riadky. </w:t>
      </w:r>
    </w:p>
    <w:p w:rsidR="00A41B99" w:rsidP="00A41B99">
      <w:pPr>
        <w:bidi w:val="0"/>
        <w:ind w:left="142"/>
        <w:jc w:val="both"/>
        <w:rPr>
          <w:rFonts w:ascii="Times New Roman" w:hAnsi="Times New Roman"/>
          <w:color w:val="000000"/>
        </w:rPr>
      </w:pPr>
      <w:r>
        <w:rPr>
          <w:rFonts w:ascii="Times New Roman" w:hAnsi="Times New Roman"/>
          <w:color w:val="000000"/>
        </w:rPr>
        <w:t> </w:t>
      </w:r>
    </w:p>
    <w:p w:rsidR="00A41B99" w:rsidP="00A41B99">
      <w:pPr>
        <w:bidi w:val="0"/>
        <w:ind w:left="142"/>
        <w:jc w:val="both"/>
        <w:rPr>
          <w:rFonts w:ascii="Times New Roman" w:hAnsi="Times New Roman"/>
          <w:color w:val="000000"/>
        </w:rPr>
      </w:pPr>
      <w:r>
        <w:rPr>
          <w:rFonts w:ascii="Times New Roman" w:hAnsi="Times New Roman"/>
          <w:color w:val="000000"/>
          <w:u w:val="single"/>
        </w:rPr>
        <w:t>Stanovisko predkladateľa</w:t>
      </w:r>
      <w:r>
        <w:rPr>
          <w:rFonts w:ascii="Times New Roman" w:hAnsi="Times New Roman"/>
          <w:color w:val="000000"/>
        </w:rPr>
        <w:t>:  Akceptované</w:t>
      </w:r>
    </w:p>
    <w:p w:rsidR="00A41B99" w:rsidP="00A41B99">
      <w:pPr>
        <w:bidi w:val="0"/>
        <w:jc w:val="both"/>
        <w:rPr>
          <w:rFonts w:ascii="Times New Roman" w:hAnsi="Times New Roman"/>
          <w:color w:val="000000"/>
        </w:rPr>
      </w:pPr>
      <w:r>
        <w:rPr>
          <w:rFonts w:ascii="Times New Roman" w:hAnsi="Times New Roman"/>
          <w:color w:val="000000"/>
        </w:rPr>
        <w:t>Doložka vybraných vplyvov bola doplnená v zmysle pripomienok. Predpokladané výdavky verejnej správy sú kapitálové výdavky z kapitoly Ministerstva vnútra Slovenskej republiky. Suma 1 430 000 eur je súčasťou uvoľnenej sumy 3 850 000 eur z kapitoly Všeobecná pokladničná správa – rezerva vlády Slovenskej republiky do kapitoly Ministerstva vnútra Slovenskej republiky dňa 22. februára 2011 v súlade s uzneseniami vlády Slovenskej republiky č. 91/2011 a č. 103/2011.</w:t>
      </w:r>
    </w:p>
    <w:p w:rsidR="00A41B99" w:rsidP="00A41B99">
      <w:pPr>
        <w:bidi w:val="0"/>
        <w:spacing w:after="280" w:afterAutospacing="1"/>
        <w:rPr>
          <w:rFonts w:ascii="Times New Roman" w:hAnsi="Times New Roman"/>
          <w:color w:val="000000"/>
        </w:rPr>
      </w:pPr>
      <w:r>
        <w:rPr>
          <w:rFonts w:ascii="Times New Roman" w:hAnsi="Times New Roman"/>
          <w:color w:val="000000"/>
        </w:rPr>
        <w:t> </w:t>
      </w:r>
    </w:p>
    <w:p w:rsidR="00E62BFE" w:rsidRPr="00FF0FC2" w:rsidP="00A41B99">
      <w:pPr>
        <w:bidi w:val="0"/>
        <w:jc w:val="both"/>
        <w:rPr>
          <w:rFonts w:ascii="Times New Roman" w:hAnsi="Times New Roman"/>
        </w:rPr>
      </w:pPr>
      <w:r w:rsidRPr="00FF0FC2">
        <w:rPr>
          <w:rFonts w:ascii="Times New Roman" w:hAnsi="Times New Roman"/>
        </w:rPr>
        <w:tab/>
        <w:tab/>
        <w:tab/>
      </w: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A41B99" w:rsidP="00E62BFE">
      <w:pPr>
        <w:bidi w:val="0"/>
        <w:jc w:val="center"/>
        <w:rPr>
          <w:rFonts w:ascii="Times New Roman" w:hAnsi="Times New Roman"/>
          <w:b/>
          <w:bCs/>
          <w:sz w:val="28"/>
          <w:szCs w:val="28"/>
        </w:rPr>
      </w:pPr>
    </w:p>
    <w:p w:rsidR="00E62BFE" w:rsidRPr="00295C8E" w:rsidP="00E62BFE">
      <w:pPr>
        <w:bidi w:val="0"/>
        <w:jc w:val="center"/>
        <w:rPr>
          <w:rFonts w:ascii="Times New Roman" w:hAnsi="Times New Roman"/>
          <w:b/>
          <w:bCs/>
          <w:sz w:val="28"/>
          <w:szCs w:val="28"/>
        </w:rPr>
      </w:pPr>
      <w:r w:rsidRPr="00295C8E">
        <w:rPr>
          <w:rFonts w:ascii="Times New Roman" w:hAnsi="Times New Roman"/>
          <w:b/>
          <w:bCs/>
          <w:sz w:val="28"/>
          <w:szCs w:val="28"/>
        </w:rPr>
        <w:t>Vplyvy na rozpočet verejnej správy,</w:t>
      </w:r>
    </w:p>
    <w:p w:rsidR="00E62BFE" w:rsidRPr="00295C8E" w:rsidP="00E62BFE">
      <w:pPr>
        <w:bidi w:val="0"/>
        <w:jc w:val="center"/>
        <w:rPr>
          <w:rFonts w:ascii="Times New Roman" w:hAnsi="Times New Roman"/>
          <w:b/>
          <w:bCs/>
          <w:sz w:val="28"/>
          <w:szCs w:val="28"/>
        </w:rPr>
      </w:pPr>
      <w:r w:rsidRPr="00295C8E">
        <w:rPr>
          <w:rFonts w:ascii="Times New Roman" w:hAnsi="Times New Roman"/>
          <w:b/>
          <w:bCs/>
          <w:sz w:val="28"/>
          <w:szCs w:val="28"/>
        </w:rPr>
        <w:t>na zamestnanosť vo verejnej správe a financovanie návrhu</w:t>
      </w:r>
    </w:p>
    <w:p w:rsidR="00E62BFE" w:rsidRPr="00FF0FC2" w:rsidP="00E62BFE">
      <w:pPr>
        <w:bidi w:val="0"/>
        <w:rPr>
          <w:rFonts w:ascii="Times New Roman" w:hAnsi="Times New Roman"/>
        </w:rPr>
      </w:pPr>
    </w:p>
    <w:p w:rsidR="00E62BFE" w:rsidRPr="00FF0FC2" w:rsidP="00E62BFE">
      <w:pPr>
        <w:bidi w:val="0"/>
        <w:rPr>
          <w:rFonts w:ascii="Times New Roman" w:hAnsi="Times New Roman"/>
          <w:b/>
        </w:rPr>
      </w:pPr>
      <w:r w:rsidRPr="00FF0FC2">
        <w:rPr>
          <w:rFonts w:ascii="Times New Roman" w:hAnsi="Times New Roman"/>
          <w:b/>
        </w:rPr>
        <w:t>2.1. Zhrnutie vplyvov na rozpočet verejnej správy v návrhu</w:t>
      </w:r>
    </w:p>
    <w:p w:rsidR="00E62BFE" w:rsidRPr="00FF0FC2" w:rsidP="00E62BFE">
      <w:pPr>
        <w:bidi w:val="0"/>
        <w:jc w:val="right"/>
        <w:rPr>
          <w:rFonts w:ascii="Times New Roman" w:hAnsi="Times New Roman"/>
        </w:rPr>
      </w:pPr>
      <w:r w:rsidRPr="00FF0FC2">
        <w:rPr>
          <w:rFonts w:ascii="Times New Roman" w:hAnsi="Times New Roman"/>
        </w:rPr>
        <w:t xml:space="preserve">Tabuľka č. 1 </w:t>
      </w:r>
    </w:p>
    <w:tbl>
      <w:tblPr>
        <w:tblStyle w:val="TableNormal"/>
        <w:tblW w:w="10607"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150"/>
        <w:gridCol w:w="1460"/>
        <w:gridCol w:w="1842"/>
        <w:gridCol w:w="1628"/>
        <w:gridCol w:w="1527"/>
      </w:tblGrid>
      <w:tr>
        <w:tblPrEx>
          <w:tblW w:w="10607"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1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62BFE" w:rsidRPr="00FF0FC2" w:rsidP="00E62BFE">
            <w:pPr>
              <w:bidi w:val="0"/>
              <w:spacing w:line="194" w:lineRule="atLeast"/>
              <w:jc w:val="center"/>
              <w:rPr>
                <w:rFonts w:ascii="Times New Roman" w:hAnsi="Times New Roman"/>
                <w:b/>
                <w:bCs/>
                <w:color w:val="FFFFFF"/>
              </w:rPr>
            </w:pPr>
            <w:bookmarkStart w:id="0" w:name="OLE_LINK1"/>
            <w:r w:rsidRPr="00FF0FC2">
              <w:rPr>
                <w:rFonts w:ascii="Times New Roman" w:hAnsi="Times New Roman"/>
                <w:b/>
                <w:bCs/>
                <w:color w:val="FFFFFF"/>
              </w:rPr>
              <w:t xml:space="preserve">Vplyvy na </w:t>
            </w:r>
            <w:r w:rsidRPr="00FF0FC2">
              <w:rPr>
                <w:rFonts w:ascii="Times New Roman" w:hAnsi="Times New Roman"/>
                <w:b/>
                <w:bCs/>
              </w:rPr>
              <w:t>rozpočet verejnej správy</w:t>
            </w:r>
          </w:p>
        </w:tc>
        <w:tc>
          <w:tcPr>
            <w:tcW w:w="6457"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62BFE" w:rsidRPr="00FF0FC2" w:rsidP="00E62BFE">
            <w:pPr>
              <w:bidi w:val="0"/>
              <w:spacing w:line="194" w:lineRule="atLeast"/>
              <w:jc w:val="center"/>
              <w:rPr>
                <w:rFonts w:ascii="Times New Roman" w:hAnsi="Times New Roman"/>
                <w:b/>
                <w:bCs/>
                <w:color w:val="FFFFFF"/>
              </w:rPr>
            </w:pPr>
            <w:r w:rsidRPr="00FF0FC2">
              <w:rPr>
                <w:rFonts w:ascii="Times New Roman" w:hAnsi="Times New Roman"/>
                <w:b/>
                <w:bCs/>
                <w:color w:val="FFFFFF"/>
              </w:rPr>
              <w:t xml:space="preserve">Vplyv na rozpočet verejnej správy </w:t>
            </w:r>
            <w:r w:rsidRPr="00FF0FC2">
              <w:rPr>
                <w:rFonts w:ascii="Times New Roman" w:hAnsi="Times New Roman"/>
                <w:b/>
                <w:bCs/>
              </w:rPr>
              <w:t xml:space="preserve">(v </w:t>
            </w:r>
            <w:r w:rsidRPr="00FF0FC2" w:rsidR="007F601B">
              <w:rPr>
                <w:rFonts w:ascii="Times New Roman" w:hAnsi="Times New Roman"/>
                <w:b/>
                <w:bCs/>
              </w:rPr>
              <w:t>eurách</w:t>
            </w:r>
            <w:r w:rsidRPr="00FF0FC2">
              <w:rPr>
                <w:rFonts w:ascii="Times New Roman" w:hAnsi="Times New Roman"/>
                <w:b/>
                <w:bCs/>
              </w:rPr>
              <w:t>)</w:t>
            </w:r>
          </w:p>
        </w:tc>
      </w:tr>
      <w:tr>
        <w:tblPrEx>
          <w:tblW w:w="10607" w:type="dxa"/>
          <w:jc w:val="center"/>
          <w:tblInd w:w="-479" w:type="dxa"/>
          <w:tblCellMar>
            <w:left w:w="70" w:type="dxa"/>
            <w:right w:w="70" w:type="dxa"/>
          </w:tblCellMar>
        </w:tblPrEx>
        <w:trPr>
          <w:cantSplit/>
          <w:trHeight w:val="70"/>
          <w:jc w:val="center"/>
        </w:trPr>
        <w:tc>
          <w:tcPr>
            <w:tcW w:w="4150" w:type="dxa"/>
            <w:vMerge/>
            <w:tcBorders>
              <w:top w:val="single" w:sz="4" w:space="0" w:color="auto"/>
              <w:left w:val="single" w:sz="4" w:space="0" w:color="auto"/>
              <w:bottom w:val="single" w:sz="4" w:space="0" w:color="auto"/>
              <w:right w:val="single" w:sz="4" w:space="0" w:color="auto"/>
            </w:tcBorders>
            <w:textDirection w:val="lrTb"/>
            <w:vAlign w:val="center"/>
          </w:tcPr>
          <w:p w:rsidR="006748FA" w:rsidRPr="00FF0FC2" w:rsidP="00E62BFE">
            <w:pPr>
              <w:bidi w:val="0"/>
              <w:rPr>
                <w:rFonts w:ascii="Times New Roman" w:hAnsi="Times New Roman"/>
                <w:b/>
                <w:bCs/>
                <w:color w:val="FFFFFF"/>
              </w:rPr>
            </w:pPr>
          </w:p>
        </w:tc>
        <w:tc>
          <w:tcPr>
            <w:tcW w:w="146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748FA" w:rsidRPr="00FF0FC2" w:rsidP="007D36C1">
            <w:pPr>
              <w:bidi w:val="0"/>
              <w:spacing w:line="70" w:lineRule="atLeast"/>
              <w:jc w:val="center"/>
              <w:rPr>
                <w:rFonts w:ascii="Times New Roman" w:hAnsi="Times New Roman"/>
                <w:b/>
                <w:bCs/>
                <w:color w:val="FFFFFF"/>
              </w:rPr>
            </w:pPr>
            <w:r w:rsidRPr="00FF0FC2">
              <w:rPr>
                <w:rFonts w:ascii="Times New Roman" w:hAnsi="Times New Roman"/>
                <w:b/>
                <w:bCs/>
                <w:color w:val="FFFFFF"/>
              </w:rPr>
              <w:t>201</w:t>
            </w:r>
            <w:r w:rsidR="007D36C1">
              <w:rPr>
                <w:rFonts w:ascii="Times New Roman" w:hAnsi="Times New Roman"/>
                <w:b/>
                <w:bCs/>
                <w:color w:val="FFFFFF"/>
              </w:rPr>
              <w:t>1</w:t>
            </w:r>
          </w:p>
        </w:tc>
        <w:tc>
          <w:tcPr>
            <w:tcW w:w="1842"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748FA" w:rsidRPr="00FF0FC2" w:rsidP="007D36C1">
            <w:pPr>
              <w:bidi w:val="0"/>
              <w:spacing w:line="70" w:lineRule="atLeast"/>
              <w:jc w:val="center"/>
              <w:rPr>
                <w:rFonts w:ascii="Times New Roman" w:hAnsi="Times New Roman"/>
                <w:b/>
                <w:bCs/>
                <w:color w:val="FFFFFF"/>
              </w:rPr>
            </w:pPr>
            <w:r w:rsidRPr="00FF0FC2">
              <w:rPr>
                <w:rFonts w:ascii="Times New Roman" w:hAnsi="Times New Roman"/>
                <w:b/>
                <w:bCs/>
                <w:color w:val="FFFFFF"/>
              </w:rPr>
              <w:t>201</w:t>
            </w:r>
            <w:r w:rsidR="007D36C1">
              <w:rPr>
                <w:rFonts w:ascii="Times New Roman" w:hAnsi="Times New Roman"/>
                <w:b/>
                <w:bCs/>
                <w:color w:val="FFFFFF"/>
              </w:rPr>
              <w:t>2</w:t>
            </w:r>
          </w:p>
        </w:tc>
        <w:tc>
          <w:tcPr>
            <w:tcW w:w="1628"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748FA" w:rsidRPr="00FF0FC2" w:rsidP="007D36C1">
            <w:pPr>
              <w:bidi w:val="0"/>
              <w:spacing w:line="70" w:lineRule="atLeast"/>
              <w:jc w:val="center"/>
              <w:rPr>
                <w:rFonts w:ascii="Times New Roman" w:hAnsi="Times New Roman"/>
                <w:b/>
                <w:bCs/>
                <w:color w:val="FFFFFF"/>
              </w:rPr>
            </w:pPr>
            <w:r w:rsidRPr="00FF0FC2">
              <w:rPr>
                <w:rFonts w:ascii="Times New Roman" w:hAnsi="Times New Roman"/>
                <w:b/>
                <w:bCs/>
                <w:color w:val="FFFFFF"/>
              </w:rPr>
              <w:t>201</w:t>
            </w:r>
            <w:r w:rsidR="007D36C1">
              <w:rPr>
                <w:rFonts w:ascii="Times New Roman" w:hAnsi="Times New Roman"/>
                <w:b/>
                <w:bCs/>
                <w:color w:val="FFFFFF"/>
              </w:rPr>
              <w:t>3</w:t>
            </w:r>
          </w:p>
        </w:tc>
        <w:tc>
          <w:tcPr>
            <w:tcW w:w="152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748FA" w:rsidRPr="00FF0FC2" w:rsidP="007D36C1">
            <w:pPr>
              <w:bidi w:val="0"/>
              <w:spacing w:line="70" w:lineRule="atLeast"/>
              <w:jc w:val="center"/>
              <w:rPr>
                <w:rFonts w:ascii="Times New Roman" w:hAnsi="Times New Roman"/>
                <w:b/>
                <w:bCs/>
                <w:color w:val="FFFFFF"/>
              </w:rPr>
            </w:pPr>
            <w:r>
              <w:rPr>
                <w:rFonts w:ascii="Times New Roman" w:hAnsi="Times New Roman"/>
                <w:b/>
                <w:bCs/>
                <w:color w:val="FFFFFF"/>
              </w:rPr>
              <w:t>201</w:t>
            </w:r>
            <w:r w:rsidR="007D36C1">
              <w:rPr>
                <w:rFonts w:ascii="Times New Roman" w:hAnsi="Times New Roman"/>
                <w:b/>
                <w:bCs/>
                <w:color w:val="FFFFFF"/>
              </w:rPr>
              <w:t>4</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FF0FC2" w:rsidP="00E62BFE">
            <w:pPr>
              <w:bidi w:val="0"/>
              <w:spacing w:line="70" w:lineRule="atLeast"/>
              <w:rPr>
                <w:rFonts w:ascii="Times New Roman" w:hAnsi="Times New Roman"/>
              </w:rPr>
            </w:pPr>
            <w:r w:rsidRPr="00FF0FC2">
              <w:rPr>
                <w:rFonts w:ascii="Times New Roman" w:hAnsi="Times New Roman"/>
                <w:b/>
                <w:bCs/>
              </w:rPr>
              <w:t>Príjmy verejnej správy celkom</w:t>
            </w:r>
          </w:p>
        </w:tc>
        <w:tc>
          <w:tcPr>
            <w:tcW w:w="14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748FA" w:rsidRPr="00C469FA" w:rsidP="000D1C7C">
            <w:pPr>
              <w:bidi w:val="0"/>
              <w:spacing w:line="70" w:lineRule="atLeast"/>
              <w:ind w:left="720"/>
              <w:jc w:val="right"/>
              <w:rPr>
                <w:rFonts w:ascii="Times New Roman" w:hAnsi="Times New Roman"/>
                <w:bCs/>
              </w:rPr>
            </w:pPr>
            <w:r w:rsidR="007D36C1">
              <w:rPr>
                <w:rFonts w:ascii="Times New Roman" w:hAnsi="Times New Roman"/>
                <w:bCs/>
              </w:rPr>
              <w:t>0</w:t>
            </w:r>
          </w:p>
        </w:tc>
        <w:tc>
          <w:tcPr>
            <w:tcW w:w="184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748FA" w:rsidRPr="00F22E9A" w:rsidP="000D1C7C">
            <w:pPr>
              <w:bidi w:val="0"/>
              <w:spacing w:line="70" w:lineRule="atLeast"/>
              <w:jc w:val="right"/>
              <w:rPr>
                <w:rFonts w:ascii="Times New Roman" w:hAnsi="Times New Roman"/>
                <w:bCs/>
              </w:rPr>
            </w:pPr>
            <w:r w:rsidRPr="00F22E9A" w:rsidR="00F22E9A">
              <w:rPr>
                <w:rFonts w:ascii="Times New Roman" w:hAnsi="Times New Roman"/>
                <w:bCs/>
              </w:rPr>
              <w:t>25 987</w:t>
            </w:r>
          </w:p>
        </w:tc>
        <w:tc>
          <w:tcPr>
            <w:tcW w:w="162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748FA" w:rsidRPr="00F22E9A" w:rsidP="000D1C7C">
            <w:pPr>
              <w:bidi w:val="0"/>
              <w:spacing w:line="70" w:lineRule="atLeast"/>
              <w:jc w:val="right"/>
              <w:rPr>
                <w:rFonts w:ascii="Times New Roman" w:hAnsi="Times New Roman"/>
                <w:bCs/>
              </w:rPr>
            </w:pPr>
            <w:r w:rsidRPr="00F22E9A" w:rsidR="00F22E9A">
              <w:rPr>
                <w:rFonts w:ascii="Times New Roman" w:hAnsi="Times New Roman"/>
                <w:bCs/>
              </w:rPr>
              <w:t>18 475</w:t>
            </w:r>
          </w:p>
        </w:tc>
        <w:tc>
          <w:tcPr>
            <w:tcW w:w="152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748FA" w:rsidRPr="00F22E9A" w:rsidP="00E62BFE">
            <w:pPr>
              <w:bidi w:val="0"/>
              <w:spacing w:line="70" w:lineRule="atLeast"/>
              <w:jc w:val="right"/>
              <w:rPr>
                <w:rFonts w:ascii="Times New Roman" w:hAnsi="Times New Roman"/>
                <w:bCs/>
              </w:rPr>
            </w:pPr>
            <w:r w:rsidRPr="00F22E9A" w:rsidR="00F22E9A">
              <w:rPr>
                <w:rFonts w:ascii="Times New Roman" w:hAnsi="Times New Roman"/>
                <w:bCs/>
              </w:rPr>
              <w:t>13 430</w:t>
            </w:r>
          </w:p>
        </w:tc>
      </w:tr>
      <w:tr>
        <w:tblPrEx>
          <w:tblW w:w="10607" w:type="dxa"/>
          <w:jc w:val="center"/>
          <w:tblInd w:w="-479" w:type="dxa"/>
          <w:tblCellMar>
            <w:left w:w="70" w:type="dxa"/>
            <w:right w:w="70" w:type="dxa"/>
          </w:tblCellMar>
        </w:tblPrEx>
        <w:trPr>
          <w:trHeight w:val="132"/>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FF0FC2" w:rsidP="008F5EBC">
            <w:pPr>
              <w:bidi w:val="0"/>
              <w:spacing w:line="132" w:lineRule="atLeast"/>
              <w:rPr>
                <w:rFonts w:ascii="Times New Roman" w:hAnsi="Times New Roman"/>
              </w:rPr>
            </w:pPr>
            <w:r w:rsidRPr="00FF0FC2">
              <w:rPr>
                <w:rFonts w:ascii="Times New Roman" w:hAnsi="Times New Roman"/>
              </w:rPr>
              <w:t xml:space="preserve">v tom: </w:t>
            </w:r>
            <w:r>
              <w:rPr>
                <w:rFonts w:ascii="Times New Roman" w:hAnsi="Times New Roman"/>
              </w:rPr>
              <w:t>všeobecná pokladničná správa</w:t>
            </w:r>
          </w:p>
        </w:tc>
        <w:tc>
          <w:tcPr>
            <w:tcW w:w="1460"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C469FA" w:rsidP="000D1C7C">
            <w:pPr>
              <w:bidi w:val="0"/>
              <w:spacing w:line="132" w:lineRule="atLeast"/>
              <w:jc w:val="right"/>
              <w:rPr>
                <w:rFonts w:ascii="Times New Roman" w:hAnsi="Times New Roman"/>
              </w:rPr>
            </w:pPr>
            <w:r>
              <w:rPr>
                <w:rFonts w:ascii="Times New Roman" w:hAnsi="Times New Roman"/>
              </w:rPr>
              <w:t>0</w:t>
            </w:r>
          </w:p>
        </w:tc>
        <w:tc>
          <w:tcPr>
            <w:tcW w:w="1842" w:type="dxa"/>
            <w:tcBorders>
              <w:top w:val="single" w:sz="4" w:space="0" w:color="auto"/>
              <w:left w:val="single" w:sz="4" w:space="0" w:color="auto"/>
              <w:bottom w:val="single" w:sz="4" w:space="0" w:color="auto"/>
              <w:right w:val="single" w:sz="4" w:space="0" w:color="auto"/>
            </w:tcBorders>
            <w:noWrap/>
            <w:textDirection w:val="lrTb"/>
            <w:vAlign w:val="top"/>
          </w:tcPr>
          <w:p w:rsidR="008F5EBC" w:rsidRPr="00F22E9A" w:rsidP="00DA12EE">
            <w:pPr>
              <w:bidi w:val="0"/>
              <w:jc w:val="right"/>
              <w:rPr>
                <w:rFonts w:ascii="Times New Roman" w:hAnsi="Times New Roman"/>
              </w:rPr>
            </w:pPr>
            <w:r w:rsidRPr="00F22E9A">
              <w:rPr>
                <w:rFonts w:ascii="Times New Roman" w:hAnsi="Times New Roman"/>
              </w:rPr>
              <w:t>25 987</w:t>
            </w:r>
          </w:p>
        </w:tc>
        <w:tc>
          <w:tcPr>
            <w:tcW w:w="1628" w:type="dxa"/>
            <w:tcBorders>
              <w:top w:val="single" w:sz="4" w:space="0" w:color="auto"/>
              <w:left w:val="single" w:sz="4" w:space="0" w:color="auto"/>
              <w:bottom w:val="single" w:sz="4" w:space="0" w:color="auto"/>
              <w:right w:val="single" w:sz="4" w:space="0" w:color="auto"/>
            </w:tcBorders>
            <w:noWrap/>
            <w:textDirection w:val="lrTb"/>
            <w:vAlign w:val="top"/>
          </w:tcPr>
          <w:p w:rsidR="008F5EBC" w:rsidRPr="00F22E9A" w:rsidP="00DA12EE">
            <w:pPr>
              <w:bidi w:val="0"/>
              <w:jc w:val="right"/>
              <w:rPr>
                <w:rFonts w:ascii="Times New Roman" w:hAnsi="Times New Roman"/>
              </w:rPr>
            </w:pPr>
            <w:r w:rsidRPr="00F22E9A">
              <w:rPr>
                <w:rFonts w:ascii="Times New Roman" w:hAnsi="Times New Roman"/>
              </w:rPr>
              <w:t>18 475</w:t>
            </w:r>
          </w:p>
        </w:tc>
        <w:tc>
          <w:tcPr>
            <w:tcW w:w="1527" w:type="dxa"/>
            <w:tcBorders>
              <w:top w:val="single" w:sz="4" w:space="0" w:color="auto"/>
              <w:left w:val="single" w:sz="4" w:space="0" w:color="auto"/>
              <w:bottom w:val="single" w:sz="4" w:space="0" w:color="auto"/>
              <w:right w:val="single" w:sz="4" w:space="0" w:color="auto"/>
            </w:tcBorders>
            <w:noWrap/>
            <w:textDirection w:val="lrTb"/>
            <w:vAlign w:val="top"/>
          </w:tcPr>
          <w:p w:rsidR="008F5EBC" w:rsidRPr="00F22E9A" w:rsidP="00DA12EE">
            <w:pPr>
              <w:bidi w:val="0"/>
              <w:jc w:val="right"/>
              <w:rPr>
                <w:rFonts w:ascii="Times New Roman" w:hAnsi="Times New Roman"/>
              </w:rPr>
            </w:pPr>
            <w:r w:rsidRPr="00F22E9A">
              <w:rPr>
                <w:rFonts w:ascii="Times New Roman" w:hAnsi="Times New Roman"/>
              </w:rPr>
              <w:t>13 430</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FF0FC2" w:rsidP="00E62BFE">
            <w:pPr>
              <w:bidi w:val="0"/>
              <w:spacing w:line="70" w:lineRule="atLeast"/>
              <w:rPr>
                <w:rFonts w:ascii="Times New Roman" w:hAnsi="Times New Roman"/>
                <w:b/>
                <w:bCs/>
                <w:i/>
                <w:iCs/>
              </w:rPr>
            </w:pPr>
            <w:r w:rsidRPr="00FF0FC2">
              <w:rPr>
                <w:rFonts w:ascii="Times New Roman" w:hAnsi="Times New Roman"/>
                <w:b/>
                <w:bCs/>
                <w:i/>
                <w:iCs/>
              </w:rPr>
              <w:t>z toho vplyv na štátny rozpočet</w:t>
            </w:r>
          </w:p>
        </w:tc>
        <w:tc>
          <w:tcPr>
            <w:tcW w:w="1460" w:type="dxa"/>
            <w:tcBorders>
              <w:top w:val="single" w:sz="4" w:space="0" w:color="auto"/>
              <w:left w:val="single" w:sz="4" w:space="0" w:color="auto"/>
              <w:bottom w:val="single" w:sz="4" w:space="0" w:color="auto"/>
              <w:right w:val="single" w:sz="4" w:space="0" w:color="auto"/>
            </w:tcBorders>
            <w:noWrap/>
            <w:textDirection w:val="lrTb"/>
            <w:vAlign w:val="top"/>
          </w:tcPr>
          <w:p w:rsidR="006748FA" w:rsidRPr="00C469FA" w:rsidP="000D1C7C">
            <w:pPr>
              <w:bidi w:val="0"/>
              <w:jc w:val="right"/>
              <w:rPr>
                <w:rFonts w:ascii="Times New Roman" w:hAnsi="Times New Roman"/>
              </w:rPr>
            </w:pPr>
            <w:r w:rsidR="007D36C1">
              <w:rPr>
                <w:rFonts w:ascii="Times New Roman" w:hAnsi="Times New Roman"/>
              </w:rPr>
              <w:t>0</w:t>
            </w:r>
          </w:p>
        </w:tc>
        <w:tc>
          <w:tcPr>
            <w:tcW w:w="1842" w:type="dxa"/>
            <w:tcBorders>
              <w:top w:val="single" w:sz="4" w:space="0" w:color="auto"/>
              <w:left w:val="single" w:sz="4" w:space="0" w:color="auto"/>
              <w:bottom w:val="single" w:sz="4" w:space="0" w:color="auto"/>
              <w:right w:val="single" w:sz="4" w:space="0" w:color="auto"/>
            </w:tcBorders>
            <w:noWrap/>
            <w:textDirection w:val="lrTb"/>
            <w:vAlign w:val="top"/>
          </w:tcPr>
          <w:p w:rsidR="006748FA" w:rsidRPr="00F22E9A" w:rsidP="000D1C7C">
            <w:pPr>
              <w:bidi w:val="0"/>
              <w:jc w:val="right"/>
              <w:rPr>
                <w:rFonts w:ascii="Times New Roman" w:hAnsi="Times New Roman"/>
              </w:rPr>
            </w:pPr>
            <w:r w:rsidRPr="00F22E9A" w:rsidR="00F22E9A">
              <w:rPr>
                <w:rFonts w:ascii="Times New Roman" w:hAnsi="Times New Roman"/>
              </w:rPr>
              <w:t>25 987</w:t>
            </w:r>
          </w:p>
        </w:tc>
        <w:tc>
          <w:tcPr>
            <w:tcW w:w="1628" w:type="dxa"/>
            <w:tcBorders>
              <w:top w:val="single" w:sz="4" w:space="0" w:color="auto"/>
              <w:left w:val="single" w:sz="4" w:space="0" w:color="auto"/>
              <w:bottom w:val="single" w:sz="4" w:space="0" w:color="auto"/>
              <w:right w:val="single" w:sz="4" w:space="0" w:color="auto"/>
            </w:tcBorders>
            <w:noWrap/>
            <w:textDirection w:val="lrTb"/>
            <w:vAlign w:val="top"/>
          </w:tcPr>
          <w:p w:rsidR="006748FA" w:rsidRPr="00F22E9A" w:rsidP="000D1C7C">
            <w:pPr>
              <w:bidi w:val="0"/>
              <w:jc w:val="right"/>
              <w:rPr>
                <w:rFonts w:ascii="Times New Roman" w:hAnsi="Times New Roman"/>
              </w:rPr>
            </w:pPr>
            <w:r w:rsidRPr="00F22E9A" w:rsidR="00F22E9A">
              <w:rPr>
                <w:rFonts w:ascii="Times New Roman" w:hAnsi="Times New Roman"/>
              </w:rPr>
              <w:t>18 475</w:t>
            </w:r>
          </w:p>
        </w:tc>
        <w:tc>
          <w:tcPr>
            <w:tcW w:w="1527" w:type="dxa"/>
            <w:tcBorders>
              <w:top w:val="single" w:sz="4" w:space="0" w:color="auto"/>
              <w:left w:val="single" w:sz="4" w:space="0" w:color="auto"/>
              <w:bottom w:val="single" w:sz="4" w:space="0" w:color="auto"/>
              <w:right w:val="single" w:sz="4" w:space="0" w:color="auto"/>
            </w:tcBorders>
            <w:noWrap/>
            <w:textDirection w:val="lrTb"/>
            <w:vAlign w:val="top"/>
          </w:tcPr>
          <w:p w:rsidR="006748FA" w:rsidRPr="00F22E9A" w:rsidP="00BB0DE3">
            <w:pPr>
              <w:bidi w:val="0"/>
              <w:jc w:val="right"/>
              <w:rPr>
                <w:rFonts w:ascii="Times New Roman" w:hAnsi="Times New Roman"/>
              </w:rPr>
            </w:pPr>
            <w:r w:rsidRPr="00F22E9A" w:rsidR="00F22E9A">
              <w:rPr>
                <w:rFonts w:ascii="Times New Roman" w:hAnsi="Times New Roman"/>
              </w:rPr>
              <w:t>13 430</w:t>
            </w:r>
          </w:p>
        </w:tc>
      </w:tr>
      <w:tr>
        <w:tblPrEx>
          <w:tblW w:w="10607" w:type="dxa"/>
          <w:jc w:val="center"/>
          <w:tblInd w:w="-479" w:type="dxa"/>
          <w:tblCellMar>
            <w:left w:w="70" w:type="dxa"/>
            <w:right w:w="70" w:type="dxa"/>
          </w:tblCellMar>
        </w:tblPrEx>
        <w:trPr>
          <w:trHeight w:val="125"/>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FF0FC2" w:rsidP="00E62BFE">
            <w:pPr>
              <w:bidi w:val="0"/>
              <w:spacing w:line="125" w:lineRule="atLeast"/>
              <w:rPr>
                <w:rFonts w:ascii="Times New Roman" w:hAnsi="Times New Roman"/>
                <w:b/>
                <w:bCs/>
                <w:i/>
                <w:iCs/>
              </w:rPr>
            </w:pPr>
            <w:r w:rsidRPr="00FF0FC2">
              <w:rPr>
                <w:rFonts w:ascii="Times New Roman" w:hAnsi="Times New Roman"/>
                <w:b/>
                <w:bCs/>
                <w:i/>
                <w:iCs/>
              </w:rPr>
              <w:t>z toho vplyv na územnú samosprávu</w:t>
            </w:r>
          </w:p>
        </w:tc>
        <w:tc>
          <w:tcPr>
            <w:tcW w:w="146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C469FA" w:rsidP="000D1C7C">
            <w:pPr>
              <w:bidi w:val="0"/>
              <w:spacing w:line="125" w:lineRule="atLeast"/>
              <w:jc w:val="right"/>
              <w:rPr>
                <w:rFonts w:ascii="Times New Roman" w:hAnsi="Times New Roman"/>
                <w:bCs/>
                <w:iCs/>
              </w:rPr>
            </w:pPr>
            <w:r w:rsidRPr="00C469FA">
              <w:rPr>
                <w:rFonts w:ascii="Times New Roman" w:hAnsi="Times New Roman"/>
                <w:bCs/>
                <w:iCs/>
              </w:rPr>
              <w:t>0</w:t>
            </w:r>
          </w:p>
        </w:tc>
        <w:tc>
          <w:tcPr>
            <w:tcW w:w="1842"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7D36C1" w:rsidP="000D1C7C">
            <w:pPr>
              <w:bidi w:val="0"/>
              <w:spacing w:line="125" w:lineRule="atLeast"/>
              <w:jc w:val="right"/>
              <w:rPr>
                <w:rFonts w:ascii="Times New Roman" w:hAnsi="Times New Roman"/>
                <w:b/>
                <w:bCs/>
                <w:iCs/>
              </w:rPr>
            </w:pPr>
            <w:r w:rsidRPr="007D36C1">
              <w:rPr>
                <w:rFonts w:ascii="Times New Roman" w:hAnsi="Times New Roman"/>
                <w:b/>
                <w:bCs/>
                <w:iCs/>
              </w:rPr>
              <w:t>0</w:t>
            </w:r>
          </w:p>
        </w:tc>
        <w:tc>
          <w:tcPr>
            <w:tcW w:w="1628"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7D36C1" w:rsidP="000D1C7C">
            <w:pPr>
              <w:bidi w:val="0"/>
              <w:spacing w:line="125" w:lineRule="atLeast"/>
              <w:jc w:val="right"/>
              <w:rPr>
                <w:rFonts w:ascii="Times New Roman" w:hAnsi="Times New Roman"/>
                <w:b/>
                <w:bCs/>
                <w:iCs/>
              </w:rPr>
            </w:pPr>
            <w:r w:rsidRPr="007D36C1">
              <w:rPr>
                <w:rFonts w:ascii="Times New Roman" w:hAnsi="Times New Roman"/>
                <w:b/>
                <w:bCs/>
                <w:iCs/>
              </w:rPr>
              <w:t>0</w:t>
            </w:r>
          </w:p>
        </w:tc>
        <w:tc>
          <w:tcPr>
            <w:tcW w:w="1527"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7D36C1" w:rsidP="00E62BFE">
            <w:pPr>
              <w:bidi w:val="0"/>
              <w:spacing w:line="125" w:lineRule="atLeast"/>
              <w:jc w:val="right"/>
              <w:rPr>
                <w:rFonts w:ascii="Times New Roman" w:hAnsi="Times New Roman"/>
                <w:b/>
                <w:bCs/>
                <w:iCs/>
              </w:rPr>
            </w:pPr>
            <w:r w:rsidRPr="007D36C1" w:rsidR="00C233DF">
              <w:rPr>
                <w:rFonts w:ascii="Times New Roman" w:hAnsi="Times New Roman"/>
                <w:b/>
                <w:bCs/>
                <w:iCs/>
              </w:rPr>
              <w:t>0</w:t>
            </w:r>
          </w:p>
        </w:tc>
      </w:tr>
      <w:tr>
        <w:tblPrEx>
          <w:tblW w:w="10607" w:type="dxa"/>
          <w:jc w:val="center"/>
          <w:tblInd w:w="-479" w:type="dxa"/>
          <w:tblCellMar>
            <w:left w:w="70" w:type="dxa"/>
            <w:right w:w="70" w:type="dxa"/>
          </w:tblCellMar>
        </w:tblPrEx>
        <w:trPr>
          <w:trHeight w:val="125"/>
          <w:jc w:val="center"/>
        </w:trPr>
        <w:tc>
          <w:tcPr>
            <w:tcW w:w="41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FF0FC2" w:rsidP="00E62BFE">
            <w:pPr>
              <w:bidi w:val="0"/>
              <w:spacing w:line="125" w:lineRule="atLeast"/>
              <w:rPr>
                <w:rFonts w:ascii="Times New Roman" w:hAnsi="Times New Roman"/>
                <w:b/>
                <w:bCs/>
              </w:rPr>
            </w:pPr>
            <w:r w:rsidRPr="00FF0FC2">
              <w:rPr>
                <w:rFonts w:ascii="Times New Roman" w:hAnsi="Times New Roman"/>
                <w:b/>
                <w:bCs/>
              </w:rPr>
              <w:t>Výdavky verejnej správy celkom</w:t>
            </w:r>
          </w:p>
        </w:tc>
        <w:tc>
          <w:tcPr>
            <w:tcW w:w="146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C469FA" w:rsidP="000D1C7C">
            <w:pPr>
              <w:bidi w:val="0"/>
              <w:spacing w:line="125" w:lineRule="atLeast"/>
              <w:jc w:val="right"/>
              <w:rPr>
                <w:rFonts w:ascii="Times New Roman" w:hAnsi="Times New Roman"/>
                <w:bCs/>
              </w:rPr>
            </w:pPr>
            <w:r w:rsidR="00DB3CD9">
              <w:rPr>
                <w:rFonts w:ascii="Times New Roman" w:hAnsi="Times New Roman"/>
              </w:rPr>
              <w:t>2</w:t>
            </w:r>
            <w:r w:rsidR="007D36C1">
              <w:rPr>
                <w:rFonts w:ascii="Times New Roman" w:hAnsi="Times New Roman"/>
              </w:rPr>
              <w:t> </w:t>
            </w:r>
            <w:r w:rsidR="00DB3CD9">
              <w:rPr>
                <w:rFonts w:ascii="Times New Roman" w:hAnsi="Times New Roman"/>
              </w:rPr>
              <w:t>430</w:t>
            </w:r>
            <w:r w:rsidR="007D36C1">
              <w:rPr>
                <w:rFonts w:ascii="Times New Roman" w:hAnsi="Times New Roman"/>
              </w:rPr>
              <w:t xml:space="preserve"> </w:t>
            </w:r>
            <w:r w:rsidRPr="00C469FA">
              <w:rPr>
                <w:rFonts w:ascii="Times New Roman" w:hAnsi="Times New Roman"/>
              </w:rPr>
              <w:t>000</w:t>
            </w:r>
          </w:p>
        </w:tc>
        <w:tc>
          <w:tcPr>
            <w:tcW w:w="184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3D709F" w:rsidP="000D1C7C">
            <w:pPr>
              <w:bidi w:val="0"/>
              <w:spacing w:line="125" w:lineRule="atLeast"/>
              <w:jc w:val="right"/>
              <w:rPr>
                <w:rFonts w:ascii="Times New Roman" w:hAnsi="Times New Roman"/>
                <w:b/>
                <w:bCs/>
              </w:rPr>
            </w:pPr>
            <w:r w:rsidRPr="003D709F">
              <w:rPr>
                <w:rFonts w:ascii="Times New Roman" w:hAnsi="Times New Roman"/>
                <w:b/>
                <w:bCs/>
              </w:rPr>
              <w:t>0</w:t>
            </w:r>
          </w:p>
        </w:tc>
        <w:tc>
          <w:tcPr>
            <w:tcW w:w="162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3D709F" w:rsidP="000D1C7C">
            <w:pPr>
              <w:bidi w:val="0"/>
              <w:spacing w:line="125" w:lineRule="atLeast"/>
              <w:jc w:val="right"/>
              <w:rPr>
                <w:rFonts w:ascii="Times New Roman" w:hAnsi="Times New Roman"/>
                <w:b/>
                <w:bCs/>
              </w:rPr>
            </w:pPr>
            <w:r w:rsidRPr="003D709F">
              <w:rPr>
                <w:rFonts w:ascii="Times New Roman" w:hAnsi="Times New Roman"/>
                <w:b/>
                <w:bCs/>
              </w:rPr>
              <w:t xml:space="preserve">0   </w:t>
            </w:r>
          </w:p>
        </w:tc>
        <w:tc>
          <w:tcPr>
            <w:tcW w:w="152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3D709F" w:rsidP="00E62BFE">
            <w:pPr>
              <w:bidi w:val="0"/>
              <w:spacing w:line="125" w:lineRule="atLeast"/>
              <w:jc w:val="right"/>
              <w:rPr>
                <w:rFonts w:ascii="Times New Roman" w:hAnsi="Times New Roman"/>
                <w:b/>
                <w:bCs/>
              </w:rPr>
            </w:pPr>
            <w:r w:rsidR="00C233DF">
              <w:rPr>
                <w:rFonts w:ascii="Times New Roman" w:hAnsi="Times New Roman"/>
                <w:b/>
                <w:bCs/>
              </w:rPr>
              <w:t>0</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FF0FC2" w:rsidP="00E62BFE">
            <w:pPr>
              <w:bidi w:val="0"/>
              <w:spacing w:line="70" w:lineRule="atLeast"/>
              <w:rPr>
                <w:rFonts w:ascii="Times New Roman" w:hAnsi="Times New Roman"/>
              </w:rPr>
            </w:pPr>
            <w:r w:rsidRPr="00FF0FC2">
              <w:rPr>
                <w:rFonts w:ascii="Times New Roman" w:hAnsi="Times New Roman"/>
              </w:rPr>
              <w:t>v tom: M</w:t>
            </w:r>
            <w:r w:rsidR="00600386">
              <w:rPr>
                <w:rFonts w:ascii="Times New Roman" w:hAnsi="Times New Roman"/>
              </w:rPr>
              <w:t>inisterstvo vnútra</w:t>
            </w:r>
            <w:r w:rsidR="007D36C1">
              <w:rPr>
                <w:rFonts w:ascii="Times New Roman" w:hAnsi="Times New Roman"/>
              </w:rPr>
              <w:t xml:space="preserve"> SR </w:t>
            </w:r>
          </w:p>
        </w:tc>
        <w:tc>
          <w:tcPr>
            <w:tcW w:w="146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C469FA" w:rsidP="000D1C7C">
            <w:pPr>
              <w:bidi w:val="0"/>
              <w:spacing w:line="70" w:lineRule="atLeast"/>
              <w:jc w:val="right"/>
              <w:rPr>
                <w:rFonts w:ascii="Times New Roman" w:hAnsi="Times New Roman"/>
              </w:rPr>
            </w:pPr>
            <w:r w:rsidR="007D36C1">
              <w:rPr>
                <w:rFonts w:ascii="Times New Roman" w:hAnsi="Times New Roman"/>
              </w:rPr>
              <w:t>2 43</w:t>
            </w:r>
            <w:r w:rsidR="00DB3CD9">
              <w:rPr>
                <w:rFonts w:ascii="Times New Roman" w:hAnsi="Times New Roman"/>
              </w:rPr>
              <w:t>0</w:t>
            </w:r>
            <w:r w:rsidR="007D36C1">
              <w:rPr>
                <w:rFonts w:ascii="Times New Roman" w:hAnsi="Times New Roman"/>
              </w:rPr>
              <w:t xml:space="preserve"> </w:t>
            </w:r>
            <w:r w:rsidR="00DB3CD9">
              <w:rPr>
                <w:rFonts w:ascii="Times New Roman" w:hAnsi="Times New Roman"/>
              </w:rPr>
              <w:t>000</w:t>
            </w:r>
          </w:p>
        </w:tc>
        <w:tc>
          <w:tcPr>
            <w:tcW w:w="1842"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0D1C7C">
            <w:pPr>
              <w:bidi w:val="0"/>
              <w:spacing w:line="70" w:lineRule="atLeast"/>
              <w:jc w:val="right"/>
              <w:rPr>
                <w:rFonts w:ascii="Times New Roman" w:hAnsi="Times New Roman"/>
                <w:b/>
              </w:rPr>
            </w:pPr>
            <w:r w:rsidRPr="003D709F">
              <w:rPr>
                <w:rFonts w:ascii="Times New Roman" w:hAnsi="Times New Roman"/>
                <w:b/>
              </w:rPr>
              <w:t>0</w:t>
            </w:r>
          </w:p>
        </w:tc>
        <w:tc>
          <w:tcPr>
            <w:tcW w:w="1628"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0D1C7C">
            <w:pPr>
              <w:bidi w:val="0"/>
              <w:spacing w:line="70" w:lineRule="atLeast"/>
              <w:jc w:val="right"/>
              <w:rPr>
                <w:rFonts w:ascii="Times New Roman" w:hAnsi="Times New Roman"/>
              </w:rPr>
            </w:pPr>
            <w:r w:rsidRPr="003D709F">
              <w:rPr>
                <w:rFonts w:ascii="Times New Roman" w:hAnsi="Times New Roman"/>
              </w:rPr>
              <w:t>0</w:t>
            </w:r>
          </w:p>
        </w:tc>
        <w:tc>
          <w:tcPr>
            <w:tcW w:w="1527"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00C233DF">
              <w:rPr>
                <w:rFonts w:ascii="Times New Roman" w:hAnsi="Times New Roman"/>
              </w:rPr>
              <w:t>0</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FF0FC2" w:rsidP="00E62BFE">
            <w:pPr>
              <w:bidi w:val="0"/>
              <w:spacing w:line="70" w:lineRule="atLeast"/>
              <w:rPr>
                <w:rFonts w:ascii="Times New Roman" w:hAnsi="Times New Roman"/>
                <w:b/>
                <w:bCs/>
                <w:i/>
                <w:iCs/>
              </w:rPr>
            </w:pPr>
            <w:r w:rsidRPr="00FF0FC2">
              <w:rPr>
                <w:rFonts w:ascii="Times New Roman" w:hAnsi="Times New Roman"/>
                <w:b/>
                <w:bCs/>
                <w:i/>
                <w:iCs/>
              </w:rPr>
              <w:t>z toho vplyv na štátny rozpočet</w:t>
            </w:r>
          </w:p>
        </w:tc>
        <w:tc>
          <w:tcPr>
            <w:tcW w:w="146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C469FA" w:rsidP="000D1C7C">
            <w:pPr>
              <w:bidi w:val="0"/>
              <w:spacing w:line="70" w:lineRule="atLeast"/>
              <w:jc w:val="right"/>
              <w:rPr>
                <w:rFonts w:ascii="Times New Roman" w:hAnsi="Times New Roman"/>
                <w:bCs/>
                <w:iCs/>
              </w:rPr>
            </w:pPr>
            <w:r w:rsidR="00DB3CD9">
              <w:rPr>
                <w:rFonts w:ascii="Times New Roman" w:hAnsi="Times New Roman"/>
                <w:bCs/>
                <w:iCs/>
              </w:rPr>
              <w:t>0</w:t>
            </w:r>
          </w:p>
        </w:tc>
        <w:tc>
          <w:tcPr>
            <w:tcW w:w="1842"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0D1C7C">
            <w:pPr>
              <w:bidi w:val="0"/>
              <w:spacing w:line="70" w:lineRule="atLeast"/>
              <w:jc w:val="right"/>
              <w:rPr>
                <w:rFonts w:ascii="Times New Roman" w:hAnsi="Times New Roman"/>
                <w:b/>
                <w:bCs/>
                <w:iCs/>
                <w:color w:val="000000"/>
              </w:rPr>
            </w:pPr>
            <w:r w:rsidRPr="003D709F">
              <w:rPr>
                <w:rFonts w:ascii="Times New Roman" w:hAnsi="Times New Roman"/>
                <w:b/>
                <w:color w:val="000000"/>
              </w:rPr>
              <w:t xml:space="preserve">0  </w:t>
            </w:r>
          </w:p>
        </w:tc>
        <w:tc>
          <w:tcPr>
            <w:tcW w:w="1628"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0D1C7C">
            <w:pPr>
              <w:bidi w:val="0"/>
              <w:spacing w:line="70" w:lineRule="atLeast"/>
              <w:jc w:val="right"/>
              <w:rPr>
                <w:rFonts w:ascii="Times New Roman" w:hAnsi="Times New Roman"/>
                <w:b/>
                <w:bCs/>
                <w:iCs/>
              </w:rPr>
            </w:pPr>
            <w:r w:rsidRPr="003D709F">
              <w:rPr>
                <w:rFonts w:ascii="Times New Roman" w:hAnsi="Times New Roman"/>
                <w:b/>
                <w:bCs/>
                <w:iCs/>
              </w:rPr>
              <w:t>0</w:t>
            </w:r>
          </w:p>
        </w:tc>
        <w:tc>
          <w:tcPr>
            <w:tcW w:w="1527"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080C23">
            <w:pPr>
              <w:bidi w:val="0"/>
              <w:spacing w:line="70" w:lineRule="atLeast"/>
              <w:jc w:val="right"/>
              <w:rPr>
                <w:rFonts w:ascii="Times New Roman" w:hAnsi="Times New Roman"/>
                <w:b/>
                <w:bCs/>
                <w:iCs/>
              </w:rPr>
            </w:pPr>
            <w:r w:rsidR="00C233DF">
              <w:rPr>
                <w:rFonts w:ascii="Times New Roman" w:hAnsi="Times New Roman"/>
                <w:b/>
                <w:bCs/>
                <w:iCs/>
              </w:rPr>
              <w:t>0</w:t>
            </w:r>
          </w:p>
        </w:tc>
      </w:tr>
      <w:tr>
        <w:tblPrEx>
          <w:tblW w:w="10607" w:type="dxa"/>
          <w:jc w:val="center"/>
          <w:tblInd w:w="-479" w:type="dxa"/>
          <w:tblCellMar>
            <w:left w:w="70" w:type="dxa"/>
            <w:right w:w="70" w:type="dxa"/>
          </w:tblCellMar>
        </w:tblPrEx>
        <w:trPr>
          <w:trHeight w:val="125"/>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FF0FC2" w:rsidP="00E62BFE">
            <w:pPr>
              <w:bidi w:val="0"/>
              <w:spacing w:line="125" w:lineRule="atLeast"/>
              <w:rPr>
                <w:rFonts w:ascii="Times New Roman" w:hAnsi="Times New Roman"/>
                <w:b/>
                <w:bCs/>
                <w:i/>
                <w:iCs/>
              </w:rPr>
            </w:pPr>
            <w:r w:rsidRPr="00FF0FC2">
              <w:rPr>
                <w:rFonts w:ascii="Times New Roman" w:hAnsi="Times New Roman"/>
                <w:b/>
                <w:bCs/>
                <w:i/>
                <w:iCs/>
              </w:rPr>
              <w:t>z toho vplyv na územnú samosprávu</w:t>
            </w:r>
          </w:p>
        </w:tc>
        <w:tc>
          <w:tcPr>
            <w:tcW w:w="146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0D1C7C">
            <w:pPr>
              <w:bidi w:val="0"/>
              <w:spacing w:line="125" w:lineRule="atLeast"/>
              <w:jc w:val="right"/>
              <w:rPr>
                <w:rFonts w:ascii="Times New Roman" w:hAnsi="Times New Roman"/>
                <w:b/>
                <w:bCs/>
                <w:iCs/>
              </w:rPr>
            </w:pPr>
            <w:r w:rsidRPr="003D709F">
              <w:rPr>
                <w:rFonts w:ascii="Times New Roman" w:hAnsi="Times New Roman"/>
                <w:b/>
                <w:bCs/>
                <w:iCs/>
              </w:rPr>
              <w:t>0</w:t>
            </w:r>
          </w:p>
        </w:tc>
        <w:tc>
          <w:tcPr>
            <w:tcW w:w="1842"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0D1C7C">
            <w:pPr>
              <w:bidi w:val="0"/>
              <w:spacing w:line="125" w:lineRule="atLeast"/>
              <w:jc w:val="right"/>
              <w:rPr>
                <w:rFonts w:ascii="Times New Roman" w:hAnsi="Times New Roman"/>
                <w:b/>
                <w:bCs/>
                <w:iCs/>
              </w:rPr>
            </w:pPr>
            <w:r w:rsidRPr="003D709F">
              <w:rPr>
                <w:rFonts w:ascii="Times New Roman" w:hAnsi="Times New Roman"/>
                <w:b/>
                <w:bCs/>
                <w:iCs/>
              </w:rPr>
              <w:t>0</w:t>
            </w:r>
          </w:p>
        </w:tc>
        <w:tc>
          <w:tcPr>
            <w:tcW w:w="1628"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0D1C7C">
            <w:pPr>
              <w:bidi w:val="0"/>
              <w:spacing w:line="125" w:lineRule="atLeast"/>
              <w:jc w:val="right"/>
              <w:rPr>
                <w:rFonts w:ascii="Times New Roman" w:hAnsi="Times New Roman"/>
                <w:b/>
                <w:bCs/>
                <w:iCs/>
              </w:rPr>
            </w:pPr>
            <w:r w:rsidRPr="003D709F">
              <w:rPr>
                <w:rFonts w:ascii="Times New Roman" w:hAnsi="Times New Roman"/>
                <w:b/>
                <w:bCs/>
                <w:iCs/>
              </w:rPr>
              <w:t>0</w:t>
            </w:r>
          </w:p>
        </w:tc>
        <w:tc>
          <w:tcPr>
            <w:tcW w:w="1527"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125" w:lineRule="atLeast"/>
              <w:jc w:val="right"/>
              <w:rPr>
                <w:rFonts w:ascii="Times New Roman" w:hAnsi="Times New Roman"/>
                <w:b/>
                <w:bCs/>
                <w:iCs/>
              </w:rPr>
            </w:pPr>
            <w:r w:rsidR="00C233DF">
              <w:rPr>
                <w:rFonts w:ascii="Times New Roman" w:hAnsi="Times New Roman"/>
                <w:b/>
                <w:bCs/>
                <w:iCs/>
              </w:rPr>
              <w:t>0</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FF0FC2" w:rsidP="00E62BFE">
            <w:pPr>
              <w:bidi w:val="0"/>
              <w:spacing w:line="70" w:lineRule="atLeast"/>
              <w:rPr>
                <w:rFonts w:ascii="Times New Roman" w:hAnsi="Times New Roman"/>
                <w:b/>
                <w:bCs/>
              </w:rPr>
            </w:pPr>
            <w:r w:rsidRPr="00FF0FC2">
              <w:rPr>
                <w:rFonts w:ascii="Times New Roman" w:hAnsi="Times New Roman"/>
                <w:b/>
                <w:bCs/>
              </w:rPr>
              <w:t>Celková zamestnanosť (počet)</w:t>
            </w:r>
          </w:p>
        </w:tc>
        <w:tc>
          <w:tcPr>
            <w:tcW w:w="146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3D709F" w:rsidP="00E62BFE">
            <w:pPr>
              <w:bidi w:val="0"/>
              <w:spacing w:line="70" w:lineRule="atLeast"/>
              <w:jc w:val="right"/>
              <w:rPr>
                <w:rFonts w:ascii="Times New Roman" w:hAnsi="Times New Roman"/>
                <w:b/>
                <w:bCs/>
              </w:rPr>
            </w:pPr>
            <w:r w:rsidRPr="003D709F">
              <w:rPr>
                <w:rFonts w:ascii="Times New Roman" w:hAnsi="Times New Roman"/>
                <w:b/>
                <w:bCs/>
              </w:rPr>
              <w:t>0</w:t>
            </w:r>
          </w:p>
        </w:tc>
        <w:tc>
          <w:tcPr>
            <w:tcW w:w="184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3D709F" w:rsidP="00E62BFE">
            <w:pPr>
              <w:bidi w:val="0"/>
              <w:spacing w:line="70" w:lineRule="atLeast"/>
              <w:jc w:val="right"/>
              <w:rPr>
                <w:rFonts w:ascii="Times New Roman" w:hAnsi="Times New Roman"/>
                <w:b/>
                <w:bCs/>
              </w:rPr>
            </w:pPr>
            <w:r w:rsidRPr="003D709F">
              <w:rPr>
                <w:rFonts w:ascii="Times New Roman" w:hAnsi="Times New Roman"/>
                <w:b/>
                <w:bCs/>
              </w:rPr>
              <w:t>0</w:t>
            </w:r>
          </w:p>
        </w:tc>
        <w:tc>
          <w:tcPr>
            <w:tcW w:w="162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3D709F" w:rsidP="00E62BFE">
            <w:pPr>
              <w:bidi w:val="0"/>
              <w:spacing w:line="70" w:lineRule="atLeast"/>
              <w:jc w:val="right"/>
              <w:rPr>
                <w:rFonts w:ascii="Times New Roman" w:hAnsi="Times New Roman"/>
                <w:b/>
                <w:bCs/>
              </w:rPr>
            </w:pPr>
            <w:r w:rsidRPr="003D709F">
              <w:rPr>
                <w:rFonts w:ascii="Times New Roman" w:hAnsi="Times New Roman"/>
                <w:b/>
                <w:bCs/>
              </w:rPr>
              <w:t>0</w:t>
            </w:r>
          </w:p>
        </w:tc>
        <w:tc>
          <w:tcPr>
            <w:tcW w:w="152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748FA" w:rsidRPr="003D709F" w:rsidP="00E62BFE">
            <w:pPr>
              <w:bidi w:val="0"/>
              <w:spacing w:line="70" w:lineRule="atLeast"/>
              <w:jc w:val="right"/>
              <w:rPr>
                <w:rFonts w:ascii="Times New Roman" w:hAnsi="Times New Roman"/>
                <w:b/>
                <w:bCs/>
              </w:rPr>
            </w:pPr>
            <w:r w:rsidRPr="003D709F">
              <w:rPr>
                <w:rFonts w:ascii="Times New Roman" w:hAnsi="Times New Roman"/>
                <w:b/>
                <w:bCs/>
              </w:rPr>
              <w:t>0</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FF0FC2" w:rsidP="00E62BFE">
            <w:pPr>
              <w:bidi w:val="0"/>
              <w:spacing w:line="70" w:lineRule="atLeast"/>
              <w:rPr>
                <w:rFonts w:ascii="Times New Roman" w:hAnsi="Times New Roman"/>
              </w:rPr>
            </w:pPr>
            <w:r w:rsidRPr="00FF0FC2">
              <w:rPr>
                <w:rFonts w:ascii="Times New Roman" w:hAnsi="Times New Roman"/>
              </w:rPr>
              <w:t>zamestnanci v štátnej službe</w:t>
            </w:r>
          </w:p>
        </w:tc>
        <w:tc>
          <w:tcPr>
            <w:tcW w:w="146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c>
          <w:tcPr>
            <w:tcW w:w="1842"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c>
          <w:tcPr>
            <w:tcW w:w="1628"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c>
          <w:tcPr>
            <w:tcW w:w="1527"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FF0FC2" w:rsidP="00E62BFE">
            <w:pPr>
              <w:bidi w:val="0"/>
              <w:spacing w:line="70" w:lineRule="atLeast"/>
              <w:rPr>
                <w:rFonts w:ascii="Times New Roman" w:hAnsi="Times New Roman"/>
              </w:rPr>
            </w:pPr>
            <w:r w:rsidRPr="00FF0FC2">
              <w:rPr>
                <w:rFonts w:ascii="Times New Roman" w:hAnsi="Times New Roman"/>
              </w:rPr>
              <w:t>zamestnanci pri výkone práce vo verejnom záujme</w:t>
            </w:r>
          </w:p>
        </w:tc>
        <w:tc>
          <w:tcPr>
            <w:tcW w:w="146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c>
          <w:tcPr>
            <w:tcW w:w="1842"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c>
          <w:tcPr>
            <w:tcW w:w="1628"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c>
          <w:tcPr>
            <w:tcW w:w="1527"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FF0FC2" w:rsidP="00E62BFE">
            <w:pPr>
              <w:bidi w:val="0"/>
              <w:spacing w:line="70" w:lineRule="atLeast"/>
              <w:rPr>
                <w:rFonts w:ascii="Times New Roman" w:hAnsi="Times New Roman"/>
              </w:rPr>
            </w:pPr>
            <w:r w:rsidRPr="00FF0FC2">
              <w:rPr>
                <w:rFonts w:ascii="Times New Roman" w:hAnsi="Times New Roman"/>
              </w:rPr>
              <w:t>iné skupiny zamestnancov (špecifikovať)</w:t>
            </w:r>
          </w:p>
        </w:tc>
        <w:tc>
          <w:tcPr>
            <w:tcW w:w="1460"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c>
          <w:tcPr>
            <w:tcW w:w="1842"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c>
          <w:tcPr>
            <w:tcW w:w="1628"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c>
          <w:tcPr>
            <w:tcW w:w="1527" w:type="dxa"/>
            <w:tcBorders>
              <w:top w:val="single" w:sz="4" w:space="0" w:color="auto"/>
              <w:left w:val="single" w:sz="4" w:space="0" w:color="auto"/>
              <w:bottom w:val="single" w:sz="4" w:space="0" w:color="auto"/>
              <w:right w:val="single" w:sz="4" w:space="0" w:color="auto"/>
            </w:tcBorders>
            <w:noWrap/>
            <w:textDirection w:val="lrTb"/>
            <w:vAlign w:val="center"/>
          </w:tcPr>
          <w:p w:rsidR="006748FA" w:rsidRPr="003D709F" w:rsidP="00E62BFE">
            <w:pPr>
              <w:bidi w:val="0"/>
              <w:spacing w:line="70" w:lineRule="atLeast"/>
              <w:jc w:val="right"/>
              <w:rPr>
                <w:rFonts w:ascii="Times New Roman" w:hAnsi="Times New Roman"/>
              </w:rPr>
            </w:pPr>
            <w:r w:rsidRPr="003D709F">
              <w:rPr>
                <w:rFonts w:ascii="Times New Roman" w:hAnsi="Times New Roman"/>
              </w:rPr>
              <w:t>0</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00386" w:rsidRPr="00FF0FC2" w:rsidP="00E62BFE">
            <w:pPr>
              <w:bidi w:val="0"/>
              <w:spacing w:line="70" w:lineRule="atLeast"/>
              <w:rPr>
                <w:rFonts w:ascii="Times New Roman" w:hAnsi="Times New Roman"/>
                <w:b/>
                <w:bCs/>
              </w:rPr>
            </w:pPr>
            <w:r w:rsidRPr="00FF0FC2">
              <w:rPr>
                <w:rFonts w:ascii="Times New Roman" w:hAnsi="Times New Roman"/>
                <w:b/>
                <w:bCs/>
              </w:rPr>
              <w:t>Financovanie zabezpečené v rozpočte</w:t>
            </w:r>
          </w:p>
        </w:tc>
        <w:tc>
          <w:tcPr>
            <w:tcW w:w="146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00386" w:rsidRPr="00C469FA" w:rsidP="000D1C7C">
            <w:pPr>
              <w:bidi w:val="0"/>
              <w:spacing w:line="125" w:lineRule="atLeast"/>
              <w:jc w:val="right"/>
              <w:rPr>
                <w:rFonts w:ascii="Times New Roman" w:hAnsi="Times New Roman"/>
                <w:bCs/>
              </w:rPr>
            </w:pPr>
            <w:r w:rsidR="00DB3CD9">
              <w:rPr>
                <w:rFonts w:ascii="Times New Roman" w:hAnsi="Times New Roman"/>
              </w:rPr>
              <w:t>2</w:t>
            </w:r>
            <w:r w:rsidR="007D36C1">
              <w:rPr>
                <w:rFonts w:ascii="Times New Roman" w:hAnsi="Times New Roman"/>
              </w:rPr>
              <w:t> </w:t>
            </w:r>
            <w:r w:rsidR="00DB3CD9">
              <w:rPr>
                <w:rFonts w:ascii="Times New Roman" w:hAnsi="Times New Roman"/>
              </w:rPr>
              <w:t>430</w:t>
            </w:r>
            <w:r w:rsidR="007D36C1">
              <w:rPr>
                <w:rFonts w:ascii="Times New Roman" w:hAnsi="Times New Roman"/>
              </w:rPr>
              <w:t xml:space="preserve"> </w:t>
            </w:r>
            <w:r w:rsidRPr="00C469FA" w:rsidR="00DB3CD9">
              <w:rPr>
                <w:rFonts w:ascii="Times New Roman" w:hAnsi="Times New Roman"/>
              </w:rPr>
              <w:t>000</w:t>
            </w:r>
          </w:p>
        </w:tc>
        <w:tc>
          <w:tcPr>
            <w:tcW w:w="184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00386" w:rsidRPr="003D709F" w:rsidP="00E62BFE">
            <w:pPr>
              <w:bidi w:val="0"/>
              <w:spacing w:line="70" w:lineRule="atLeast"/>
              <w:jc w:val="right"/>
              <w:rPr>
                <w:rFonts w:ascii="Times New Roman" w:hAnsi="Times New Roman"/>
                <w:b/>
                <w:bCs/>
              </w:rPr>
            </w:pPr>
            <w:r w:rsidRPr="003D709F">
              <w:rPr>
                <w:rFonts w:ascii="Times New Roman" w:hAnsi="Times New Roman"/>
                <w:b/>
                <w:bCs/>
              </w:rPr>
              <w:t>0</w:t>
            </w:r>
          </w:p>
        </w:tc>
        <w:tc>
          <w:tcPr>
            <w:tcW w:w="162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00386" w:rsidRPr="003D709F" w:rsidP="00E62BFE">
            <w:pPr>
              <w:bidi w:val="0"/>
              <w:spacing w:line="70" w:lineRule="atLeast"/>
              <w:jc w:val="right"/>
              <w:rPr>
                <w:rFonts w:ascii="Times New Roman" w:hAnsi="Times New Roman"/>
                <w:b/>
                <w:bCs/>
              </w:rPr>
            </w:pPr>
            <w:r w:rsidRPr="003D709F">
              <w:rPr>
                <w:rFonts w:ascii="Times New Roman" w:hAnsi="Times New Roman"/>
                <w:b/>
                <w:bCs/>
              </w:rPr>
              <w:t>0</w:t>
            </w:r>
          </w:p>
        </w:tc>
        <w:tc>
          <w:tcPr>
            <w:tcW w:w="152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00386" w:rsidRPr="003D709F" w:rsidP="00E62BFE">
            <w:pPr>
              <w:bidi w:val="0"/>
              <w:spacing w:line="70" w:lineRule="atLeast"/>
              <w:jc w:val="right"/>
              <w:rPr>
                <w:rFonts w:ascii="Times New Roman" w:hAnsi="Times New Roman"/>
                <w:b/>
                <w:bCs/>
              </w:rPr>
            </w:pPr>
            <w:r w:rsidRPr="003D709F">
              <w:rPr>
                <w:rFonts w:ascii="Times New Roman" w:hAnsi="Times New Roman"/>
                <w:b/>
                <w:bCs/>
              </w:rPr>
              <w:t>0</w:t>
            </w:r>
          </w:p>
        </w:tc>
      </w:tr>
      <w:tr>
        <w:tblPrEx>
          <w:tblW w:w="10607" w:type="dxa"/>
          <w:jc w:val="center"/>
          <w:tblInd w:w="-479" w:type="dxa"/>
          <w:tblCellMar>
            <w:left w:w="70" w:type="dxa"/>
            <w:right w:w="70" w:type="dxa"/>
          </w:tblCellMar>
        </w:tblPrEx>
        <w:trPr>
          <w:trHeight w:val="70"/>
          <w:jc w:val="center"/>
        </w:trPr>
        <w:tc>
          <w:tcPr>
            <w:tcW w:w="4150" w:type="dxa"/>
            <w:tcBorders>
              <w:top w:val="single" w:sz="4" w:space="0" w:color="auto"/>
              <w:left w:val="single" w:sz="4" w:space="0" w:color="auto"/>
              <w:bottom w:val="single" w:sz="4" w:space="0" w:color="auto"/>
              <w:right w:val="single" w:sz="4" w:space="0" w:color="auto"/>
            </w:tcBorders>
            <w:noWrap/>
            <w:textDirection w:val="lrTb"/>
            <w:vAlign w:val="center"/>
          </w:tcPr>
          <w:p w:rsidR="00600386" w:rsidRPr="00FF0FC2" w:rsidP="00E62BFE">
            <w:pPr>
              <w:bidi w:val="0"/>
              <w:spacing w:line="70" w:lineRule="atLeast"/>
              <w:rPr>
                <w:rFonts w:ascii="Times New Roman" w:hAnsi="Times New Roman"/>
              </w:rPr>
            </w:pPr>
            <w:r w:rsidRPr="00FF0FC2">
              <w:rPr>
                <w:rFonts w:ascii="Times New Roman" w:hAnsi="Times New Roman"/>
              </w:rPr>
              <w:t xml:space="preserve">v tom: </w:t>
            </w:r>
            <w:r>
              <w:rPr>
                <w:rFonts w:ascii="Times New Roman" w:hAnsi="Times New Roman"/>
              </w:rPr>
              <w:t>Ministerstvo vnútra SR</w:t>
            </w:r>
          </w:p>
        </w:tc>
        <w:tc>
          <w:tcPr>
            <w:tcW w:w="1460" w:type="dxa"/>
            <w:tcBorders>
              <w:top w:val="single" w:sz="4" w:space="0" w:color="auto"/>
              <w:left w:val="single" w:sz="4" w:space="0" w:color="auto"/>
              <w:bottom w:val="single" w:sz="4" w:space="0" w:color="auto"/>
              <w:right w:val="single" w:sz="4" w:space="0" w:color="auto"/>
            </w:tcBorders>
            <w:noWrap/>
            <w:textDirection w:val="lrTb"/>
            <w:vAlign w:val="center"/>
          </w:tcPr>
          <w:p w:rsidR="00600386" w:rsidRPr="00C469FA" w:rsidP="000D1C7C">
            <w:pPr>
              <w:bidi w:val="0"/>
              <w:spacing w:line="70" w:lineRule="atLeast"/>
              <w:jc w:val="right"/>
              <w:rPr>
                <w:rFonts w:ascii="Times New Roman" w:hAnsi="Times New Roman"/>
              </w:rPr>
            </w:pPr>
            <w:r w:rsidR="007D36C1">
              <w:rPr>
                <w:rFonts w:ascii="Times New Roman" w:hAnsi="Times New Roman"/>
              </w:rPr>
              <w:t>2 430 000</w:t>
            </w:r>
          </w:p>
        </w:tc>
        <w:tc>
          <w:tcPr>
            <w:tcW w:w="1842" w:type="dxa"/>
            <w:tcBorders>
              <w:top w:val="single" w:sz="4" w:space="0" w:color="auto"/>
              <w:left w:val="single" w:sz="4" w:space="0" w:color="auto"/>
              <w:bottom w:val="single" w:sz="4" w:space="0" w:color="auto"/>
              <w:right w:val="single" w:sz="4" w:space="0" w:color="auto"/>
            </w:tcBorders>
            <w:noWrap/>
            <w:textDirection w:val="lrTb"/>
            <w:vAlign w:val="center"/>
          </w:tcPr>
          <w:p w:rsidR="00600386" w:rsidRPr="003D709F" w:rsidP="00E62BFE">
            <w:pPr>
              <w:bidi w:val="0"/>
              <w:spacing w:line="70" w:lineRule="atLeast"/>
              <w:jc w:val="right"/>
              <w:rPr>
                <w:rFonts w:ascii="Times New Roman" w:hAnsi="Times New Roman"/>
              </w:rPr>
            </w:pPr>
            <w:r w:rsidRPr="003D709F">
              <w:rPr>
                <w:rFonts w:ascii="Times New Roman" w:hAnsi="Times New Roman"/>
                <w:b/>
              </w:rPr>
              <w:t>0</w:t>
            </w:r>
          </w:p>
        </w:tc>
        <w:tc>
          <w:tcPr>
            <w:tcW w:w="1628" w:type="dxa"/>
            <w:tcBorders>
              <w:top w:val="single" w:sz="4" w:space="0" w:color="auto"/>
              <w:left w:val="single" w:sz="4" w:space="0" w:color="auto"/>
              <w:bottom w:val="single" w:sz="4" w:space="0" w:color="auto"/>
              <w:right w:val="single" w:sz="4" w:space="0" w:color="auto"/>
            </w:tcBorders>
            <w:noWrap/>
            <w:textDirection w:val="lrTb"/>
            <w:vAlign w:val="center"/>
          </w:tcPr>
          <w:p w:rsidR="00600386" w:rsidRPr="003D709F" w:rsidP="00E62BFE">
            <w:pPr>
              <w:bidi w:val="0"/>
              <w:spacing w:line="70" w:lineRule="atLeast"/>
              <w:jc w:val="right"/>
              <w:rPr>
                <w:rFonts w:ascii="Times New Roman" w:hAnsi="Times New Roman"/>
                <w:b/>
                <w:color w:val="000000"/>
              </w:rPr>
            </w:pPr>
            <w:r w:rsidRPr="003D709F">
              <w:rPr>
                <w:rFonts w:ascii="Times New Roman" w:hAnsi="Times New Roman"/>
                <w:b/>
                <w:color w:val="000000"/>
              </w:rPr>
              <w:t xml:space="preserve">0 </w:t>
            </w:r>
          </w:p>
        </w:tc>
        <w:tc>
          <w:tcPr>
            <w:tcW w:w="1527" w:type="dxa"/>
            <w:tcBorders>
              <w:top w:val="single" w:sz="4" w:space="0" w:color="auto"/>
              <w:left w:val="single" w:sz="4" w:space="0" w:color="auto"/>
              <w:bottom w:val="single" w:sz="4" w:space="0" w:color="auto"/>
              <w:right w:val="single" w:sz="4" w:space="0" w:color="auto"/>
            </w:tcBorders>
            <w:noWrap/>
            <w:textDirection w:val="lrTb"/>
            <w:vAlign w:val="center"/>
          </w:tcPr>
          <w:p w:rsidR="00600386" w:rsidRPr="003D709F" w:rsidP="004F39C0">
            <w:pPr>
              <w:bidi w:val="0"/>
              <w:spacing w:line="70" w:lineRule="atLeast"/>
              <w:jc w:val="right"/>
              <w:rPr>
                <w:rFonts w:ascii="Times New Roman" w:hAnsi="Times New Roman"/>
              </w:rPr>
            </w:pPr>
            <w:r w:rsidRPr="003D709F">
              <w:rPr>
                <w:rFonts w:ascii="Times New Roman" w:hAnsi="Times New Roman"/>
                <w:b/>
              </w:rPr>
              <w:t>0</w:t>
            </w:r>
          </w:p>
        </w:tc>
      </w:tr>
    </w:tbl>
    <w:p w:rsidR="00E62BFE" w:rsidRPr="00FF0FC2" w:rsidP="00E62BFE">
      <w:pPr>
        <w:bidi w:val="0"/>
        <w:rPr>
          <w:rFonts w:ascii="Times New Roman" w:hAnsi="Times New Roman"/>
        </w:rPr>
      </w:pPr>
      <w:bookmarkEnd w:id="0"/>
    </w:p>
    <w:p w:rsidR="00E62BFE" w:rsidRPr="00FF0FC2" w:rsidP="00E62BFE">
      <w:pPr>
        <w:bidi w:val="0"/>
        <w:rPr>
          <w:rFonts w:ascii="Times New Roman" w:hAnsi="Times New Roman"/>
          <w:b/>
          <w:bCs/>
        </w:rPr>
      </w:pPr>
      <w:r w:rsidRPr="00FF0FC2">
        <w:rPr>
          <w:rFonts w:ascii="Times New Roman" w:hAnsi="Times New Roman"/>
          <w:b/>
          <w:bCs/>
        </w:rPr>
        <w:t>2.2. Financovanie návrhu</w:t>
      </w:r>
    </w:p>
    <w:p w:rsidR="00E62BFE" w:rsidRPr="00FF0FC2" w:rsidP="00E62BFE">
      <w:pPr>
        <w:bidi w:val="0"/>
        <w:jc w:val="right"/>
        <w:rPr>
          <w:rFonts w:ascii="Times New Roman" w:hAnsi="Times New Roman"/>
        </w:rPr>
      </w:pPr>
      <w:r w:rsidRPr="00FF0FC2">
        <w:rPr>
          <w:rFonts w:ascii="Times New Roman" w:hAnsi="Times New Roman"/>
        </w:rPr>
        <w:t>Tabuľka č. 2</w:t>
      </w:r>
    </w:p>
    <w:tbl>
      <w:tblPr>
        <w:tblStyle w:val="TableNormal"/>
        <w:tblW w:w="1024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651"/>
        <w:gridCol w:w="1836"/>
        <w:gridCol w:w="1747"/>
        <w:gridCol w:w="2168"/>
        <w:gridCol w:w="1843"/>
      </w:tblGrid>
      <w:tr>
        <w:tblPrEx>
          <w:tblW w:w="1024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265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62BFE" w:rsidRPr="00FF0FC2" w:rsidP="00E62BFE">
            <w:pPr>
              <w:bidi w:val="0"/>
              <w:spacing w:line="70" w:lineRule="atLeast"/>
              <w:jc w:val="center"/>
              <w:rPr>
                <w:rFonts w:ascii="Times New Roman" w:hAnsi="Times New Roman"/>
                <w:b/>
                <w:bCs/>
                <w:color w:val="FFFFFF"/>
              </w:rPr>
            </w:pPr>
            <w:r w:rsidRPr="00FF0FC2">
              <w:rPr>
                <w:rFonts w:ascii="Times New Roman" w:hAnsi="Times New Roman"/>
                <w:b/>
                <w:bCs/>
                <w:color w:val="FFFFFF"/>
              </w:rPr>
              <w:t>Financovanie</w:t>
            </w:r>
          </w:p>
        </w:tc>
        <w:tc>
          <w:tcPr>
            <w:tcW w:w="759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62BFE" w:rsidRPr="00FF0FC2" w:rsidP="00E62BFE">
            <w:pPr>
              <w:bidi w:val="0"/>
              <w:spacing w:line="70" w:lineRule="atLeast"/>
              <w:jc w:val="center"/>
              <w:rPr>
                <w:rFonts w:ascii="Times New Roman" w:hAnsi="Times New Roman"/>
                <w:b/>
                <w:bCs/>
                <w:color w:val="FFFFFF"/>
              </w:rPr>
            </w:pPr>
            <w:r w:rsidRPr="00FF0FC2">
              <w:rPr>
                <w:rFonts w:ascii="Times New Roman" w:hAnsi="Times New Roman"/>
                <w:b/>
                <w:bCs/>
                <w:color w:val="FFFFFF"/>
              </w:rPr>
              <w:t xml:space="preserve">Vplyv na rozpočet verejnej správy </w:t>
            </w:r>
            <w:r w:rsidRPr="00FF0FC2">
              <w:rPr>
                <w:rFonts w:ascii="Times New Roman" w:hAnsi="Times New Roman"/>
                <w:b/>
                <w:bCs/>
              </w:rPr>
              <w:t xml:space="preserve">(v </w:t>
            </w:r>
            <w:r w:rsidRPr="00FF0FC2" w:rsidR="0057104C">
              <w:rPr>
                <w:rFonts w:ascii="Times New Roman" w:hAnsi="Times New Roman"/>
                <w:b/>
                <w:bCs/>
              </w:rPr>
              <w:t>eurách</w:t>
            </w:r>
            <w:r w:rsidRPr="00FF0FC2">
              <w:rPr>
                <w:rFonts w:ascii="Times New Roman" w:hAnsi="Times New Roman"/>
                <w:b/>
                <w:bCs/>
              </w:rPr>
              <w:t>)</w:t>
            </w:r>
          </w:p>
        </w:tc>
      </w:tr>
      <w:tr>
        <w:tblPrEx>
          <w:tblW w:w="10245" w:type="dxa"/>
          <w:tblInd w:w="-639" w:type="dxa"/>
          <w:tblCellMar>
            <w:left w:w="70" w:type="dxa"/>
            <w:right w:w="70" w:type="dxa"/>
          </w:tblCellMar>
        </w:tblPrEx>
        <w:trPr>
          <w:cantSplit/>
          <w:trHeight w:val="70"/>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312BB9" w:rsidRPr="00FF0FC2" w:rsidP="00E62BFE">
            <w:pPr>
              <w:bidi w:val="0"/>
              <w:rPr>
                <w:rFonts w:ascii="Times New Roman" w:hAnsi="Times New Roman"/>
                <w:b/>
                <w:bCs/>
                <w:color w:val="FFFFFF"/>
              </w:rPr>
            </w:pPr>
          </w:p>
        </w:tc>
        <w:tc>
          <w:tcPr>
            <w:tcW w:w="1836"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12BB9" w:rsidRPr="00FF0FC2" w:rsidP="000D1C7C">
            <w:pPr>
              <w:bidi w:val="0"/>
              <w:spacing w:line="70" w:lineRule="atLeast"/>
              <w:jc w:val="center"/>
              <w:rPr>
                <w:rFonts w:ascii="Times New Roman" w:hAnsi="Times New Roman"/>
                <w:b/>
                <w:bCs/>
                <w:color w:val="FFFFFF"/>
              </w:rPr>
            </w:pPr>
            <w:r w:rsidRPr="00FF0FC2">
              <w:rPr>
                <w:rFonts w:ascii="Times New Roman" w:hAnsi="Times New Roman"/>
                <w:b/>
                <w:bCs/>
                <w:color w:val="FFFFFF"/>
              </w:rPr>
              <w:t>2011</w:t>
            </w:r>
          </w:p>
        </w:tc>
        <w:tc>
          <w:tcPr>
            <w:tcW w:w="174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12BB9" w:rsidRPr="00FF0FC2" w:rsidP="000D1C7C">
            <w:pPr>
              <w:bidi w:val="0"/>
              <w:spacing w:line="70" w:lineRule="atLeast"/>
              <w:jc w:val="center"/>
              <w:rPr>
                <w:rFonts w:ascii="Times New Roman" w:hAnsi="Times New Roman"/>
                <w:b/>
                <w:bCs/>
                <w:color w:val="FFFFFF"/>
              </w:rPr>
            </w:pPr>
            <w:r w:rsidRPr="00FF0FC2">
              <w:rPr>
                <w:rFonts w:ascii="Times New Roman" w:hAnsi="Times New Roman"/>
                <w:b/>
                <w:bCs/>
                <w:color w:val="FFFFFF"/>
              </w:rPr>
              <w:t>2012</w:t>
            </w:r>
          </w:p>
        </w:tc>
        <w:tc>
          <w:tcPr>
            <w:tcW w:w="2168"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12BB9" w:rsidRPr="00FF0FC2" w:rsidP="000D1C7C">
            <w:pPr>
              <w:bidi w:val="0"/>
              <w:spacing w:line="70" w:lineRule="atLeast"/>
              <w:jc w:val="center"/>
              <w:rPr>
                <w:rFonts w:ascii="Times New Roman" w:hAnsi="Times New Roman"/>
                <w:b/>
                <w:bCs/>
                <w:color w:val="FFFFFF"/>
              </w:rPr>
            </w:pPr>
            <w:r w:rsidRPr="00FF0FC2">
              <w:rPr>
                <w:rFonts w:ascii="Times New Roman" w:hAnsi="Times New Roman"/>
                <w:b/>
                <w:bCs/>
                <w:color w:val="FFFFFF"/>
              </w:rPr>
              <w:t>2013</w:t>
            </w:r>
          </w:p>
        </w:tc>
        <w:tc>
          <w:tcPr>
            <w:tcW w:w="1843"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12BB9" w:rsidRPr="00FF0FC2" w:rsidP="00E62BFE">
            <w:pPr>
              <w:bidi w:val="0"/>
              <w:spacing w:line="70" w:lineRule="atLeast"/>
              <w:jc w:val="center"/>
              <w:rPr>
                <w:rFonts w:ascii="Times New Roman" w:hAnsi="Times New Roman"/>
                <w:b/>
                <w:bCs/>
                <w:color w:val="FFFFFF"/>
              </w:rPr>
            </w:pPr>
            <w:r>
              <w:rPr>
                <w:rFonts w:ascii="Times New Roman" w:hAnsi="Times New Roman"/>
                <w:b/>
                <w:bCs/>
                <w:color w:val="FFFFFF"/>
              </w:rPr>
              <w:t>2014</w:t>
            </w:r>
          </w:p>
        </w:tc>
      </w:tr>
      <w:tr>
        <w:tblPrEx>
          <w:tblW w:w="10245" w:type="dxa"/>
          <w:tblInd w:w="-639" w:type="dxa"/>
          <w:tblCellMar>
            <w:left w:w="70" w:type="dxa"/>
            <w:right w:w="70" w:type="dxa"/>
          </w:tblCellMar>
        </w:tblPrEx>
        <w:trPr>
          <w:trHeight w:val="70"/>
        </w:trPr>
        <w:tc>
          <w:tcPr>
            <w:tcW w:w="2651" w:type="dxa"/>
            <w:tcBorders>
              <w:top w:val="single" w:sz="4" w:space="0" w:color="auto"/>
              <w:left w:val="single" w:sz="4" w:space="0" w:color="auto"/>
              <w:bottom w:val="single" w:sz="4" w:space="0" w:color="auto"/>
              <w:right w:val="single" w:sz="4" w:space="0" w:color="auto"/>
            </w:tcBorders>
            <w:textDirection w:val="lrTb"/>
            <w:vAlign w:val="center"/>
          </w:tcPr>
          <w:p w:rsidR="008F5EBC" w:rsidRPr="00FF0FC2" w:rsidP="00E62BFE">
            <w:pPr>
              <w:bidi w:val="0"/>
              <w:spacing w:line="70" w:lineRule="atLeast"/>
              <w:rPr>
                <w:rFonts w:ascii="Times New Roman" w:hAnsi="Times New Roman"/>
                <w:b/>
                <w:bCs/>
              </w:rPr>
            </w:pPr>
            <w:r w:rsidRPr="00FF0FC2">
              <w:rPr>
                <w:rFonts w:ascii="Times New Roman" w:hAnsi="Times New Roman"/>
                <w:b/>
                <w:bCs/>
              </w:rPr>
              <w:t>Celkový vplyv na rozpočet verejnej správy ( - príjmy, + výdavky)</w:t>
            </w:r>
          </w:p>
        </w:tc>
        <w:tc>
          <w:tcPr>
            <w:tcW w:w="1836"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CA24B1" w:rsidP="007D36C1">
            <w:pPr>
              <w:bidi w:val="0"/>
              <w:spacing w:line="70" w:lineRule="atLeast"/>
              <w:rPr>
                <w:rFonts w:ascii="Times New Roman" w:hAnsi="Times New Roman"/>
                <w:bCs/>
              </w:rPr>
            </w:pPr>
            <w:r>
              <w:rPr>
                <w:rFonts w:ascii="Times New Roman" w:hAnsi="Times New Roman"/>
                <w:bCs/>
              </w:rPr>
              <w:t xml:space="preserve">         +</w:t>
            </w:r>
            <w:r>
              <w:rPr>
                <w:rFonts w:ascii="Times New Roman" w:hAnsi="Times New Roman"/>
              </w:rPr>
              <w:t>2 430 000</w:t>
            </w:r>
          </w:p>
        </w:tc>
        <w:tc>
          <w:tcPr>
            <w:tcW w:w="1747"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F22E9A" w:rsidP="00DA12EE">
            <w:pPr>
              <w:bidi w:val="0"/>
              <w:spacing w:line="70" w:lineRule="atLeast"/>
              <w:jc w:val="right"/>
              <w:rPr>
                <w:rFonts w:ascii="Times New Roman" w:hAnsi="Times New Roman"/>
                <w:bCs/>
              </w:rPr>
            </w:pPr>
            <w:r w:rsidR="00423B03">
              <w:rPr>
                <w:rFonts w:ascii="Times New Roman" w:hAnsi="Times New Roman"/>
                <w:bCs/>
              </w:rPr>
              <w:t>-</w:t>
            </w:r>
            <w:r w:rsidRPr="00F22E9A">
              <w:rPr>
                <w:rFonts w:ascii="Times New Roman" w:hAnsi="Times New Roman"/>
                <w:bCs/>
              </w:rPr>
              <w:t>25 987</w:t>
            </w:r>
          </w:p>
        </w:tc>
        <w:tc>
          <w:tcPr>
            <w:tcW w:w="2168"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F22E9A" w:rsidP="00DA12EE">
            <w:pPr>
              <w:bidi w:val="0"/>
              <w:spacing w:line="70" w:lineRule="atLeast"/>
              <w:jc w:val="right"/>
              <w:rPr>
                <w:rFonts w:ascii="Times New Roman" w:hAnsi="Times New Roman"/>
                <w:bCs/>
              </w:rPr>
            </w:pPr>
            <w:r w:rsidR="00423B03">
              <w:rPr>
                <w:rFonts w:ascii="Times New Roman" w:hAnsi="Times New Roman"/>
                <w:bCs/>
              </w:rPr>
              <w:t>-</w:t>
            </w:r>
            <w:r w:rsidRPr="00F22E9A">
              <w:rPr>
                <w:rFonts w:ascii="Times New Roman" w:hAnsi="Times New Roman"/>
                <w:bCs/>
              </w:rPr>
              <w:t>18 475</w:t>
            </w:r>
          </w:p>
        </w:tc>
        <w:tc>
          <w:tcPr>
            <w:tcW w:w="1843"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F22E9A" w:rsidP="00DA12EE">
            <w:pPr>
              <w:bidi w:val="0"/>
              <w:spacing w:line="70" w:lineRule="atLeast"/>
              <w:jc w:val="right"/>
              <w:rPr>
                <w:rFonts w:ascii="Times New Roman" w:hAnsi="Times New Roman"/>
                <w:bCs/>
              </w:rPr>
            </w:pPr>
            <w:r w:rsidR="00423B03">
              <w:rPr>
                <w:rFonts w:ascii="Times New Roman" w:hAnsi="Times New Roman"/>
                <w:bCs/>
              </w:rPr>
              <w:t>-</w:t>
            </w:r>
            <w:r w:rsidRPr="00F22E9A">
              <w:rPr>
                <w:rFonts w:ascii="Times New Roman" w:hAnsi="Times New Roman"/>
                <w:bCs/>
              </w:rPr>
              <w:t>13 430</w:t>
            </w:r>
          </w:p>
        </w:tc>
      </w:tr>
      <w:tr>
        <w:tblPrEx>
          <w:tblW w:w="10245" w:type="dxa"/>
          <w:tblInd w:w="-639" w:type="dxa"/>
          <w:tblCellMar>
            <w:left w:w="70" w:type="dxa"/>
            <w:right w:w="70" w:type="dxa"/>
          </w:tblCellMar>
        </w:tblPrEx>
        <w:trPr>
          <w:trHeight w:val="70"/>
        </w:trPr>
        <w:tc>
          <w:tcPr>
            <w:tcW w:w="2651" w:type="dxa"/>
            <w:tcBorders>
              <w:top w:val="single" w:sz="4" w:space="0" w:color="auto"/>
              <w:left w:val="single" w:sz="4" w:space="0" w:color="auto"/>
              <w:bottom w:val="single" w:sz="4" w:space="0" w:color="auto"/>
              <w:right w:val="single" w:sz="4" w:space="0" w:color="auto"/>
            </w:tcBorders>
            <w:textDirection w:val="lrTb"/>
            <w:vAlign w:val="center"/>
          </w:tcPr>
          <w:p w:rsidR="008F5EBC" w:rsidRPr="00FF0FC2" w:rsidP="00E62BFE">
            <w:pPr>
              <w:bidi w:val="0"/>
              <w:spacing w:line="70" w:lineRule="atLeast"/>
              <w:rPr>
                <w:rFonts w:ascii="Times New Roman" w:hAnsi="Times New Roman"/>
              </w:rPr>
            </w:pPr>
            <w:r w:rsidRPr="00FF0FC2">
              <w:rPr>
                <w:rFonts w:ascii="Times New Roman" w:hAnsi="Times New Roman"/>
              </w:rPr>
              <w:t xml:space="preserve">  z toho vplyv na štátny rozpočet</w:t>
            </w:r>
          </w:p>
        </w:tc>
        <w:tc>
          <w:tcPr>
            <w:tcW w:w="1836"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CA24B1" w:rsidP="000D1C7C">
            <w:pPr>
              <w:bidi w:val="0"/>
              <w:spacing w:line="70" w:lineRule="atLeast"/>
              <w:ind w:left="720"/>
              <w:jc w:val="center"/>
              <w:rPr>
                <w:rFonts w:ascii="Times New Roman" w:hAnsi="Times New Roman"/>
              </w:rPr>
            </w:pPr>
            <w:r>
              <w:rPr>
                <w:rFonts w:ascii="Times New Roman" w:hAnsi="Times New Roman"/>
              </w:rPr>
              <w:t>0</w:t>
            </w:r>
          </w:p>
        </w:tc>
        <w:tc>
          <w:tcPr>
            <w:tcW w:w="1747"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F22E9A" w:rsidP="00DA12EE">
            <w:pPr>
              <w:bidi w:val="0"/>
              <w:spacing w:line="70" w:lineRule="atLeast"/>
              <w:jc w:val="right"/>
              <w:rPr>
                <w:rFonts w:ascii="Times New Roman" w:hAnsi="Times New Roman"/>
                <w:bCs/>
              </w:rPr>
            </w:pPr>
            <w:r w:rsidR="00423B03">
              <w:rPr>
                <w:rFonts w:ascii="Times New Roman" w:hAnsi="Times New Roman"/>
                <w:bCs/>
              </w:rPr>
              <w:t>-</w:t>
            </w:r>
            <w:r w:rsidRPr="00F22E9A">
              <w:rPr>
                <w:rFonts w:ascii="Times New Roman" w:hAnsi="Times New Roman"/>
                <w:bCs/>
              </w:rPr>
              <w:t>25 987</w:t>
            </w:r>
          </w:p>
        </w:tc>
        <w:tc>
          <w:tcPr>
            <w:tcW w:w="2168"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F22E9A" w:rsidP="00DA12EE">
            <w:pPr>
              <w:bidi w:val="0"/>
              <w:spacing w:line="70" w:lineRule="atLeast"/>
              <w:jc w:val="right"/>
              <w:rPr>
                <w:rFonts w:ascii="Times New Roman" w:hAnsi="Times New Roman"/>
                <w:bCs/>
              </w:rPr>
            </w:pPr>
            <w:r w:rsidR="00423B03">
              <w:rPr>
                <w:rFonts w:ascii="Times New Roman" w:hAnsi="Times New Roman"/>
                <w:bCs/>
              </w:rPr>
              <w:t>-</w:t>
            </w:r>
            <w:r w:rsidRPr="00F22E9A">
              <w:rPr>
                <w:rFonts w:ascii="Times New Roman" w:hAnsi="Times New Roman"/>
                <w:bCs/>
              </w:rPr>
              <w:t>18 475</w:t>
            </w:r>
          </w:p>
        </w:tc>
        <w:tc>
          <w:tcPr>
            <w:tcW w:w="1843" w:type="dxa"/>
            <w:tcBorders>
              <w:top w:val="single" w:sz="4" w:space="0" w:color="auto"/>
              <w:left w:val="single" w:sz="4" w:space="0" w:color="auto"/>
              <w:bottom w:val="single" w:sz="4" w:space="0" w:color="auto"/>
              <w:right w:val="single" w:sz="4" w:space="0" w:color="auto"/>
            </w:tcBorders>
            <w:noWrap/>
            <w:textDirection w:val="lrTb"/>
            <w:vAlign w:val="center"/>
          </w:tcPr>
          <w:p w:rsidR="008F5EBC" w:rsidRPr="00F22E9A" w:rsidP="00DA12EE">
            <w:pPr>
              <w:bidi w:val="0"/>
              <w:spacing w:line="70" w:lineRule="atLeast"/>
              <w:jc w:val="right"/>
              <w:rPr>
                <w:rFonts w:ascii="Times New Roman" w:hAnsi="Times New Roman"/>
                <w:bCs/>
              </w:rPr>
            </w:pPr>
            <w:r w:rsidR="00423B03">
              <w:rPr>
                <w:rFonts w:ascii="Times New Roman" w:hAnsi="Times New Roman"/>
                <w:bCs/>
              </w:rPr>
              <w:t>-</w:t>
            </w:r>
            <w:r w:rsidRPr="00F22E9A">
              <w:rPr>
                <w:rFonts w:ascii="Times New Roman" w:hAnsi="Times New Roman"/>
                <w:bCs/>
              </w:rPr>
              <w:t>13 430</w:t>
            </w:r>
          </w:p>
        </w:tc>
      </w:tr>
      <w:tr>
        <w:tblPrEx>
          <w:tblW w:w="10245" w:type="dxa"/>
          <w:tblInd w:w="-639" w:type="dxa"/>
          <w:tblCellMar>
            <w:left w:w="70" w:type="dxa"/>
            <w:right w:w="70" w:type="dxa"/>
          </w:tblCellMar>
        </w:tblPrEx>
        <w:trPr>
          <w:trHeight w:val="151"/>
        </w:trPr>
        <w:tc>
          <w:tcPr>
            <w:tcW w:w="2651" w:type="dxa"/>
            <w:tcBorders>
              <w:top w:val="single" w:sz="4" w:space="0" w:color="auto"/>
              <w:left w:val="single" w:sz="4" w:space="0" w:color="auto"/>
              <w:bottom w:val="single" w:sz="4" w:space="0" w:color="auto"/>
              <w:right w:val="single" w:sz="4" w:space="0" w:color="auto"/>
            </w:tcBorders>
            <w:textDirection w:val="lrTb"/>
            <w:vAlign w:val="center"/>
          </w:tcPr>
          <w:p w:rsidR="007D36C1" w:rsidRPr="00FF0FC2" w:rsidP="00E62BFE">
            <w:pPr>
              <w:bidi w:val="0"/>
              <w:spacing w:line="151" w:lineRule="atLeast"/>
              <w:rPr>
                <w:rFonts w:ascii="Times New Roman" w:hAnsi="Times New Roman"/>
              </w:rPr>
            </w:pPr>
            <w:r w:rsidRPr="00FF0FC2">
              <w:rPr>
                <w:rFonts w:ascii="Times New Roman" w:hAnsi="Times New Roman"/>
              </w:rPr>
              <w:t xml:space="preserve">  financovanie zabezpečené v rozpočte</w:t>
            </w:r>
          </w:p>
        </w:tc>
        <w:tc>
          <w:tcPr>
            <w:tcW w:w="1836" w:type="dxa"/>
            <w:tcBorders>
              <w:top w:val="single" w:sz="4" w:space="0" w:color="auto"/>
              <w:left w:val="single" w:sz="4" w:space="0" w:color="auto"/>
              <w:bottom w:val="single" w:sz="4" w:space="0" w:color="auto"/>
              <w:right w:val="single" w:sz="4" w:space="0" w:color="auto"/>
            </w:tcBorders>
            <w:noWrap/>
            <w:textDirection w:val="lrTb"/>
            <w:vAlign w:val="center"/>
          </w:tcPr>
          <w:p w:rsidR="007D36C1" w:rsidRPr="00CA24B1" w:rsidP="006C70F3">
            <w:pPr>
              <w:bidi w:val="0"/>
              <w:spacing w:line="70" w:lineRule="atLeast"/>
              <w:rPr>
                <w:rFonts w:ascii="Times New Roman" w:hAnsi="Times New Roman"/>
                <w:bCs/>
              </w:rPr>
            </w:pPr>
            <w:r>
              <w:rPr>
                <w:rFonts w:ascii="Times New Roman" w:hAnsi="Times New Roman"/>
                <w:bCs/>
              </w:rPr>
              <w:t xml:space="preserve">         +</w:t>
            </w:r>
            <w:r>
              <w:rPr>
                <w:rFonts w:ascii="Times New Roman" w:hAnsi="Times New Roman"/>
              </w:rPr>
              <w:t>2 430 000</w:t>
            </w:r>
          </w:p>
        </w:tc>
        <w:tc>
          <w:tcPr>
            <w:tcW w:w="1747" w:type="dxa"/>
            <w:tcBorders>
              <w:top w:val="single" w:sz="4" w:space="0" w:color="auto"/>
              <w:left w:val="single" w:sz="4" w:space="0" w:color="auto"/>
              <w:bottom w:val="single" w:sz="4" w:space="0" w:color="auto"/>
              <w:right w:val="single" w:sz="4" w:space="0" w:color="auto"/>
            </w:tcBorders>
            <w:noWrap/>
            <w:textDirection w:val="lrTb"/>
            <w:vAlign w:val="center"/>
          </w:tcPr>
          <w:p w:rsidR="007D36C1" w:rsidRPr="00FF0FC2" w:rsidP="006C70F3">
            <w:pPr>
              <w:bidi w:val="0"/>
              <w:spacing w:line="70" w:lineRule="atLeast"/>
              <w:ind w:left="720"/>
              <w:jc w:val="right"/>
              <w:rPr>
                <w:rFonts w:ascii="Times New Roman" w:hAnsi="Times New Roman"/>
                <w:b/>
                <w:bCs/>
              </w:rPr>
            </w:pPr>
            <w:r>
              <w:rPr>
                <w:rFonts w:ascii="Times New Roman" w:hAnsi="Times New Roman"/>
                <w:b/>
                <w:bCs/>
              </w:rPr>
              <w:t>0</w:t>
            </w:r>
          </w:p>
        </w:tc>
        <w:tc>
          <w:tcPr>
            <w:tcW w:w="2168" w:type="dxa"/>
            <w:tcBorders>
              <w:top w:val="single" w:sz="4" w:space="0" w:color="auto"/>
              <w:left w:val="single" w:sz="4" w:space="0" w:color="auto"/>
              <w:bottom w:val="single" w:sz="4" w:space="0" w:color="auto"/>
              <w:right w:val="single" w:sz="4" w:space="0" w:color="auto"/>
            </w:tcBorders>
            <w:noWrap/>
            <w:textDirection w:val="lrTb"/>
            <w:vAlign w:val="center"/>
          </w:tcPr>
          <w:p w:rsidR="007D36C1" w:rsidRPr="00FF0FC2" w:rsidP="000D1C7C">
            <w:pPr>
              <w:bidi w:val="0"/>
              <w:spacing w:line="151" w:lineRule="atLeast"/>
              <w:jc w:val="right"/>
              <w:rPr>
                <w:rFonts w:ascii="Times New Roman" w:hAnsi="Times New Roman"/>
              </w:rPr>
            </w:pPr>
            <w:r>
              <w:rPr>
                <w:rFonts w:ascii="Times New Roman" w:hAnsi="Times New Roman"/>
              </w:rPr>
              <w:t>0</w:t>
            </w:r>
          </w:p>
        </w:tc>
        <w:tc>
          <w:tcPr>
            <w:tcW w:w="1843" w:type="dxa"/>
            <w:tcBorders>
              <w:top w:val="single" w:sz="4" w:space="0" w:color="auto"/>
              <w:left w:val="single" w:sz="4" w:space="0" w:color="auto"/>
              <w:bottom w:val="single" w:sz="4" w:space="0" w:color="auto"/>
              <w:right w:val="single" w:sz="4" w:space="0" w:color="auto"/>
            </w:tcBorders>
            <w:noWrap/>
            <w:textDirection w:val="lrTb"/>
            <w:vAlign w:val="center"/>
          </w:tcPr>
          <w:p w:rsidR="007D36C1" w:rsidRPr="00FF0FC2" w:rsidP="00051774">
            <w:pPr>
              <w:bidi w:val="0"/>
              <w:spacing w:line="151" w:lineRule="atLeast"/>
              <w:jc w:val="right"/>
              <w:rPr>
                <w:rFonts w:ascii="Times New Roman" w:hAnsi="Times New Roman"/>
              </w:rPr>
            </w:pPr>
            <w:r>
              <w:rPr>
                <w:rFonts w:ascii="Times New Roman" w:hAnsi="Times New Roman"/>
              </w:rPr>
              <w:t>0</w:t>
            </w:r>
          </w:p>
        </w:tc>
      </w:tr>
      <w:tr>
        <w:tblPrEx>
          <w:tblW w:w="10245" w:type="dxa"/>
          <w:tblInd w:w="-639" w:type="dxa"/>
          <w:tblCellMar>
            <w:left w:w="70" w:type="dxa"/>
            <w:right w:w="70" w:type="dxa"/>
          </w:tblCellMar>
        </w:tblPrEx>
        <w:trPr>
          <w:trHeight w:val="135"/>
        </w:trPr>
        <w:tc>
          <w:tcPr>
            <w:tcW w:w="2651" w:type="dxa"/>
            <w:tcBorders>
              <w:top w:val="single" w:sz="4" w:space="0" w:color="auto"/>
              <w:left w:val="single" w:sz="4" w:space="0" w:color="auto"/>
              <w:bottom w:val="single" w:sz="4" w:space="0" w:color="auto"/>
              <w:right w:val="single" w:sz="4" w:space="0" w:color="auto"/>
            </w:tcBorders>
            <w:textDirection w:val="lrTb"/>
            <w:vAlign w:val="center"/>
          </w:tcPr>
          <w:p w:rsidR="001B67DC" w:rsidRPr="00FF0FC2" w:rsidP="008F5EBC">
            <w:pPr>
              <w:bidi w:val="0"/>
              <w:spacing w:line="135" w:lineRule="atLeast"/>
              <w:rPr>
                <w:rFonts w:ascii="Times New Roman" w:hAnsi="Times New Roman"/>
              </w:rPr>
            </w:pPr>
            <w:r w:rsidRPr="00FF0FC2">
              <w:rPr>
                <w:rFonts w:ascii="Times New Roman" w:hAnsi="Times New Roman"/>
              </w:rPr>
              <w:t xml:space="preserve">  ostatné zdroje financovania</w:t>
            </w:r>
            <w:r w:rsidR="00DB3CD9">
              <w:rPr>
                <w:rFonts w:ascii="Times New Roman" w:hAnsi="Times New Roman"/>
              </w:rPr>
              <w:t xml:space="preserve"> </w:t>
            </w:r>
          </w:p>
        </w:tc>
        <w:tc>
          <w:tcPr>
            <w:tcW w:w="1836" w:type="dxa"/>
            <w:tcBorders>
              <w:top w:val="single" w:sz="4" w:space="0" w:color="auto"/>
              <w:left w:val="single" w:sz="4" w:space="0" w:color="auto"/>
              <w:bottom w:val="single" w:sz="4" w:space="0" w:color="auto"/>
              <w:right w:val="single" w:sz="4" w:space="0" w:color="auto"/>
            </w:tcBorders>
            <w:noWrap/>
            <w:textDirection w:val="lrTb"/>
            <w:vAlign w:val="center"/>
          </w:tcPr>
          <w:p w:rsidR="001B67DC" w:rsidRPr="00CA24B1" w:rsidP="007D36C1">
            <w:pPr>
              <w:bidi w:val="0"/>
              <w:spacing w:line="135" w:lineRule="atLeast"/>
              <w:jc w:val="center"/>
              <w:rPr>
                <w:rFonts w:ascii="Times New Roman" w:hAnsi="Times New Roman"/>
              </w:rPr>
            </w:pPr>
            <w:r w:rsidR="007D36C1">
              <w:rPr>
                <w:rFonts w:ascii="Times New Roman" w:hAnsi="Times New Roman"/>
              </w:rPr>
              <w:t xml:space="preserve">          0</w:t>
            </w:r>
          </w:p>
        </w:tc>
        <w:tc>
          <w:tcPr>
            <w:tcW w:w="1747" w:type="dxa"/>
            <w:tcBorders>
              <w:top w:val="single" w:sz="4" w:space="0" w:color="auto"/>
              <w:left w:val="single" w:sz="4" w:space="0" w:color="auto"/>
              <w:bottom w:val="single" w:sz="4" w:space="0" w:color="auto"/>
              <w:right w:val="single" w:sz="4" w:space="0" w:color="auto"/>
            </w:tcBorders>
            <w:noWrap/>
            <w:textDirection w:val="lrTb"/>
            <w:vAlign w:val="center"/>
          </w:tcPr>
          <w:p w:rsidR="001B67DC" w:rsidRPr="00FF0FC2" w:rsidP="000D1C7C">
            <w:pPr>
              <w:bidi w:val="0"/>
              <w:spacing w:line="135" w:lineRule="atLeast"/>
              <w:jc w:val="right"/>
              <w:rPr>
                <w:rFonts w:ascii="Times New Roman" w:hAnsi="Times New Roman"/>
              </w:rPr>
            </w:pPr>
            <w:r w:rsidR="007D36C1">
              <w:rPr>
                <w:rFonts w:ascii="Times New Roman" w:hAnsi="Times New Roman"/>
              </w:rPr>
              <w:t>0</w:t>
            </w:r>
          </w:p>
        </w:tc>
        <w:tc>
          <w:tcPr>
            <w:tcW w:w="2168" w:type="dxa"/>
            <w:tcBorders>
              <w:top w:val="single" w:sz="4" w:space="0" w:color="auto"/>
              <w:left w:val="single" w:sz="4" w:space="0" w:color="auto"/>
              <w:bottom w:val="single" w:sz="4" w:space="0" w:color="auto"/>
              <w:right w:val="single" w:sz="4" w:space="0" w:color="auto"/>
            </w:tcBorders>
            <w:noWrap/>
            <w:textDirection w:val="lrTb"/>
            <w:vAlign w:val="center"/>
          </w:tcPr>
          <w:p w:rsidR="001B67DC" w:rsidRPr="00FF0FC2" w:rsidP="000D1C7C">
            <w:pPr>
              <w:bidi w:val="0"/>
              <w:spacing w:line="135" w:lineRule="atLeast"/>
              <w:jc w:val="right"/>
              <w:rPr>
                <w:rFonts w:ascii="Times New Roman" w:hAnsi="Times New Roman"/>
              </w:rPr>
            </w:pPr>
            <w:r w:rsidR="007D36C1">
              <w:rPr>
                <w:rFonts w:ascii="Times New Roman" w:hAnsi="Times New Roman"/>
              </w:rPr>
              <w:t>0</w:t>
            </w:r>
          </w:p>
        </w:tc>
        <w:tc>
          <w:tcPr>
            <w:tcW w:w="1843" w:type="dxa"/>
            <w:tcBorders>
              <w:top w:val="single" w:sz="4" w:space="0" w:color="auto"/>
              <w:left w:val="single" w:sz="4" w:space="0" w:color="auto"/>
              <w:bottom w:val="single" w:sz="4" w:space="0" w:color="auto"/>
              <w:right w:val="single" w:sz="4" w:space="0" w:color="auto"/>
            </w:tcBorders>
            <w:noWrap/>
            <w:textDirection w:val="lrTb"/>
            <w:vAlign w:val="center"/>
          </w:tcPr>
          <w:p w:rsidR="001B67DC" w:rsidRPr="00FF0FC2" w:rsidP="00051774">
            <w:pPr>
              <w:bidi w:val="0"/>
              <w:spacing w:line="135" w:lineRule="atLeast"/>
              <w:jc w:val="right"/>
              <w:rPr>
                <w:rFonts w:ascii="Times New Roman" w:hAnsi="Times New Roman"/>
              </w:rPr>
            </w:pPr>
            <w:r w:rsidR="007D36C1">
              <w:rPr>
                <w:rFonts w:ascii="Times New Roman" w:hAnsi="Times New Roman"/>
              </w:rPr>
              <w:t>0</w:t>
            </w:r>
          </w:p>
        </w:tc>
      </w:tr>
      <w:tr>
        <w:tblPrEx>
          <w:tblW w:w="10245" w:type="dxa"/>
          <w:tblInd w:w="-639" w:type="dxa"/>
          <w:tblCellMar>
            <w:left w:w="70" w:type="dxa"/>
            <w:right w:w="70" w:type="dxa"/>
          </w:tblCellMar>
        </w:tblPrEx>
        <w:trPr>
          <w:trHeight w:val="70"/>
        </w:trPr>
        <w:tc>
          <w:tcPr>
            <w:tcW w:w="2651" w:type="dxa"/>
            <w:tcBorders>
              <w:top w:val="single" w:sz="4" w:space="0" w:color="auto"/>
              <w:left w:val="single" w:sz="4" w:space="0" w:color="auto"/>
              <w:bottom w:val="single" w:sz="4" w:space="0" w:color="auto"/>
              <w:right w:val="single" w:sz="4" w:space="0" w:color="auto"/>
            </w:tcBorders>
            <w:textDirection w:val="lrTb"/>
            <w:vAlign w:val="center"/>
          </w:tcPr>
          <w:p w:rsidR="001B67DC" w:rsidRPr="00FF0FC2" w:rsidP="00E62BFE">
            <w:pPr>
              <w:bidi w:val="0"/>
              <w:spacing w:line="70" w:lineRule="atLeast"/>
              <w:rPr>
                <w:rFonts w:ascii="Times New Roman" w:hAnsi="Times New Roman"/>
                <w:b/>
                <w:bCs/>
              </w:rPr>
            </w:pPr>
            <w:r w:rsidRPr="00FF0FC2">
              <w:rPr>
                <w:rFonts w:ascii="Times New Roman" w:hAnsi="Times New Roman"/>
                <w:b/>
                <w:bCs/>
              </w:rPr>
              <w:t>Rozpočtovo nekrytý vplyv / úspora</w:t>
            </w:r>
          </w:p>
        </w:tc>
        <w:tc>
          <w:tcPr>
            <w:tcW w:w="1836" w:type="dxa"/>
            <w:tcBorders>
              <w:top w:val="single" w:sz="4" w:space="0" w:color="auto"/>
              <w:left w:val="single" w:sz="4" w:space="0" w:color="auto"/>
              <w:bottom w:val="single" w:sz="4" w:space="0" w:color="auto"/>
              <w:right w:val="single" w:sz="4" w:space="0" w:color="auto"/>
            </w:tcBorders>
            <w:noWrap/>
            <w:textDirection w:val="lrTb"/>
            <w:vAlign w:val="center"/>
          </w:tcPr>
          <w:p w:rsidR="001B67DC" w:rsidRPr="00CA24B1" w:rsidP="000D1C7C">
            <w:pPr>
              <w:bidi w:val="0"/>
              <w:spacing w:line="70" w:lineRule="atLeast"/>
              <w:ind w:left="720"/>
              <w:jc w:val="center"/>
              <w:rPr>
                <w:rFonts w:ascii="Times New Roman" w:hAnsi="Times New Roman"/>
                <w:bCs/>
              </w:rPr>
            </w:pPr>
            <w:r w:rsidR="007D36C1">
              <w:rPr>
                <w:rFonts w:ascii="Times New Roman" w:hAnsi="Times New Roman"/>
                <w:bCs/>
              </w:rPr>
              <w:t>0</w:t>
            </w:r>
          </w:p>
        </w:tc>
        <w:tc>
          <w:tcPr>
            <w:tcW w:w="1747" w:type="dxa"/>
            <w:tcBorders>
              <w:top w:val="single" w:sz="4" w:space="0" w:color="auto"/>
              <w:left w:val="single" w:sz="4" w:space="0" w:color="auto"/>
              <w:bottom w:val="single" w:sz="4" w:space="0" w:color="auto"/>
              <w:right w:val="single" w:sz="4" w:space="0" w:color="auto"/>
            </w:tcBorders>
            <w:noWrap/>
            <w:textDirection w:val="lrTb"/>
            <w:vAlign w:val="center"/>
          </w:tcPr>
          <w:p w:rsidR="001B67DC" w:rsidRPr="00FF0FC2" w:rsidP="000D1C7C">
            <w:pPr>
              <w:bidi w:val="0"/>
              <w:spacing w:line="70" w:lineRule="atLeast"/>
              <w:ind w:left="720"/>
              <w:jc w:val="right"/>
              <w:rPr>
                <w:rFonts w:ascii="Times New Roman" w:hAnsi="Times New Roman"/>
                <w:b/>
                <w:bCs/>
              </w:rPr>
            </w:pPr>
            <w:r w:rsidR="007D36C1">
              <w:rPr>
                <w:rFonts w:ascii="Times New Roman" w:hAnsi="Times New Roman"/>
                <w:b/>
                <w:bCs/>
              </w:rPr>
              <w:t>0</w:t>
            </w:r>
          </w:p>
        </w:tc>
        <w:tc>
          <w:tcPr>
            <w:tcW w:w="2168" w:type="dxa"/>
            <w:tcBorders>
              <w:top w:val="single" w:sz="4" w:space="0" w:color="auto"/>
              <w:left w:val="single" w:sz="4" w:space="0" w:color="auto"/>
              <w:bottom w:val="single" w:sz="4" w:space="0" w:color="auto"/>
              <w:right w:val="single" w:sz="4" w:space="0" w:color="auto"/>
            </w:tcBorders>
            <w:noWrap/>
            <w:textDirection w:val="lrTb"/>
            <w:vAlign w:val="center"/>
          </w:tcPr>
          <w:p w:rsidR="001B67DC" w:rsidRPr="00FF0FC2" w:rsidP="000D1C7C">
            <w:pPr>
              <w:bidi w:val="0"/>
              <w:spacing w:line="70" w:lineRule="atLeast"/>
              <w:ind w:left="720"/>
              <w:jc w:val="right"/>
              <w:rPr>
                <w:rFonts w:ascii="Times New Roman" w:hAnsi="Times New Roman"/>
                <w:b/>
                <w:bCs/>
              </w:rPr>
            </w:pPr>
            <w:r w:rsidR="007D36C1">
              <w:rPr>
                <w:rFonts w:ascii="Times New Roman" w:hAnsi="Times New Roman"/>
                <w:b/>
                <w:bCs/>
              </w:rPr>
              <w:t>0</w:t>
            </w:r>
          </w:p>
        </w:tc>
        <w:tc>
          <w:tcPr>
            <w:tcW w:w="1843" w:type="dxa"/>
            <w:tcBorders>
              <w:top w:val="single" w:sz="4" w:space="0" w:color="auto"/>
              <w:left w:val="single" w:sz="4" w:space="0" w:color="auto"/>
              <w:bottom w:val="single" w:sz="4" w:space="0" w:color="auto"/>
              <w:right w:val="single" w:sz="4" w:space="0" w:color="auto"/>
            </w:tcBorders>
            <w:noWrap/>
            <w:textDirection w:val="lrTb"/>
            <w:vAlign w:val="center"/>
          </w:tcPr>
          <w:p w:rsidR="001B67DC" w:rsidRPr="00FF0FC2" w:rsidP="00051774">
            <w:pPr>
              <w:bidi w:val="0"/>
              <w:spacing w:line="70" w:lineRule="atLeast"/>
              <w:ind w:left="720"/>
              <w:jc w:val="right"/>
              <w:rPr>
                <w:rFonts w:ascii="Times New Roman" w:hAnsi="Times New Roman"/>
                <w:b/>
                <w:bCs/>
              </w:rPr>
            </w:pPr>
            <w:r w:rsidR="007D36C1">
              <w:rPr>
                <w:rFonts w:ascii="Times New Roman" w:hAnsi="Times New Roman"/>
                <w:b/>
                <w:bCs/>
              </w:rPr>
              <w:t>0</w:t>
            </w:r>
          </w:p>
        </w:tc>
      </w:tr>
    </w:tbl>
    <w:p w:rsidR="00E62BFE" w:rsidRPr="00FF0FC2" w:rsidP="00E62BFE">
      <w:pPr>
        <w:bidi w:val="0"/>
        <w:rPr>
          <w:rFonts w:ascii="Times New Roman" w:hAnsi="Times New Roman"/>
        </w:rPr>
      </w:pPr>
    </w:p>
    <w:p w:rsidR="00E62BFE" w:rsidRPr="00FF0FC2" w:rsidP="00E62BFE">
      <w:pPr>
        <w:bidi w:val="0"/>
        <w:rPr>
          <w:rFonts w:ascii="Times New Roman" w:hAnsi="Times New Roman"/>
          <w:b/>
          <w:bCs/>
        </w:rPr>
      </w:pPr>
      <w:r w:rsidRPr="00FF0FC2">
        <w:rPr>
          <w:rFonts w:ascii="Times New Roman" w:hAnsi="Times New Roman"/>
          <w:b/>
          <w:bCs/>
        </w:rPr>
        <w:t>Návrh na riešenie úbytku príjmov alebo zvýšených výdavkov podľa § 33 ods. 1 zákona č. 523/2004 Z. z. o rozpočtových pravidlách verejnej správy</w:t>
      </w:r>
      <w:r w:rsidRPr="00FF0FC2" w:rsidR="00BA0ECF">
        <w:rPr>
          <w:rFonts w:ascii="Times New Roman" w:hAnsi="Times New Roman"/>
          <w:b/>
          <w:bCs/>
        </w:rPr>
        <w:t xml:space="preserve"> a o zmene a doplnení niektorých zákonov v znení neskorších predpisov</w:t>
      </w:r>
      <w:r w:rsidRPr="00FF0FC2">
        <w:rPr>
          <w:rFonts w:ascii="Times New Roman" w:hAnsi="Times New Roman"/>
          <w:b/>
          <w:bCs/>
        </w:rPr>
        <w:t>:</w:t>
      </w:r>
    </w:p>
    <w:p w:rsidR="00E62BFE" w:rsidRPr="00FF0FC2" w:rsidP="00E62BFE">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E62BFE" w:rsidRPr="00FF0FC2" w:rsidP="00E62BFE">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CA24B1" w:rsidP="00CA24B1">
      <w:pPr>
        <w:bidi w:val="0"/>
        <w:rPr>
          <w:rFonts w:ascii="Times New Roman" w:hAnsi="Times New Roman"/>
          <w:b/>
          <w:bCs/>
        </w:rPr>
      </w:pPr>
    </w:p>
    <w:p w:rsidR="00423B03" w:rsidP="00CA24B1">
      <w:pPr>
        <w:bidi w:val="0"/>
        <w:rPr>
          <w:rFonts w:ascii="Times New Roman" w:hAnsi="Times New Roman"/>
          <w:b/>
          <w:bCs/>
        </w:rPr>
      </w:pPr>
    </w:p>
    <w:p w:rsidR="00A41B99" w:rsidP="00CA24B1">
      <w:pPr>
        <w:bidi w:val="0"/>
        <w:rPr>
          <w:rFonts w:ascii="Times New Roman" w:hAnsi="Times New Roman"/>
          <w:b/>
          <w:bCs/>
        </w:rPr>
      </w:pPr>
    </w:p>
    <w:p w:rsidR="00423B03" w:rsidRPr="00FF0FC2" w:rsidP="00CA24B1">
      <w:pPr>
        <w:bidi w:val="0"/>
        <w:rPr>
          <w:rFonts w:ascii="Times New Roman" w:hAnsi="Times New Roman"/>
          <w:b/>
          <w:bCs/>
        </w:rPr>
      </w:pPr>
    </w:p>
    <w:p w:rsidR="00CA24B1" w:rsidRPr="00FF0FC2" w:rsidP="00CA24B1">
      <w:pPr>
        <w:bidi w:val="0"/>
        <w:rPr>
          <w:rFonts w:ascii="Times New Roman" w:hAnsi="Times New Roman"/>
          <w:b/>
          <w:bCs/>
        </w:rPr>
      </w:pPr>
      <w:r w:rsidRPr="00FF0FC2">
        <w:rPr>
          <w:rFonts w:ascii="Times New Roman" w:hAnsi="Times New Roman"/>
          <w:b/>
          <w:bCs/>
        </w:rPr>
        <w:t>2.3. Popis a charakteristika návrhu</w:t>
      </w:r>
    </w:p>
    <w:p w:rsidR="00CA24B1" w:rsidRPr="00FF0FC2" w:rsidP="00CA24B1">
      <w:pPr>
        <w:bidi w:val="0"/>
        <w:jc w:val="both"/>
        <w:rPr>
          <w:rFonts w:ascii="Times New Roman" w:hAnsi="Times New Roman"/>
          <w:b/>
          <w:bCs/>
        </w:rPr>
      </w:pPr>
      <w:r w:rsidRPr="00FF0FC2">
        <w:rPr>
          <w:rFonts w:ascii="Times New Roman" w:hAnsi="Times New Roman"/>
          <w:b/>
          <w:bCs/>
        </w:rPr>
        <w:t>2.3.1. Popis návrhu:</w:t>
      </w:r>
    </w:p>
    <w:p w:rsidR="00CA24B1" w:rsidRPr="00FF0FC2" w:rsidP="00CA24B1">
      <w:pPr>
        <w:bidi w:val="0"/>
        <w:jc w:val="both"/>
        <w:rPr>
          <w:rFonts w:ascii="Times New Roman" w:hAnsi="Times New Roman"/>
          <w:b/>
          <w:bCs/>
        </w:rPr>
      </w:pPr>
    </w:p>
    <w:p w:rsidR="00CA24B1" w:rsidRPr="00FF0FC2" w:rsidP="00CA24B1">
      <w:pPr>
        <w:bidi w:val="0"/>
        <w:jc w:val="both"/>
        <w:rPr>
          <w:rFonts w:ascii="Times New Roman" w:hAnsi="Times New Roman"/>
        </w:rPr>
      </w:pPr>
      <w:r w:rsidRPr="00FF0FC2">
        <w:rPr>
          <w:rFonts w:ascii="Times New Roman" w:hAnsi="Times New Roman"/>
        </w:rPr>
        <w:tab/>
      </w:r>
      <w:r>
        <w:rPr>
          <w:rFonts w:ascii="Times New Roman" w:hAnsi="Times New Roman"/>
        </w:rPr>
        <w:t>Návrh zákona o kontrole hraníc a</w:t>
      </w:r>
      <w:r w:rsidR="00E92862">
        <w:rPr>
          <w:rFonts w:ascii="Times New Roman" w:hAnsi="Times New Roman"/>
        </w:rPr>
        <w:t> </w:t>
      </w:r>
      <w:r>
        <w:rPr>
          <w:rFonts w:ascii="Times New Roman" w:hAnsi="Times New Roman"/>
        </w:rPr>
        <w:t>p</w:t>
      </w:r>
      <w:r w:rsidR="00E92862">
        <w:rPr>
          <w:rFonts w:ascii="Times New Roman" w:hAnsi="Times New Roman"/>
        </w:rPr>
        <w:t>obyte cudzincov a o zmene a doplnení niektorých zákonov</w:t>
      </w:r>
      <w:r>
        <w:rPr>
          <w:rFonts w:ascii="Times New Roman" w:hAnsi="Times New Roman"/>
        </w:rPr>
        <w:t xml:space="preserve"> transponuje právne akty Európskej únie, ktoré je Slovenská republika povinná aplikovať a zároveň implementuje aj právne akty, ktoré</w:t>
      </w:r>
      <w:r w:rsidR="00E92862">
        <w:rPr>
          <w:rFonts w:ascii="Times New Roman" w:hAnsi="Times New Roman"/>
        </w:rPr>
        <w:t xml:space="preserve"> boli nedostatočne, prípadne nesprávne</w:t>
      </w:r>
      <w:r>
        <w:rPr>
          <w:rFonts w:ascii="Times New Roman" w:hAnsi="Times New Roman"/>
        </w:rPr>
        <w:t xml:space="preserve"> transponované.</w:t>
      </w:r>
      <w:r w:rsidR="0031708B">
        <w:rPr>
          <w:rFonts w:ascii="Times New Roman" w:hAnsi="Times New Roman"/>
        </w:rPr>
        <w:t xml:space="preserve"> </w:t>
      </w:r>
    </w:p>
    <w:p w:rsidR="00C55A47" w:rsidRPr="00FF0FC2" w:rsidP="00CA24B1">
      <w:pPr>
        <w:bidi w:val="0"/>
        <w:rPr>
          <w:rFonts w:ascii="Times New Roman" w:hAnsi="Times New Roman"/>
        </w:rPr>
      </w:pPr>
    </w:p>
    <w:p w:rsidR="00CA24B1" w:rsidRPr="00FF0FC2" w:rsidP="00CA24B1">
      <w:pPr>
        <w:bidi w:val="0"/>
        <w:rPr>
          <w:rFonts w:ascii="Times New Roman" w:hAnsi="Times New Roman"/>
          <w:b/>
          <w:bCs/>
        </w:rPr>
      </w:pPr>
      <w:r w:rsidRPr="00FF0FC2">
        <w:rPr>
          <w:rFonts w:ascii="Times New Roman" w:hAnsi="Times New Roman"/>
          <w:b/>
          <w:bCs/>
        </w:rPr>
        <w:t>2.3.2. Charakteristika návrhu podľa bodu  2.3.2. Jednotnej metodiky na posudzovanie vybraných vplyvov:</w:t>
      </w:r>
    </w:p>
    <w:p w:rsidR="00CA24B1" w:rsidP="00CA24B1">
      <w:pPr>
        <w:bidi w:val="0"/>
        <w:rPr>
          <w:rFonts w:ascii="Times New Roman" w:hAnsi="Times New Roman"/>
        </w:rPr>
      </w:pPr>
    </w:p>
    <w:p w:rsidR="005E708D" w:rsidP="00CA24B1">
      <w:pPr>
        <w:bidi w:val="0"/>
        <w:rPr>
          <w:rFonts w:ascii="Times New Roman" w:hAnsi="Times New Roman"/>
        </w:rPr>
      </w:pPr>
      <w:r>
        <w:rPr>
          <w:rFonts w:ascii="Times New Roman" w:hAnsi="Times New Roman"/>
        </w:rPr>
        <w:t>Zmena sadzby</w:t>
      </w:r>
    </w:p>
    <w:p w:rsidR="005E708D" w:rsidP="005E708D">
      <w:pPr>
        <w:numPr>
          <w:numId w:val="7"/>
        </w:numPr>
        <w:bidi w:val="0"/>
        <w:jc w:val="both"/>
        <w:rPr>
          <w:rFonts w:ascii="Times New Roman" w:hAnsi="Times New Roman"/>
        </w:rPr>
      </w:pPr>
      <w:r w:rsidR="00877DBE">
        <w:rPr>
          <w:rFonts w:ascii="Times New Roman" w:hAnsi="Times New Roman"/>
        </w:rPr>
        <w:t>mení sa s</w:t>
      </w:r>
      <w:r>
        <w:rPr>
          <w:rFonts w:ascii="Times New Roman" w:hAnsi="Times New Roman"/>
        </w:rPr>
        <w:t>právny poplatok</w:t>
      </w:r>
      <w:r w:rsidRPr="00CF331B">
        <w:rPr>
          <w:rFonts w:ascii="Times New Roman" w:hAnsi="Times New Roman"/>
        </w:rPr>
        <w:t xml:space="preserve"> </w:t>
      </w:r>
      <w:r w:rsidRPr="007E2484">
        <w:rPr>
          <w:rFonts w:ascii="Times New Roman" w:hAnsi="Times New Roman"/>
        </w:rPr>
        <w:t xml:space="preserve">za vydanie dokladu o pobyte ako náhrada za zničený, stratený, odcudzený alebo poškodený doklad o pobyte a taktiež sa rozšíril okruh </w:t>
      </w:r>
      <w:r>
        <w:rPr>
          <w:rFonts w:ascii="Times New Roman" w:hAnsi="Times New Roman"/>
        </w:rPr>
        <w:t>cudzincov</w:t>
      </w:r>
      <w:r w:rsidRPr="007E2484">
        <w:rPr>
          <w:rFonts w:ascii="Times New Roman" w:hAnsi="Times New Roman"/>
        </w:rPr>
        <w:t>, ktor</w:t>
      </w:r>
      <w:r>
        <w:rPr>
          <w:rFonts w:ascii="Times New Roman" w:hAnsi="Times New Roman"/>
        </w:rPr>
        <w:t>í</w:t>
      </w:r>
      <w:r w:rsidR="00AB75C5">
        <w:rPr>
          <w:rFonts w:ascii="Times New Roman" w:hAnsi="Times New Roman"/>
        </w:rPr>
        <w:t xml:space="preserve"> sú oslobodení</w:t>
      </w:r>
      <w:r w:rsidRPr="007E2484">
        <w:rPr>
          <w:rFonts w:ascii="Times New Roman" w:hAnsi="Times New Roman"/>
        </w:rPr>
        <w:t xml:space="preserve"> od správnych poplatkov za podanie žiadosti o udelenie pobytu a p</w:t>
      </w:r>
      <w:r>
        <w:rPr>
          <w:rFonts w:ascii="Times New Roman" w:hAnsi="Times New Roman"/>
        </w:rPr>
        <w:t>odania žiadosti o udelenie víza.</w:t>
      </w:r>
    </w:p>
    <w:p w:rsidR="005E708D" w:rsidP="00CA24B1">
      <w:pPr>
        <w:bidi w:val="0"/>
        <w:rPr>
          <w:rFonts w:ascii="Times New Roman" w:hAnsi="Times New Roman"/>
        </w:rPr>
      </w:pPr>
    </w:p>
    <w:p w:rsidR="00CF331B" w:rsidP="00CA24B1">
      <w:pPr>
        <w:bidi w:val="0"/>
        <w:rPr>
          <w:rFonts w:ascii="Times New Roman" w:hAnsi="Times New Roman"/>
        </w:rPr>
      </w:pPr>
      <w:r>
        <w:rPr>
          <w:rFonts w:ascii="Times New Roman" w:hAnsi="Times New Roman"/>
        </w:rPr>
        <w:t>Zmena nároku</w:t>
      </w:r>
    </w:p>
    <w:p w:rsidR="000765AA" w:rsidP="000765AA">
      <w:pPr>
        <w:numPr>
          <w:numId w:val="7"/>
        </w:numPr>
        <w:bidi w:val="0"/>
        <w:jc w:val="both"/>
        <w:rPr>
          <w:rFonts w:ascii="Times New Roman" w:hAnsi="Times New Roman"/>
        </w:rPr>
      </w:pPr>
      <w:r w:rsidR="00CA24B1">
        <w:rPr>
          <w:rFonts w:ascii="Times New Roman" w:hAnsi="Times New Roman"/>
        </w:rPr>
        <w:t xml:space="preserve">zosúladenie informačných systémov pre potreby aplikačnej praxe Ministerstva vnútra Slovenskej republiky s návrhom zákona, </w:t>
      </w:r>
    </w:p>
    <w:p w:rsidR="000765AA" w:rsidP="000765AA">
      <w:pPr>
        <w:numPr>
          <w:numId w:val="7"/>
        </w:numPr>
        <w:bidi w:val="0"/>
        <w:jc w:val="both"/>
        <w:rPr>
          <w:rFonts w:ascii="Times New Roman" w:hAnsi="Times New Roman"/>
        </w:rPr>
      </w:pPr>
      <w:r w:rsidR="00667595">
        <w:rPr>
          <w:rFonts w:ascii="Times New Roman" w:hAnsi="Times New Roman"/>
        </w:rPr>
        <w:t>návrh rozširuje</w:t>
      </w:r>
      <w:r>
        <w:rPr>
          <w:rFonts w:ascii="Times New Roman" w:hAnsi="Times New Roman"/>
        </w:rPr>
        <w:t xml:space="preserve"> okruh </w:t>
      </w:r>
      <w:r w:rsidR="00667595">
        <w:rPr>
          <w:rFonts w:ascii="Times New Roman" w:hAnsi="Times New Roman"/>
        </w:rPr>
        <w:t>štátnych príslušníkov tretích krajín</w:t>
      </w:r>
      <w:r>
        <w:rPr>
          <w:rFonts w:ascii="Times New Roman" w:hAnsi="Times New Roman"/>
        </w:rPr>
        <w:t>, ktor</w:t>
      </w:r>
      <w:r w:rsidR="00AB75C5">
        <w:rPr>
          <w:rFonts w:ascii="Times New Roman" w:hAnsi="Times New Roman"/>
        </w:rPr>
        <w:t>í</w:t>
      </w:r>
      <w:r>
        <w:rPr>
          <w:rFonts w:ascii="Times New Roman" w:hAnsi="Times New Roman"/>
        </w:rPr>
        <w:t xml:space="preserve"> majú nárok na udelenie trvalého pobytu</w:t>
      </w:r>
      <w:r w:rsidRPr="0013113B" w:rsidR="0013113B">
        <w:rPr>
          <w:rFonts w:ascii="Times New Roman" w:hAnsi="Times New Roman"/>
          <w:color w:val="000000"/>
        </w:rPr>
        <w:t xml:space="preserve"> </w:t>
      </w:r>
      <w:r w:rsidR="00C93519">
        <w:rPr>
          <w:rFonts w:ascii="Times New Roman" w:hAnsi="Times New Roman"/>
          <w:color w:val="000000"/>
        </w:rPr>
        <w:t>(</w:t>
      </w:r>
      <w:r w:rsidR="002962DF">
        <w:rPr>
          <w:rFonts w:ascii="Times New Roman" w:hAnsi="Times New Roman"/>
          <w:color w:val="000000"/>
        </w:rPr>
        <w:t xml:space="preserve">pobyt </w:t>
      </w:r>
      <w:r w:rsidR="0013113B">
        <w:rPr>
          <w:rFonts w:ascii="Times New Roman" w:hAnsi="Times New Roman"/>
        </w:rPr>
        <w:t>štátneho príslušníka tretej krajiny s priznaným postavením osoby s dlhodobým pobytom EÚ</w:t>
      </w:r>
      <w:r w:rsidR="002962DF">
        <w:rPr>
          <w:rFonts w:ascii="Times New Roman" w:hAnsi="Times New Roman"/>
        </w:rPr>
        <w:t>)</w:t>
      </w:r>
      <w:r w:rsidR="00907622">
        <w:rPr>
          <w:rFonts w:ascii="Times New Roman" w:hAnsi="Times New Roman"/>
        </w:rPr>
        <w:t>,</w:t>
      </w:r>
    </w:p>
    <w:p w:rsidR="00907622" w:rsidP="00907622">
      <w:pPr>
        <w:numPr>
          <w:numId w:val="7"/>
        </w:numPr>
        <w:bidi w:val="0"/>
        <w:jc w:val="both"/>
        <w:rPr>
          <w:rFonts w:ascii="Times New Roman" w:hAnsi="Times New Roman"/>
        </w:rPr>
      </w:pPr>
      <w:r w:rsidR="00667595">
        <w:rPr>
          <w:rFonts w:ascii="Times New Roman" w:hAnsi="Times New Roman"/>
        </w:rPr>
        <w:t>návrh r</w:t>
      </w:r>
      <w:r w:rsidRPr="008A2B3E">
        <w:rPr>
          <w:rFonts w:ascii="Times New Roman" w:hAnsi="Times New Roman"/>
        </w:rPr>
        <w:t>ozširuje okruh štátnych príslušníkov tretích krajín, ktorým policajný útvar, po splnení podmienok, udelí prechodný pobyt na účel osobitnej činnosti na činnosť novinára akredi</w:t>
      </w:r>
      <w:r w:rsidR="007D36C1">
        <w:rPr>
          <w:rFonts w:ascii="Times New Roman" w:hAnsi="Times New Roman"/>
        </w:rPr>
        <w:t>tovaného v Slovenskej republike,</w:t>
      </w:r>
    </w:p>
    <w:p w:rsidR="007D36C1" w:rsidRPr="008A2B3E" w:rsidP="00907622">
      <w:pPr>
        <w:numPr>
          <w:numId w:val="7"/>
        </w:numPr>
        <w:bidi w:val="0"/>
        <w:jc w:val="both"/>
        <w:rPr>
          <w:rFonts w:ascii="Times New Roman" w:hAnsi="Times New Roman"/>
        </w:rPr>
      </w:pPr>
      <w:r>
        <w:rPr>
          <w:rFonts w:ascii="Times New Roman" w:hAnsi="Times New Roman"/>
        </w:rPr>
        <w:t>návrh oslobodzuje štátnych príslušníkov tretích krajín, ktorí si podávajú žiadosť o udelenie prechodného pobytu na účel štúdia od správneho poplatku.</w:t>
      </w:r>
    </w:p>
    <w:p w:rsidR="005E708D" w:rsidP="005E708D">
      <w:pPr>
        <w:bidi w:val="0"/>
        <w:jc w:val="both"/>
        <w:rPr>
          <w:rFonts w:ascii="Times New Roman" w:hAnsi="Times New Roman"/>
        </w:rPr>
      </w:pPr>
    </w:p>
    <w:p w:rsidR="005E708D" w:rsidP="005E708D">
      <w:pPr>
        <w:bidi w:val="0"/>
        <w:jc w:val="both"/>
        <w:rPr>
          <w:rFonts w:ascii="Times New Roman" w:hAnsi="Times New Roman"/>
        </w:rPr>
      </w:pPr>
      <w:r>
        <w:rPr>
          <w:rFonts w:ascii="Times New Roman" w:hAnsi="Times New Roman"/>
        </w:rPr>
        <w:t>Nová služba</w:t>
      </w:r>
    </w:p>
    <w:p w:rsidR="0078598E" w:rsidRPr="000765AA" w:rsidP="0078598E">
      <w:pPr>
        <w:numPr>
          <w:numId w:val="7"/>
        </w:numPr>
        <w:bidi w:val="0"/>
        <w:jc w:val="both"/>
        <w:rPr>
          <w:rFonts w:ascii="Times New Roman" w:hAnsi="Times New Roman"/>
        </w:rPr>
      </w:pPr>
      <w:r w:rsidR="00877DBE">
        <w:rPr>
          <w:rFonts w:ascii="Times New Roman" w:hAnsi="Times New Roman"/>
        </w:rPr>
        <w:t xml:space="preserve">zavádza sa </w:t>
      </w:r>
      <w:r w:rsidRPr="0035797A">
        <w:rPr>
          <w:rFonts w:ascii="Times New Roman" w:hAnsi="Times New Roman"/>
        </w:rPr>
        <w:t>správny poplatok za podanie odvolania proti rozhodnutiu o zamietnutí žiadosti o udelenie schengenského víza, o zrušení alebo odvolaní udeleného schengenského víza</w:t>
      </w:r>
      <w:r>
        <w:rPr>
          <w:rFonts w:ascii="Times New Roman" w:hAnsi="Times New Roman"/>
        </w:rPr>
        <w:t>, ktoré vydal zastupiteľský úrad Slovenskej republiky</w:t>
      </w:r>
      <w:r w:rsidR="002A3E8A">
        <w:rPr>
          <w:rFonts w:ascii="Times New Roman" w:hAnsi="Times New Roman"/>
        </w:rPr>
        <w:t>.</w:t>
      </w:r>
    </w:p>
    <w:p w:rsidR="00C55A47" w:rsidP="00CA24B1">
      <w:pPr>
        <w:bidi w:val="0"/>
        <w:rPr>
          <w:rFonts w:ascii="Times New Roman" w:hAnsi="Times New Roman"/>
        </w:rPr>
      </w:pPr>
    </w:p>
    <w:p w:rsidR="00CA24B1" w:rsidRPr="00FF0FC2" w:rsidP="00CA24B1">
      <w:pPr>
        <w:bidi w:val="0"/>
        <w:rPr>
          <w:rFonts w:ascii="Times New Roman" w:hAnsi="Times New Roman"/>
        </w:rPr>
      </w:pPr>
      <w:r w:rsidRPr="00FF0FC2">
        <w:rPr>
          <w:rFonts w:ascii="Times New Roman" w:hAnsi="Times New Roman"/>
          <w:b/>
          <w:bCs/>
        </w:rPr>
        <w:t>2.3.3. Predpoklady vývoja objemu aktivít:</w:t>
      </w:r>
    </w:p>
    <w:p w:rsidR="00CA24B1" w:rsidRPr="00FF0FC2" w:rsidP="00CA24B1">
      <w:pPr>
        <w:bidi w:val="0"/>
        <w:jc w:val="both"/>
        <w:rPr>
          <w:rFonts w:ascii="Times New Roman" w:hAnsi="Times New Roman"/>
        </w:rPr>
      </w:pPr>
    </w:p>
    <w:p w:rsidR="00CA24B1" w:rsidP="00CA24B1">
      <w:pPr>
        <w:bidi w:val="0"/>
        <w:ind w:firstLine="708"/>
        <w:jc w:val="both"/>
        <w:rPr>
          <w:rFonts w:ascii="Times New Roman" w:hAnsi="Times New Roman"/>
        </w:rPr>
      </w:pPr>
      <w:r>
        <w:rPr>
          <w:rFonts w:ascii="Times New Roman" w:hAnsi="Times New Roman"/>
        </w:rPr>
        <w:t xml:space="preserve">Návrh zákona ustanovuje  nové postupy a povinnosti vo vzťahu ku kontrole vonkajšej hranice Slovenskej </w:t>
      </w:r>
      <w:r w:rsidR="00E92862">
        <w:rPr>
          <w:rFonts w:ascii="Times New Roman" w:hAnsi="Times New Roman"/>
        </w:rPr>
        <w:t>republiky, k občanom Európskej únie</w:t>
      </w:r>
      <w:r>
        <w:rPr>
          <w:rFonts w:ascii="Times New Roman" w:hAnsi="Times New Roman"/>
        </w:rPr>
        <w:t xml:space="preserve"> a k rodinným príslušníkom občana  Európske</w:t>
      </w:r>
      <w:r w:rsidR="00E92862">
        <w:rPr>
          <w:rFonts w:ascii="Times New Roman" w:hAnsi="Times New Roman"/>
        </w:rPr>
        <w:t>j</w:t>
      </w:r>
      <w:r>
        <w:rPr>
          <w:rFonts w:ascii="Times New Roman" w:hAnsi="Times New Roman"/>
        </w:rPr>
        <w:t xml:space="preserve"> </w:t>
      </w:r>
      <w:r w:rsidR="00E92862">
        <w:rPr>
          <w:rFonts w:ascii="Times New Roman" w:hAnsi="Times New Roman"/>
        </w:rPr>
        <w:t>únie</w:t>
      </w:r>
      <w:r>
        <w:rPr>
          <w:rFonts w:ascii="Times New Roman" w:hAnsi="Times New Roman"/>
        </w:rPr>
        <w:t xml:space="preserve">, ktorí nie sú štátni príslušníci </w:t>
      </w:r>
      <w:r w:rsidR="00E92862">
        <w:rPr>
          <w:rFonts w:ascii="Times New Roman" w:hAnsi="Times New Roman"/>
        </w:rPr>
        <w:t>Európskej únie</w:t>
      </w:r>
      <w:r>
        <w:rPr>
          <w:rFonts w:ascii="Times New Roman" w:hAnsi="Times New Roman"/>
        </w:rPr>
        <w:t xml:space="preserve">. </w:t>
      </w:r>
    </w:p>
    <w:p w:rsidR="00CA24B1" w:rsidP="00CA24B1">
      <w:pPr>
        <w:bidi w:val="0"/>
        <w:ind w:firstLine="708"/>
        <w:jc w:val="both"/>
        <w:rPr>
          <w:rFonts w:ascii="Times New Roman" w:hAnsi="Times New Roman"/>
        </w:rPr>
      </w:pPr>
      <w:r>
        <w:rPr>
          <w:rFonts w:ascii="Times New Roman" w:hAnsi="Times New Roman"/>
        </w:rPr>
        <w:t>V súvislosti s navrhovanými zmenami uvedenými v návrhu zákona o</w:t>
      </w:r>
      <w:r w:rsidR="00F243BF">
        <w:rPr>
          <w:rFonts w:ascii="Times New Roman" w:hAnsi="Times New Roman"/>
        </w:rPr>
        <w:t> kontrole hraníc a</w:t>
      </w:r>
      <w:r w:rsidR="00E92862">
        <w:rPr>
          <w:rFonts w:ascii="Times New Roman" w:hAnsi="Times New Roman"/>
        </w:rPr>
        <w:t> </w:t>
      </w:r>
      <w:r w:rsidR="00F243BF">
        <w:rPr>
          <w:rFonts w:ascii="Times New Roman" w:hAnsi="Times New Roman"/>
        </w:rPr>
        <w:t>p</w:t>
      </w:r>
      <w:r w:rsidR="00E92862">
        <w:rPr>
          <w:rFonts w:ascii="Times New Roman" w:hAnsi="Times New Roman"/>
        </w:rPr>
        <w:t>obyte cudzincov</w:t>
      </w:r>
      <w:r>
        <w:rPr>
          <w:rFonts w:ascii="Times New Roman" w:hAnsi="Times New Roman"/>
        </w:rPr>
        <w:t xml:space="preserve"> je pre potreby aplikačnej praxe nevyhnutné upraviť informačné systémy, ktoré sú využívané na evidenciu, vykonávanie bezpečnostných previerok žiadateľov, vytváranie štatistík a analýz v oblasti migračnej politiky.</w:t>
      </w:r>
    </w:p>
    <w:p w:rsidR="00CA24B1" w:rsidRPr="00FF0FC2" w:rsidP="00B370F8">
      <w:pPr>
        <w:bidi w:val="0"/>
        <w:ind w:firstLine="708"/>
        <w:jc w:val="both"/>
        <w:rPr>
          <w:rFonts w:ascii="Times New Roman" w:hAnsi="Times New Roman"/>
        </w:rPr>
      </w:pPr>
      <w:r w:rsidR="00B370F8">
        <w:rPr>
          <w:rFonts w:ascii="Times New Roman" w:hAnsi="Times New Roman"/>
          <w:color w:val="000000"/>
        </w:rPr>
        <w:t>V súlade s vízovým kódexom sa bude možné odvolať proti neudeleniu schengenského víza</w:t>
      </w:r>
      <w:r w:rsidR="00090CA3">
        <w:rPr>
          <w:rFonts w:ascii="Times New Roman" w:hAnsi="Times New Roman"/>
          <w:color w:val="000000"/>
        </w:rPr>
        <w:t>, jeho zrušeniu alebo odvolaniu</w:t>
      </w:r>
      <w:r w:rsidR="00B370F8">
        <w:rPr>
          <w:rFonts w:ascii="Times New Roman" w:hAnsi="Times New Roman"/>
          <w:color w:val="000000"/>
        </w:rPr>
        <w:t>.</w:t>
      </w:r>
      <w:r w:rsidR="00B370F8">
        <w:rPr>
          <w:rFonts w:ascii="ms sans serif" w:hAnsi="ms sans serif"/>
          <w:color w:val="000000"/>
        </w:rPr>
        <w:t xml:space="preserve"> Rozhodnutie o zamietnutí a dôvody sa </w:t>
      </w:r>
      <w:r w:rsidR="00617585">
        <w:rPr>
          <w:rFonts w:ascii="ms sans serif" w:hAnsi="ms sans serif"/>
          <w:color w:val="000000"/>
        </w:rPr>
        <w:t xml:space="preserve">štátnemu príslušníkovi tretej krajiny </w:t>
      </w:r>
      <w:r w:rsidR="00090CA3">
        <w:rPr>
          <w:rFonts w:ascii="ms sans serif" w:hAnsi="ms sans serif"/>
          <w:color w:val="000000"/>
        </w:rPr>
        <w:t>oznámi</w:t>
      </w:r>
      <w:r w:rsidR="00B370F8">
        <w:rPr>
          <w:rFonts w:ascii="ms sans serif" w:hAnsi="ms sans serif"/>
          <w:color w:val="000000"/>
        </w:rPr>
        <w:t xml:space="preserve"> prostredníctvom formulára „Štandardný formulár pre oznámenie a odôvodnenie zamietnutia, zrušenia alebo odvolania víza“, k</w:t>
      </w:r>
      <w:r w:rsidR="00AB75C5">
        <w:rPr>
          <w:rFonts w:ascii="ms sans serif" w:hAnsi="ms sans serif"/>
          <w:color w:val="000000"/>
        </w:rPr>
        <w:t>e</w:t>
      </w:r>
      <w:r w:rsidR="00B370F8">
        <w:rPr>
          <w:rFonts w:ascii="ms sans serif" w:hAnsi="ms sans serif"/>
          <w:color w:val="000000"/>
        </w:rPr>
        <w:t>d</w:t>
      </w:r>
      <w:r w:rsidR="00AB75C5">
        <w:rPr>
          <w:rFonts w:ascii="ms sans serif" w:hAnsi="ms sans serif"/>
          <w:color w:val="000000"/>
        </w:rPr>
        <w:t>y</w:t>
      </w:r>
      <w:r w:rsidR="00B370F8">
        <w:rPr>
          <w:rFonts w:ascii="ms sans serif" w:hAnsi="ms sans serif"/>
          <w:color w:val="000000"/>
        </w:rPr>
        <w:t xml:space="preserve"> </w:t>
      </w:r>
      <w:r w:rsidR="00617585">
        <w:rPr>
          <w:rFonts w:ascii="ms sans serif" w:hAnsi="ms sans serif"/>
          <w:color w:val="000000"/>
        </w:rPr>
        <w:t>štátny príslušník tretej krajiny</w:t>
      </w:r>
      <w:r w:rsidR="00B370F8">
        <w:rPr>
          <w:rFonts w:ascii="ms sans serif" w:hAnsi="ms sans serif"/>
          <w:color w:val="000000"/>
        </w:rPr>
        <w:t xml:space="preserve"> dostane kópiu tohto formulára. </w:t>
      </w:r>
      <w:r w:rsidR="00644A8F">
        <w:rPr>
          <w:rFonts w:ascii="ms sans serif" w:hAnsi="ms sans serif"/>
          <w:color w:val="000000"/>
        </w:rPr>
        <w:t>Nový s</w:t>
      </w:r>
      <w:r w:rsidR="00B370F8">
        <w:rPr>
          <w:rFonts w:ascii="ms sans serif" w:hAnsi="ms sans serif"/>
          <w:color w:val="000000"/>
        </w:rPr>
        <w:t xml:space="preserve">právny poplatok, ktorý bude </w:t>
      </w:r>
      <w:r w:rsidR="00090CA3">
        <w:rPr>
          <w:rFonts w:ascii="ms sans serif" w:hAnsi="ms sans serif"/>
          <w:color w:val="000000"/>
        </w:rPr>
        <w:t>u</w:t>
      </w:r>
      <w:r w:rsidR="00B370F8">
        <w:rPr>
          <w:rFonts w:ascii="ms sans serif" w:hAnsi="ms sans serif"/>
          <w:color w:val="000000"/>
        </w:rPr>
        <w:t>stanovený v zákone o správnych poplatkoch navýši štátny rozpočet o nami odhadovanú sumu uvedenú v tabuľkách. Odvolania by mali mať klesajúcu tendenciu, zohľadn</w:t>
      </w:r>
      <w:r w:rsidR="00AB75C5">
        <w:rPr>
          <w:rFonts w:ascii="ms sans serif" w:hAnsi="ms sans serif"/>
          <w:color w:val="000000"/>
        </w:rPr>
        <w:t>ené</w:t>
      </w:r>
      <w:r w:rsidR="00B370F8">
        <w:rPr>
          <w:rFonts w:ascii="ms sans serif" w:hAnsi="ms sans serif"/>
          <w:color w:val="000000"/>
        </w:rPr>
        <w:t xml:space="preserve"> v tabuľke, čo predstavuje cca úbytok vo výške  30%  ročne.</w:t>
      </w:r>
    </w:p>
    <w:p w:rsidR="00C55A47" w:rsidP="00CA24B1">
      <w:pPr>
        <w:bidi w:val="0"/>
        <w:rPr>
          <w:rFonts w:ascii="Times New Roman" w:hAnsi="Times New Roman"/>
        </w:rPr>
      </w:pPr>
    </w:p>
    <w:p w:rsidR="00CA24B1" w:rsidRPr="00FF0FC2" w:rsidP="00CA24B1">
      <w:pPr>
        <w:bidi w:val="0"/>
        <w:rPr>
          <w:rFonts w:ascii="Times New Roman" w:hAnsi="Times New Roman"/>
          <w:b/>
          <w:bCs/>
        </w:rPr>
      </w:pPr>
      <w:r w:rsidRPr="00FF0FC2">
        <w:rPr>
          <w:rFonts w:ascii="Times New Roman" w:hAnsi="Times New Roman"/>
          <w:b/>
          <w:bCs/>
        </w:rPr>
        <w:t>2.3.4. Výpočty vplyvov na verejné financie</w:t>
      </w:r>
    </w:p>
    <w:p w:rsidR="004C48FF" w:rsidP="004C48FF">
      <w:pPr>
        <w:pStyle w:val="BodyText"/>
        <w:tabs>
          <w:tab w:val="num" w:pos="1080"/>
        </w:tabs>
        <w:bidi w:val="0"/>
        <w:jc w:val="both"/>
        <w:rPr>
          <w:rFonts w:ascii="Times New Roman" w:hAnsi="Times New Roman"/>
          <w:b w:val="0"/>
          <w:bCs/>
          <w:szCs w:val="24"/>
        </w:rPr>
      </w:pPr>
    </w:p>
    <w:p w:rsidR="00962629" w:rsidRPr="001822D5" w:rsidP="00C979BC">
      <w:pPr>
        <w:bidi w:val="0"/>
        <w:ind w:firstLine="708"/>
        <w:jc w:val="both"/>
        <w:rPr>
          <w:rFonts w:ascii="Times New Roman" w:hAnsi="Times New Roman"/>
        </w:rPr>
      </w:pPr>
      <w:r w:rsidR="006F6E60">
        <w:rPr>
          <w:rFonts w:ascii="Times New Roman" w:hAnsi="Times New Roman"/>
          <w:color w:val="000000"/>
        </w:rPr>
        <w:t>V oblasti kapitálových výdavkov ide o dopad na rozpočet Ministerstva vnútra Slovenskej republike</w:t>
      </w:r>
      <w:r w:rsidR="00DB3CD9">
        <w:rPr>
          <w:rFonts w:ascii="Times New Roman" w:hAnsi="Times New Roman"/>
          <w:color w:val="000000"/>
        </w:rPr>
        <w:t xml:space="preserve"> v roku 2011</w:t>
      </w:r>
      <w:r w:rsidR="005071E7">
        <w:rPr>
          <w:rFonts w:ascii="Times New Roman" w:hAnsi="Times New Roman"/>
          <w:color w:val="000000"/>
        </w:rPr>
        <w:t xml:space="preserve"> vo výške </w:t>
      </w:r>
      <w:r w:rsidR="007D36C1">
        <w:rPr>
          <w:rFonts w:ascii="Times New Roman" w:hAnsi="Times New Roman"/>
          <w:color w:val="000000"/>
        </w:rPr>
        <w:t>2</w:t>
      </w:r>
      <w:r w:rsidR="005071E7">
        <w:rPr>
          <w:rFonts w:ascii="Times New Roman" w:hAnsi="Times New Roman"/>
        </w:rPr>
        <w:t>.</w:t>
      </w:r>
      <w:r w:rsidR="007D36C1">
        <w:rPr>
          <w:rFonts w:ascii="Times New Roman" w:hAnsi="Times New Roman"/>
        </w:rPr>
        <w:t>430</w:t>
      </w:r>
      <w:r w:rsidR="005071E7">
        <w:rPr>
          <w:rFonts w:ascii="Times New Roman" w:hAnsi="Times New Roman"/>
        </w:rPr>
        <w:t>.</w:t>
      </w:r>
      <w:r w:rsidRPr="00C469FA" w:rsidR="005071E7">
        <w:rPr>
          <w:rFonts w:ascii="Times New Roman" w:hAnsi="Times New Roman"/>
        </w:rPr>
        <w:t>000</w:t>
      </w:r>
      <w:r w:rsidR="005071E7">
        <w:rPr>
          <w:rFonts w:ascii="Times New Roman" w:hAnsi="Times New Roman"/>
        </w:rPr>
        <w:t xml:space="preserve"> eur.</w:t>
      </w:r>
      <w:r w:rsidR="009A11AF">
        <w:rPr>
          <w:rFonts w:ascii="Times New Roman" w:hAnsi="Times New Roman"/>
        </w:rPr>
        <w:t xml:space="preserve"> </w:t>
      </w:r>
      <w:r w:rsidR="007D36C1">
        <w:rPr>
          <w:rFonts w:ascii="Times New Roman" w:hAnsi="Times New Roman"/>
        </w:rPr>
        <w:t>Časť</w:t>
      </w:r>
      <w:r w:rsidR="00DB3CD9">
        <w:rPr>
          <w:rFonts w:ascii="Times New Roman" w:hAnsi="Times New Roman"/>
        </w:rPr>
        <w:t xml:space="preserve"> finančn</w:t>
      </w:r>
      <w:r w:rsidR="007D36C1">
        <w:rPr>
          <w:rFonts w:ascii="Times New Roman" w:hAnsi="Times New Roman"/>
        </w:rPr>
        <w:t>ých</w:t>
      </w:r>
      <w:r w:rsidR="00DB3CD9">
        <w:rPr>
          <w:rFonts w:ascii="Times New Roman" w:hAnsi="Times New Roman"/>
        </w:rPr>
        <w:t xml:space="preserve"> prostriedk</w:t>
      </w:r>
      <w:r w:rsidR="007D36C1">
        <w:rPr>
          <w:rFonts w:ascii="Times New Roman" w:hAnsi="Times New Roman"/>
        </w:rPr>
        <w:t>ov</w:t>
      </w:r>
      <w:r w:rsidR="00DB3CD9">
        <w:rPr>
          <w:rFonts w:ascii="Times New Roman" w:hAnsi="Times New Roman"/>
        </w:rPr>
        <w:t xml:space="preserve"> </w:t>
      </w:r>
      <w:r w:rsidR="007E2F72">
        <w:rPr>
          <w:rFonts w:ascii="Times New Roman" w:hAnsi="Times New Roman"/>
        </w:rPr>
        <w:t xml:space="preserve">              </w:t>
      </w:r>
      <w:r w:rsidR="00DB3CD9">
        <w:rPr>
          <w:rFonts w:ascii="Times New Roman" w:hAnsi="Times New Roman"/>
        </w:rPr>
        <w:t xml:space="preserve">vo výške 1.430.000 eur </w:t>
      </w:r>
      <w:r w:rsidR="007D36C1">
        <w:rPr>
          <w:rFonts w:ascii="Times New Roman" w:hAnsi="Times New Roman"/>
        </w:rPr>
        <w:t>je</w:t>
      </w:r>
      <w:r w:rsidR="00DB3CD9">
        <w:rPr>
          <w:rFonts w:ascii="Times New Roman" w:hAnsi="Times New Roman"/>
        </w:rPr>
        <w:t xml:space="preserve"> </w:t>
      </w:r>
      <w:r w:rsidR="006E1AC5">
        <w:rPr>
          <w:rFonts w:ascii="Times New Roman" w:hAnsi="Times New Roman"/>
        </w:rPr>
        <w:t>zabezpečená</w:t>
      </w:r>
      <w:r w:rsidR="00DB3CD9">
        <w:rPr>
          <w:rFonts w:ascii="Times New Roman" w:hAnsi="Times New Roman"/>
        </w:rPr>
        <w:t xml:space="preserve"> z finančných prostriedkov žiadaných z rezervy vlády Slovenskej republiky pre projekt SIS II</w:t>
      </w:r>
      <w:r w:rsidR="007D36C1">
        <w:rPr>
          <w:rFonts w:ascii="Times New Roman" w:hAnsi="Times New Roman"/>
        </w:rPr>
        <w:t>, ktoré sú súčasťou</w:t>
      </w:r>
      <w:r w:rsidR="006E1AC5">
        <w:rPr>
          <w:rFonts w:ascii="Times New Roman" w:hAnsi="Times New Roman"/>
        </w:rPr>
        <w:t xml:space="preserve"> limitu 3 850 000 eur</w:t>
      </w:r>
      <w:r w:rsidR="00DB3CD9">
        <w:rPr>
          <w:rFonts w:ascii="Times New Roman" w:hAnsi="Times New Roman"/>
        </w:rPr>
        <w:t xml:space="preserve">. </w:t>
      </w:r>
      <w:r w:rsidR="003B0E5E">
        <w:rPr>
          <w:rFonts w:ascii="Times New Roman" w:hAnsi="Times New Roman"/>
        </w:rPr>
        <w:t>Uvedené náklady sú predpokladom</w:t>
      </w:r>
      <w:r w:rsidRPr="001822D5" w:rsidR="00554C69">
        <w:rPr>
          <w:rFonts w:ascii="Times New Roman" w:hAnsi="Times New Roman"/>
        </w:rPr>
        <w:t xml:space="preserve"> </w:t>
      </w:r>
      <w:r w:rsidR="003B0E5E">
        <w:rPr>
          <w:rFonts w:ascii="Times New Roman" w:hAnsi="Times New Roman"/>
        </w:rPr>
        <w:t>firmy</w:t>
      </w:r>
      <w:r w:rsidRPr="001822D5" w:rsidR="00554C69">
        <w:rPr>
          <w:rFonts w:ascii="Times New Roman" w:hAnsi="Times New Roman"/>
        </w:rPr>
        <w:t xml:space="preserve">, ktorá prevádzkuje informačné systémy úradu hraničnej a cudzineckej polície </w:t>
      </w:r>
      <w:r w:rsidRPr="001822D5" w:rsidR="00D402AA">
        <w:rPr>
          <w:rFonts w:ascii="Times New Roman" w:hAnsi="Times New Roman"/>
        </w:rPr>
        <w:t>(Evidencia cudzincov s povoleným pobytom na území Slovenskej republiky a Vízový informačný systém Ministerstva vnútra Slovenskej republiky)</w:t>
      </w:r>
      <w:r w:rsidRPr="001822D5" w:rsidR="00554C69">
        <w:rPr>
          <w:rFonts w:ascii="Times New Roman" w:hAnsi="Times New Roman"/>
        </w:rPr>
        <w:t xml:space="preserve">. </w:t>
      </w:r>
    </w:p>
    <w:p w:rsidR="00D40881" w:rsidRPr="001822D5" w:rsidP="00C979BC">
      <w:pPr>
        <w:bidi w:val="0"/>
        <w:ind w:firstLine="708"/>
        <w:jc w:val="both"/>
        <w:rPr>
          <w:rFonts w:ascii="Times New Roman" w:hAnsi="Times New Roman"/>
        </w:rPr>
      </w:pPr>
    </w:p>
    <w:p w:rsidR="007A4331" w:rsidRPr="001822D5" w:rsidP="00C979BC">
      <w:pPr>
        <w:bidi w:val="0"/>
        <w:ind w:firstLine="708"/>
        <w:jc w:val="both"/>
        <w:rPr>
          <w:rFonts w:ascii="Times New Roman" w:hAnsi="Times New Roman"/>
        </w:rPr>
      </w:pPr>
      <w:r w:rsidRPr="001822D5" w:rsidR="00006BF9">
        <w:rPr>
          <w:rFonts w:ascii="Times New Roman" w:hAnsi="Times New Roman"/>
        </w:rPr>
        <w:t>V súvislosti s verej</w:t>
      </w:r>
      <w:r w:rsidR="00090CA3">
        <w:rPr>
          <w:rFonts w:ascii="Times New Roman" w:hAnsi="Times New Roman"/>
        </w:rPr>
        <w:t xml:space="preserve">nými financiami sa v čl. </w:t>
      </w:r>
      <w:r w:rsidRPr="001822D5" w:rsidR="00FF335A">
        <w:rPr>
          <w:rFonts w:ascii="Times New Roman" w:hAnsi="Times New Roman"/>
        </w:rPr>
        <w:t>II</w:t>
      </w:r>
      <w:r w:rsidRPr="001822D5" w:rsidR="00006BF9">
        <w:rPr>
          <w:rFonts w:ascii="Times New Roman" w:hAnsi="Times New Roman"/>
        </w:rPr>
        <w:t xml:space="preserve"> mení zákon č. 145/1995 Z. z. o správnych poplatkoch v znení neskorších predpisov</w:t>
      </w:r>
      <w:r w:rsidRPr="001822D5" w:rsidR="00741CA2">
        <w:rPr>
          <w:rFonts w:ascii="Times New Roman" w:hAnsi="Times New Roman"/>
        </w:rPr>
        <w:t xml:space="preserve"> vo vzťahu k položkám, ktoré sa týkajú návrhu zákona o kontrole hraníc a pobyte cudzincov. V prípade zníženia</w:t>
      </w:r>
      <w:r w:rsidR="00090CA3">
        <w:rPr>
          <w:rFonts w:ascii="Times New Roman" w:hAnsi="Times New Roman"/>
        </w:rPr>
        <w:t>, resp. oslobodenia</w:t>
      </w:r>
      <w:r w:rsidRPr="001822D5" w:rsidR="00741CA2">
        <w:rPr>
          <w:rFonts w:ascii="Times New Roman" w:hAnsi="Times New Roman"/>
        </w:rPr>
        <w:t xml:space="preserve"> </w:t>
      </w:r>
      <w:r w:rsidRPr="001822D5" w:rsidR="00DB7BCA">
        <w:rPr>
          <w:rFonts w:ascii="Times New Roman" w:hAnsi="Times New Roman"/>
        </w:rPr>
        <w:t>pre rodinných príslušníkov občanov Únie</w:t>
      </w:r>
      <w:r w:rsidRPr="001822D5" w:rsidR="004C0457">
        <w:rPr>
          <w:rFonts w:ascii="Times New Roman" w:hAnsi="Times New Roman"/>
        </w:rPr>
        <w:t xml:space="preserve"> a pre rodinných </w:t>
      </w:r>
      <w:r w:rsidRPr="001822D5" w:rsidR="000C27F7">
        <w:rPr>
          <w:rFonts w:ascii="Times New Roman" w:hAnsi="Times New Roman"/>
        </w:rPr>
        <w:t xml:space="preserve">príslušníkov občanov Slovenskej    republiky v rozsahu rodinných príslušníkov občanov Únie od správneho poplatku </w:t>
      </w:r>
      <w:r w:rsidRPr="001822D5" w:rsidR="00F23726">
        <w:rPr>
          <w:rFonts w:ascii="Times New Roman" w:hAnsi="Times New Roman"/>
        </w:rPr>
        <w:t>(</w:t>
      </w:r>
      <w:r w:rsidRPr="001822D5" w:rsidR="00E51211">
        <w:rPr>
          <w:rFonts w:ascii="Times New Roman" w:hAnsi="Times New Roman"/>
        </w:rPr>
        <w:t xml:space="preserve">žiadosť </w:t>
      </w:r>
      <w:r w:rsidR="007E2F72">
        <w:rPr>
          <w:rFonts w:ascii="Times New Roman" w:hAnsi="Times New Roman"/>
        </w:rPr>
        <w:t xml:space="preserve">             </w:t>
      </w:r>
      <w:r w:rsidRPr="001822D5" w:rsidR="00E51211">
        <w:rPr>
          <w:rFonts w:ascii="Times New Roman" w:hAnsi="Times New Roman"/>
        </w:rPr>
        <w:t>o</w:t>
      </w:r>
      <w:r w:rsidRPr="001822D5" w:rsidR="00F23726">
        <w:rPr>
          <w:rFonts w:ascii="Times New Roman" w:hAnsi="Times New Roman"/>
        </w:rPr>
        <w:t xml:space="preserve"> </w:t>
      </w:r>
      <w:r w:rsidRPr="001822D5" w:rsidR="000C27F7">
        <w:rPr>
          <w:rFonts w:ascii="Times New Roman" w:hAnsi="Times New Roman"/>
        </w:rPr>
        <w:t>udeleni</w:t>
      </w:r>
      <w:r w:rsidRPr="001822D5" w:rsidR="00F23726">
        <w:rPr>
          <w:rFonts w:ascii="Times New Roman" w:hAnsi="Times New Roman"/>
        </w:rPr>
        <w:t>a</w:t>
      </w:r>
      <w:r w:rsidRPr="001822D5" w:rsidR="000C27F7">
        <w:rPr>
          <w:rFonts w:ascii="Times New Roman" w:hAnsi="Times New Roman"/>
        </w:rPr>
        <w:t xml:space="preserve"> víza na hraničnom priechode</w:t>
      </w:r>
      <w:r w:rsidRPr="001822D5" w:rsidR="00F23726">
        <w:rPr>
          <w:rFonts w:ascii="Times New Roman" w:hAnsi="Times New Roman"/>
        </w:rPr>
        <w:t>) ide o nevyhnutné zmeny, ktoré si vyžaduje transpozícia smerníc EÚ</w:t>
      </w:r>
      <w:r w:rsidRPr="001822D5" w:rsidR="00006BF9">
        <w:rPr>
          <w:rFonts w:ascii="Times New Roman" w:hAnsi="Times New Roman"/>
        </w:rPr>
        <w:t>.</w:t>
      </w:r>
      <w:r w:rsidR="006E1AC5">
        <w:rPr>
          <w:rFonts w:ascii="Times New Roman" w:hAnsi="Times New Roman"/>
        </w:rPr>
        <w:t xml:space="preserve"> Ďalej budú oslobodení štátni príslušníci tretích krajín, ktorí si podajú žiadosť o udelenie prechodného pobytu na účel štúdia. </w:t>
      </w:r>
      <w:r w:rsidRPr="001822D5" w:rsidR="008732B6">
        <w:rPr>
          <w:rFonts w:ascii="Times New Roman" w:hAnsi="Times New Roman"/>
        </w:rPr>
        <w:t>Zníženie</w:t>
      </w:r>
      <w:r w:rsidR="00090CA3">
        <w:rPr>
          <w:rFonts w:ascii="Times New Roman" w:hAnsi="Times New Roman"/>
        </w:rPr>
        <w:t>,</w:t>
      </w:r>
      <w:r w:rsidRPr="001822D5" w:rsidR="008732B6">
        <w:rPr>
          <w:rFonts w:ascii="Times New Roman" w:hAnsi="Times New Roman"/>
        </w:rPr>
        <w:t xml:space="preserve"> resp. oslobodenie od platenia správn</w:t>
      </w:r>
      <w:r w:rsidRPr="001822D5" w:rsidR="00E51211">
        <w:rPr>
          <w:rFonts w:ascii="Times New Roman" w:hAnsi="Times New Roman"/>
        </w:rPr>
        <w:t>eho poplatku</w:t>
      </w:r>
      <w:r w:rsidRPr="001822D5" w:rsidR="008732B6">
        <w:rPr>
          <w:rFonts w:ascii="Times New Roman" w:hAnsi="Times New Roman"/>
        </w:rPr>
        <w:t xml:space="preserve"> je na druhej strane kompenzované zvýšením správn</w:t>
      </w:r>
      <w:r w:rsidR="00B658D9">
        <w:rPr>
          <w:rFonts w:ascii="Times New Roman" w:hAnsi="Times New Roman"/>
        </w:rPr>
        <w:t>ych</w:t>
      </w:r>
      <w:r w:rsidRPr="001822D5" w:rsidR="008732B6">
        <w:rPr>
          <w:rFonts w:ascii="Times New Roman" w:hAnsi="Times New Roman"/>
        </w:rPr>
        <w:t xml:space="preserve"> poplatk</w:t>
      </w:r>
      <w:r w:rsidR="00B658D9">
        <w:rPr>
          <w:rFonts w:ascii="Times New Roman" w:hAnsi="Times New Roman"/>
        </w:rPr>
        <w:t>ov</w:t>
      </w:r>
      <w:r w:rsidRPr="001822D5" w:rsidR="008732B6">
        <w:rPr>
          <w:rFonts w:ascii="Times New Roman" w:hAnsi="Times New Roman"/>
        </w:rPr>
        <w:t xml:space="preserve"> za vydanie dokladu o pobyte ako náhrad</w:t>
      </w:r>
      <w:r w:rsidR="00090CA3">
        <w:rPr>
          <w:rFonts w:ascii="Times New Roman" w:hAnsi="Times New Roman"/>
        </w:rPr>
        <w:t>y</w:t>
      </w:r>
      <w:r w:rsidRPr="001822D5" w:rsidR="008732B6">
        <w:rPr>
          <w:rFonts w:ascii="Times New Roman" w:hAnsi="Times New Roman"/>
        </w:rPr>
        <w:t xml:space="preserve"> za zničený, stratený, odcudzený alebo poškod</w:t>
      </w:r>
      <w:r w:rsidR="00B658D9">
        <w:rPr>
          <w:rFonts w:ascii="Times New Roman" w:hAnsi="Times New Roman"/>
        </w:rPr>
        <w:t xml:space="preserve">ený doklad </w:t>
      </w:r>
      <w:r w:rsidRPr="001822D5" w:rsidR="002962DF">
        <w:rPr>
          <w:rFonts w:ascii="Times New Roman" w:hAnsi="Times New Roman"/>
        </w:rPr>
        <w:t>a rozšíren</w:t>
      </w:r>
      <w:r w:rsidRPr="001822D5" w:rsidR="00283117">
        <w:rPr>
          <w:rFonts w:ascii="Times New Roman" w:hAnsi="Times New Roman"/>
        </w:rPr>
        <w:t>í</w:t>
      </w:r>
      <w:r w:rsidRPr="001822D5" w:rsidR="002962DF">
        <w:rPr>
          <w:rFonts w:ascii="Times New Roman" w:hAnsi="Times New Roman"/>
        </w:rPr>
        <w:t>m okruhu štátnych príslušníkov tretích krajín, ktor</w:t>
      </w:r>
      <w:r w:rsidRPr="001822D5" w:rsidR="009702F7">
        <w:rPr>
          <w:rFonts w:ascii="Times New Roman" w:hAnsi="Times New Roman"/>
        </w:rPr>
        <w:t>í</w:t>
      </w:r>
      <w:r w:rsidRPr="001822D5" w:rsidR="002962DF">
        <w:rPr>
          <w:rFonts w:ascii="Times New Roman" w:hAnsi="Times New Roman"/>
        </w:rPr>
        <w:t xml:space="preserve"> majú nárok na</w:t>
      </w:r>
      <w:r w:rsidRPr="001822D5" w:rsidR="009702F7">
        <w:rPr>
          <w:rFonts w:ascii="Times New Roman" w:hAnsi="Times New Roman"/>
        </w:rPr>
        <w:t xml:space="preserve"> priznanie postavenia osoby s dlhodobým pobytom EÚ</w:t>
      </w:r>
      <w:r w:rsidRPr="001822D5" w:rsidR="008732B6">
        <w:rPr>
          <w:rFonts w:ascii="Times New Roman" w:hAnsi="Times New Roman"/>
        </w:rPr>
        <w:t>.</w:t>
      </w:r>
      <w:r w:rsidRPr="001822D5" w:rsidR="00A717A8">
        <w:rPr>
          <w:rFonts w:ascii="Times New Roman" w:hAnsi="Times New Roman"/>
        </w:rPr>
        <w:t xml:space="preserve"> </w:t>
      </w:r>
      <w:r w:rsidRPr="001822D5" w:rsidR="0032731D">
        <w:rPr>
          <w:rFonts w:ascii="Times New Roman" w:hAnsi="Times New Roman"/>
        </w:rPr>
        <w:t>Zvýšená v</w:t>
      </w:r>
      <w:r w:rsidRPr="001822D5" w:rsidR="00A717A8">
        <w:rPr>
          <w:rFonts w:ascii="Times New Roman" w:hAnsi="Times New Roman"/>
        </w:rPr>
        <w:t>ýška správn</w:t>
      </w:r>
      <w:r w:rsidR="00B658D9">
        <w:rPr>
          <w:rFonts w:ascii="Times New Roman" w:hAnsi="Times New Roman"/>
        </w:rPr>
        <w:t>ych poplatkov</w:t>
      </w:r>
      <w:r w:rsidRPr="001822D5" w:rsidR="00A717A8">
        <w:rPr>
          <w:rFonts w:ascii="Times New Roman" w:hAnsi="Times New Roman"/>
        </w:rPr>
        <w:t xml:space="preserve"> za</w:t>
      </w:r>
      <w:r w:rsidRPr="001822D5" w:rsidR="0032731D">
        <w:rPr>
          <w:rFonts w:ascii="Times New Roman" w:hAnsi="Times New Roman"/>
        </w:rPr>
        <w:t xml:space="preserve"> vydanie dokladu o pobyte ako </w:t>
      </w:r>
      <w:r w:rsidR="00090CA3">
        <w:rPr>
          <w:rFonts w:ascii="Times New Roman" w:hAnsi="Times New Roman"/>
        </w:rPr>
        <w:t>náhrady</w:t>
      </w:r>
      <w:r w:rsidRPr="001822D5" w:rsidR="0032731D">
        <w:rPr>
          <w:rFonts w:ascii="Times New Roman" w:hAnsi="Times New Roman"/>
        </w:rPr>
        <w:t xml:space="preserve"> za zničený, stratený, odcudzený alebo</w:t>
      </w:r>
      <w:r w:rsidR="00090CA3">
        <w:rPr>
          <w:rFonts w:ascii="Times New Roman" w:hAnsi="Times New Roman"/>
        </w:rPr>
        <w:t xml:space="preserve"> </w:t>
      </w:r>
      <w:r w:rsidRPr="001822D5" w:rsidR="0032731D">
        <w:rPr>
          <w:rFonts w:ascii="Times New Roman" w:hAnsi="Times New Roman"/>
        </w:rPr>
        <w:t xml:space="preserve">poškodený </w:t>
      </w:r>
      <w:r w:rsidR="00090CA3">
        <w:rPr>
          <w:rFonts w:ascii="Times New Roman" w:hAnsi="Times New Roman"/>
        </w:rPr>
        <w:t>d</w:t>
      </w:r>
      <w:r w:rsidRPr="001822D5" w:rsidR="0032731D">
        <w:rPr>
          <w:rFonts w:ascii="Times New Roman" w:hAnsi="Times New Roman"/>
        </w:rPr>
        <w:t>oklad</w:t>
      </w:r>
      <w:r w:rsidRPr="001822D5" w:rsidR="00A717A8">
        <w:rPr>
          <w:rFonts w:ascii="Times New Roman" w:hAnsi="Times New Roman"/>
        </w:rPr>
        <w:t xml:space="preserve"> je porovnateľná s výškou za obdobné </w:t>
      </w:r>
      <w:r w:rsidRPr="001822D5" w:rsidR="0032731D">
        <w:rPr>
          <w:rFonts w:ascii="Times New Roman" w:hAnsi="Times New Roman"/>
        </w:rPr>
        <w:t xml:space="preserve">správne poplatky </w:t>
      </w:r>
      <w:r w:rsidRPr="001822D5" w:rsidR="00A717A8">
        <w:rPr>
          <w:rFonts w:ascii="Times New Roman" w:hAnsi="Times New Roman"/>
        </w:rPr>
        <w:t>občanov Slovenskej republiky</w:t>
      </w:r>
      <w:r w:rsidRPr="001822D5" w:rsidR="0032731D">
        <w:rPr>
          <w:rFonts w:ascii="Times New Roman" w:hAnsi="Times New Roman"/>
        </w:rPr>
        <w:t>.</w:t>
      </w:r>
      <w:r w:rsidRPr="001822D5" w:rsidR="00186038">
        <w:rPr>
          <w:rFonts w:ascii="Times New Roman" w:hAnsi="Times New Roman"/>
        </w:rPr>
        <w:t xml:space="preserve"> Aj keď je ťažko možné odhadnúť počet </w:t>
      </w:r>
      <w:r w:rsidRPr="001822D5" w:rsidR="00492D46">
        <w:rPr>
          <w:rFonts w:ascii="Times New Roman" w:hAnsi="Times New Roman"/>
        </w:rPr>
        <w:t xml:space="preserve">oslobodení od </w:t>
      </w:r>
      <w:r w:rsidRPr="001822D5" w:rsidR="00186038">
        <w:rPr>
          <w:rFonts w:ascii="Times New Roman" w:hAnsi="Times New Roman"/>
        </w:rPr>
        <w:t>žiadostí</w:t>
      </w:r>
      <w:r w:rsidRPr="001822D5" w:rsidR="000053CE">
        <w:rPr>
          <w:rFonts w:ascii="Times New Roman" w:hAnsi="Times New Roman"/>
        </w:rPr>
        <w:t xml:space="preserve"> </w:t>
      </w:r>
      <w:r w:rsidR="007E2F72">
        <w:rPr>
          <w:rFonts w:ascii="Times New Roman" w:hAnsi="Times New Roman"/>
        </w:rPr>
        <w:t xml:space="preserve">                    </w:t>
      </w:r>
      <w:r w:rsidRPr="001822D5" w:rsidR="000053CE">
        <w:rPr>
          <w:rFonts w:ascii="Times New Roman" w:hAnsi="Times New Roman"/>
        </w:rPr>
        <w:t>o ude</w:t>
      </w:r>
      <w:r w:rsidRPr="001822D5" w:rsidR="008626D0">
        <w:rPr>
          <w:rFonts w:ascii="Times New Roman" w:hAnsi="Times New Roman"/>
        </w:rPr>
        <w:t>leni</w:t>
      </w:r>
      <w:r w:rsidRPr="001822D5" w:rsidR="000053CE">
        <w:rPr>
          <w:rFonts w:ascii="Times New Roman" w:hAnsi="Times New Roman"/>
        </w:rPr>
        <w:t>e</w:t>
      </w:r>
      <w:r w:rsidRPr="001822D5" w:rsidR="008626D0">
        <w:rPr>
          <w:rFonts w:ascii="Times New Roman" w:hAnsi="Times New Roman"/>
        </w:rPr>
        <w:t xml:space="preserve"> víza na hraničnom priechode</w:t>
      </w:r>
      <w:r w:rsidR="00AB75C5">
        <w:rPr>
          <w:rFonts w:ascii="Times New Roman" w:hAnsi="Times New Roman"/>
        </w:rPr>
        <w:t>,</w:t>
      </w:r>
      <w:r w:rsidRPr="001822D5" w:rsidR="00AE4C65">
        <w:rPr>
          <w:rFonts w:ascii="Times New Roman" w:hAnsi="Times New Roman"/>
        </w:rPr>
        <w:t xml:space="preserve"> počet </w:t>
      </w:r>
      <w:r w:rsidRPr="001822D5" w:rsidR="00283117">
        <w:rPr>
          <w:rFonts w:ascii="Times New Roman" w:hAnsi="Times New Roman"/>
        </w:rPr>
        <w:t xml:space="preserve">žiadostí </w:t>
      </w:r>
      <w:r w:rsidRPr="001822D5" w:rsidR="00664D11">
        <w:rPr>
          <w:rFonts w:ascii="Times New Roman" w:hAnsi="Times New Roman"/>
        </w:rPr>
        <w:t>o udelenie priznania postavenia osoby s dlhodobým pobytom EÚ</w:t>
      </w:r>
      <w:r w:rsidR="00AB75C5">
        <w:rPr>
          <w:rFonts w:ascii="Times New Roman" w:hAnsi="Times New Roman"/>
        </w:rPr>
        <w:t xml:space="preserve"> a</w:t>
      </w:r>
      <w:r w:rsidR="006E1AC5">
        <w:rPr>
          <w:rFonts w:ascii="Times New Roman" w:hAnsi="Times New Roman"/>
        </w:rPr>
        <w:t xml:space="preserve"> počet žiadosti o udelenie prechodného pobytu na účel štúdia</w:t>
      </w:r>
      <w:r w:rsidRPr="001822D5" w:rsidR="007A5616">
        <w:rPr>
          <w:rFonts w:ascii="Times New Roman" w:hAnsi="Times New Roman"/>
        </w:rPr>
        <w:t>, podľa doterajších skúseností možno predpokladať, že po navrhovanej úprave správnych poplatkov nedôjde k zníženiu objemu vybraných správnych poplatkov, skôr sa predpokladá jeho zvýšenie.</w:t>
      </w:r>
    </w:p>
    <w:p w:rsidR="006E1AC5" w:rsidP="006E1AC5">
      <w:pPr>
        <w:bidi w:val="0"/>
        <w:ind w:firstLine="708"/>
        <w:rPr>
          <w:rFonts w:ascii="Times New Roman" w:hAnsi="Times New Roman"/>
        </w:rPr>
      </w:pPr>
    </w:p>
    <w:p w:rsidR="006E1AC5" w:rsidP="006E1AC5">
      <w:pPr>
        <w:bidi w:val="0"/>
        <w:ind w:firstLine="708"/>
        <w:rPr>
          <w:rFonts w:ascii="Times New Roman" w:hAnsi="Times New Roman"/>
        </w:rPr>
      </w:pPr>
      <w:r>
        <w:rPr>
          <w:rFonts w:ascii="Times New Roman" w:hAnsi="Times New Roman"/>
        </w:rPr>
        <w:t>Štatistické údaje týkajúce sa stratených dokladov o pobyte:</w:t>
      </w:r>
    </w:p>
    <w:tbl>
      <w:tblPr>
        <w:tblStyle w:val="TableNormal"/>
        <w:tblpPr w:leftFromText="141" w:rightFromText="141" w:vertAnchor="page" w:horzAnchor="margin" w:tblpXSpec="center" w:tblpY="11206"/>
        <w:tblW w:w="9001" w:type="dxa"/>
        <w:tblCellMar>
          <w:left w:w="70" w:type="dxa"/>
          <w:right w:w="70" w:type="dxa"/>
        </w:tblCellMar>
      </w:tblPr>
      <w:tblGrid>
        <w:gridCol w:w="3614"/>
        <w:gridCol w:w="851"/>
        <w:gridCol w:w="708"/>
        <w:gridCol w:w="851"/>
        <w:gridCol w:w="850"/>
        <w:gridCol w:w="709"/>
        <w:gridCol w:w="1418"/>
      </w:tblGrid>
      <w:tr>
        <w:tblPrEx>
          <w:tblW w:w="9001" w:type="dxa"/>
          <w:tblCellMar>
            <w:left w:w="70" w:type="dxa"/>
            <w:right w:w="70" w:type="dxa"/>
          </w:tblCellMar>
        </w:tblPrEx>
        <w:trPr>
          <w:trHeight w:val="300"/>
        </w:trPr>
        <w:tc>
          <w:tcPr>
            <w:tcW w:w="3614" w:type="dxa"/>
            <w:tcBorders>
              <w:top w:val="single" w:sz="4" w:space="0" w:color="auto"/>
              <w:left w:val="single" w:sz="4" w:space="0" w:color="auto"/>
              <w:bottom w:val="single" w:sz="4" w:space="0" w:color="auto"/>
              <w:right w:val="single" w:sz="4" w:space="0" w:color="auto"/>
            </w:tcBorders>
            <w:textDirection w:val="lrTb"/>
            <w:vAlign w:val="top"/>
          </w:tcPr>
          <w:p w:rsidR="00090CA3" w:rsidP="00090CA3">
            <w:pPr>
              <w:bidi w:val="0"/>
              <w:jc w:val="right"/>
              <w:rPr>
                <w:rFonts w:ascii="Times New Roman" w:hAnsi="Times New Roman"/>
              </w:rPr>
            </w:pPr>
          </w:p>
          <w:p w:rsidR="00090CA3" w:rsidRPr="00090CA3" w:rsidP="00090CA3">
            <w:pPr>
              <w:bidi w:val="0"/>
              <w:rPr>
                <w:rFonts w:ascii="Times New Roman" w:hAnsi="Times New Roman"/>
              </w:rPr>
            </w:pPr>
            <w:r w:rsidRPr="00090CA3">
              <w:rPr>
                <w:rFonts w:ascii="Times New Roman" w:hAnsi="Times New Roman"/>
              </w:rPr>
              <w:t>Stratený doklad o pobyte</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2006</w:t>
            </w:r>
          </w:p>
        </w:tc>
        <w:tc>
          <w:tcPr>
            <w:tcW w:w="708" w:type="dxa"/>
            <w:tcBorders>
              <w:top w:val="single" w:sz="4" w:space="0" w:color="auto"/>
              <w:left w:val="single" w:sz="4" w:space="0" w:color="auto"/>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2007</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2008</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2009</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2010</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090CA3" w:rsidRPr="00090CA3" w:rsidP="00090CA3">
            <w:pPr>
              <w:bidi w:val="0"/>
              <w:jc w:val="right"/>
              <w:rPr>
                <w:rFonts w:ascii="Times New Roman" w:hAnsi="Times New Roman"/>
              </w:rPr>
            </w:pPr>
            <w:r w:rsidRPr="00090CA3">
              <w:rPr>
                <w:rFonts w:ascii="Times New Roman" w:hAnsi="Times New Roman"/>
              </w:rPr>
              <w:t>2012</w:t>
            </w:r>
          </w:p>
          <w:p w:rsidR="00090CA3" w:rsidRPr="00090CA3" w:rsidP="00090CA3">
            <w:pPr>
              <w:bidi w:val="0"/>
              <w:jc w:val="right"/>
              <w:rPr>
                <w:rFonts w:ascii="Times New Roman" w:hAnsi="Times New Roman"/>
              </w:rPr>
            </w:pPr>
            <w:r w:rsidRPr="00090CA3">
              <w:rPr>
                <w:rFonts w:ascii="Times New Roman" w:hAnsi="Times New Roman"/>
              </w:rPr>
              <w:t>(predpoklad)</w:t>
            </w:r>
          </w:p>
        </w:tc>
      </w:tr>
      <w:tr>
        <w:tblPrEx>
          <w:tblW w:w="9001" w:type="dxa"/>
          <w:tblCellMar>
            <w:left w:w="70" w:type="dxa"/>
            <w:right w:w="70" w:type="dxa"/>
          </w:tblCellMar>
        </w:tblPrEx>
        <w:trPr>
          <w:trHeight w:val="300"/>
        </w:trPr>
        <w:tc>
          <w:tcPr>
            <w:tcW w:w="3614" w:type="dxa"/>
            <w:tcBorders>
              <w:top w:val="single" w:sz="4" w:space="0" w:color="auto"/>
              <w:left w:val="single" w:sz="4" w:space="0" w:color="auto"/>
              <w:bottom w:val="single" w:sz="4" w:space="0" w:color="auto"/>
              <w:right w:val="single" w:sz="4" w:space="0" w:color="auto"/>
            </w:tcBorders>
            <w:textDirection w:val="lrTb"/>
            <w:vAlign w:val="top"/>
          </w:tcPr>
          <w:p w:rsidR="00090CA3" w:rsidRPr="00090CA3" w:rsidP="00090CA3">
            <w:pPr>
              <w:bidi w:val="0"/>
              <w:rPr>
                <w:rFonts w:ascii="Times New Roman" w:hAnsi="Times New Roman"/>
              </w:rPr>
            </w:pPr>
            <w:r w:rsidRPr="00090CA3">
              <w:rPr>
                <w:rFonts w:ascii="Times New Roman" w:hAnsi="Times New Roman"/>
              </w:rPr>
              <w:t>vo forme nálepky</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11</w:t>
            </w:r>
          </w:p>
        </w:tc>
        <w:tc>
          <w:tcPr>
            <w:tcW w:w="708" w:type="dxa"/>
            <w:tcBorders>
              <w:top w:val="single" w:sz="4" w:space="0" w:color="auto"/>
              <w:left w:val="nil"/>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6</w:t>
            </w:r>
          </w:p>
        </w:tc>
        <w:tc>
          <w:tcPr>
            <w:tcW w:w="851" w:type="dxa"/>
            <w:tcBorders>
              <w:top w:val="single" w:sz="4" w:space="0" w:color="auto"/>
              <w:left w:val="nil"/>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34</w:t>
            </w:r>
          </w:p>
        </w:tc>
        <w:tc>
          <w:tcPr>
            <w:tcW w:w="850" w:type="dxa"/>
            <w:tcBorders>
              <w:top w:val="single" w:sz="4" w:space="0" w:color="auto"/>
              <w:left w:val="nil"/>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29</w:t>
            </w:r>
          </w:p>
        </w:tc>
        <w:tc>
          <w:tcPr>
            <w:tcW w:w="709" w:type="dxa"/>
            <w:tcBorders>
              <w:top w:val="single" w:sz="4" w:space="0" w:color="auto"/>
              <w:left w:val="nil"/>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42</w:t>
            </w:r>
          </w:p>
        </w:tc>
        <w:tc>
          <w:tcPr>
            <w:tcW w:w="1418" w:type="dxa"/>
            <w:tcBorders>
              <w:top w:val="single" w:sz="4" w:space="0" w:color="auto"/>
              <w:left w:val="nil"/>
              <w:bottom w:val="single" w:sz="4" w:space="0" w:color="auto"/>
              <w:right w:val="single" w:sz="4" w:space="0" w:color="auto"/>
            </w:tcBorders>
            <w:textDirection w:val="lrTb"/>
            <w:vAlign w:val="top"/>
          </w:tcPr>
          <w:p w:rsidR="00090CA3" w:rsidRPr="00090CA3" w:rsidP="00090CA3">
            <w:pPr>
              <w:bidi w:val="0"/>
              <w:jc w:val="right"/>
              <w:rPr>
                <w:rFonts w:ascii="Times New Roman" w:hAnsi="Times New Roman"/>
              </w:rPr>
            </w:pPr>
            <w:r w:rsidRPr="00090CA3">
              <w:rPr>
                <w:rFonts w:ascii="Times New Roman" w:hAnsi="Times New Roman"/>
              </w:rPr>
              <w:t>25</w:t>
            </w:r>
          </w:p>
        </w:tc>
      </w:tr>
      <w:tr>
        <w:tblPrEx>
          <w:tblW w:w="9001" w:type="dxa"/>
          <w:tblCellMar>
            <w:left w:w="70" w:type="dxa"/>
            <w:right w:w="70" w:type="dxa"/>
          </w:tblCellMar>
        </w:tblPrEx>
        <w:trPr>
          <w:trHeight w:val="300"/>
        </w:trPr>
        <w:tc>
          <w:tcPr>
            <w:tcW w:w="3614" w:type="dxa"/>
            <w:tcBorders>
              <w:top w:val="single" w:sz="4" w:space="0" w:color="auto"/>
              <w:left w:val="single" w:sz="4" w:space="0" w:color="auto"/>
              <w:bottom w:val="single" w:sz="4" w:space="0" w:color="auto"/>
              <w:right w:val="single" w:sz="4" w:space="0" w:color="auto"/>
            </w:tcBorders>
            <w:textDirection w:val="lrTb"/>
            <w:vAlign w:val="top"/>
          </w:tcPr>
          <w:p w:rsidR="00090CA3" w:rsidRPr="00090CA3" w:rsidP="00090CA3">
            <w:pPr>
              <w:bidi w:val="0"/>
              <w:rPr>
                <w:rFonts w:ascii="Times New Roman" w:hAnsi="Times New Roman"/>
              </w:rPr>
            </w:pPr>
            <w:r w:rsidRPr="00090CA3">
              <w:rPr>
                <w:rFonts w:ascii="Times New Roman" w:hAnsi="Times New Roman"/>
              </w:rPr>
              <w:t>vo forme IDK</w:t>
            </w:r>
          </w:p>
        </w:tc>
        <w:tc>
          <w:tcPr>
            <w:tcW w:w="851" w:type="dxa"/>
            <w:tcBorders>
              <w:top w:val="nil"/>
              <w:left w:val="single" w:sz="4" w:space="0" w:color="auto"/>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82</w:t>
            </w:r>
          </w:p>
        </w:tc>
        <w:tc>
          <w:tcPr>
            <w:tcW w:w="708" w:type="dxa"/>
            <w:tcBorders>
              <w:top w:val="nil"/>
              <w:left w:val="nil"/>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127</w:t>
            </w:r>
          </w:p>
        </w:tc>
        <w:tc>
          <w:tcPr>
            <w:tcW w:w="851" w:type="dxa"/>
            <w:tcBorders>
              <w:top w:val="nil"/>
              <w:left w:val="nil"/>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190</w:t>
            </w:r>
          </w:p>
        </w:tc>
        <w:tc>
          <w:tcPr>
            <w:tcW w:w="850" w:type="dxa"/>
            <w:tcBorders>
              <w:top w:val="nil"/>
              <w:left w:val="nil"/>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226</w:t>
            </w:r>
          </w:p>
        </w:tc>
        <w:tc>
          <w:tcPr>
            <w:tcW w:w="709" w:type="dxa"/>
            <w:tcBorders>
              <w:top w:val="nil"/>
              <w:left w:val="nil"/>
              <w:bottom w:val="single" w:sz="4" w:space="0" w:color="auto"/>
              <w:right w:val="single" w:sz="4" w:space="0" w:color="auto"/>
            </w:tcBorders>
            <w:noWrap/>
            <w:textDirection w:val="lrTb"/>
            <w:vAlign w:val="bottom"/>
          </w:tcPr>
          <w:p w:rsidR="00090CA3" w:rsidRPr="00090CA3" w:rsidP="00090CA3">
            <w:pPr>
              <w:bidi w:val="0"/>
              <w:jc w:val="right"/>
              <w:rPr>
                <w:rFonts w:ascii="Times New Roman" w:hAnsi="Times New Roman"/>
              </w:rPr>
            </w:pPr>
            <w:r w:rsidRPr="00090CA3">
              <w:rPr>
                <w:rFonts w:ascii="Times New Roman" w:hAnsi="Times New Roman"/>
              </w:rPr>
              <w:t>214</w:t>
            </w:r>
          </w:p>
        </w:tc>
        <w:tc>
          <w:tcPr>
            <w:tcW w:w="1418" w:type="dxa"/>
            <w:tcBorders>
              <w:top w:val="nil"/>
              <w:left w:val="nil"/>
              <w:bottom w:val="single" w:sz="4" w:space="0" w:color="auto"/>
              <w:right w:val="single" w:sz="4" w:space="0" w:color="auto"/>
            </w:tcBorders>
            <w:textDirection w:val="lrTb"/>
            <w:vAlign w:val="top"/>
          </w:tcPr>
          <w:p w:rsidR="00090CA3" w:rsidRPr="00090CA3" w:rsidP="00090CA3">
            <w:pPr>
              <w:bidi w:val="0"/>
              <w:jc w:val="right"/>
              <w:rPr>
                <w:rFonts w:ascii="Times New Roman" w:hAnsi="Times New Roman"/>
              </w:rPr>
            </w:pPr>
            <w:r w:rsidRPr="00090CA3">
              <w:rPr>
                <w:rFonts w:ascii="Times New Roman" w:hAnsi="Times New Roman"/>
              </w:rPr>
              <w:t>180</w:t>
            </w:r>
          </w:p>
        </w:tc>
      </w:tr>
    </w:tbl>
    <w:p w:rsidR="006E1AC5" w:rsidP="006E1AC5">
      <w:pPr>
        <w:bidi w:val="0"/>
        <w:ind w:firstLine="708"/>
        <w:rPr>
          <w:rFonts w:ascii="Times New Roman" w:hAnsi="Times New Roman"/>
        </w:rPr>
      </w:pPr>
    </w:p>
    <w:p w:rsidR="00C42F5B" w:rsidP="00090CA3">
      <w:pPr>
        <w:bidi w:val="0"/>
        <w:ind w:firstLine="708"/>
        <w:jc w:val="both"/>
        <w:rPr>
          <w:rFonts w:ascii="Times New Roman" w:hAnsi="Times New Roman"/>
        </w:rPr>
      </w:pPr>
      <w:r w:rsidR="0032400B">
        <w:rPr>
          <w:rFonts w:ascii="Times New Roman" w:hAnsi="Times New Roman"/>
        </w:rPr>
        <w:t>Z uvedeného počtu za rok 2012</w:t>
      </w:r>
      <w:r>
        <w:rPr>
          <w:rFonts w:ascii="Times New Roman" w:hAnsi="Times New Roman"/>
        </w:rPr>
        <w:t xml:space="preserve"> je predpoklad, že 80 % bude stratených, zničených, odcudzených alebo poškodených dokladov o pobyte prvý krát a zvyšných 20 % je predpoklad, že sa vydá doklad o pobyte pre cudzinca na území Slovenskej republiky po druhýkrát, prípadne viackrát do jedného roka</w:t>
      </w:r>
      <w:r w:rsidR="00AB75C5">
        <w:rPr>
          <w:rFonts w:ascii="Times New Roman" w:hAnsi="Times New Roman"/>
        </w:rPr>
        <w:t>, a to</w:t>
      </w:r>
      <w:r>
        <w:rPr>
          <w:rFonts w:ascii="Times New Roman" w:hAnsi="Times New Roman"/>
        </w:rPr>
        <w:t xml:space="preserve"> od vydania predošlého </w:t>
      </w:r>
      <w:r w:rsidR="00AB75C5">
        <w:rPr>
          <w:rFonts w:ascii="Times New Roman" w:hAnsi="Times New Roman"/>
        </w:rPr>
        <w:t>dokladu</w:t>
      </w:r>
      <w:r>
        <w:rPr>
          <w:rFonts w:ascii="Times New Roman" w:hAnsi="Times New Roman"/>
        </w:rPr>
        <w:t>.</w:t>
      </w:r>
    </w:p>
    <w:p w:rsidR="00C42F5B" w:rsidP="00C42F5B">
      <w:pPr>
        <w:bidi w:val="0"/>
        <w:jc w:val="both"/>
        <w:rPr>
          <w:rFonts w:ascii="Times New Roman" w:hAnsi="Times New Roman"/>
        </w:rPr>
      </w:pPr>
    </w:p>
    <w:p w:rsidR="00C42F5B" w:rsidP="00090CA3">
      <w:pPr>
        <w:bidi w:val="0"/>
        <w:ind w:firstLine="708"/>
        <w:jc w:val="both"/>
        <w:rPr>
          <w:rFonts w:ascii="Times New Roman" w:hAnsi="Times New Roman"/>
        </w:rPr>
      </w:pPr>
      <w:r>
        <w:rPr>
          <w:rFonts w:ascii="Times New Roman" w:hAnsi="Times New Roman"/>
        </w:rPr>
        <w:t>Návrh zákona zavádza zvýšenie správneho poplatku  za vydanie dokladu o pobyte ako náhrada za zničený, stratený, odcudzený alebo poškodený doklad  vo výške 16,50 eur.  Podľa súčasnej výšky správneho poplatku  6,50 eura by predstavoval príjem štátneho rozpočtu sumu 1.066 eur. Podľa navrhovanej výšky správneho poplatku vo výške 16,50 eur bude predstavovať príjem štátneho rozpočtu sumu 2.706 eur. Pozitívny vplyv navrhovanej zmeny na rozpočet verejnej správy</w:t>
      </w:r>
      <w:r w:rsidRPr="00F821C4">
        <w:rPr>
          <w:rFonts w:ascii="Times New Roman" w:hAnsi="Times New Roman"/>
        </w:rPr>
        <w:t xml:space="preserve"> </w:t>
      </w:r>
      <w:r>
        <w:rPr>
          <w:rFonts w:ascii="Times New Roman" w:hAnsi="Times New Roman"/>
        </w:rPr>
        <w:t>v roku 201</w:t>
      </w:r>
      <w:r w:rsidR="0032400B">
        <w:rPr>
          <w:rFonts w:ascii="Times New Roman" w:hAnsi="Times New Roman"/>
        </w:rPr>
        <w:t>2</w:t>
      </w:r>
      <w:r>
        <w:rPr>
          <w:rFonts w:ascii="Times New Roman" w:hAnsi="Times New Roman"/>
        </w:rPr>
        <w:t xml:space="preserve"> je 1.640 eur. </w:t>
      </w:r>
    </w:p>
    <w:p w:rsidR="00C42F5B" w:rsidP="00C42F5B">
      <w:pPr>
        <w:bidi w:val="0"/>
        <w:jc w:val="both"/>
        <w:rPr>
          <w:rFonts w:ascii="Times New Roman" w:hAnsi="Times New Roman"/>
        </w:rPr>
      </w:pPr>
    </w:p>
    <w:p w:rsidR="00C42F5B" w:rsidP="00090CA3">
      <w:pPr>
        <w:bidi w:val="0"/>
        <w:ind w:firstLine="708"/>
        <w:jc w:val="both"/>
        <w:rPr>
          <w:rFonts w:ascii="Times New Roman" w:hAnsi="Times New Roman"/>
        </w:rPr>
      </w:pPr>
      <w:r>
        <w:rPr>
          <w:rFonts w:ascii="Times New Roman" w:hAnsi="Times New Roman"/>
        </w:rPr>
        <w:t>Návrh zákona zavádza aj zvýšenie  správneho poplatku za vydanie dokladu o pobyte ako náhrada za zničený, stratený, odcudzený alebo poškodený doklad o pobyte opakovane v priebehu dvoch po sebe nasledujúcich rokoch vo výške 33 eur. Podľa navrhovanej výšky správneho poplatku vo výške 33 eur bude predstavovať príjem štátneho rozpočtu sumu 1.353 eur. V súčasnosti je možné vybrať správny poplatok vo výške až do výšky štvornásobku sumy 6,50 eur, čo predstavuje najvyšší možný správny poplatok vo výške  26 eur. Podľa súčasnej výšky správneho poplatku by predstavoval príjem štátneho rozpočtu vo výške 1.066 eur. Pozitívny vplyv navrhovanej zmeny na rozpočet verejnej správy v roku 201</w:t>
      </w:r>
      <w:r w:rsidR="0032400B">
        <w:rPr>
          <w:rFonts w:ascii="Times New Roman" w:hAnsi="Times New Roman"/>
        </w:rPr>
        <w:t>2</w:t>
      </w:r>
      <w:r>
        <w:rPr>
          <w:rFonts w:ascii="Times New Roman" w:hAnsi="Times New Roman"/>
        </w:rPr>
        <w:t xml:space="preserve"> je 287 eur.</w:t>
      </w:r>
    </w:p>
    <w:p w:rsidR="00C42F5B" w:rsidP="00C42F5B">
      <w:pPr>
        <w:bidi w:val="0"/>
        <w:jc w:val="both"/>
        <w:rPr>
          <w:rFonts w:ascii="Times New Roman" w:hAnsi="Times New Roman"/>
        </w:rPr>
      </w:pPr>
    </w:p>
    <w:p w:rsidR="00C42F5B" w:rsidP="00090CA3">
      <w:pPr>
        <w:bidi w:val="0"/>
        <w:ind w:firstLine="708"/>
        <w:jc w:val="both"/>
        <w:rPr>
          <w:rFonts w:ascii="Times New Roman" w:hAnsi="Times New Roman"/>
        </w:rPr>
      </w:pPr>
      <w:r>
        <w:rPr>
          <w:rFonts w:ascii="Times New Roman" w:hAnsi="Times New Roman"/>
        </w:rPr>
        <w:t>Pozitívny vplyv navrhovaných zmien na rozpočet verejnej správy v rokoch 201</w:t>
      </w:r>
      <w:r w:rsidR="0032400B">
        <w:rPr>
          <w:rFonts w:ascii="Times New Roman" w:hAnsi="Times New Roman"/>
        </w:rPr>
        <w:t>2</w:t>
      </w:r>
      <w:r>
        <w:rPr>
          <w:rFonts w:ascii="Times New Roman" w:hAnsi="Times New Roman"/>
        </w:rPr>
        <w:t xml:space="preserve"> až 201</w:t>
      </w:r>
      <w:r w:rsidR="0032400B">
        <w:rPr>
          <w:rFonts w:ascii="Times New Roman" w:hAnsi="Times New Roman"/>
        </w:rPr>
        <w:t>5</w:t>
      </w:r>
      <w:r>
        <w:rPr>
          <w:rFonts w:ascii="Times New Roman" w:hAnsi="Times New Roman"/>
        </w:rPr>
        <w:t xml:space="preserve"> je uvedený v tabuľke. Počet zničených, stratených, odcudzených alebo poškodených dokladov o pobyte cudzincov by mal mať klesajúcu tendenciu, zohľadn</w:t>
      </w:r>
      <w:r w:rsidR="00AB75C5">
        <w:rPr>
          <w:rFonts w:ascii="Times New Roman" w:hAnsi="Times New Roman"/>
        </w:rPr>
        <w:t>ené</w:t>
      </w:r>
      <w:r>
        <w:rPr>
          <w:rFonts w:ascii="Times New Roman" w:hAnsi="Times New Roman"/>
        </w:rPr>
        <w:t xml:space="preserve"> v tabuľke, čo predstavuje cca úbytok vo výške 15% ročne.</w:t>
      </w:r>
    </w:p>
    <w:p w:rsidR="00C42F5B" w:rsidP="00C42F5B">
      <w:pPr>
        <w:bidi w:val="0"/>
        <w:jc w:val="both"/>
        <w:rPr>
          <w:rFonts w:ascii="Times New Roman" w:hAnsi="Times New Roman"/>
        </w:rPr>
      </w:pPr>
    </w:p>
    <w:p w:rsidR="00C42F5B" w:rsidP="00797A77">
      <w:pPr>
        <w:bidi w:val="0"/>
        <w:ind w:firstLine="708"/>
        <w:jc w:val="both"/>
        <w:rPr>
          <w:rFonts w:ascii="Times New Roman" w:hAnsi="Times New Roman"/>
        </w:rPr>
      </w:pPr>
      <w:r>
        <w:rPr>
          <w:rFonts w:ascii="Times New Roman" w:hAnsi="Times New Roman"/>
        </w:rPr>
        <w:t>Správny poplatok za vydanie dokladu o pobyte ako náhrada za zničený, stratený, o</w:t>
      </w:r>
      <w:r w:rsidR="00797A77">
        <w:rPr>
          <w:rFonts w:ascii="Times New Roman" w:hAnsi="Times New Roman"/>
        </w:rPr>
        <w:t>dcudzený alebo poškodený doklad:</w:t>
      </w:r>
      <w:r>
        <w:rPr>
          <w:rFonts w:ascii="Times New Roman" w:hAnsi="Times New Roman"/>
        </w:rPr>
        <w:t xml:space="preserve">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7"/>
        <w:gridCol w:w="1579"/>
        <w:gridCol w:w="1766"/>
        <w:gridCol w:w="1656"/>
        <w:gridCol w:w="1766"/>
        <w:gridCol w:w="118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Rok</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090CA3">
            <w:pPr>
              <w:bidi w:val="0"/>
              <w:rPr>
                <w:rFonts w:ascii="Times New Roman" w:hAnsi="Times New Roman"/>
              </w:rPr>
            </w:pPr>
            <w:r>
              <w:rPr>
                <w:rFonts w:ascii="Times New Roman" w:hAnsi="Times New Roman"/>
              </w:rPr>
              <w:t>Súčasná výška správneho poplatku v eurách</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Predpokladaný príjem štátneho rozpočtu</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Navrhovaná výška správneho poplatku</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Predpokladaný príjem štátneho rozpočtu</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Vplyv na rozpočet verejnej správy </w:t>
            </w:r>
          </w:p>
        </w:tc>
      </w:tr>
      <w:tr>
        <w:tblPrEx>
          <w:tblW w:w="0" w:type="auto"/>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32400B">
            <w:pPr>
              <w:bidi w:val="0"/>
              <w:jc w:val="both"/>
              <w:rPr>
                <w:rFonts w:ascii="Times New Roman" w:hAnsi="Times New Roman"/>
              </w:rPr>
            </w:pPr>
            <w:r>
              <w:rPr>
                <w:rFonts w:ascii="Times New Roman" w:hAnsi="Times New Roman"/>
              </w:rPr>
              <w:t>201</w:t>
            </w:r>
            <w:r w:rsidR="0032400B">
              <w:rPr>
                <w:rFonts w:ascii="Times New Roman" w:hAnsi="Times New Roman"/>
              </w:rPr>
              <w:t>2</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1 066</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16,50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2 706</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1 640</w:t>
            </w:r>
          </w:p>
        </w:tc>
      </w:tr>
      <w:tr>
        <w:tblPrEx>
          <w:tblW w:w="0" w:type="auto"/>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sidR="0032400B">
              <w:rPr>
                <w:rFonts w:ascii="Times New Roman" w:hAnsi="Times New Roman"/>
              </w:rPr>
              <w:t>2013</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910</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16,50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2 310</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1 400</w:t>
            </w:r>
          </w:p>
        </w:tc>
      </w:tr>
      <w:tr>
        <w:tblPrEx>
          <w:tblW w:w="0" w:type="auto"/>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sidR="0032400B">
              <w:rPr>
                <w:rFonts w:ascii="Times New Roman" w:hAnsi="Times New Roman"/>
              </w:rPr>
              <w:t>2014</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773,5</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16,50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1 963,5</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1 190</w:t>
            </w:r>
          </w:p>
        </w:tc>
      </w:tr>
      <w:tr>
        <w:tblPrEx>
          <w:tblW w:w="0" w:type="auto"/>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sidR="0032400B">
              <w:rPr>
                <w:rFonts w:ascii="Times New Roman" w:hAnsi="Times New Roman"/>
              </w:rPr>
              <w:t>2015</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773,5</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16,50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1 963,5</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1 190</w:t>
            </w:r>
          </w:p>
        </w:tc>
      </w:tr>
    </w:tbl>
    <w:p w:rsidR="00C42F5B" w:rsidP="00C42F5B">
      <w:pPr>
        <w:bidi w:val="0"/>
        <w:jc w:val="both"/>
        <w:rPr>
          <w:rFonts w:ascii="Times New Roman" w:hAnsi="Times New Roman"/>
        </w:rPr>
      </w:pPr>
    </w:p>
    <w:p w:rsidR="00C42F5B" w:rsidP="00797A77">
      <w:pPr>
        <w:bidi w:val="0"/>
        <w:ind w:firstLine="708"/>
        <w:jc w:val="both"/>
        <w:rPr>
          <w:rFonts w:ascii="Times New Roman" w:hAnsi="Times New Roman"/>
        </w:rPr>
      </w:pPr>
      <w:r>
        <w:rPr>
          <w:rFonts w:ascii="Times New Roman" w:hAnsi="Times New Roman"/>
        </w:rPr>
        <w:t>Správny poplatok za vydanie dokladu o pobyte ako náhrada za zničený, stratený, odcudzený alebo poškodený doklad o pobyte opakovane v priebehu dvoch po sebe nasledujúcich rokoch:</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7"/>
        <w:gridCol w:w="1579"/>
        <w:gridCol w:w="1766"/>
        <w:gridCol w:w="1656"/>
        <w:gridCol w:w="1766"/>
        <w:gridCol w:w="118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Rok</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Súčasná výška správneho poplatku v eurách</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Predpokladaný príjem štátneho rozpočtu</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Navrhovaná výška správneho poplatku</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Predpokladaný príjem štátneho rozpočtu</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Vplyv na rozpočet verejnej správy </w:t>
            </w:r>
          </w:p>
        </w:tc>
      </w:tr>
      <w:tr>
        <w:tblPrEx>
          <w:tblW w:w="0" w:type="auto"/>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sidR="0032400B">
              <w:rPr>
                <w:rFonts w:ascii="Times New Roman" w:hAnsi="Times New Roman"/>
              </w:rPr>
              <w:t>2012</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26 (4 x 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1 066</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33</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1 353</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287</w:t>
            </w:r>
          </w:p>
        </w:tc>
      </w:tr>
      <w:tr>
        <w:tblPrEx>
          <w:tblW w:w="0" w:type="auto"/>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sidR="0032400B">
              <w:rPr>
                <w:rFonts w:ascii="Times New Roman" w:hAnsi="Times New Roman"/>
              </w:rPr>
              <w:t>2013</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26 (4 x 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910</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33</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1 155</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245</w:t>
            </w:r>
          </w:p>
        </w:tc>
      </w:tr>
      <w:tr>
        <w:tblPrEx>
          <w:tblW w:w="0" w:type="auto"/>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sidR="0032400B">
              <w:rPr>
                <w:rFonts w:ascii="Times New Roman" w:hAnsi="Times New Roman"/>
              </w:rPr>
              <w:t>2014</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26 (4 x 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780</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33</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990</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210</w:t>
            </w:r>
          </w:p>
        </w:tc>
      </w:tr>
      <w:tr>
        <w:tblPrEx>
          <w:tblW w:w="0" w:type="auto"/>
          <w:tblLook w:val="01E0"/>
        </w:tblPrEx>
        <w:tc>
          <w:tcPr>
            <w:tcW w:w="133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sidR="0032400B">
              <w:rPr>
                <w:rFonts w:ascii="Times New Roman" w:hAnsi="Times New Roman"/>
              </w:rPr>
              <w:t>2015</w:t>
            </w:r>
          </w:p>
        </w:tc>
        <w:tc>
          <w:tcPr>
            <w:tcW w:w="1579"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26 (4 x 6,50)</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780</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33</w:t>
            </w:r>
          </w:p>
        </w:tc>
        <w:tc>
          <w:tcPr>
            <w:tcW w:w="1766"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990</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C42F5B" w:rsidP="006C70F3">
            <w:pPr>
              <w:bidi w:val="0"/>
              <w:jc w:val="both"/>
              <w:rPr>
                <w:rFonts w:ascii="Times New Roman" w:hAnsi="Times New Roman"/>
              </w:rPr>
            </w:pPr>
            <w:r>
              <w:rPr>
                <w:rFonts w:ascii="Times New Roman" w:hAnsi="Times New Roman"/>
              </w:rPr>
              <w:t xml:space="preserve">       210</w:t>
            </w:r>
          </w:p>
        </w:tc>
      </w:tr>
    </w:tbl>
    <w:p w:rsidR="00C42F5B" w:rsidP="00C42F5B">
      <w:pPr>
        <w:bidi w:val="0"/>
        <w:jc w:val="both"/>
        <w:rPr>
          <w:rFonts w:ascii="Times New Roman" w:hAnsi="Times New Roman"/>
        </w:rPr>
      </w:pPr>
    </w:p>
    <w:p w:rsidR="00C42F5B" w:rsidP="00C42F5B">
      <w:pPr>
        <w:bidi w:val="0"/>
        <w:jc w:val="both"/>
        <w:rPr>
          <w:rFonts w:ascii="Times New Roman" w:hAnsi="Times New Roman"/>
        </w:rPr>
      </w:pPr>
    </w:p>
    <w:p w:rsidR="00C42F5B" w:rsidP="00797A77">
      <w:pPr>
        <w:bidi w:val="0"/>
        <w:ind w:firstLine="708"/>
        <w:jc w:val="both"/>
        <w:rPr>
          <w:rFonts w:ascii="Times New Roman" w:hAnsi="Times New Roman"/>
        </w:rPr>
      </w:pPr>
      <w:r>
        <w:rPr>
          <w:rFonts w:ascii="Times New Roman" w:hAnsi="Times New Roman"/>
        </w:rPr>
        <w:t>Návrh zákona ustanovuje nový správny poplatok za</w:t>
      </w:r>
      <w:r w:rsidRPr="0035797A">
        <w:rPr>
          <w:rFonts w:ascii="Times New Roman" w:hAnsi="Times New Roman"/>
        </w:rPr>
        <w:t xml:space="preserve"> podanie odvolania proti rozhodnutiu o zamietnutí žiadosti o udelenie schengenského víza, o zrušení alebo odvolaní udeleného schengenského víza</w:t>
      </w:r>
      <w:r>
        <w:rPr>
          <w:rFonts w:ascii="Times New Roman" w:hAnsi="Times New Roman"/>
        </w:rPr>
        <w:t xml:space="preserve">, ktoré vydal zastupiteľský úrad Slovenskej republiky vo výške </w:t>
      </w:r>
      <w:r w:rsidR="0032400B">
        <w:rPr>
          <w:rFonts w:ascii="Times New Roman" w:hAnsi="Times New Roman"/>
        </w:rPr>
        <w:t>3</w:t>
      </w:r>
      <w:r>
        <w:rPr>
          <w:rFonts w:ascii="Times New Roman" w:hAnsi="Times New Roman"/>
        </w:rPr>
        <w:t>0 eur. Počty zamietnutých, odvolaných a zrušených víz v rokoch 2006 až 201</w:t>
      </w:r>
      <w:r w:rsidR="0032400B">
        <w:rPr>
          <w:rFonts w:ascii="Times New Roman" w:hAnsi="Times New Roman"/>
        </w:rPr>
        <w:t>0, ako aj predpoklad na rok 2012</w:t>
      </w:r>
      <w:r>
        <w:rPr>
          <w:rFonts w:ascii="Times New Roman" w:hAnsi="Times New Roman"/>
        </w:rPr>
        <w:t xml:space="preserve"> sú uvedené v nasledujúcej tabuľke.</w:t>
      </w:r>
    </w:p>
    <w:p w:rsidR="00C42F5B" w:rsidP="00C42F5B">
      <w:pPr>
        <w:bidi w:val="0"/>
        <w:jc w:val="both"/>
        <w:rPr>
          <w:rFonts w:ascii="Times New Roman" w:hAnsi="Times New Roman"/>
        </w:rPr>
      </w:pPr>
    </w:p>
    <w:p w:rsidR="00797A77" w:rsidRPr="00314EA8" w:rsidP="00C42F5B">
      <w:pPr>
        <w:bidi w:val="0"/>
        <w:jc w:val="both"/>
        <w:rPr>
          <w:rFonts w:ascii="Times New Roman" w:hAnsi="Times New Roman"/>
        </w:rPr>
      </w:pPr>
    </w:p>
    <w:tbl>
      <w:tblPr>
        <w:tblStyle w:val="TableNormal"/>
        <w:tblW w:w="0" w:type="auto"/>
        <w:tblLayout w:type="fixed"/>
        <w:tblCellMar>
          <w:top w:w="0" w:type="dxa"/>
          <w:left w:w="30" w:type="dxa"/>
          <w:bottom w:w="0" w:type="dxa"/>
          <w:right w:w="30" w:type="dxa"/>
        </w:tblCellMar>
      </w:tblPr>
      <w:tblGrid>
        <w:gridCol w:w="1404"/>
        <w:gridCol w:w="1506"/>
        <w:gridCol w:w="1506"/>
        <w:gridCol w:w="1506"/>
      </w:tblGrid>
      <w:tr>
        <w:tblPrEx>
          <w:tblW w:w="0" w:type="auto"/>
          <w:tblLayout w:type="fixed"/>
          <w:tblCellMar>
            <w:top w:w="0" w:type="dxa"/>
            <w:left w:w="30" w:type="dxa"/>
            <w:bottom w:w="0" w:type="dxa"/>
            <w:right w:w="30" w:type="dxa"/>
          </w:tblCellMar>
        </w:tblPrEx>
        <w:trPr>
          <w:trHeight w:val="290"/>
        </w:trPr>
        <w:tc>
          <w:tcPr>
            <w:tcW w:w="1404"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rPr>
                <w:rFonts w:ascii="Times New Roman" w:hAnsi="Times New Roman"/>
                <w:color w:val="000000"/>
              </w:rPr>
            </w:pPr>
            <w:r w:rsidRPr="00314EA8">
              <w:rPr>
                <w:rFonts w:ascii="Times New Roman" w:hAnsi="Times New Roman"/>
                <w:color w:val="000000"/>
              </w:rPr>
              <w:t>ROK</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rPr>
                <w:rFonts w:ascii="Times New Roman" w:hAnsi="Times New Roman"/>
                <w:color w:val="000000"/>
              </w:rPr>
            </w:pPr>
            <w:r w:rsidRPr="00314EA8">
              <w:rPr>
                <w:rFonts w:ascii="Times New Roman" w:hAnsi="Times New Roman"/>
                <w:color w:val="000000"/>
              </w:rPr>
              <w:t>Zamietnuté víza</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rPr>
                <w:rFonts w:ascii="Times New Roman" w:hAnsi="Times New Roman"/>
                <w:color w:val="000000"/>
              </w:rPr>
            </w:pPr>
            <w:r w:rsidRPr="00314EA8">
              <w:rPr>
                <w:rFonts w:ascii="Times New Roman" w:hAnsi="Times New Roman"/>
                <w:color w:val="000000"/>
              </w:rPr>
              <w:t>Odvolané víza</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rPr>
                <w:rFonts w:ascii="Times New Roman" w:hAnsi="Times New Roman"/>
                <w:color w:val="000000"/>
              </w:rPr>
            </w:pPr>
            <w:r w:rsidRPr="00314EA8">
              <w:rPr>
                <w:rFonts w:ascii="Times New Roman" w:hAnsi="Times New Roman"/>
                <w:color w:val="000000"/>
              </w:rPr>
              <w:t>Zrušené víza</w:t>
            </w:r>
          </w:p>
        </w:tc>
      </w:tr>
      <w:tr>
        <w:tblPrEx>
          <w:tblW w:w="0" w:type="auto"/>
          <w:tblLayout w:type="fixed"/>
          <w:tblCellMar>
            <w:top w:w="0" w:type="dxa"/>
            <w:left w:w="30" w:type="dxa"/>
            <w:bottom w:w="0" w:type="dxa"/>
            <w:right w:w="30" w:type="dxa"/>
          </w:tblCellMar>
        </w:tblPrEx>
        <w:trPr>
          <w:trHeight w:val="247"/>
        </w:trPr>
        <w:tc>
          <w:tcPr>
            <w:tcW w:w="1404"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2006</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1459</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10</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0</w:t>
            </w:r>
          </w:p>
        </w:tc>
      </w:tr>
      <w:tr>
        <w:tblPrEx>
          <w:tblW w:w="0" w:type="auto"/>
          <w:tblLayout w:type="fixed"/>
          <w:tblCellMar>
            <w:top w:w="0" w:type="dxa"/>
            <w:left w:w="30" w:type="dxa"/>
            <w:bottom w:w="0" w:type="dxa"/>
            <w:right w:w="30" w:type="dxa"/>
          </w:tblCellMar>
        </w:tblPrEx>
        <w:trPr>
          <w:trHeight w:val="247"/>
        </w:trPr>
        <w:tc>
          <w:tcPr>
            <w:tcW w:w="1404"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2007</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1834</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34</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0</w:t>
            </w:r>
          </w:p>
        </w:tc>
      </w:tr>
      <w:tr>
        <w:tblPrEx>
          <w:tblW w:w="0" w:type="auto"/>
          <w:tblLayout w:type="fixed"/>
          <w:tblCellMar>
            <w:top w:w="0" w:type="dxa"/>
            <w:left w:w="30" w:type="dxa"/>
            <w:bottom w:w="0" w:type="dxa"/>
            <w:right w:w="30" w:type="dxa"/>
          </w:tblCellMar>
        </w:tblPrEx>
        <w:trPr>
          <w:trHeight w:val="247"/>
        </w:trPr>
        <w:tc>
          <w:tcPr>
            <w:tcW w:w="1404"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2008</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3092</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12</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0</w:t>
            </w:r>
          </w:p>
        </w:tc>
      </w:tr>
      <w:tr>
        <w:tblPrEx>
          <w:tblW w:w="0" w:type="auto"/>
          <w:tblLayout w:type="fixed"/>
          <w:tblCellMar>
            <w:top w:w="0" w:type="dxa"/>
            <w:left w:w="30" w:type="dxa"/>
            <w:bottom w:w="0" w:type="dxa"/>
            <w:right w:w="30" w:type="dxa"/>
          </w:tblCellMar>
        </w:tblPrEx>
        <w:trPr>
          <w:trHeight w:val="247"/>
        </w:trPr>
        <w:tc>
          <w:tcPr>
            <w:tcW w:w="1404"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2009</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2507</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22</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0</w:t>
            </w:r>
          </w:p>
        </w:tc>
      </w:tr>
      <w:tr>
        <w:tblPrEx>
          <w:tblW w:w="0" w:type="auto"/>
          <w:tblLayout w:type="fixed"/>
          <w:tblCellMar>
            <w:top w:w="0" w:type="dxa"/>
            <w:left w:w="30" w:type="dxa"/>
            <w:bottom w:w="0" w:type="dxa"/>
            <w:right w:w="30" w:type="dxa"/>
          </w:tblCellMar>
        </w:tblPrEx>
        <w:trPr>
          <w:trHeight w:val="247"/>
        </w:trPr>
        <w:tc>
          <w:tcPr>
            <w:tcW w:w="1404"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2010</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1672</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19</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25</w:t>
            </w:r>
          </w:p>
        </w:tc>
      </w:tr>
      <w:tr>
        <w:tblPrEx>
          <w:tblW w:w="0" w:type="auto"/>
          <w:tblLayout w:type="fixed"/>
          <w:tblCellMar>
            <w:top w:w="0" w:type="dxa"/>
            <w:left w:w="30" w:type="dxa"/>
            <w:bottom w:w="0" w:type="dxa"/>
            <w:right w:w="30" w:type="dxa"/>
          </w:tblCellMar>
        </w:tblPrEx>
        <w:trPr>
          <w:trHeight w:val="247"/>
        </w:trPr>
        <w:tc>
          <w:tcPr>
            <w:tcW w:w="1404"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32400B">
            <w:pPr>
              <w:autoSpaceDE w:val="0"/>
              <w:autoSpaceDN w:val="0"/>
              <w:bidi w:val="0"/>
              <w:adjustRightInd w:val="0"/>
              <w:jc w:val="right"/>
              <w:rPr>
                <w:rFonts w:ascii="Times New Roman" w:hAnsi="Times New Roman"/>
                <w:color w:val="000000"/>
              </w:rPr>
            </w:pPr>
            <w:r w:rsidRPr="00314EA8">
              <w:rPr>
                <w:rFonts w:ascii="Times New Roman" w:hAnsi="Times New Roman"/>
                <w:color w:val="000000"/>
              </w:rPr>
              <w:t>Predpoklad 201</w:t>
            </w:r>
            <w:r w:rsidR="0032400B">
              <w:rPr>
                <w:rFonts w:ascii="Times New Roman" w:hAnsi="Times New Roman"/>
                <w:color w:val="000000"/>
              </w:rPr>
              <w:t>2</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1574</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12</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C42F5B" w:rsidRPr="00314EA8" w:rsidP="00051774">
            <w:pPr>
              <w:autoSpaceDE w:val="0"/>
              <w:autoSpaceDN w:val="0"/>
              <w:bidi w:val="0"/>
              <w:adjustRightInd w:val="0"/>
              <w:jc w:val="right"/>
              <w:rPr>
                <w:rFonts w:ascii="Times New Roman" w:hAnsi="Times New Roman"/>
                <w:color w:val="000000"/>
              </w:rPr>
            </w:pPr>
            <w:r w:rsidRPr="00314EA8">
              <w:rPr>
                <w:rFonts w:ascii="Times New Roman" w:hAnsi="Times New Roman"/>
                <w:color w:val="000000"/>
              </w:rPr>
              <w:t>18</w:t>
            </w:r>
          </w:p>
        </w:tc>
      </w:tr>
    </w:tbl>
    <w:p w:rsidR="00C42F5B" w:rsidRPr="00314EA8" w:rsidP="00C42F5B">
      <w:pPr>
        <w:bidi w:val="0"/>
        <w:jc w:val="both"/>
        <w:rPr>
          <w:rFonts w:ascii="Times New Roman" w:hAnsi="Times New Roman"/>
        </w:rPr>
      </w:pPr>
    </w:p>
    <w:p w:rsidR="00C42F5B" w:rsidP="00797A77">
      <w:pPr>
        <w:bidi w:val="0"/>
        <w:ind w:firstLine="708"/>
        <w:jc w:val="both"/>
        <w:rPr>
          <w:rFonts w:ascii="Times New Roman" w:hAnsi="Times New Roman"/>
        </w:rPr>
      </w:pPr>
      <w:r>
        <w:rPr>
          <w:rFonts w:ascii="Times New Roman" w:hAnsi="Times New Roman"/>
        </w:rPr>
        <w:t>Z celkového počtu zamietnutých, odvolaných a zrušených víz na rok 201</w:t>
      </w:r>
      <w:r w:rsidR="0032400B">
        <w:rPr>
          <w:rFonts w:ascii="Times New Roman" w:hAnsi="Times New Roman"/>
        </w:rPr>
        <w:t>2</w:t>
      </w:r>
      <w:r w:rsidR="00AB75C5">
        <w:rPr>
          <w:rFonts w:ascii="Times New Roman" w:hAnsi="Times New Roman"/>
        </w:rPr>
        <w:t xml:space="preserve"> </w:t>
      </w:r>
      <w:r>
        <w:rPr>
          <w:rFonts w:ascii="Times New Roman" w:hAnsi="Times New Roman"/>
        </w:rPr>
        <w:t>(predpoklad) sa predpokladá 50 % podaných odvolaní proti rozhodnutiu o zamietnutí žiadosti o udelenie schengenského víza, o zrušení alebo odvolaní udeleného schengenského víza. V roku 201</w:t>
      </w:r>
      <w:r w:rsidR="0032400B">
        <w:rPr>
          <w:rFonts w:ascii="Times New Roman" w:hAnsi="Times New Roman"/>
        </w:rPr>
        <w:t>3</w:t>
      </w:r>
      <w:r>
        <w:rPr>
          <w:rFonts w:ascii="Times New Roman" w:hAnsi="Times New Roman"/>
        </w:rPr>
        <w:t xml:space="preserve"> predpokladáme klesajúcu tendenciu podaných odvolaní o 15 % a v roku 201</w:t>
      </w:r>
      <w:r w:rsidR="0032400B">
        <w:rPr>
          <w:rFonts w:ascii="Times New Roman" w:hAnsi="Times New Roman"/>
        </w:rPr>
        <w:t>4</w:t>
      </w:r>
      <w:r>
        <w:rPr>
          <w:rFonts w:ascii="Times New Roman" w:hAnsi="Times New Roman"/>
        </w:rPr>
        <w:t xml:space="preserve"> a 201</w:t>
      </w:r>
      <w:r w:rsidR="0032400B">
        <w:rPr>
          <w:rFonts w:ascii="Times New Roman" w:hAnsi="Times New Roman"/>
        </w:rPr>
        <w:t>5 o 25 % oproti roku 2012</w:t>
      </w:r>
      <w:r>
        <w:rPr>
          <w:rFonts w:ascii="Times New Roman" w:hAnsi="Times New Roman"/>
        </w:rPr>
        <w:t>. Pri zachovaní takýchto údajov sa predpokladá v roku 201</w:t>
      </w:r>
      <w:r w:rsidR="0032400B">
        <w:rPr>
          <w:rFonts w:ascii="Times New Roman" w:hAnsi="Times New Roman"/>
        </w:rPr>
        <w:t>2</w:t>
      </w:r>
      <w:r>
        <w:rPr>
          <w:rFonts w:ascii="Times New Roman" w:hAnsi="Times New Roman"/>
        </w:rPr>
        <w:t xml:space="preserve"> príjem do štátneho rozpočtu za </w:t>
      </w:r>
      <w:r w:rsidRPr="0035797A">
        <w:rPr>
          <w:rFonts w:ascii="Times New Roman" w:hAnsi="Times New Roman"/>
        </w:rPr>
        <w:t>podanie odvolania proti rozhodnutiu o zamietnutí žiadosti o udelenie schengenského víza, o zrušení alebo odvolaní udeleného schengenského víza</w:t>
      </w:r>
      <w:r>
        <w:rPr>
          <w:rFonts w:ascii="Times New Roman" w:hAnsi="Times New Roman"/>
        </w:rPr>
        <w:t xml:space="preserve"> vo výške </w:t>
      </w:r>
      <w:r w:rsidR="0032400B">
        <w:rPr>
          <w:rFonts w:ascii="Times New Roman" w:hAnsi="Times New Roman"/>
        </w:rPr>
        <w:t>24.060</w:t>
      </w:r>
      <w:r>
        <w:rPr>
          <w:rFonts w:ascii="Times New Roman" w:hAnsi="Times New Roman"/>
        </w:rPr>
        <w:t xml:space="preserve"> eur; v roku 201</w:t>
      </w:r>
      <w:r w:rsidR="0032400B">
        <w:rPr>
          <w:rFonts w:ascii="Times New Roman" w:hAnsi="Times New Roman"/>
        </w:rPr>
        <w:t>3</w:t>
      </w:r>
      <w:r>
        <w:rPr>
          <w:rFonts w:ascii="Times New Roman" w:hAnsi="Times New Roman"/>
        </w:rPr>
        <w:t xml:space="preserve"> sa predpokladá príjem </w:t>
      </w:r>
      <w:r w:rsidR="0032400B">
        <w:rPr>
          <w:rFonts w:ascii="Times New Roman" w:hAnsi="Times New Roman"/>
        </w:rPr>
        <w:t>16.830</w:t>
      </w:r>
      <w:r>
        <w:rPr>
          <w:rFonts w:ascii="Times New Roman" w:hAnsi="Times New Roman"/>
        </w:rPr>
        <w:t xml:space="preserve"> eur a v roku 201</w:t>
      </w:r>
      <w:r w:rsidR="0032400B">
        <w:rPr>
          <w:rFonts w:ascii="Times New Roman" w:hAnsi="Times New Roman"/>
        </w:rPr>
        <w:t>4, 2015</w:t>
      </w:r>
      <w:r>
        <w:rPr>
          <w:rFonts w:ascii="Times New Roman" w:hAnsi="Times New Roman"/>
        </w:rPr>
        <w:t xml:space="preserve"> príjem </w:t>
      </w:r>
      <w:r w:rsidR="0032400B">
        <w:rPr>
          <w:rFonts w:ascii="Times New Roman" w:hAnsi="Times New Roman"/>
        </w:rPr>
        <w:t>12.030</w:t>
      </w:r>
      <w:r>
        <w:rPr>
          <w:rFonts w:ascii="Times New Roman" w:hAnsi="Times New Roman"/>
        </w:rPr>
        <w:t xml:space="preserve"> eur.</w:t>
      </w:r>
    </w:p>
    <w:p w:rsidR="007A4331" w:rsidP="00C979BC">
      <w:pPr>
        <w:bidi w:val="0"/>
        <w:ind w:firstLine="708"/>
        <w:jc w:val="both"/>
        <w:rPr>
          <w:rFonts w:ascii="Times New Roman" w:hAnsi="Times New Roman"/>
        </w:rPr>
      </w:pPr>
    </w:p>
    <w:p w:rsidR="007A4331" w:rsidP="00C979BC">
      <w:pPr>
        <w:bidi w:val="0"/>
        <w:ind w:firstLine="708"/>
        <w:jc w:val="both"/>
        <w:rPr>
          <w:rFonts w:ascii="Times New Roman" w:hAnsi="Times New Roman"/>
        </w:rPr>
      </w:pPr>
    </w:p>
    <w:p w:rsidR="00AC3549" w:rsidRPr="00244253" w:rsidP="005C3115">
      <w:pPr>
        <w:bidi w:val="0"/>
        <w:jc w:val="both"/>
        <w:rPr>
          <w:rFonts w:ascii="Times New Roman" w:hAnsi="Times New Roman"/>
        </w:rPr>
        <w:sectPr w:rsidSect="00464FA9">
          <w:footerReference w:type="even" r:id="rId5"/>
          <w:footerReference w:type="default" r:id="rId6"/>
          <w:pgSz w:w="11906" w:h="16838"/>
          <w:pgMar w:top="1418" w:right="1418" w:bottom="1418" w:left="1418" w:header="709" w:footer="709" w:gutter="0"/>
          <w:lnNumType w:distance="0"/>
          <w:pgNumType w:start="492"/>
          <w:cols w:space="708"/>
          <w:noEndnote w:val="0"/>
          <w:bidi w:val="0"/>
        </w:sectPr>
      </w:pPr>
    </w:p>
    <w:p w:rsidR="00E62BFE" w:rsidRPr="00FF0FC2" w:rsidP="00AB3EA4">
      <w:pPr>
        <w:pStyle w:val="BodyText"/>
        <w:tabs>
          <w:tab w:val="num" w:pos="1080"/>
        </w:tabs>
        <w:bidi w:val="0"/>
        <w:jc w:val="right"/>
        <w:rPr>
          <w:rFonts w:ascii="Times New Roman" w:hAnsi="Times New Roman"/>
          <w:b w:val="0"/>
          <w:bCs/>
          <w:szCs w:val="24"/>
        </w:rPr>
      </w:pPr>
      <w:r w:rsidRPr="00FF0FC2">
        <w:rPr>
          <w:rFonts w:ascii="Times New Roman" w:hAnsi="Times New Roman"/>
          <w:b w:val="0"/>
          <w:bCs/>
          <w:szCs w:val="24"/>
        </w:rPr>
        <w:t xml:space="preserve">Tabuľka č. 4 </w:t>
      </w:r>
    </w:p>
    <w:tbl>
      <w:tblPr>
        <w:tblStyle w:val="TableNormal"/>
        <w:tblpPr w:leftFromText="141" w:rightFromText="141" w:horzAnchor="margin"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62BFE" w:rsidRPr="00FF0FC2" w:rsidP="00E62BFE">
            <w:pPr>
              <w:bidi w:val="0"/>
              <w:jc w:val="center"/>
              <w:rPr>
                <w:rFonts w:ascii="Times New Roman" w:hAnsi="Times New Roman"/>
                <w:b/>
                <w:bCs/>
                <w:color w:val="FFFFFF"/>
              </w:rPr>
            </w:pPr>
            <w:r w:rsidRPr="00FF0FC2">
              <w:rPr>
                <w:rFonts w:ascii="Times New Roman" w:hAnsi="Times New Roman"/>
                <w:b/>
                <w:bCs/>
                <w:color w:val="FFFFFF"/>
              </w:rPr>
              <w:t xml:space="preserve">Príjmy (v </w:t>
            </w:r>
            <w:r w:rsidRPr="00FF0FC2" w:rsidR="00A42685">
              <w:rPr>
                <w:rFonts w:ascii="Times New Roman" w:hAnsi="Times New Roman"/>
                <w:b/>
                <w:bCs/>
                <w:color w:val="FFFFFF"/>
              </w:rPr>
              <w:t>eurách</w:t>
            </w:r>
            <w:r w:rsidRPr="00FF0FC2">
              <w:rPr>
                <w:rFonts w:ascii="Times New Roman" w:hAnsi="Times New Roman"/>
                <w:b/>
                <w:bCs/>
                <w:color w:val="FFFFFF"/>
              </w:rPr>
              <w:t>)</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E62BFE" w:rsidRPr="00FF0FC2" w:rsidP="00E62BFE">
            <w:pPr>
              <w:bidi w:val="0"/>
              <w:jc w:val="center"/>
              <w:rPr>
                <w:rFonts w:ascii="Times New Roman" w:hAnsi="Times New Roman"/>
                <w:b/>
                <w:bCs/>
                <w:color w:val="FFFFFF"/>
              </w:rPr>
            </w:pPr>
            <w:r w:rsidRPr="00FF0FC2">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E62BFE" w:rsidRPr="00FF0FC2" w:rsidP="00E62BFE">
            <w:pPr>
              <w:bidi w:val="0"/>
              <w:jc w:val="center"/>
              <w:rPr>
                <w:rFonts w:ascii="Times New Roman" w:hAnsi="Times New Roman"/>
                <w:b/>
                <w:bCs/>
                <w:color w:val="FFFFFF"/>
              </w:rPr>
            </w:pPr>
            <w:r w:rsidRPr="00FF0FC2">
              <w:rPr>
                <w:rFonts w:ascii="Times New Roman" w:hAnsi="Times New Roman"/>
                <w:b/>
                <w:bCs/>
                <w:color w:val="FFFFFF"/>
              </w:rPr>
              <w:t>poznámka</w:t>
            </w:r>
          </w:p>
        </w:tc>
      </w:tr>
      <w:tr>
        <w:tblPrEx>
          <w:tblW w:w="13950"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8D74DB" w:rsidRPr="00FF0FC2" w:rsidP="008D74DB">
            <w:pPr>
              <w:bidi w:val="0"/>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8D74DB" w:rsidRPr="00FF0FC2" w:rsidP="008D74DB">
            <w:pPr>
              <w:bidi w:val="0"/>
              <w:jc w:val="center"/>
              <w:rPr>
                <w:rFonts w:ascii="Times New Roman" w:hAnsi="Times New Roman"/>
                <w:b/>
                <w:bCs/>
                <w:color w:val="FFFFFF"/>
              </w:rPr>
            </w:pPr>
            <w:r w:rsidR="00F22E9A">
              <w:rPr>
                <w:rFonts w:ascii="Times New Roman" w:hAnsi="Times New Roman"/>
                <w:b/>
                <w:bCs/>
                <w:color w:val="FFFFFF"/>
              </w:rPr>
              <w:t>2012</w:t>
            </w:r>
          </w:p>
        </w:tc>
        <w:tc>
          <w:tcPr>
            <w:tcW w:w="1500" w:type="dxa"/>
            <w:tcBorders>
              <w:top w:val="nil"/>
              <w:left w:val="nil"/>
              <w:bottom w:val="single" w:sz="4" w:space="0" w:color="auto"/>
              <w:right w:val="single" w:sz="4" w:space="0" w:color="auto"/>
            </w:tcBorders>
            <w:shd w:val="clear" w:color="auto" w:fill="000000"/>
            <w:textDirection w:val="lrTb"/>
            <w:vAlign w:val="top"/>
          </w:tcPr>
          <w:p w:rsidR="008D74DB" w:rsidRPr="00FF0FC2" w:rsidP="00F22E9A">
            <w:pPr>
              <w:bidi w:val="0"/>
              <w:jc w:val="center"/>
              <w:rPr>
                <w:rFonts w:ascii="Times New Roman" w:hAnsi="Times New Roman"/>
                <w:b/>
                <w:bCs/>
                <w:color w:val="FFFFFF"/>
              </w:rPr>
            </w:pPr>
            <w:r w:rsidRPr="00FF0FC2">
              <w:rPr>
                <w:rFonts w:ascii="Times New Roman" w:hAnsi="Times New Roman"/>
                <w:b/>
                <w:bCs/>
                <w:color w:val="FFFFFF"/>
              </w:rPr>
              <w:t>201</w:t>
            </w:r>
            <w:r w:rsidR="00F22E9A">
              <w:rPr>
                <w:rFonts w:ascii="Times New Roman" w:hAnsi="Times New Roman"/>
                <w:b/>
                <w:bCs/>
                <w:color w:val="FFFFFF"/>
              </w:rPr>
              <w:t>3</w:t>
            </w:r>
          </w:p>
        </w:tc>
        <w:tc>
          <w:tcPr>
            <w:tcW w:w="1500" w:type="dxa"/>
            <w:tcBorders>
              <w:top w:val="nil"/>
              <w:left w:val="nil"/>
              <w:bottom w:val="single" w:sz="4" w:space="0" w:color="auto"/>
              <w:right w:val="single" w:sz="4" w:space="0" w:color="auto"/>
            </w:tcBorders>
            <w:shd w:val="clear" w:color="auto" w:fill="000000"/>
            <w:textDirection w:val="lrTb"/>
            <w:vAlign w:val="top"/>
          </w:tcPr>
          <w:p w:rsidR="008D74DB" w:rsidRPr="00FF0FC2" w:rsidP="00F22E9A">
            <w:pPr>
              <w:bidi w:val="0"/>
              <w:jc w:val="center"/>
              <w:rPr>
                <w:rFonts w:ascii="Times New Roman" w:hAnsi="Times New Roman"/>
                <w:b/>
                <w:bCs/>
                <w:color w:val="FFFFFF"/>
              </w:rPr>
            </w:pPr>
            <w:r w:rsidRPr="00FF0FC2">
              <w:rPr>
                <w:rFonts w:ascii="Times New Roman" w:hAnsi="Times New Roman"/>
                <w:b/>
                <w:bCs/>
                <w:color w:val="FFFFFF"/>
              </w:rPr>
              <w:t>201</w:t>
            </w:r>
            <w:r w:rsidR="00F22E9A">
              <w:rPr>
                <w:rFonts w:ascii="Times New Roman" w:hAnsi="Times New Roman"/>
                <w:b/>
                <w:bCs/>
                <w:color w:val="FFFFFF"/>
              </w:rPr>
              <w:t>4</w:t>
            </w:r>
          </w:p>
        </w:tc>
        <w:tc>
          <w:tcPr>
            <w:tcW w:w="1500" w:type="dxa"/>
            <w:tcBorders>
              <w:top w:val="nil"/>
              <w:left w:val="nil"/>
              <w:bottom w:val="single" w:sz="4" w:space="0" w:color="auto"/>
              <w:right w:val="single" w:sz="4" w:space="0" w:color="auto"/>
            </w:tcBorders>
            <w:shd w:val="clear" w:color="auto" w:fill="000000"/>
            <w:textDirection w:val="lrTb"/>
            <w:vAlign w:val="top"/>
          </w:tcPr>
          <w:p w:rsidR="008D74DB" w:rsidRPr="00FF0FC2" w:rsidP="00F22E9A">
            <w:pPr>
              <w:bidi w:val="0"/>
              <w:jc w:val="center"/>
              <w:rPr>
                <w:rFonts w:ascii="Times New Roman" w:hAnsi="Times New Roman"/>
                <w:b/>
                <w:bCs/>
                <w:color w:val="FFFFFF"/>
              </w:rPr>
            </w:pPr>
            <w:r>
              <w:rPr>
                <w:rFonts w:ascii="Times New Roman" w:hAnsi="Times New Roman"/>
                <w:b/>
                <w:bCs/>
                <w:color w:val="FFFFFF"/>
              </w:rPr>
              <w:t>201</w:t>
            </w:r>
            <w:r w:rsidR="00F22E9A">
              <w:rPr>
                <w:rFonts w:ascii="Times New Roman" w:hAnsi="Times New Roman"/>
                <w:b/>
                <w:bCs/>
                <w:color w:val="FFFFFF"/>
              </w:rPr>
              <w:t>5</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8D74DB" w:rsidRPr="00FF0FC2" w:rsidP="008D74DB">
            <w:pPr>
              <w:bidi w:val="0"/>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62BFE" w:rsidRPr="00FF0FC2" w:rsidP="00E62BFE">
            <w:pPr>
              <w:bidi w:val="0"/>
              <w:rPr>
                <w:rFonts w:ascii="Times New Roman" w:hAnsi="Times New Roman"/>
                <w:b/>
                <w:bCs/>
                <w:vertAlign w:val="superscript"/>
              </w:rPr>
            </w:pPr>
            <w:r w:rsidRPr="00FF0FC2">
              <w:rPr>
                <w:rFonts w:ascii="Times New Roman" w:hAnsi="Times New Roman"/>
                <w:b/>
                <w:bCs/>
              </w:rPr>
              <w:t>Daňové príjmy (100)</w:t>
            </w:r>
            <w:r w:rsidRPr="00FF0FC2">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E62BFE" w:rsidRPr="00FF0FC2" w:rsidP="00E62BF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62BFE" w:rsidRPr="00FF0FC2" w:rsidP="00E62BF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62BFE" w:rsidRPr="00FF0FC2" w:rsidP="00E62BF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62BFE" w:rsidRPr="00FF0FC2" w:rsidP="00E62BFE">
            <w:pPr>
              <w:bidi w:val="0"/>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E62BFE" w:rsidRPr="00FF0FC2" w:rsidP="00E62BFE">
            <w:pPr>
              <w:bidi w:val="0"/>
              <w:rPr>
                <w:rFonts w:ascii="Times New Roman" w:hAnsi="Times New Roman"/>
              </w:rPr>
            </w:pPr>
            <w:r w:rsidRPr="00FF0F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770C9" w:rsidRPr="00FF0FC2" w:rsidP="00E62BFE">
            <w:pPr>
              <w:bidi w:val="0"/>
              <w:rPr>
                <w:rFonts w:ascii="Times New Roman" w:hAnsi="Times New Roman"/>
                <w:b/>
                <w:bCs/>
                <w:vertAlign w:val="superscript"/>
              </w:rPr>
            </w:pPr>
            <w:r w:rsidRPr="00FF0FC2" w:rsidR="00E62BFE">
              <w:rPr>
                <w:rFonts w:ascii="Times New Roman" w:hAnsi="Times New Roman"/>
                <w:b/>
                <w:bCs/>
              </w:rPr>
              <w:t>Nedaňové príjmy (200)</w:t>
            </w:r>
            <w:r w:rsidRPr="00FF0FC2" w:rsidR="00E62BFE">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E62BFE" w:rsidRPr="00FF0FC2" w:rsidP="00E62BF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62BFE" w:rsidRPr="00FF0FC2" w:rsidP="00E62BF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62BFE" w:rsidRPr="00FF0FC2" w:rsidP="00E62BF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E62BFE" w:rsidRPr="00FF0FC2" w:rsidP="00E62BFE">
            <w:pPr>
              <w:bidi w:val="0"/>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E62BFE" w:rsidRPr="00FF0FC2" w:rsidP="00E62BFE">
            <w:pPr>
              <w:bidi w:val="0"/>
              <w:rPr>
                <w:rFonts w:ascii="Times New Roman" w:hAnsi="Times New Roman"/>
              </w:rPr>
            </w:pPr>
            <w:r w:rsidRPr="00FF0F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AB75C5" w:rsidRPr="00FF0FC2" w:rsidP="00AB75C5">
            <w:pPr>
              <w:bidi w:val="0"/>
              <w:rPr>
                <w:rFonts w:ascii="Times New Roman" w:hAnsi="Times New Roman"/>
                <w:b/>
                <w:bCs/>
              </w:rPr>
            </w:pPr>
            <w:r w:rsidRPr="00FF0FC2">
              <w:rPr>
                <w:rFonts w:ascii="Times New Roman" w:hAnsi="Times New Roman"/>
                <w:b/>
                <w:bCs/>
              </w:rPr>
              <w:t>221</w:t>
            </w:r>
          </w:p>
        </w:tc>
        <w:tc>
          <w:tcPr>
            <w:tcW w:w="1500" w:type="dxa"/>
            <w:tcBorders>
              <w:top w:val="nil"/>
              <w:left w:val="nil"/>
              <w:bottom w:val="single" w:sz="4" w:space="0" w:color="auto"/>
              <w:right w:val="single" w:sz="4" w:space="0" w:color="auto"/>
            </w:tcBorders>
            <w:textDirection w:val="lrTb"/>
            <w:vAlign w:val="center"/>
          </w:tcPr>
          <w:p w:rsidR="00AB75C5" w:rsidRPr="00F22E9A" w:rsidP="00AB75C5">
            <w:pPr>
              <w:bidi w:val="0"/>
              <w:spacing w:line="70" w:lineRule="atLeast"/>
              <w:jc w:val="right"/>
              <w:rPr>
                <w:rFonts w:ascii="Times New Roman" w:hAnsi="Times New Roman"/>
                <w:bCs/>
              </w:rPr>
            </w:pPr>
            <w:r>
              <w:rPr>
                <w:rFonts w:ascii="Times New Roman" w:hAnsi="Times New Roman"/>
                <w:bCs/>
              </w:rPr>
              <w:t>0</w:t>
            </w:r>
          </w:p>
        </w:tc>
        <w:tc>
          <w:tcPr>
            <w:tcW w:w="1500" w:type="dxa"/>
            <w:tcBorders>
              <w:top w:val="nil"/>
              <w:left w:val="nil"/>
              <w:bottom w:val="single" w:sz="4" w:space="0" w:color="auto"/>
              <w:right w:val="single" w:sz="4" w:space="0" w:color="auto"/>
            </w:tcBorders>
            <w:textDirection w:val="lrTb"/>
            <w:vAlign w:val="center"/>
          </w:tcPr>
          <w:p w:rsidR="00AB75C5" w:rsidRPr="00F22E9A" w:rsidP="00AB75C5">
            <w:pPr>
              <w:bidi w:val="0"/>
              <w:spacing w:line="70" w:lineRule="atLeast"/>
              <w:jc w:val="right"/>
              <w:rPr>
                <w:rFonts w:ascii="Times New Roman" w:hAnsi="Times New Roman"/>
                <w:bCs/>
              </w:rPr>
            </w:pPr>
            <w:r w:rsidRPr="00F22E9A">
              <w:rPr>
                <w:rFonts w:ascii="Times New Roman" w:hAnsi="Times New Roman"/>
                <w:bCs/>
              </w:rPr>
              <w:t>25 987</w:t>
            </w:r>
          </w:p>
        </w:tc>
        <w:tc>
          <w:tcPr>
            <w:tcW w:w="1500" w:type="dxa"/>
            <w:tcBorders>
              <w:top w:val="nil"/>
              <w:left w:val="nil"/>
              <w:bottom w:val="single" w:sz="4" w:space="0" w:color="auto"/>
              <w:right w:val="single" w:sz="4" w:space="0" w:color="auto"/>
            </w:tcBorders>
            <w:textDirection w:val="lrTb"/>
            <w:vAlign w:val="center"/>
          </w:tcPr>
          <w:p w:rsidR="00AB75C5" w:rsidRPr="00F22E9A" w:rsidP="00AB75C5">
            <w:pPr>
              <w:bidi w:val="0"/>
              <w:spacing w:line="70" w:lineRule="atLeast"/>
              <w:jc w:val="right"/>
              <w:rPr>
                <w:rFonts w:ascii="Times New Roman" w:hAnsi="Times New Roman"/>
                <w:bCs/>
              </w:rPr>
            </w:pPr>
            <w:r w:rsidRPr="00F22E9A">
              <w:rPr>
                <w:rFonts w:ascii="Times New Roman" w:hAnsi="Times New Roman"/>
                <w:bCs/>
              </w:rPr>
              <w:t>18 475</w:t>
            </w:r>
          </w:p>
        </w:tc>
        <w:tc>
          <w:tcPr>
            <w:tcW w:w="1500" w:type="dxa"/>
            <w:tcBorders>
              <w:top w:val="nil"/>
              <w:left w:val="nil"/>
              <w:bottom w:val="single" w:sz="4" w:space="0" w:color="auto"/>
              <w:right w:val="single" w:sz="4" w:space="0" w:color="auto"/>
            </w:tcBorders>
            <w:textDirection w:val="lrTb"/>
            <w:vAlign w:val="center"/>
          </w:tcPr>
          <w:p w:rsidR="00AB75C5" w:rsidRPr="00F22E9A" w:rsidP="00AB75C5">
            <w:pPr>
              <w:bidi w:val="0"/>
              <w:spacing w:line="70" w:lineRule="atLeast"/>
              <w:jc w:val="right"/>
              <w:rPr>
                <w:rFonts w:ascii="Times New Roman" w:hAnsi="Times New Roman"/>
                <w:bCs/>
              </w:rPr>
            </w:pPr>
            <w:r w:rsidRPr="00F22E9A">
              <w:rPr>
                <w:rFonts w:ascii="Times New Roman" w:hAnsi="Times New Roman"/>
                <w:bCs/>
              </w:rPr>
              <w:t>13 430</w:t>
            </w:r>
          </w:p>
        </w:tc>
        <w:tc>
          <w:tcPr>
            <w:tcW w:w="3000" w:type="dxa"/>
            <w:tcBorders>
              <w:top w:val="nil"/>
              <w:left w:val="nil"/>
              <w:bottom w:val="single" w:sz="4" w:space="0" w:color="auto"/>
              <w:right w:val="single" w:sz="4" w:space="0" w:color="auto"/>
            </w:tcBorders>
            <w:noWrap/>
            <w:textDirection w:val="lrTb"/>
            <w:vAlign w:val="bottom"/>
          </w:tcPr>
          <w:p w:rsidR="00AB75C5" w:rsidRPr="00FF0FC2" w:rsidP="00AB75C5">
            <w:pPr>
              <w:bidi w:val="0"/>
              <w:rPr>
                <w:rFonts w:ascii="Times New Roman" w:hAnsi="Times New Roman"/>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7EE1" w:rsidRPr="00FF0FC2" w:rsidP="007D7EE1">
            <w:pPr>
              <w:bidi w:val="0"/>
              <w:rPr>
                <w:rFonts w:ascii="Times New Roman" w:hAnsi="Times New Roman"/>
                <w:b/>
                <w:bCs/>
              </w:rPr>
            </w:pPr>
            <w:r w:rsidRPr="00FF0FC2">
              <w:rPr>
                <w:rFonts w:ascii="Times New Roman" w:hAnsi="Times New Roman"/>
                <w:b/>
                <w:bCs/>
              </w:rPr>
              <w:t>Granty a transfery (300)</w:t>
            </w:r>
            <w:r w:rsidRPr="00FF0FC2">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D7EE1" w:rsidRPr="00FF0FC2" w:rsidP="007D7EE1">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D7EE1" w:rsidRPr="00FF0FC2" w:rsidP="007D7EE1">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D7EE1" w:rsidRPr="00FF0FC2" w:rsidP="007D7EE1">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D7EE1" w:rsidRPr="00FF0FC2" w:rsidP="007D7EE1">
            <w:pPr>
              <w:bidi w:val="0"/>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7D7EE1" w:rsidRPr="00FF0FC2" w:rsidP="007D7EE1">
            <w:pPr>
              <w:bidi w:val="0"/>
              <w:rPr>
                <w:rFonts w:ascii="Times New Roman" w:hAnsi="Times New Roman"/>
              </w:rPr>
            </w:pPr>
            <w:r w:rsidRPr="00FF0F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7EE1" w:rsidRPr="00FF0FC2" w:rsidP="007D7EE1">
            <w:pPr>
              <w:bidi w:val="0"/>
              <w:rPr>
                <w:rFonts w:ascii="Times New Roman" w:hAnsi="Times New Roman"/>
                <w:b/>
                <w:bCs/>
              </w:rPr>
            </w:pPr>
            <w:r w:rsidRPr="00FF0FC2">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7D7EE1" w:rsidRPr="00FF0FC2" w:rsidP="007D7EE1">
            <w:pPr>
              <w:bidi w:val="0"/>
              <w:jc w:val="center"/>
              <w:rPr>
                <w:rFonts w:ascii="Times New Roman" w:hAnsi="Times New Roman"/>
                <w:b/>
                <w:bCs/>
              </w:rPr>
            </w:pPr>
            <w:r w:rsidRPr="00FF0FC2">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7EE1" w:rsidRPr="00FF0FC2" w:rsidP="007D7EE1">
            <w:pPr>
              <w:bidi w:val="0"/>
              <w:jc w:val="center"/>
              <w:rPr>
                <w:rFonts w:ascii="Times New Roman" w:hAnsi="Times New Roman"/>
                <w:b/>
                <w:bCs/>
              </w:rPr>
            </w:pPr>
            <w:r w:rsidRPr="00FF0FC2">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7EE1" w:rsidRPr="00FF0FC2" w:rsidP="007D7EE1">
            <w:pPr>
              <w:bidi w:val="0"/>
              <w:jc w:val="center"/>
              <w:rPr>
                <w:rFonts w:ascii="Times New Roman" w:hAnsi="Times New Roman"/>
                <w:b/>
                <w:bCs/>
              </w:rPr>
            </w:pPr>
            <w:r w:rsidRPr="00FF0FC2">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7EE1" w:rsidRPr="00FF0FC2" w:rsidP="007D7EE1">
            <w:pPr>
              <w:bidi w:val="0"/>
              <w:jc w:val="center"/>
              <w:rPr>
                <w:rFonts w:ascii="Times New Roman" w:hAnsi="Times New Roman"/>
                <w:b/>
                <w:bCs/>
              </w:rPr>
            </w:pPr>
            <w:r w:rsidRPr="00FF0FC2">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7D7EE1" w:rsidRPr="00FF0FC2" w:rsidP="007D7EE1">
            <w:pPr>
              <w:bidi w:val="0"/>
              <w:rPr>
                <w:rFonts w:ascii="Times New Roman" w:hAnsi="Times New Roman"/>
              </w:rPr>
            </w:pPr>
            <w:r w:rsidRPr="00FF0F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7EE1" w:rsidRPr="00FF0FC2" w:rsidP="007D7EE1">
            <w:pPr>
              <w:bidi w:val="0"/>
              <w:rPr>
                <w:rFonts w:ascii="Times New Roman" w:hAnsi="Times New Roman"/>
                <w:b/>
                <w:bCs/>
              </w:rPr>
            </w:pPr>
            <w:r w:rsidRPr="00FF0FC2">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7D7EE1" w:rsidRPr="00FF0FC2" w:rsidP="007D7EE1">
            <w:pPr>
              <w:bidi w:val="0"/>
              <w:jc w:val="center"/>
              <w:rPr>
                <w:rFonts w:ascii="Times New Roman" w:hAnsi="Times New Roman"/>
                <w:b/>
                <w:bCs/>
              </w:rPr>
            </w:pPr>
            <w:r w:rsidRPr="00FF0FC2">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7EE1" w:rsidRPr="00FF0FC2" w:rsidP="007D7EE1">
            <w:pPr>
              <w:bidi w:val="0"/>
              <w:jc w:val="center"/>
              <w:rPr>
                <w:rFonts w:ascii="Times New Roman" w:hAnsi="Times New Roman"/>
                <w:b/>
                <w:bCs/>
              </w:rPr>
            </w:pPr>
            <w:r w:rsidRPr="00FF0FC2">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7EE1" w:rsidRPr="00FF0FC2" w:rsidP="007D7EE1">
            <w:pPr>
              <w:bidi w:val="0"/>
              <w:jc w:val="center"/>
              <w:rPr>
                <w:rFonts w:ascii="Times New Roman" w:hAnsi="Times New Roman"/>
                <w:b/>
                <w:bCs/>
              </w:rPr>
            </w:pPr>
            <w:r w:rsidRPr="00FF0FC2">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7EE1" w:rsidRPr="00FF0FC2" w:rsidP="007D7EE1">
            <w:pPr>
              <w:bidi w:val="0"/>
              <w:jc w:val="center"/>
              <w:rPr>
                <w:rFonts w:ascii="Times New Roman" w:hAnsi="Times New Roman"/>
                <w:b/>
                <w:bCs/>
              </w:rPr>
            </w:pPr>
            <w:r w:rsidRPr="00FF0FC2">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7D7EE1" w:rsidRPr="00FF0FC2" w:rsidP="007D7EE1">
            <w:pPr>
              <w:bidi w:val="0"/>
              <w:rPr>
                <w:rFonts w:ascii="Times New Roman" w:hAnsi="Times New Roman"/>
              </w:rPr>
            </w:pPr>
            <w:r w:rsidRPr="00FF0F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AB75C5" w:rsidRPr="00FF0FC2" w:rsidP="00AB75C5">
            <w:pPr>
              <w:bidi w:val="0"/>
              <w:rPr>
                <w:rFonts w:ascii="Times New Roman" w:hAnsi="Times New Roman"/>
                <w:b/>
                <w:bCs/>
                <w:color w:val="FFFFFF"/>
              </w:rPr>
            </w:pPr>
            <w:r w:rsidRPr="00FF0FC2">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center"/>
          </w:tcPr>
          <w:p w:rsidR="00AB75C5" w:rsidRPr="00F22E9A" w:rsidP="00AB75C5">
            <w:pPr>
              <w:bidi w:val="0"/>
              <w:spacing w:line="70" w:lineRule="atLeast"/>
              <w:jc w:val="right"/>
              <w:rPr>
                <w:rFonts w:ascii="Times New Roman" w:hAnsi="Times New Roman"/>
                <w:bCs/>
              </w:rPr>
            </w:pPr>
            <w:r>
              <w:rPr>
                <w:rFonts w:ascii="Times New Roman" w:hAnsi="Times New Roman"/>
                <w:bCs/>
              </w:rPr>
              <w:t>0</w:t>
            </w:r>
          </w:p>
        </w:tc>
        <w:tc>
          <w:tcPr>
            <w:tcW w:w="1500" w:type="dxa"/>
            <w:tcBorders>
              <w:top w:val="nil"/>
              <w:left w:val="nil"/>
              <w:bottom w:val="single" w:sz="4" w:space="0" w:color="auto"/>
              <w:right w:val="single" w:sz="4" w:space="0" w:color="auto"/>
            </w:tcBorders>
            <w:shd w:val="clear" w:color="auto" w:fill="000000"/>
            <w:textDirection w:val="lrTb"/>
            <w:vAlign w:val="center"/>
          </w:tcPr>
          <w:p w:rsidR="00AB75C5" w:rsidRPr="00F22E9A" w:rsidP="00AB75C5">
            <w:pPr>
              <w:bidi w:val="0"/>
              <w:spacing w:line="70" w:lineRule="atLeast"/>
              <w:jc w:val="right"/>
              <w:rPr>
                <w:rFonts w:ascii="Times New Roman" w:hAnsi="Times New Roman"/>
                <w:bCs/>
              </w:rPr>
            </w:pPr>
            <w:r w:rsidRPr="00F22E9A">
              <w:rPr>
                <w:rFonts w:ascii="Times New Roman" w:hAnsi="Times New Roman"/>
                <w:bCs/>
              </w:rPr>
              <w:t>25 987</w:t>
            </w:r>
          </w:p>
        </w:tc>
        <w:tc>
          <w:tcPr>
            <w:tcW w:w="1500" w:type="dxa"/>
            <w:tcBorders>
              <w:top w:val="nil"/>
              <w:left w:val="nil"/>
              <w:bottom w:val="single" w:sz="4" w:space="0" w:color="auto"/>
              <w:right w:val="single" w:sz="4" w:space="0" w:color="auto"/>
            </w:tcBorders>
            <w:shd w:val="clear" w:color="auto" w:fill="000000"/>
            <w:textDirection w:val="lrTb"/>
            <w:vAlign w:val="center"/>
          </w:tcPr>
          <w:p w:rsidR="00AB75C5" w:rsidRPr="00F22E9A" w:rsidP="00AB75C5">
            <w:pPr>
              <w:bidi w:val="0"/>
              <w:spacing w:line="70" w:lineRule="atLeast"/>
              <w:jc w:val="right"/>
              <w:rPr>
                <w:rFonts w:ascii="Times New Roman" w:hAnsi="Times New Roman"/>
                <w:bCs/>
              </w:rPr>
            </w:pPr>
            <w:r w:rsidRPr="00F22E9A">
              <w:rPr>
                <w:rFonts w:ascii="Times New Roman" w:hAnsi="Times New Roman"/>
                <w:bCs/>
              </w:rPr>
              <w:t>18 475</w:t>
            </w:r>
          </w:p>
        </w:tc>
        <w:tc>
          <w:tcPr>
            <w:tcW w:w="1500" w:type="dxa"/>
            <w:tcBorders>
              <w:top w:val="nil"/>
              <w:left w:val="nil"/>
              <w:bottom w:val="single" w:sz="4" w:space="0" w:color="auto"/>
              <w:right w:val="single" w:sz="4" w:space="0" w:color="auto"/>
            </w:tcBorders>
            <w:shd w:val="clear" w:color="auto" w:fill="000000"/>
            <w:textDirection w:val="lrTb"/>
            <w:vAlign w:val="center"/>
          </w:tcPr>
          <w:p w:rsidR="00AB75C5" w:rsidRPr="00F22E9A" w:rsidP="00AB75C5">
            <w:pPr>
              <w:bidi w:val="0"/>
              <w:spacing w:line="70" w:lineRule="atLeast"/>
              <w:jc w:val="right"/>
              <w:rPr>
                <w:rFonts w:ascii="Times New Roman" w:hAnsi="Times New Roman"/>
                <w:bCs/>
              </w:rPr>
            </w:pPr>
            <w:r w:rsidRPr="00F22E9A">
              <w:rPr>
                <w:rFonts w:ascii="Times New Roman" w:hAnsi="Times New Roman"/>
                <w:bCs/>
              </w:rPr>
              <w:t>13 430</w:t>
            </w:r>
          </w:p>
        </w:tc>
        <w:tc>
          <w:tcPr>
            <w:tcW w:w="3000" w:type="dxa"/>
            <w:tcBorders>
              <w:top w:val="nil"/>
              <w:left w:val="nil"/>
              <w:bottom w:val="single" w:sz="4" w:space="0" w:color="auto"/>
              <w:right w:val="single" w:sz="4" w:space="0" w:color="auto"/>
            </w:tcBorders>
            <w:shd w:val="clear" w:color="auto" w:fill="000000"/>
            <w:noWrap/>
            <w:textDirection w:val="lrTb"/>
            <w:vAlign w:val="center"/>
          </w:tcPr>
          <w:p w:rsidR="00AB75C5" w:rsidRPr="00F22E9A" w:rsidP="00AB75C5">
            <w:pPr>
              <w:bidi w:val="0"/>
              <w:spacing w:line="70" w:lineRule="atLeast"/>
              <w:jc w:val="right"/>
              <w:rPr>
                <w:rFonts w:ascii="Times New Roman" w:hAnsi="Times New Roman"/>
                <w:bCs/>
              </w:rPr>
            </w:pPr>
            <w:r w:rsidRPr="00F22E9A">
              <w:rPr>
                <w:rFonts w:ascii="Times New Roman" w:hAnsi="Times New Roman"/>
                <w:bCs/>
              </w:rPr>
              <w:t>25 987</w:t>
            </w:r>
          </w:p>
        </w:tc>
      </w:tr>
    </w:tbl>
    <w:p w:rsidR="00E62BFE" w:rsidRPr="00FF0FC2" w:rsidP="00E62BFE">
      <w:pPr>
        <w:pStyle w:val="BodyText"/>
        <w:tabs>
          <w:tab w:val="num" w:pos="1080"/>
        </w:tabs>
        <w:bidi w:val="0"/>
        <w:jc w:val="both"/>
        <w:rPr>
          <w:rFonts w:ascii="Times New Roman" w:hAnsi="Times New Roman"/>
          <w:b w:val="0"/>
          <w:bCs/>
          <w:szCs w:val="24"/>
        </w:rPr>
      </w:pPr>
      <w:r w:rsidRPr="00FF0FC2">
        <w:rPr>
          <w:rFonts w:ascii="Times New Roman" w:hAnsi="Times New Roman"/>
          <w:b w:val="0"/>
          <w:bCs/>
          <w:szCs w:val="24"/>
        </w:rPr>
        <w:t>1 –  príjmy rozpísať až do položiek platnej ekonomickej klasifikácie</w:t>
      </w:r>
      <w:r w:rsidR="00AB3EA4">
        <w:rPr>
          <w:rFonts w:ascii="Times New Roman" w:hAnsi="Times New Roman"/>
          <w:b w:val="0"/>
          <w:bCs/>
          <w:szCs w:val="24"/>
        </w:rPr>
        <w:t xml:space="preserve">                                                                                                    </w:t>
      </w:r>
      <w:r w:rsidRPr="00FF0FC2">
        <w:rPr>
          <w:rFonts w:ascii="Times New Roman" w:hAnsi="Times New Roman"/>
          <w:b w:val="0"/>
          <w:bCs/>
          <w:szCs w:val="24"/>
        </w:rPr>
        <w:t xml:space="preserve">Tabuľka č. 5 </w:t>
      </w:r>
      <w:r w:rsidR="00AB3EA4">
        <w:rPr>
          <w:rFonts w:ascii="Times New Roman" w:hAnsi="Times New Roman"/>
          <w:b w:val="0"/>
          <w:bCs/>
          <w:szCs w:val="24"/>
        </w:rPr>
        <w:t xml:space="preserve"> </w:t>
      </w:r>
    </w:p>
    <w:tbl>
      <w:tblPr>
        <w:tblStyle w:val="TableNormal"/>
        <w:tblpPr w:leftFromText="141" w:rightFromText="141" w:vertAnchor="text" w:horzAnchor="margin" w:tblpY="2"/>
        <w:tblW w:w="15010" w:type="dxa"/>
        <w:tblCellMar>
          <w:left w:w="70" w:type="dxa"/>
          <w:right w:w="70" w:type="dxa"/>
        </w:tblCellMar>
      </w:tblPr>
      <w:tblGrid>
        <w:gridCol w:w="7070"/>
        <w:gridCol w:w="1540"/>
        <w:gridCol w:w="1540"/>
        <w:gridCol w:w="1540"/>
        <w:gridCol w:w="1540"/>
        <w:gridCol w:w="1780"/>
      </w:tblGrid>
      <w:tr>
        <w:tblPrEx>
          <w:tblW w:w="150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62BFE" w:rsidRPr="00FF0FC2" w:rsidP="00E62BFE">
            <w:pPr>
              <w:bidi w:val="0"/>
              <w:jc w:val="center"/>
              <w:rPr>
                <w:rFonts w:ascii="Times New Roman" w:hAnsi="Times New Roman"/>
                <w:b/>
                <w:bCs/>
                <w:color w:val="FFFFFF"/>
              </w:rPr>
            </w:pPr>
            <w:r w:rsidRPr="00FF0FC2">
              <w:rPr>
                <w:rFonts w:ascii="Times New Roman" w:hAnsi="Times New Roman"/>
                <w:b/>
                <w:bCs/>
                <w:color w:val="FFFFFF"/>
              </w:rPr>
              <w:t>Výdavky (v</w:t>
            </w:r>
            <w:r w:rsidRPr="00FF0FC2" w:rsidR="00A42685">
              <w:rPr>
                <w:rFonts w:ascii="Times New Roman" w:hAnsi="Times New Roman"/>
                <w:b/>
                <w:bCs/>
                <w:color w:val="FFFFFF"/>
              </w:rPr>
              <w:t xml:space="preserve"> eurách</w:t>
            </w:r>
            <w:r w:rsidRPr="00FF0FC2">
              <w:rPr>
                <w:rFonts w:ascii="Times New Roman" w:hAnsi="Times New Roman"/>
                <w:b/>
                <w:bCs/>
                <w:color w:val="FFFFFF"/>
              </w:rPr>
              <w:t>)</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E62BFE" w:rsidRPr="00FF0FC2" w:rsidP="00E62BFE">
            <w:pPr>
              <w:bidi w:val="0"/>
              <w:jc w:val="center"/>
              <w:rPr>
                <w:rFonts w:ascii="Times New Roman" w:hAnsi="Times New Roman"/>
                <w:b/>
                <w:bCs/>
                <w:color w:val="FFFFFF"/>
              </w:rPr>
            </w:pPr>
            <w:r w:rsidRPr="00FF0FC2">
              <w:rPr>
                <w:rFonts w:ascii="Times New Roman" w:hAnsi="Times New Roman"/>
                <w:b/>
                <w:bCs/>
                <w:color w:val="FFFFFF"/>
              </w:rPr>
              <w:t>Vplyv na rozpočet verejnej správy</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E62BFE" w:rsidRPr="00FF0FC2" w:rsidP="00E62BFE">
            <w:pPr>
              <w:bidi w:val="0"/>
              <w:jc w:val="center"/>
              <w:rPr>
                <w:rFonts w:ascii="Times New Roman" w:hAnsi="Times New Roman"/>
                <w:b/>
                <w:bCs/>
                <w:color w:val="FFFFFF"/>
              </w:rPr>
            </w:pPr>
            <w:r w:rsidRPr="00FF0FC2">
              <w:rPr>
                <w:rFonts w:ascii="Times New Roman" w:hAnsi="Times New Roman"/>
                <w:b/>
                <w:bCs/>
                <w:color w:val="FFFFFF"/>
              </w:rPr>
              <w:t>poznámka</w:t>
            </w:r>
          </w:p>
        </w:tc>
      </w:tr>
      <w:tr>
        <w:tblPrEx>
          <w:tblW w:w="15010"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8D74DB" w:rsidRPr="00FF0FC2" w:rsidP="008D74DB">
            <w:pPr>
              <w:bidi w:val="0"/>
              <w:rPr>
                <w:rFonts w:ascii="Times New Roman" w:hAnsi="Times New Roman"/>
                <w:b/>
                <w:bCs/>
                <w:color w:val="FFFFFF"/>
              </w:rPr>
            </w:pPr>
          </w:p>
        </w:tc>
        <w:tc>
          <w:tcPr>
            <w:tcW w:w="1540" w:type="dxa"/>
            <w:tcBorders>
              <w:top w:val="nil"/>
              <w:left w:val="nil"/>
              <w:bottom w:val="single" w:sz="4" w:space="0" w:color="auto"/>
              <w:right w:val="single" w:sz="4" w:space="0" w:color="auto"/>
            </w:tcBorders>
            <w:shd w:val="clear" w:color="auto" w:fill="000000"/>
            <w:textDirection w:val="lrTb"/>
            <w:vAlign w:val="top"/>
          </w:tcPr>
          <w:p w:rsidR="008D74DB" w:rsidRPr="00FF0FC2" w:rsidP="008D74DB">
            <w:pPr>
              <w:bidi w:val="0"/>
              <w:jc w:val="center"/>
              <w:rPr>
                <w:rFonts w:ascii="Times New Roman" w:hAnsi="Times New Roman"/>
                <w:b/>
                <w:bCs/>
                <w:color w:val="FFFFFF"/>
              </w:rPr>
            </w:pPr>
            <w:r>
              <w:rPr>
                <w:rFonts w:ascii="Times New Roman" w:hAnsi="Times New Roman"/>
                <w:b/>
                <w:bCs/>
                <w:color w:val="FFFFFF"/>
              </w:rPr>
              <w:t>2011</w:t>
            </w:r>
          </w:p>
        </w:tc>
        <w:tc>
          <w:tcPr>
            <w:tcW w:w="1540" w:type="dxa"/>
            <w:tcBorders>
              <w:top w:val="nil"/>
              <w:left w:val="nil"/>
              <w:bottom w:val="single" w:sz="4" w:space="0" w:color="auto"/>
              <w:right w:val="single" w:sz="4" w:space="0" w:color="auto"/>
            </w:tcBorders>
            <w:shd w:val="clear" w:color="auto" w:fill="000000"/>
            <w:textDirection w:val="lrTb"/>
            <w:vAlign w:val="top"/>
          </w:tcPr>
          <w:p w:rsidR="008D74DB" w:rsidRPr="00FF0FC2" w:rsidP="008D74DB">
            <w:pPr>
              <w:bidi w:val="0"/>
              <w:jc w:val="center"/>
              <w:rPr>
                <w:rFonts w:ascii="Times New Roman" w:hAnsi="Times New Roman"/>
                <w:b/>
                <w:bCs/>
                <w:color w:val="FFFFFF"/>
              </w:rPr>
            </w:pPr>
            <w:r>
              <w:rPr>
                <w:rFonts w:ascii="Times New Roman" w:hAnsi="Times New Roman"/>
                <w:b/>
                <w:bCs/>
                <w:color w:val="FFFFFF"/>
              </w:rPr>
              <w:t>2012</w:t>
            </w:r>
          </w:p>
        </w:tc>
        <w:tc>
          <w:tcPr>
            <w:tcW w:w="1540" w:type="dxa"/>
            <w:tcBorders>
              <w:top w:val="nil"/>
              <w:left w:val="nil"/>
              <w:bottom w:val="single" w:sz="4" w:space="0" w:color="auto"/>
              <w:right w:val="single" w:sz="4" w:space="0" w:color="auto"/>
            </w:tcBorders>
            <w:shd w:val="clear" w:color="auto" w:fill="000000"/>
            <w:textDirection w:val="lrTb"/>
            <w:vAlign w:val="top"/>
          </w:tcPr>
          <w:p w:rsidR="008D74DB" w:rsidRPr="00FF0FC2" w:rsidP="008D74DB">
            <w:pPr>
              <w:bidi w:val="0"/>
              <w:jc w:val="center"/>
              <w:rPr>
                <w:rFonts w:ascii="Times New Roman" w:hAnsi="Times New Roman"/>
                <w:b/>
                <w:bCs/>
                <w:color w:val="FFFFFF"/>
              </w:rPr>
            </w:pPr>
            <w:r>
              <w:rPr>
                <w:rFonts w:ascii="Times New Roman" w:hAnsi="Times New Roman"/>
                <w:b/>
                <w:bCs/>
                <w:color w:val="FFFFFF"/>
              </w:rPr>
              <w:t>2013</w:t>
            </w:r>
          </w:p>
        </w:tc>
        <w:tc>
          <w:tcPr>
            <w:tcW w:w="1540" w:type="dxa"/>
            <w:tcBorders>
              <w:top w:val="nil"/>
              <w:left w:val="nil"/>
              <w:bottom w:val="single" w:sz="4" w:space="0" w:color="auto"/>
              <w:right w:val="single" w:sz="4" w:space="0" w:color="auto"/>
            </w:tcBorders>
            <w:shd w:val="clear" w:color="auto" w:fill="000000"/>
            <w:textDirection w:val="lrTb"/>
            <w:vAlign w:val="top"/>
          </w:tcPr>
          <w:p w:rsidR="008D74DB" w:rsidRPr="00FF0FC2" w:rsidP="008D74DB">
            <w:pPr>
              <w:bidi w:val="0"/>
              <w:jc w:val="center"/>
              <w:rPr>
                <w:rFonts w:ascii="Times New Roman" w:hAnsi="Times New Roman"/>
                <w:b/>
                <w:bCs/>
                <w:color w:val="FFFFFF"/>
              </w:rPr>
            </w:pPr>
            <w:r>
              <w:rPr>
                <w:rFonts w:ascii="Times New Roman" w:hAnsi="Times New Roman"/>
                <w:b/>
                <w:bCs/>
                <w:color w:val="FFFFFF"/>
              </w:rPr>
              <w:t>2014</w:t>
            </w:r>
          </w:p>
        </w:tc>
        <w:tc>
          <w:tcPr>
            <w:tcW w:w="1780" w:type="dxa"/>
            <w:vMerge/>
            <w:tcBorders>
              <w:top w:val="single" w:sz="4" w:space="0" w:color="auto"/>
              <w:left w:val="single" w:sz="4" w:space="0" w:color="auto"/>
              <w:bottom w:val="single" w:sz="4" w:space="0" w:color="auto"/>
              <w:right w:val="single" w:sz="4" w:space="0" w:color="auto"/>
            </w:tcBorders>
            <w:textDirection w:val="lrTb"/>
            <w:vAlign w:val="center"/>
          </w:tcPr>
          <w:p w:rsidR="008D74DB" w:rsidRPr="00FF0FC2" w:rsidP="008D74DB">
            <w:pPr>
              <w:bidi w:val="0"/>
              <w:rPr>
                <w:rFonts w:ascii="Times New Roman" w:hAnsi="Times New Roman"/>
                <w:b/>
                <w:bCs/>
                <w:color w:val="FFFFFF"/>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74DB" w:rsidRPr="00FF0FC2" w:rsidP="008D74DB">
            <w:pPr>
              <w:bidi w:val="0"/>
              <w:rPr>
                <w:rFonts w:ascii="Times New Roman" w:hAnsi="Times New Roman"/>
                <w:b/>
                <w:bCs/>
              </w:rPr>
            </w:pPr>
            <w:r w:rsidRPr="00FF0FC2">
              <w:rPr>
                <w:rFonts w:ascii="Times New Roman" w:hAnsi="Times New Roman"/>
                <w:b/>
                <w:bCs/>
              </w:rPr>
              <w:t>Bežné výdavky (600)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r w:rsidRPr="00FF0FC2">
              <w:rPr>
                <w:rFonts w:ascii="Times New Roman" w:hAnsi="Times New Roman"/>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74DB" w:rsidRPr="00FF0FC2" w:rsidP="008D74DB">
            <w:pPr>
              <w:bidi w:val="0"/>
              <w:rPr>
                <w:rFonts w:ascii="Times New Roman" w:hAnsi="Times New Roman"/>
              </w:rPr>
            </w:pPr>
            <w:r w:rsidRPr="00FF0FC2">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r w:rsidRPr="00FF0FC2">
              <w:rPr>
                <w:rFonts w:ascii="Times New Roman" w:hAnsi="Times New Roman"/>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74DB" w:rsidRPr="00FF0FC2" w:rsidP="008D74DB">
            <w:pPr>
              <w:bidi w:val="0"/>
              <w:rPr>
                <w:rFonts w:ascii="Times New Roman" w:hAnsi="Times New Roman"/>
                <w:vertAlign w:val="superscript"/>
              </w:rPr>
            </w:pPr>
            <w:r w:rsidRPr="00FF0FC2">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r w:rsidRPr="00FF0FC2">
              <w:rPr>
                <w:rFonts w:ascii="Times New Roman" w:hAnsi="Times New Roman"/>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74DB" w:rsidRPr="00FF0FC2" w:rsidP="008D74DB">
            <w:pPr>
              <w:bidi w:val="0"/>
              <w:rPr>
                <w:rFonts w:ascii="Times New Roman" w:hAnsi="Times New Roman"/>
                <w:vertAlign w:val="superscript"/>
              </w:rPr>
            </w:pPr>
            <w:r w:rsidRPr="00FF0FC2">
              <w:rPr>
                <w:rFonts w:ascii="Times New Roman" w:hAnsi="Times New Roman"/>
              </w:rPr>
              <w:t xml:space="preserve">  Tovary a služby (630)</w:t>
            </w:r>
            <w:r w:rsidRPr="00FF0FC2">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74DB" w:rsidRPr="00FF0FC2" w:rsidP="008D74DB">
            <w:pPr>
              <w:bidi w:val="0"/>
              <w:rPr>
                <w:rFonts w:ascii="Times New Roman" w:hAnsi="Times New Roman"/>
              </w:rPr>
            </w:pPr>
            <w:r w:rsidRPr="00FF0FC2">
              <w:rPr>
                <w:rFonts w:ascii="Times New Roman" w:hAnsi="Times New Roman"/>
              </w:rPr>
              <w:t xml:space="preserve">  Bežné transfery (640)</w:t>
            </w:r>
            <w:r w:rsidRPr="00FF0FC2">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r w:rsidRPr="00FF0FC2">
              <w:rPr>
                <w:rFonts w:ascii="Times New Roman" w:hAnsi="Times New Roman"/>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8D74DB" w:rsidRPr="00FF0FC2" w:rsidP="008D74DB">
            <w:pPr>
              <w:bidi w:val="0"/>
              <w:rPr>
                <w:rFonts w:ascii="Times New Roman" w:hAnsi="Times New Roman"/>
              </w:rPr>
            </w:pPr>
            <w:r w:rsidRPr="00FF0FC2">
              <w:rPr>
                <w:rFonts w:ascii="Times New Roman" w:hAnsi="Times New Roman"/>
              </w:rPr>
              <w:t xml:space="preserve">  Splácanie úrokov a ostatné platby súvisiace s úvermi, pôžičkami a NFV (650)</w:t>
            </w:r>
            <w:r w:rsidRPr="00FF0FC2">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74DB" w:rsidRPr="00FF0FC2" w:rsidP="008D74DB">
            <w:pPr>
              <w:bidi w:val="0"/>
              <w:rPr>
                <w:rFonts w:ascii="Times New Roman" w:hAnsi="Times New Roman"/>
                <w:b/>
                <w:bCs/>
              </w:rPr>
            </w:pPr>
            <w:r w:rsidRPr="00FF0FC2">
              <w:rPr>
                <w:rFonts w:ascii="Times New Roman" w:hAnsi="Times New Roman"/>
                <w:b/>
                <w:bCs/>
              </w:rPr>
              <w:t>Kapitálové výdavky (700)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b/>
                <w:bCs/>
              </w:rPr>
            </w:pPr>
            <w:r w:rsidR="00F22E9A">
              <w:rPr>
                <w:rFonts w:ascii="Times New Roman" w:hAnsi="Times New Roman"/>
              </w:rPr>
              <w:t xml:space="preserve">2 430 </w:t>
            </w:r>
            <w:r w:rsidRPr="00C469FA" w:rsidR="00F22E9A">
              <w:rPr>
                <w:rFonts w:ascii="Times New Roman" w:hAnsi="Times New Roman"/>
              </w:rPr>
              <w:t>000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r w:rsidRPr="00FF0FC2">
              <w:rPr>
                <w:rFonts w:ascii="Times New Roman" w:hAnsi="Times New Roman"/>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74DB" w:rsidRPr="00FF0FC2" w:rsidP="008D74DB">
            <w:pPr>
              <w:bidi w:val="0"/>
              <w:rPr>
                <w:rFonts w:ascii="Times New Roman" w:hAnsi="Times New Roman"/>
              </w:rPr>
            </w:pPr>
            <w:r w:rsidRPr="00FF0FC2">
              <w:rPr>
                <w:rFonts w:ascii="Times New Roman" w:hAnsi="Times New Roman"/>
              </w:rPr>
              <w:t xml:space="preserve">  Obstarávanie kapitálových aktív (710)</w:t>
            </w:r>
            <w:r w:rsidRPr="00FF0FC2">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r w:rsidRPr="00FF0FC2">
              <w:rPr>
                <w:rFonts w:ascii="Times New Roman" w:hAnsi="Times New Roman"/>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D4AF4" w:rsidRPr="00FF0FC2" w:rsidP="008D74DB">
            <w:pPr>
              <w:bidi w:val="0"/>
              <w:rPr>
                <w:rFonts w:ascii="Times New Roman" w:hAnsi="Times New Roman"/>
              </w:rPr>
            </w:pPr>
            <w:r w:rsidR="00951082">
              <w:rPr>
                <w:rFonts w:ascii="Times New Roman" w:hAnsi="Times New Roman"/>
              </w:rPr>
              <w:t>71</w:t>
            </w:r>
            <w:r w:rsidR="00314EA8">
              <w:rPr>
                <w:rFonts w:ascii="Times New Roman" w:hAnsi="Times New Roman"/>
              </w:rPr>
              <w:t>1</w:t>
            </w:r>
            <w:r>
              <w:rPr>
                <w:rFonts w:ascii="Times New Roman" w:hAnsi="Times New Roman"/>
              </w:rPr>
              <w:t xml:space="preserve"> </w:t>
            </w:r>
            <w:r w:rsidR="00314EA8">
              <w:rPr>
                <w:rFonts w:ascii="Times New Roman" w:hAnsi="Times New Roman"/>
              </w:rPr>
              <w:t>nákup pozemkov a nehmotných aktív</w:t>
            </w:r>
          </w:p>
        </w:tc>
        <w:tc>
          <w:tcPr>
            <w:tcW w:w="1540" w:type="dxa"/>
            <w:tcBorders>
              <w:top w:val="nil"/>
              <w:left w:val="nil"/>
              <w:bottom w:val="single" w:sz="4" w:space="0" w:color="auto"/>
              <w:right w:val="single" w:sz="4" w:space="0" w:color="auto"/>
            </w:tcBorders>
            <w:textDirection w:val="lrTb"/>
            <w:vAlign w:val="top"/>
          </w:tcPr>
          <w:p w:rsidR="005D4AF4"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D4AF4"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D4AF4"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D4AF4" w:rsidRPr="00FF0FC2" w:rsidP="008D74DB">
            <w:pPr>
              <w:bidi w:val="0"/>
              <w:jc w:val="center"/>
              <w:rPr>
                <w:rFonts w:ascii="Times New Roman" w:hAnsi="Times New Roman"/>
              </w:rPr>
            </w:pPr>
          </w:p>
        </w:tc>
        <w:tc>
          <w:tcPr>
            <w:tcW w:w="1780" w:type="dxa"/>
            <w:tcBorders>
              <w:top w:val="nil"/>
              <w:left w:val="nil"/>
              <w:bottom w:val="single" w:sz="4" w:space="0" w:color="auto"/>
              <w:right w:val="single" w:sz="4" w:space="0" w:color="auto"/>
            </w:tcBorders>
            <w:noWrap/>
            <w:textDirection w:val="lrTb"/>
            <w:vAlign w:val="bottom"/>
          </w:tcPr>
          <w:p w:rsidR="005D4AF4" w:rsidRPr="00FF0FC2" w:rsidP="008D74DB">
            <w:pPr>
              <w:bidi w:val="0"/>
              <w:rPr>
                <w:rFonts w:ascii="Times New Roman" w:hAnsi="Times New Roman"/>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D4AF4" w:rsidRPr="00FF0FC2" w:rsidP="008D74DB">
            <w:pPr>
              <w:bidi w:val="0"/>
              <w:rPr>
                <w:rFonts w:ascii="Times New Roman" w:hAnsi="Times New Roman"/>
              </w:rPr>
            </w:pPr>
            <w:r w:rsidR="002A1BC5">
              <w:rPr>
                <w:rFonts w:ascii="Times New Roman" w:hAnsi="Times New Roman"/>
              </w:rPr>
              <w:t>71</w:t>
            </w:r>
            <w:r w:rsidR="00314EA8">
              <w:rPr>
                <w:rFonts w:ascii="Times New Roman" w:hAnsi="Times New Roman"/>
              </w:rPr>
              <w:t>1003</w:t>
            </w:r>
            <w:r>
              <w:rPr>
                <w:rFonts w:ascii="Times New Roman" w:hAnsi="Times New Roman"/>
              </w:rPr>
              <w:t xml:space="preserve"> softvér</w:t>
            </w:r>
            <w:r w:rsidR="00951082">
              <w:rPr>
                <w:rFonts w:ascii="Times New Roman" w:hAnsi="Times New Roman"/>
              </w:rPr>
              <w:t>u</w:t>
            </w:r>
          </w:p>
        </w:tc>
        <w:tc>
          <w:tcPr>
            <w:tcW w:w="1540" w:type="dxa"/>
            <w:tcBorders>
              <w:top w:val="nil"/>
              <w:left w:val="nil"/>
              <w:bottom w:val="single" w:sz="4" w:space="0" w:color="auto"/>
              <w:right w:val="single" w:sz="4" w:space="0" w:color="auto"/>
            </w:tcBorders>
            <w:textDirection w:val="lrTb"/>
            <w:vAlign w:val="top"/>
          </w:tcPr>
          <w:p w:rsidR="005D4AF4" w:rsidP="008D74DB">
            <w:pPr>
              <w:bidi w:val="0"/>
              <w:jc w:val="center"/>
              <w:rPr>
                <w:rFonts w:ascii="Times New Roman" w:hAnsi="Times New Roman"/>
              </w:rPr>
            </w:pPr>
            <w:r>
              <w:rPr>
                <w:rFonts w:ascii="Times New Roman" w:hAnsi="Times New Roman"/>
              </w:rPr>
              <w:t>2</w:t>
            </w:r>
            <w:r w:rsidR="00F22E9A">
              <w:rPr>
                <w:rFonts w:ascii="Times New Roman" w:hAnsi="Times New Roman"/>
              </w:rPr>
              <w:t> </w:t>
            </w:r>
            <w:r>
              <w:rPr>
                <w:rFonts w:ascii="Times New Roman" w:hAnsi="Times New Roman"/>
              </w:rPr>
              <w:t>430</w:t>
            </w:r>
            <w:r w:rsidR="00F22E9A">
              <w:rPr>
                <w:rFonts w:ascii="Times New Roman" w:hAnsi="Times New Roman"/>
              </w:rPr>
              <w:t xml:space="preserve"> </w:t>
            </w:r>
            <w:r w:rsidRPr="00C469FA">
              <w:rPr>
                <w:rFonts w:ascii="Times New Roman" w:hAnsi="Times New Roman"/>
              </w:rPr>
              <w:t>000</w:t>
            </w:r>
          </w:p>
        </w:tc>
        <w:tc>
          <w:tcPr>
            <w:tcW w:w="1540" w:type="dxa"/>
            <w:tcBorders>
              <w:top w:val="nil"/>
              <w:left w:val="nil"/>
              <w:bottom w:val="single" w:sz="4" w:space="0" w:color="auto"/>
              <w:right w:val="single" w:sz="4" w:space="0" w:color="auto"/>
            </w:tcBorders>
            <w:textDirection w:val="lrTb"/>
            <w:vAlign w:val="top"/>
          </w:tcPr>
          <w:p w:rsidR="005D4AF4"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D4AF4"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D4AF4" w:rsidRPr="00FF0FC2" w:rsidP="008D74DB">
            <w:pPr>
              <w:bidi w:val="0"/>
              <w:jc w:val="center"/>
              <w:rPr>
                <w:rFonts w:ascii="Times New Roman" w:hAnsi="Times New Roman"/>
              </w:rPr>
            </w:pPr>
          </w:p>
        </w:tc>
        <w:tc>
          <w:tcPr>
            <w:tcW w:w="1780" w:type="dxa"/>
            <w:tcBorders>
              <w:top w:val="nil"/>
              <w:left w:val="nil"/>
              <w:bottom w:val="single" w:sz="4" w:space="0" w:color="auto"/>
              <w:right w:val="single" w:sz="4" w:space="0" w:color="auto"/>
            </w:tcBorders>
            <w:noWrap/>
            <w:textDirection w:val="lrTb"/>
            <w:vAlign w:val="bottom"/>
          </w:tcPr>
          <w:p w:rsidR="005D4AF4" w:rsidRPr="00FF0FC2" w:rsidP="008D74DB">
            <w:pPr>
              <w:bidi w:val="0"/>
              <w:rPr>
                <w:rFonts w:ascii="Times New Roman" w:hAnsi="Times New Roman"/>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74DB" w:rsidRPr="00FF0FC2" w:rsidP="008D74DB">
            <w:pPr>
              <w:bidi w:val="0"/>
              <w:rPr>
                <w:rFonts w:ascii="Times New Roman" w:hAnsi="Times New Roman"/>
              </w:rPr>
            </w:pPr>
            <w:r w:rsidRPr="00FF0FC2">
              <w:rPr>
                <w:rFonts w:ascii="Times New Roman" w:hAnsi="Times New Roman"/>
              </w:rPr>
              <w:t xml:space="preserve">  Kapitálové transfery (720)</w:t>
            </w:r>
            <w:r w:rsidRPr="00FF0FC2">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8D74DB" w:rsidRPr="00FF0FC2" w:rsidP="008D74DB">
            <w:pPr>
              <w:bidi w:val="0"/>
              <w:jc w:val="center"/>
              <w:rPr>
                <w:rFonts w:ascii="Times New Roman" w:hAnsi="Times New Roman"/>
              </w:rPr>
            </w:pP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r w:rsidRPr="00FF0FC2">
              <w:rPr>
                <w:rFonts w:ascii="Times New Roman" w:hAnsi="Times New Roman"/>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D74DB" w:rsidRPr="00FF0FC2" w:rsidP="008D74DB">
            <w:pPr>
              <w:bidi w:val="0"/>
              <w:rPr>
                <w:rFonts w:ascii="Times New Roman" w:hAnsi="Times New Roman"/>
                <w:b/>
                <w:bCs/>
              </w:rPr>
            </w:pPr>
            <w:r w:rsidRPr="00FF0FC2">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8D74DB" w:rsidRPr="00FF0FC2" w:rsidP="008D74DB">
            <w:pPr>
              <w:bidi w:val="0"/>
              <w:jc w:val="center"/>
              <w:rPr>
                <w:rFonts w:ascii="Times New Roman" w:hAnsi="Times New Roman"/>
                <w:b/>
                <w:bCs/>
              </w:rPr>
            </w:pPr>
            <w:r w:rsidRPr="00FF0FC2">
              <w:rPr>
                <w:rFonts w:ascii="Times New Roman" w:hAnsi="Times New Roman"/>
                <w:b/>
                <w:bCs/>
              </w:rPr>
              <w:t> </w:t>
            </w:r>
            <w:r w:rsidR="00AB75C5">
              <w:rPr>
                <w:rFonts w:ascii="Times New Roman" w:hAnsi="Times New Roman"/>
                <w:b/>
                <w:bCs/>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r w:rsidRPr="00FF0FC2">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r w:rsidRPr="00FF0FC2">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8D74DB" w:rsidRPr="00FF0FC2" w:rsidP="008D74DB">
            <w:pPr>
              <w:bidi w:val="0"/>
              <w:jc w:val="center"/>
              <w:rPr>
                <w:rFonts w:ascii="Times New Roman" w:hAnsi="Times New Roman"/>
                <w:b/>
                <w:bCs/>
              </w:rPr>
            </w:pPr>
            <w:r w:rsidR="00AB75C5">
              <w:rPr>
                <w:rFonts w:ascii="Times New Roman" w:hAnsi="Times New Roman"/>
                <w:b/>
                <w:bCs/>
              </w:rPr>
              <w:t>0</w:t>
            </w:r>
            <w:r w:rsidRPr="00FF0FC2">
              <w:rPr>
                <w:rFonts w:ascii="Times New Roman" w:hAnsi="Times New Roman"/>
                <w:b/>
                <w:bCs/>
              </w:rPr>
              <w:t> </w:t>
            </w:r>
          </w:p>
        </w:tc>
        <w:tc>
          <w:tcPr>
            <w:tcW w:w="1780" w:type="dxa"/>
            <w:tcBorders>
              <w:top w:val="nil"/>
              <w:left w:val="nil"/>
              <w:bottom w:val="single" w:sz="4" w:space="0" w:color="auto"/>
              <w:right w:val="single" w:sz="4" w:space="0" w:color="auto"/>
            </w:tcBorders>
            <w:noWrap/>
            <w:textDirection w:val="lrTb"/>
            <w:vAlign w:val="bottom"/>
          </w:tcPr>
          <w:p w:rsidR="008D74DB" w:rsidRPr="00FF0FC2" w:rsidP="008D74DB">
            <w:pPr>
              <w:bidi w:val="0"/>
              <w:rPr>
                <w:rFonts w:ascii="Times New Roman" w:hAnsi="Times New Roman"/>
              </w:rPr>
            </w:pPr>
            <w:r w:rsidRPr="00FF0FC2">
              <w:rPr>
                <w:rFonts w:ascii="Times New Roman" w:hAnsi="Times New Roman"/>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shd w:val="clear" w:color="auto" w:fill="000000"/>
            <w:textDirection w:val="lrTb"/>
            <w:vAlign w:val="top"/>
          </w:tcPr>
          <w:p w:rsidR="008D74DB" w:rsidRPr="00FF0FC2" w:rsidP="008D74DB">
            <w:pPr>
              <w:bidi w:val="0"/>
              <w:rPr>
                <w:rFonts w:ascii="Times New Roman" w:hAnsi="Times New Roman"/>
                <w:b/>
                <w:bCs/>
                <w:color w:val="FFFFFF"/>
              </w:rPr>
            </w:pPr>
            <w:r w:rsidRPr="00FF0FC2">
              <w:rPr>
                <w:rFonts w:ascii="Times New Roman" w:hAnsi="Times New Roman"/>
                <w:b/>
                <w:bCs/>
                <w:color w:val="FFFFFF"/>
              </w:rPr>
              <w:t>Dopad na výdavky verejnej správy celkom</w:t>
            </w:r>
          </w:p>
        </w:tc>
        <w:tc>
          <w:tcPr>
            <w:tcW w:w="1540" w:type="dxa"/>
            <w:tcBorders>
              <w:top w:val="nil"/>
              <w:left w:val="nil"/>
              <w:bottom w:val="single" w:sz="4" w:space="0" w:color="auto"/>
              <w:right w:val="single" w:sz="4" w:space="0" w:color="auto"/>
            </w:tcBorders>
            <w:shd w:val="clear" w:color="auto" w:fill="000000"/>
            <w:textDirection w:val="lrTb"/>
            <w:vAlign w:val="top"/>
          </w:tcPr>
          <w:p w:rsidR="008D74DB" w:rsidRPr="00FF0FC2" w:rsidP="008D74DB">
            <w:pPr>
              <w:bidi w:val="0"/>
              <w:jc w:val="center"/>
              <w:rPr>
                <w:rFonts w:ascii="Times New Roman" w:hAnsi="Times New Roman"/>
                <w:b/>
                <w:bCs/>
                <w:color w:val="FFFFFF"/>
              </w:rPr>
            </w:pPr>
            <w:r w:rsidR="003A60E4">
              <w:rPr>
                <w:rFonts w:ascii="Times New Roman" w:hAnsi="Times New Roman"/>
                <w:b/>
                <w:bCs/>
                <w:color w:val="FFFFFF"/>
              </w:rPr>
              <w:t>2</w:t>
            </w:r>
            <w:r w:rsidR="00A67295">
              <w:rPr>
                <w:rFonts w:ascii="Times New Roman" w:hAnsi="Times New Roman"/>
                <w:b/>
                <w:bCs/>
                <w:color w:val="FFFFFF"/>
              </w:rPr>
              <w:t> </w:t>
            </w:r>
            <w:r w:rsidR="003A60E4">
              <w:rPr>
                <w:rFonts w:ascii="Times New Roman" w:hAnsi="Times New Roman"/>
                <w:b/>
                <w:bCs/>
                <w:color w:val="FFFFFF"/>
              </w:rPr>
              <w:t>430</w:t>
            </w:r>
            <w:r w:rsidR="00A67295">
              <w:rPr>
                <w:rFonts w:ascii="Times New Roman" w:hAnsi="Times New Roman"/>
                <w:b/>
                <w:bCs/>
                <w:color w:val="FFFFFF"/>
              </w:rPr>
              <w:t xml:space="preserve"> </w:t>
            </w:r>
            <w:r w:rsidR="003A60E4">
              <w:rPr>
                <w:rFonts w:ascii="Times New Roman" w:hAnsi="Times New Roman"/>
                <w:b/>
                <w:bCs/>
                <w:color w:val="FFFFFF"/>
              </w:rPr>
              <w:t>000</w:t>
            </w:r>
          </w:p>
        </w:tc>
        <w:tc>
          <w:tcPr>
            <w:tcW w:w="1540" w:type="dxa"/>
            <w:tcBorders>
              <w:top w:val="nil"/>
              <w:left w:val="nil"/>
              <w:bottom w:val="single" w:sz="4" w:space="0" w:color="auto"/>
              <w:right w:val="single" w:sz="4" w:space="0" w:color="auto"/>
            </w:tcBorders>
            <w:shd w:val="clear" w:color="auto" w:fill="000000"/>
            <w:textDirection w:val="lrTb"/>
            <w:vAlign w:val="top"/>
          </w:tcPr>
          <w:p w:rsidR="008D74DB" w:rsidRPr="00FF0FC2" w:rsidP="008D74DB">
            <w:pPr>
              <w:bidi w:val="0"/>
              <w:jc w:val="center"/>
              <w:rPr>
                <w:rFonts w:ascii="Times New Roman" w:hAnsi="Times New Roman"/>
                <w:b/>
                <w:bCs/>
                <w:color w:val="FFFFFF"/>
              </w:rPr>
            </w:pPr>
            <w:r w:rsidR="00F22E9A">
              <w:rPr>
                <w:rFonts w:ascii="Times New Roman" w:hAnsi="Times New Roman"/>
                <w:b/>
                <w:bCs/>
                <w:color w:val="FFFFFF"/>
              </w:rPr>
              <w:t>0</w:t>
            </w:r>
          </w:p>
        </w:tc>
        <w:tc>
          <w:tcPr>
            <w:tcW w:w="1540" w:type="dxa"/>
            <w:tcBorders>
              <w:top w:val="nil"/>
              <w:left w:val="nil"/>
              <w:bottom w:val="single" w:sz="4" w:space="0" w:color="auto"/>
              <w:right w:val="single" w:sz="4" w:space="0" w:color="auto"/>
            </w:tcBorders>
            <w:shd w:val="clear" w:color="auto" w:fill="000000"/>
            <w:textDirection w:val="lrTb"/>
            <w:vAlign w:val="top"/>
          </w:tcPr>
          <w:p w:rsidR="008D74DB" w:rsidRPr="00FF0FC2" w:rsidP="008D74DB">
            <w:pPr>
              <w:bidi w:val="0"/>
              <w:jc w:val="center"/>
              <w:rPr>
                <w:rFonts w:ascii="Times New Roman" w:hAnsi="Times New Roman"/>
                <w:b/>
                <w:bCs/>
                <w:color w:val="FFFFFF"/>
              </w:rPr>
            </w:pPr>
            <w:r w:rsidR="00F22E9A">
              <w:rPr>
                <w:rFonts w:ascii="Times New Roman" w:hAnsi="Times New Roman"/>
                <w:b/>
                <w:bCs/>
                <w:color w:val="FFFFFF"/>
              </w:rPr>
              <w:t>0</w:t>
            </w:r>
          </w:p>
        </w:tc>
        <w:tc>
          <w:tcPr>
            <w:tcW w:w="1540" w:type="dxa"/>
            <w:tcBorders>
              <w:top w:val="nil"/>
              <w:left w:val="nil"/>
              <w:bottom w:val="single" w:sz="4" w:space="0" w:color="auto"/>
              <w:right w:val="single" w:sz="4" w:space="0" w:color="auto"/>
            </w:tcBorders>
            <w:shd w:val="clear" w:color="auto" w:fill="000000"/>
            <w:textDirection w:val="lrTb"/>
            <w:vAlign w:val="top"/>
          </w:tcPr>
          <w:p w:rsidR="008D74DB" w:rsidRPr="00FF0FC2" w:rsidP="008D74DB">
            <w:pPr>
              <w:bidi w:val="0"/>
              <w:jc w:val="center"/>
              <w:rPr>
                <w:rFonts w:ascii="Times New Roman" w:hAnsi="Times New Roman"/>
                <w:b/>
                <w:bCs/>
                <w:color w:val="FFFFFF"/>
              </w:rPr>
            </w:pPr>
            <w:r w:rsidR="00F22E9A">
              <w:rPr>
                <w:rFonts w:ascii="Times New Roman" w:hAnsi="Times New Roman"/>
                <w:b/>
                <w:bCs/>
                <w:color w:val="FFFFFF"/>
              </w:rPr>
              <w:t>0</w:t>
            </w:r>
          </w:p>
        </w:tc>
        <w:tc>
          <w:tcPr>
            <w:tcW w:w="1780" w:type="dxa"/>
            <w:tcBorders>
              <w:top w:val="nil"/>
              <w:left w:val="nil"/>
              <w:bottom w:val="single" w:sz="4" w:space="0" w:color="auto"/>
              <w:right w:val="single" w:sz="4" w:space="0" w:color="auto"/>
            </w:tcBorders>
            <w:shd w:val="clear" w:color="auto" w:fill="000000"/>
            <w:noWrap/>
            <w:textDirection w:val="lrTb"/>
            <w:vAlign w:val="bottom"/>
          </w:tcPr>
          <w:p w:rsidR="008D74DB" w:rsidRPr="00FF0FC2" w:rsidP="008D74DB">
            <w:pPr>
              <w:bidi w:val="0"/>
              <w:rPr>
                <w:rFonts w:ascii="Times New Roman" w:hAnsi="Times New Roman"/>
                <w:color w:val="FFFFFF"/>
              </w:rPr>
            </w:pPr>
            <w:r w:rsidRPr="00FF0FC2">
              <w:rPr>
                <w:rFonts w:ascii="Times New Roman" w:hAnsi="Times New Roman"/>
                <w:color w:val="FFFFFF"/>
              </w:rPr>
              <w:t> </w:t>
            </w:r>
          </w:p>
        </w:tc>
      </w:tr>
    </w:tbl>
    <w:p w:rsidR="00E62BFE" w:rsidRPr="00FF0FC2" w:rsidP="00E62BFE">
      <w:pPr>
        <w:pStyle w:val="BodyText"/>
        <w:tabs>
          <w:tab w:val="num" w:pos="1080"/>
        </w:tabs>
        <w:bidi w:val="0"/>
        <w:jc w:val="both"/>
        <w:rPr>
          <w:rFonts w:ascii="Times New Roman" w:hAnsi="Times New Roman"/>
          <w:b w:val="0"/>
          <w:bCs/>
          <w:szCs w:val="24"/>
        </w:rPr>
      </w:pPr>
      <w:r w:rsidRPr="00FF0FC2">
        <w:rPr>
          <w:rFonts w:ascii="Times New Roman" w:hAnsi="Times New Roman"/>
          <w:b w:val="0"/>
          <w:bCs/>
          <w:szCs w:val="24"/>
        </w:rPr>
        <w:t>2 –  výdavky rozpísať až do položiek platnej ekonomickej klasifikácie</w:t>
      </w:r>
    </w:p>
    <w:p w:rsidR="00E9670C" w:rsidRPr="00FF0FC2" w:rsidP="00E9670C">
      <w:pPr>
        <w:pStyle w:val="BodyText"/>
        <w:tabs>
          <w:tab w:val="num" w:pos="1080"/>
        </w:tabs>
        <w:bidi w:val="0"/>
        <w:rPr>
          <w:rFonts w:ascii="Times New Roman" w:hAnsi="Times New Roman"/>
          <w:b w:val="0"/>
          <w:bCs/>
          <w:szCs w:val="24"/>
        </w:rPr>
      </w:pPr>
    </w:p>
    <w:p w:rsidR="00E62BFE" w:rsidRPr="00FF0FC2" w:rsidP="00E9670C">
      <w:pPr>
        <w:pStyle w:val="BodyText"/>
        <w:tabs>
          <w:tab w:val="num" w:pos="1080"/>
        </w:tabs>
        <w:bidi w:val="0"/>
        <w:rPr>
          <w:rFonts w:ascii="Times New Roman" w:hAnsi="Times New Roman"/>
          <w:b w:val="0"/>
          <w:bCs/>
          <w:szCs w:val="24"/>
        </w:rPr>
      </w:pPr>
      <w:r w:rsidRPr="00FF0FC2" w:rsidR="00E9670C">
        <w:rPr>
          <w:rFonts w:ascii="Times New Roman" w:hAnsi="Times New Roman"/>
          <w:b w:val="0"/>
          <w:bCs/>
          <w:szCs w:val="24"/>
        </w:rPr>
        <w:tab/>
        <w:tab/>
        <w:tab/>
        <w:tab/>
        <w:tab/>
        <w:tab/>
        <w:tab/>
        <w:tab/>
        <w:tab/>
        <w:tab/>
        <w:tab/>
        <w:tab/>
        <w:tab/>
        <w:tab/>
        <w:tab/>
        <w:tab/>
      </w:r>
      <w:r w:rsidRPr="00FF0FC2">
        <w:rPr>
          <w:rFonts w:ascii="Times New Roman" w:hAnsi="Times New Roman"/>
          <w:b w:val="0"/>
          <w:bCs/>
          <w:szCs w:val="24"/>
        </w:rPr>
        <w:t xml:space="preserve">                 Tabuľka č. 6 </w:t>
      </w:r>
    </w:p>
    <w:p w:rsidR="00E62BFE" w:rsidRPr="00FF0FC2" w:rsidP="00E62BFE">
      <w:pPr>
        <w:pStyle w:val="BodyText"/>
        <w:tabs>
          <w:tab w:val="num" w:pos="1080"/>
        </w:tabs>
        <w:bidi w:val="0"/>
        <w:jc w:val="both"/>
        <w:rPr>
          <w:rFonts w:ascii="Times New Roman" w:hAnsi="Times New Roman"/>
          <w:b w:val="0"/>
          <w:bCs/>
          <w:szCs w:val="24"/>
        </w:rPr>
      </w:pPr>
    </w:p>
    <w:tbl>
      <w:tblPr>
        <w:tblStyle w:val="TableNormal"/>
        <w:tblW w:w="15434" w:type="dxa"/>
        <w:tblInd w:w="-784" w:type="dxa"/>
        <w:tblCellMar>
          <w:left w:w="70" w:type="dxa"/>
          <w:right w:w="70" w:type="dxa"/>
        </w:tblCellMar>
      </w:tblPr>
      <w:tblGrid>
        <w:gridCol w:w="6188"/>
        <w:gridCol w:w="1698"/>
        <w:gridCol w:w="1788"/>
        <w:gridCol w:w="2418"/>
        <w:gridCol w:w="1722"/>
        <w:gridCol w:w="162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62BFE" w:rsidRPr="00FF0FC2" w:rsidP="00E62BFE">
            <w:pPr>
              <w:bidi w:val="0"/>
              <w:jc w:val="center"/>
              <w:rPr>
                <w:rFonts w:ascii="Times New Roman" w:hAnsi="Times New Roman"/>
                <w:b/>
                <w:bCs/>
                <w:color w:val="FFFFFF"/>
              </w:rPr>
            </w:pPr>
            <w:r w:rsidRPr="00FF0FC2">
              <w:rPr>
                <w:rFonts w:ascii="Times New Roman" w:hAnsi="Times New Roman"/>
                <w:b/>
                <w:bCs/>
                <w:color w:val="FFFFFF"/>
              </w:rPr>
              <w:t>Zamestnanosť</w:t>
            </w:r>
          </w:p>
        </w:tc>
        <w:tc>
          <w:tcPr>
            <w:tcW w:w="7626"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E62BFE" w:rsidRPr="00FF0FC2" w:rsidP="00E62BFE">
            <w:pPr>
              <w:bidi w:val="0"/>
              <w:jc w:val="center"/>
              <w:rPr>
                <w:rFonts w:ascii="Times New Roman" w:hAnsi="Times New Roman"/>
                <w:b/>
                <w:bCs/>
                <w:color w:val="FFFFFF"/>
              </w:rPr>
            </w:pPr>
            <w:r w:rsidRPr="00FF0FC2">
              <w:rPr>
                <w:rFonts w:ascii="Times New Roman" w:hAnsi="Times New Roman"/>
                <w:b/>
                <w:bCs/>
                <w:color w:val="FFFFFF"/>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E62BFE" w:rsidRPr="00FF0FC2" w:rsidP="00E62BFE">
            <w:pPr>
              <w:bidi w:val="0"/>
              <w:jc w:val="center"/>
              <w:rPr>
                <w:rFonts w:ascii="Times New Roman" w:hAnsi="Times New Roman"/>
                <w:b/>
                <w:bCs/>
                <w:color w:val="FFFFFF"/>
              </w:rPr>
            </w:pPr>
            <w:r w:rsidRPr="00FF0FC2">
              <w:rPr>
                <w:rFonts w:ascii="Times New Roman" w:hAnsi="Times New Roman"/>
                <w:b/>
                <w:bCs/>
                <w:color w:val="FFFFFF"/>
              </w:rPr>
              <w:t>poznámka</w:t>
            </w:r>
          </w:p>
        </w:tc>
      </w:tr>
      <w:tr>
        <w:tblPrEx>
          <w:tblW w:w="15434" w:type="dxa"/>
          <w:tblInd w:w="-784"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476E5B" w:rsidRPr="00FF0FC2" w:rsidP="00E62BFE">
            <w:pPr>
              <w:bidi w:val="0"/>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top"/>
          </w:tcPr>
          <w:p w:rsidR="00476E5B" w:rsidRPr="00FF0FC2" w:rsidP="000D1C7C">
            <w:pPr>
              <w:bidi w:val="0"/>
              <w:jc w:val="center"/>
              <w:rPr>
                <w:rFonts w:ascii="Times New Roman" w:hAnsi="Times New Roman"/>
                <w:b/>
                <w:bCs/>
                <w:color w:val="FFFFFF"/>
              </w:rPr>
            </w:pPr>
            <w:r>
              <w:rPr>
                <w:rFonts w:ascii="Times New Roman" w:hAnsi="Times New Roman"/>
                <w:b/>
                <w:bCs/>
                <w:color w:val="FFFFFF"/>
              </w:rPr>
              <w:t>2011</w:t>
            </w:r>
          </w:p>
        </w:tc>
        <w:tc>
          <w:tcPr>
            <w:tcW w:w="1788" w:type="dxa"/>
            <w:tcBorders>
              <w:top w:val="nil"/>
              <w:left w:val="nil"/>
              <w:bottom w:val="single" w:sz="4" w:space="0" w:color="auto"/>
              <w:right w:val="single" w:sz="4" w:space="0" w:color="auto"/>
            </w:tcBorders>
            <w:shd w:val="clear" w:color="auto" w:fill="000000"/>
            <w:textDirection w:val="lrTb"/>
            <w:vAlign w:val="top"/>
          </w:tcPr>
          <w:p w:rsidR="00476E5B" w:rsidRPr="00FF0FC2" w:rsidP="000D1C7C">
            <w:pPr>
              <w:bidi w:val="0"/>
              <w:jc w:val="center"/>
              <w:rPr>
                <w:rFonts w:ascii="Times New Roman" w:hAnsi="Times New Roman"/>
                <w:b/>
                <w:bCs/>
                <w:color w:val="FFFFFF"/>
              </w:rPr>
            </w:pPr>
            <w:r>
              <w:rPr>
                <w:rFonts w:ascii="Times New Roman" w:hAnsi="Times New Roman"/>
                <w:b/>
                <w:bCs/>
                <w:color w:val="FFFFFF"/>
              </w:rPr>
              <w:t>2012</w:t>
            </w:r>
          </w:p>
        </w:tc>
        <w:tc>
          <w:tcPr>
            <w:tcW w:w="2418" w:type="dxa"/>
            <w:tcBorders>
              <w:top w:val="nil"/>
              <w:left w:val="nil"/>
              <w:bottom w:val="single" w:sz="4" w:space="0" w:color="auto"/>
              <w:right w:val="single" w:sz="4" w:space="0" w:color="auto"/>
            </w:tcBorders>
            <w:shd w:val="clear" w:color="auto" w:fill="000000"/>
            <w:textDirection w:val="lrTb"/>
            <w:vAlign w:val="top"/>
          </w:tcPr>
          <w:p w:rsidR="00476E5B" w:rsidRPr="00FF0FC2" w:rsidP="000D1C7C">
            <w:pPr>
              <w:bidi w:val="0"/>
              <w:jc w:val="center"/>
              <w:rPr>
                <w:rFonts w:ascii="Times New Roman" w:hAnsi="Times New Roman"/>
                <w:b/>
                <w:bCs/>
                <w:color w:val="FFFFFF"/>
              </w:rPr>
            </w:pPr>
            <w:r>
              <w:rPr>
                <w:rFonts w:ascii="Times New Roman" w:hAnsi="Times New Roman"/>
                <w:b/>
                <w:bCs/>
                <w:color w:val="FFFFFF"/>
              </w:rPr>
              <w:t>2013</w:t>
            </w:r>
          </w:p>
        </w:tc>
        <w:tc>
          <w:tcPr>
            <w:tcW w:w="1722" w:type="dxa"/>
            <w:tcBorders>
              <w:top w:val="nil"/>
              <w:left w:val="nil"/>
              <w:bottom w:val="single" w:sz="4" w:space="0" w:color="auto"/>
              <w:right w:val="single" w:sz="4" w:space="0" w:color="auto"/>
            </w:tcBorders>
            <w:shd w:val="clear" w:color="auto" w:fill="000000"/>
            <w:textDirection w:val="lrTb"/>
            <w:vAlign w:val="top"/>
          </w:tcPr>
          <w:p w:rsidR="00476E5B" w:rsidRPr="00FF0FC2" w:rsidP="00E62BFE">
            <w:pPr>
              <w:bidi w:val="0"/>
              <w:jc w:val="center"/>
              <w:rPr>
                <w:rFonts w:ascii="Times New Roman" w:hAnsi="Times New Roman"/>
                <w:b/>
                <w:bCs/>
                <w:color w:val="FFFFFF"/>
              </w:rPr>
            </w:pPr>
            <w:r>
              <w:rPr>
                <w:rFonts w:ascii="Times New Roman" w:hAnsi="Times New Roman"/>
                <w:b/>
                <w:bCs/>
                <w:color w:val="FFFFFF"/>
              </w:rPr>
              <w:t>2014</w:t>
            </w:r>
          </w:p>
        </w:tc>
        <w:tc>
          <w:tcPr>
            <w:tcW w:w="0" w:type="auto"/>
            <w:vMerge/>
            <w:tcBorders>
              <w:top w:val="nil"/>
              <w:left w:val="nil"/>
              <w:bottom w:val="single" w:sz="4" w:space="0" w:color="auto"/>
              <w:right w:val="single" w:sz="4" w:space="0" w:color="auto"/>
            </w:tcBorders>
            <w:textDirection w:val="lrTb"/>
            <w:vAlign w:val="center"/>
          </w:tcPr>
          <w:p w:rsidR="00476E5B" w:rsidRPr="00FF0FC2" w:rsidP="00E62BFE">
            <w:pPr>
              <w:bidi w:val="0"/>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b/>
                <w:bCs/>
              </w:rPr>
            </w:pPr>
            <w:r w:rsidRPr="00FF0FC2">
              <w:rPr>
                <w:rFonts w:ascii="Times New Roman" w:hAnsi="Times New Roman"/>
                <w:b/>
                <w:bCs/>
              </w:rPr>
              <w:t>Počet zamestnancov</w:t>
            </w:r>
          </w:p>
        </w:tc>
        <w:tc>
          <w:tcPr>
            <w:tcW w:w="169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241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142942">
            <w:pPr>
              <w:bidi w:val="0"/>
              <w:ind w:left="244" w:hanging="244"/>
              <w:rPr>
                <w:rFonts w:ascii="Times New Roman" w:hAnsi="Times New Roman"/>
              </w:rPr>
            </w:pPr>
            <w:r w:rsidRPr="00FF0FC2">
              <w:rPr>
                <w:rFonts w:ascii="Times New Roman" w:hAnsi="Times New Roman"/>
              </w:rPr>
              <w:t xml:space="preserve"> - štátna služba (príslušníci Policajného zboru, štátna služba, hasiči)</w:t>
            </w:r>
          </w:p>
        </w:tc>
        <w:tc>
          <w:tcPr>
            <w:tcW w:w="169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241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zamestnanci pri výkone práce vo verejnom záujme</w:t>
            </w:r>
          </w:p>
        </w:tc>
        <w:tc>
          <w:tcPr>
            <w:tcW w:w="169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241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iné skupiny zamestnancov (špecifikovať)</w:t>
            </w:r>
          </w:p>
        </w:tc>
        <w:tc>
          <w:tcPr>
            <w:tcW w:w="169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241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b/>
                <w:bCs/>
              </w:rPr>
            </w:pPr>
            <w:r w:rsidRPr="00FF0FC2">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241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štátna služba</w:t>
            </w:r>
          </w:p>
        </w:tc>
        <w:tc>
          <w:tcPr>
            <w:tcW w:w="169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241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zamestnanci vo verejnom záujme</w:t>
            </w:r>
          </w:p>
        </w:tc>
        <w:tc>
          <w:tcPr>
            <w:tcW w:w="169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241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iné skupiny zamestnancov (špecifikovať)</w:t>
            </w:r>
          </w:p>
        </w:tc>
        <w:tc>
          <w:tcPr>
            <w:tcW w:w="169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2418"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r w:rsidRPr="00FF0FC2">
              <w:rPr>
                <w:rFonts w:ascii="Times New Roman" w:hAnsi="Times New Roman"/>
              </w:rPr>
              <w:t> </w:t>
            </w: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476E5B" w:rsidRPr="00FF0FC2" w:rsidP="00E62BFE">
            <w:pPr>
              <w:bidi w:val="0"/>
              <w:rPr>
                <w:rFonts w:ascii="Times New Roman" w:hAnsi="Times New Roman"/>
                <w:b/>
                <w:bCs/>
                <w:color w:val="FFFFFF"/>
              </w:rPr>
            </w:pPr>
            <w:r w:rsidRPr="00FF0FC2">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476E5B" w:rsidRPr="00FF0FC2" w:rsidP="00E62BFE">
            <w:pPr>
              <w:bidi w:val="0"/>
              <w:jc w:val="center"/>
              <w:rPr>
                <w:rFonts w:ascii="Times New Roman" w:hAnsi="Times New Roman"/>
                <w:b/>
                <w:bCs/>
                <w:color w:val="FFFFFF"/>
              </w:rPr>
            </w:pPr>
          </w:p>
        </w:tc>
        <w:tc>
          <w:tcPr>
            <w:tcW w:w="1788" w:type="dxa"/>
            <w:tcBorders>
              <w:top w:val="nil"/>
              <w:left w:val="nil"/>
              <w:bottom w:val="single" w:sz="4" w:space="0" w:color="auto"/>
              <w:right w:val="single" w:sz="4" w:space="0" w:color="auto"/>
            </w:tcBorders>
            <w:shd w:val="clear" w:color="auto" w:fill="000000"/>
            <w:textDirection w:val="lrTb"/>
            <w:vAlign w:val="top"/>
          </w:tcPr>
          <w:p w:rsidR="00476E5B" w:rsidRPr="00FF0FC2" w:rsidP="00E62BFE">
            <w:pPr>
              <w:bidi w:val="0"/>
              <w:jc w:val="center"/>
              <w:rPr>
                <w:rFonts w:ascii="Times New Roman" w:hAnsi="Times New Roman"/>
                <w:b/>
                <w:bCs/>
                <w:color w:val="FFFFFF"/>
              </w:rPr>
            </w:pPr>
          </w:p>
        </w:tc>
        <w:tc>
          <w:tcPr>
            <w:tcW w:w="2418" w:type="dxa"/>
            <w:tcBorders>
              <w:top w:val="nil"/>
              <w:left w:val="nil"/>
              <w:bottom w:val="single" w:sz="4" w:space="0" w:color="auto"/>
              <w:right w:val="single" w:sz="4" w:space="0" w:color="auto"/>
            </w:tcBorders>
            <w:shd w:val="clear" w:color="auto" w:fill="000000"/>
            <w:textDirection w:val="lrTb"/>
            <w:vAlign w:val="top"/>
          </w:tcPr>
          <w:p w:rsidR="00476E5B" w:rsidRPr="00FF0FC2" w:rsidP="00E62BFE">
            <w:pPr>
              <w:bidi w:val="0"/>
              <w:jc w:val="center"/>
              <w:rPr>
                <w:rFonts w:ascii="Times New Roman" w:hAnsi="Times New Roman"/>
                <w:b/>
                <w:bCs/>
                <w:color w:val="FFFFFF"/>
              </w:rPr>
            </w:pPr>
          </w:p>
        </w:tc>
        <w:tc>
          <w:tcPr>
            <w:tcW w:w="1722" w:type="dxa"/>
            <w:tcBorders>
              <w:top w:val="nil"/>
              <w:left w:val="nil"/>
              <w:bottom w:val="single" w:sz="4" w:space="0" w:color="auto"/>
              <w:right w:val="single" w:sz="4" w:space="0" w:color="auto"/>
            </w:tcBorders>
            <w:shd w:val="clear" w:color="auto" w:fill="000000"/>
            <w:textDirection w:val="lrTb"/>
            <w:vAlign w:val="top"/>
          </w:tcPr>
          <w:p w:rsidR="00476E5B" w:rsidRPr="00FF0FC2" w:rsidP="00E62BFE">
            <w:pPr>
              <w:bidi w:val="0"/>
              <w:jc w:val="center"/>
              <w:rPr>
                <w:rFonts w:ascii="Times New Roman" w:hAnsi="Times New Roman"/>
                <w:b/>
                <w:bCs/>
                <w:color w:val="FFFFFF"/>
              </w:rPr>
            </w:pPr>
          </w:p>
        </w:tc>
        <w:tc>
          <w:tcPr>
            <w:tcW w:w="1620" w:type="dxa"/>
            <w:tcBorders>
              <w:top w:val="nil"/>
              <w:left w:val="nil"/>
              <w:bottom w:val="single" w:sz="4" w:space="0" w:color="auto"/>
              <w:right w:val="single" w:sz="4" w:space="0" w:color="auto"/>
            </w:tcBorders>
            <w:shd w:val="clear" w:color="auto" w:fill="000000"/>
            <w:noWrap/>
            <w:textDirection w:val="lrTb"/>
            <w:vAlign w:val="bottom"/>
          </w:tcPr>
          <w:p w:rsidR="00476E5B" w:rsidRPr="00FF0FC2" w:rsidP="00E62BFE">
            <w:pPr>
              <w:bidi w:val="0"/>
              <w:rPr>
                <w:rFonts w:ascii="Times New Roman" w:hAnsi="Times New Roman"/>
                <w:b/>
                <w:bCs/>
                <w:color w:val="FFFFFF"/>
              </w:rPr>
            </w:pPr>
            <w:r w:rsidRPr="00FF0FC2">
              <w:rPr>
                <w:rFonts w:ascii="Times New Roman" w:hAnsi="Times New Roman"/>
                <w:b/>
                <w:bCs/>
                <w:color w:val="FFFFFF"/>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b/>
                <w:bCs/>
              </w:rPr>
            </w:pPr>
            <w:r w:rsidRPr="00FF0FC2">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241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b/>
                <w:bCs/>
              </w:rPr>
            </w:pPr>
            <w:r w:rsidRPr="00FF0FC2">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štátna služba</w:t>
            </w:r>
          </w:p>
        </w:tc>
        <w:tc>
          <w:tcPr>
            <w:tcW w:w="169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zamestnanci vo verejnom záujme</w:t>
            </w:r>
          </w:p>
        </w:tc>
        <w:tc>
          <w:tcPr>
            <w:tcW w:w="169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iné skupiny zamestnancov (špecifikovať)</w:t>
            </w:r>
          </w:p>
        </w:tc>
        <w:tc>
          <w:tcPr>
            <w:tcW w:w="169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b/>
                <w:bCs/>
              </w:rPr>
            </w:pPr>
            <w:r w:rsidRPr="00FF0FC2">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241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b/>
                <w:bCs/>
              </w:rPr>
            </w:pPr>
            <w:r w:rsidRPr="00FF0FC2">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štátna služba</w:t>
            </w:r>
          </w:p>
        </w:tc>
        <w:tc>
          <w:tcPr>
            <w:tcW w:w="169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zamestnanci vo verejnom záujme</w:t>
            </w:r>
          </w:p>
        </w:tc>
        <w:tc>
          <w:tcPr>
            <w:tcW w:w="169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76E5B" w:rsidRPr="00FF0FC2" w:rsidP="00E62BFE">
            <w:pPr>
              <w:bidi w:val="0"/>
              <w:rPr>
                <w:rFonts w:ascii="Times New Roman" w:hAnsi="Times New Roman"/>
              </w:rPr>
            </w:pPr>
            <w:r w:rsidRPr="00FF0FC2">
              <w:rPr>
                <w:rFonts w:ascii="Times New Roman" w:hAnsi="Times New Roman"/>
              </w:rPr>
              <w:t xml:space="preserve"> - iné skupiny zamestnancov (špecifikovať)</w:t>
            </w:r>
          </w:p>
        </w:tc>
        <w:tc>
          <w:tcPr>
            <w:tcW w:w="169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476E5B" w:rsidRPr="00FF0FC2" w:rsidP="00E62BFE">
            <w:pPr>
              <w:bidi w:val="0"/>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tcPr>
          <w:p w:rsidR="00476E5B" w:rsidRPr="00FF0FC2" w:rsidP="00E62BFE">
            <w:pPr>
              <w:bidi w:val="0"/>
              <w:rPr>
                <w:rFonts w:ascii="Times New Roman" w:hAnsi="Times New Roman"/>
              </w:rPr>
            </w:pPr>
            <w:r w:rsidRPr="00FF0FC2">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c>
          <w:tcPr>
            <w:tcW w:w="2418"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c>
          <w:tcPr>
            <w:tcW w:w="1620"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tcPr>
          <w:p w:rsidR="00476E5B" w:rsidRPr="00FF0FC2" w:rsidP="00E62BFE">
            <w:pPr>
              <w:bidi w:val="0"/>
              <w:rPr>
                <w:rFonts w:ascii="Times New Roman" w:hAnsi="Times New Roman"/>
                <w:b/>
                <w:bCs/>
              </w:rPr>
            </w:pPr>
            <w:r w:rsidRPr="00FF0FC2">
              <w:rPr>
                <w:rFonts w:ascii="Times New Roman" w:hAnsi="Times New Roman"/>
                <w:b/>
                <w:bCs/>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c>
          <w:tcPr>
            <w:tcW w:w="2418"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c>
          <w:tcPr>
            <w:tcW w:w="1620"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5"/>
            <w:tcBorders>
              <w:top w:val="none" w:sz="0" w:space="0" w:color="auto"/>
              <w:left w:val="none" w:sz="0" w:space="0" w:color="auto"/>
              <w:bottom w:val="none" w:sz="0" w:space="0" w:color="auto"/>
              <w:right w:val="none" w:sz="0" w:space="0" w:color="auto"/>
            </w:tcBorders>
            <w:noWrap/>
            <w:textDirection w:val="lrTb"/>
            <w:vAlign w:val="top"/>
          </w:tcPr>
          <w:p w:rsidR="00476E5B" w:rsidRPr="00FF0FC2" w:rsidP="00E62BFE">
            <w:pPr>
              <w:bidi w:val="0"/>
              <w:rPr>
                <w:rFonts w:ascii="Times New Roman" w:hAnsi="Times New Roman"/>
              </w:rPr>
            </w:pPr>
            <w:r w:rsidRPr="00FF0FC2">
              <w:rPr>
                <w:rFonts w:ascii="Times New Roman" w:hAnsi="Times New Roman"/>
              </w:rPr>
              <w:t>Priemerný mzdový výdavok je tvorený podielom mzdových výdavkov na jedného zamestnanca na jeden kalendárny mesiac bežného roka.</w:t>
            </w:r>
          </w:p>
        </w:tc>
        <w:tc>
          <w:tcPr>
            <w:tcW w:w="1620" w:type="dxa"/>
            <w:tcBorders>
              <w:top w:val="none" w:sz="0" w:space="0" w:color="auto"/>
              <w:left w:val="none" w:sz="0" w:space="0" w:color="auto"/>
              <w:bottom w:val="none" w:sz="0" w:space="0" w:color="auto"/>
              <w:right w:val="none" w:sz="0" w:space="0" w:color="auto"/>
            </w:tcBorders>
            <w:noWrap/>
            <w:textDirection w:val="lrTb"/>
            <w:vAlign w:val="bottom"/>
          </w:tcPr>
          <w:p w:rsidR="00476E5B" w:rsidRPr="00FF0FC2" w:rsidP="00E62BFE">
            <w:pPr>
              <w:bidi w:val="0"/>
              <w:rPr>
                <w:rFonts w:ascii="Times New Roman" w:hAnsi="Times New Roman"/>
              </w:rPr>
            </w:pPr>
          </w:p>
        </w:tc>
      </w:tr>
      <w:tr>
        <w:tblPrEx>
          <w:tblW w:w="15434" w:type="dxa"/>
          <w:tblInd w:w="-784" w:type="dxa"/>
          <w:tblCellMar>
            <w:left w:w="70" w:type="dxa"/>
            <w:right w:w="70" w:type="dxa"/>
          </w:tblCellMar>
        </w:tblPrEx>
        <w:trPr>
          <w:trHeight w:val="255"/>
        </w:trPr>
        <w:tc>
          <w:tcPr>
            <w:tcW w:w="15434" w:type="dxa"/>
            <w:gridSpan w:val="6"/>
            <w:tcBorders>
              <w:top w:val="none" w:sz="0" w:space="0" w:color="auto"/>
              <w:left w:val="none" w:sz="0" w:space="0" w:color="auto"/>
              <w:bottom w:val="none" w:sz="0" w:space="0" w:color="auto"/>
              <w:right w:val="none" w:sz="0" w:space="0" w:color="auto"/>
            </w:tcBorders>
            <w:noWrap/>
            <w:textDirection w:val="lrTb"/>
            <w:vAlign w:val="bottom"/>
          </w:tcPr>
          <w:p w:rsidR="00476E5B" w:rsidP="00E62BFE">
            <w:pPr>
              <w:bidi w:val="0"/>
              <w:rPr>
                <w:rFonts w:ascii="Times New Roman" w:hAnsi="Times New Roman"/>
              </w:rPr>
            </w:pPr>
            <w:r w:rsidRPr="00FF0FC2">
              <w:rPr>
                <w:rFonts w:ascii="Times New Roman" w:hAnsi="Times New Roman"/>
              </w:rPr>
              <w:t>Poistné tvorí podiel mzdových výdavkov, pričom za organizácie v pôsobnosti kapitol štátneho rozpočtu štátna služba a odmeňovanie zamestnancov pri výkone                                 práce vo verejnom záujme predstavuje  34,95 %,  pre príslušníkov Policajného zboru, profesionálnych vojakov, colníkov, hasičov vrátane Horskej záchrannej služby predstavuje 33,2 %.  Pre ostatné subjekty verejnej správy poistné tvorí podiel zodpovedajúci  35,2 %.</w:t>
            </w:r>
          </w:p>
          <w:p w:rsidR="00A41B99" w:rsidRPr="00FF0FC2" w:rsidP="00E62BFE">
            <w:pPr>
              <w:bidi w:val="0"/>
              <w:rPr>
                <w:rFonts w:ascii="Times New Roman" w:hAnsi="Times New Roman"/>
              </w:rPr>
            </w:pPr>
            <w:r w:rsidRPr="00FF0FC2">
              <w:rPr>
                <w:rFonts w:ascii="Times New Roman" w:hAnsi="Times New Roman"/>
              </w:rPr>
              <w:t>Kategórie 610 a 620 sú z tejto prílohy automaticky prenášané do príslušných kategórií prílohy „výdavky“.</w:t>
            </w:r>
          </w:p>
        </w:tc>
      </w:tr>
    </w:tbl>
    <w:p w:rsidR="00A41B99" w:rsidP="00A41B99">
      <w:pPr>
        <w:bidi w:val="0"/>
        <w:rPr>
          <w:rFonts w:ascii="Times New Roman" w:hAnsi="Times New Roman"/>
        </w:rPr>
        <w:sectPr w:rsidSect="00A41B99">
          <w:pgSz w:w="16838" w:h="11906" w:orient="landscape"/>
          <w:pgMar w:top="1418" w:right="1418" w:bottom="993" w:left="1418" w:header="709" w:footer="709" w:gutter="0"/>
          <w:lnNumType w:distance="0"/>
          <w:cols w:space="708"/>
          <w:noEndnote w:val="0"/>
          <w:titlePg/>
          <w:bidi w:val="0"/>
        </w:sectPr>
      </w:pPr>
    </w:p>
    <w:p w:rsidR="00A41B99" w:rsidP="00A41B99">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A41B99" w:rsidP="00A41B99">
      <w:pPr>
        <w:bidi w:val="0"/>
        <w:rPr>
          <w:rFonts w:ascii="Times New Roman" w:hAnsi="Times New Roman"/>
          <w:b/>
          <w:bCs/>
        </w:rPr>
      </w:pPr>
    </w:p>
    <w:tbl>
      <w:tblPr>
        <w:tblStyle w:val="TableNormal"/>
        <w:tblW w:w="9470" w:type="dxa"/>
        <w:jc w:val="center"/>
        <w:tblCellMar>
          <w:left w:w="70" w:type="dxa"/>
          <w:right w:w="70" w:type="dxa"/>
        </w:tblCellMar>
      </w:tblPr>
      <w:tblGrid>
        <w:gridCol w:w="4650"/>
        <w:gridCol w:w="4820"/>
      </w:tblGrid>
      <w:tr>
        <w:tblPrEx>
          <w:tblW w:w="9470" w:type="dxa"/>
          <w:jc w:val="center"/>
          <w:tblCellMar>
            <w:left w:w="70" w:type="dxa"/>
            <w:right w:w="70" w:type="dxa"/>
          </w:tblCellMar>
        </w:tblPrEx>
        <w:trPr>
          <w:trHeight w:val="660"/>
          <w:jc w:val="center"/>
        </w:trPr>
        <w:tc>
          <w:tcPr>
            <w:tcW w:w="9470"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A41B99" w:rsidRPr="00C74C01" w:rsidP="00D40FAD">
            <w:pPr>
              <w:bidi w:val="0"/>
              <w:jc w:val="center"/>
              <w:rPr>
                <w:rFonts w:ascii="Times New Roman" w:hAnsi="Times New Roman"/>
                <w:b/>
                <w:bCs/>
                <w:color w:val="FFFFFF"/>
              </w:rPr>
            </w:pPr>
            <w:r w:rsidRPr="00C74C01">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470" w:type="dxa"/>
          <w:jc w:val="center"/>
          <w:tblCellMar>
            <w:left w:w="70" w:type="dxa"/>
            <w:right w:w="70" w:type="dxa"/>
          </w:tblCellMar>
        </w:tblPrEx>
        <w:trPr>
          <w:trHeight w:val="819"/>
          <w:jc w:val="center"/>
        </w:trPr>
        <w:tc>
          <w:tcPr>
            <w:tcW w:w="4650" w:type="dxa"/>
            <w:tcBorders>
              <w:top w:val="single" w:sz="4" w:space="0" w:color="auto"/>
              <w:left w:val="single" w:sz="4" w:space="0" w:color="auto"/>
              <w:bottom w:val="single" w:sz="4" w:space="0" w:color="auto"/>
              <w:right w:val="single" w:sz="4" w:space="0" w:color="auto"/>
            </w:tcBorders>
            <w:textDirection w:val="lrTb"/>
            <w:vAlign w:val="top"/>
          </w:tcPr>
          <w:p w:rsidR="00A41B99" w:rsidRPr="00C74C01" w:rsidP="00D40FAD">
            <w:pPr>
              <w:bidi w:val="0"/>
              <w:rPr>
                <w:rFonts w:ascii="Times New Roman" w:hAnsi="Times New Roman"/>
              </w:rPr>
            </w:pPr>
            <w:r w:rsidRPr="00C74C01">
              <w:rPr>
                <w:rFonts w:ascii="Times New Roman" w:hAnsi="Times New Roman"/>
                <w:b/>
              </w:rPr>
              <w:t>4.1.</w:t>
            </w:r>
            <w:r w:rsidRPr="00C74C01">
              <w:rPr>
                <w:rFonts w:ascii="Times New Roman" w:hAnsi="Times New Roman"/>
              </w:rPr>
              <w:t xml:space="preserve"> Identifikujte vplyv na hospodárenie   domácností a špecifikujte ovplyvnené skupiny domácností, ktoré budú pozitívne/negatívne ovplyvnené.  </w:t>
            </w:r>
          </w:p>
        </w:tc>
        <w:tc>
          <w:tcPr>
            <w:tcW w:w="4820" w:type="dxa"/>
            <w:tcBorders>
              <w:top w:val="single" w:sz="4" w:space="0" w:color="auto"/>
              <w:left w:val="nil"/>
              <w:bottom w:val="single" w:sz="4" w:space="0" w:color="auto"/>
              <w:right w:val="single" w:sz="4" w:space="0" w:color="auto"/>
            </w:tcBorders>
            <w:textDirection w:val="lrTb"/>
            <w:vAlign w:val="top"/>
          </w:tcPr>
          <w:p w:rsidR="00A41B99" w:rsidRPr="00C74C01" w:rsidP="00D40FAD">
            <w:pPr>
              <w:bidi w:val="0"/>
              <w:jc w:val="both"/>
              <w:rPr>
                <w:rFonts w:ascii="Times New Roman" w:hAnsi="Times New Roman"/>
              </w:rPr>
            </w:pPr>
            <w:r w:rsidRPr="00C74C01">
              <w:rPr>
                <w:rFonts w:ascii="Times New Roman" w:hAnsi="Times New Roman"/>
              </w:rPr>
              <w:t>Nemá vplyv.</w:t>
            </w:r>
          </w:p>
        </w:tc>
      </w:tr>
      <w:tr>
        <w:tblPrEx>
          <w:tblW w:w="9470" w:type="dxa"/>
          <w:jc w:val="center"/>
          <w:tblCellMar>
            <w:left w:w="70" w:type="dxa"/>
            <w:right w:w="70" w:type="dxa"/>
          </w:tblCellMar>
        </w:tblPrEx>
        <w:trPr>
          <w:cantSplit/>
          <w:trHeight w:val="528"/>
          <w:jc w:val="center"/>
        </w:trPr>
        <w:tc>
          <w:tcPr>
            <w:tcW w:w="4650" w:type="dxa"/>
            <w:tcBorders>
              <w:top w:val="single" w:sz="4" w:space="0" w:color="auto"/>
              <w:left w:val="single" w:sz="4" w:space="0" w:color="auto"/>
              <w:bottom w:val="nil"/>
              <w:right w:val="single" w:sz="4" w:space="0" w:color="auto"/>
            </w:tcBorders>
            <w:textDirection w:val="lrTb"/>
            <w:vAlign w:val="top"/>
          </w:tcPr>
          <w:p w:rsidR="00A41B99" w:rsidRPr="00C74C01" w:rsidP="00D40FAD">
            <w:pPr>
              <w:bidi w:val="0"/>
              <w:ind w:firstLine="480" w:firstLineChars="200"/>
              <w:rPr>
                <w:rFonts w:ascii="Times New Roman" w:hAnsi="Times New Roman"/>
              </w:rPr>
            </w:pPr>
            <w:r w:rsidRPr="00C74C01">
              <w:rPr>
                <w:rFonts w:ascii="Times New Roman" w:hAnsi="Times New Roman"/>
              </w:rPr>
              <w:t xml:space="preserve">Kvantifikujte: </w:t>
            </w:r>
          </w:p>
        </w:tc>
        <w:tc>
          <w:tcPr>
            <w:tcW w:w="4820" w:type="dxa"/>
            <w:vMerge w:val="restart"/>
            <w:tcBorders>
              <w:top w:val="none" w:sz="0" w:space="0" w:color="auto"/>
              <w:left w:val="nil"/>
              <w:bottom w:val="single" w:sz="4" w:space="0" w:color="auto"/>
              <w:right w:val="single" w:sz="4" w:space="0" w:color="auto"/>
            </w:tcBorders>
            <w:textDirection w:val="lrTb"/>
            <w:vAlign w:val="top"/>
          </w:tcPr>
          <w:p w:rsidR="00A41B99" w:rsidRPr="00C74C01" w:rsidP="00D40FAD">
            <w:pPr>
              <w:bidi w:val="0"/>
              <w:jc w:val="both"/>
              <w:rPr>
                <w:rFonts w:ascii="Times New Roman" w:hAnsi="Times New Roman"/>
              </w:rPr>
            </w:pPr>
            <w:r w:rsidRPr="00C74C01">
              <w:rPr>
                <w:rFonts w:ascii="Times New Roman" w:hAnsi="Times New Roman"/>
              </w:rPr>
              <w:t>Nemá vplyv.</w:t>
            </w:r>
          </w:p>
        </w:tc>
      </w:tr>
      <w:tr>
        <w:tblPrEx>
          <w:tblW w:w="9470" w:type="dxa"/>
          <w:jc w:val="center"/>
          <w:tblCellMar>
            <w:left w:w="70" w:type="dxa"/>
            <w:right w:w="70" w:type="dxa"/>
          </w:tblCellMar>
        </w:tblPrEx>
        <w:trPr>
          <w:cantSplit/>
          <w:trHeight w:val="549"/>
          <w:jc w:val="center"/>
        </w:trPr>
        <w:tc>
          <w:tcPr>
            <w:tcW w:w="4650" w:type="dxa"/>
            <w:tcBorders>
              <w:top w:val="nil"/>
              <w:left w:val="single" w:sz="4" w:space="0" w:color="auto"/>
              <w:bottom w:val="nil"/>
              <w:right w:val="single" w:sz="4" w:space="0" w:color="auto"/>
            </w:tcBorders>
            <w:textDirection w:val="lrTb"/>
            <w:vAlign w:val="top"/>
          </w:tcPr>
          <w:p w:rsidR="00A41B99" w:rsidRPr="00C74C01" w:rsidP="00D40FAD">
            <w:pPr>
              <w:bidi w:val="0"/>
              <w:ind w:firstLine="720" w:firstLineChars="300"/>
              <w:rPr>
                <w:rFonts w:ascii="Times New Roman" w:hAnsi="Times New Roman"/>
              </w:rPr>
            </w:pPr>
            <w:r w:rsidRPr="00C74C01">
              <w:rPr>
                <w:rFonts w:ascii="Times New Roman" w:hAnsi="Times New Roman"/>
              </w:rPr>
              <w:t>- Rast alebo pokles príjmov/výdavkov            na priemerného obyvateľa</w:t>
            </w:r>
          </w:p>
        </w:tc>
        <w:tc>
          <w:tcPr>
            <w:tcW w:w="4820" w:type="dxa"/>
            <w:vMerge/>
            <w:tcBorders>
              <w:top w:val="nil"/>
              <w:left w:val="nil"/>
              <w:bottom w:val="single" w:sz="4" w:space="0" w:color="auto"/>
              <w:right w:val="single" w:sz="4" w:space="0" w:color="auto"/>
            </w:tcBorders>
            <w:textDirection w:val="lrTb"/>
            <w:vAlign w:val="center"/>
          </w:tcPr>
          <w:p w:rsidR="00A41B99" w:rsidRPr="00C74C01" w:rsidP="00D40FAD">
            <w:pPr>
              <w:bidi w:val="0"/>
              <w:rPr>
                <w:rFonts w:ascii="Times New Roman" w:hAnsi="Times New Roman"/>
              </w:rPr>
            </w:pPr>
          </w:p>
        </w:tc>
      </w:tr>
      <w:tr>
        <w:tblPrEx>
          <w:tblW w:w="9470" w:type="dxa"/>
          <w:jc w:val="center"/>
          <w:tblCellMar>
            <w:left w:w="70" w:type="dxa"/>
            <w:right w:w="70" w:type="dxa"/>
          </w:tblCellMar>
        </w:tblPrEx>
        <w:trPr>
          <w:cantSplit/>
          <w:trHeight w:val="870"/>
          <w:jc w:val="center"/>
        </w:trPr>
        <w:tc>
          <w:tcPr>
            <w:tcW w:w="4650" w:type="dxa"/>
            <w:tcBorders>
              <w:top w:val="nil"/>
              <w:left w:val="single" w:sz="4" w:space="0" w:color="auto"/>
              <w:bottom w:val="nil"/>
              <w:right w:val="single" w:sz="4" w:space="0" w:color="auto"/>
            </w:tcBorders>
            <w:textDirection w:val="lrTb"/>
            <w:vAlign w:val="top"/>
          </w:tcPr>
          <w:p w:rsidR="00A41B99" w:rsidRPr="00C74C01" w:rsidP="00D40FAD">
            <w:pPr>
              <w:bidi w:val="0"/>
              <w:ind w:firstLine="720" w:firstLineChars="300"/>
              <w:rPr>
                <w:rFonts w:ascii="Times New Roman" w:hAnsi="Times New Roman"/>
              </w:rPr>
            </w:pPr>
            <w:r w:rsidRPr="00C74C01">
              <w:rPr>
                <w:rFonts w:ascii="Times New Roman" w:hAnsi="Times New Roman"/>
              </w:rPr>
              <w:t>- Rast alebo pokles príjmov/výdavkov                  za jednotlivé ovplyvnené  skupiny domácností</w:t>
            </w:r>
          </w:p>
          <w:p w:rsidR="00A41B99" w:rsidRPr="00C74C01" w:rsidP="00D40FAD">
            <w:pPr>
              <w:bidi w:val="0"/>
              <w:ind w:firstLine="720" w:firstLineChars="300"/>
              <w:rPr>
                <w:rFonts w:ascii="Times New Roman" w:hAnsi="Times New Roman"/>
              </w:rPr>
            </w:pPr>
            <w:r w:rsidRPr="00C74C01">
              <w:rPr>
                <w:rFonts w:ascii="Times New Roman" w:hAnsi="Times New Roman"/>
              </w:rPr>
              <w:t>- Celkový počet obyvateľstva/domácností ovplyvnených predkladaným materiálom</w:t>
            </w:r>
          </w:p>
        </w:tc>
        <w:tc>
          <w:tcPr>
            <w:tcW w:w="4820" w:type="dxa"/>
            <w:vMerge/>
            <w:tcBorders>
              <w:top w:val="nil"/>
              <w:left w:val="nil"/>
              <w:bottom w:val="single" w:sz="4" w:space="0" w:color="auto"/>
              <w:right w:val="single" w:sz="4" w:space="0" w:color="auto"/>
            </w:tcBorders>
            <w:textDirection w:val="lrTb"/>
            <w:vAlign w:val="center"/>
          </w:tcPr>
          <w:p w:rsidR="00A41B99" w:rsidRPr="00C74C01" w:rsidP="00D40FAD">
            <w:pPr>
              <w:bidi w:val="0"/>
              <w:rPr>
                <w:rFonts w:ascii="Times New Roman" w:hAnsi="Times New Roman"/>
              </w:rPr>
            </w:pPr>
          </w:p>
        </w:tc>
      </w:tr>
      <w:tr>
        <w:tblPrEx>
          <w:tblW w:w="9470" w:type="dxa"/>
          <w:jc w:val="center"/>
          <w:tblCellMar>
            <w:left w:w="70" w:type="dxa"/>
            <w:right w:w="70" w:type="dxa"/>
          </w:tblCellMar>
        </w:tblPrEx>
        <w:trPr>
          <w:cantSplit/>
          <w:trHeight w:val="128"/>
          <w:jc w:val="center"/>
        </w:trPr>
        <w:tc>
          <w:tcPr>
            <w:tcW w:w="4650" w:type="dxa"/>
            <w:tcBorders>
              <w:top w:val="nil"/>
              <w:left w:val="single" w:sz="4" w:space="0" w:color="auto"/>
              <w:bottom w:val="nil"/>
              <w:right w:val="single" w:sz="4" w:space="0" w:color="auto"/>
            </w:tcBorders>
            <w:textDirection w:val="lrTb"/>
            <w:vAlign w:val="top"/>
          </w:tcPr>
          <w:p w:rsidR="00A41B99" w:rsidRPr="00C74C01" w:rsidP="00D40FAD">
            <w:pPr>
              <w:bidi w:val="0"/>
              <w:rPr>
                <w:rFonts w:ascii="Times New Roman" w:hAnsi="Times New Roman"/>
              </w:rPr>
            </w:pPr>
          </w:p>
        </w:tc>
        <w:tc>
          <w:tcPr>
            <w:tcW w:w="4820" w:type="dxa"/>
            <w:vMerge/>
            <w:tcBorders>
              <w:top w:val="nil"/>
              <w:left w:val="nil"/>
              <w:bottom w:val="single" w:sz="4" w:space="0" w:color="auto"/>
              <w:right w:val="single" w:sz="4" w:space="0" w:color="auto"/>
            </w:tcBorders>
            <w:textDirection w:val="lrTb"/>
            <w:vAlign w:val="center"/>
          </w:tcPr>
          <w:p w:rsidR="00A41B99" w:rsidRPr="00C74C01" w:rsidP="00D40FAD">
            <w:pPr>
              <w:bidi w:val="0"/>
              <w:rPr>
                <w:rFonts w:ascii="Times New Roman" w:hAnsi="Times New Roman"/>
              </w:rPr>
            </w:pPr>
          </w:p>
        </w:tc>
      </w:tr>
      <w:tr>
        <w:tblPrEx>
          <w:tblW w:w="9470" w:type="dxa"/>
          <w:jc w:val="center"/>
          <w:tblCellMar>
            <w:left w:w="70" w:type="dxa"/>
            <w:right w:w="70" w:type="dxa"/>
          </w:tblCellMar>
        </w:tblPrEx>
        <w:trPr>
          <w:trHeight w:val="1149"/>
          <w:jc w:val="center"/>
        </w:trPr>
        <w:tc>
          <w:tcPr>
            <w:tcW w:w="4650" w:type="dxa"/>
            <w:tcBorders>
              <w:top w:val="single" w:sz="4" w:space="0" w:color="auto"/>
              <w:left w:val="single" w:sz="4" w:space="0" w:color="auto"/>
              <w:bottom w:val="single" w:sz="4" w:space="0" w:color="auto"/>
              <w:right w:val="single" w:sz="4" w:space="0" w:color="auto"/>
            </w:tcBorders>
            <w:textDirection w:val="lrTb"/>
            <w:vAlign w:val="top"/>
          </w:tcPr>
          <w:p w:rsidR="00A41B99" w:rsidRPr="00C74C01" w:rsidP="00D40FAD">
            <w:pPr>
              <w:bidi w:val="0"/>
              <w:rPr>
                <w:rFonts w:ascii="Times New Roman" w:hAnsi="Times New Roman"/>
              </w:rPr>
            </w:pPr>
            <w:r w:rsidRPr="00C74C01">
              <w:rPr>
                <w:rFonts w:ascii="Times New Roman" w:hAnsi="Times New Roman"/>
                <w:b/>
              </w:rPr>
              <w:t>4.2.</w:t>
            </w:r>
            <w:r w:rsidRPr="00C74C01">
              <w:rPr>
                <w:rFonts w:ascii="Times New Roman" w:hAnsi="Times New Roman"/>
              </w:rPr>
              <w:t xml:space="preserve"> Zhodnoťte kvalitatívne (prípadne kvantitatívne) vplyvy na prístup k zdrojom, právam, tovarom a službám u jednotlivých ovplyvnených skupín obyvateľstva.</w:t>
            </w:r>
          </w:p>
        </w:tc>
        <w:tc>
          <w:tcPr>
            <w:tcW w:w="4820" w:type="dxa"/>
            <w:tcBorders>
              <w:top w:val="nil"/>
              <w:left w:val="nil"/>
              <w:bottom w:val="single" w:sz="4" w:space="0" w:color="auto"/>
              <w:right w:val="single" w:sz="4" w:space="0" w:color="auto"/>
            </w:tcBorders>
            <w:textDirection w:val="lrTb"/>
            <w:vAlign w:val="top"/>
          </w:tcPr>
          <w:p w:rsidR="00A41B99" w:rsidRPr="00C74C01" w:rsidP="00D40FAD">
            <w:pPr>
              <w:bidi w:val="0"/>
              <w:jc w:val="both"/>
              <w:rPr>
                <w:rFonts w:ascii="Times New Roman" w:hAnsi="Times New Roman"/>
              </w:rPr>
            </w:pPr>
            <w:r w:rsidRPr="00C74C01">
              <w:rPr>
                <w:rFonts w:ascii="Times New Roman" w:hAnsi="Times New Roman"/>
              </w:rPr>
              <w:t>Žiadny vplyv.</w:t>
            </w:r>
            <w:r w:rsidRPr="00C74C01">
              <w:rPr>
                <w:rFonts w:ascii="Times New Roman" w:hAnsi="Times New Roman"/>
                <w:bCs/>
                <w:color w:val="000000"/>
              </w:rPr>
              <w:t xml:space="preserve"> </w:t>
            </w:r>
          </w:p>
        </w:tc>
      </w:tr>
      <w:tr>
        <w:tblPrEx>
          <w:tblW w:w="9470" w:type="dxa"/>
          <w:jc w:val="center"/>
          <w:tblCellMar>
            <w:left w:w="70" w:type="dxa"/>
            <w:right w:w="70" w:type="dxa"/>
          </w:tblCellMar>
        </w:tblPrEx>
        <w:trPr>
          <w:trHeight w:val="660"/>
          <w:jc w:val="center"/>
        </w:trPr>
        <w:tc>
          <w:tcPr>
            <w:tcW w:w="4650" w:type="dxa"/>
            <w:tcBorders>
              <w:top w:val="single" w:sz="4" w:space="0" w:color="auto"/>
              <w:left w:val="single" w:sz="4" w:space="0" w:color="auto"/>
              <w:bottom w:val="single" w:sz="4" w:space="0" w:color="auto"/>
              <w:right w:val="single" w:sz="4" w:space="0" w:color="auto"/>
            </w:tcBorders>
            <w:textDirection w:val="lrTb"/>
            <w:vAlign w:val="top"/>
          </w:tcPr>
          <w:p w:rsidR="00A41B99" w:rsidRPr="00C74C01" w:rsidP="00D40FAD">
            <w:pPr>
              <w:bidi w:val="0"/>
              <w:rPr>
                <w:rFonts w:ascii="Times New Roman" w:hAnsi="Times New Roman"/>
              </w:rPr>
            </w:pPr>
            <w:r w:rsidRPr="00C74C01">
              <w:rPr>
                <w:rFonts w:ascii="Times New Roman" w:hAnsi="Times New Roman"/>
                <w:b/>
              </w:rPr>
              <w:t>4.3.</w:t>
            </w:r>
            <w:r w:rsidRPr="00C74C01">
              <w:rPr>
                <w:rFonts w:ascii="Times New Roman" w:hAnsi="Times New Roman"/>
              </w:rPr>
              <w:t xml:space="preserve">  Zhodnoťte vplyv na rovnosť príležitostí:</w:t>
            </w:r>
          </w:p>
          <w:p w:rsidR="00A41B99" w:rsidRPr="00C74C01" w:rsidP="00D40FAD">
            <w:pPr>
              <w:bidi w:val="0"/>
              <w:rPr>
                <w:rFonts w:ascii="Times New Roman" w:hAnsi="Times New Roman"/>
              </w:rPr>
            </w:pPr>
            <w:r w:rsidRPr="00C74C01">
              <w:rPr>
                <w:rFonts w:ascii="Times New Roman" w:hAnsi="Times New Roman"/>
              </w:rPr>
              <w:t>Zhodnoťte vplyv na rodovú rovnosť.</w:t>
            </w:r>
          </w:p>
          <w:p w:rsidR="00A41B99" w:rsidRPr="00C74C01" w:rsidP="00D40FAD">
            <w:pPr>
              <w:bidi w:val="0"/>
              <w:rPr>
                <w:rFonts w:ascii="Times New Roman" w:hAnsi="Times New Roman"/>
              </w:rPr>
            </w:pPr>
          </w:p>
        </w:tc>
        <w:tc>
          <w:tcPr>
            <w:tcW w:w="4820" w:type="dxa"/>
            <w:tcBorders>
              <w:top w:val="nil"/>
              <w:left w:val="nil"/>
              <w:bottom w:val="single" w:sz="4" w:space="0" w:color="auto"/>
              <w:right w:val="single" w:sz="4" w:space="0" w:color="auto"/>
            </w:tcBorders>
            <w:textDirection w:val="lrTb"/>
            <w:vAlign w:val="top"/>
          </w:tcPr>
          <w:p w:rsidR="00A41B99" w:rsidRPr="00C74C01" w:rsidP="00D40FAD">
            <w:pPr>
              <w:bidi w:val="0"/>
              <w:jc w:val="both"/>
              <w:rPr>
                <w:rFonts w:ascii="Times New Roman" w:hAnsi="Times New Roman"/>
              </w:rPr>
            </w:pPr>
            <w:r w:rsidRPr="00C74C01">
              <w:rPr>
                <w:rFonts w:ascii="Times New Roman" w:hAnsi="Times New Roman"/>
              </w:rPr>
              <w:t>Žiadny vplyv na rodovú rovnosť.</w:t>
            </w:r>
          </w:p>
          <w:p w:rsidR="00A41B99" w:rsidRPr="00C74C01" w:rsidP="00D40FAD">
            <w:pPr>
              <w:bidi w:val="0"/>
              <w:jc w:val="both"/>
              <w:rPr>
                <w:rFonts w:ascii="Times New Roman" w:hAnsi="Times New Roman"/>
              </w:rPr>
            </w:pPr>
            <w:r w:rsidRPr="00C74C01">
              <w:rPr>
                <w:rFonts w:ascii="Times New Roman" w:hAnsi="Times New Roman"/>
              </w:rPr>
              <w:t>Pozitívny vplyv má  na rovnosť príležitostí z dôvodu, že občan Európskej únie má voľný pohyb na území Slovenskej republiky a tým sa zrovnoprávňujú občania Európskej únie s občanmi Slovenskej republiky.</w:t>
            </w:r>
          </w:p>
        </w:tc>
      </w:tr>
      <w:tr>
        <w:tblPrEx>
          <w:tblW w:w="9470" w:type="dxa"/>
          <w:jc w:val="center"/>
          <w:tblCellMar>
            <w:left w:w="70" w:type="dxa"/>
            <w:right w:w="70" w:type="dxa"/>
          </w:tblCellMar>
        </w:tblPrEx>
        <w:trPr>
          <w:trHeight w:val="1133"/>
          <w:jc w:val="center"/>
        </w:trPr>
        <w:tc>
          <w:tcPr>
            <w:tcW w:w="4650" w:type="dxa"/>
            <w:tcBorders>
              <w:top w:val="single" w:sz="4" w:space="0" w:color="auto"/>
              <w:left w:val="single" w:sz="4" w:space="0" w:color="auto"/>
              <w:bottom w:val="single" w:sz="4" w:space="0" w:color="auto"/>
              <w:right w:val="single" w:sz="4" w:space="0" w:color="auto"/>
            </w:tcBorders>
            <w:textDirection w:val="lrTb"/>
            <w:vAlign w:val="top"/>
          </w:tcPr>
          <w:p w:rsidR="00A41B99" w:rsidRPr="00C74C01" w:rsidP="00D40FAD">
            <w:pPr>
              <w:bidi w:val="0"/>
              <w:rPr>
                <w:rFonts w:ascii="Times New Roman" w:hAnsi="Times New Roman"/>
              </w:rPr>
            </w:pPr>
            <w:r w:rsidRPr="00C74C01">
              <w:rPr>
                <w:rFonts w:ascii="Times New Roman" w:hAnsi="Times New Roman"/>
                <w:b/>
              </w:rPr>
              <w:t xml:space="preserve">4.4. </w:t>
            </w:r>
            <w:r w:rsidRPr="00C74C01">
              <w:rPr>
                <w:rFonts w:ascii="Times New Roman" w:hAnsi="Times New Roman"/>
              </w:rPr>
              <w:t>Zhodnoťte vplyvy na zamestnanosť.</w:t>
            </w:r>
          </w:p>
          <w:p w:rsidR="00A41B99" w:rsidRPr="00C74C01" w:rsidP="00D40FAD">
            <w:pPr>
              <w:bidi w:val="0"/>
              <w:rPr>
                <w:rFonts w:ascii="Times New Roman" w:hAnsi="Times New Roman"/>
                <w:b/>
              </w:rPr>
            </w:pPr>
          </w:p>
          <w:p w:rsidR="00A41B99" w:rsidRPr="00C74C01" w:rsidP="00D40FAD">
            <w:pPr>
              <w:bidi w:val="0"/>
              <w:rPr>
                <w:rFonts w:ascii="Times New Roman" w:hAnsi="Times New Roman"/>
                <w:bCs/>
              </w:rPr>
            </w:pPr>
            <w:r w:rsidRPr="00C74C01">
              <w:rPr>
                <w:rFonts w:ascii="Times New Roman" w:hAnsi="Times New Roman"/>
                <w:bCs/>
              </w:rPr>
              <w:t>Aké sú  vplyvy na zamestnanosť ?</w:t>
            </w:r>
          </w:p>
          <w:p w:rsidR="00A41B99" w:rsidRPr="00C74C01" w:rsidP="00D40FAD">
            <w:pPr>
              <w:bidi w:val="0"/>
              <w:rPr>
                <w:rFonts w:ascii="Times New Roman" w:hAnsi="Times New Roman"/>
              </w:rPr>
            </w:pPr>
            <w:r w:rsidRPr="00C74C01">
              <w:rPr>
                <w:rFonts w:ascii="Times New Roman" w:hAnsi="Times New Roman"/>
                <w:bCs/>
              </w:rPr>
              <w:t>Ktoré skupiny zamestnancov budú ohrozené schválením predkladaného materiálu ?</w:t>
            </w:r>
          </w:p>
          <w:p w:rsidR="00A41B99" w:rsidRPr="00C74C01" w:rsidP="00D40FAD">
            <w:pPr>
              <w:bidi w:val="0"/>
              <w:rPr>
                <w:rFonts w:ascii="Times New Roman" w:hAnsi="Times New Roman"/>
                <w:bCs/>
              </w:rPr>
            </w:pPr>
            <w:r w:rsidRPr="00C74C01">
              <w:rPr>
                <w:rFonts w:ascii="Times New Roman" w:hAnsi="Times New Roman"/>
                <w:bCs/>
              </w:rPr>
              <w:t>Hrozí v prípade schválenia predkladaného materiálu hromadné prepúšťanie ?</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41B99" w:rsidRPr="00C74C01" w:rsidP="00D40FAD">
            <w:pPr>
              <w:bidi w:val="0"/>
              <w:jc w:val="both"/>
              <w:rPr>
                <w:rFonts w:ascii="Times New Roman" w:hAnsi="Times New Roman"/>
              </w:rPr>
            </w:pPr>
            <w:r w:rsidRPr="00C74C01">
              <w:rPr>
                <w:rFonts w:ascii="Times New Roman" w:hAnsi="Times New Roman"/>
              </w:rPr>
              <w:t xml:space="preserve">Zmena, ktorá zabezpečuje súlad so smernicou 2003/86/ES o práve na zlúčenie rodiny, umožňuje štátnemu príslušníkovi tretej krajiny, ktorý má udelený prechodný pobyt na účel zlúčenia rodiny, podnikať. </w:t>
            </w:r>
          </w:p>
          <w:p w:rsidR="00A41B99" w:rsidRPr="00C74C01" w:rsidP="00D40FAD">
            <w:pPr>
              <w:bidi w:val="0"/>
              <w:jc w:val="both"/>
              <w:rPr>
                <w:rFonts w:ascii="Times New Roman" w:hAnsi="Times New Roman"/>
              </w:rPr>
            </w:pPr>
            <w:r w:rsidRPr="00C74C01">
              <w:rPr>
                <w:rFonts w:ascii="Times New Roman" w:hAnsi="Times New Roman"/>
              </w:rPr>
              <w:t>Ďalej cudzinec môže vstupovať do pracovnoprávneho vzťahu alebo do obdobného pracovného vzťahu ihneď po udelení prechodného pobytu v rozsahu a za podmienok ustanovených v zákone č. 5/2004 Z. z. o službách zamestnanosti a o zmene a doplnení niektorých zákonov v znení neskorších predpisov.</w:t>
            </w:r>
          </w:p>
          <w:p w:rsidR="00A41B99" w:rsidRPr="00C74C01" w:rsidP="00D40FAD">
            <w:pPr>
              <w:bidi w:val="0"/>
              <w:jc w:val="both"/>
              <w:rPr>
                <w:rFonts w:ascii="Times New Roman" w:hAnsi="Times New Roman"/>
              </w:rPr>
            </w:pPr>
          </w:p>
          <w:p w:rsidR="00A41B99" w:rsidRPr="00C74C01" w:rsidP="00D40FAD">
            <w:pPr>
              <w:bidi w:val="0"/>
              <w:jc w:val="both"/>
              <w:rPr>
                <w:rFonts w:ascii="Times New Roman" w:hAnsi="Times New Roman"/>
              </w:rPr>
            </w:pPr>
            <w:r w:rsidRPr="00C74C01">
              <w:rPr>
                <w:rFonts w:ascii="Times New Roman" w:hAnsi="Times New Roman"/>
              </w:rPr>
              <w:t>Navrhovanými zmenami sa predpokladá celkovo pozitívny vplyv na zamestnanosť, najmä pokrytím tých pracovných pozícií, ktoré nie je možné obsadiť domácou pracovnou silou.</w:t>
            </w:r>
          </w:p>
          <w:p w:rsidR="00A41B99" w:rsidRPr="00C74C01" w:rsidP="00D40FAD">
            <w:pPr>
              <w:bidi w:val="0"/>
              <w:jc w:val="both"/>
              <w:rPr>
                <w:rFonts w:ascii="Times New Roman" w:hAnsi="Times New Roman"/>
              </w:rPr>
            </w:pPr>
          </w:p>
          <w:p w:rsidR="00A41B99" w:rsidRPr="00C74C01" w:rsidP="00D40FAD">
            <w:pPr>
              <w:bidi w:val="0"/>
              <w:jc w:val="both"/>
              <w:rPr>
                <w:rFonts w:ascii="Times New Roman" w:hAnsi="Times New Roman"/>
              </w:rPr>
            </w:pPr>
            <w:r w:rsidRPr="00C74C01">
              <w:rPr>
                <w:rFonts w:ascii="Times New Roman" w:hAnsi="Times New Roman"/>
              </w:rPr>
              <w:t>Nemá negatívny vplyv na zamestnanosť.</w:t>
            </w:r>
          </w:p>
        </w:tc>
      </w:tr>
    </w:tbl>
    <w:p w:rsidR="00A41B99" w:rsidRPr="00FF0FC2" w:rsidP="00A41B99">
      <w:pPr>
        <w:bidi w:val="0"/>
        <w:rPr>
          <w:rFonts w:ascii="Times New Roman" w:hAnsi="Times New Roman"/>
        </w:rPr>
      </w:pPr>
    </w:p>
    <w:sectPr w:rsidSect="00A41B99">
      <w:pgSz w:w="11906" w:h="16838"/>
      <w:pgMar w:top="1418" w:right="993" w:bottom="1418" w:left="1418" w:header="709" w:footer="709" w:gutter="0"/>
      <w:lnNumType w:distance="0"/>
      <w:cols w:space="708"/>
      <w:noEndnote w:val="0"/>
      <w:titlePg/>
      <w:bidi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A8" w:rsidP="00DB6E50">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4</w:t>
    </w:r>
    <w:r>
      <w:rPr>
        <w:rStyle w:val="PageNumber"/>
        <w:rFonts w:ascii="Times New Roman" w:hAnsi="Times New Roman"/>
      </w:rPr>
      <w:fldChar w:fldCharType="end"/>
    </w:r>
  </w:p>
  <w:p w:rsidR="00314EA8" w:rsidP="00E62BF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A8" w:rsidP="00E62BF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1D615F2"/>
    <w:multiLevelType w:val="hybridMultilevel"/>
    <w:tmpl w:val="80C22360"/>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C7937B5"/>
    <w:multiLevelType w:val="hybridMultilevel"/>
    <w:tmpl w:val="85D0F58E"/>
    <w:lvl w:ilvl="0">
      <w:start w:val="9"/>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8763DF"/>
    <w:multiLevelType w:val="hybridMultilevel"/>
    <w:tmpl w:val="B94C134E"/>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DEC257D"/>
    <w:multiLevelType w:val="hybridMultilevel"/>
    <w:tmpl w:val="BCB05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4624BD4"/>
    <w:multiLevelType w:val="hybridMultilevel"/>
    <w:tmpl w:val="9412002E"/>
    <w:lvl w:ilvl="0">
      <w:start w:val="80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57F60B3"/>
    <w:multiLevelType w:val="hybridMultilevel"/>
    <w:tmpl w:val="D5CEE5D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6503F71"/>
    <w:multiLevelType w:val="hybridMultilevel"/>
    <w:tmpl w:val="1426337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E62BFE"/>
    <w:rsid w:val="00003484"/>
    <w:rsid w:val="000053CE"/>
    <w:rsid w:val="00006BF9"/>
    <w:rsid w:val="0002328B"/>
    <w:rsid w:val="00026A4A"/>
    <w:rsid w:val="000418B7"/>
    <w:rsid w:val="00041CD2"/>
    <w:rsid w:val="00051774"/>
    <w:rsid w:val="000765AA"/>
    <w:rsid w:val="00080C23"/>
    <w:rsid w:val="00090CA3"/>
    <w:rsid w:val="00092ECA"/>
    <w:rsid w:val="000A0892"/>
    <w:rsid w:val="000C27F7"/>
    <w:rsid w:val="000D1C7C"/>
    <w:rsid w:val="000D4C96"/>
    <w:rsid w:val="000E4258"/>
    <w:rsid w:val="000F24D1"/>
    <w:rsid w:val="000F4B1C"/>
    <w:rsid w:val="001041A8"/>
    <w:rsid w:val="00117D54"/>
    <w:rsid w:val="0013113B"/>
    <w:rsid w:val="001361A1"/>
    <w:rsid w:val="00137096"/>
    <w:rsid w:val="00142942"/>
    <w:rsid w:val="00150215"/>
    <w:rsid w:val="00153891"/>
    <w:rsid w:val="00155875"/>
    <w:rsid w:val="00166879"/>
    <w:rsid w:val="00177525"/>
    <w:rsid w:val="001822D5"/>
    <w:rsid w:val="001839FE"/>
    <w:rsid w:val="00186038"/>
    <w:rsid w:val="001A2325"/>
    <w:rsid w:val="001B67DC"/>
    <w:rsid w:val="001D4BA1"/>
    <w:rsid w:val="001E08FD"/>
    <w:rsid w:val="00205672"/>
    <w:rsid w:val="00220919"/>
    <w:rsid w:val="00233922"/>
    <w:rsid w:val="002371CA"/>
    <w:rsid w:val="00242A3B"/>
    <w:rsid w:val="00243E6E"/>
    <w:rsid w:val="00244253"/>
    <w:rsid w:val="00257BD5"/>
    <w:rsid w:val="00260DFF"/>
    <w:rsid w:val="002704AC"/>
    <w:rsid w:val="0027539C"/>
    <w:rsid w:val="00282373"/>
    <w:rsid w:val="00283117"/>
    <w:rsid w:val="00295C8E"/>
    <w:rsid w:val="002962DF"/>
    <w:rsid w:val="002971F3"/>
    <w:rsid w:val="002A1BC5"/>
    <w:rsid w:val="002A3E8A"/>
    <w:rsid w:val="002A6CAA"/>
    <w:rsid w:val="002B194C"/>
    <w:rsid w:val="002B5D75"/>
    <w:rsid w:val="002D5CA6"/>
    <w:rsid w:val="002F1ACF"/>
    <w:rsid w:val="00311CF6"/>
    <w:rsid w:val="00312BB9"/>
    <w:rsid w:val="00314EA8"/>
    <w:rsid w:val="0031708B"/>
    <w:rsid w:val="0032400B"/>
    <w:rsid w:val="0032731D"/>
    <w:rsid w:val="00340A47"/>
    <w:rsid w:val="00341015"/>
    <w:rsid w:val="003421A4"/>
    <w:rsid w:val="00352B7D"/>
    <w:rsid w:val="0035797A"/>
    <w:rsid w:val="00374067"/>
    <w:rsid w:val="00394F5D"/>
    <w:rsid w:val="003A60E4"/>
    <w:rsid w:val="003B0E5E"/>
    <w:rsid w:val="003B46C0"/>
    <w:rsid w:val="003C05E2"/>
    <w:rsid w:val="003C7EF0"/>
    <w:rsid w:val="003D709F"/>
    <w:rsid w:val="003E5162"/>
    <w:rsid w:val="003E76D2"/>
    <w:rsid w:val="003F1C86"/>
    <w:rsid w:val="00402153"/>
    <w:rsid w:val="00423B03"/>
    <w:rsid w:val="00450411"/>
    <w:rsid w:val="00455723"/>
    <w:rsid w:val="00456EA9"/>
    <w:rsid w:val="00464FA9"/>
    <w:rsid w:val="004675AF"/>
    <w:rsid w:val="00476E5B"/>
    <w:rsid w:val="004817F3"/>
    <w:rsid w:val="00483A8B"/>
    <w:rsid w:val="00492D46"/>
    <w:rsid w:val="004C0457"/>
    <w:rsid w:val="004C48FF"/>
    <w:rsid w:val="004D0FB2"/>
    <w:rsid w:val="004D3AE5"/>
    <w:rsid w:val="004E429A"/>
    <w:rsid w:val="004F1E89"/>
    <w:rsid w:val="004F39C0"/>
    <w:rsid w:val="004F4055"/>
    <w:rsid w:val="0050149B"/>
    <w:rsid w:val="005071E7"/>
    <w:rsid w:val="00515384"/>
    <w:rsid w:val="00521131"/>
    <w:rsid w:val="00544B5A"/>
    <w:rsid w:val="00554C69"/>
    <w:rsid w:val="0057104C"/>
    <w:rsid w:val="00574E70"/>
    <w:rsid w:val="005861F6"/>
    <w:rsid w:val="005A4DC0"/>
    <w:rsid w:val="005B124B"/>
    <w:rsid w:val="005B358D"/>
    <w:rsid w:val="005B4161"/>
    <w:rsid w:val="005C3115"/>
    <w:rsid w:val="005C7EC5"/>
    <w:rsid w:val="005D4A4B"/>
    <w:rsid w:val="005D4AF4"/>
    <w:rsid w:val="005E708D"/>
    <w:rsid w:val="005E7555"/>
    <w:rsid w:val="005F05D8"/>
    <w:rsid w:val="005F4D73"/>
    <w:rsid w:val="00600386"/>
    <w:rsid w:val="00617585"/>
    <w:rsid w:val="00644A8F"/>
    <w:rsid w:val="006518D9"/>
    <w:rsid w:val="00655680"/>
    <w:rsid w:val="00664D11"/>
    <w:rsid w:val="00667595"/>
    <w:rsid w:val="006748FA"/>
    <w:rsid w:val="006770C9"/>
    <w:rsid w:val="00690C41"/>
    <w:rsid w:val="006C2CB3"/>
    <w:rsid w:val="006C70F3"/>
    <w:rsid w:val="006D0C29"/>
    <w:rsid w:val="006D53B7"/>
    <w:rsid w:val="006E1AC5"/>
    <w:rsid w:val="006E66F3"/>
    <w:rsid w:val="006F6E60"/>
    <w:rsid w:val="00714489"/>
    <w:rsid w:val="00741CA2"/>
    <w:rsid w:val="0074243A"/>
    <w:rsid w:val="00742BD4"/>
    <w:rsid w:val="00750273"/>
    <w:rsid w:val="00750A25"/>
    <w:rsid w:val="007602D3"/>
    <w:rsid w:val="00781FB4"/>
    <w:rsid w:val="00782533"/>
    <w:rsid w:val="0078487E"/>
    <w:rsid w:val="00784E55"/>
    <w:rsid w:val="0078598E"/>
    <w:rsid w:val="00797A77"/>
    <w:rsid w:val="007A4331"/>
    <w:rsid w:val="007A5616"/>
    <w:rsid w:val="007C03B6"/>
    <w:rsid w:val="007C122C"/>
    <w:rsid w:val="007C2C36"/>
    <w:rsid w:val="007C5683"/>
    <w:rsid w:val="007D36C1"/>
    <w:rsid w:val="007D64FA"/>
    <w:rsid w:val="007D7EE1"/>
    <w:rsid w:val="007E2484"/>
    <w:rsid w:val="007E2F72"/>
    <w:rsid w:val="007E5E5B"/>
    <w:rsid w:val="007F601B"/>
    <w:rsid w:val="00845D77"/>
    <w:rsid w:val="00857E72"/>
    <w:rsid w:val="008626D0"/>
    <w:rsid w:val="008732B6"/>
    <w:rsid w:val="00873FFF"/>
    <w:rsid w:val="00875481"/>
    <w:rsid w:val="008759DC"/>
    <w:rsid w:val="00875AFE"/>
    <w:rsid w:val="00876889"/>
    <w:rsid w:val="00877DBE"/>
    <w:rsid w:val="008825AE"/>
    <w:rsid w:val="008A2B3E"/>
    <w:rsid w:val="008B03CB"/>
    <w:rsid w:val="008B6309"/>
    <w:rsid w:val="008D3D41"/>
    <w:rsid w:val="008D74DB"/>
    <w:rsid w:val="008F2D25"/>
    <w:rsid w:val="008F5EBC"/>
    <w:rsid w:val="00907622"/>
    <w:rsid w:val="009201AD"/>
    <w:rsid w:val="009377A6"/>
    <w:rsid w:val="00951082"/>
    <w:rsid w:val="00962629"/>
    <w:rsid w:val="009702F7"/>
    <w:rsid w:val="009813A8"/>
    <w:rsid w:val="009A11AF"/>
    <w:rsid w:val="009B386E"/>
    <w:rsid w:val="009B46E8"/>
    <w:rsid w:val="009C09F0"/>
    <w:rsid w:val="009C4373"/>
    <w:rsid w:val="009C5553"/>
    <w:rsid w:val="00A11B27"/>
    <w:rsid w:val="00A1399E"/>
    <w:rsid w:val="00A200BA"/>
    <w:rsid w:val="00A235A9"/>
    <w:rsid w:val="00A236BC"/>
    <w:rsid w:val="00A343B3"/>
    <w:rsid w:val="00A346A9"/>
    <w:rsid w:val="00A34DF1"/>
    <w:rsid w:val="00A41B99"/>
    <w:rsid w:val="00A42685"/>
    <w:rsid w:val="00A54BB2"/>
    <w:rsid w:val="00A55825"/>
    <w:rsid w:val="00A67295"/>
    <w:rsid w:val="00A717A8"/>
    <w:rsid w:val="00A83D5B"/>
    <w:rsid w:val="00AB1C52"/>
    <w:rsid w:val="00AB3EA4"/>
    <w:rsid w:val="00AB75C5"/>
    <w:rsid w:val="00AC1C59"/>
    <w:rsid w:val="00AC3549"/>
    <w:rsid w:val="00AC409B"/>
    <w:rsid w:val="00AE2264"/>
    <w:rsid w:val="00AE4C65"/>
    <w:rsid w:val="00AE57D3"/>
    <w:rsid w:val="00AE7E63"/>
    <w:rsid w:val="00B01470"/>
    <w:rsid w:val="00B177E4"/>
    <w:rsid w:val="00B370F8"/>
    <w:rsid w:val="00B37D97"/>
    <w:rsid w:val="00B51A22"/>
    <w:rsid w:val="00B658D9"/>
    <w:rsid w:val="00B81B73"/>
    <w:rsid w:val="00B876CB"/>
    <w:rsid w:val="00BA0ECF"/>
    <w:rsid w:val="00BA1C20"/>
    <w:rsid w:val="00BA7C73"/>
    <w:rsid w:val="00BB0DE3"/>
    <w:rsid w:val="00BC23A2"/>
    <w:rsid w:val="00BE104A"/>
    <w:rsid w:val="00BE6040"/>
    <w:rsid w:val="00C233DF"/>
    <w:rsid w:val="00C3632C"/>
    <w:rsid w:val="00C42F5B"/>
    <w:rsid w:val="00C43E63"/>
    <w:rsid w:val="00C469FA"/>
    <w:rsid w:val="00C55A47"/>
    <w:rsid w:val="00C60FFD"/>
    <w:rsid w:val="00C72760"/>
    <w:rsid w:val="00C73A47"/>
    <w:rsid w:val="00C74C01"/>
    <w:rsid w:val="00C80A53"/>
    <w:rsid w:val="00C93519"/>
    <w:rsid w:val="00C979BC"/>
    <w:rsid w:val="00CA24B1"/>
    <w:rsid w:val="00CA67D5"/>
    <w:rsid w:val="00CB2316"/>
    <w:rsid w:val="00CC4D7A"/>
    <w:rsid w:val="00CE6BAC"/>
    <w:rsid w:val="00CE74AB"/>
    <w:rsid w:val="00CF2828"/>
    <w:rsid w:val="00CF331B"/>
    <w:rsid w:val="00D064F4"/>
    <w:rsid w:val="00D166B5"/>
    <w:rsid w:val="00D24608"/>
    <w:rsid w:val="00D26A43"/>
    <w:rsid w:val="00D303E4"/>
    <w:rsid w:val="00D327D5"/>
    <w:rsid w:val="00D402AA"/>
    <w:rsid w:val="00D40881"/>
    <w:rsid w:val="00D40FAD"/>
    <w:rsid w:val="00D45D8F"/>
    <w:rsid w:val="00D5478A"/>
    <w:rsid w:val="00D802E1"/>
    <w:rsid w:val="00D80C00"/>
    <w:rsid w:val="00DA12EE"/>
    <w:rsid w:val="00DA1B11"/>
    <w:rsid w:val="00DA7F70"/>
    <w:rsid w:val="00DB18A4"/>
    <w:rsid w:val="00DB3CD9"/>
    <w:rsid w:val="00DB6E50"/>
    <w:rsid w:val="00DB7BCA"/>
    <w:rsid w:val="00DD2EAA"/>
    <w:rsid w:val="00DF4B20"/>
    <w:rsid w:val="00E20B8E"/>
    <w:rsid w:val="00E21F2C"/>
    <w:rsid w:val="00E26BCA"/>
    <w:rsid w:val="00E51211"/>
    <w:rsid w:val="00E62BFE"/>
    <w:rsid w:val="00E72472"/>
    <w:rsid w:val="00E73508"/>
    <w:rsid w:val="00E83C54"/>
    <w:rsid w:val="00E8474A"/>
    <w:rsid w:val="00E92862"/>
    <w:rsid w:val="00E9670C"/>
    <w:rsid w:val="00E97285"/>
    <w:rsid w:val="00EE1D59"/>
    <w:rsid w:val="00EF36AE"/>
    <w:rsid w:val="00EF6FB6"/>
    <w:rsid w:val="00F011CE"/>
    <w:rsid w:val="00F04BAA"/>
    <w:rsid w:val="00F06530"/>
    <w:rsid w:val="00F0772E"/>
    <w:rsid w:val="00F22E9A"/>
    <w:rsid w:val="00F23726"/>
    <w:rsid w:val="00F243BF"/>
    <w:rsid w:val="00F37013"/>
    <w:rsid w:val="00F42D74"/>
    <w:rsid w:val="00F628E3"/>
    <w:rsid w:val="00F668A7"/>
    <w:rsid w:val="00F75608"/>
    <w:rsid w:val="00F821C4"/>
    <w:rsid w:val="00F951D7"/>
    <w:rsid w:val="00FB04FA"/>
    <w:rsid w:val="00FB4DE4"/>
    <w:rsid w:val="00FF0FC2"/>
    <w:rsid w:val="00FF335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F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E62BFE"/>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E62BFE"/>
    <w:rPr>
      <w:rFonts w:cs="Times New Roman"/>
      <w:rtl w:val="0"/>
      <w:cs w:val="0"/>
    </w:rPr>
  </w:style>
  <w:style w:type="paragraph" w:styleId="BodyText">
    <w:name w:val="Body Text"/>
    <w:basedOn w:val="Normal"/>
    <w:link w:val="ZkladntextChar"/>
    <w:uiPriority w:val="99"/>
    <w:rsid w:val="00E62BFE"/>
    <w:pPr>
      <w:jc w:val="left"/>
    </w:pPr>
    <w:rPr>
      <w:b/>
      <w:szCs w:val="20"/>
    </w:rPr>
  </w:style>
  <w:style w:type="character" w:customStyle="1" w:styleId="ZkladntextChar">
    <w:name w:val="Základný text Char"/>
    <w:basedOn w:val="DefaultParagraphFont"/>
    <w:link w:val="BodyText"/>
    <w:uiPriority w:val="99"/>
    <w:locked/>
    <w:rsid w:val="00CA67D5"/>
    <w:rPr>
      <w:rFonts w:cs="Times New Roman"/>
      <w:b/>
      <w:sz w:val="24"/>
      <w:rtl w:val="0"/>
      <w:cs w:val="0"/>
    </w:rPr>
  </w:style>
  <w:style w:type="paragraph" w:customStyle="1" w:styleId="BodyText21">
    <w:name w:val="Body Text 21"/>
    <w:basedOn w:val="Normal"/>
    <w:rsid w:val="00E62BFE"/>
    <w:pPr>
      <w:overflowPunct w:val="0"/>
      <w:autoSpaceDE w:val="0"/>
      <w:autoSpaceDN w:val="0"/>
      <w:adjustRightInd w:val="0"/>
      <w:jc w:val="both"/>
    </w:pPr>
    <w:rPr>
      <w:szCs w:val="20"/>
    </w:rPr>
  </w:style>
  <w:style w:type="paragraph" w:styleId="Header">
    <w:name w:val="header"/>
    <w:basedOn w:val="Normal"/>
    <w:link w:val="HlavikaChar"/>
    <w:uiPriority w:val="99"/>
    <w:rsid w:val="005B4161"/>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CharCharCharCharCharCharCharChar">
    <w:name w:val="Char Char Char Char Char Char Char Char"/>
    <w:basedOn w:val="Normal"/>
    <w:next w:val="Normal"/>
    <w:rsid w:val="005B4161"/>
    <w:pPr>
      <w:spacing w:after="160" w:line="240" w:lineRule="exact"/>
      <w:jc w:val="left"/>
    </w:pPr>
    <w:rPr>
      <w:rFonts w:ascii="Arial" w:hAnsi="Arial" w:cs="Arial"/>
      <w:sz w:val="22"/>
      <w:szCs w:val="22"/>
      <w:lang w:val="en-US" w:eastAsia="en-US"/>
    </w:rPr>
  </w:style>
  <w:style w:type="character" w:styleId="PlaceholderText">
    <w:name w:val="Placeholder Text"/>
    <w:basedOn w:val="DefaultParagraphFont"/>
    <w:uiPriority w:val="99"/>
    <w:semiHidden/>
    <w:rsid w:val="00C72760"/>
    <w:rPr>
      <w:rFonts w:ascii="Times New Roman" w:hAnsi="Times New Roman" w:cs="Times New Roman"/>
      <w:color w:val="808080"/>
      <w:rtl w:val="0"/>
      <w:cs w:val="0"/>
    </w:rPr>
  </w:style>
  <w:style w:type="character" w:customStyle="1" w:styleId="ObyajntextChar">
    <w:name w:val="Obyčajný text Char"/>
    <w:link w:val="PlainText"/>
    <w:semiHidden/>
    <w:locked/>
    <w:rsid w:val="00845D77"/>
    <w:rPr>
      <w:rFonts w:ascii="Consolas" w:hAnsi="Consolas" w:cs="Consolas"/>
      <w:sz w:val="21"/>
    </w:rPr>
  </w:style>
  <w:style w:type="paragraph" w:styleId="PlainText">
    <w:name w:val="Plain Text"/>
    <w:basedOn w:val="Normal"/>
    <w:link w:val="ObyajntextChar"/>
    <w:uiPriority w:val="99"/>
    <w:semiHidden/>
    <w:rsid w:val="00845D77"/>
    <w:pPr>
      <w:jc w:val="left"/>
    </w:pPr>
    <w:rPr>
      <w:rFonts w:ascii="Consolas" w:hAnsi="Consolas"/>
      <w:sz w:val="21"/>
      <w:szCs w:val="21"/>
    </w:rPr>
  </w:style>
  <w:style w:type="character" w:customStyle="1" w:styleId="ObyajntextChar1">
    <w:name w:val="Obyčajný text Char1"/>
    <w:basedOn w:val="DefaultParagraphFont"/>
    <w:uiPriority w:val="99"/>
    <w:semiHidden/>
    <w:rPr>
      <w:rFonts w:ascii="Courier New" w:hAnsi="Courier New" w:cs="Courier New"/>
      <w:rtl w:val="0"/>
      <w:cs w:val="0"/>
    </w:rPr>
  </w:style>
  <w:style w:type="character" w:customStyle="1" w:styleId="ObyajntextChar11">
    <w:name w:val="Obyčajný text Char11"/>
    <w:uiPriority w:val="99"/>
    <w:semiHidden/>
    <w:rsid w:val="00845D77"/>
    <w:rPr>
      <w:rFonts w:ascii="Courier New" w:hAnsi="Courier New" w:cs="Courier New"/>
    </w:rPr>
  </w:style>
  <w:style w:type="paragraph" w:styleId="BalloonText">
    <w:name w:val="Balloon Text"/>
    <w:basedOn w:val="Normal"/>
    <w:link w:val="TextbublinyChar"/>
    <w:uiPriority w:val="99"/>
    <w:semiHidden/>
    <w:unhideWhenUsed/>
    <w:rsid w:val="00CA24B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A24B1"/>
    <w:rPr>
      <w:rFonts w:ascii="Tahoma" w:hAnsi="Tahoma" w:cs="Times New Roman"/>
      <w:sz w:val="16"/>
      <w:rtl w:val="0"/>
      <w:cs w:val="0"/>
    </w:rPr>
  </w:style>
  <w:style w:type="table" w:styleId="TableGrid">
    <w:name w:val="Table Grid"/>
    <w:basedOn w:val="TableNormal"/>
    <w:uiPriority w:val="59"/>
    <w:rsid w:val="0000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6048-FD4F-4A24-B27F-0320A883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Pages>
  <Words>3496</Words>
  <Characters>19932</Characters>
  <Application>Microsoft Office Word</Application>
  <DocSecurity>0</DocSecurity>
  <Lines>0</Lines>
  <Paragraphs>0</Paragraphs>
  <ScaleCrop>false</ScaleCrop>
  <Company>MVSR</Company>
  <LinksUpToDate>false</LinksUpToDate>
  <CharactersWithSpaces>23382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natasa.wiedemannova</dc:creator>
  <cp:lastModifiedBy>User</cp:lastModifiedBy>
  <cp:revision>2</cp:revision>
  <cp:lastPrinted>2011-08-10T13:57:00Z</cp:lastPrinted>
  <dcterms:created xsi:type="dcterms:W3CDTF">2011-08-15T13:28:00Z</dcterms:created>
  <dcterms:modified xsi:type="dcterms:W3CDTF">2011-08-15T13:28:00Z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