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03E79" w:rsidP="00403E79">
      <w:pPr>
        <w:bidi w:val="0"/>
        <w:rPr>
          <w:rFonts w:ascii="Arial Narrow" w:hAnsi="Arial Narrow"/>
          <w:b/>
          <w:sz w:val="32"/>
          <w:szCs w:val="32"/>
        </w:rPr>
      </w:pPr>
    </w:p>
    <w:p w:rsidR="00710B65" w:rsidP="00710B65">
      <w:pPr>
        <w:pStyle w:val="TOC1"/>
        <w:bidi w:val="0"/>
      </w:pPr>
      <w:bookmarkStart w:id="0" w:name="_Toc204046327"/>
    </w:p>
    <w:p w:rsidR="00710B65" w:rsidP="00710B65">
      <w:pPr>
        <w:pStyle w:val="TOC1"/>
        <w:bidi w:val="0"/>
      </w:pPr>
    </w:p>
    <w:p w:rsidR="00710B65" w:rsidP="00710B65">
      <w:pPr>
        <w:pStyle w:val="TOC1"/>
        <w:bidi w:val="0"/>
      </w:pPr>
    </w:p>
    <w:p w:rsidR="00710B65" w:rsidP="00710B65">
      <w:pPr>
        <w:bidi w:val="0"/>
        <w:rPr>
          <w:rFonts w:ascii="Arial Narrow" w:hAnsi="Arial Narrow" w:cs="Arial Narrow"/>
        </w:rPr>
      </w:pPr>
    </w:p>
    <w:p w:rsidR="00710B65" w:rsidP="00710B65">
      <w:pPr>
        <w:bidi w:val="0"/>
        <w:rPr>
          <w:rFonts w:ascii="Arial Narrow" w:hAnsi="Arial Narrow" w:cs="Arial Narrow"/>
        </w:rPr>
      </w:pPr>
    </w:p>
    <w:p w:rsidR="00710B65" w:rsidP="00710B65">
      <w:pPr>
        <w:bidi w:val="0"/>
        <w:rPr>
          <w:rFonts w:ascii="Arial Narrow" w:hAnsi="Arial Narrow" w:cs="Arial Narrow"/>
        </w:rPr>
      </w:pPr>
    </w:p>
    <w:p w:rsidR="00710B65" w:rsidP="00710B65">
      <w:pPr>
        <w:bidi w:val="0"/>
        <w:rPr>
          <w:rFonts w:ascii="Arial Narrow" w:hAnsi="Arial Narrow" w:cs="Arial Narrow"/>
        </w:rPr>
      </w:pPr>
    </w:p>
    <w:p w:rsidR="00710B65" w:rsidP="00710B65">
      <w:pPr>
        <w:bidi w:val="0"/>
        <w:rPr>
          <w:rFonts w:ascii="Arial Narrow" w:hAnsi="Arial Narrow" w:cs="Arial Narrow"/>
        </w:rPr>
      </w:pPr>
    </w:p>
    <w:p w:rsidR="00710B65" w:rsidP="00710B65">
      <w:pPr>
        <w:bidi w:val="0"/>
        <w:rPr>
          <w:rFonts w:ascii="Arial Narrow" w:hAnsi="Arial Narrow" w:cs="Arial Narrow"/>
        </w:rPr>
      </w:pPr>
    </w:p>
    <w:p w:rsidR="00710B65" w:rsidP="00710B65">
      <w:pPr>
        <w:bidi w:val="0"/>
        <w:rPr>
          <w:rFonts w:ascii="Arial Narrow" w:hAnsi="Arial Narrow" w:cs="Arial Narrow"/>
        </w:rPr>
      </w:pPr>
    </w:p>
    <w:p w:rsidR="00710B65" w:rsidP="00710B65">
      <w:pPr>
        <w:bidi w:val="0"/>
        <w:rPr>
          <w:rFonts w:ascii="Arial Narrow" w:hAnsi="Arial Narrow" w:cs="Arial Narrow"/>
        </w:rPr>
      </w:pPr>
    </w:p>
    <w:p w:rsidR="00710B65" w:rsidP="00710B65">
      <w:pPr>
        <w:bidi w:val="0"/>
        <w:rPr>
          <w:rFonts w:ascii="Arial Narrow" w:hAnsi="Arial Narrow" w:cs="Arial Narrow"/>
        </w:rPr>
      </w:pPr>
    </w:p>
    <w:p w:rsidR="00710B65" w:rsidP="00710B65">
      <w:pPr>
        <w:bidi w:val="0"/>
        <w:rPr>
          <w:rFonts w:ascii="Arial Narrow" w:hAnsi="Arial Narrow" w:cs="Arial Narrow"/>
        </w:rPr>
      </w:pPr>
    </w:p>
    <w:p w:rsidR="00710B65" w:rsidP="00710B65">
      <w:pPr>
        <w:bidi w:val="0"/>
        <w:rPr>
          <w:rFonts w:ascii="Arial Narrow" w:hAnsi="Arial Narrow" w:cs="Arial Narrow"/>
        </w:rPr>
      </w:pPr>
    </w:p>
    <w:p w:rsidR="00710B65" w:rsidP="00710B65">
      <w:pPr>
        <w:bidi w:val="0"/>
        <w:rPr>
          <w:rFonts w:ascii="Arial Narrow" w:hAnsi="Arial Narrow" w:cs="Arial Narrow"/>
        </w:rPr>
      </w:pPr>
    </w:p>
    <w:p w:rsidR="00710B65" w:rsidP="00710B65">
      <w:pPr>
        <w:bidi w:val="0"/>
        <w:rPr>
          <w:rFonts w:ascii="Arial Narrow" w:hAnsi="Arial Narrow" w:cs="Arial Narrow"/>
        </w:rPr>
      </w:pPr>
    </w:p>
    <w:p w:rsidR="00710B65" w:rsidP="00710B65">
      <w:pPr>
        <w:bidi w:val="0"/>
        <w:rPr>
          <w:rFonts w:ascii="Arial Narrow" w:hAnsi="Arial Narrow" w:cs="Arial Narrow"/>
        </w:rPr>
      </w:pPr>
    </w:p>
    <w:p w:rsidR="00710B65" w:rsidP="00710B65">
      <w:pPr>
        <w:bidi w:val="0"/>
        <w:rPr>
          <w:rFonts w:ascii="Arial Narrow" w:hAnsi="Arial Narrow" w:cs="Arial Narrow"/>
        </w:rPr>
      </w:pPr>
    </w:p>
    <w:p w:rsidR="00710B65" w:rsidRPr="006C2D75" w:rsidP="00710B65">
      <w:pPr>
        <w:pStyle w:val="BodyText"/>
        <w:bidi w:val="0"/>
        <w:jc w:val="center"/>
        <w:rPr>
          <w:b/>
          <w:bCs/>
          <w:sz w:val="32"/>
          <w:szCs w:val="32"/>
        </w:rPr>
      </w:pPr>
      <w:r w:rsidRPr="006C2D75">
        <w:rPr>
          <w:rFonts w:ascii="Arial Narrow" w:hAnsi="Arial Narrow" w:cs="Arial Narrow"/>
          <w:b/>
          <w:bCs/>
          <w:sz w:val="32"/>
          <w:szCs w:val="32"/>
        </w:rPr>
        <w:t xml:space="preserve">Správa o makroekonomickom vývoji a vývoji verejných financií </w:t>
      </w:r>
      <w:r w:rsidR="00F53850">
        <w:rPr>
          <w:rFonts w:ascii="Arial Narrow" w:hAnsi="Arial Narrow" w:cs="Arial Narrow"/>
          <w:b/>
          <w:bCs/>
          <w:sz w:val="32"/>
          <w:szCs w:val="32"/>
        </w:rPr>
        <w:t xml:space="preserve">            </w:t>
      </w:r>
      <w:r w:rsidRPr="006C2D75">
        <w:rPr>
          <w:rFonts w:ascii="Arial Narrow" w:hAnsi="Arial Narrow" w:cs="Arial Narrow"/>
          <w:b/>
          <w:bCs/>
          <w:sz w:val="32"/>
          <w:szCs w:val="32"/>
        </w:rPr>
        <w:t xml:space="preserve">za </w:t>
      </w:r>
      <w:r w:rsidR="0099150A">
        <w:rPr>
          <w:rFonts w:ascii="Arial Narrow" w:hAnsi="Arial Narrow" w:cs="Arial Narrow"/>
          <w:b/>
          <w:bCs/>
          <w:sz w:val="32"/>
          <w:szCs w:val="32"/>
        </w:rPr>
        <w:t>prvý</w:t>
      </w:r>
      <w:r w:rsidRPr="006C2D75">
        <w:rPr>
          <w:rFonts w:ascii="Arial Narrow" w:hAnsi="Arial Narrow" w:cs="Arial Narrow"/>
          <w:b/>
          <w:bCs/>
          <w:sz w:val="32"/>
          <w:szCs w:val="32"/>
        </w:rPr>
        <w:t xml:space="preserve"> polrok 201</w:t>
      </w:r>
      <w:r>
        <w:rPr>
          <w:rFonts w:ascii="Arial Narrow" w:hAnsi="Arial Narrow" w:cs="Arial Narrow"/>
          <w:b/>
          <w:bCs/>
          <w:sz w:val="32"/>
          <w:szCs w:val="32"/>
        </w:rPr>
        <w:t>1</w:t>
      </w:r>
      <w:r w:rsidRPr="006C2D75">
        <w:rPr>
          <w:rFonts w:ascii="Arial Narrow" w:hAnsi="Arial Narrow" w:cs="Arial Narrow"/>
          <w:b/>
          <w:bCs/>
          <w:sz w:val="32"/>
          <w:szCs w:val="32"/>
        </w:rPr>
        <w:t xml:space="preserve"> a predikcia vývoja do konca roka</w:t>
      </w:r>
    </w:p>
    <w:p w:rsidR="00710B65" w:rsidP="00710B65">
      <w:pPr>
        <w:pStyle w:val="BodyText"/>
        <w:bidi w:val="0"/>
        <w:jc w:val="both"/>
      </w:pPr>
    </w:p>
    <w:p w:rsidR="00710B65" w:rsidP="00710B65">
      <w:pPr>
        <w:pStyle w:val="BodyText"/>
        <w:bidi w:val="0"/>
        <w:jc w:val="both"/>
      </w:pPr>
    </w:p>
    <w:p w:rsidR="00710B65" w:rsidP="00710B65">
      <w:pPr>
        <w:pStyle w:val="BodyText"/>
        <w:bidi w:val="0"/>
        <w:jc w:val="both"/>
      </w:pPr>
    </w:p>
    <w:p w:rsidR="00710B65" w:rsidP="00710B65">
      <w:pPr>
        <w:pStyle w:val="BodyText"/>
        <w:bidi w:val="0"/>
        <w:jc w:val="both"/>
      </w:pPr>
    </w:p>
    <w:p w:rsidR="00710B65" w:rsidP="00710B65">
      <w:pPr>
        <w:pStyle w:val="BodyText"/>
        <w:bidi w:val="0"/>
        <w:jc w:val="both"/>
      </w:pPr>
    </w:p>
    <w:p w:rsidR="00710B65" w:rsidP="00710B65">
      <w:pPr>
        <w:pStyle w:val="BodyText"/>
        <w:bidi w:val="0"/>
        <w:jc w:val="both"/>
      </w:pPr>
    </w:p>
    <w:p w:rsidR="00710B65" w:rsidP="00710B65">
      <w:pPr>
        <w:pStyle w:val="BodyText"/>
        <w:bidi w:val="0"/>
        <w:jc w:val="both"/>
      </w:pPr>
    </w:p>
    <w:p w:rsidR="00710B65" w:rsidP="00710B65">
      <w:pPr>
        <w:pStyle w:val="BodyText"/>
        <w:bidi w:val="0"/>
        <w:jc w:val="both"/>
      </w:pPr>
    </w:p>
    <w:p w:rsidR="00710B65" w:rsidP="00710B65">
      <w:pPr>
        <w:pStyle w:val="BodyText"/>
        <w:bidi w:val="0"/>
        <w:jc w:val="both"/>
      </w:pPr>
    </w:p>
    <w:p w:rsidR="00710B65" w:rsidP="00710B65">
      <w:pPr>
        <w:pStyle w:val="BodyText"/>
        <w:bidi w:val="0"/>
        <w:jc w:val="both"/>
      </w:pPr>
    </w:p>
    <w:p w:rsidR="00710B65" w:rsidP="00710B65">
      <w:pPr>
        <w:pStyle w:val="BodyText"/>
        <w:bidi w:val="0"/>
        <w:jc w:val="both"/>
      </w:pPr>
    </w:p>
    <w:p w:rsidR="00710B65" w:rsidP="00710B65">
      <w:pPr>
        <w:pStyle w:val="BodyText"/>
        <w:bidi w:val="0"/>
        <w:jc w:val="both"/>
      </w:pPr>
    </w:p>
    <w:p w:rsidR="00710B65" w:rsidP="00710B65">
      <w:pPr>
        <w:pStyle w:val="BodyText"/>
        <w:bidi w:val="0"/>
        <w:jc w:val="both"/>
      </w:pPr>
    </w:p>
    <w:p w:rsidR="00710B65" w:rsidP="00710B65">
      <w:pPr>
        <w:pStyle w:val="BodyText"/>
        <w:bidi w:val="0"/>
        <w:jc w:val="both"/>
      </w:pPr>
    </w:p>
    <w:p w:rsidR="00710B65" w:rsidP="00710B65">
      <w:pPr>
        <w:pStyle w:val="BodyText"/>
        <w:bidi w:val="0"/>
        <w:jc w:val="both"/>
      </w:pPr>
    </w:p>
    <w:p w:rsidR="00710B65" w:rsidP="00710B65">
      <w:pPr>
        <w:pStyle w:val="BodyText"/>
        <w:bidi w:val="0"/>
        <w:jc w:val="both"/>
      </w:pPr>
    </w:p>
    <w:p w:rsidR="00710B65" w:rsidP="00710B65">
      <w:pPr>
        <w:pStyle w:val="BodyText"/>
        <w:bidi w:val="0"/>
        <w:jc w:val="both"/>
      </w:pPr>
    </w:p>
    <w:p w:rsidR="00710B65" w:rsidP="00710B65">
      <w:pPr>
        <w:pStyle w:val="BodyText"/>
        <w:bidi w:val="0"/>
        <w:jc w:val="both"/>
      </w:pPr>
    </w:p>
    <w:p w:rsidR="00710B65" w:rsidP="00710B65">
      <w:pPr>
        <w:pStyle w:val="BodyText"/>
        <w:bidi w:val="0"/>
        <w:jc w:val="both"/>
      </w:pPr>
    </w:p>
    <w:p w:rsidR="00710B65" w:rsidP="00710B65">
      <w:pPr>
        <w:pStyle w:val="BodyText"/>
        <w:bidi w:val="0"/>
        <w:jc w:val="both"/>
      </w:pPr>
    </w:p>
    <w:p w:rsidR="00710B65" w:rsidP="00710B65">
      <w:pPr>
        <w:pStyle w:val="BodyText"/>
        <w:bidi w:val="0"/>
        <w:jc w:val="both"/>
      </w:pPr>
    </w:p>
    <w:p w:rsidR="00710B65" w:rsidP="00710B65">
      <w:pPr>
        <w:pStyle w:val="BodyText"/>
        <w:bidi w:val="0"/>
        <w:jc w:val="both"/>
      </w:pPr>
    </w:p>
    <w:p w:rsidR="00710B65" w:rsidP="00710B65">
      <w:pPr>
        <w:pStyle w:val="BodyText"/>
        <w:bidi w:val="0"/>
        <w:jc w:val="both"/>
      </w:pPr>
    </w:p>
    <w:p w:rsidR="00710B65" w:rsidRPr="00203E22" w:rsidP="00710B65">
      <w:pPr>
        <w:pStyle w:val="BodyText"/>
        <w:bidi w:val="0"/>
        <w:jc w:val="center"/>
        <w:rPr>
          <w:rFonts w:ascii="Arial Narrow" w:hAnsi="Arial Narrow" w:cs="Arial Narrow"/>
          <w:b/>
          <w:bCs/>
        </w:rPr>
      </w:pPr>
      <w:r>
        <w:rPr>
          <w:rFonts w:ascii="Arial Narrow" w:hAnsi="Arial Narrow" w:cs="Arial Narrow"/>
          <w:b/>
          <w:bCs/>
        </w:rPr>
        <w:t>Bratislava</w:t>
      </w:r>
      <w:r w:rsidR="00DC2884">
        <w:rPr>
          <w:rFonts w:ascii="Arial Narrow" w:hAnsi="Arial Narrow" w:cs="Arial Narrow"/>
          <w:b/>
          <w:bCs/>
        </w:rPr>
        <w:t>,</w:t>
      </w:r>
      <w:r>
        <w:rPr>
          <w:rFonts w:ascii="Arial Narrow" w:hAnsi="Arial Narrow" w:cs="Arial Narrow"/>
          <w:b/>
          <w:bCs/>
        </w:rPr>
        <w:t xml:space="preserve"> </w:t>
      </w:r>
      <w:r w:rsidR="00312CF3">
        <w:rPr>
          <w:rFonts w:ascii="Arial Narrow" w:hAnsi="Arial Narrow" w:cs="Arial Narrow"/>
          <w:b/>
          <w:bCs/>
        </w:rPr>
        <w:t>2</w:t>
      </w:r>
      <w:r>
        <w:rPr>
          <w:rFonts w:ascii="Arial Narrow" w:hAnsi="Arial Narrow" w:cs="Arial Narrow"/>
          <w:b/>
          <w:bCs/>
        </w:rPr>
        <w:t xml:space="preserve">. </w:t>
      </w:r>
      <w:r w:rsidR="00F62B44">
        <w:rPr>
          <w:rFonts w:ascii="Arial Narrow" w:hAnsi="Arial Narrow" w:cs="Arial Narrow"/>
          <w:b/>
          <w:bCs/>
        </w:rPr>
        <w:t>august</w:t>
      </w:r>
      <w:r w:rsidRPr="00203E22">
        <w:rPr>
          <w:rFonts w:ascii="Arial Narrow" w:hAnsi="Arial Narrow" w:cs="Arial Narrow"/>
          <w:b/>
          <w:bCs/>
        </w:rPr>
        <w:t xml:space="preserve"> 201</w:t>
      </w:r>
      <w:r>
        <w:rPr>
          <w:rFonts w:ascii="Arial Narrow" w:hAnsi="Arial Narrow" w:cs="Arial Narrow"/>
          <w:b/>
          <w:bCs/>
        </w:rPr>
        <w:t>1</w:t>
      </w:r>
    </w:p>
    <w:p w:rsidR="00710B65" w:rsidP="00710B65">
      <w:pPr>
        <w:pStyle w:val="BodyText"/>
        <w:bidi w:val="0"/>
        <w:jc w:val="both"/>
      </w:pPr>
    </w:p>
    <w:p w:rsidR="00710B65" w:rsidP="00710B65">
      <w:pPr>
        <w:pStyle w:val="BodyText"/>
        <w:bidi w:val="0"/>
        <w:jc w:val="both"/>
      </w:pPr>
    </w:p>
    <w:p w:rsidR="00710B65" w:rsidP="00710B65">
      <w:pPr>
        <w:pStyle w:val="BodyText"/>
        <w:bidi w:val="0"/>
        <w:jc w:val="both"/>
      </w:pPr>
    </w:p>
    <w:p w:rsidR="00710B65" w:rsidRPr="00AB4446" w:rsidP="00710B65">
      <w:pPr>
        <w:pStyle w:val="TOC1"/>
        <w:bidi w:val="0"/>
        <w:ind w:left="0" w:firstLine="0"/>
      </w:pPr>
      <w:r w:rsidRPr="00AB4446">
        <w:t>O B S A H</w:t>
      </w:r>
    </w:p>
    <w:p w:rsidR="007961F1">
      <w:pPr>
        <w:pStyle w:val="TOC1"/>
        <w:bidi w:val="0"/>
      </w:pPr>
    </w:p>
    <w:p w:rsidR="007961F1" w:rsidRPr="007961F1">
      <w:pPr>
        <w:pStyle w:val="TOC1"/>
        <w:bidi w:val="0"/>
        <w:rPr>
          <w:rFonts w:eastAsiaTheme="minorEastAsia" w:cs="Times New Roman"/>
          <w:b w:val="0"/>
          <w:bCs w:val="0"/>
          <w:sz w:val="22"/>
          <w:szCs w:val="22"/>
        </w:rPr>
      </w:pPr>
      <w:r w:rsidRPr="006628CB" w:rsidR="00710B65">
        <w:fldChar w:fldCharType="begin"/>
      </w:r>
      <w:r w:rsidRPr="006628CB" w:rsidR="00710B65">
        <w:instrText xml:space="preserve"> TOC \o "1-3" \h \z \u </w:instrText>
      </w:r>
      <w:r w:rsidRPr="006628CB" w:rsidR="00710B65">
        <w:fldChar w:fldCharType="separate"/>
      </w:r>
      <w:hyperlink w:anchor="_Toc299709416" w:history="1">
        <w:r w:rsidRPr="007961F1">
          <w:rPr>
            <w:rStyle w:val="Hyperlink"/>
            <w:rFonts w:cs="Arial Narrow"/>
          </w:rPr>
          <w:t>ZHRNUTIE</w:t>
        </w:r>
        <w:r w:rsidRPr="007961F1">
          <w:rPr>
            <w:webHidden/>
          </w:rPr>
          <w:tab/>
        </w:r>
        <w:r w:rsidRPr="007961F1">
          <w:rPr>
            <w:webHidden/>
          </w:rPr>
          <w:fldChar w:fldCharType="begin"/>
        </w:r>
        <w:r w:rsidRPr="007961F1">
          <w:rPr>
            <w:webHidden/>
          </w:rPr>
          <w:instrText xml:space="preserve"> PAGEREF _Toc299709416 \h </w:instrText>
        </w:r>
        <w:r w:rsidRPr="007961F1">
          <w:rPr>
            <w:webHidden/>
          </w:rPr>
          <w:fldChar w:fldCharType="separate"/>
        </w:r>
        <w:r w:rsidR="00BE561D">
          <w:rPr>
            <w:webHidden/>
          </w:rPr>
          <w:t>3</w:t>
        </w:r>
        <w:r w:rsidRPr="007961F1">
          <w:rPr>
            <w:webHidden/>
          </w:rPr>
          <w:fldChar w:fldCharType="end"/>
        </w:r>
      </w:hyperlink>
    </w:p>
    <w:p w:rsidR="007961F1" w:rsidRPr="007961F1">
      <w:pPr>
        <w:pStyle w:val="TOC1"/>
        <w:bidi w:val="0"/>
        <w:rPr>
          <w:rFonts w:eastAsiaTheme="minorEastAsia" w:cs="Times New Roman"/>
          <w:b w:val="0"/>
          <w:bCs w:val="0"/>
          <w:sz w:val="22"/>
          <w:szCs w:val="22"/>
        </w:rPr>
      </w:pPr>
      <w:hyperlink w:anchor="_Toc299709417" w:history="1">
        <w:r w:rsidRPr="007961F1">
          <w:rPr>
            <w:rStyle w:val="Hyperlink"/>
            <w:rFonts w:cs="Arial Narrow"/>
          </w:rPr>
          <w:t>I.</w:t>
        </w:r>
        <w:r w:rsidRPr="007961F1">
          <w:rPr>
            <w:rFonts w:eastAsiaTheme="minorEastAsia" w:cs="Times New Roman"/>
            <w:b w:val="0"/>
            <w:bCs w:val="0"/>
            <w:sz w:val="22"/>
            <w:szCs w:val="22"/>
          </w:rPr>
          <w:tab/>
        </w:r>
        <w:r w:rsidRPr="007961F1">
          <w:rPr>
            <w:rStyle w:val="Hyperlink"/>
            <w:rFonts w:cs="Arial Narrow"/>
          </w:rPr>
          <w:t>VÝVOJ MAKROEKONOMICKÉHO PROSTREDIA</w:t>
        </w:r>
        <w:r w:rsidRPr="007961F1">
          <w:rPr>
            <w:webHidden/>
          </w:rPr>
          <w:tab/>
        </w:r>
        <w:r w:rsidRPr="007961F1">
          <w:rPr>
            <w:webHidden/>
          </w:rPr>
          <w:fldChar w:fldCharType="begin"/>
        </w:r>
        <w:r w:rsidRPr="007961F1">
          <w:rPr>
            <w:webHidden/>
          </w:rPr>
          <w:instrText xml:space="preserve"> PAGEREF _Toc299709417 \h </w:instrText>
        </w:r>
        <w:r w:rsidRPr="007961F1">
          <w:rPr>
            <w:webHidden/>
          </w:rPr>
          <w:fldChar w:fldCharType="separate"/>
        </w:r>
        <w:r w:rsidR="00BE561D">
          <w:rPr>
            <w:webHidden/>
          </w:rPr>
          <w:t>4</w:t>
        </w:r>
        <w:r w:rsidRPr="007961F1">
          <w:rPr>
            <w:webHidden/>
          </w:rPr>
          <w:fldChar w:fldCharType="end"/>
        </w:r>
      </w:hyperlink>
    </w:p>
    <w:p w:rsidR="007961F1" w:rsidRPr="007961F1">
      <w:pPr>
        <w:pStyle w:val="TOC2"/>
        <w:bidi w:val="0"/>
        <w:rPr>
          <w:rFonts w:ascii="Arial Narrow" w:hAnsi="Arial Narrow" w:eastAsiaTheme="minorEastAsia" w:cs="Times New Roman"/>
        </w:rPr>
      </w:pPr>
      <w:hyperlink w:anchor="_Toc299709418" w:history="1">
        <w:r w:rsidRPr="007961F1">
          <w:rPr>
            <w:rStyle w:val="Hyperlink"/>
            <w:rFonts w:ascii="Arial Narrow" w:hAnsi="Arial Narrow" w:cs="Arial Narrow"/>
          </w:rPr>
          <w:t>I.1.</w:t>
        </w:r>
        <w:r w:rsidRPr="007961F1">
          <w:rPr>
            <w:rFonts w:ascii="Arial Narrow" w:hAnsi="Arial Narrow" w:eastAsiaTheme="minorEastAsia" w:cs="Times New Roman"/>
          </w:rPr>
          <w:tab/>
        </w:r>
        <w:r w:rsidRPr="007961F1">
          <w:rPr>
            <w:rStyle w:val="Hyperlink"/>
            <w:rFonts w:ascii="Arial Narrow" w:hAnsi="Arial Narrow" w:cs="Arial Narrow"/>
          </w:rPr>
          <w:t>Prehľad súčasných trendov</w:t>
        </w:r>
        <w:r w:rsidRPr="007961F1">
          <w:rPr>
            <w:rFonts w:ascii="Arial Narrow" w:hAnsi="Arial Narrow"/>
            <w:webHidden/>
          </w:rPr>
          <w:tab/>
        </w:r>
        <w:r w:rsidRPr="007961F1">
          <w:rPr>
            <w:rFonts w:ascii="Arial Narrow" w:hAnsi="Arial Narrow"/>
            <w:webHidden/>
          </w:rPr>
          <w:fldChar w:fldCharType="begin"/>
        </w:r>
        <w:r w:rsidRPr="007961F1">
          <w:rPr>
            <w:rFonts w:ascii="Arial Narrow" w:hAnsi="Arial Narrow"/>
            <w:webHidden/>
          </w:rPr>
          <w:instrText xml:space="preserve"> PAGEREF _Toc299709418 \h </w:instrText>
        </w:r>
        <w:r w:rsidRPr="007961F1">
          <w:rPr>
            <w:rFonts w:ascii="Arial Narrow" w:hAnsi="Arial Narrow"/>
            <w:webHidden/>
          </w:rPr>
          <w:fldChar w:fldCharType="separate"/>
        </w:r>
        <w:r w:rsidR="00BE561D">
          <w:rPr>
            <w:rFonts w:ascii="Arial Narrow" w:hAnsi="Arial Narrow"/>
            <w:webHidden/>
          </w:rPr>
          <w:t>4</w:t>
        </w:r>
        <w:r w:rsidRPr="007961F1">
          <w:rPr>
            <w:rFonts w:ascii="Arial Narrow" w:hAnsi="Arial Narrow"/>
            <w:webHidden/>
          </w:rPr>
          <w:fldChar w:fldCharType="end"/>
        </w:r>
      </w:hyperlink>
    </w:p>
    <w:p w:rsidR="007961F1" w:rsidRPr="007961F1">
      <w:pPr>
        <w:pStyle w:val="TOC2"/>
        <w:bidi w:val="0"/>
        <w:rPr>
          <w:rFonts w:ascii="Arial Narrow" w:hAnsi="Arial Narrow" w:eastAsiaTheme="minorEastAsia" w:cs="Times New Roman"/>
        </w:rPr>
      </w:pPr>
      <w:hyperlink w:anchor="_Toc299709421" w:history="1">
        <w:r w:rsidRPr="007961F1">
          <w:rPr>
            <w:rStyle w:val="Hyperlink"/>
            <w:rFonts w:ascii="Arial Narrow" w:hAnsi="Arial Narrow" w:cs="Arial Narrow"/>
          </w:rPr>
          <w:t>I.2.</w:t>
        </w:r>
        <w:r w:rsidRPr="007961F1">
          <w:rPr>
            <w:rFonts w:ascii="Arial Narrow" w:hAnsi="Arial Narrow" w:eastAsiaTheme="minorEastAsia" w:cs="Times New Roman"/>
          </w:rPr>
          <w:tab/>
        </w:r>
        <w:r w:rsidRPr="007961F1">
          <w:rPr>
            <w:rStyle w:val="Hyperlink"/>
            <w:rFonts w:ascii="Arial Narrow" w:hAnsi="Arial Narrow" w:cs="Arial Narrow"/>
          </w:rPr>
          <w:t>Vonkajšie prostredie a domáce očakávania</w:t>
        </w:r>
        <w:r w:rsidRPr="007961F1">
          <w:rPr>
            <w:rFonts w:ascii="Arial Narrow" w:hAnsi="Arial Narrow"/>
            <w:webHidden/>
          </w:rPr>
          <w:tab/>
        </w:r>
        <w:r w:rsidRPr="007961F1">
          <w:rPr>
            <w:rFonts w:ascii="Arial Narrow" w:hAnsi="Arial Narrow"/>
            <w:webHidden/>
          </w:rPr>
          <w:fldChar w:fldCharType="begin"/>
        </w:r>
        <w:r w:rsidRPr="007961F1">
          <w:rPr>
            <w:rFonts w:ascii="Arial Narrow" w:hAnsi="Arial Narrow"/>
            <w:webHidden/>
          </w:rPr>
          <w:instrText xml:space="preserve"> PAGEREF _Toc299709421 \h </w:instrText>
        </w:r>
        <w:r w:rsidRPr="007961F1">
          <w:rPr>
            <w:rFonts w:ascii="Arial Narrow" w:hAnsi="Arial Narrow"/>
            <w:webHidden/>
          </w:rPr>
          <w:fldChar w:fldCharType="separate"/>
        </w:r>
        <w:r w:rsidR="00BE561D">
          <w:rPr>
            <w:rFonts w:ascii="Arial Narrow" w:hAnsi="Arial Narrow"/>
            <w:webHidden/>
          </w:rPr>
          <w:t>6</w:t>
        </w:r>
        <w:r w:rsidRPr="007961F1">
          <w:rPr>
            <w:rFonts w:ascii="Arial Narrow" w:hAnsi="Arial Narrow"/>
            <w:webHidden/>
          </w:rPr>
          <w:fldChar w:fldCharType="end"/>
        </w:r>
      </w:hyperlink>
    </w:p>
    <w:p w:rsidR="007961F1" w:rsidRPr="007961F1">
      <w:pPr>
        <w:pStyle w:val="TOC2"/>
        <w:bidi w:val="0"/>
        <w:rPr>
          <w:rFonts w:ascii="Arial Narrow" w:hAnsi="Arial Narrow" w:eastAsiaTheme="minorEastAsia" w:cs="Times New Roman"/>
        </w:rPr>
      </w:pPr>
      <w:hyperlink w:anchor="_Toc299709424" w:history="1">
        <w:r w:rsidRPr="007961F1">
          <w:rPr>
            <w:rStyle w:val="Hyperlink"/>
            <w:rFonts w:ascii="Arial Narrow" w:hAnsi="Arial Narrow" w:cs="Arial Narrow"/>
          </w:rPr>
          <w:t>I.3.</w:t>
        </w:r>
        <w:r w:rsidRPr="007961F1">
          <w:rPr>
            <w:rFonts w:ascii="Arial Narrow" w:hAnsi="Arial Narrow" w:eastAsiaTheme="minorEastAsia" w:cs="Times New Roman"/>
          </w:rPr>
          <w:tab/>
        </w:r>
        <w:r w:rsidRPr="007961F1">
          <w:rPr>
            <w:rStyle w:val="Hyperlink"/>
            <w:rFonts w:ascii="Arial Narrow" w:hAnsi="Arial Narrow" w:cs="Arial Narrow"/>
          </w:rPr>
          <w:t>Aktualizácia makroekonomických prognóz</w:t>
        </w:r>
        <w:r w:rsidRPr="007961F1">
          <w:rPr>
            <w:rFonts w:ascii="Arial Narrow" w:hAnsi="Arial Narrow"/>
            <w:webHidden/>
          </w:rPr>
          <w:tab/>
        </w:r>
        <w:r w:rsidRPr="007961F1">
          <w:rPr>
            <w:rFonts w:ascii="Arial Narrow" w:hAnsi="Arial Narrow"/>
            <w:webHidden/>
          </w:rPr>
          <w:fldChar w:fldCharType="begin"/>
        </w:r>
        <w:r w:rsidRPr="007961F1">
          <w:rPr>
            <w:rFonts w:ascii="Arial Narrow" w:hAnsi="Arial Narrow"/>
            <w:webHidden/>
          </w:rPr>
          <w:instrText xml:space="preserve"> PAGEREF _Toc299709424 \h </w:instrText>
        </w:r>
        <w:r w:rsidRPr="007961F1">
          <w:rPr>
            <w:rFonts w:ascii="Arial Narrow" w:hAnsi="Arial Narrow"/>
            <w:webHidden/>
          </w:rPr>
          <w:fldChar w:fldCharType="separate"/>
        </w:r>
        <w:r w:rsidR="00BE561D">
          <w:rPr>
            <w:rFonts w:ascii="Arial Narrow" w:hAnsi="Arial Narrow"/>
            <w:webHidden/>
          </w:rPr>
          <w:t>7</w:t>
        </w:r>
        <w:r w:rsidRPr="007961F1">
          <w:rPr>
            <w:rFonts w:ascii="Arial Narrow" w:hAnsi="Arial Narrow"/>
            <w:webHidden/>
          </w:rPr>
          <w:fldChar w:fldCharType="end"/>
        </w:r>
      </w:hyperlink>
    </w:p>
    <w:p w:rsidR="007961F1" w:rsidRPr="007961F1">
      <w:pPr>
        <w:pStyle w:val="TOC1"/>
        <w:bidi w:val="0"/>
        <w:rPr>
          <w:rFonts w:eastAsiaTheme="minorEastAsia" w:cs="Times New Roman"/>
          <w:b w:val="0"/>
          <w:bCs w:val="0"/>
          <w:sz w:val="22"/>
          <w:szCs w:val="22"/>
        </w:rPr>
      </w:pPr>
      <w:hyperlink w:anchor="_Toc299709425" w:history="1">
        <w:r w:rsidRPr="007961F1">
          <w:rPr>
            <w:rStyle w:val="Hyperlink"/>
            <w:rFonts w:cs="Arial Narrow"/>
          </w:rPr>
          <w:t>II.</w:t>
        </w:r>
        <w:r w:rsidRPr="007961F1">
          <w:rPr>
            <w:rFonts w:eastAsiaTheme="minorEastAsia" w:cs="Times New Roman"/>
            <w:b w:val="0"/>
            <w:bCs w:val="0"/>
            <w:sz w:val="22"/>
            <w:szCs w:val="22"/>
          </w:rPr>
          <w:tab/>
        </w:r>
        <w:r w:rsidRPr="007961F1">
          <w:rPr>
            <w:rStyle w:val="Hyperlink"/>
          </w:rPr>
          <w:t>VÝVOJ VEREJNÝCH FINANCIÍ</w:t>
        </w:r>
        <w:r w:rsidRPr="007961F1">
          <w:rPr>
            <w:webHidden/>
          </w:rPr>
          <w:tab/>
        </w:r>
        <w:r w:rsidRPr="007961F1">
          <w:rPr>
            <w:webHidden/>
          </w:rPr>
          <w:fldChar w:fldCharType="begin"/>
        </w:r>
        <w:r w:rsidRPr="007961F1">
          <w:rPr>
            <w:webHidden/>
          </w:rPr>
          <w:instrText xml:space="preserve"> PAGEREF _Toc299709425 \h </w:instrText>
        </w:r>
        <w:r w:rsidRPr="007961F1">
          <w:rPr>
            <w:webHidden/>
          </w:rPr>
          <w:fldChar w:fldCharType="separate"/>
        </w:r>
        <w:r w:rsidR="00BE561D">
          <w:rPr>
            <w:webHidden/>
          </w:rPr>
          <w:t>8</w:t>
        </w:r>
        <w:r w:rsidRPr="007961F1">
          <w:rPr>
            <w:webHidden/>
          </w:rPr>
          <w:fldChar w:fldCharType="end"/>
        </w:r>
      </w:hyperlink>
    </w:p>
    <w:p w:rsidR="007961F1" w:rsidRPr="007961F1">
      <w:pPr>
        <w:pStyle w:val="TOC1"/>
        <w:bidi w:val="0"/>
        <w:rPr>
          <w:rFonts w:eastAsiaTheme="minorEastAsia" w:cs="Times New Roman"/>
          <w:b w:val="0"/>
          <w:bCs w:val="0"/>
          <w:sz w:val="22"/>
          <w:szCs w:val="22"/>
        </w:rPr>
      </w:pPr>
      <w:hyperlink w:anchor="_Toc299709430" w:history="1">
        <w:r w:rsidRPr="007961F1">
          <w:rPr>
            <w:rStyle w:val="Hyperlink"/>
            <w:rFonts w:cs="Arial Narrow"/>
          </w:rPr>
          <w:t>Príloha č.1: Daňové a odvodové príjmy v metodike ESA 95</w:t>
        </w:r>
        <w:r w:rsidRPr="007961F1">
          <w:rPr>
            <w:webHidden/>
          </w:rPr>
          <w:tab/>
        </w:r>
        <w:r w:rsidRPr="007961F1">
          <w:rPr>
            <w:webHidden/>
          </w:rPr>
          <w:fldChar w:fldCharType="begin"/>
        </w:r>
        <w:r w:rsidRPr="007961F1">
          <w:rPr>
            <w:webHidden/>
          </w:rPr>
          <w:instrText xml:space="preserve"> PAGEREF _Toc299709430 \h </w:instrText>
        </w:r>
        <w:r w:rsidRPr="007961F1">
          <w:rPr>
            <w:webHidden/>
          </w:rPr>
          <w:fldChar w:fldCharType="separate"/>
        </w:r>
        <w:r w:rsidR="00BE561D">
          <w:rPr>
            <w:webHidden/>
          </w:rPr>
          <w:t>12</w:t>
        </w:r>
        <w:r w:rsidRPr="007961F1">
          <w:rPr>
            <w:webHidden/>
          </w:rPr>
          <w:fldChar w:fldCharType="end"/>
        </w:r>
      </w:hyperlink>
    </w:p>
    <w:p w:rsidR="007961F1">
      <w:pPr>
        <w:pStyle w:val="TOC1"/>
        <w:bidi w:val="0"/>
        <w:rPr>
          <w:rFonts w:asciiTheme="minorHAnsi" w:eastAsiaTheme="minorEastAsia" w:hAnsiTheme="minorHAnsi" w:cs="Times New Roman"/>
          <w:b w:val="0"/>
          <w:bCs w:val="0"/>
          <w:sz w:val="22"/>
          <w:szCs w:val="22"/>
        </w:rPr>
      </w:pPr>
      <w:hyperlink w:anchor="_Toc299709431" w:history="1">
        <w:r w:rsidRPr="007961F1">
          <w:rPr>
            <w:rStyle w:val="Hyperlink"/>
            <w:rFonts w:cs="Arial Narrow"/>
          </w:rPr>
          <w:t>Príloha č.2: Čerpanie rezerv</w:t>
        </w:r>
        <w:r w:rsidR="00D35C6D">
          <w:rPr>
            <w:rStyle w:val="Hyperlink"/>
            <w:rFonts w:cs="Arial Narrow"/>
          </w:rPr>
          <w:t xml:space="preserve"> štátneho rozpočtu</w:t>
        </w:r>
        <w:r w:rsidRPr="007961F1">
          <w:rPr>
            <w:webHidden/>
          </w:rPr>
          <w:tab/>
        </w:r>
        <w:r w:rsidRPr="007961F1">
          <w:rPr>
            <w:webHidden/>
          </w:rPr>
          <w:fldChar w:fldCharType="begin"/>
        </w:r>
        <w:r w:rsidRPr="007961F1">
          <w:rPr>
            <w:webHidden/>
          </w:rPr>
          <w:instrText xml:space="preserve"> PAGEREF _Toc299709431 \h </w:instrText>
        </w:r>
        <w:r w:rsidRPr="007961F1">
          <w:rPr>
            <w:webHidden/>
          </w:rPr>
          <w:fldChar w:fldCharType="separate"/>
        </w:r>
        <w:r w:rsidR="00BE561D">
          <w:rPr>
            <w:webHidden/>
          </w:rPr>
          <w:t>16</w:t>
        </w:r>
        <w:r w:rsidRPr="007961F1">
          <w:rPr>
            <w:webHidden/>
          </w:rPr>
          <w:fldChar w:fldCharType="end"/>
        </w:r>
      </w:hyperlink>
    </w:p>
    <w:p w:rsidR="00710B65" w:rsidRPr="00AB4446" w:rsidP="00710B65">
      <w:pPr>
        <w:pStyle w:val="Heading1"/>
        <w:bidi w:val="0"/>
        <w:rPr>
          <w:rFonts w:ascii="Arial Narrow" w:hAnsi="Arial Narrow" w:cs="Arial Narrow"/>
        </w:rPr>
      </w:pPr>
      <w:r w:rsidRPr="006628CB">
        <w:fldChar w:fldCharType="end"/>
      </w:r>
    </w:p>
    <w:p w:rsidR="00403E79" w:rsidRPr="00AB4446" w:rsidP="00710B65">
      <w:pPr>
        <w:pStyle w:val="Heading1"/>
        <w:bidi w:val="0"/>
        <w:spacing w:before="0" w:after="0"/>
        <w:rPr>
          <w:rFonts w:ascii="Arial Narrow" w:hAnsi="Arial Narrow" w:cs="Arial Narrow"/>
        </w:rPr>
      </w:pPr>
      <w:r w:rsidRPr="00AB4446" w:rsidR="00710B65">
        <w:rPr>
          <w:rFonts w:ascii="Arial Narrow" w:hAnsi="Arial Narrow" w:cs="Arial Narrow"/>
        </w:rPr>
        <w:br w:type="page"/>
      </w:r>
      <w:bookmarkStart w:id="1" w:name="_Toc299709416"/>
      <w:r w:rsidRPr="00AB4446">
        <w:rPr>
          <w:rFonts w:ascii="Arial Narrow" w:hAnsi="Arial Narrow" w:cs="Arial Narrow"/>
          <w:sz w:val="28"/>
          <w:szCs w:val="28"/>
        </w:rPr>
        <w:t>ZHRNUTIE</w:t>
      </w:r>
      <w:bookmarkEnd w:id="0"/>
      <w:bookmarkEnd w:id="1"/>
    </w:p>
    <w:p w:rsidR="00403E79" w:rsidRPr="00B93BE5" w:rsidP="00403E79">
      <w:pPr>
        <w:bidi w:val="0"/>
        <w:rPr>
          <w:rFonts w:ascii="Arial Narrow" w:hAnsi="Arial Narrow" w:cs="Arial Narrow"/>
          <w:sz w:val="16"/>
          <w:szCs w:val="16"/>
        </w:rPr>
      </w:pPr>
    </w:p>
    <w:p w:rsidR="00403E79" w:rsidRPr="005D5374" w:rsidP="00403E79">
      <w:pPr>
        <w:bidi w:val="0"/>
        <w:jc w:val="both"/>
        <w:rPr>
          <w:rFonts w:ascii="Arial Narrow" w:hAnsi="Arial Narrow" w:cs="Arial Narrow"/>
        </w:rPr>
      </w:pPr>
      <w:r w:rsidRPr="005D5374">
        <w:rPr>
          <w:rFonts w:ascii="Arial Narrow" w:hAnsi="Arial Narrow" w:cs="Arial Narrow"/>
        </w:rPr>
        <w:t xml:space="preserve">V nadväznosti na zverejnenú Štatistickú správu o základných vývojových tendenciách v hospodárstve SR </w:t>
      </w:r>
      <w:r>
        <w:rPr>
          <w:rFonts w:ascii="Arial Narrow" w:hAnsi="Arial Narrow" w:cs="Arial Narrow"/>
        </w:rPr>
        <w:t xml:space="preserve">       </w:t>
      </w:r>
      <w:r w:rsidRPr="005D5374">
        <w:rPr>
          <w:rFonts w:ascii="Arial Narrow" w:hAnsi="Arial Narrow" w:cs="Arial Narrow"/>
        </w:rPr>
        <w:t>v 1. štvrťrok</w:t>
      </w:r>
      <w:r>
        <w:rPr>
          <w:rFonts w:ascii="Arial Narrow" w:hAnsi="Arial Narrow" w:cs="Arial Narrow"/>
        </w:rPr>
        <w:t>u 2011</w:t>
      </w:r>
      <w:r w:rsidRPr="005D5374">
        <w:rPr>
          <w:rFonts w:ascii="Arial Narrow" w:hAnsi="Arial Narrow" w:cs="Arial Narrow"/>
        </w:rPr>
        <w:t xml:space="preserve"> a mesačné indikátory vývoja ekonomiky vypracovalo MF SR aktualizáciu svojej predikcie o makroekonomicko</w:t>
      </w:r>
      <w:r>
        <w:rPr>
          <w:rFonts w:ascii="Arial Narrow" w:hAnsi="Arial Narrow" w:cs="Arial Narrow"/>
        </w:rPr>
        <w:t>m a fiškálnom vývoji v roku 2011</w:t>
      </w:r>
      <w:r w:rsidRPr="005D5374">
        <w:rPr>
          <w:rFonts w:ascii="Arial Narrow" w:hAnsi="Arial Narrow" w:cs="Arial Narrow"/>
        </w:rPr>
        <w:t xml:space="preserve"> s cieľom posúdiť ich vplyv na pozíciu verejných financií.</w:t>
      </w:r>
    </w:p>
    <w:p w:rsidR="00403E79" w:rsidRPr="00B93BE5" w:rsidP="00403E79">
      <w:pPr>
        <w:bidi w:val="0"/>
        <w:jc w:val="both"/>
        <w:rPr>
          <w:rFonts w:ascii="Arial Narrow" w:hAnsi="Arial Narrow" w:cs="Arial Narrow"/>
          <w:sz w:val="16"/>
          <w:szCs w:val="16"/>
        </w:rPr>
      </w:pPr>
    </w:p>
    <w:p w:rsidR="00403E79" w:rsidP="00403E79">
      <w:pPr>
        <w:bidi w:val="0"/>
        <w:jc w:val="both"/>
        <w:rPr>
          <w:rFonts w:ascii="Arial Narrow" w:hAnsi="Arial Narrow" w:cs="Arial Narrow"/>
        </w:rPr>
      </w:pPr>
      <w:r>
        <w:rPr>
          <w:rFonts w:ascii="Arial Narrow" w:hAnsi="Arial Narrow" w:cs="Arial Narrow"/>
        </w:rPr>
        <w:t>Slovenská ekonomika by mala napriek výraznej fiškálnej konsolidácii dosiahnuť pomerne vysoký, hoci oproti minulému roku mierne pomalší ekonomický rast. Je potešiteľné, že rast zahraničného dopytu a priemyselná produkcia dokážu vo veľkej miere nahradiť slabší domáci dopyt prameniaci zo znižovania verejného deficitu</w:t>
      </w:r>
      <w:r w:rsidR="009C51D3">
        <w:rPr>
          <w:rFonts w:ascii="Arial Narrow" w:hAnsi="Arial Narrow" w:cs="Arial Narrow"/>
        </w:rPr>
        <w:t>,</w:t>
      </w:r>
      <w:r>
        <w:rPr>
          <w:rFonts w:ascii="Arial Narrow" w:hAnsi="Arial Narrow" w:cs="Arial Narrow"/>
        </w:rPr>
        <w:t xml:space="preserve"> ale aj vyššej inflácii, ktorá vzrástla kvôli vysokým cenám komodít na svetových trhoch (ropa, potraviny) a konsolidačným opatreniam vlády (najmä zvýšenie DPH).</w:t>
      </w:r>
      <w:r w:rsidRPr="00B728A7">
        <w:rPr>
          <w:rFonts w:ascii="Arial Narrow" w:hAnsi="Arial Narrow" w:cs="Arial Narrow"/>
        </w:rPr>
        <w:t xml:space="preserve"> Slovenská ekonomika </w:t>
      </w:r>
      <w:r>
        <w:rPr>
          <w:rFonts w:ascii="Arial Narrow" w:hAnsi="Arial Narrow" w:cs="Arial Narrow"/>
        </w:rPr>
        <w:t>vzrástla v prvom štvrťroku 2011</w:t>
      </w:r>
      <w:r w:rsidRPr="00B728A7">
        <w:rPr>
          <w:rFonts w:ascii="Arial Narrow" w:hAnsi="Arial Narrow" w:cs="Arial Narrow"/>
        </w:rPr>
        <w:t xml:space="preserve"> </w:t>
      </w:r>
      <w:r>
        <w:rPr>
          <w:rFonts w:ascii="Arial Narrow" w:hAnsi="Arial Narrow" w:cs="Arial Narrow"/>
        </w:rPr>
        <w:t xml:space="preserve">medziročne o 3,5%. </w:t>
      </w:r>
      <w:r w:rsidRPr="00B728A7">
        <w:rPr>
          <w:rFonts w:ascii="Arial Narrow" w:hAnsi="Arial Narrow" w:cs="Arial Narrow"/>
        </w:rPr>
        <w:t xml:space="preserve">Očakáva </w:t>
      </w:r>
      <w:r>
        <w:rPr>
          <w:rFonts w:ascii="Arial Narrow" w:hAnsi="Arial Narrow" w:cs="Arial Narrow"/>
        </w:rPr>
        <w:t>sa, že rast HDP za celý rok 2011</w:t>
      </w:r>
      <w:r w:rsidRPr="00B728A7">
        <w:rPr>
          <w:rFonts w:ascii="Arial Narrow" w:hAnsi="Arial Narrow" w:cs="Arial Narrow"/>
        </w:rPr>
        <w:t xml:space="preserve"> dosiahne </w:t>
      </w:r>
      <w:r w:rsidR="009C51D3">
        <w:rPr>
          <w:rFonts w:ascii="Arial Narrow" w:hAnsi="Arial Narrow" w:cs="Arial Narrow"/>
        </w:rPr>
        <w:t xml:space="preserve">podobnú </w:t>
      </w:r>
      <w:r w:rsidRPr="00B728A7">
        <w:rPr>
          <w:rFonts w:ascii="Arial Narrow" w:hAnsi="Arial Narrow" w:cs="Arial Narrow"/>
        </w:rPr>
        <w:t xml:space="preserve">úroveň </w:t>
      </w:r>
      <w:r>
        <w:rPr>
          <w:rFonts w:ascii="Arial Narrow" w:hAnsi="Arial Narrow" w:cs="Arial Narrow"/>
        </w:rPr>
        <w:t>3,6</w:t>
      </w:r>
      <w:r w:rsidRPr="00B728A7">
        <w:rPr>
          <w:rFonts w:ascii="Arial Narrow" w:hAnsi="Arial Narrow" w:cs="Arial Narrow"/>
        </w:rPr>
        <w:t>%, čo je v porovnaní s p</w:t>
      </w:r>
      <w:r>
        <w:rPr>
          <w:rFonts w:ascii="Arial Narrow" w:hAnsi="Arial Narrow" w:cs="Arial Narrow"/>
        </w:rPr>
        <w:t>redpokladmi rozpočtu na rok 2011</w:t>
      </w:r>
      <w:r w:rsidRPr="00B728A7">
        <w:rPr>
          <w:rFonts w:ascii="Arial Narrow" w:hAnsi="Arial Narrow" w:cs="Arial Narrow"/>
        </w:rPr>
        <w:t xml:space="preserve"> </w:t>
      </w:r>
      <w:r>
        <w:rPr>
          <w:rFonts w:ascii="Arial Narrow" w:hAnsi="Arial Narrow" w:cs="Arial Narrow"/>
        </w:rPr>
        <w:t xml:space="preserve">viac </w:t>
      </w:r>
      <w:r w:rsidRPr="00B728A7">
        <w:rPr>
          <w:rFonts w:ascii="Arial Narrow" w:hAnsi="Arial Narrow" w:cs="Arial Narrow"/>
        </w:rPr>
        <w:t>o</w:t>
      </w:r>
      <w:r>
        <w:rPr>
          <w:rFonts w:ascii="Arial Narrow" w:hAnsi="Arial Narrow" w:cs="Arial Narrow"/>
        </w:rPr>
        <w:t> 0,3 p.b</w:t>
      </w:r>
      <w:r w:rsidRPr="00B728A7">
        <w:rPr>
          <w:rFonts w:ascii="Arial Narrow" w:hAnsi="Arial Narrow" w:cs="Arial Narrow"/>
        </w:rPr>
        <w:t xml:space="preserve">. </w:t>
      </w:r>
      <w:r>
        <w:rPr>
          <w:rFonts w:ascii="Arial Narrow" w:hAnsi="Arial Narrow" w:cs="Arial Narrow"/>
        </w:rPr>
        <w:t xml:space="preserve">Z pohľadu daňových a odvodových príjmov je štruktúra ekonomického rastu oproti predpokladom rozpočtu mierne pozitívnejšia, keď sa očakáva výrazne vyšší rast zamestnanosti, ktorý aj napriek nižším </w:t>
      </w:r>
      <w:r w:rsidR="009C51D3">
        <w:rPr>
          <w:rFonts w:ascii="Arial Narrow" w:hAnsi="Arial Narrow" w:cs="Arial Narrow"/>
        </w:rPr>
        <w:t xml:space="preserve">reálnym </w:t>
      </w:r>
      <w:r>
        <w:rPr>
          <w:rFonts w:ascii="Arial Narrow" w:hAnsi="Arial Narrow" w:cs="Arial Narrow"/>
        </w:rPr>
        <w:t>mzdám prispeje k vyššej spotrebe domácností</w:t>
      </w:r>
      <w:r w:rsidR="009C51D3">
        <w:rPr>
          <w:rFonts w:ascii="Arial Narrow" w:hAnsi="Arial Narrow" w:cs="Arial Narrow"/>
        </w:rPr>
        <w:t xml:space="preserve"> a teda aj celkovej životnej úrovni</w:t>
      </w:r>
      <w:r>
        <w:rPr>
          <w:rFonts w:ascii="Arial Narrow" w:hAnsi="Arial Narrow" w:cs="Arial Narrow"/>
        </w:rPr>
        <w:t xml:space="preserve">. </w:t>
      </w:r>
    </w:p>
    <w:p w:rsidR="00843BFE" w:rsidP="00403E79">
      <w:pPr>
        <w:bidi w:val="0"/>
        <w:jc w:val="both"/>
        <w:rPr>
          <w:rFonts w:ascii="Arial Narrow" w:hAnsi="Arial Narrow" w:cs="Arial Narrow"/>
        </w:rPr>
      </w:pPr>
    </w:p>
    <w:p w:rsidR="0093581D" w:rsidP="00843BFE">
      <w:pPr>
        <w:bidi w:val="0"/>
        <w:jc w:val="both"/>
        <w:rPr>
          <w:rFonts w:ascii="Arial Narrow" w:hAnsi="Arial Narrow" w:cs="Arial Narrow"/>
        </w:rPr>
      </w:pPr>
      <w:r>
        <w:rPr>
          <w:rFonts w:ascii="Arial Narrow" w:hAnsi="Arial Narrow" w:cs="Arial Narrow"/>
        </w:rPr>
        <w:t>Základný</w:t>
      </w:r>
      <w:r w:rsidRPr="00403E79" w:rsidR="00843BFE">
        <w:rPr>
          <w:rFonts w:ascii="Arial Narrow" w:hAnsi="Arial Narrow" w:cs="Arial Narrow"/>
        </w:rPr>
        <w:t xml:space="preserve"> rozpočtový cieľ vlády na rok 2011 bol stanovený v rámci rozpočtu verejnej správy na roky 2011 až 2013 v podobe </w:t>
      </w:r>
      <w:r w:rsidRPr="00843BFE" w:rsidR="00843BFE">
        <w:rPr>
          <w:rFonts w:ascii="Arial Narrow" w:hAnsi="Arial Narrow" w:cs="Arial Narrow"/>
          <w:b/>
        </w:rPr>
        <w:t>deficitu verejnej správy vo výške</w:t>
      </w:r>
      <w:r w:rsidRPr="00403E79" w:rsidR="00843BFE">
        <w:rPr>
          <w:rFonts w:ascii="Arial Narrow" w:hAnsi="Arial Narrow" w:cs="Arial Narrow"/>
          <w:b/>
          <w:bCs/>
        </w:rPr>
        <w:t xml:space="preserve"> 4,9 % HDP</w:t>
      </w:r>
      <w:r w:rsidRPr="00403E79" w:rsidR="00843BFE">
        <w:rPr>
          <w:rFonts w:ascii="Arial Narrow" w:hAnsi="Arial Narrow" w:cs="Arial Narrow"/>
        </w:rPr>
        <w:t xml:space="preserve">. Na základe v súčasnosti dostupných informácií sa očakáva, že uvedený </w:t>
      </w:r>
      <w:r w:rsidRPr="00403E79" w:rsidR="00843BFE">
        <w:rPr>
          <w:rFonts w:ascii="Arial Narrow" w:hAnsi="Arial Narrow" w:cs="Arial Narrow"/>
          <w:b/>
        </w:rPr>
        <w:t>cieľ bude splnený</w:t>
      </w:r>
      <w:r w:rsidRPr="00312CF3" w:rsidR="00312CF3">
        <w:rPr>
          <w:rFonts w:ascii="Arial Narrow" w:hAnsi="Arial Narrow" w:cs="Arial Narrow"/>
          <w:b/>
        </w:rPr>
        <w:t>, hoci významné riziká prekročenia deficitu stále existujú.</w:t>
      </w:r>
    </w:p>
    <w:p w:rsidR="0093581D" w:rsidP="00843BFE">
      <w:pPr>
        <w:bidi w:val="0"/>
        <w:jc w:val="both"/>
        <w:rPr>
          <w:rFonts w:ascii="Arial Narrow" w:hAnsi="Arial Narrow" w:cs="Arial Narrow"/>
        </w:rPr>
      </w:pPr>
    </w:p>
    <w:p w:rsidR="00BB2D71" w:rsidP="00843BFE">
      <w:pPr>
        <w:bidi w:val="0"/>
        <w:jc w:val="both"/>
        <w:rPr>
          <w:rFonts w:ascii="Arial Narrow" w:hAnsi="Arial Narrow" w:cs="Arial Narrow"/>
        </w:rPr>
      </w:pPr>
      <w:r w:rsidRPr="0093581D">
        <w:rPr>
          <w:rFonts w:ascii="Arial Narrow" w:hAnsi="Arial Narrow" w:cs="Arial Narrow"/>
          <w:b/>
        </w:rPr>
        <w:t>V nominálnom vyjadrení sa odhaduje, že deficit verejnej správy sa v porovnaní s rozpočtom zlepší takmer o 35 mil. eur</w:t>
      </w:r>
      <w:r w:rsidR="0093581D">
        <w:rPr>
          <w:rFonts w:ascii="Arial Narrow" w:hAnsi="Arial Narrow" w:cs="Arial Narrow"/>
        </w:rPr>
        <w:t xml:space="preserve">, pričom </w:t>
      </w:r>
      <w:r w:rsidRPr="0093581D" w:rsidR="0093581D">
        <w:rPr>
          <w:rFonts w:ascii="Arial Narrow" w:hAnsi="Arial Narrow" w:cs="Arial Narrow"/>
          <w:b/>
        </w:rPr>
        <w:t>pozitívnymi faktormi</w:t>
      </w:r>
      <w:r w:rsidR="0093581D">
        <w:rPr>
          <w:rFonts w:ascii="Arial Narrow" w:hAnsi="Arial Narrow" w:cs="Arial Narrow"/>
        </w:rPr>
        <w:t xml:space="preserve"> sú:</w:t>
      </w:r>
    </w:p>
    <w:p w:rsidR="0093581D" w:rsidP="0093581D">
      <w:pPr>
        <w:pStyle w:val="ListParagraph"/>
        <w:numPr>
          <w:numId w:val="44"/>
        </w:numPr>
        <w:bidi w:val="0"/>
        <w:jc w:val="both"/>
        <w:rPr>
          <w:rFonts w:ascii="Arial Narrow" w:hAnsi="Arial Narrow" w:cs="Arial Narrow"/>
        </w:rPr>
      </w:pPr>
      <w:r w:rsidR="00807520">
        <w:rPr>
          <w:rFonts w:ascii="Arial Narrow" w:hAnsi="Arial Narrow" w:cs="Arial Narrow"/>
        </w:rPr>
        <w:t>ú</w:t>
      </w:r>
      <w:r>
        <w:rPr>
          <w:rFonts w:ascii="Arial Narrow" w:hAnsi="Arial Narrow" w:cs="Arial Narrow"/>
        </w:rPr>
        <w:t xml:space="preserve">spora prostriedkov určených na financovanie spoločných programov SR a EÚ vo výške </w:t>
      </w:r>
      <w:r w:rsidRPr="000336FC">
        <w:rPr>
          <w:rFonts w:ascii="Arial Narrow" w:hAnsi="Arial Narrow" w:cs="Arial Narrow"/>
          <w:b/>
        </w:rPr>
        <w:t>210 mil. eur</w:t>
      </w:r>
      <w:r>
        <w:rPr>
          <w:rFonts w:ascii="Arial Narrow" w:hAnsi="Arial Narrow" w:cs="Arial Narrow"/>
        </w:rPr>
        <w:t xml:space="preserve"> súvisiaca s nižším predpokladaným čerpaním prostriedkov EÚ v tomto roku</w:t>
      </w:r>
      <w:r w:rsidR="00807520">
        <w:rPr>
          <w:rFonts w:ascii="Arial Narrow" w:hAnsi="Arial Narrow" w:cs="Arial Narrow"/>
        </w:rPr>
        <w:t>,</w:t>
      </w:r>
    </w:p>
    <w:p w:rsidR="0093581D" w:rsidP="0093581D">
      <w:pPr>
        <w:pStyle w:val="ListParagraph"/>
        <w:numPr>
          <w:numId w:val="44"/>
        </w:numPr>
        <w:bidi w:val="0"/>
        <w:jc w:val="both"/>
        <w:rPr>
          <w:rFonts w:ascii="Arial Narrow" w:hAnsi="Arial Narrow" w:cs="Arial Narrow"/>
        </w:rPr>
      </w:pPr>
      <w:r w:rsidR="00807520">
        <w:rPr>
          <w:rFonts w:ascii="Arial Narrow" w:hAnsi="Arial Narrow" w:cs="Arial Narrow"/>
        </w:rPr>
        <w:t>ú</w:t>
      </w:r>
      <w:r>
        <w:rPr>
          <w:rFonts w:ascii="Arial Narrow" w:hAnsi="Arial Narrow" w:cs="Arial Narrow"/>
        </w:rPr>
        <w:t xml:space="preserve">spora vo výdavkoch štátneho dlhu vo výške </w:t>
      </w:r>
      <w:r w:rsidRPr="000336FC">
        <w:rPr>
          <w:rFonts w:ascii="Arial Narrow" w:hAnsi="Arial Narrow" w:cs="Arial Narrow"/>
          <w:b/>
        </w:rPr>
        <w:t>100 mil. eur</w:t>
      </w:r>
      <w:r>
        <w:rPr>
          <w:rFonts w:ascii="Arial Narrow" w:hAnsi="Arial Narrow" w:cs="Arial Narrow"/>
        </w:rPr>
        <w:t xml:space="preserve"> v dôsledku </w:t>
      </w:r>
      <w:r w:rsidR="00807520">
        <w:rPr>
          <w:rFonts w:ascii="Arial Narrow" w:hAnsi="Arial Narrow" w:cs="Arial Narrow"/>
        </w:rPr>
        <w:t>priaznivého</w:t>
      </w:r>
      <w:r>
        <w:rPr>
          <w:rFonts w:ascii="Arial Narrow" w:hAnsi="Arial Narrow" w:cs="Arial Narrow"/>
        </w:rPr>
        <w:t xml:space="preserve"> vývoja deficitu štátneho rozpočtu v prvom polroku </w:t>
      </w:r>
      <w:r w:rsidR="001F5DCD">
        <w:rPr>
          <w:rFonts w:ascii="Arial Narrow" w:hAnsi="Arial Narrow" w:cs="Arial Narrow"/>
        </w:rPr>
        <w:t>tohto roku,</w:t>
      </w:r>
    </w:p>
    <w:p w:rsidR="00D8284C" w:rsidP="002065AA">
      <w:pPr>
        <w:pStyle w:val="ListParagraph"/>
        <w:numPr>
          <w:numId w:val="44"/>
        </w:numPr>
        <w:bidi w:val="0"/>
        <w:jc w:val="both"/>
        <w:rPr>
          <w:rFonts w:ascii="Arial Narrow" w:hAnsi="Arial Narrow" w:cs="Arial Narrow"/>
        </w:rPr>
      </w:pPr>
      <w:r w:rsidR="00807520">
        <w:rPr>
          <w:rFonts w:ascii="Arial Narrow" w:hAnsi="Arial Narrow" w:cs="Arial Narrow"/>
        </w:rPr>
        <w:t>v</w:t>
      </w:r>
      <w:r w:rsidR="0093581D">
        <w:rPr>
          <w:rFonts w:ascii="Arial Narrow" w:hAnsi="Arial Narrow" w:cs="Arial Narrow"/>
        </w:rPr>
        <w:t xml:space="preserve">yššie príjmy z dividend z podnikov s majetkovou účasťou štátu </w:t>
      </w:r>
      <w:r w:rsidR="002065AA">
        <w:rPr>
          <w:rFonts w:ascii="Arial Narrow" w:hAnsi="Arial Narrow" w:cs="Arial Narrow"/>
        </w:rPr>
        <w:t>a zvýšenie iných nedaňových príjmov štátneho rozpočtu približne o </w:t>
      </w:r>
      <w:r w:rsidR="00611BCC">
        <w:rPr>
          <w:rFonts w:ascii="Arial Narrow" w:hAnsi="Arial Narrow" w:cs="Arial Narrow"/>
          <w:b/>
        </w:rPr>
        <w:t>129</w:t>
      </w:r>
      <w:r w:rsidRPr="000336FC" w:rsidR="002065AA">
        <w:rPr>
          <w:rFonts w:ascii="Arial Narrow" w:hAnsi="Arial Narrow" w:cs="Arial Narrow"/>
          <w:b/>
        </w:rPr>
        <w:t xml:space="preserve"> mil. eur</w:t>
      </w:r>
      <w:r w:rsidR="00807520">
        <w:rPr>
          <w:rFonts w:ascii="Arial Narrow" w:hAnsi="Arial Narrow" w:cs="Arial Narrow"/>
        </w:rPr>
        <w:t>,</w:t>
      </w:r>
    </w:p>
    <w:p w:rsidR="00807520" w:rsidP="002065AA">
      <w:pPr>
        <w:pStyle w:val="ListParagraph"/>
        <w:numPr>
          <w:numId w:val="44"/>
        </w:numPr>
        <w:bidi w:val="0"/>
        <w:jc w:val="both"/>
        <w:rPr>
          <w:rFonts w:ascii="Arial Narrow" w:hAnsi="Arial Narrow" w:cs="Arial Narrow"/>
        </w:rPr>
      </w:pPr>
      <w:r>
        <w:rPr>
          <w:rFonts w:ascii="Arial Narrow" w:hAnsi="Arial Narrow" w:cs="Arial Narrow"/>
        </w:rPr>
        <w:t xml:space="preserve">úspory na odvode do rozpočtu EÚ vrátane jej rezervy vo výške približne </w:t>
      </w:r>
      <w:r w:rsidRPr="000336FC">
        <w:rPr>
          <w:rFonts w:ascii="Arial Narrow" w:hAnsi="Arial Narrow" w:cs="Arial Narrow"/>
          <w:b/>
        </w:rPr>
        <w:t>37 mil. eur</w:t>
      </w:r>
      <w:r>
        <w:rPr>
          <w:rFonts w:ascii="Arial Narrow" w:hAnsi="Arial Narrow" w:cs="Arial Narrow"/>
        </w:rPr>
        <w:t xml:space="preserve">, čo súvisí najmä s prerozdelením </w:t>
      </w:r>
      <w:r w:rsidR="00735654">
        <w:rPr>
          <w:rFonts w:ascii="Arial Narrow" w:hAnsi="Arial Narrow" w:cs="Arial Narrow"/>
        </w:rPr>
        <w:t>rozpočtového prebytku rozpočtu EÚ za rok 2010</w:t>
      </w:r>
      <w:r w:rsidR="009B7DD3">
        <w:rPr>
          <w:rFonts w:ascii="Arial Narrow" w:hAnsi="Arial Narrow" w:cs="Arial Narrow"/>
        </w:rPr>
        <w:t xml:space="preserve"> medzi členské štáty</w:t>
      </w:r>
      <w:r w:rsidR="001F5DCD">
        <w:rPr>
          <w:rFonts w:ascii="Arial Narrow" w:hAnsi="Arial Narrow" w:cs="Arial Narrow"/>
        </w:rPr>
        <w:t>,</w:t>
      </w:r>
    </w:p>
    <w:p w:rsidR="001F5DCD" w:rsidRPr="002065AA" w:rsidP="002065AA">
      <w:pPr>
        <w:pStyle w:val="ListParagraph"/>
        <w:numPr>
          <w:numId w:val="44"/>
        </w:numPr>
        <w:bidi w:val="0"/>
        <w:jc w:val="both"/>
        <w:rPr>
          <w:rFonts w:ascii="Arial Narrow" w:hAnsi="Arial Narrow" w:cs="Arial Narrow"/>
        </w:rPr>
      </w:pPr>
      <w:r>
        <w:rPr>
          <w:rFonts w:ascii="Arial Narrow" w:hAnsi="Arial Narrow" w:cs="Arial Narrow"/>
        </w:rPr>
        <w:t>ostatné faktory</w:t>
      </w:r>
      <w:r w:rsidR="00312CF3">
        <w:rPr>
          <w:rFonts w:ascii="Arial Narrow" w:hAnsi="Arial Narrow" w:cs="Arial Narrow"/>
        </w:rPr>
        <w:t>, vrátane daňových príjmov,</w:t>
      </w:r>
      <w:r>
        <w:rPr>
          <w:rFonts w:ascii="Arial Narrow" w:hAnsi="Arial Narrow" w:cs="Arial Narrow"/>
        </w:rPr>
        <w:t xml:space="preserve"> s celkovým pozitívnym vplyvom vo výške približne </w:t>
      </w:r>
      <w:r w:rsidR="00312CF3">
        <w:rPr>
          <w:rFonts w:ascii="Arial Narrow" w:hAnsi="Arial Narrow" w:cs="Arial Narrow"/>
          <w:b/>
        </w:rPr>
        <w:t>6</w:t>
      </w:r>
      <w:r w:rsidRPr="000336FC" w:rsidR="00312CF3">
        <w:rPr>
          <w:rFonts w:ascii="Arial Narrow" w:hAnsi="Arial Narrow" w:cs="Arial Narrow"/>
          <w:b/>
        </w:rPr>
        <w:t xml:space="preserve">1 </w:t>
      </w:r>
      <w:r w:rsidRPr="000336FC" w:rsidR="009B7DD3">
        <w:rPr>
          <w:rFonts w:ascii="Arial Narrow" w:hAnsi="Arial Narrow" w:cs="Arial Narrow"/>
          <w:b/>
        </w:rPr>
        <w:t>mil. eur</w:t>
      </w:r>
      <w:r w:rsidR="009B7DD3">
        <w:rPr>
          <w:rFonts w:ascii="Arial Narrow" w:hAnsi="Arial Narrow" w:cs="Arial Narrow"/>
        </w:rPr>
        <w:t>.</w:t>
      </w:r>
    </w:p>
    <w:p w:rsidR="00843BFE" w:rsidRPr="00403E79" w:rsidP="00843BFE">
      <w:pPr>
        <w:bidi w:val="0"/>
        <w:jc w:val="both"/>
        <w:rPr>
          <w:rFonts w:ascii="Arial Narrow" w:hAnsi="Arial Narrow" w:cs="Arial Narrow"/>
        </w:rPr>
      </w:pPr>
      <w:r w:rsidR="00BB2D71">
        <w:rPr>
          <w:rFonts w:ascii="Arial Narrow" w:hAnsi="Arial Narrow" w:cs="Arial Narrow"/>
        </w:rPr>
        <w:t xml:space="preserve"> </w:t>
      </w:r>
    </w:p>
    <w:p w:rsidR="00843BFE" w:rsidP="00403E79">
      <w:pPr>
        <w:bidi w:val="0"/>
        <w:jc w:val="both"/>
        <w:rPr>
          <w:rFonts w:ascii="Arial Narrow" w:hAnsi="Arial Narrow" w:cs="Arial Narrow"/>
        </w:rPr>
      </w:pPr>
      <w:r w:rsidR="0093581D">
        <w:rPr>
          <w:rFonts w:ascii="Arial Narrow" w:hAnsi="Arial Narrow" w:cs="Arial Narrow"/>
        </w:rPr>
        <w:t xml:space="preserve">Uvedené pozitíva budú do istej miery kompenzované nasledovnými </w:t>
      </w:r>
      <w:r w:rsidRPr="0093581D" w:rsidR="0093581D">
        <w:rPr>
          <w:rFonts w:ascii="Arial Narrow" w:hAnsi="Arial Narrow" w:cs="Arial Narrow"/>
          <w:b/>
        </w:rPr>
        <w:t>negatívnymi faktormi</w:t>
      </w:r>
      <w:r w:rsidR="0093581D">
        <w:rPr>
          <w:rFonts w:ascii="Arial Narrow" w:hAnsi="Arial Narrow" w:cs="Arial Narrow"/>
        </w:rPr>
        <w:t>:</w:t>
      </w:r>
    </w:p>
    <w:p w:rsidR="0093581D" w:rsidP="00D8284C">
      <w:pPr>
        <w:pStyle w:val="ListParagraph"/>
        <w:numPr>
          <w:numId w:val="45"/>
        </w:numPr>
        <w:bidi w:val="0"/>
        <w:jc w:val="both"/>
        <w:rPr>
          <w:rFonts w:ascii="Arial Narrow" w:hAnsi="Arial Narrow" w:cs="Arial Narrow"/>
        </w:rPr>
      </w:pPr>
      <w:r w:rsidR="00807520">
        <w:rPr>
          <w:rFonts w:ascii="Arial Narrow" w:hAnsi="Arial Narrow" w:cs="Arial Narrow"/>
        </w:rPr>
        <w:t>v</w:t>
      </w:r>
      <w:r w:rsidR="00D8284C">
        <w:rPr>
          <w:rFonts w:ascii="Arial Narrow" w:hAnsi="Arial Narrow" w:cs="Arial Narrow"/>
        </w:rPr>
        <w:t>ykrytie strát železničných spoločností a uskutočnenie opatrení v rámci programu ich revitalizácie</w:t>
      </w:r>
      <w:r w:rsidR="00807520">
        <w:rPr>
          <w:rFonts w:ascii="Arial Narrow" w:hAnsi="Arial Narrow" w:cs="Arial Narrow"/>
        </w:rPr>
        <w:t>, čo</w:t>
      </w:r>
      <w:r w:rsidR="00D8284C">
        <w:rPr>
          <w:rFonts w:ascii="Arial Narrow" w:hAnsi="Arial Narrow" w:cs="Arial Narrow"/>
        </w:rPr>
        <w:t xml:space="preserve"> si  vyžiada dodatočné prostriedky vo výške takmer </w:t>
      </w:r>
      <w:r w:rsidRPr="000336FC" w:rsidR="00D8284C">
        <w:rPr>
          <w:rFonts w:ascii="Arial Narrow" w:hAnsi="Arial Narrow" w:cs="Arial Narrow"/>
          <w:b/>
        </w:rPr>
        <w:t>231 mil. eur</w:t>
      </w:r>
      <w:r w:rsidR="00807520">
        <w:rPr>
          <w:rFonts w:ascii="Arial Narrow" w:hAnsi="Arial Narrow" w:cs="Arial Narrow"/>
        </w:rPr>
        <w:t>,</w:t>
      </w:r>
    </w:p>
    <w:p w:rsidR="00D8284C" w:rsidP="00D8284C">
      <w:pPr>
        <w:pStyle w:val="ListParagraph"/>
        <w:numPr>
          <w:numId w:val="45"/>
        </w:numPr>
        <w:bidi w:val="0"/>
        <w:jc w:val="both"/>
        <w:rPr>
          <w:rFonts w:ascii="Arial Narrow" w:hAnsi="Arial Narrow" w:cs="Arial Narrow"/>
        </w:rPr>
      </w:pPr>
      <w:r w:rsidR="00807520">
        <w:rPr>
          <w:rFonts w:ascii="Arial Narrow" w:hAnsi="Arial Narrow" w:cs="Arial Narrow"/>
        </w:rPr>
        <w:t>n</w:t>
      </w:r>
      <w:r>
        <w:rPr>
          <w:rFonts w:ascii="Arial Narrow" w:hAnsi="Arial Narrow" w:cs="Arial Narrow"/>
        </w:rPr>
        <w:t xml:space="preserve">árast zadlženosti zdravotníckych zariadení, ktorý sa odhaduje vo výške </w:t>
      </w:r>
      <w:r w:rsidRPr="000336FC">
        <w:rPr>
          <w:rFonts w:ascii="Arial Narrow" w:hAnsi="Arial Narrow" w:cs="Arial Narrow"/>
          <w:b/>
        </w:rPr>
        <w:t>100 mil. eur</w:t>
      </w:r>
      <w:r w:rsidR="00807520">
        <w:rPr>
          <w:rFonts w:ascii="Arial Narrow" w:hAnsi="Arial Narrow" w:cs="Arial Narrow"/>
        </w:rPr>
        <w:t>,</w:t>
      </w:r>
    </w:p>
    <w:p w:rsidR="009B7DD3" w:rsidP="00D8284C">
      <w:pPr>
        <w:pStyle w:val="ListParagraph"/>
        <w:numPr>
          <w:numId w:val="45"/>
        </w:numPr>
        <w:bidi w:val="0"/>
        <w:jc w:val="both"/>
        <w:rPr>
          <w:rFonts w:ascii="Arial Narrow" w:hAnsi="Arial Narrow" w:cs="Arial Narrow"/>
        </w:rPr>
      </w:pPr>
      <w:r>
        <w:rPr>
          <w:rFonts w:ascii="Arial Narrow" w:hAnsi="Arial Narrow" w:cs="Arial Narrow"/>
        </w:rPr>
        <w:t xml:space="preserve">nerealizovanie predaja emisných kvót s vplyvom vo výške </w:t>
      </w:r>
      <w:r w:rsidRPr="000336FC">
        <w:rPr>
          <w:rFonts w:ascii="Arial Narrow" w:hAnsi="Arial Narrow" w:cs="Arial Narrow"/>
          <w:b/>
        </w:rPr>
        <w:t>80 mil. eur</w:t>
      </w:r>
      <w:r>
        <w:rPr>
          <w:rFonts w:ascii="Arial Narrow" w:hAnsi="Arial Narrow" w:cs="Arial Narrow"/>
        </w:rPr>
        <w:t>,</w:t>
      </w:r>
    </w:p>
    <w:p w:rsidR="00D8284C" w:rsidRPr="009B7DD3" w:rsidP="009B7DD3">
      <w:pPr>
        <w:pStyle w:val="ListParagraph"/>
        <w:numPr>
          <w:numId w:val="45"/>
        </w:numPr>
        <w:bidi w:val="0"/>
        <w:jc w:val="both"/>
        <w:rPr>
          <w:rFonts w:ascii="Arial Narrow" w:hAnsi="Arial Narrow" w:cs="Arial Narrow"/>
        </w:rPr>
      </w:pPr>
      <w:r w:rsidR="00807520">
        <w:rPr>
          <w:rFonts w:ascii="Arial Narrow" w:hAnsi="Arial Narrow" w:cs="Arial Narrow"/>
        </w:rPr>
        <w:t>p</w:t>
      </w:r>
      <w:r>
        <w:rPr>
          <w:rFonts w:ascii="Arial Narrow" w:hAnsi="Arial Narrow" w:cs="Arial Narrow"/>
        </w:rPr>
        <w:t xml:space="preserve">rekročenie základných výdavkov </w:t>
      </w:r>
      <w:r w:rsidR="00BF5F38">
        <w:rPr>
          <w:rFonts w:ascii="Arial Narrow" w:hAnsi="Arial Narrow" w:cs="Arial Narrow"/>
        </w:rPr>
        <w:t>na chod štátu v dôsledku čerpania presunutých limitov výdavkov z minulých rokov</w:t>
      </w:r>
      <w:r w:rsidR="00312CF3">
        <w:rPr>
          <w:rFonts w:ascii="Arial Narrow" w:hAnsi="Arial Narrow" w:cs="Arial Narrow"/>
        </w:rPr>
        <w:t xml:space="preserve"> vo výške </w:t>
      </w:r>
      <w:r w:rsidR="007B3776">
        <w:rPr>
          <w:rFonts w:ascii="Arial Narrow" w:hAnsi="Arial Narrow" w:cs="Arial Narrow"/>
        </w:rPr>
        <w:t>približne</w:t>
      </w:r>
      <w:r w:rsidR="00312CF3">
        <w:rPr>
          <w:rFonts w:ascii="Arial Narrow" w:hAnsi="Arial Narrow" w:cs="Arial Narrow"/>
        </w:rPr>
        <w:t xml:space="preserve"> 1</w:t>
      </w:r>
      <w:r w:rsidR="007B3776">
        <w:rPr>
          <w:rFonts w:ascii="Arial Narrow" w:hAnsi="Arial Narrow" w:cs="Arial Narrow"/>
        </w:rPr>
        <w:t>59</w:t>
      </w:r>
      <w:r w:rsidR="00312CF3">
        <w:rPr>
          <w:rFonts w:ascii="Arial Narrow" w:hAnsi="Arial Narrow" w:cs="Arial Narrow"/>
        </w:rPr>
        <w:t xml:space="preserve"> mil. eur</w:t>
      </w:r>
      <w:r w:rsidR="00BF5F38">
        <w:rPr>
          <w:rFonts w:ascii="Arial Narrow" w:hAnsi="Arial Narrow" w:cs="Arial Narrow"/>
        </w:rPr>
        <w:t>, ktoré bude sčasti kompenzované úsporami v ostatných základných výdavkoch</w:t>
      </w:r>
      <w:r w:rsidR="007B3776">
        <w:rPr>
          <w:rFonts w:ascii="Arial Narrow" w:hAnsi="Arial Narrow" w:cs="Arial Narrow"/>
        </w:rPr>
        <w:t xml:space="preserve"> vo výške 68 mil. eur</w:t>
      </w:r>
      <w:r w:rsidR="00BF5F38">
        <w:rPr>
          <w:rFonts w:ascii="Arial Narrow" w:hAnsi="Arial Narrow" w:cs="Arial Narrow"/>
        </w:rPr>
        <w:t xml:space="preserve">. Celkový negatívny vplyv </w:t>
      </w:r>
      <w:r w:rsidR="00F62B44">
        <w:rPr>
          <w:rFonts w:ascii="Arial Narrow" w:hAnsi="Arial Narrow" w:cs="Arial Narrow"/>
        </w:rPr>
        <w:t xml:space="preserve">na saldo </w:t>
      </w:r>
      <w:r w:rsidR="00BF5F38">
        <w:rPr>
          <w:rFonts w:ascii="Arial Narrow" w:hAnsi="Arial Narrow" w:cs="Arial Narrow"/>
        </w:rPr>
        <w:t>by mal dosiahnuť</w:t>
      </w:r>
      <w:r>
        <w:rPr>
          <w:rFonts w:ascii="Arial Narrow" w:hAnsi="Arial Narrow" w:cs="Arial Narrow"/>
        </w:rPr>
        <w:t xml:space="preserve"> </w:t>
      </w:r>
      <w:r w:rsidR="00312CF3">
        <w:rPr>
          <w:rFonts w:ascii="Arial Narrow" w:hAnsi="Arial Narrow" w:cs="Arial Narrow"/>
          <w:b/>
        </w:rPr>
        <w:t>9</w:t>
      </w:r>
      <w:r w:rsidRPr="00F62B44" w:rsidR="00312CF3">
        <w:rPr>
          <w:rFonts w:ascii="Arial Narrow" w:hAnsi="Arial Narrow" w:cs="Arial Narrow"/>
          <w:b/>
        </w:rPr>
        <w:t xml:space="preserve">1 </w:t>
      </w:r>
      <w:r w:rsidRPr="00F62B44">
        <w:rPr>
          <w:rFonts w:ascii="Arial Narrow" w:hAnsi="Arial Narrow" w:cs="Arial Narrow"/>
          <w:b/>
        </w:rPr>
        <w:t>mil. eur</w:t>
      </w:r>
      <w:r w:rsidRPr="00F62B44" w:rsidR="009B7DD3">
        <w:rPr>
          <w:rFonts w:ascii="Arial Narrow" w:hAnsi="Arial Narrow" w:cs="Arial Narrow"/>
        </w:rPr>
        <w:t>.</w:t>
      </w:r>
    </w:p>
    <w:p w:rsidR="00BB2D71" w:rsidP="00403E79">
      <w:pPr>
        <w:bidi w:val="0"/>
        <w:jc w:val="both"/>
        <w:rPr>
          <w:rFonts w:ascii="Arial Narrow" w:hAnsi="Arial Narrow" w:cs="Arial Narrow"/>
        </w:rPr>
      </w:pPr>
    </w:p>
    <w:p w:rsidR="002065AA" w:rsidRPr="00EF4D31" w:rsidP="002065AA">
      <w:pPr>
        <w:bidi w:val="0"/>
        <w:jc w:val="both"/>
        <w:rPr>
          <w:rFonts w:ascii="Arial Narrow" w:hAnsi="Arial Narrow" w:cs="Arial Narrow"/>
          <w:b/>
          <w:bCs/>
        </w:rPr>
      </w:pPr>
      <w:r w:rsidRPr="00EF4D31" w:rsidR="00EF4D31">
        <w:rPr>
          <w:rFonts w:ascii="Arial Narrow" w:hAnsi="Arial Narrow" w:cs="Arial Narrow"/>
          <w:b/>
          <w:bCs/>
        </w:rPr>
        <w:t xml:space="preserve">Z pohľadu skutočného vývoja </w:t>
      </w:r>
      <w:r w:rsidR="00D35C6D">
        <w:rPr>
          <w:rFonts w:ascii="Arial Narrow" w:hAnsi="Arial Narrow" w:cs="Arial Narrow"/>
          <w:b/>
          <w:bCs/>
        </w:rPr>
        <w:t xml:space="preserve">salda verejnej správy v tomto roku </w:t>
      </w:r>
      <w:r w:rsidRPr="00EF4D31" w:rsidR="00EF4D31">
        <w:rPr>
          <w:rFonts w:ascii="Arial Narrow" w:hAnsi="Arial Narrow" w:cs="Arial Narrow"/>
          <w:b/>
          <w:bCs/>
        </w:rPr>
        <w:t xml:space="preserve">bude kľúčové aj to, akým spôsobom sa </w:t>
      </w:r>
      <w:r w:rsidR="003B1A2B">
        <w:rPr>
          <w:rFonts w:ascii="Arial Narrow" w:hAnsi="Arial Narrow" w:cs="Arial Narrow"/>
          <w:b/>
          <w:bCs/>
        </w:rPr>
        <w:t>budú vyvíjať</w:t>
      </w:r>
      <w:r w:rsidRPr="00EF4D31" w:rsidR="00EF4D31">
        <w:rPr>
          <w:rFonts w:ascii="Arial Narrow" w:hAnsi="Arial Narrow" w:cs="Arial Narrow"/>
          <w:b/>
          <w:bCs/>
        </w:rPr>
        <w:t xml:space="preserve"> </w:t>
      </w:r>
      <w:r w:rsidRPr="00EF4D31" w:rsidR="009B7DD3">
        <w:rPr>
          <w:rFonts w:ascii="Arial Narrow" w:hAnsi="Arial Narrow" w:cs="Arial Narrow"/>
          <w:b/>
          <w:bCs/>
        </w:rPr>
        <w:t>pohľadávk</w:t>
      </w:r>
      <w:r w:rsidR="003B1A2B">
        <w:rPr>
          <w:rFonts w:ascii="Arial Narrow" w:hAnsi="Arial Narrow" w:cs="Arial Narrow"/>
          <w:b/>
          <w:bCs/>
        </w:rPr>
        <w:t>y</w:t>
      </w:r>
      <w:r w:rsidRPr="00EF4D31" w:rsidR="009B7DD3">
        <w:rPr>
          <w:rFonts w:ascii="Arial Narrow" w:hAnsi="Arial Narrow" w:cs="Arial Narrow"/>
          <w:b/>
          <w:bCs/>
        </w:rPr>
        <w:t xml:space="preserve"> a záväzk</w:t>
      </w:r>
      <w:r w:rsidR="003B1A2B">
        <w:rPr>
          <w:rFonts w:ascii="Arial Narrow" w:hAnsi="Arial Narrow" w:cs="Arial Narrow"/>
          <w:b/>
          <w:bCs/>
        </w:rPr>
        <w:t>y</w:t>
      </w:r>
      <w:r w:rsidRPr="00EF4D31" w:rsidR="009B7DD3">
        <w:rPr>
          <w:rFonts w:ascii="Arial Narrow" w:hAnsi="Arial Narrow" w:cs="Arial Narrow"/>
          <w:b/>
          <w:bCs/>
        </w:rPr>
        <w:t xml:space="preserve"> </w:t>
      </w:r>
      <w:r w:rsidR="00EB4AC0">
        <w:rPr>
          <w:rFonts w:ascii="Arial Narrow" w:hAnsi="Arial Narrow" w:cs="Arial Narrow"/>
          <w:b/>
          <w:bCs/>
        </w:rPr>
        <w:t xml:space="preserve">jednotlivých </w:t>
      </w:r>
      <w:r w:rsidRPr="00EF4D31" w:rsidR="009B7DD3">
        <w:rPr>
          <w:rFonts w:ascii="Arial Narrow" w:hAnsi="Arial Narrow" w:cs="Arial Narrow"/>
          <w:b/>
          <w:bCs/>
        </w:rPr>
        <w:t>subjektov sektora verejnej správy</w:t>
      </w:r>
      <w:r w:rsidR="003B1A2B">
        <w:rPr>
          <w:rFonts w:ascii="Arial Narrow" w:hAnsi="Arial Narrow" w:cs="Arial Narrow"/>
          <w:b/>
          <w:bCs/>
        </w:rPr>
        <w:t xml:space="preserve">, ako aj objem </w:t>
      </w:r>
      <w:r w:rsidRPr="00EF4D31" w:rsidR="009B7DD3">
        <w:rPr>
          <w:rFonts w:ascii="Arial Narrow" w:hAnsi="Arial Narrow" w:cs="Arial Narrow"/>
          <w:b/>
          <w:bCs/>
        </w:rPr>
        <w:t>prenesených nevyčerpaných limitov výdavkov kapitol štátneho rozpočtu do roku 2012</w:t>
      </w:r>
      <w:r w:rsidRPr="00EF4D31">
        <w:rPr>
          <w:rFonts w:ascii="Arial Narrow" w:hAnsi="Arial Narrow" w:cs="Arial Narrow"/>
          <w:b/>
          <w:bCs/>
        </w:rPr>
        <w:t>.</w:t>
      </w:r>
      <w:r w:rsidR="00312CF3">
        <w:rPr>
          <w:rFonts w:ascii="Arial Narrow" w:hAnsi="Arial Narrow" w:cs="Arial Narrow"/>
          <w:b/>
          <w:bCs/>
        </w:rPr>
        <w:t xml:space="preserve"> Zároveň rizikom je aj </w:t>
      </w:r>
      <w:r w:rsidR="007B3776">
        <w:rPr>
          <w:rFonts w:ascii="Arial Narrow" w:hAnsi="Arial Narrow" w:cs="Arial Narrow"/>
          <w:b/>
          <w:bCs/>
        </w:rPr>
        <w:t xml:space="preserve">skutočná </w:t>
      </w:r>
      <w:r w:rsidR="00312CF3">
        <w:rPr>
          <w:rFonts w:ascii="Arial Narrow" w:hAnsi="Arial Narrow" w:cs="Arial Narrow"/>
          <w:b/>
          <w:bCs/>
        </w:rPr>
        <w:t>tvorba dlhu v</w:t>
      </w:r>
      <w:r w:rsidR="007B3776">
        <w:rPr>
          <w:rFonts w:ascii="Arial Narrow" w:hAnsi="Arial Narrow" w:cs="Arial Narrow"/>
          <w:b/>
          <w:bCs/>
        </w:rPr>
        <w:t> zdravotníckych zariadeniach,</w:t>
      </w:r>
      <w:r w:rsidR="00312CF3">
        <w:rPr>
          <w:rFonts w:ascii="Arial Narrow" w:hAnsi="Arial Narrow" w:cs="Arial Narrow"/>
          <w:b/>
          <w:bCs/>
        </w:rPr>
        <w:t> ich prípadné oddlžovanie a hospodárenie samospráv.</w:t>
      </w:r>
    </w:p>
    <w:p w:rsidR="00BB2D71" w:rsidP="00403E79">
      <w:pPr>
        <w:bidi w:val="0"/>
        <w:jc w:val="both"/>
        <w:rPr>
          <w:rFonts w:ascii="Arial Narrow" w:hAnsi="Arial Narrow" w:cs="Arial Narrow"/>
        </w:rPr>
      </w:pPr>
    </w:p>
    <w:p w:rsidR="00403E79" w:rsidP="00DC2884">
      <w:pPr>
        <w:bidi w:val="0"/>
        <w:jc w:val="both"/>
      </w:pPr>
      <w:r w:rsidRPr="00332D7E" w:rsidR="00BB2D71">
        <w:rPr>
          <w:rFonts w:ascii="Arial Narrow" w:hAnsi="Arial Narrow" w:cs="Arial Narrow"/>
        </w:rPr>
        <w:t>Správa poskytuje informáciu o plnení štátneho rozpočtu a rozpočtu verejnej správy a zároveň obsahuje informáciu o hospodárení s rozpočtovými rezervami v súlade s §10 a §30 zákona č.</w:t>
      </w:r>
      <w:r w:rsidR="00BB2D71">
        <w:rPr>
          <w:rFonts w:ascii="Arial Narrow" w:hAnsi="Arial Narrow" w:cs="Arial Narrow"/>
        </w:rPr>
        <w:t xml:space="preserve"> </w:t>
      </w:r>
      <w:r w:rsidRPr="00332D7E" w:rsidR="00BB2D71">
        <w:rPr>
          <w:rFonts w:ascii="Arial Narrow" w:hAnsi="Arial Narrow" w:cs="Arial Narrow"/>
        </w:rPr>
        <w:t>523/2004 Z.</w:t>
      </w:r>
      <w:r w:rsidR="00BB2D71">
        <w:rPr>
          <w:rFonts w:ascii="Arial Narrow" w:hAnsi="Arial Narrow" w:cs="Arial Narrow"/>
        </w:rPr>
        <w:t xml:space="preserve"> </w:t>
      </w:r>
      <w:r w:rsidRPr="00332D7E" w:rsidR="00BB2D71">
        <w:rPr>
          <w:rFonts w:ascii="Arial Narrow" w:hAnsi="Arial Narrow" w:cs="Arial Narrow"/>
        </w:rPr>
        <w:t>z. o rozpočtových pravidlách verejnej správy.</w:t>
      </w:r>
      <w:bookmarkStart w:id="2" w:name="_Toc204046328"/>
    </w:p>
    <w:p w:rsidR="00403E79" w:rsidP="00403E79">
      <w:pPr>
        <w:bidi w:val="0"/>
      </w:pPr>
    </w:p>
    <w:p w:rsidR="00403E79" w:rsidRPr="00804DEB" w:rsidP="00403E79">
      <w:pPr>
        <w:bidi w:val="0"/>
      </w:pPr>
      <w:r>
        <w:br w:type="page"/>
      </w:r>
    </w:p>
    <w:p w:rsidR="00403E79" w:rsidRPr="00AB4446" w:rsidP="00403E79">
      <w:pPr>
        <w:pStyle w:val="Heading1"/>
        <w:numPr>
          <w:numId w:val="2"/>
        </w:numPr>
        <w:bidi w:val="0"/>
        <w:spacing w:before="0" w:after="240"/>
        <w:rPr>
          <w:rFonts w:ascii="Arial Narrow" w:hAnsi="Arial Narrow" w:cs="Arial Narrow"/>
          <w:b w:val="0"/>
          <w:bCs w:val="0"/>
          <w:sz w:val="28"/>
          <w:szCs w:val="28"/>
        </w:rPr>
      </w:pPr>
      <w:bookmarkStart w:id="3" w:name="_Toc299709417"/>
      <w:r w:rsidRPr="00AB4446">
        <w:rPr>
          <w:rFonts w:ascii="Arial Narrow" w:hAnsi="Arial Narrow" w:cs="Arial Narrow"/>
          <w:sz w:val="28"/>
          <w:szCs w:val="28"/>
        </w:rPr>
        <w:t>VÝVOJ MAKROEKONOMICKÉHO PROSTREDIA</w:t>
      </w:r>
      <w:bookmarkEnd w:id="2"/>
      <w:bookmarkEnd w:id="3"/>
    </w:p>
    <w:p w:rsidR="00403E79" w:rsidP="00403E79">
      <w:pPr>
        <w:pStyle w:val="Heading2"/>
        <w:numPr>
          <w:ilvl w:val="1"/>
          <w:numId w:val="2"/>
        </w:numPr>
        <w:bidi w:val="0"/>
        <w:rPr>
          <w:rFonts w:ascii="Arial Narrow" w:hAnsi="Arial Narrow" w:cs="Arial Narrow"/>
          <w:i w:val="0"/>
          <w:iCs w:val="0"/>
        </w:rPr>
      </w:pPr>
      <w:bookmarkStart w:id="4" w:name="_Toc172367392"/>
      <w:bookmarkStart w:id="5" w:name="_Toc180304884"/>
      <w:bookmarkStart w:id="6" w:name="_Toc299709418"/>
      <w:bookmarkStart w:id="7" w:name="_Toc69700532"/>
      <w:r w:rsidRPr="00AB4446">
        <w:rPr>
          <w:rFonts w:ascii="Arial Narrow" w:hAnsi="Arial Narrow" w:cs="Arial Narrow"/>
          <w:i w:val="0"/>
          <w:iCs w:val="0"/>
        </w:rPr>
        <w:t>Prehľad súčasných trendov</w:t>
      </w:r>
      <w:bookmarkEnd w:id="4"/>
      <w:bookmarkEnd w:id="5"/>
      <w:bookmarkEnd w:id="6"/>
      <w:r w:rsidRPr="00AB4446">
        <w:rPr>
          <w:rFonts w:ascii="Arial Narrow" w:hAnsi="Arial Narrow" w:cs="Arial Narrow"/>
          <w:i w:val="0"/>
          <w:iCs w:val="0"/>
        </w:rPr>
        <w:t xml:space="preserve"> </w:t>
      </w:r>
    </w:p>
    <w:p w:rsidR="00403E79" w:rsidRPr="005D5374" w:rsidP="00403E79">
      <w:pPr>
        <w:pStyle w:val="Heading3"/>
        <w:bidi w:val="0"/>
        <w:spacing w:before="240"/>
        <w:rPr>
          <w:rFonts w:ascii="Arial Narrow" w:hAnsi="Arial Narrow" w:cs="Arial Narrow"/>
          <w:i/>
          <w:iCs/>
          <w:color w:val="auto"/>
          <w:sz w:val="24"/>
          <w:szCs w:val="24"/>
        </w:rPr>
      </w:pPr>
      <w:bookmarkStart w:id="8" w:name="_Toc109546063"/>
      <w:bookmarkStart w:id="9" w:name="_Toc172367393"/>
      <w:bookmarkStart w:id="10" w:name="_Toc172443590"/>
      <w:bookmarkStart w:id="11" w:name="_Toc172443619"/>
      <w:bookmarkStart w:id="12" w:name="_Toc172520503"/>
      <w:bookmarkStart w:id="13" w:name="_Toc172538887"/>
      <w:bookmarkStart w:id="14" w:name="_Toc172538912"/>
      <w:bookmarkStart w:id="15" w:name="_Toc172610897"/>
      <w:bookmarkStart w:id="16" w:name="_Toc172942717"/>
      <w:bookmarkStart w:id="17" w:name="_Toc172942794"/>
      <w:bookmarkStart w:id="18" w:name="_Toc172972011"/>
      <w:bookmarkStart w:id="19" w:name="_Toc173032548"/>
      <w:bookmarkStart w:id="20" w:name="_Toc180304885"/>
      <w:bookmarkStart w:id="21" w:name="_Toc203903877"/>
      <w:bookmarkStart w:id="22" w:name="_Toc203905250"/>
      <w:bookmarkStart w:id="23" w:name="_Toc203969339"/>
      <w:bookmarkStart w:id="24" w:name="_Toc203987576"/>
      <w:bookmarkStart w:id="25" w:name="_Toc203990756"/>
      <w:bookmarkStart w:id="26" w:name="_Toc204076601"/>
      <w:bookmarkStart w:id="27" w:name="_Toc204080965"/>
      <w:bookmarkStart w:id="28" w:name="_Toc267485495"/>
      <w:bookmarkStart w:id="29" w:name="_Toc269987171"/>
      <w:bookmarkStart w:id="30" w:name="_Toc270928078"/>
      <w:bookmarkStart w:id="31" w:name="_Toc299709419"/>
      <w:r w:rsidRPr="005D5374">
        <w:rPr>
          <w:rFonts w:ascii="Arial Narrow" w:hAnsi="Arial Narrow" w:cs="Arial Narrow"/>
          <w:i/>
          <w:iCs/>
          <w:color w:val="auto"/>
          <w:sz w:val="24"/>
          <w:szCs w:val="24"/>
        </w:rPr>
        <w:t>Hospodársky rast</w:t>
      </w:r>
      <w:bookmarkEnd w:id="8"/>
      <w:r w:rsidRPr="005D5374">
        <w:rPr>
          <w:rFonts w:ascii="Arial Narrow" w:hAnsi="Arial Narrow" w:cs="Arial Narrow"/>
          <w:i/>
          <w:iCs/>
          <w:color w:val="auto"/>
          <w:sz w:val="24"/>
          <w:szCs w:val="24"/>
        </w:rPr>
        <w:t xml:space="preserve"> a trh práce</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403E79" w:rsidRPr="0006729E" w:rsidP="00403E79">
      <w:pPr>
        <w:pStyle w:val="FootnoteText"/>
        <w:bidi w:val="0"/>
        <w:jc w:val="both"/>
        <w:rPr>
          <w:rFonts w:ascii="Arial Narrow" w:hAnsi="Arial Narrow" w:cs="Arial Narrow"/>
          <w:sz w:val="16"/>
          <w:szCs w:val="16"/>
        </w:rPr>
      </w:pPr>
    </w:p>
    <w:p w:rsidR="00403E79" w:rsidP="00403E79">
      <w:pPr>
        <w:pStyle w:val="FootnoteText"/>
        <w:bidi w:val="0"/>
        <w:jc w:val="both"/>
        <w:rPr>
          <w:rFonts w:ascii="Arial Narrow" w:hAnsi="Arial Narrow" w:cs="Arial Narrow"/>
          <w:sz w:val="22"/>
          <w:szCs w:val="22"/>
        </w:rPr>
      </w:pPr>
      <w:r>
        <w:rPr>
          <w:rFonts w:ascii="Arial Narrow" w:hAnsi="Arial Narrow" w:cs="Arial Narrow"/>
          <w:sz w:val="22"/>
          <w:szCs w:val="22"/>
        </w:rPr>
        <w:t>Ekonomika SR vzrástla reálne v prvom štvrťroku 2011 medzikvartálne o 1% a na medziročnej báze o </w:t>
      </w:r>
      <w:r w:rsidRPr="000336FC">
        <w:rPr>
          <w:rFonts w:ascii="Arial Narrow" w:hAnsi="Arial Narrow" w:cs="Arial Narrow"/>
          <w:b/>
          <w:sz w:val="22"/>
          <w:szCs w:val="22"/>
        </w:rPr>
        <w:t>3,5%.</w:t>
      </w:r>
      <w:r>
        <w:rPr>
          <w:rFonts w:ascii="Arial Narrow" w:hAnsi="Arial Narrow" w:cs="Arial Narrow"/>
          <w:sz w:val="22"/>
          <w:szCs w:val="22"/>
        </w:rPr>
        <w:t xml:space="preserve"> </w:t>
      </w:r>
      <w:r w:rsidRPr="00D205D8">
        <w:rPr>
          <w:rFonts w:ascii="Arial Narrow" w:hAnsi="Arial Narrow" w:cs="Arial Narrow"/>
          <w:sz w:val="22"/>
          <w:szCs w:val="22"/>
        </w:rPr>
        <w:t>HDP rástol už ôsmy štvrťrok po sebe a</w:t>
      </w:r>
      <w:r>
        <w:rPr>
          <w:rFonts w:ascii="Arial Narrow" w:hAnsi="Arial Narrow" w:cs="Arial Narrow"/>
          <w:sz w:val="22"/>
          <w:szCs w:val="22"/>
        </w:rPr>
        <w:t>  mierne prekročil</w:t>
      </w:r>
      <w:r w:rsidRPr="00D205D8">
        <w:rPr>
          <w:rFonts w:ascii="Arial Narrow" w:hAnsi="Arial Narrow" w:cs="Arial Narrow"/>
          <w:sz w:val="22"/>
          <w:szCs w:val="22"/>
        </w:rPr>
        <w:t xml:space="preserve"> svoju predkrízovú úroveň štvrtého kvartálu 2008.</w:t>
      </w:r>
      <w:r>
        <w:rPr>
          <w:rFonts w:ascii="Arial Narrow" w:hAnsi="Arial Narrow" w:cs="Arial Narrow"/>
          <w:sz w:val="22"/>
          <w:szCs w:val="22"/>
        </w:rPr>
        <w:t xml:space="preserve"> </w:t>
      </w:r>
      <w:r w:rsidRPr="00D205D8">
        <w:rPr>
          <w:rFonts w:ascii="Arial Narrow" w:hAnsi="Arial Narrow" w:cs="Arial Narrow"/>
          <w:sz w:val="22"/>
          <w:szCs w:val="22"/>
        </w:rPr>
        <w:t xml:space="preserve">Slovenskej ekonomike pomohol silný rast našich najvýznamnejších obchodných partnerov, najmä Nemecka. </w:t>
      </w:r>
      <w:r>
        <w:rPr>
          <w:rFonts w:ascii="Arial Narrow" w:hAnsi="Arial Narrow" w:cs="Arial Narrow"/>
          <w:sz w:val="22"/>
          <w:szCs w:val="22"/>
        </w:rPr>
        <w:t xml:space="preserve">Dvojciferný medziročný rast na úrovni 15,8% zaznamenal vývoz tovarov a služieb, pomalší rast importu (11,3%) odzrkadľoval stagnáciu domáceho dopytu. Príspevok zahraničného dopytu k rastu HDP predstavoval až 5,1 p.b. Zahraničný dopyt tak dokáže do veľkej miery kompenzovať výpadok domáceho dopytu spôsobený výraznou fiškálnou konsolidáciou a vyššou infláciou. </w:t>
      </w:r>
      <w:r w:rsidRPr="00D205D8">
        <w:rPr>
          <w:rFonts w:ascii="Arial Narrow" w:hAnsi="Arial Narrow" w:cs="Arial Narrow"/>
          <w:sz w:val="22"/>
          <w:szCs w:val="22"/>
        </w:rPr>
        <w:t xml:space="preserve">Rast HDP </w:t>
      </w:r>
      <w:r>
        <w:rPr>
          <w:rFonts w:ascii="Arial Narrow" w:hAnsi="Arial Narrow" w:cs="Arial Narrow"/>
          <w:sz w:val="22"/>
          <w:szCs w:val="22"/>
        </w:rPr>
        <w:t>mierne potiahli aj investície a vyššia tvorba zásob</w:t>
      </w:r>
      <w:r w:rsidRPr="00D205D8">
        <w:rPr>
          <w:rFonts w:ascii="Arial Narrow" w:hAnsi="Arial Narrow" w:cs="Arial Narrow"/>
          <w:sz w:val="22"/>
          <w:szCs w:val="22"/>
        </w:rPr>
        <w:t>, ktor</w:t>
      </w:r>
      <w:r>
        <w:rPr>
          <w:rFonts w:ascii="Arial Narrow" w:hAnsi="Arial Narrow" w:cs="Arial Narrow"/>
          <w:sz w:val="22"/>
          <w:szCs w:val="22"/>
        </w:rPr>
        <w:t>á</w:t>
      </w:r>
      <w:r w:rsidRPr="00D205D8">
        <w:rPr>
          <w:rFonts w:ascii="Arial Narrow" w:hAnsi="Arial Narrow" w:cs="Arial Narrow"/>
          <w:sz w:val="22"/>
          <w:szCs w:val="22"/>
        </w:rPr>
        <w:t xml:space="preserve"> však stále zaostáva za predkrízovou úrovňou. </w:t>
      </w:r>
      <w:r>
        <w:rPr>
          <w:rFonts w:ascii="Arial Narrow" w:hAnsi="Arial Narrow" w:cs="Arial Narrow"/>
          <w:sz w:val="22"/>
          <w:szCs w:val="22"/>
        </w:rPr>
        <w:t xml:space="preserve">Za pomalším rastom investícií (medziročne o 1,2%) stojí najmä </w:t>
      </w:r>
      <w:r w:rsidRPr="00D205D8">
        <w:rPr>
          <w:rFonts w:ascii="Arial Narrow" w:hAnsi="Arial Narrow" w:cs="Arial Narrow"/>
          <w:sz w:val="22"/>
          <w:szCs w:val="22"/>
        </w:rPr>
        <w:t>spomalenie výstavby diaľnic</w:t>
      </w:r>
      <w:r w:rsidR="00515E92">
        <w:rPr>
          <w:rFonts w:ascii="Arial Narrow" w:hAnsi="Arial Narrow" w:cs="Arial Narrow"/>
          <w:sz w:val="22"/>
          <w:szCs w:val="22"/>
        </w:rPr>
        <w:t>, ktoré však bolo spôsobené nevyhnutným prehodnotením nevýhodných zmlúv uzavretých predchádzajúcou vládou.</w:t>
      </w:r>
      <w:r>
        <w:rPr>
          <w:rFonts w:ascii="Arial Narrow" w:hAnsi="Arial Narrow" w:cs="Arial Narrow"/>
          <w:sz w:val="22"/>
          <w:szCs w:val="22"/>
        </w:rPr>
        <w:t xml:space="preserve"> </w:t>
      </w:r>
      <w:r w:rsidRPr="00D205D8">
        <w:rPr>
          <w:rFonts w:ascii="Arial Narrow" w:hAnsi="Arial Narrow" w:cs="Arial Narrow"/>
          <w:sz w:val="22"/>
          <w:szCs w:val="22"/>
        </w:rPr>
        <w:t>Spotreba domácností aj napriek prekvapivo pozitívnym číslam zamestnanosti pokračovala v</w:t>
      </w:r>
      <w:r>
        <w:rPr>
          <w:rFonts w:ascii="Arial Narrow" w:hAnsi="Arial Narrow" w:cs="Arial Narrow"/>
          <w:sz w:val="22"/>
          <w:szCs w:val="22"/>
        </w:rPr>
        <w:t> </w:t>
      </w:r>
      <w:r w:rsidRPr="00D205D8">
        <w:rPr>
          <w:rFonts w:ascii="Arial Narrow" w:hAnsi="Arial Narrow" w:cs="Arial Narrow"/>
          <w:sz w:val="22"/>
          <w:szCs w:val="22"/>
        </w:rPr>
        <w:t>poklese</w:t>
      </w:r>
      <w:r>
        <w:rPr>
          <w:rFonts w:ascii="Arial Narrow" w:hAnsi="Arial Narrow" w:cs="Arial Narrow"/>
          <w:sz w:val="22"/>
          <w:szCs w:val="22"/>
        </w:rPr>
        <w:t xml:space="preserve"> (medziročne o 0,1%).</w:t>
      </w:r>
      <w:r w:rsidRPr="00D205D8">
        <w:rPr>
          <w:rFonts w:ascii="Arial Narrow" w:hAnsi="Arial Narrow" w:cs="Arial Narrow"/>
          <w:sz w:val="22"/>
          <w:szCs w:val="22"/>
        </w:rPr>
        <w:t xml:space="preserve"> </w:t>
      </w:r>
      <w:r>
        <w:rPr>
          <w:rFonts w:ascii="Arial Narrow" w:hAnsi="Arial Narrow" w:cs="Arial Narrow"/>
          <w:sz w:val="22"/>
          <w:szCs w:val="22"/>
        </w:rPr>
        <w:t>Popri konsolidácii a vyššej inflácii sa pod ňu podpisujú aj pokračujú</w:t>
      </w:r>
      <w:r w:rsidRPr="00D205D8">
        <w:rPr>
          <w:rFonts w:ascii="Arial Narrow" w:hAnsi="Arial Narrow" w:cs="Arial Narrow"/>
          <w:sz w:val="22"/>
          <w:szCs w:val="22"/>
        </w:rPr>
        <w:t>ce obavy domácností zo zdražovania a</w:t>
      </w:r>
      <w:r>
        <w:rPr>
          <w:rFonts w:ascii="Arial Narrow" w:hAnsi="Arial Narrow" w:cs="Arial Narrow"/>
          <w:sz w:val="22"/>
          <w:szCs w:val="22"/>
        </w:rPr>
        <w:t> </w:t>
      </w:r>
      <w:r w:rsidRPr="00D205D8">
        <w:rPr>
          <w:rFonts w:ascii="Arial Narrow" w:hAnsi="Arial Narrow" w:cs="Arial Narrow"/>
          <w:sz w:val="22"/>
          <w:szCs w:val="22"/>
        </w:rPr>
        <w:t>nezamestnanosti</w:t>
      </w:r>
      <w:r>
        <w:rPr>
          <w:rFonts w:ascii="Arial Narrow" w:hAnsi="Arial Narrow" w:cs="Arial Narrow"/>
          <w:sz w:val="22"/>
          <w:szCs w:val="22"/>
        </w:rPr>
        <w:t>, ktoré</w:t>
      </w:r>
      <w:r w:rsidRPr="00D205D8">
        <w:rPr>
          <w:rFonts w:ascii="Arial Narrow" w:hAnsi="Arial Narrow" w:cs="Arial Narrow"/>
          <w:sz w:val="22"/>
          <w:szCs w:val="22"/>
        </w:rPr>
        <w:t xml:space="preserve"> sa prejavili vo výrazne vyššej miere úspor ako v </w:t>
      </w:r>
      <w:r>
        <w:rPr>
          <w:rFonts w:ascii="Arial Narrow" w:hAnsi="Arial Narrow" w:cs="Arial Narrow"/>
          <w:sz w:val="22"/>
          <w:szCs w:val="22"/>
        </w:rPr>
        <w:t>predchádzajúcom</w:t>
      </w:r>
      <w:r w:rsidRPr="00D205D8">
        <w:rPr>
          <w:rFonts w:ascii="Arial Narrow" w:hAnsi="Arial Narrow" w:cs="Arial Narrow"/>
          <w:sz w:val="22"/>
          <w:szCs w:val="22"/>
        </w:rPr>
        <w:t xml:space="preserve"> kvartáli. </w:t>
      </w:r>
      <w:r>
        <w:rPr>
          <w:rFonts w:ascii="Arial Narrow" w:hAnsi="Arial Narrow" w:cs="Arial Narrow"/>
          <w:sz w:val="22"/>
          <w:szCs w:val="22"/>
        </w:rPr>
        <w:t>V súlade s fiškálnou konsolidáciou zaznamenala najvýraznejší medziročný pokles (-2,5%) spotreba verejnej správy.</w:t>
      </w:r>
    </w:p>
    <w:p w:rsidR="00403E79" w:rsidRPr="0006729E" w:rsidP="00403E79">
      <w:pPr>
        <w:pStyle w:val="FootnoteText"/>
        <w:bidi w:val="0"/>
        <w:jc w:val="both"/>
        <w:rPr>
          <w:rFonts w:ascii="Arial Narrow" w:hAnsi="Arial Narrow" w:cs="Arial Narrow"/>
          <w:sz w:val="16"/>
          <w:szCs w:val="16"/>
          <w:highlight w:val="darkYellow"/>
        </w:rPr>
      </w:pPr>
    </w:p>
    <w:p w:rsidR="00403E79" w:rsidRPr="0006729E" w:rsidP="00403E79">
      <w:pPr>
        <w:bidi w:val="0"/>
        <w:rPr>
          <w:rFonts w:ascii="Arial Narrow" w:hAnsi="Arial Narrow" w:cs="Arial Narrow"/>
          <w:sz w:val="16"/>
          <w:szCs w:val="16"/>
          <w:highlight w:val="darkYellow"/>
        </w:rPr>
      </w:pPr>
    </w:p>
    <w:p w:rsidR="00403E79" w:rsidRPr="005D5374" w:rsidP="00403E79">
      <w:pPr>
        <w:bidi w:val="0"/>
        <w:jc w:val="both"/>
        <w:rPr>
          <w:rFonts w:ascii="Arial Narrow" w:hAnsi="Arial Narrow" w:cs="Arial Narrow"/>
        </w:rPr>
      </w:pPr>
      <w:r w:rsidRPr="00DA2A1C">
        <w:rPr>
          <w:rFonts w:ascii="Arial Narrow" w:hAnsi="Arial Narrow" w:cs="Arial Narrow"/>
        </w:rPr>
        <w:t>Z hľadiska odvetvovej štruktúry prispeli k rastu produkcie v 1.polroku 201</w:t>
      </w:r>
      <w:r>
        <w:rPr>
          <w:rFonts w:ascii="Arial Narrow" w:hAnsi="Arial Narrow" w:cs="Arial Narrow"/>
        </w:rPr>
        <w:t>1</w:t>
      </w:r>
      <w:r w:rsidRPr="00DA2A1C">
        <w:rPr>
          <w:rFonts w:ascii="Arial Narrow" w:hAnsi="Arial Narrow" w:cs="Arial Narrow"/>
        </w:rPr>
        <w:t xml:space="preserve"> najviac exportne orientované odvetvia.</w:t>
      </w:r>
      <w:r>
        <w:rPr>
          <w:rFonts w:ascii="Arial Narrow" w:hAnsi="Arial Narrow" w:cs="Arial Narrow"/>
        </w:rPr>
        <w:t xml:space="preserve"> </w:t>
      </w:r>
      <w:r w:rsidRPr="00DA2A1C">
        <w:rPr>
          <w:rFonts w:ascii="Arial Narrow" w:hAnsi="Arial Narrow" w:cs="Arial Narrow"/>
        </w:rPr>
        <w:t xml:space="preserve"> </w:t>
      </w:r>
      <w:r>
        <w:rPr>
          <w:rFonts w:ascii="Arial Narrow" w:hAnsi="Arial Narrow" w:cs="Arial Narrow"/>
        </w:rPr>
        <w:t>I</w:t>
      </w:r>
      <w:r w:rsidRPr="00DA2A1C">
        <w:rPr>
          <w:rFonts w:ascii="Arial Narrow" w:hAnsi="Arial Narrow" w:cs="Arial Narrow"/>
        </w:rPr>
        <w:t>ndex priemyselnej produkcie</w:t>
      </w:r>
      <w:r>
        <w:rPr>
          <w:rFonts w:ascii="Arial Narrow" w:hAnsi="Arial Narrow" w:cs="Arial Narrow"/>
        </w:rPr>
        <w:t xml:space="preserve"> (IPP) v celkovej priemyselnej výrobe</w:t>
      </w:r>
      <w:r w:rsidRPr="00DA2A1C">
        <w:rPr>
          <w:rFonts w:ascii="Arial Narrow" w:hAnsi="Arial Narrow" w:cs="Arial Narrow"/>
        </w:rPr>
        <w:t xml:space="preserve"> </w:t>
      </w:r>
      <w:r>
        <w:rPr>
          <w:rFonts w:ascii="Arial Narrow" w:hAnsi="Arial Narrow" w:cs="Arial Narrow"/>
        </w:rPr>
        <w:t xml:space="preserve">od začiatku roka </w:t>
      </w:r>
      <w:r w:rsidRPr="00DA2A1C">
        <w:rPr>
          <w:rFonts w:ascii="Arial Narrow" w:hAnsi="Arial Narrow" w:cs="Arial Narrow"/>
        </w:rPr>
        <w:t>201</w:t>
      </w:r>
      <w:r>
        <w:rPr>
          <w:rFonts w:ascii="Arial Narrow" w:hAnsi="Arial Narrow" w:cs="Arial Narrow"/>
        </w:rPr>
        <w:t>1 (za 5 mesiacov)</w:t>
      </w:r>
      <w:r w:rsidRPr="00DA2A1C">
        <w:rPr>
          <w:rFonts w:ascii="Arial Narrow" w:hAnsi="Arial Narrow" w:cs="Arial Narrow"/>
        </w:rPr>
        <w:t xml:space="preserve"> </w:t>
      </w:r>
      <w:r>
        <w:rPr>
          <w:rFonts w:ascii="Arial Narrow" w:hAnsi="Arial Narrow" w:cs="Arial Narrow"/>
        </w:rPr>
        <w:t>vz</w:t>
      </w:r>
      <w:r w:rsidRPr="00DA2A1C">
        <w:rPr>
          <w:rFonts w:ascii="Arial Narrow" w:hAnsi="Arial Narrow" w:cs="Arial Narrow"/>
        </w:rPr>
        <w:t>rástol o</w:t>
      </w:r>
      <w:r>
        <w:rPr>
          <w:rFonts w:ascii="Arial Narrow" w:hAnsi="Arial Narrow" w:cs="Arial Narrow"/>
        </w:rPr>
        <w:t> 5,8</w:t>
      </w:r>
      <w:r w:rsidRPr="00DA2A1C">
        <w:rPr>
          <w:rFonts w:ascii="Arial Narrow" w:hAnsi="Arial Narrow" w:cs="Arial Narrow"/>
        </w:rPr>
        <w:t>%</w:t>
      </w:r>
      <w:r>
        <w:rPr>
          <w:rFonts w:ascii="Arial Narrow" w:hAnsi="Arial Narrow" w:cs="Arial Narrow"/>
        </w:rPr>
        <w:t xml:space="preserve"> (po sezónnom očistení, trojmesačný kĺzavý priemer), najvyššie rasty zaznamenali </w:t>
      </w:r>
      <w:r w:rsidRPr="00DA2A1C">
        <w:rPr>
          <w:rFonts w:ascii="Arial Narrow" w:hAnsi="Arial Narrow" w:cs="Arial Narrow"/>
        </w:rPr>
        <w:t>výrob</w:t>
      </w:r>
      <w:r>
        <w:rPr>
          <w:rFonts w:ascii="Arial Narrow" w:hAnsi="Arial Narrow" w:cs="Arial Narrow"/>
        </w:rPr>
        <w:t>a</w:t>
      </w:r>
      <w:r w:rsidRPr="00DA2A1C">
        <w:rPr>
          <w:rFonts w:ascii="Arial Narrow" w:hAnsi="Arial Narrow" w:cs="Arial Narrow"/>
        </w:rPr>
        <w:t> dopravných prostriedkov</w:t>
      </w:r>
      <w:r>
        <w:rPr>
          <w:rFonts w:ascii="Arial Narrow" w:hAnsi="Arial Narrow" w:cs="Arial Narrow"/>
        </w:rPr>
        <w:t xml:space="preserve"> (10%) a elektrotechniky (8,1%)</w:t>
      </w:r>
      <w:r w:rsidRPr="00DA2A1C">
        <w:rPr>
          <w:rFonts w:ascii="Arial Narrow" w:hAnsi="Arial Narrow" w:cs="Arial Narrow"/>
        </w:rPr>
        <w:t xml:space="preserve">. </w:t>
      </w:r>
    </w:p>
    <w:p w:rsidR="00403E79" w:rsidRPr="0006729E" w:rsidP="00403E79">
      <w:pPr>
        <w:keepNext/>
        <w:keepLines/>
        <w:widowControl w:val="0"/>
        <w:bidi w:val="0"/>
        <w:jc w:val="both"/>
        <w:rPr>
          <w:rFonts w:ascii="Arial Narrow" w:hAnsi="Arial Narrow" w:cs="Arial Narrow"/>
          <w:sz w:val="16"/>
          <w:szCs w:val="16"/>
        </w:rPr>
      </w:pPr>
    </w:p>
    <w:tbl>
      <w:tblPr>
        <w:tblStyle w:val="TableNormal"/>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53"/>
        <w:gridCol w:w="284"/>
        <w:gridCol w:w="4253"/>
      </w:tblGrid>
      <w:tr>
        <w:tblPrEx>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Ex>
        <w:trPr>
          <w:trHeight w:val="167"/>
          <w:jc w:val="center"/>
        </w:trPr>
        <w:tc>
          <w:tcPr>
            <w:tcW w:w="4253" w:type="dxa"/>
            <w:tcBorders>
              <w:top w:val="nil"/>
              <w:left w:val="nil"/>
              <w:bottom w:val="nil"/>
              <w:right w:val="nil"/>
            </w:tcBorders>
            <w:shd w:val="clear" w:color="auto" w:fill="000000"/>
            <w:textDirection w:val="lrTb"/>
            <w:vAlign w:val="center"/>
          </w:tcPr>
          <w:p w:rsidR="00403E79" w:rsidRPr="00925D70" w:rsidP="00BE03CA">
            <w:pPr>
              <w:keepNext/>
              <w:keepLines/>
              <w:widowControl w:val="0"/>
              <w:bidi w:val="0"/>
              <w:spacing w:before="40" w:after="0" w:line="240" w:lineRule="auto"/>
              <w:rPr>
                <w:rFonts w:ascii="Arial Narrow" w:hAnsi="Arial Narrow" w:cs="Arial Narrow"/>
                <w:b/>
                <w:bCs/>
                <w:color w:val="FFFFFF"/>
                <w:sz w:val="20"/>
                <w:szCs w:val="20"/>
              </w:rPr>
            </w:pPr>
            <w:r>
              <w:rPr>
                <w:rFonts w:ascii="Arial Narrow" w:hAnsi="Arial Narrow" w:cs="Arial Narrow"/>
                <w:b/>
                <w:bCs/>
                <w:color w:val="FFFFFF"/>
                <w:sz w:val="20"/>
                <w:szCs w:val="20"/>
              </w:rPr>
              <w:t>Vývoj</w:t>
            </w:r>
            <w:r w:rsidRPr="00925D70">
              <w:rPr>
                <w:rFonts w:ascii="Arial Narrow" w:hAnsi="Arial Narrow" w:cs="Arial Narrow"/>
                <w:b/>
                <w:bCs/>
                <w:color w:val="FFFFFF"/>
                <w:sz w:val="20"/>
                <w:szCs w:val="20"/>
              </w:rPr>
              <w:t xml:space="preserve"> priemyselnej produkcie</w:t>
            </w:r>
          </w:p>
          <w:p w:rsidR="00403E79" w:rsidRPr="00BA7455" w:rsidP="00BE03CA">
            <w:pPr>
              <w:keepNext/>
              <w:keepLines/>
              <w:widowControl w:val="0"/>
              <w:bidi w:val="0"/>
              <w:spacing w:after="40" w:line="240" w:lineRule="auto"/>
              <w:rPr>
                <w:rFonts w:ascii="Arial Narrow" w:hAnsi="Arial Narrow" w:cs="Arial Narrow"/>
                <w:color w:val="FFFFFF"/>
                <w:sz w:val="20"/>
                <w:szCs w:val="20"/>
                <w:highlight w:val="darkYellow"/>
              </w:rPr>
            </w:pPr>
            <w:r w:rsidRPr="00925D70">
              <w:rPr>
                <w:rFonts w:ascii="Arial Narrow" w:hAnsi="Arial Narrow" w:cs="Arial Narrow"/>
                <w:color w:val="FFFFFF"/>
                <w:sz w:val="20"/>
                <w:szCs w:val="20"/>
              </w:rPr>
              <w:t>(</w:t>
            </w:r>
            <w:r>
              <w:rPr>
                <w:rFonts w:ascii="Arial Narrow" w:hAnsi="Arial Narrow" w:cs="Arial Narrow"/>
                <w:color w:val="FFFFFF"/>
                <w:sz w:val="20"/>
                <w:szCs w:val="20"/>
              </w:rPr>
              <w:t>december 2007=100, 3MMA SA</w:t>
            </w:r>
            <w:r w:rsidRPr="00925D70">
              <w:rPr>
                <w:rFonts w:ascii="Arial Narrow" w:hAnsi="Arial Narrow" w:cs="Arial Narrow"/>
                <w:color w:val="FFFFFF"/>
                <w:sz w:val="20"/>
                <w:szCs w:val="20"/>
              </w:rPr>
              <w:t>)</w:t>
            </w:r>
          </w:p>
        </w:tc>
        <w:tc>
          <w:tcPr>
            <w:tcW w:w="284" w:type="dxa"/>
            <w:tcBorders>
              <w:top w:val="nil"/>
              <w:left w:val="nil"/>
              <w:bottom w:val="nil"/>
              <w:right w:val="nil"/>
            </w:tcBorders>
            <w:textDirection w:val="lrTb"/>
            <w:vAlign w:val="center"/>
          </w:tcPr>
          <w:p w:rsidR="00403E79" w:rsidRPr="00BA7455" w:rsidP="00BE03CA">
            <w:pPr>
              <w:keepNext/>
              <w:keepLines/>
              <w:widowControl w:val="0"/>
              <w:bidi w:val="0"/>
              <w:spacing w:after="0" w:line="240" w:lineRule="auto"/>
              <w:rPr>
                <w:rFonts w:ascii="Arial Narrow" w:hAnsi="Arial Narrow" w:cs="Arial Narrow"/>
                <w:b/>
                <w:bCs/>
                <w:color w:val="FFFFFF"/>
                <w:sz w:val="20"/>
                <w:szCs w:val="20"/>
                <w:highlight w:val="darkYellow"/>
              </w:rPr>
            </w:pPr>
          </w:p>
        </w:tc>
        <w:tc>
          <w:tcPr>
            <w:tcW w:w="4253" w:type="dxa"/>
            <w:tcBorders>
              <w:top w:val="nil"/>
              <w:left w:val="nil"/>
              <w:bottom w:val="nil"/>
              <w:right w:val="nil"/>
            </w:tcBorders>
            <w:shd w:val="clear" w:color="auto" w:fill="000000"/>
            <w:textDirection w:val="lrTb"/>
            <w:vAlign w:val="center"/>
          </w:tcPr>
          <w:p w:rsidR="00403E79" w:rsidP="00BE03CA">
            <w:pPr>
              <w:keepNext/>
              <w:keepLines/>
              <w:widowControl w:val="0"/>
              <w:bidi w:val="0"/>
              <w:spacing w:after="0" w:line="240" w:lineRule="auto"/>
              <w:rPr>
                <w:rFonts w:ascii="Arial Narrow" w:hAnsi="Arial Narrow" w:cs="Arial Narrow"/>
                <w:b/>
                <w:bCs/>
                <w:color w:val="FFFFFF"/>
                <w:sz w:val="20"/>
                <w:szCs w:val="20"/>
              </w:rPr>
            </w:pPr>
            <w:r>
              <w:rPr>
                <w:rFonts w:ascii="Arial Narrow" w:hAnsi="Arial Narrow" w:cs="Arial Narrow"/>
                <w:b/>
                <w:bCs/>
                <w:color w:val="FFFFFF"/>
                <w:sz w:val="20"/>
                <w:szCs w:val="20"/>
              </w:rPr>
              <w:t>Rast zamestnanosti a miera nezamestnanosti</w:t>
            </w:r>
          </w:p>
          <w:p w:rsidR="00403E79" w:rsidRPr="00BA7455" w:rsidP="00BE03CA">
            <w:pPr>
              <w:keepNext/>
              <w:keepLines/>
              <w:widowControl w:val="0"/>
              <w:bidi w:val="0"/>
              <w:spacing w:after="0" w:line="240" w:lineRule="auto"/>
              <w:rPr>
                <w:rFonts w:ascii="Arial Narrow" w:hAnsi="Arial Narrow" w:cs="Arial Narrow"/>
                <w:b/>
                <w:bCs/>
                <w:color w:val="FFFFFF"/>
                <w:sz w:val="20"/>
                <w:szCs w:val="20"/>
                <w:highlight w:val="darkYellow"/>
              </w:rPr>
            </w:pPr>
            <w:r w:rsidRPr="00BA483A">
              <w:rPr>
                <w:rFonts w:ascii="Arial Narrow" w:hAnsi="Arial Narrow" w:cs="Arial Narrow"/>
                <w:b/>
                <w:bCs/>
                <w:color w:val="FFFFFF"/>
                <w:sz w:val="20"/>
                <w:szCs w:val="20"/>
              </w:rPr>
              <w:t xml:space="preserve"> </w:t>
            </w:r>
            <w:r w:rsidRPr="00925D70">
              <w:rPr>
                <w:rFonts w:ascii="Arial Narrow" w:hAnsi="Arial Narrow" w:cs="Arial Narrow"/>
                <w:color w:val="FFFFFF"/>
                <w:sz w:val="20"/>
                <w:szCs w:val="20"/>
              </w:rPr>
              <w:t>(</w:t>
            </w:r>
            <w:r>
              <w:rPr>
                <w:rFonts w:ascii="Arial Narrow" w:hAnsi="Arial Narrow" w:cs="Arial Narrow"/>
                <w:color w:val="FFFFFF"/>
                <w:sz w:val="20"/>
                <w:szCs w:val="20"/>
              </w:rPr>
              <w:t>sez. očistené, medzikvartálne rasty</w:t>
            </w:r>
            <w:r w:rsidRPr="00925D70">
              <w:rPr>
                <w:rFonts w:ascii="Arial Narrow" w:hAnsi="Arial Narrow" w:cs="Arial Narrow"/>
                <w:color w:val="FFFFFF"/>
                <w:sz w:val="20"/>
                <w:szCs w:val="20"/>
              </w:rPr>
              <w:t>)</w:t>
            </w:r>
          </w:p>
        </w:tc>
      </w:tr>
      <w:tr>
        <w:tblPrEx>
          <w:tblW w:w="0" w:type="auto"/>
          <w:jc w:val="center"/>
          <w:tblLayout w:type="fixed"/>
          <w:tblLook w:val="01E0"/>
        </w:tblPrEx>
        <w:trPr>
          <w:trHeight w:val="1531"/>
          <w:jc w:val="center"/>
        </w:trPr>
        <w:tc>
          <w:tcPr>
            <w:tcW w:w="4253" w:type="dxa"/>
            <w:tcBorders>
              <w:top w:val="nil"/>
              <w:left w:val="nil"/>
              <w:bottom w:val="single" w:sz="4" w:space="0" w:color="auto"/>
              <w:right w:val="nil"/>
            </w:tcBorders>
            <w:textDirection w:val="lrTb"/>
            <w:vAlign w:val="center"/>
          </w:tcPr>
          <w:p w:rsidR="00403E79" w:rsidRPr="005D5374" w:rsidP="00BE03CA">
            <w:pPr>
              <w:keepNext/>
              <w:keepLines/>
              <w:widowControl w:val="0"/>
              <w:bidi w:val="0"/>
              <w:spacing w:before="40" w:after="40" w:line="240" w:lineRule="auto"/>
              <w:rPr>
                <w:rFonts w:ascii="Arial Narrow" w:hAnsi="Arial Narrow" w:cs="Arial Narrow"/>
              </w:rPr>
            </w:pPr>
            <w:r>
              <w:rPr>
                <w:rFonts w:ascii="Arial Narrow" w:hAnsi="Arial Narrow" w:cs="Arial Narrow"/>
                <w:noProof/>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6" o:spid="_x0000_i1025" type="#_x0000_t75" style="width:195.6pt;height:118.2pt;visibility:visible" filled="f" stroked="f">
                  <v:fill o:detectmouseclick="f"/>
                  <v:imagedata r:id="rId6" o:title=""/>
                  <o:lock v:ext="edit" aspectratio="t"/>
                </v:shape>
              </w:pict>
            </w:r>
          </w:p>
        </w:tc>
        <w:tc>
          <w:tcPr>
            <w:tcW w:w="284" w:type="dxa"/>
            <w:tcBorders>
              <w:top w:val="nil"/>
              <w:left w:val="nil"/>
              <w:bottom w:val="nil"/>
              <w:right w:val="nil"/>
            </w:tcBorders>
            <w:textDirection w:val="lrTb"/>
            <w:vAlign w:val="center"/>
          </w:tcPr>
          <w:p w:rsidR="00403E79" w:rsidRPr="005D5374" w:rsidP="00BE03CA">
            <w:pPr>
              <w:keepNext/>
              <w:keepLines/>
              <w:widowControl w:val="0"/>
              <w:bidi w:val="0"/>
              <w:spacing w:after="0" w:line="240" w:lineRule="auto"/>
              <w:rPr>
                <w:rFonts w:ascii="Arial Narrow" w:hAnsi="Arial Narrow" w:cs="Arial Narrow"/>
                <w:b/>
                <w:bCs/>
                <w:sz w:val="16"/>
                <w:szCs w:val="16"/>
              </w:rPr>
            </w:pPr>
          </w:p>
        </w:tc>
        <w:tc>
          <w:tcPr>
            <w:tcW w:w="4253" w:type="dxa"/>
            <w:tcBorders>
              <w:top w:val="nil"/>
              <w:left w:val="nil"/>
              <w:bottom w:val="single" w:sz="4" w:space="0" w:color="auto"/>
              <w:right w:val="nil"/>
            </w:tcBorders>
            <w:textDirection w:val="lrTb"/>
            <w:vAlign w:val="top"/>
          </w:tcPr>
          <w:p w:rsidR="00403E79" w:rsidRPr="005D5374" w:rsidP="00BE03CA">
            <w:pPr>
              <w:keepNext/>
              <w:keepLines/>
              <w:widowControl w:val="0"/>
              <w:bidi w:val="0"/>
              <w:spacing w:after="0" w:line="240" w:lineRule="auto"/>
              <w:rPr>
                <w:rFonts w:ascii="Arial Narrow" w:hAnsi="Arial Narrow" w:cs="Arial Narrow"/>
                <w:b/>
                <w:bCs/>
                <w:sz w:val="16"/>
                <w:szCs w:val="16"/>
              </w:rPr>
            </w:pPr>
            <w:r>
              <w:rPr>
                <w:rFonts w:ascii="Arial Narrow" w:hAnsi="Arial Narrow" w:cs="Arial Narrow"/>
                <w:b/>
                <w:noProof/>
                <w:sz w:val="16"/>
                <w:szCs w:val="16"/>
                <w:rtl w:val="0"/>
              </w:rPr>
              <w:pict>
                <v:shape id="Obrázok 5" o:spid="_x0000_i1026" type="#_x0000_t75" style="width:194.28pt;height:118.78pt;visibility:visible" filled="f" stroked="f">
                  <v:fill o:detectmouseclick="f"/>
                  <v:imagedata r:id="rId7" o:title=""/>
                  <o:lock v:ext="edit" aspectratio="t"/>
                </v:shape>
              </w:pict>
            </w:r>
          </w:p>
        </w:tc>
      </w:tr>
      <w:tr>
        <w:tblPrEx>
          <w:tblW w:w="0" w:type="auto"/>
          <w:jc w:val="center"/>
          <w:tblLayout w:type="fixed"/>
          <w:tblLook w:val="01E0"/>
        </w:tblPrEx>
        <w:trPr>
          <w:trHeight w:val="240"/>
          <w:jc w:val="center"/>
        </w:trPr>
        <w:tc>
          <w:tcPr>
            <w:tcW w:w="4253" w:type="dxa"/>
            <w:tcBorders>
              <w:top w:val="single" w:sz="4" w:space="0" w:color="auto"/>
              <w:left w:val="nil"/>
              <w:bottom w:val="nil"/>
              <w:right w:val="nil"/>
            </w:tcBorders>
            <w:textDirection w:val="lrTb"/>
            <w:vAlign w:val="center"/>
          </w:tcPr>
          <w:p w:rsidR="00403E79" w:rsidRPr="005D5374" w:rsidP="00BE03CA">
            <w:pPr>
              <w:keepNext/>
              <w:keepLines/>
              <w:widowControl w:val="0"/>
              <w:bidi w:val="0"/>
              <w:spacing w:after="0" w:line="240" w:lineRule="auto"/>
              <w:jc w:val="right"/>
              <w:rPr>
                <w:rFonts w:ascii="Arial Narrow" w:hAnsi="Arial Narrow" w:cs="Arial Narrow"/>
                <w:i/>
                <w:iCs/>
                <w:sz w:val="16"/>
                <w:szCs w:val="16"/>
              </w:rPr>
            </w:pPr>
            <w:r w:rsidRPr="005D5374">
              <w:rPr>
                <w:rFonts w:ascii="Arial Narrow" w:hAnsi="Arial Narrow" w:cs="Arial Narrow"/>
                <w:i/>
                <w:iCs/>
                <w:sz w:val="16"/>
                <w:szCs w:val="16"/>
              </w:rPr>
              <w:t>Zdroj: ŠÚ SR, MF SR</w:t>
            </w:r>
          </w:p>
        </w:tc>
        <w:tc>
          <w:tcPr>
            <w:tcW w:w="284" w:type="dxa"/>
            <w:tcBorders>
              <w:top w:val="nil"/>
              <w:left w:val="nil"/>
              <w:bottom w:val="nil"/>
              <w:right w:val="nil"/>
            </w:tcBorders>
            <w:textDirection w:val="lrTb"/>
            <w:vAlign w:val="center"/>
          </w:tcPr>
          <w:p w:rsidR="00403E79" w:rsidRPr="005D5374" w:rsidP="00BE03CA">
            <w:pPr>
              <w:keepNext/>
              <w:keepLines/>
              <w:widowControl w:val="0"/>
              <w:bidi w:val="0"/>
              <w:spacing w:after="0" w:line="240" w:lineRule="auto"/>
              <w:jc w:val="right"/>
              <w:rPr>
                <w:rFonts w:ascii="Arial Narrow" w:hAnsi="Arial Narrow" w:cs="Arial Narrow"/>
                <w:i/>
                <w:iCs/>
                <w:sz w:val="16"/>
                <w:szCs w:val="16"/>
              </w:rPr>
            </w:pPr>
          </w:p>
        </w:tc>
        <w:tc>
          <w:tcPr>
            <w:tcW w:w="4253" w:type="dxa"/>
            <w:tcBorders>
              <w:top w:val="single" w:sz="4" w:space="0" w:color="auto"/>
              <w:left w:val="nil"/>
              <w:bottom w:val="nil"/>
              <w:right w:val="nil"/>
            </w:tcBorders>
            <w:textDirection w:val="lrTb"/>
            <w:vAlign w:val="center"/>
          </w:tcPr>
          <w:p w:rsidR="00403E79" w:rsidRPr="005D5374" w:rsidP="00BE03CA">
            <w:pPr>
              <w:keepNext/>
              <w:keepLines/>
              <w:widowControl w:val="0"/>
              <w:bidi w:val="0"/>
              <w:spacing w:after="0" w:line="240" w:lineRule="auto"/>
              <w:jc w:val="right"/>
              <w:rPr>
                <w:rFonts w:ascii="Arial Narrow" w:hAnsi="Arial Narrow" w:cs="Arial Narrow"/>
                <w:i/>
                <w:iCs/>
                <w:sz w:val="16"/>
                <w:szCs w:val="16"/>
              </w:rPr>
            </w:pPr>
            <w:r w:rsidRPr="005D5374">
              <w:rPr>
                <w:rFonts w:ascii="Arial Narrow" w:hAnsi="Arial Narrow" w:cs="Arial Narrow"/>
                <w:i/>
                <w:iCs/>
                <w:sz w:val="16"/>
                <w:szCs w:val="16"/>
              </w:rPr>
              <w:t>Zdroj: ŠÚ SR, MF SR</w:t>
            </w:r>
          </w:p>
        </w:tc>
      </w:tr>
    </w:tbl>
    <w:p w:rsidR="00403E79" w:rsidRPr="0006729E" w:rsidP="00403E79">
      <w:pPr>
        <w:bidi w:val="0"/>
        <w:jc w:val="both"/>
        <w:rPr>
          <w:rFonts w:ascii="Arial Narrow" w:hAnsi="Arial Narrow" w:cs="Arial Narrow"/>
          <w:sz w:val="16"/>
          <w:szCs w:val="16"/>
        </w:rPr>
      </w:pPr>
    </w:p>
    <w:p w:rsidR="00403E79" w:rsidRPr="003C1561" w:rsidP="00403E79">
      <w:pPr>
        <w:bidi w:val="0"/>
        <w:jc w:val="both"/>
        <w:rPr>
          <w:rFonts w:ascii="Arial Narrow" w:hAnsi="Arial Narrow" w:cs="Arial Narrow"/>
          <w:highlight w:val="darkYellow"/>
        </w:rPr>
      </w:pPr>
      <w:r>
        <w:rPr>
          <w:rFonts w:ascii="Arial Narrow" w:hAnsi="Arial Narrow" w:cs="Arial Narrow"/>
        </w:rPr>
        <w:t>Trh práce od začiatku roka 2011 začal výrazne pociťovať vplyv oživenia ekonomiky</w:t>
      </w:r>
      <w:r w:rsidRPr="00DA1171">
        <w:rPr>
          <w:rFonts w:ascii="Arial Narrow" w:hAnsi="Arial Narrow" w:cs="Arial Narrow"/>
        </w:rPr>
        <w:t xml:space="preserve">. </w:t>
      </w:r>
      <w:r>
        <w:rPr>
          <w:rFonts w:ascii="Arial Narrow" w:hAnsi="Arial Narrow" w:cs="Arial Narrow"/>
        </w:rPr>
        <w:t xml:space="preserve">Kým v roku 2010 zamestnávatelia zvyšovali skôr počet odpracovaných hodín v snahe prispôsobiť sa zvyšujúcemu sa dopytu, začiatkom roka 2011 už pristúpili k výraznému zvyšovaniu zamestnanosti. Ekonomika vytvorila v prvom kvartáli </w:t>
      </w:r>
      <w:r w:rsidRPr="000336FC">
        <w:rPr>
          <w:rFonts w:ascii="Arial Narrow" w:hAnsi="Arial Narrow" w:cs="Arial Narrow"/>
          <w:b/>
        </w:rPr>
        <w:t>33</w:t>
      </w:r>
      <w:r>
        <w:rPr>
          <w:rFonts w:ascii="Arial Narrow" w:hAnsi="Arial Narrow" w:cs="Arial Narrow"/>
        </w:rPr>
        <w:t xml:space="preserve">,1 </w:t>
      </w:r>
      <w:r w:rsidRPr="000336FC">
        <w:rPr>
          <w:rFonts w:ascii="Arial Narrow" w:hAnsi="Arial Narrow" w:cs="Arial Narrow"/>
          <w:b/>
        </w:rPr>
        <w:t>tisíc nových pracovných miest</w:t>
      </w:r>
      <w:r>
        <w:rPr>
          <w:rFonts w:ascii="Arial Narrow" w:hAnsi="Arial Narrow" w:cs="Arial Narrow"/>
        </w:rPr>
        <w:t xml:space="preserve">, zamestnanosť v rovnakom období rástla na úrovni 2,2%. </w:t>
      </w:r>
      <w:r w:rsidRPr="00DA1171">
        <w:rPr>
          <w:rFonts w:ascii="Arial Narrow" w:hAnsi="Arial Narrow" w:cs="Arial Narrow"/>
        </w:rPr>
        <w:t xml:space="preserve">Počet nezamestnaných sa </w:t>
      </w:r>
      <w:r>
        <w:rPr>
          <w:rFonts w:ascii="Arial Narrow" w:hAnsi="Arial Narrow" w:cs="Arial Narrow"/>
        </w:rPr>
        <w:t xml:space="preserve">počas prvého kvartálu </w:t>
      </w:r>
      <w:r w:rsidRPr="00DA1171">
        <w:rPr>
          <w:rFonts w:ascii="Arial Narrow" w:hAnsi="Arial Narrow" w:cs="Arial Narrow"/>
        </w:rPr>
        <w:t>medziročne z</w:t>
      </w:r>
      <w:r>
        <w:rPr>
          <w:rFonts w:ascii="Arial Narrow" w:hAnsi="Arial Narrow" w:cs="Arial Narrow"/>
        </w:rPr>
        <w:t xml:space="preserve">nížil </w:t>
      </w:r>
      <w:r w:rsidRPr="00DA1171">
        <w:rPr>
          <w:rFonts w:ascii="Arial Narrow" w:hAnsi="Arial Narrow" w:cs="Arial Narrow"/>
        </w:rPr>
        <w:t>o </w:t>
      </w:r>
      <w:r>
        <w:rPr>
          <w:rFonts w:ascii="Arial Narrow" w:hAnsi="Arial Narrow" w:cs="Arial Narrow"/>
        </w:rPr>
        <w:t>32 tisíc osôb a</w:t>
      </w:r>
      <w:r w:rsidRPr="00DA1171">
        <w:rPr>
          <w:rFonts w:ascii="Arial Narrow" w:hAnsi="Arial Narrow" w:cs="Arial Narrow"/>
        </w:rPr>
        <w:t xml:space="preserve"> </w:t>
      </w:r>
      <w:r>
        <w:rPr>
          <w:rFonts w:ascii="Arial Narrow" w:hAnsi="Arial Narrow" w:cs="Arial Narrow"/>
        </w:rPr>
        <w:t>m</w:t>
      </w:r>
      <w:r w:rsidRPr="00DA1171">
        <w:rPr>
          <w:rFonts w:ascii="Arial Narrow" w:hAnsi="Arial Narrow" w:cs="Arial Narrow"/>
        </w:rPr>
        <w:t xml:space="preserve">iera nezamestnanosti </w:t>
      </w:r>
      <w:r>
        <w:rPr>
          <w:rFonts w:ascii="Arial Narrow" w:hAnsi="Arial Narrow" w:cs="Arial Narrow"/>
        </w:rPr>
        <w:t xml:space="preserve">klesla </w:t>
      </w:r>
      <w:r w:rsidRPr="00DA1171">
        <w:rPr>
          <w:rFonts w:ascii="Arial Narrow" w:hAnsi="Arial Narrow" w:cs="Arial Narrow"/>
        </w:rPr>
        <w:t xml:space="preserve">na úroveň </w:t>
      </w:r>
      <w:r w:rsidRPr="000336FC">
        <w:rPr>
          <w:rFonts w:ascii="Arial Narrow" w:hAnsi="Arial Narrow" w:cs="Arial Narrow"/>
          <w:b/>
        </w:rPr>
        <w:t>13,9%.</w:t>
      </w:r>
      <w:r>
        <w:rPr>
          <w:rFonts w:ascii="Arial Narrow" w:hAnsi="Arial Narrow" w:cs="Arial Narrow"/>
        </w:rPr>
        <w:t xml:space="preserve"> </w:t>
      </w:r>
      <w:r w:rsidRPr="00843789">
        <w:rPr>
          <w:rFonts w:ascii="Arial Narrow" w:hAnsi="Arial Narrow" w:cs="Arial Narrow"/>
        </w:rPr>
        <w:t xml:space="preserve">Priemerná mesačná mzda v národnom hospodárstve sa zvýšila </w:t>
      </w:r>
      <w:r>
        <w:rPr>
          <w:rFonts w:ascii="Arial Narrow" w:hAnsi="Arial Narrow" w:cs="Arial Narrow"/>
        </w:rPr>
        <w:t xml:space="preserve">v prvom kvartáli 2011 </w:t>
      </w:r>
      <w:r w:rsidRPr="00843789">
        <w:rPr>
          <w:rFonts w:ascii="Arial Narrow" w:hAnsi="Arial Narrow" w:cs="Arial Narrow"/>
        </w:rPr>
        <w:t xml:space="preserve">nominálne </w:t>
      </w:r>
      <w:r>
        <w:rPr>
          <w:rFonts w:ascii="Arial Narrow" w:hAnsi="Arial Narrow" w:cs="Arial Narrow"/>
        </w:rPr>
        <w:t>o 2,9</w:t>
      </w:r>
      <w:r w:rsidRPr="00843789">
        <w:rPr>
          <w:rFonts w:ascii="Arial Narrow" w:hAnsi="Arial Narrow" w:cs="Arial Narrow"/>
        </w:rPr>
        <w:t xml:space="preserve">% na úroveň </w:t>
      </w:r>
      <w:r>
        <w:rPr>
          <w:rFonts w:ascii="Arial Narrow" w:hAnsi="Arial Narrow" w:cs="Arial Narrow"/>
        </w:rPr>
        <w:t>746</w:t>
      </w:r>
      <w:r w:rsidRPr="00843789">
        <w:rPr>
          <w:rFonts w:ascii="Arial Narrow" w:hAnsi="Arial Narrow" w:cs="Arial Narrow"/>
        </w:rPr>
        <w:t xml:space="preserve"> </w:t>
      </w:r>
      <w:r>
        <w:rPr>
          <w:rFonts w:ascii="Arial Narrow" w:hAnsi="Arial Narrow" w:cs="Arial Narrow"/>
        </w:rPr>
        <w:t>eur, čo bolo vo veľkej miere ovplyvnené poklesom miezd vo verejnej správe a štátnych podnikoch v rámci fiškálnej konsolidácie. Reálna mzda</w:t>
      </w:r>
      <w:r w:rsidRPr="00274BA7">
        <w:rPr>
          <w:rFonts w:ascii="Arial Narrow" w:hAnsi="Arial Narrow" w:cs="Arial Narrow"/>
        </w:rPr>
        <w:t xml:space="preserve"> </w:t>
      </w:r>
      <w:r>
        <w:rPr>
          <w:rFonts w:ascii="Arial Narrow" w:hAnsi="Arial Narrow" w:cs="Arial Narrow"/>
        </w:rPr>
        <w:t xml:space="preserve">poklesla medziročne </w:t>
      </w:r>
      <w:r w:rsidRPr="000336FC">
        <w:rPr>
          <w:rFonts w:ascii="Arial Narrow" w:hAnsi="Arial Narrow" w:cs="Arial Narrow"/>
          <w:b/>
        </w:rPr>
        <w:t>0,4%</w:t>
      </w:r>
      <w:r>
        <w:rPr>
          <w:rFonts w:ascii="Arial Narrow" w:hAnsi="Arial Narrow" w:cs="Arial Narrow"/>
          <w:color w:val="000000"/>
        </w:rPr>
        <w:t xml:space="preserve">. Posledné mesačné indikátory naznačujú mierne ochladnutie vonkajšieho prostredia, taktiež prírastky zamestnaných sa spomaľujú, preto nezamestnanosť do konca roka bude klesať len pozvoľna. </w:t>
      </w:r>
    </w:p>
    <w:p w:rsidR="00403E79" w:rsidRPr="0006729E" w:rsidP="00403E79">
      <w:pPr>
        <w:pStyle w:val="FootnoteText"/>
        <w:bidi w:val="0"/>
        <w:jc w:val="both"/>
        <w:rPr>
          <w:rFonts w:ascii="Arial Narrow" w:hAnsi="Arial Narrow" w:cs="Arial Narrow"/>
          <w:sz w:val="16"/>
          <w:szCs w:val="16"/>
        </w:rPr>
      </w:pPr>
    </w:p>
    <w:p w:rsidR="00403E79" w:rsidRPr="005D5374" w:rsidP="00403E79">
      <w:pPr>
        <w:pStyle w:val="Heading3"/>
        <w:bidi w:val="0"/>
        <w:spacing w:before="120"/>
        <w:rPr>
          <w:rFonts w:ascii="Arial Narrow" w:hAnsi="Arial Narrow" w:cs="Arial Narrow"/>
          <w:i/>
          <w:iCs/>
          <w:color w:val="auto"/>
          <w:sz w:val="24"/>
          <w:szCs w:val="24"/>
        </w:rPr>
      </w:pPr>
      <w:bookmarkStart w:id="32" w:name="_Toc299709420"/>
      <w:r w:rsidRPr="005D5374">
        <w:rPr>
          <w:rFonts w:ascii="Arial Narrow" w:hAnsi="Arial Narrow" w:cs="Arial Narrow"/>
          <w:i/>
          <w:iCs/>
          <w:color w:val="auto"/>
          <w:sz w:val="24"/>
          <w:szCs w:val="24"/>
        </w:rPr>
        <w:t>Menové ukazovatele</w:t>
      </w:r>
      <w:bookmarkEnd w:id="32"/>
      <w:r w:rsidRPr="005D5374">
        <w:rPr>
          <w:rFonts w:ascii="Arial Narrow" w:hAnsi="Arial Narrow" w:cs="Arial Narrow"/>
          <w:i/>
          <w:iCs/>
          <w:color w:val="auto"/>
          <w:sz w:val="24"/>
          <w:szCs w:val="24"/>
        </w:rPr>
        <w:t xml:space="preserve"> </w:t>
      </w:r>
    </w:p>
    <w:p w:rsidR="00403E79" w:rsidRPr="0006729E" w:rsidP="00403E79">
      <w:pPr>
        <w:bidi w:val="0"/>
        <w:jc w:val="both"/>
        <w:rPr>
          <w:rFonts w:ascii="Arial Narrow" w:hAnsi="Arial Narrow" w:cs="Arial Narrow"/>
          <w:sz w:val="16"/>
          <w:szCs w:val="16"/>
        </w:rPr>
      </w:pPr>
    </w:p>
    <w:p w:rsidR="00403E79" w:rsidP="00403E79">
      <w:pPr>
        <w:bidi w:val="0"/>
        <w:jc w:val="both"/>
        <w:rPr>
          <w:rFonts w:ascii="Arial Narrow" w:hAnsi="Arial Narrow" w:cs="Arial Narrow"/>
        </w:rPr>
      </w:pPr>
      <w:r>
        <w:rPr>
          <w:rFonts w:ascii="Arial Narrow" w:hAnsi="Arial Narrow" w:cs="Arial Narrow"/>
        </w:rPr>
        <w:t xml:space="preserve">Po rekordne nízkom raste cien </w:t>
      </w:r>
      <w:r w:rsidR="00CB2584">
        <w:rPr>
          <w:rFonts w:ascii="Arial Narrow" w:hAnsi="Arial Narrow" w:cs="Arial Narrow"/>
        </w:rPr>
        <w:t xml:space="preserve">(kvôli kríze) </w:t>
      </w:r>
      <w:r>
        <w:rPr>
          <w:rFonts w:ascii="Arial Narrow" w:hAnsi="Arial Narrow" w:cs="Arial Narrow"/>
        </w:rPr>
        <w:t>v roku 2010 na úrovni 1% začali s</w:t>
      </w:r>
      <w:r w:rsidRPr="00F00859">
        <w:rPr>
          <w:rFonts w:ascii="Arial Narrow" w:hAnsi="Arial Narrow" w:cs="Arial Narrow"/>
        </w:rPr>
        <w:t>potrebiteľské ceny na Slovensku v</w:t>
      </w:r>
      <w:r>
        <w:rPr>
          <w:rFonts w:ascii="Arial Narrow" w:hAnsi="Arial Narrow" w:cs="Arial Narrow"/>
        </w:rPr>
        <w:t xml:space="preserve"> prvom polroku 2011 pomerne </w:t>
      </w:r>
      <w:r w:rsidRPr="00F00859">
        <w:rPr>
          <w:rFonts w:ascii="Arial Narrow" w:hAnsi="Arial Narrow" w:cs="Arial Narrow"/>
        </w:rPr>
        <w:t>výrazne r</w:t>
      </w:r>
      <w:r>
        <w:rPr>
          <w:rFonts w:ascii="Arial Narrow" w:hAnsi="Arial Narrow" w:cs="Arial Narrow"/>
        </w:rPr>
        <w:t>á</w:t>
      </w:r>
      <w:r w:rsidRPr="00F00859">
        <w:rPr>
          <w:rFonts w:ascii="Arial Narrow" w:hAnsi="Arial Narrow" w:cs="Arial Narrow"/>
        </w:rPr>
        <w:t>s</w:t>
      </w:r>
      <w:r>
        <w:rPr>
          <w:rFonts w:ascii="Arial Narrow" w:hAnsi="Arial Narrow" w:cs="Arial Narrow"/>
        </w:rPr>
        <w:t xml:space="preserve">ť, keď v júni dosiahla inflácia CPI 3,9% </w:t>
      </w:r>
      <w:r w:rsidRPr="00F00859">
        <w:rPr>
          <w:rFonts w:ascii="Arial Narrow" w:hAnsi="Arial Narrow" w:cs="Arial Narrow"/>
        </w:rPr>
        <w:t>(</w:t>
      </w:r>
      <w:r>
        <w:rPr>
          <w:rFonts w:ascii="Arial Narrow" w:hAnsi="Arial Narrow" w:cs="Arial Narrow"/>
        </w:rPr>
        <w:t>priemer za prvý polrok 3,6%). O</w:t>
      </w:r>
      <w:r w:rsidRPr="00F00859">
        <w:rPr>
          <w:rFonts w:ascii="Arial Narrow" w:hAnsi="Arial Narrow" w:cs="Arial Narrow"/>
        </w:rPr>
        <w:t xml:space="preserve">dhadovaný rast </w:t>
      </w:r>
      <w:r>
        <w:rPr>
          <w:rFonts w:ascii="Arial Narrow" w:hAnsi="Arial Narrow" w:cs="Arial Narrow"/>
        </w:rPr>
        <w:t>cien</w:t>
      </w:r>
      <w:r w:rsidRPr="00F00859">
        <w:rPr>
          <w:rFonts w:ascii="Arial Narrow" w:hAnsi="Arial Narrow" w:cs="Arial Narrow"/>
        </w:rPr>
        <w:t xml:space="preserve"> </w:t>
      </w:r>
      <w:r>
        <w:rPr>
          <w:rFonts w:ascii="Arial Narrow" w:hAnsi="Arial Narrow" w:cs="Arial Narrow"/>
        </w:rPr>
        <w:t xml:space="preserve">pre celý rok 2011 sa zvýšil na </w:t>
      </w:r>
      <w:r w:rsidRPr="00F00859">
        <w:rPr>
          <w:rFonts w:ascii="Arial Narrow" w:hAnsi="Arial Narrow" w:cs="Arial Narrow"/>
        </w:rPr>
        <w:t>4,1%</w:t>
      </w:r>
      <w:r>
        <w:rPr>
          <w:rFonts w:ascii="Arial Narrow" w:hAnsi="Arial Narrow" w:cs="Arial Narrow"/>
        </w:rPr>
        <w:t xml:space="preserve">. </w:t>
      </w:r>
      <w:r w:rsidRPr="00F00859">
        <w:rPr>
          <w:rFonts w:ascii="Arial Narrow" w:hAnsi="Arial Narrow" w:cs="Arial Narrow"/>
        </w:rPr>
        <w:t>Výnimočne nízk</w:t>
      </w:r>
      <w:r>
        <w:rPr>
          <w:rFonts w:ascii="Arial Narrow" w:hAnsi="Arial Narrow" w:cs="Arial Narrow"/>
        </w:rPr>
        <w:t>a</w:t>
      </w:r>
      <w:r w:rsidRPr="00F00859">
        <w:rPr>
          <w:rFonts w:ascii="Arial Narrow" w:hAnsi="Arial Narrow" w:cs="Arial Narrow"/>
        </w:rPr>
        <w:t xml:space="preserve"> infláci</w:t>
      </w:r>
      <w:r>
        <w:rPr>
          <w:rFonts w:ascii="Arial Narrow" w:hAnsi="Arial Narrow" w:cs="Arial Narrow"/>
        </w:rPr>
        <w:t>a</w:t>
      </w:r>
      <w:r w:rsidRPr="00F00859">
        <w:rPr>
          <w:rFonts w:ascii="Arial Narrow" w:hAnsi="Arial Narrow" w:cs="Arial Narrow"/>
        </w:rPr>
        <w:t xml:space="preserve"> v rokoch 2009 (1,6%) a 2010 (1%) však bol</w:t>
      </w:r>
      <w:r>
        <w:rPr>
          <w:rFonts w:ascii="Arial Narrow" w:hAnsi="Arial Narrow" w:cs="Arial Narrow"/>
        </w:rPr>
        <w:t>a</w:t>
      </w:r>
      <w:r w:rsidRPr="00F00859">
        <w:rPr>
          <w:rFonts w:ascii="Arial Narrow" w:hAnsi="Arial Narrow" w:cs="Arial Narrow"/>
        </w:rPr>
        <w:t xml:space="preserve"> dôsledkom krízy, kedy ceny automaticky klesajú kvôli rastu nezamestnanosti, znižovaniu disponibilných príjmov domácností a tým súvisiacim prepadom dopytu. </w:t>
      </w:r>
      <w:r w:rsidR="00CB2584">
        <w:rPr>
          <w:rFonts w:ascii="Arial Narrow" w:hAnsi="Arial Narrow" w:cs="Arial Narrow"/>
        </w:rPr>
        <w:t>Nemenej dôležitým faktom je aj pokles cien komodít kvôli slabšej dynamike globálneho dopytu.</w:t>
      </w:r>
    </w:p>
    <w:p w:rsidR="00403E79" w:rsidP="00403E79">
      <w:pPr>
        <w:bidi w:val="0"/>
        <w:jc w:val="both"/>
        <w:rPr>
          <w:rFonts w:ascii="Arial Narrow" w:hAnsi="Arial Narrow" w:cs="Arial Narrow"/>
        </w:rPr>
      </w:pPr>
    </w:p>
    <w:p w:rsidR="00403E79" w:rsidP="00403E79">
      <w:pPr>
        <w:bidi w:val="0"/>
        <w:jc w:val="both"/>
        <w:rPr>
          <w:rFonts w:ascii="Arial Narrow" w:hAnsi="Arial Narrow" w:cs="Arial Narrow"/>
        </w:rPr>
      </w:pPr>
      <w:r w:rsidRPr="000336FC">
        <w:rPr>
          <w:rFonts w:ascii="Arial Narrow" w:hAnsi="Arial Narrow"/>
          <w:b/>
        </w:rPr>
        <w:t>Za rastom cien v roku 2011 sú tri základné faktory</w:t>
      </w:r>
      <w:r w:rsidRPr="003E2268">
        <w:rPr>
          <w:rFonts w:ascii="Arial Narrow" w:hAnsi="Arial Narrow"/>
        </w:rPr>
        <w:t xml:space="preserve">: potraviny, ropa a konsolidačný balíček Vlády SR. Hlavný vplyv má svetový rast cien komodít (potraviny a ropa), na ktoré nemá vláda dosah. Ceny potravín rastú kvôli zlej úrode a reštrikciám v obchodnej politike niektorých krajín a prudký nárast cien ropy začiatkom tohto roka súvisí s politickými nepokojmi v arabských krajinách severnej Afriky. Vyššie ceny ropy majú priamy vplyv na </w:t>
      </w:r>
      <w:r>
        <w:rPr>
          <w:rFonts w:ascii="Arial Narrow" w:hAnsi="Arial Narrow"/>
        </w:rPr>
        <w:t xml:space="preserve">ceny </w:t>
      </w:r>
      <w:r w:rsidRPr="003E2268">
        <w:rPr>
          <w:rFonts w:ascii="Arial Narrow" w:hAnsi="Arial Narrow"/>
        </w:rPr>
        <w:t>pohonn</w:t>
      </w:r>
      <w:r>
        <w:rPr>
          <w:rFonts w:ascii="Arial Narrow" w:hAnsi="Arial Narrow"/>
        </w:rPr>
        <w:t>ých</w:t>
      </w:r>
      <w:r w:rsidRPr="003E2268">
        <w:rPr>
          <w:rFonts w:ascii="Arial Narrow" w:hAnsi="Arial Narrow"/>
        </w:rPr>
        <w:t xml:space="preserve"> hm</w:t>
      </w:r>
      <w:r>
        <w:rPr>
          <w:rFonts w:ascii="Arial Narrow" w:hAnsi="Arial Narrow"/>
        </w:rPr>
        <w:t>ô</w:t>
      </w:r>
      <w:r w:rsidRPr="003E2268">
        <w:rPr>
          <w:rFonts w:ascii="Arial Narrow" w:hAnsi="Arial Narrow"/>
        </w:rPr>
        <w:t>t a regulované ceny energií (</w:t>
      </w:r>
      <w:r>
        <w:rPr>
          <w:rFonts w:ascii="Arial Narrow" w:hAnsi="Arial Narrow"/>
        </w:rPr>
        <w:t xml:space="preserve">plyn a teplo - posledné </w:t>
      </w:r>
      <w:r w:rsidR="00CB2584">
        <w:rPr>
          <w:rFonts w:ascii="Arial Narrow" w:hAnsi="Arial Narrow"/>
        </w:rPr>
        <w:t xml:space="preserve">mimoriadne </w:t>
      </w:r>
      <w:r>
        <w:rPr>
          <w:rFonts w:ascii="Arial Narrow" w:hAnsi="Arial Narrow"/>
        </w:rPr>
        <w:t>zvýšenie</w:t>
      </w:r>
      <w:r w:rsidRPr="003E2268">
        <w:rPr>
          <w:rFonts w:ascii="Arial Narrow" w:hAnsi="Arial Narrow"/>
        </w:rPr>
        <w:t xml:space="preserve"> v</w:t>
      </w:r>
      <w:r>
        <w:rPr>
          <w:rFonts w:ascii="Arial Narrow" w:hAnsi="Arial Narrow"/>
        </w:rPr>
        <w:t> </w:t>
      </w:r>
      <w:r w:rsidRPr="003E2268">
        <w:rPr>
          <w:rFonts w:ascii="Arial Narrow" w:hAnsi="Arial Narrow"/>
        </w:rPr>
        <w:t>júli</w:t>
      </w:r>
      <w:r>
        <w:rPr>
          <w:rFonts w:ascii="Arial Narrow" w:hAnsi="Arial Narrow"/>
        </w:rPr>
        <w:t xml:space="preserve"> 2011</w:t>
      </w:r>
      <w:r w:rsidRPr="003E2268">
        <w:rPr>
          <w:rFonts w:ascii="Arial Narrow" w:hAnsi="Arial Narrow"/>
        </w:rPr>
        <w:t>), ktoré sa rýchlo prejavia v cenách dopravy a postupne v menšej miere cez sekundárne efekty rastu nákladov takmer v</w:t>
      </w:r>
      <w:r>
        <w:rPr>
          <w:rFonts w:ascii="Arial Narrow" w:hAnsi="Arial Narrow"/>
        </w:rPr>
        <w:t xml:space="preserve">o všetkých tovaroch a službách. </w:t>
      </w:r>
      <w:r w:rsidRPr="003E2268">
        <w:rPr>
          <w:rFonts w:ascii="Arial Narrow" w:hAnsi="Arial Narrow"/>
        </w:rPr>
        <w:t xml:space="preserve">Oba tieto trhové faktory prispejú k rastu cien v roku </w:t>
      </w:r>
      <w:r>
        <w:rPr>
          <w:rFonts w:ascii="Arial Narrow" w:hAnsi="Arial Narrow"/>
        </w:rPr>
        <w:t xml:space="preserve">2011 </w:t>
      </w:r>
      <w:r w:rsidRPr="003E2268">
        <w:rPr>
          <w:rFonts w:ascii="Arial Narrow" w:hAnsi="Arial Narrow"/>
        </w:rPr>
        <w:t>približne</w:t>
      </w:r>
      <w:r>
        <w:rPr>
          <w:rFonts w:ascii="Arial Narrow" w:hAnsi="Arial Narrow"/>
        </w:rPr>
        <w:t xml:space="preserve"> po</w:t>
      </w:r>
      <w:r w:rsidRPr="003E2268">
        <w:rPr>
          <w:rFonts w:ascii="Arial Narrow" w:hAnsi="Arial Narrow"/>
        </w:rPr>
        <w:t xml:space="preserve"> </w:t>
      </w:r>
      <w:r w:rsidRPr="000336FC">
        <w:rPr>
          <w:rFonts w:ascii="Arial Narrow" w:hAnsi="Arial Narrow"/>
          <w:b/>
        </w:rPr>
        <w:t>1 p.b</w:t>
      </w:r>
      <w:r>
        <w:rPr>
          <w:rFonts w:ascii="Arial Narrow" w:hAnsi="Arial Narrow"/>
        </w:rPr>
        <w:t>.</w:t>
      </w:r>
      <w:r w:rsidRPr="003E2268">
        <w:rPr>
          <w:rFonts w:ascii="Arial Narrow" w:hAnsi="Arial Narrow"/>
        </w:rPr>
        <w:t xml:space="preserve"> Konsolidačný balíček vlády bol nevyhnutný na zachovanie makroekonomickej stability a zníženie deficitu verejnej správy pod 3% HDP v roku 2013. Celkovo prispel k rastu cien </w:t>
      </w:r>
      <w:r w:rsidRPr="000336FC">
        <w:rPr>
          <w:rFonts w:ascii="Arial Narrow" w:hAnsi="Arial Narrow"/>
          <w:b/>
        </w:rPr>
        <w:t>0,9 p.b.,</w:t>
      </w:r>
      <w:r w:rsidRPr="003E2268">
        <w:rPr>
          <w:rFonts w:ascii="Arial Narrow" w:hAnsi="Arial Narrow"/>
        </w:rPr>
        <w:t xml:space="preserve"> pričom najväčší príspevok (0,5 p.b.) má dočasné zvýšenie základnej sadzby DPH z 19% na 20%. </w:t>
      </w:r>
    </w:p>
    <w:p w:rsidR="00403E79" w:rsidRPr="0006729E" w:rsidP="00403E79">
      <w:pPr>
        <w:bidi w:val="0"/>
        <w:jc w:val="both"/>
        <w:rPr>
          <w:rFonts w:ascii="Arial Narrow" w:hAnsi="Arial Narrow" w:cs="Arial Narrow"/>
          <w:sz w:val="16"/>
          <w:szCs w:val="16"/>
          <w:highlight w:val="red"/>
        </w:rPr>
      </w:pPr>
      <w:r w:rsidRPr="0006729E">
        <w:rPr>
          <w:rFonts w:ascii="Arial Narrow" w:hAnsi="Arial Narrow" w:cs="Arial Narrow"/>
          <w:sz w:val="16"/>
          <w:szCs w:val="16"/>
          <w:highlight w:val="red"/>
        </w:rPr>
        <w:t xml:space="preserve"> </w:t>
      </w:r>
    </w:p>
    <w:p w:rsidR="00403E79" w:rsidRPr="0006729E" w:rsidP="00403E79">
      <w:pPr>
        <w:bidi w:val="0"/>
        <w:jc w:val="both"/>
        <w:rPr>
          <w:rFonts w:ascii="Arial Narrow" w:hAnsi="Arial Narrow" w:cs="Arial Narrow"/>
          <w:sz w:val="16"/>
          <w:szCs w:val="16"/>
        </w:rPr>
      </w:pPr>
    </w:p>
    <w:tbl>
      <w:tblPr>
        <w:tblStyle w:val="TableNormal"/>
        <w:tblW w:w="9072"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390"/>
        <w:gridCol w:w="293"/>
        <w:gridCol w:w="4389"/>
      </w:tblGrid>
      <w:tr>
        <w:tblPrEx>
          <w:tblW w:w="9072"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Ex>
        <w:trPr>
          <w:trHeight w:val="340"/>
          <w:jc w:val="center"/>
        </w:trPr>
        <w:tc>
          <w:tcPr>
            <w:tcW w:w="4390" w:type="dxa"/>
            <w:tcBorders>
              <w:top w:val="nil"/>
              <w:left w:val="nil"/>
              <w:bottom w:val="nil"/>
              <w:right w:val="nil"/>
            </w:tcBorders>
            <w:shd w:val="clear" w:color="auto" w:fill="000000"/>
            <w:textDirection w:val="lrTb"/>
            <w:vAlign w:val="center"/>
          </w:tcPr>
          <w:p w:rsidR="00403E79" w:rsidRPr="005D5374" w:rsidP="00BE03CA">
            <w:pPr>
              <w:bidi w:val="0"/>
              <w:spacing w:after="0" w:line="240" w:lineRule="auto"/>
              <w:rPr>
                <w:rFonts w:ascii="Arial Narrow" w:hAnsi="Arial Narrow" w:cs="Arial Narrow"/>
                <w:b/>
                <w:bCs/>
                <w:color w:val="FFFFFF"/>
                <w:sz w:val="20"/>
                <w:szCs w:val="20"/>
              </w:rPr>
            </w:pPr>
            <w:r w:rsidRPr="005D5374">
              <w:rPr>
                <w:rFonts w:ascii="Arial Narrow" w:hAnsi="Arial Narrow" w:cs="Arial Narrow"/>
                <w:b/>
                <w:bCs/>
                <w:color w:val="FFFFFF"/>
                <w:sz w:val="20"/>
                <w:szCs w:val="20"/>
              </w:rPr>
              <w:t xml:space="preserve">Vývoj </w:t>
            </w:r>
            <w:r>
              <w:rPr>
                <w:rFonts w:ascii="Arial Narrow" w:hAnsi="Arial Narrow" w:cs="Arial Narrow"/>
                <w:b/>
                <w:bCs/>
                <w:color w:val="FFFFFF"/>
                <w:sz w:val="20"/>
                <w:szCs w:val="20"/>
              </w:rPr>
              <w:t xml:space="preserve">spotrebiteľskej </w:t>
            </w:r>
            <w:r w:rsidRPr="005D5374">
              <w:rPr>
                <w:rFonts w:ascii="Arial Narrow" w:hAnsi="Arial Narrow" w:cs="Arial Narrow"/>
                <w:b/>
                <w:bCs/>
                <w:color w:val="FFFFFF"/>
                <w:sz w:val="20"/>
                <w:szCs w:val="20"/>
              </w:rPr>
              <w:t>inflácie a jej hlavných komponentov (medziročne, %)</w:t>
            </w:r>
          </w:p>
        </w:tc>
        <w:tc>
          <w:tcPr>
            <w:tcW w:w="293" w:type="dxa"/>
            <w:tcBorders>
              <w:top w:val="nil"/>
              <w:left w:val="nil"/>
              <w:bottom w:val="nil"/>
              <w:right w:val="nil"/>
            </w:tcBorders>
            <w:textDirection w:val="lrTb"/>
            <w:vAlign w:val="center"/>
          </w:tcPr>
          <w:p w:rsidR="00403E79" w:rsidRPr="005D5374" w:rsidP="00BE03CA">
            <w:pPr>
              <w:bidi w:val="0"/>
              <w:spacing w:after="0" w:line="240" w:lineRule="auto"/>
              <w:rPr>
                <w:rFonts w:ascii="Arial Narrow" w:hAnsi="Arial Narrow" w:cs="Arial Narrow"/>
                <w:b/>
                <w:bCs/>
                <w:color w:val="FFFFFF"/>
                <w:sz w:val="20"/>
                <w:szCs w:val="20"/>
              </w:rPr>
            </w:pPr>
          </w:p>
        </w:tc>
        <w:tc>
          <w:tcPr>
            <w:tcW w:w="4389" w:type="dxa"/>
            <w:vMerge w:val="restart"/>
            <w:tcBorders>
              <w:top w:val="nil"/>
              <w:left w:val="nil"/>
              <w:bottom w:val="single" w:sz="4" w:space="0" w:color="C0C0C0"/>
              <w:right w:val="nil"/>
            </w:tcBorders>
            <w:textDirection w:val="lrTb"/>
            <w:vAlign w:val="center"/>
          </w:tcPr>
          <w:tbl>
            <w:tblPr>
              <w:tblStyle w:val="TableNormal"/>
              <w:tblpPr w:leftFromText="141" w:rightFromText="141" w:horzAnchor="margin" w:tblpY="-380"/>
              <w:tblOverlap w:val="never"/>
              <w:tblW w:w="4698" w:type="dxa"/>
              <w:tblLayout w:type="fixed"/>
              <w:tblCellMar>
                <w:left w:w="0" w:type="dxa"/>
                <w:right w:w="0" w:type="dxa"/>
              </w:tblCellMar>
              <w:tblLook w:val="04A0"/>
            </w:tblPr>
            <w:tblGrid>
              <w:gridCol w:w="3355"/>
              <w:gridCol w:w="1343"/>
            </w:tblGrid>
            <w:tr>
              <w:tblPrEx>
                <w:tblW w:w="4698" w:type="dxa"/>
                <w:tblLayout w:type="fixed"/>
                <w:tblCellMar>
                  <w:left w:w="0" w:type="dxa"/>
                  <w:right w:w="0" w:type="dxa"/>
                </w:tblCellMar>
                <w:tblLook w:val="04A0"/>
              </w:tblPrEx>
              <w:trPr>
                <w:trHeight w:val="361"/>
              </w:trPr>
              <w:tc>
                <w:tcPr>
                  <w:tcW w:w="4698" w:type="dxa"/>
                  <w:gridSpan w:val="2"/>
                  <w:tcBorders>
                    <w:top w:val="single" w:sz="8" w:space="0" w:color="000000"/>
                    <w:left w:val="single" w:sz="8" w:space="0" w:color="000000"/>
                    <w:bottom w:val="none" w:sz="0" w:space="0" w:color="auto"/>
                    <w:right w:val="single" w:sz="8" w:space="0" w:color="000000"/>
                  </w:tcBorders>
                  <w:shd w:val="clear" w:color="auto" w:fill="000000"/>
                  <w:tcMar>
                    <w:top w:w="15" w:type="dxa"/>
                    <w:left w:w="70" w:type="dxa"/>
                    <w:bottom w:w="0" w:type="dxa"/>
                    <w:right w:w="70" w:type="dxa"/>
                  </w:tcMar>
                  <w:textDirection w:val="lrTb"/>
                  <w:vAlign w:val="center"/>
                  <w:hideMark/>
                </w:tcPr>
                <w:p w:rsidR="00403E79" w:rsidRPr="00D42FD8" w:rsidP="00BE03CA">
                  <w:pPr>
                    <w:bidi w:val="0"/>
                    <w:spacing w:after="0" w:line="240" w:lineRule="auto"/>
                    <w:jc w:val="both"/>
                    <w:rPr>
                      <w:rFonts w:ascii="Arial Narrow" w:hAnsi="Arial Narrow"/>
                      <w:sz w:val="20"/>
                      <w:szCs w:val="20"/>
                    </w:rPr>
                  </w:pPr>
                  <w:r w:rsidRPr="00D42FD8">
                    <w:rPr>
                      <w:rFonts w:ascii="Arial Narrow" w:hAnsi="Arial Narrow"/>
                      <w:b/>
                      <w:bCs/>
                      <w:sz w:val="20"/>
                      <w:szCs w:val="20"/>
                    </w:rPr>
                    <w:t>Príspevk</w:t>
                  </w:r>
                  <w:r>
                    <w:rPr>
                      <w:rFonts w:ascii="Arial Narrow" w:hAnsi="Arial Narrow"/>
                      <w:b/>
                      <w:bCs/>
                      <w:sz w:val="20"/>
                      <w:szCs w:val="20"/>
                    </w:rPr>
                    <w:t>y</w:t>
                  </w:r>
                  <w:r w:rsidRPr="00D42FD8">
                    <w:rPr>
                      <w:rFonts w:ascii="Arial Narrow" w:hAnsi="Arial Narrow"/>
                      <w:b/>
                      <w:bCs/>
                      <w:sz w:val="20"/>
                      <w:szCs w:val="20"/>
                    </w:rPr>
                    <w:t xml:space="preserve"> </w:t>
                  </w:r>
                  <w:r>
                    <w:rPr>
                      <w:rFonts w:ascii="Arial Narrow" w:hAnsi="Arial Narrow"/>
                      <w:b/>
                      <w:bCs/>
                      <w:sz w:val="20"/>
                      <w:szCs w:val="20"/>
                    </w:rPr>
                    <w:t>inflácie</w:t>
                  </w:r>
                  <w:r w:rsidRPr="00D42FD8">
                    <w:rPr>
                      <w:rFonts w:ascii="Arial Narrow" w:hAnsi="Arial Narrow"/>
                      <w:b/>
                      <w:bCs/>
                      <w:sz w:val="20"/>
                      <w:szCs w:val="20"/>
                    </w:rPr>
                    <w:t xml:space="preserve"> </w:t>
                  </w:r>
                  <w:r w:rsidRPr="00D42FD8">
                    <w:rPr>
                      <w:rFonts w:ascii="Arial Narrow" w:hAnsi="Arial Narrow"/>
                      <w:b/>
                      <w:bCs/>
                      <w:sz w:val="20"/>
                      <w:szCs w:val="20"/>
                      <w:lang w:val="en-US"/>
                    </w:rPr>
                    <w:t>CPI</w:t>
                  </w:r>
                  <w:r>
                    <w:rPr>
                      <w:rFonts w:ascii="Arial Narrow" w:hAnsi="Arial Narrow"/>
                      <w:b/>
                      <w:bCs/>
                      <w:sz w:val="20"/>
                      <w:szCs w:val="20"/>
                      <w:lang w:val="en-US"/>
                    </w:rPr>
                    <w:t xml:space="preserve"> v roku 2011</w:t>
                  </w:r>
                  <w:r w:rsidRPr="00D42FD8">
                    <w:rPr>
                      <w:rFonts w:ascii="Arial Narrow" w:hAnsi="Arial Narrow"/>
                      <w:b/>
                      <w:bCs/>
                      <w:sz w:val="20"/>
                      <w:szCs w:val="20"/>
                      <w:lang w:val="en-US"/>
                    </w:rPr>
                    <w:t xml:space="preserve"> </w:t>
                  </w:r>
                  <w:r w:rsidRPr="00D42FD8">
                    <w:rPr>
                      <w:rFonts w:ascii="Arial Narrow" w:hAnsi="Arial Narrow"/>
                      <w:b/>
                      <w:bCs/>
                      <w:sz w:val="20"/>
                      <w:szCs w:val="20"/>
                    </w:rPr>
                    <w:t>(p.b.)</w:t>
                  </w:r>
                </w:p>
              </w:tc>
            </w:tr>
            <w:tr>
              <w:tblPrEx>
                <w:tblW w:w="4698" w:type="dxa"/>
                <w:tblLayout w:type="fixed"/>
                <w:tblCellMar>
                  <w:left w:w="0" w:type="dxa"/>
                  <w:right w:w="0" w:type="dxa"/>
                </w:tblCellMar>
                <w:tblLook w:val="04A0"/>
              </w:tblPrEx>
              <w:trPr>
                <w:trHeight w:val="518"/>
              </w:trPr>
              <w:tc>
                <w:tcPr>
                  <w:tcW w:w="4698" w:type="dxa"/>
                  <w:gridSpan w:val="2"/>
                  <w:tcBorders>
                    <w:top w:val="nil"/>
                    <w:left w:val="none" w:sz="0" w:space="0" w:color="auto"/>
                    <w:bottom w:val="none" w:sz="0" w:space="0" w:color="auto"/>
                    <w:right w:val="none" w:sz="0" w:space="0" w:color="auto"/>
                  </w:tcBorders>
                  <w:shd w:val="clear" w:color="auto" w:fill="808080"/>
                  <w:tcMar>
                    <w:top w:w="15" w:type="dxa"/>
                    <w:left w:w="70" w:type="dxa"/>
                    <w:bottom w:w="0" w:type="dxa"/>
                    <w:right w:w="70" w:type="dxa"/>
                  </w:tcMar>
                  <w:textDirection w:val="lrTb"/>
                  <w:vAlign w:val="center"/>
                  <w:hideMark/>
                </w:tcPr>
                <w:p w:rsidR="00403E79" w:rsidRPr="00D42FD8" w:rsidP="00BE03CA">
                  <w:pPr>
                    <w:bidi w:val="0"/>
                    <w:spacing w:after="0" w:line="240" w:lineRule="auto"/>
                    <w:jc w:val="center"/>
                    <w:rPr>
                      <w:rFonts w:ascii="Arial Narrow" w:hAnsi="Arial Narrow"/>
                      <w:sz w:val="20"/>
                      <w:szCs w:val="20"/>
                    </w:rPr>
                  </w:pPr>
                  <w:r>
                    <w:rPr>
                      <w:rFonts w:ascii="Arial Narrow" w:hAnsi="Arial Narrow"/>
                      <w:b/>
                      <w:bCs/>
                      <w:sz w:val="20"/>
                      <w:szCs w:val="20"/>
                    </w:rPr>
                    <w:t xml:space="preserve">Prognóza MF SR,  </w:t>
                  </w:r>
                  <w:r w:rsidRPr="00D42FD8">
                    <w:rPr>
                      <w:rFonts w:ascii="Arial Narrow" w:hAnsi="Arial Narrow"/>
                      <w:b/>
                      <w:bCs/>
                      <w:sz w:val="20"/>
                      <w:szCs w:val="20"/>
                    </w:rPr>
                    <w:t>Jún</w:t>
                  </w:r>
                  <w:r>
                    <w:rPr>
                      <w:rFonts w:ascii="Arial Narrow" w:hAnsi="Arial Narrow"/>
                      <w:b/>
                      <w:bCs/>
                      <w:sz w:val="20"/>
                      <w:szCs w:val="20"/>
                    </w:rPr>
                    <w:t xml:space="preserve"> -</w:t>
                  </w:r>
                  <w:r w:rsidRPr="00D42FD8">
                    <w:rPr>
                      <w:rFonts w:ascii="Arial Narrow" w:hAnsi="Arial Narrow"/>
                      <w:b/>
                      <w:bCs/>
                      <w:sz w:val="20"/>
                      <w:szCs w:val="20"/>
                    </w:rPr>
                    <w:t xml:space="preserve"> 2011</w:t>
                  </w:r>
                </w:p>
              </w:tc>
            </w:tr>
            <w:tr>
              <w:tblPrEx>
                <w:tblW w:w="4698" w:type="dxa"/>
                <w:tblLayout w:type="fixed"/>
                <w:tblCellMar>
                  <w:left w:w="0" w:type="dxa"/>
                  <w:right w:w="0" w:type="dxa"/>
                </w:tblCellMar>
                <w:tblLook w:val="04A0"/>
              </w:tblPrEx>
              <w:trPr>
                <w:trHeight w:val="309"/>
              </w:trPr>
              <w:tc>
                <w:tcPr>
                  <w:tcW w:w="3355" w:type="dxa"/>
                  <w:tcBorders>
                    <w:top w:val="nil"/>
                    <w:left w:val="none" w:sz="0" w:space="0" w:color="auto"/>
                    <w:bottom w:val="none" w:sz="0" w:space="0" w:color="auto"/>
                    <w:right w:val="none" w:sz="0" w:space="0" w:color="auto"/>
                  </w:tcBorders>
                  <w:tcMar>
                    <w:top w:w="15" w:type="dxa"/>
                    <w:left w:w="70" w:type="dxa"/>
                    <w:bottom w:w="0" w:type="dxa"/>
                    <w:right w:w="70" w:type="dxa"/>
                  </w:tcMar>
                  <w:textDirection w:val="lrTb"/>
                  <w:vAlign w:val="center"/>
                  <w:hideMark/>
                </w:tcPr>
                <w:p w:rsidR="00403E79" w:rsidRPr="00D42FD8" w:rsidP="00BE03CA">
                  <w:pPr>
                    <w:bidi w:val="0"/>
                    <w:spacing w:after="0" w:line="240" w:lineRule="auto"/>
                    <w:rPr>
                      <w:rFonts w:ascii="Arial Narrow" w:hAnsi="Arial Narrow"/>
                      <w:sz w:val="20"/>
                      <w:szCs w:val="20"/>
                    </w:rPr>
                  </w:pPr>
                  <w:r w:rsidRPr="00D42FD8">
                    <w:rPr>
                      <w:rFonts w:ascii="Arial Narrow" w:hAnsi="Arial Narrow"/>
                      <w:b/>
                      <w:bCs/>
                      <w:sz w:val="20"/>
                      <w:szCs w:val="20"/>
                    </w:rPr>
                    <w:t>Vonkajšie faktory</w:t>
                  </w:r>
                </w:p>
              </w:tc>
              <w:tc>
                <w:tcPr>
                  <w:tcW w:w="1343" w:type="dxa"/>
                  <w:tcBorders>
                    <w:top w:val="nil"/>
                    <w:left w:val="none" w:sz="0" w:space="0" w:color="auto"/>
                    <w:bottom w:val="none" w:sz="0" w:space="0" w:color="auto"/>
                    <w:right w:val="none" w:sz="0" w:space="0" w:color="auto"/>
                  </w:tcBorders>
                  <w:tcMar>
                    <w:top w:w="15" w:type="dxa"/>
                    <w:left w:w="70" w:type="dxa"/>
                    <w:bottom w:w="0" w:type="dxa"/>
                    <w:right w:w="70" w:type="dxa"/>
                  </w:tcMar>
                  <w:textDirection w:val="lrTb"/>
                  <w:vAlign w:val="center"/>
                  <w:hideMark/>
                </w:tcPr>
                <w:p w:rsidR="00403E79" w:rsidRPr="00D42FD8" w:rsidP="00BE03CA">
                  <w:pPr>
                    <w:bidi w:val="0"/>
                    <w:spacing w:after="0" w:line="240" w:lineRule="auto"/>
                    <w:rPr>
                      <w:rFonts w:ascii="Calibri" w:hAnsi="Calibri"/>
                      <w:sz w:val="20"/>
                      <w:szCs w:val="20"/>
                    </w:rPr>
                  </w:pPr>
                </w:p>
              </w:tc>
            </w:tr>
            <w:tr>
              <w:tblPrEx>
                <w:tblW w:w="4698" w:type="dxa"/>
                <w:tblLayout w:type="fixed"/>
                <w:tblCellMar>
                  <w:left w:w="0" w:type="dxa"/>
                  <w:right w:w="0" w:type="dxa"/>
                </w:tblCellMar>
                <w:tblLook w:val="04A0"/>
              </w:tblPrEx>
              <w:trPr>
                <w:trHeight w:val="283"/>
              </w:trPr>
              <w:tc>
                <w:tcPr>
                  <w:tcW w:w="3355" w:type="dxa"/>
                  <w:tcBorders>
                    <w:top w:val="nil"/>
                    <w:left w:val="none" w:sz="0" w:space="0" w:color="auto"/>
                    <w:bottom w:val="none" w:sz="0" w:space="0" w:color="auto"/>
                    <w:right w:val="none" w:sz="0" w:space="0" w:color="auto"/>
                  </w:tcBorders>
                  <w:tcMar>
                    <w:top w:w="15" w:type="dxa"/>
                    <w:left w:w="70" w:type="dxa"/>
                    <w:bottom w:w="0" w:type="dxa"/>
                    <w:right w:w="70" w:type="dxa"/>
                  </w:tcMar>
                  <w:textDirection w:val="lrTb"/>
                  <w:vAlign w:val="center"/>
                  <w:hideMark/>
                </w:tcPr>
                <w:p w:rsidR="00403E79" w:rsidRPr="00D42FD8" w:rsidP="00BE03CA">
                  <w:pPr>
                    <w:bidi w:val="0"/>
                    <w:spacing w:after="0" w:line="240" w:lineRule="auto"/>
                    <w:rPr>
                      <w:rFonts w:ascii="Arial Narrow" w:hAnsi="Arial Narrow"/>
                      <w:sz w:val="20"/>
                      <w:szCs w:val="20"/>
                    </w:rPr>
                  </w:pPr>
                  <w:r w:rsidRPr="00D42FD8">
                    <w:rPr>
                      <w:rFonts w:ascii="Arial Narrow" w:hAnsi="Arial Narrow"/>
                      <w:sz w:val="20"/>
                      <w:szCs w:val="20"/>
                    </w:rPr>
                    <w:t>  Potraviny</w:t>
                  </w:r>
                </w:p>
              </w:tc>
              <w:tc>
                <w:tcPr>
                  <w:tcW w:w="1343" w:type="dxa"/>
                  <w:tcBorders>
                    <w:top w:val="nil"/>
                    <w:left w:val="none" w:sz="0" w:space="0" w:color="auto"/>
                    <w:bottom w:val="none" w:sz="0" w:space="0" w:color="auto"/>
                    <w:right w:val="none" w:sz="0" w:space="0" w:color="auto"/>
                  </w:tcBorders>
                  <w:tcMar>
                    <w:top w:w="15" w:type="dxa"/>
                    <w:left w:w="70" w:type="dxa"/>
                    <w:bottom w:w="0" w:type="dxa"/>
                    <w:right w:w="70" w:type="dxa"/>
                  </w:tcMar>
                  <w:textDirection w:val="lrTb"/>
                  <w:vAlign w:val="center"/>
                  <w:hideMark/>
                </w:tcPr>
                <w:p w:rsidR="00403E79" w:rsidRPr="00D42FD8" w:rsidP="00BE03CA">
                  <w:pPr>
                    <w:bidi w:val="0"/>
                    <w:spacing w:after="0" w:line="240" w:lineRule="auto"/>
                    <w:jc w:val="center"/>
                    <w:rPr>
                      <w:rFonts w:ascii="Arial Narrow" w:hAnsi="Arial Narrow"/>
                      <w:sz w:val="20"/>
                      <w:szCs w:val="20"/>
                    </w:rPr>
                  </w:pPr>
                  <w:r>
                    <w:rPr>
                      <w:rFonts w:ascii="Arial Narrow" w:hAnsi="Arial Narrow"/>
                      <w:sz w:val="20"/>
                      <w:szCs w:val="20"/>
                    </w:rPr>
                    <w:t>1</w:t>
                  </w:r>
                  <w:r w:rsidRPr="00D42FD8">
                    <w:rPr>
                      <w:rFonts w:ascii="Arial Narrow" w:hAnsi="Arial Narrow"/>
                      <w:sz w:val="20"/>
                      <w:szCs w:val="20"/>
                    </w:rPr>
                    <w:t>,</w:t>
                  </w:r>
                  <w:r>
                    <w:rPr>
                      <w:rFonts w:ascii="Arial Narrow" w:hAnsi="Arial Narrow"/>
                      <w:sz w:val="20"/>
                      <w:szCs w:val="20"/>
                    </w:rPr>
                    <w:t>0</w:t>
                  </w:r>
                </w:p>
              </w:tc>
            </w:tr>
            <w:tr>
              <w:tblPrEx>
                <w:tblW w:w="4698" w:type="dxa"/>
                <w:tblLayout w:type="fixed"/>
                <w:tblCellMar>
                  <w:left w:w="0" w:type="dxa"/>
                  <w:right w:w="0" w:type="dxa"/>
                </w:tblCellMar>
                <w:tblLook w:val="04A0"/>
              </w:tblPrEx>
              <w:trPr>
                <w:trHeight w:val="455"/>
              </w:trPr>
              <w:tc>
                <w:tcPr>
                  <w:tcW w:w="3355" w:type="dxa"/>
                  <w:tcBorders>
                    <w:top w:val="nil"/>
                    <w:left w:val="none" w:sz="0" w:space="0" w:color="auto"/>
                    <w:bottom w:val="none" w:sz="0" w:space="0" w:color="auto"/>
                    <w:right w:val="none" w:sz="0" w:space="0" w:color="auto"/>
                  </w:tcBorders>
                  <w:tcMar>
                    <w:top w:w="15" w:type="dxa"/>
                    <w:left w:w="70" w:type="dxa"/>
                    <w:bottom w:w="0" w:type="dxa"/>
                    <w:right w:w="70" w:type="dxa"/>
                  </w:tcMar>
                  <w:textDirection w:val="lrTb"/>
                  <w:vAlign w:val="center"/>
                  <w:hideMark/>
                </w:tcPr>
                <w:p w:rsidR="00403E79" w:rsidRPr="00D42FD8" w:rsidP="00BE03CA">
                  <w:pPr>
                    <w:bidi w:val="0"/>
                    <w:spacing w:after="0" w:line="240" w:lineRule="auto"/>
                    <w:rPr>
                      <w:rFonts w:ascii="Arial Narrow" w:hAnsi="Arial Narrow"/>
                      <w:sz w:val="20"/>
                      <w:szCs w:val="20"/>
                    </w:rPr>
                  </w:pPr>
                  <w:r w:rsidRPr="00D42FD8">
                    <w:rPr>
                      <w:rFonts w:ascii="Arial Narrow" w:hAnsi="Arial Narrow"/>
                      <w:sz w:val="20"/>
                      <w:szCs w:val="20"/>
                    </w:rPr>
                    <w:t>   Plyn, teplo a pohonné hmoty</w:t>
                  </w:r>
                </w:p>
              </w:tc>
              <w:tc>
                <w:tcPr>
                  <w:tcW w:w="1343" w:type="dxa"/>
                  <w:tcBorders>
                    <w:top w:val="nil"/>
                    <w:left w:val="none" w:sz="0" w:space="0" w:color="auto"/>
                    <w:bottom w:val="none" w:sz="0" w:space="0" w:color="auto"/>
                    <w:right w:val="none" w:sz="0" w:space="0" w:color="auto"/>
                  </w:tcBorders>
                  <w:tcMar>
                    <w:top w:w="15" w:type="dxa"/>
                    <w:left w:w="70" w:type="dxa"/>
                    <w:bottom w:w="0" w:type="dxa"/>
                    <w:right w:w="70" w:type="dxa"/>
                  </w:tcMar>
                  <w:textDirection w:val="lrTb"/>
                  <w:vAlign w:val="center"/>
                  <w:hideMark/>
                </w:tcPr>
                <w:p w:rsidR="00403E79" w:rsidRPr="00D42FD8" w:rsidP="00BE03CA">
                  <w:pPr>
                    <w:bidi w:val="0"/>
                    <w:spacing w:after="0" w:line="240" w:lineRule="auto"/>
                    <w:jc w:val="center"/>
                    <w:rPr>
                      <w:rFonts w:ascii="Arial Narrow" w:hAnsi="Arial Narrow"/>
                      <w:sz w:val="20"/>
                      <w:szCs w:val="20"/>
                    </w:rPr>
                  </w:pPr>
                  <w:r w:rsidRPr="00D42FD8">
                    <w:rPr>
                      <w:rFonts w:ascii="Arial Narrow" w:hAnsi="Arial Narrow"/>
                      <w:sz w:val="20"/>
                      <w:szCs w:val="20"/>
                      <w:lang w:val="en-US"/>
                    </w:rPr>
                    <w:t>1</w:t>
                  </w:r>
                  <w:r w:rsidRPr="00D42FD8">
                    <w:rPr>
                      <w:rFonts w:ascii="Arial Narrow" w:hAnsi="Arial Narrow"/>
                      <w:sz w:val="20"/>
                      <w:szCs w:val="20"/>
                    </w:rPr>
                    <w:t>,</w:t>
                  </w:r>
                  <w:r w:rsidRPr="00D42FD8">
                    <w:rPr>
                      <w:rFonts w:ascii="Arial Narrow" w:hAnsi="Arial Narrow"/>
                      <w:sz w:val="20"/>
                      <w:szCs w:val="20"/>
                      <w:lang w:val="en-US"/>
                    </w:rPr>
                    <w:t>0</w:t>
                  </w:r>
                </w:p>
              </w:tc>
            </w:tr>
            <w:tr>
              <w:tblPrEx>
                <w:tblW w:w="4698" w:type="dxa"/>
                <w:tblLayout w:type="fixed"/>
                <w:tblCellMar>
                  <w:left w:w="0" w:type="dxa"/>
                  <w:right w:w="0" w:type="dxa"/>
                </w:tblCellMar>
                <w:tblLook w:val="04A0"/>
              </w:tblPrEx>
              <w:trPr>
                <w:trHeight w:val="430"/>
              </w:trPr>
              <w:tc>
                <w:tcPr>
                  <w:tcW w:w="3355" w:type="dxa"/>
                  <w:tcBorders>
                    <w:top w:val="nil"/>
                    <w:left w:val="none" w:sz="0" w:space="0" w:color="auto"/>
                    <w:bottom w:val="none" w:sz="0" w:space="0" w:color="auto"/>
                    <w:right w:val="none" w:sz="0" w:space="0" w:color="auto"/>
                  </w:tcBorders>
                  <w:tcMar>
                    <w:top w:w="15" w:type="dxa"/>
                    <w:left w:w="70" w:type="dxa"/>
                    <w:bottom w:w="0" w:type="dxa"/>
                    <w:right w:w="70" w:type="dxa"/>
                  </w:tcMar>
                  <w:textDirection w:val="lrTb"/>
                  <w:vAlign w:val="center"/>
                  <w:hideMark/>
                </w:tcPr>
                <w:p w:rsidR="00403E79" w:rsidRPr="00D42FD8" w:rsidP="00BE03CA">
                  <w:pPr>
                    <w:bidi w:val="0"/>
                    <w:spacing w:after="0" w:line="240" w:lineRule="auto"/>
                    <w:rPr>
                      <w:rFonts w:ascii="Arial Narrow" w:hAnsi="Arial Narrow"/>
                      <w:sz w:val="20"/>
                      <w:szCs w:val="20"/>
                    </w:rPr>
                  </w:pPr>
                  <w:r w:rsidRPr="00D42FD8">
                    <w:rPr>
                      <w:rFonts w:ascii="Arial Narrow" w:hAnsi="Arial Narrow"/>
                      <w:b/>
                      <w:bCs/>
                      <w:sz w:val="20"/>
                      <w:szCs w:val="20"/>
                    </w:rPr>
                    <w:t>Vnútorná ekonomika</w:t>
                  </w:r>
                </w:p>
              </w:tc>
              <w:tc>
                <w:tcPr>
                  <w:tcW w:w="1343" w:type="dxa"/>
                  <w:tcBorders>
                    <w:top w:val="nil"/>
                    <w:left w:val="none" w:sz="0" w:space="0" w:color="auto"/>
                    <w:bottom w:val="none" w:sz="0" w:space="0" w:color="auto"/>
                    <w:right w:val="none" w:sz="0" w:space="0" w:color="auto"/>
                  </w:tcBorders>
                  <w:tcMar>
                    <w:top w:w="15" w:type="dxa"/>
                    <w:left w:w="70" w:type="dxa"/>
                    <w:bottom w:w="0" w:type="dxa"/>
                    <w:right w:w="70" w:type="dxa"/>
                  </w:tcMar>
                  <w:textDirection w:val="lrTb"/>
                  <w:vAlign w:val="center"/>
                  <w:hideMark/>
                </w:tcPr>
                <w:p w:rsidR="00403E79" w:rsidRPr="00D42FD8" w:rsidP="00BE03CA">
                  <w:pPr>
                    <w:bidi w:val="0"/>
                    <w:spacing w:after="0" w:line="240" w:lineRule="auto"/>
                    <w:jc w:val="center"/>
                    <w:rPr>
                      <w:rFonts w:ascii="Calibri" w:hAnsi="Calibri"/>
                      <w:sz w:val="20"/>
                      <w:szCs w:val="20"/>
                    </w:rPr>
                  </w:pPr>
                </w:p>
              </w:tc>
            </w:tr>
            <w:tr>
              <w:tblPrEx>
                <w:tblW w:w="4698" w:type="dxa"/>
                <w:tblLayout w:type="fixed"/>
                <w:tblCellMar>
                  <w:left w:w="0" w:type="dxa"/>
                  <w:right w:w="0" w:type="dxa"/>
                </w:tblCellMar>
                <w:tblLook w:val="04A0"/>
              </w:tblPrEx>
              <w:trPr>
                <w:trHeight w:val="177"/>
              </w:trPr>
              <w:tc>
                <w:tcPr>
                  <w:tcW w:w="3355" w:type="dxa"/>
                  <w:tcBorders>
                    <w:top w:val="nil"/>
                    <w:left w:val="none" w:sz="0" w:space="0" w:color="auto"/>
                    <w:bottom w:val="none" w:sz="0" w:space="0" w:color="auto"/>
                    <w:right w:val="none" w:sz="0" w:space="0" w:color="auto"/>
                  </w:tcBorders>
                  <w:tcMar>
                    <w:top w:w="15" w:type="dxa"/>
                    <w:left w:w="70" w:type="dxa"/>
                    <w:bottom w:w="0" w:type="dxa"/>
                    <w:right w:w="70" w:type="dxa"/>
                  </w:tcMar>
                  <w:textDirection w:val="lrTb"/>
                  <w:vAlign w:val="center"/>
                  <w:hideMark/>
                </w:tcPr>
                <w:p w:rsidR="00403E79" w:rsidRPr="00D42FD8" w:rsidP="00BE03CA">
                  <w:pPr>
                    <w:bidi w:val="0"/>
                    <w:spacing w:after="0" w:line="240" w:lineRule="auto"/>
                    <w:rPr>
                      <w:rFonts w:ascii="Arial Narrow" w:hAnsi="Arial Narrow"/>
                      <w:sz w:val="20"/>
                      <w:szCs w:val="20"/>
                    </w:rPr>
                  </w:pPr>
                  <w:r w:rsidRPr="00D42FD8">
                    <w:rPr>
                      <w:rFonts w:ascii="Arial Narrow" w:hAnsi="Arial Narrow"/>
                      <w:sz w:val="20"/>
                      <w:szCs w:val="20"/>
                    </w:rPr>
                    <w:t>   Vládny balíček</w:t>
                  </w:r>
                </w:p>
              </w:tc>
              <w:tc>
                <w:tcPr>
                  <w:tcW w:w="1343" w:type="dxa"/>
                  <w:tcBorders>
                    <w:top w:val="nil"/>
                    <w:left w:val="none" w:sz="0" w:space="0" w:color="auto"/>
                    <w:bottom w:val="none" w:sz="0" w:space="0" w:color="auto"/>
                    <w:right w:val="none" w:sz="0" w:space="0" w:color="auto"/>
                  </w:tcBorders>
                  <w:tcMar>
                    <w:top w:w="15" w:type="dxa"/>
                    <w:left w:w="70" w:type="dxa"/>
                    <w:bottom w:w="0" w:type="dxa"/>
                    <w:right w:w="70" w:type="dxa"/>
                  </w:tcMar>
                  <w:textDirection w:val="lrTb"/>
                  <w:vAlign w:val="center"/>
                  <w:hideMark/>
                </w:tcPr>
                <w:p w:rsidR="00403E79" w:rsidRPr="00D42FD8" w:rsidP="00BE03CA">
                  <w:pPr>
                    <w:bidi w:val="0"/>
                    <w:spacing w:after="0" w:line="240" w:lineRule="auto"/>
                    <w:jc w:val="center"/>
                    <w:rPr>
                      <w:rFonts w:ascii="Arial Narrow" w:hAnsi="Arial Narrow"/>
                      <w:sz w:val="20"/>
                      <w:szCs w:val="20"/>
                    </w:rPr>
                  </w:pPr>
                  <w:r w:rsidRPr="00D42FD8">
                    <w:rPr>
                      <w:rFonts w:ascii="Arial Narrow" w:hAnsi="Arial Narrow"/>
                      <w:sz w:val="20"/>
                      <w:szCs w:val="20"/>
                    </w:rPr>
                    <w:t>0,</w:t>
                  </w:r>
                  <w:r>
                    <w:rPr>
                      <w:rFonts w:ascii="Arial Narrow" w:hAnsi="Arial Narrow"/>
                      <w:sz w:val="20"/>
                      <w:szCs w:val="20"/>
                    </w:rPr>
                    <w:t>9</w:t>
                  </w:r>
                </w:p>
              </w:tc>
            </w:tr>
            <w:tr>
              <w:tblPrEx>
                <w:tblW w:w="4698" w:type="dxa"/>
                <w:tblLayout w:type="fixed"/>
                <w:tblCellMar>
                  <w:left w:w="0" w:type="dxa"/>
                  <w:right w:w="0" w:type="dxa"/>
                </w:tblCellMar>
                <w:tblLook w:val="04A0"/>
              </w:tblPrEx>
              <w:trPr>
                <w:trHeight w:val="582"/>
              </w:trPr>
              <w:tc>
                <w:tcPr>
                  <w:tcW w:w="3355" w:type="dxa"/>
                  <w:tcBorders>
                    <w:top w:val="nil"/>
                    <w:left w:val="none" w:sz="0" w:space="0" w:color="auto"/>
                    <w:bottom w:val="none" w:sz="0" w:space="0" w:color="auto"/>
                    <w:right w:val="none" w:sz="0" w:space="0" w:color="auto"/>
                  </w:tcBorders>
                  <w:tcMar>
                    <w:top w:w="15" w:type="dxa"/>
                    <w:left w:w="70" w:type="dxa"/>
                    <w:bottom w:w="0" w:type="dxa"/>
                    <w:right w:w="70" w:type="dxa"/>
                  </w:tcMar>
                  <w:textDirection w:val="lrTb"/>
                  <w:vAlign w:val="center"/>
                  <w:hideMark/>
                </w:tcPr>
                <w:p w:rsidR="00403E79" w:rsidRPr="00D42FD8" w:rsidP="00BE03CA">
                  <w:pPr>
                    <w:bidi w:val="0"/>
                    <w:spacing w:after="0" w:line="240" w:lineRule="auto"/>
                    <w:rPr>
                      <w:rFonts w:ascii="Arial Narrow" w:hAnsi="Arial Narrow"/>
                      <w:sz w:val="20"/>
                      <w:szCs w:val="20"/>
                    </w:rPr>
                  </w:pPr>
                  <w:r w:rsidRPr="00D42FD8">
                    <w:rPr>
                      <w:rFonts w:ascii="Arial Narrow" w:hAnsi="Arial Narrow"/>
                      <w:b/>
                      <w:bCs/>
                      <w:sz w:val="20"/>
                      <w:szCs w:val="20"/>
                    </w:rPr>
                    <w:t>Zvyšok</w:t>
                  </w:r>
                </w:p>
              </w:tc>
              <w:tc>
                <w:tcPr>
                  <w:tcW w:w="1343" w:type="dxa"/>
                  <w:tcBorders>
                    <w:top w:val="nil"/>
                    <w:left w:val="none" w:sz="0" w:space="0" w:color="auto"/>
                    <w:bottom w:val="none" w:sz="0" w:space="0" w:color="auto"/>
                    <w:right w:val="none" w:sz="0" w:space="0" w:color="auto"/>
                  </w:tcBorders>
                  <w:tcMar>
                    <w:top w:w="15" w:type="dxa"/>
                    <w:left w:w="70" w:type="dxa"/>
                    <w:bottom w:w="0" w:type="dxa"/>
                    <w:right w:w="70" w:type="dxa"/>
                  </w:tcMar>
                  <w:textDirection w:val="lrTb"/>
                  <w:vAlign w:val="center"/>
                  <w:hideMark/>
                </w:tcPr>
                <w:p w:rsidR="00403E79" w:rsidRPr="00D42FD8" w:rsidP="00BE03CA">
                  <w:pPr>
                    <w:bidi w:val="0"/>
                    <w:spacing w:after="0" w:line="240" w:lineRule="auto"/>
                    <w:jc w:val="center"/>
                    <w:rPr>
                      <w:rFonts w:ascii="Arial Narrow" w:hAnsi="Arial Narrow"/>
                      <w:sz w:val="20"/>
                      <w:szCs w:val="20"/>
                    </w:rPr>
                  </w:pPr>
                  <w:r w:rsidRPr="00D42FD8">
                    <w:rPr>
                      <w:rFonts w:ascii="Arial Narrow" w:hAnsi="Arial Narrow"/>
                      <w:sz w:val="20"/>
                      <w:szCs w:val="20"/>
                    </w:rPr>
                    <w:t>1,</w:t>
                  </w:r>
                  <w:r>
                    <w:rPr>
                      <w:rFonts w:ascii="Arial Narrow" w:hAnsi="Arial Narrow"/>
                      <w:sz w:val="20"/>
                      <w:szCs w:val="20"/>
                      <w:lang w:val="en-US"/>
                    </w:rPr>
                    <w:t>3</w:t>
                  </w:r>
                </w:p>
              </w:tc>
            </w:tr>
            <w:tr>
              <w:tblPrEx>
                <w:tblW w:w="4698" w:type="dxa"/>
                <w:tblLayout w:type="fixed"/>
                <w:tblCellMar>
                  <w:left w:w="0" w:type="dxa"/>
                  <w:right w:w="0" w:type="dxa"/>
                </w:tblCellMar>
                <w:tblLook w:val="04A0"/>
              </w:tblPrEx>
              <w:trPr>
                <w:trHeight w:val="151"/>
              </w:trPr>
              <w:tc>
                <w:tcPr>
                  <w:tcW w:w="3355" w:type="dxa"/>
                  <w:tcBorders>
                    <w:top w:val="none" w:sz="0" w:space="0" w:color="auto"/>
                    <w:left w:val="none" w:sz="0" w:space="0" w:color="auto"/>
                    <w:bottom w:val="single" w:sz="4" w:space="0" w:color="auto"/>
                    <w:right w:val="none" w:sz="0" w:space="0" w:color="auto"/>
                  </w:tcBorders>
                  <w:shd w:val="clear" w:color="auto" w:fill="C0C0C0"/>
                  <w:tcMar>
                    <w:top w:w="15" w:type="dxa"/>
                    <w:left w:w="70" w:type="dxa"/>
                    <w:bottom w:w="0" w:type="dxa"/>
                    <w:right w:w="70" w:type="dxa"/>
                  </w:tcMar>
                  <w:textDirection w:val="lrTb"/>
                  <w:vAlign w:val="center"/>
                  <w:hideMark/>
                </w:tcPr>
                <w:p w:rsidR="00403E79" w:rsidRPr="00D42FD8" w:rsidP="00BE03CA">
                  <w:pPr>
                    <w:bidi w:val="0"/>
                    <w:spacing w:after="0" w:line="240" w:lineRule="auto"/>
                    <w:rPr>
                      <w:rFonts w:ascii="Arial Narrow" w:hAnsi="Arial Narrow"/>
                      <w:sz w:val="20"/>
                      <w:szCs w:val="20"/>
                    </w:rPr>
                  </w:pPr>
                  <w:r w:rsidRPr="00D42FD8">
                    <w:rPr>
                      <w:rFonts w:ascii="Arial Narrow" w:hAnsi="Arial Narrow"/>
                      <w:b/>
                      <w:bCs/>
                      <w:sz w:val="20"/>
                      <w:szCs w:val="20"/>
                    </w:rPr>
                    <w:t>Spolu</w:t>
                  </w:r>
                </w:p>
              </w:tc>
              <w:tc>
                <w:tcPr>
                  <w:tcW w:w="1343" w:type="dxa"/>
                  <w:tcBorders>
                    <w:top w:val="none" w:sz="0" w:space="0" w:color="auto"/>
                    <w:left w:val="none" w:sz="0" w:space="0" w:color="auto"/>
                    <w:bottom w:val="single" w:sz="4" w:space="0" w:color="auto"/>
                    <w:right w:val="none" w:sz="0" w:space="0" w:color="auto"/>
                  </w:tcBorders>
                  <w:shd w:val="clear" w:color="auto" w:fill="C0C0C0"/>
                  <w:tcMar>
                    <w:top w:w="15" w:type="dxa"/>
                    <w:left w:w="70" w:type="dxa"/>
                    <w:bottom w:w="0" w:type="dxa"/>
                    <w:right w:w="70" w:type="dxa"/>
                  </w:tcMar>
                  <w:textDirection w:val="lrTb"/>
                  <w:vAlign w:val="center"/>
                  <w:hideMark/>
                </w:tcPr>
                <w:p w:rsidR="00403E79" w:rsidRPr="00D42FD8" w:rsidP="00BE03CA">
                  <w:pPr>
                    <w:bidi w:val="0"/>
                    <w:spacing w:after="0" w:line="240" w:lineRule="auto"/>
                    <w:jc w:val="center"/>
                    <w:rPr>
                      <w:rFonts w:ascii="Arial Narrow" w:hAnsi="Arial Narrow"/>
                      <w:sz w:val="20"/>
                      <w:szCs w:val="20"/>
                    </w:rPr>
                  </w:pPr>
                  <w:r w:rsidRPr="00D42FD8">
                    <w:rPr>
                      <w:rFonts w:ascii="Arial Narrow" w:hAnsi="Arial Narrow"/>
                      <w:b/>
                      <w:bCs/>
                      <w:sz w:val="20"/>
                      <w:szCs w:val="20"/>
                    </w:rPr>
                    <w:t>4,1</w:t>
                  </w:r>
                </w:p>
              </w:tc>
            </w:tr>
          </w:tbl>
          <w:p w:rsidR="00403E79" w:rsidRPr="005D47C4" w:rsidP="00BE03CA">
            <w:pPr>
              <w:bidi w:val="0"/>
              <w:spacing w:after="0" w:line="240" w:lineRule="auto"/>
              <w:jc w:val="right"/>
              <w:rPr>
                <w:rFonts w:ascii="Arial Narrow" w:hAnsi="Arial Narrow" w:cs="Arial Narrow"/>
                <w:b/>
                <w:bCs/>
                <w:sz w:val="20"/>
                <w:szCs w:val="20"/>
              </w:rPr>
            </w:pPr>
            <w:r w:rsidRPr="005D5374">
              <w:rPr>
                <w:rFonts w:ascii="Arial Narrow" w:hAnsi="Arial Narrow" w:cs="Arial Narrow"/>
                <w:i/>
                <w:iCs/>
                <w:sz w:val="16"/>
                <w:szCs w:val="16"/>
              </w:rPr>
              <w:t>Zdroj:  MF SR</w:t>
            </w:r>
          </w:p>
        </w:tc>
      </w:tr>
      <w:tr>
        <w:tblPrEx>
          <w:tblW w:w="9072" w:type="dxa"/>
          <w:jc w:val="center"/>
          <w:tblLayout w:type="fixed"/>
          <w:tblCellMar>
            <w:left w:w="70" w:type="dxa"/>
            <w:right w:w="70" w:type="dxa"/>
          </w:tblCellMar>
          <w:tblLook w:val="01E0"/>
        </w:tblPrEx>
        <w:trPr>
          <w:trHeight w:val="1531"/>
          <w:jc w:val="center"/>
        </w:trPr>
        <w:tc>
          <w:tcPr>
            <w:tcW w:w="4390" w:type="dxa"/>
            <w:tcBorders>
              <w:top w:val="nil"/>
              <w:left w:val="nil"/>
              <w:bottom w:val="single" w:sz="4" w:space="0" w:color="auto"/>
              <w:right w:val="nil"/>
            </w:tcBorders>
            <w:textDirection w:val="lrTb"/>
            <w:vAlign w:val="top"/>
          </w:tcPr>
          <w:p w:rsidR="00403E79" w:rsidRPr="005D5374" w:rsidP="00BE03CA">
            <w:pPr>
              <w:bidi w:val="0"/>
              <w:spacing w:after="0" w:line="240" w:lineRule="auto"/>
              <w:rPr>
                <w:rFonts w:ascii="Garamond" w:hAnsi="Garamond" w:cs="Garamond"/>
                <w:b/>
                <w:bCs/>
                <w:sz w:val="16"/>
                <w:szCs w:val="16"/>
              </w:rPr>
            </w:pPr>
            <w:r>
              <w:rPr>
                <w:rFonts w:ascii="Garamond" w:hAnsi="Garamond" w:cs="Garamond"/>
                <w:b/>
                <w:noProof/>
                <w:sz w:val="16"/>
                <w:szCs w:val="16"/>
                <w:rtl w:val="0"/>
              </w:rPr>
              <w:pict>
                <v:shape id="Obrázok 4" o:spid="_x0000_i1027" type="#_x0000_t75" style="width:208.18pt;height:151.1pt;visibility:visible" filled="f" stroked="f">
                  <v:fill o:detectmouseclick="f"/>
                  <v:imagedata r:id="rId8" o:title=""/>
                  <o:lock v:ext="edit" aspectratio="t"/>
                </v:shape>
              </w:pict>
            </w:r>
          </w:p>
        </w:tc>
        <w:tc>
          <w:tcPr>
            <w:tcW w:w="293" w:type="dxa"/>
            <w:tcBorders>
              <w:top w:val="nil"/>
              <w:left w:val="nil"/>
              <w:bottom w:val="nil"/>
              <w:right w:val="nil"/>
            </w:tcBorders>
            <w:textDirection w:val="lrTb"/>
            <w:vAlign w:val="top"/>
          </w:tcPr>
          <w:p w:rsidR="00403E79" w:rsidRPr="005D5374" w:rsidP="00BE03CA">
            <w:pPr>
              <w:bidi w:val="0"/>
              <w:spacing w:after="0" w:line="240" w:lineRule="auto"/>
              <w:rPr>
                <w:rFonts w:ascii="Garamond" w:hAnsi="Garamond" w:cs="Garamond"/>
                <w:b/>
                <w:bCs/>
                <w:sz w:val="16"/>
                <w:szCs w:val="16"/>
              </w:rPr>
            </w:pPr>
          </w:p>
        </w:tc>
        <w:tc>
          <w:tcPr>
            <w:tcW w:w="4389" w:type="dxa"/>
            <w:vMerge/>
            <w:tcBorders>
              <w:top w:val="single" w:sz="4" w:space="0" w:color="C0C0C0"/>
              <w:left w:val="nil"/>
              <w:bottom w:val="single" w:sz="4" w:space="0" w:color="C0C0C0"/>
              <w:right w:val="nil"/>
            </w:tcBorders>
            <w:textDirection w:val="lrTb"/>
            <w:vAlign w:val="top"/>
          </w:tcPr>
          <w:p w:rsidR="00403E79" w:rsidRPr="005D5374" w:rsidP="00BE03CA">
            <w:pPr>
              <w:bidi w:val="0"/>
              <w:spacing w:after="0" w:line="240" w:lineRule="auto"/>
              <w:jc w:val="right"/>
              <w:rPr>
                <w:rFonts w:ascii="Garamond" w:hAnsi="Garamond" w:cs="Garamond"/>
                <w:b/>
                <w:bCs/>
                <w:sz w:val="16"/>
                <w:szCs w:val="16"/>
              </w:rPr>
            </w:pPr>
          </w:p>
        </w:tc>
      </w:tr>
      <w:tr>
        <w:tblPrEx>
          <w:tblW w:w="9072" w:type="dxa"/>
          <w:jc w:val="center"/>
          <w:tblLayout w:type="fixed"/>
          <w:tblLook w:val="01E0"/>
        </w:tblPrEx>
        <w:trPr>
          <w:jc w:val="center"/>
        </w:trPr>
        <w:tc>
          <w:tcPr>
            <w:tcW w:w="4390" w:type="dxa"/>
            <w:tcBorders>
              <w:top w:val="single" w:sz="4" w:space="0" w:color="auto"/>
              <w:left w:val="nil"/>
              <w:bottom w:val="nil"/>
              <w:right w:val="nil"/>
            </w:tcBorders>
            <w:textDirection w:val="lrTb"/>
            <w:vAlign w:val="top"/>
          </w:tcPr>
          <w:p w:rsidR="00403E79" w:rsidRPr="005D5374" w:rsidP="00BE03CA">
            <w:pPr>
              <w:bidi w:val="0"/>
              <w:spacing w:after="0" w:line="240" w:lineRule="auto"/>
              <w:jc w:val="right"/>
              <w:rPr>
                <w:rFonts w:ascii="Arial Narrow" w:hAnsi="Arial Narrow" w:cs="Arial Narrow"/>
                <w:i/>
                <w:iCs/>
                <w:sz w:val="16"/>
                <w:szCs w:val="16"/>
              </w:rPr>
            </w:pPr>
            <w:r w:rsidRPr="005D5374">
              <w:rPr>
                <w:rFonts w:ascii="Arial Narrow" w:hAnsi="Arial Narrow" w:cs="Arial Narrow"/>
                <w:i/>
                <w:iCs/>
                <w:sz w:val="16"/>
                <w:szCs w:val="16"/>
              </w:rPr>
              <w:t>Zdroj: ŠÚ SR</w:t>
            </w:r>
          </w:p>
        </w:tc>
        <w:tc>
          <w:tcPr>
            <w:tcW w:w="293" w:type="dxa"/>
            <w:tcBorders>
              <w:top w:val="nil"/>
              <w:left w:val="nil"/>
              <w:bottom w:val="nil"/>
              <w:right w:val="nil"/>
            </w:tcBorders>
            <w:textDirection w:val="lrTb"/>
            <w:vAlign w:val="top"/>
          </w:tcPr>
          <w:p w:rsidR="00403E79" w:rsidRPr="005D5374" w:rsidP="00BE03CA">
            <w:pPr>
              <w:bidi w:val="0"/>
              <w:spacing w:after="0" w:line="240" w:lineRule="auto"/>
              <w:rPr>
                <w:rFonts w:ascii="Arial Narrow" w:hAnsi="Arial Narrow" w:cs="Arial Narrow"/>
                <w:i/>
                <w:iCs/>
                <w:sz w:val="16"/>
                <w:szCs w:val="16"/>
              </w:rPr>
            </w:pPr>
          </w:p>
        </w:tc>
        <w:tc>
          <w:tcPr>
            <w:tcW w:w="4389" w:type="dxa"/>
            <w:vMerge/>
            <w:tcBorders>
              <w:top w:val="single" w:sz="4" w:space="0" w:color="C0C0C0"/>
              <w:left w:val="nil"/>
              <w:bottom w:val="nil"/>
              <w:right w:val="nil"/>
            </w:tcBorders>
            <w:textDirection w:val="lrTb"/>
            <w:vAlign w:val="top"/>
          </w:tcPr>
          <w:p w:rsidR="00403E79" w:rsidRPr="005D5374" w:rsidP="00BE03CA">
            <w:pPr>
              <w:bidi w:val="0"/>
              <w:spacing w:after="0" w:line="240" w:lineRule="auto"/>
              <w:jc w:val="right"/>
              <w:rPr>
                <w:rFonts w:ascii="Arial Narrow" w:hAnsi="Arial Narrow" w:cs="Arial Narrow"/>
                <w:i/>
                <w:iCs/>
                <w:sz w:val="16"/>
                <w:szCs w:val="16"/>
                <w:highlight w:val="red"/>
              </w:rPr>
            </w:pPr>
          </w:p>
        </w:tc>
      </w:tr>
    </w:tbl>
    <w:p w:rsidR="00403E79" w:rsidRPr="0006729E" w:rsidP="00403E79">
      <w:pPr>
        <w:bidi w:val="0"/>
        <w:jc w:val="both"/>
        <w:rPr>
          <w:rFonts w:ascii="Arial Narrow" w:hAnsi="Arial Narrow" w:cs="Arial Narrow"/>
          <w:sz w:val="16"/>
          <w:szCs w:val="16"/>
        </w:rPr>
      </w:pPr>
    </w:p>
    <w:p w:rsidR="00403E79" w:rsidP="00403E79">
      <w:pPr>
        <w:bidi w:val="0"/>
        <w:jc w:val="both"/>
        <w:rPr>
          <w:rFonts w:ascii="Arial Narrow" w:hAnsi="Arial Narrow" w:cs="Arial Narrow"/>
        </w:rPr>
      </w:pPr>
      <w:r>
        <w:rPr>
          <w:rFonts w:ascii="Arial Narrow" w:hAnsi="Arial Narrow" w:cs="Arial Narrow"/>
        </w:rPr>
        <w:t>ECB ako prvá z dvoch kľúčových centrálnych bánk pristúpila v tomto roku k zvýšeniu svojej základnej sadzby. Základná sadzba sa tak zvýšila dvakrát po 0,25 p.b. zo svojho historického minima na úrovni 1% na súčasných 1,5%. V nasledujúcich štvrťrokoch sa očakáva pokračovanie rastu úrokov v eurozóne. ECB tak opäť ukázala, že jej primárnym cieľom je cenová stabilita, keďže zvýšenia kľúčovej sadzby reagovali najmä na rastúce inflačné riziká</w:t>
      </w:r>
      <w:r w:rsidR="00CB2584">
        <w:rPr>
          <w:rFonts w:ascii="Arial Narrow" w:hAnsi="Arial Narrow" w:cs="Arial Narrow"/>
        </w:rPr>
        <w:t xml:space="preserve"> a očakávania</w:t>
      </w:r>
      <w:r>
        <w:rPr>
          <w:rFonts w:ascii="Arial Narrow" w:hAnsi="Arial Narrow" w:cs="Arial Narrow"/>
        </w:rPr>
        <w:t>. Tento postup bol výrazne odlišný od konania americkej centrálnej banky (FED), ktorá nielenže nepristúpila k zvyšovaniu základnej sadzby, ale navyše pokračovala v expanzívnej menovej politike prostredníctvom druhého balíka kvantitatívneho uvoľňovania (QE2), ktorého cieľom bolo najmä udržanie dlhodobých sadzieb na nízkych úrovniach</w:t>
      </w:r>
      <w:r w:rsidR="00CB2584">
        <w:rPr>
          <w:rFonts w:ascii="Arial Narrow" w:hAnsi="Arial Narrow" w:cs="Arial Narrow"/>
        </w:rPr>
        <w:t xml:space="preserve"> kvôli stále slabému rastu</w:t>
      </w:r>
      <w:r>
        <w:rPr>
          <w:rFonts w:ascii="Arial Narrow" w:hAnsi="Arial Narrow" w:cs="Arial Narrow"/>
        </w:rPr>
        <w:t>.</w:t>
      </w:r>
      <w:r w:rsidRPr="005D5374">
        <w:rPr>
          <w:rFonts w:ascii="Arial Narrow" w:hAnsi="Arial Narrow" w:cs="Arial Narrow"/>
        </w:rPr>
        <w:t xml:space="preserve"> </w:t>
      </w:r>
    </w:p>
    <w:p w:rsidR="00403E79" w:rsidP="00403E79">
      <w:pPr>
        <w:pStyle w:val="Heading2"/>
        <w:keepLines/>
        <w:widowControl w:val="0"/>
        <w:numPr>
          <w:ilvl w:val="1"/>
          <w:numId w:val="2"/>
        </w:numPr>
        <w:bidi w:val="0"/>
        <w:rPr>
          <w:rFonts w:ascii="Arial Narrow" w:hAnsi="Arial Narrow" w:cs="Arial Narrow"/>
          <w:i w:val="0"/>
          <w:iCs w:val="0"/>
        </w:rPr>
      </w:pPr>
      <w:bookmarkStart w:id="33" w:name="_Toc109546061"/>
      <w:bookmarkStart w:id="34" w:name="_Toc172367395"/>
      <w:bookmarkStart w:id="35" w:name="_Toc180304887"/>
      <w:bookmarkStart w:id="36" w:name="_Toc299709421"/>
      <w:r w:rsidR="00561EDA">
        <w:rPr>
          <w:rFonts w:ascii="Arial Narrow" w:hAnsi="Arial Narrow" w:cs="Arial Narrow"/>
          <w:i w:val="0"/>
          <w:iCs w:val="0"/>
        </w:rPr>
        <w:t>Vo</w:t>
      </w:r>
      <w:r w:rsidRPr="00AB4446">
        <w:rPr>
          <w:rFonts w:ascii="Arial Narrow" w:hAnsi="Arial Narrow" w:cs="Arial Narrow"/>
          <w:i w:val="0"/>
          <w:iCs w:val="0"/>
        </w:rPr>
        <w:t>nkajšie prostredie a domáce očakávania</w:t>
      </w:r>
      <w:bookmarkEnd w:id="33"/>
      <w:bookmarkEnd w:id="34"/>
      <w:bookmarkEnd w:id="35"/>
      <w:bookmarkEnd w:id="36"/>
      <w:r w:rsidRPr="00AB4446">
        <w:rPr>
          <w:rFonts w:ascii="Arial Narrow" w:hAnsi="Arial Narrow" w:cs="Arial Narrow"/>
          <w:i w:val="0"/>
          <w:iCs w:val="0"/>
        </w:rPr>
        <w:t xml:space="preserve">  </w:t>
      </w:r>
    </w:p>
    <w:p w:rsidR="00403E79" w:rsidRPr="005D5374" w:rsidP="00403E79">
      <w:pPr>
        <w:pStyle w:val="Heading3"/>
        <w:keepLines/>
        <w:widowControl w:val="0"/>
        <w:bidi w:val="0"/>
        <w:spacing w:before="240"/>
        <w:rPr>
          <w:rFonts w:ascii="Arial Narrow" w:hAnsi="Arial Narrow" w:cs="Arial Narrow"/>
          <w:i/>
          <w:iCs/>
          <w:color w:val="auto"/>
          <w:sz w:val="24"/>
          <w:szCs w:val="24"/>
        </w:rPr>
      </w:pPr>
      <w:bookmarkStart w:id="37" w:name="_Toc267485498"/>
      <w:bookmarkStart w:id="38" w:name="_Toc269987174"/>
      <w:bookmarkStart w:id="39" w:name="_Toc270928081"/>
      <w:bookmarkStart w:id="40" w:name="_Toc299709422"/>
      <w:r w:rsidRPr="005D5374">
        <w:rPr>
          <w:rFonts w:ascii="Arial Narrow" w:hAnsi="Arial Narrow" w:cs="Arial Narrow"/>
          <w:i/>
          <w:iCs/>
          <w:color w:val="auto"/>
          <w:sz w:val="24"/>
          <w:szCs w:val="24"/>
        </w:rPr>
        <w:t>Vývoj vonkajšieho prostredia</w:t>
      </w:r>
      <w:bookmarkEnd w:id="37"/>
      <w:bookmarkEnd w:id="38"/>
      <w:bookmarkEnd w:id="39"/>
      <w:bookmarkEnd w:id="40"/>
    </w:p>
    <w:p w:rsidR="00403E79" w:rsidRPr="0006729E" w:rsidP="00403E79">
      <w:pPr>
        <w:keepNext/>
        <w:keepLines/>
        <w:widowControl w:val="0"/>
        <w:bidi w:val="0"/>
        <w:jc w:val="both"/>
        <w:rPr>
          <w:rFonts w:ascii="Arial Narrow" w:hAnsi="Arial Narrow" w:cs="Arial Narrow"/>
          <w:sz w:val="16"/>
          <w:szCs w:val="16"/>
        </w:rPr>
      </w:pPr>
    </w:p>
    <w:p w:rsidR="00403E79" w:rsidRPr="005B6505" w:rsidP="00403E79">
      <w:pPr>
        <w:keepNext/>
        <w:keepLines/>
        <w:widowControl w:val="0"/>
        <w:bidi w:val="0"/>
        <w:jc w:val="both"/>
        <w:rPr>
          <w:rFonts w:ascii="Arial Narrow" w:hAnsi="Arial Narrow" w:cs="Arial Narrow"/>
          <w:color w:val="FF0000"/>
        </w:rPr>
      </w:pPr>
      <w:bookmarkStart w:id="41" w:name="_Toc267485499"/>
      <w:bookmarkStart w:id="42" w:name="_Toc269987175"/>
      <w:r w:rsidRPr="00800D8E">
        <w:rPr>
          <w:rFonts w:ascii="Arial Narrow" w:hAnsi="Arial Narrow" w:cs="Arial Narrow"/>
        </w:rPr>
        <w:t>Vo vývoji vonkajšieho prostredia možno pozorovať pokračujúce zotavovanie svetovej ekonomiky z finančnej a hospodárskej krízy</w:t>
      </w:r>
      <w:r w:rsidRPr="00925A21">
        <w:rPr>
          <w:rFonts w:ascii="Arial Narrow" w:hAnsi="Arial Narrow" w:cs="Arial Narrow"/>
        </w:rPr>
        <w:t xml:space="preserve">. </w:t>
      </w:r>
      <w:r w:rsidRPr="00C35042">
        <w:rPr>
          <w:rFonts w:ascii="Arial Narrow" w:hAnsi="Arial Narrow" w:cs="Arial Narrow"/>
        </w:rPr>
        <w:t>Globálne oživenie ťahané</w:t>
      </w:r>
      <w:r>
        <w:rPr>
          <w:rFonts w:ascii="Arial Narrow" w:hAnsi="Arial Narrow" w:cs="Arial Narrow"/>
        </w:rPr>
        <w:t xml:space="preserve"> </w:t>
      </w:r>
      <w:r w:rsidRPr="00C35042">
        <w:rPr>
          <w:rFonts w:ascii="Arial Narrow" w:hAnsi="Arial Narrow" w:cs="Arial Narrow"/>
        </w:rPr>
        <w:t>svetovým obchodom pokračovalo aj v prvom polroku 2011. Objemy svetového obchodu v úvode tohto roka už</w:t>
      </w:r>
      <w:r>
        <w:rPr>
          <w:rFonts w:ascii="Arial Narrow" w:hAnsi="Arial Narrow" w:cs="Arial Narrow"/>
        </w:rPr>
        <w:t xml:space="preserve"> </w:t>
      </w:r>
      <w:r w:rsidRPr="00C35042">
        <w:rPr>
          <w:rFonts w:ascii="Arial Narrow" w:hAnsi="Arial Narrow" w:cs="Arial Narrow"/>
        </w:rPr>
        <w:t>prekonali predkrízové úrovne a vývoj exportných objednávok naznačuje pokračujúci trend rastu v celom roku</w:t>
      </w:r>
      <w:r>
        <w:rPr>
          <w:rFonts w:ascii="Arial Narrow" w:hAnsi="Arial Narrow" w:cs="Arial Narrow"/>
        </w:rPr>
        <w:t xml:space="preserve"> </w:t>
      </w:r>
      <w:r w:rsidRPr="00C35042">
        <w:rPr>
          <w:rFonts w:ascii="Arial Narrow" w:hAnsi="Arial Narrow" w:cs="Arial Narrow"/>
        </w:rPr>
        <w:t>2011. V eurozóne prevládal silný ekonomický rast pre nás dôležitého Nemecka. Na strane druhej sa začali</w:t>
      </w:r>
      <w:r>
        <w:rPr>
          <w:rFonts w:ascii="Arial Narrow" w:hAnsi="Arial Narrow" w:cs="Arial Narrow"/>
        </w:rPr>
        <w:t xml:space="preserve"> </w:t>
      </w:r>
      <w:r w:rsidRPr="00C35042">
        <w:rPr>
          <w:rFonts w:ascii="Arial Narrow" w:hAnsi="Arial Narrow" w:cs="Arial Narrow"/>
        </w:rPr>
        <w:t>objavovať príznaky, ktoré by mohli indikovať spomaľovanie globálneho rastu. Očakávania ohľadom</w:t>
      </w:r>
      <w:r>
        <w:rPr>
          <w:rFonts w:ascii="Arial Narrow" w:hAnsi="Arial Narrow" w:cs="Arial Narrow"/>
        </w:rPr>
        <w:t xml:space="preserve"> </w:t>
      </w:r>
      <w:r w:rsidRPr="00C35042">
        <w:rPr>
          <w:rFonts w:ascii="Arial Narrow" w:hAnsi="Arial Narrow" w:cs="Arial Narrow"/>
        </w:rPr>
        <w:t>budúcnosti sa v zahraničí postupne ochladzujú (ZEW, PMI, EU economic sentiment). Na rozvíjajúcich</w:t>
      </w:r>
      <w:r>
        <w:rPr>
          <w:rFonts w:ascii="Arial Narrow" w:hAnsi="Arial Narrow" w:cs="Arial Narrow"/>
        </w:rPr>
        <w:t xml:space="preserve"> </w:t>
      </w:r>
      <w:r w:rsidRPr="00C35042">
        <w:rPr>
          <w:rFonts w:ascii="Arial Narrow" w:hAnsi="Arial Narrow" w:cs="Arial Narrow"/>
        </w:rPr>
        <w:t>ekonomikách Indie a Číny sa čoraz viac prejavujú znaky prehrievania a ekonomika USA vykazuje v</w:t>
      </w:r>
      <w:r>
        <w:rPr>
          <w:rFonts w:ascii="Arial Narrow" w:hAnsi="Arial Narrow" w:cs="Arial Narrow"/>
        </w:rPr>
        <w:t> </w:t>
      </w:r>
      <w:r w:rsidRPr="00C35042">
        <w:rPr>
          <w:rFonts w:ascii="Arial Narrow" w:hAnsi="Arial Narrow" w:cs="Arial Narrow"/>
        </w:rPr>
        <w:t>posledných</w:t>
      </w:r>
      <w:r>
        <w:rPr>
          <w:rFonts w:ascii="Arial Narrow" w:hAnsi="Arial Narrow" w:cs="Arial Narrow"/>
        </w:rPr>
        <w:t xml:space="preserve"> </w:t>
      </w:r>
      <w:r w:rsidRPr="00C35042">
        <w:rPr>
          <w:rFonts w:ascii="Arial Narrow" w:hAnsi="Arial Narrow" w:cs="Arial Narrow"/>
        </w:rPr>
        <w:t>týždňoch horšie ako očakávané dáta.</w:t>
      </w:r>
    </w:p>
    <w:p w:rsidR="00403E79" w:rsidRPr="0006729E" w:rsidP="00403E79">
      <w:pPr>
        <w:keepNext/>
        <w:keepLines/>
        <w:widowControl w:val="0"/>
        <w:bidi w:val="0"/>
        <w:jc w:val="both"/>
        <w:rPr>
          <w:rFonts w:ascii="Arial Narrow" w:hAnsi="Arial Narrow" w:cs="Arial Narrow"/>
          <w:color w:val="FF0000"/>
          <w:sz w:val="16"/>
          <w:szCs w:val="16"/>
        </w:rPr>
      </w:pPr>
    </w:p>
    <w:p w:rsidR="00403E79" w:rsidRPr="004449B9" w:rsidP="00403E79">
      <w:pPr>
        <w:keepNext/>
        <w:keepLines/>
        <w:widowControl w:val="0"/>
        <w:bidi w:val="0"/>
        <w:jc w:val="both"/>
        <w:rPr>
          <w:rFonts w:ascii="Arial Narrow" w:hAnsi="Arial Narrow" w:cs="Arial Narrow"/>
          <w:color w:val="FF0000"/>
          <w:lang w:val="es-ES"/>
        </w:rPr>
      </w:pPr>
      <w:r w:rsidRPr="003A138A">
        <w:rPr>
          <w:rFonts w:ascii="Arial Narrow" w:hAnsi="Arial Narrow" w:cs="Arial Narrow"/>
        </w:rPr>
        <w:t>Ekonomika Európskej únie rástla v</w:t>
      </w:r>
      <w:r>
        <w:rPr>
          <w:rFonts w:ascii="Arial Narrow" w:hAnsi="Arial Narrow" w:cs="Arial Narrow"/>
        </w:rPr>
        <w:t xml:space="preserve"> prvom </w:t>
      </w:r>
      <w:r w:rsidRPr="003A138A">
        <w:rPr>
          <w:rFonts w:ascii="Arial Narrow" w:hAnsi="Arial Narrow" w:cs="Arial Narrow"/>
        </w:rPr>
        <w:t xml:space="preserve">kvartáli medziročne o </w:t>
      </w:r>
      <w:r>
        <w:rPr>
          <w:rFonts w:ascii="Arial Narrow" w:hAnsi="Arial Narrow" w:cs="Arial Narrow"/>
        </w:rPr>
        <w:t>2</w:t>
      </w:r>
      <w:r w:rsidRPr="003A138A">
        <w:rPr>
          <w:rFonts w:ascii="Arial Narrow" w:hAnsi="Arial Narrow" w:cs="Arial Narrow"/>
        </w:rPr>
        <w:t>,</w:t>
      </w:r>
      <w:r>
        <w:rPr>
          <w:rFonts w:ascii="Arial Narrow" w:hAnsi="Arial Narrow" w:cs="Arial Narrow"/>
        </w:rPr>
        <w:t>4</w:t>
      </w:r>
      <w:r w:rsidRPr="003A138A">
        <w:rPr>
          <w:rFonts w:ascii="Arial Narrow" w:hAnsi="Arial Narrow" w:cs="Arial Narrow"/>
        </w:rPr>
        <w:t xml:space="preserve">% a USA o </w:t>
      </w:r>
      <w:r>
        <w:rPr>
          <w:rFonts w:ascii="Arial Narrow" w:hAnsi="Arial Narrow" w:cs="Arial Narrow"/>
        </w:rPr>
        <w:t>2</w:t>
      </w:r>
      <w:r w:rsidRPr="003A138A">
        <w:rPr>
          <w:rFonts w:ascii="Arial Narrow" w:hAnsi="Arial Narrow" w:cs="Arial Narrow"/>
        </w:rPr>
        <w:t>,</w:t>
      </w:r>
      <w:r>
        <w:rPr>
          <w:rFonts w:ascii="Arial Narrow" w:hAnsi="Arial Narrow" w:cs="Arial Narrow"/>
        </w:rPr>
        <w:t>3</w:t>
      </w:r>
      <w:r w:rsidRPr="00A6588C">
        <w:rPr>
          <w:rFonts w:ascii="Arial Narrow" w:hAnsi="Arial Narrow" w:cs="Arial Narrow"/>
        </w:rPr>
        <w:t xml:space="preserve">%. Ekonomiky Nemecka a Francúzska v prvom kvartáli prekvapili vyšším rastom, keď medzikvartálne rástli o 1,5% a 0,9%. </w:t>
      </w:r>
      <w:r>
        <w:rPr>
          <w:rFonts w:ascii="Arial Narrow" w:hAnsi="Arial Narrow" w:cs="Arial Narrow"/>
        </w:rPr>
        <w:t>Stále p</w:t>
      </w:r>
      <w:r w:rsidRPr="00A6588C">
        <w:rPr>
          <w:rFonts w:ascii="Arial Narrow" w:hAnsi="Arial Narrow" w:cs="Arial Narrow"/>
        </w:rPr>
        <w:t>ozitívne výsledky</w:t>
      </w:r>
      <w:r>
        <w:rPr>
          <w:rFonts w:ascii="Arial Narrow" w:hAnsi="Arial Narrow" w:cs="Arial Narrow"/>
        </w:rPr>
        <w:t xml:space="preserve"> </w:t>
      </w:r>
      <w:r w:rsidRPr="00A6588C">
        <w:rPr>
          <w:rFonts w:ascii="Arial Narrow" w:hAnsi="Arial Narrow" w:cs="Arial Narrow"/>
        </w:rPr>
        <w:t>zaznamen</w:t>
      </w:r>
      <w:r>
        <w:rPr>
          <w:rFonts w:ascii="Arial Narrow" w:hAnsi="Arial Narrow" w:cs="Arial Narrow"/>
        </w:rPr>
        <w:t>ali</w:t>
      </w:r>
      <w:r w:rsidRPr="00A6588C">
        <w:rPr>
          <w:rFonts w:ascii="Arial Narrow" w:hAnsi="Arial Narrow" w:cs="Arial Narrow"/>
        </w:rPr>
        <w:t xml:space="preserve"> v prvom kvartáli aj rozvíjajúce sa krajiny Ázie (medziročné rasty: Čína 9,7%,</w:t>
      </w:r>
      <w:r w:rsidRPr="00A6588C">
        <w:rPr>
          <w:rFonts w:ascii="Arial Narrow" w:hAnsi="Arial Narrow" w:cs="Arial Narrow"/>
          <w:color w:val="FF0000"/>
        </w:rPr>
        <w:t xml:space="preserve"> </w:t>
      </w:r>
      <w:r w:rsidRPr="00A6588C">
        <w:rPr>
          <w:rFonts w:ascii="Arial Narrow" w:hAnsi="Arial Narrow" w:cs="Arial Narrow"/>
        </w:rPr>
        <w:t>Južná Kórea 3,9%).</w:t>
      </w:r>
      <w:r w:rsidRPr="00D20D94">
        <w:rPr>
          <w:rFonts w:ascii="Arial Narrow" w:hAnsi="Arial Narrow" w:cs="Arial Narrow"/>
        </w:rPr>
        <w:t xml:space="preserve"> Podľa </w:t>
      </w:r>
      <w:r>
        <w:rPr>
          <w:rFonts w:ascii="Arial Narrow" w:hAnsi="Arial Narrow" w:cs="Arial Narrow"/>
        </w:rPr>
        <w:t xml:space="preserve">májovej prognózy OECD </w:t>
      </w:r>
      <w:r w:rsidRPr="00D20D94">
        <w:rPr>
          <w:rFonts w:ascii="Arial Narrow" w:hAnsi="Arial Narrow" w:cs="Arial Narrow"/>
        </w:rPr>
        <w:t>sa v roku 201</w:t>
      </w:r>
      <w:r>
        <w:rPr>
          <w:rFonts w:ascii="Arial Narrow" w:hAnsi="Arial Narrow" w:cs="Arial Narrow"/>
        </w:rPr>
        <w:t>1</w:t>
      </w:r>
      <w:r w:rsidRPr="00D20D94">
        <w:rPr>
          <w:rFonts w:ascii="Arial Narrow" w:hAnsi="Arial Narrow" w:cs="Arial Narrow"/>
        </w:rPr>
        <w:t xml:space="preserve"> očakáva</w:t>
      </w:r>
      <w:r>
        <w:rPr>
          <w:rFonts w:ascii="Arial Narrow" w:hAnsi="Arial Narrow" w:cs="Arial Narrow"/>
        </w:rPr>
        <w:t>l</w:t>
      </w:r>
      <w:r w:rsidRPr="00D20D94">
        <w:rPr>
          <w:rFonts w:ascii="Arial Narrow" w:hAnsi="Arial Narrow" w:cs="Arial Narrow"/>
        </w:rPr>
        <w:t xml:space="preserve"> nárast </w:t>
      </w:r>
      <w:r>
        <w:rPr>
          <w:rFonts w:ascii="Arial Narrow" w:hAnsi="Arial Narrow" w:cs="Arial Narrow"/>
        </w:rPr>
        <w:t xml:space="preserve">ekonomík </w:t>
      </w:r>
      <w:r w:rsidRPr="00D20D94">
        <w:rPr>
          <w:rFonts w:ascii="Arial Narrow" w:hAnsi="Arial Narrow" w:cs="Arial Narrow"/>
        </w:rPr>
        <w:t>eurozóny o </w:t>
      </w:r>
      <w:r>
        <w:rPr>
          <w:rFonts w:ascii="Arial Narrow" w:hAnsi="Arial Narrow" w:cs="Arial Narrow"/>
        </w:rPr>
        <w:t>2</w:t>
      </w:r>
      <w:r w:rsidRPr="00D20D94">
        <w:rPr>
          <w:rFonts w:ascii="Arial Narrow" w:hAnsi="Arial Narrow" w:cs="Arial Narrow"/>
        </w:rPr>
        <w:t>,</w:t>
      </w:r>
      <w:r>
        <w:rPr>
          <w:rFonts w:ascii="Arial Narrow" w:hAnsi="Arial Narrow" w:cs="Arial Narrow"/>
        </w:rPr>
        <w:t>0</w:t>
      </w:r>
      <w:r w:rsidRPr="00D20D94">
        <w:rPr>
          <w:rFonts w:ascii="Arial Narrow" w:hAnsi="Arial Narrow" w:cs="Arial Narrow"/>
        </w:rPr>
        <w:t>%</w:t>
      </w:r>
      <w:r>
        <w:rPr>
          <w:rFonts w:ascii="Arial Narrow" w:hAnsi="Arial Narrow" w:cs="Arial Narrow"/>
        </w:rPr>
        <w:t xml:space="preserve"> a Nemecka o 3,4%. </w:t>
      </w:r>
      <w:r w:rsidRPr="00D20D94">
        <w:rPr>
          <w:rFonts w:ascii="Arial Narrow" w:hAnsi="Arial Narrow" w:cs="Arial Narrow"/>
        </w:rPr>
        <w:t xml:space="preserve">V prípade ekonomiky USA má HDP </w:t>
      </w:r>
      <w:r>
        <w:rPr>
          <w:rFonts w:ascii="Arial Narrow" w:hAnsi="Arial Narrow" w:cs="Arial Narrow"/>
        </w:rPr>
        <w:t xml:space="preserve">v roku 2011 </w:t>
      </w:r>
      <w:r w:rsidRPr="00D20D94">
        <w:rPr>
          <w:rFonts w:ascii="Arial Narrow" w:hAnsi="Arial Narrow" w:cs="Arial Narrow"/>
        </w:rPr>
        <w:t>dosiahnuť rast 2,</w:t>
      </w:r>
      <w:r>
        <w:rPr>
          <w:rFonts w:ascii="Arial Narrow" w:hAnsi="Arial Narrow" w:cs="Arial Narrow"/>
        </w:rPr>
        <w:t>6</w:t>
      </w:r>
      <w:r w:rsidRPr="00D20D94">
        <w:rPr>
          <w:rFonts w:ascii="Arial Narrow" w:hAnsi="Arial Narrow" w:cs="Arial Narrow"/>
        </w:rPr>
        <w:t xml:space="preserve">% a Japonska </w:t>
      </w:r>
      <w:r>
        <w:rPr>
          <w:rFonts w:ascii="Arial Narrow" w:hAnsi="Arial Narrow" w:cs="Arial Narrow"/>
        </w:rPr>
        <w:t>v dôsledku prírodných katastrof pokles -0</w:t>
      </w:r>
      <w:r w:rsidRPr="00D20D94">
        <w:rPr>
          <w:rFonts w:ascii="Arial Narrow" w:hAnsi="Arial Narrow" w:cs="Arial Narrow"/>
        </w:rPr>
        <w:t>,</w:t>
      </w:r>
      <w:r>
        <w:rPr>
          <w:rFonts w:ascii="Arial Narrow" w:hAnsi="Arial Narrow" w:cs="Arial Narrow"/>
        </w:rPr>
        <w:t>9</w:t>
      </w:r>
      <w:r w:rsidRPr="00D20D94">
        <w:rPr>
          <w:rFonts w:ascii="Arial Narrow" w:hAnsi="Arial Narrow" w:cs="Arial Narrow"/>
        </w:rPr>
        <w:t>%.</w:t>
      </w:r>
    </w:p>
    <w:p w:rsidR="00403E79" w:rsidRPr="0006729E" w:rsidP="00403E79">
      <w:pPr>
        <w:keepNext/>
        <w:keepLines/>
        <w:widowControl w:val="0"/>
        <w:bidi w:val="0"/>
        <w:jc w:val="both"/>
        <w:rPr>
          <w:rFonts w:ascii="Arial Narrow" w:hAnsi="Arial Narrow" w:cs="Arial Narrow"/>
          <w:color w:val="FF0000"/>
          <w:sz w:val="16"/>
          <w:szCs w:val="16"/>
          <w:lang w:val="es-ES"/>
        </w:rPr>
      </w:pPr>
    </w:p>
    <w:p w:rsidR="00403E79" w:rsidRPr="004B505D" w:rsidP="00403E79">
      <w:pPr>
        <w:bidi w:val="0"/>
        <w:jc w:val="both"/>
        <w:rPr>
          <w:rFonts w:ascii="Arial Narrow" w:hAnsi="Arial Narrow" w:cs="Arial Narrow"/>
        </w:rPr>
      </w:pPr>
      <w:r>
        <w:rPr>
          <w:rFonts w:ascii="Arial Narrow" w:hAnsi="Arial Narrow" w:cs="Arial Narrow"/>
        </w:rPr>
        <w:t xml:space="preserve">Najväčším negatívnym rizikom pre ekonomický </w:t>
      </w:r>
      <w:r w:rsidRPr="004B505D">
        <w:rPr>
          <w:rFonts w:ascii="Arial Narrow" w:hAnsi="Arial Narrow" w:cs="Arial Narrow"/>
        </w:rPr>
        <w:t xml:space="preserve">vývoj </w:t>
      </w:r>
      <w:r>
        <w:rPr>
          <w:rFonts w:ascii="Arial Narrow" w:hAnsi="Arial Narrow" w:cs="Arial Narrow"/>
        </w:rPr>
        <w:t xml:space="preserve">v posledných mesiacoch </w:t>
      </w:r>
      <w:r w:rsidRPr="004B505D">
        <w:rPr>
          <w:rFonts w:ascii="Arial Narrow" w:hAnsi="Arial Narrow" w:cs="Arial Narrow"/>
        </w:rPr>
        <w:t>je</w:t>
      </w:r>
      <w:r>
        <w:rPr>
          <w:rFonts w:ascii="Arial Narrow" w:hAnsi="Arial Narrow" w:cs="Arial Narrow"/>
        </w:rPr>
        <w:t xml:space="preserve"> dlhová kríza v EÚ, pričom nervozita na finančných trhoch sa v júli podstatne zvýšila.</w:t>
      </w:r>
      <w:r w:rsidRPr="004B505D">
        <w:rPr>
          <w:rFonts w:ascii="Arial Narrow" w:hAnsi="Arial Narrow" w:cs="Arial Narrow"/>
        </w:rPr>
        <w:t xml:space="preserve"> </w:t>
      </w:r>
      <w:r>
        <w:rPr>
          <w:rFonts w:ascii="Arial Narrow" w:hAnsi="Arial Narrow" w:cs="Arial Narrow"/>
        </w:rPr>
        <w:t xml:space="preserve">Rizikové prirážky (spready) Grécka sú už niekoľko mesiacov okolo úrovne 15 p.b., pričom výrazne rastú prirážky Portugalska a Írska, ktoré boli tiež nútené požiadať o pomoc z Európskeho záchranného mechanizmu EFSF. Keď začalo byť jasné, že prvá pôžička Grécku vo výške 110 mld. eur nebude stačiť, pretože krajina nemá šancu sa vrátiť na finančné trhy v nasledujúcom roku a začali sa vyjednávania o druhom záchrannom balíku, neistota okolo jeho detailov (najmä účasť súkromného sektora) preniesla negatívny sentiment aj na </w:t>
      </w:r>
      <w:r w:rsidR="00CB2584">
        <w:rPr>
          <w:rFonts w:ascii="Arial Narrow" w:hAnsi="Arial Narrow" w:cs="Arial Narrow"/>
        </w:rPr>
        <w:t xml:space="preserve">oveľa väčšie </w:t>
      </w:r>
      <w:r>
        <w:rPr>
          <w:rFonts w:ascii="Arial Narrow" w:hAnsi="Arial Narrow" w:cs="Arial Narrow"/>
        </w:rPr>
        <w:t>Taliansko a Španielsko, kde spready štátnych dlhopisov vzrástli nad 4 p.b.</w:t>
      </w:r>
      <w:r w:rsidRPr="004B505D">
        <w:rPr>
          <w:rFonts w:ascii="Arial Narrow" w:hAnsi="Arial Narrow" w:cs="Arial Narrow"/>
        </w:rPr>
        <w:t xml:space="preserve">. </w:t>
      </w:r>
      <w:r>
        <w:rPr>
          <w:rFonts w:ascii="Arial Narrow" w:hAnsi="Arial Narrow" w:cs="Arial Narrow"/>
        </w:rPr>
        <w:t>Po oznámení základnej dohody hláv štátov Eurozóny o podobe druhého záchranného balíka pre Grécko a zvýšení flexibility EFSF 22.</w:t>
      </w:r>
      <w:r w:rsidR="00BE03CA">
        <w:rPr>
          <w:rFonts w:ascii="Arial Narrow" w:hAnsi="Arial Narrow" w:cs="Arial Narrow"/>
        </w:rPr>
        <w:t xml:space="preserve"> </w:t>
      </w:r>
      <w:r>
        <w:rPr>
          <w:rFonts w:ascii="Arial Narrow" w:hAnsi="Arial Narrow" w:cs="Arial Narrow"/>
        </w:rPr>
        <w:t>júla 2011 sa situácia na finančných trhoch dočasne upokojila, ale výrazná neistota naďalej pretrváva.</w:t>
      </w:r>
    </w:p>
    <w:p w:rsidR="00403E79" w:rsidP="00403E79">
      <w:pPr>
        <w:autoSpaceDE w:val="0"/>
        <w:autoSpaceDN w:val="0"/>
        <w:bidi w:val="0"/>
        <w:adjustRightInd w:val="0"/>
        <w:jc w:val="both"/>
        <w:rPr>
          <w:rFonts w:ascii="Arial Narrow" w:hAnsi="Arial Narrow" w:cs="Arial Narrow"/>
        </w:rPr>
      </w:pPr>
    </w:p>
    <w:tbl>
      <w:tblPr>
        <w:tblStyle w:val="TableNormal"/>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6678"/>
      </w:tblGrid>
      <w:tr>
        <w:tblPrEx>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Ex>
        <w:trPr>
          <w:trHeight w:val="398"/>
          <w:jc w:val="center"/>
        </w:trPr>
        <w:tc>
          <w:tcPr>
            <w:tcW w:w="6678" w:type="dxa"/>
            <w:tcBorders>
              <w:top w:val="nil"/>
              <w:left w:val="nil"/>
              <w:bottom w:val="nil"/>
              <w:right w:val="nil"/>
            </w:tcBorders>
            <w:shd w:val="clear" w:color="auto" w:fill="000000"/>
            <w:textDirection w:val="lrTb"/>
            <w:vAlign w:val="center"/>
          </w:tcPr>
          <w:p w:rsidR="00403E79" w:rsidRPr="005D5374" w:rsidP="00BE03CA">
            <w:pPr>
              <w:keepNext/>
              <w:keepLines/>
              <w:widowControl w:val="0"/>
              <w:bidi w:val="0"/>
              <w:spacing w:after="0" w:line="240" w:lineRule="auto"/>
              <w:rPr>
                <w:rFonts w:ascii="Arial Narrow" w:hAnsi="Arial Narrow" w:cs="Arial Narrow"/>
                <w:b/>
                <w:bCs/>
                <w:color w:val="FFFFFF"/>
                <w:sz w:val="20"/>
                <w:szCs w:val="20"/>
              </w:rPr>
            </w:pPr>
            <w:r>
              <w:rPr>
                <w:rFonts w:ascii="Arial Narrow" w:hAnsi="Arial Narrow" w:cs="Arial Narrow"/>
                <w:b/>
                <w:bCs/>
                <w:color w:val="FFFFFF"/>
                <w:sz w:val="20"/>
                <w:szCs w:val="20"/>
              </w:rPr>
              <w:t>Spready 10 ročných dlhopisov voči nemeckým bundom (p.b.)</w:t>
            </w:r>
            <w:r w:rsidRPr="005D5374">
              <w:rPr>
                <w:rFonts w:ascii="Arial Narrow" w:hAnsi="Arial Narrow" w:cs="Arial Narrow"/>
                <w:b/>
                <w:bCs/>
                <w:color w:val="FFFFFF"/>
                <w:sz w:val="20"/>
                <w:szCs w:val="20"/>
              </w:rPr>
              <w:t xml:space="preserve"> </w:t>
            </w:r>
          </w:p>
        </w:tc>
      </w:tr>
      <w:tr>
        <w:tblPrEx>
          <w:tblW w:w="0" w:type="auto"/>
          <w:jc w:val="center"/>
          <w:tblLayout w:type="fixed"/>
          <w:tblLook w:val="01E0"/>
        </w:tblPrEx>
        <w:trPr>
          <w:trHeight w:val="2147"/>
          <w:jc w:val="center"/>
        </w:trPr>
        <w:tc>
          <w:tcPr>
            <w:tcW w:w="6678" w:type="dxa"/>
            <w:tcBorders>
              <w:top w:val="nil"/>
              <w:left w:val="nil"/>
              <w:bottom w:val="nil"/>
              <w:right w:val="nil"/>
            </w:tcBorders>
            <w:textDirection w:val="lrTb"/>
            <w:vAlign w:val="top"/>
          </w:tcPr>
          <w:p w:rsidR="00403E79" w:rsidRPr="005D5374" w:rsidP="00BE03CA">
            <w:pPr>
              <w:keepNext/>
              <w:keepLines/>
              <w:widowControl w:val="0"/>
              <w:bidi w:val="0"/>
              <w:spacing w:after="0" w:line="240" w:lineRule="auto"/>
              <w:jc w:val="center"/>
              <w:rPr>
                <w:rFonts w:ascii="Arial Narrow" w:hAnsi="Arial Narrow" w:cs="Arial Narrow"/>
                <w:b/>
                <w:bCs/>
                <w:sz w:val="16"/>
                <w:szCs w:val="16"/>
              </w:rPr>
            </w:pPr>
            <w:r>
              <w:rPr>
                <w:rFonts w:ascii="Arial Narrow" w:hAnsi="Arial Narrow" w:cs="Arial Narrow"/>
                <w:b/>
                <w:noProof/>
                <w:sz w:val="16"/>
                <w:szCs w:val="16"/>
                <w:rtl w:val="0"/>
              </w:rPr>
              <w:pict>
                <v:shape id="Obrázok 3" o:spid="_x0000_i1028" type="#_x0000_t75" style="width:319.93pt;height:198.66pt;visibility:visible" filled="f" stroked="f">
                  <v:fill o:detectmouseclick="f"/>
                  <v:imagedata r:id="rId9" o:title=""/>
                  <o:lock v:ext="edit" aspectratio="t"/>
                </v:shape>
              </w:pict>
            </w:r>
          </w:p>
        </w:tc>
      </w:tr>
      <w:tr>
        <w:tblPrEx>
          <w:tblW w:w="0" w:type="auto"/>
          <w:jc w:val="center"/>
          <w:tblLayout w:type="fixed"/>
          <w:tblLook w:val="01E0"/>
        </w:tblPrEx>
        <w:trPr>
          <w:trHeight w:val="253"/>
          <w:jc w:val="center"/>
        </w:trPr>
        <w:tc>
          <w:tcPr>
            <w:tcW w:w="6678" w:type="dxa"/>
            <w:tcBorders>
              <w:top w:val="single" w:sz="4" w:space="0" w:color="auto"/>
              <w:left w:val="nil"/>
              <w:bottom w:val="nil"/>
              <w:right w:val="nil"/>
            </w:tcBorders>
            <w:textDirection w:val="lrTb"/>
            <w:vAlign w:val="center"/>
          </w:tcPr>
          <w:p w:rsidR="00403E79" w:rsidRPr="005D5374" w:rsidP="00BE03CA">
            <w:pPr>
              <w:keepNext/>
              <w:keepLines/>
              <w:widowControl w:val="0"/>
              <w:tabs>
                <w:tab w:val="right" w:pos="8574"/>
              </w:tabs>
              <w:bidi w:val="0"/>
              <w:spacing w:after="0" w:line="240" w:lineRule="auto"/>
              <w:jc w:val="right"/>
              <w:rPr>
                <w:rFonts w:ascii="Arial Narrow" w:hAnsi="Arial Narrow" w:cs="Arial Narrow"/>
                <w:i/>
                <w:iCs/>
                <w:sz w:val="16"/>
                <w:szCs w:val="16"/>
              </w:rPr>
            </w:pPr>
            <w:r>
              <w:rPr>
                <w:rFonts w:ascii="Arial Narrow" w:hAnsi="Arial Narrow" w:cs="Arial Narrow"/>
                <w:i/>
                <w:iCs/>
                <w:sz w:val="16"/>
                <w:szCs w:val="16"/>
              </w:rPr>
              <w:t xml:space="preserve">Pozn. Spready Grécka na pravej osi, ostatné krajiny na ľavej osi                                       </w:t>
            </w:r>
            <w:r w:rsidRPr="005D5374">
              <w:rPr>
                <w:rFonts w:ascii="Arial Narrow" w:hAnsi="Arial Narrow" w:cs="Arial Narrow"/>
                <w:i/>
                <w:iCs/>
                <w:sz w:val="16"/>
                <w:szCs w:val="16"/>
              </w:rPr>
              <w:t>Zdroj: ŠÚ SR,  MF SR</w:t>
            </w:r>
          </w:p>
        </w:tc>
      </w:tr>
    </w:tbl>
    <w:p w:rsidR="00403E79" w:rsidRPr="00925A21" w:rsidP="00403E79">
      <w:pPr>
        <w:autoSpaceDE w:val="0"/>
        <w:autoSpaceDN w:val="0"/>
        <w:bidi w:val="0"/>
        <w:adjustRightInd w:val="0"/>
        <w:jc w:val="both"/>
        <w:rPr>
          <w:rFonts w:ascii="ArialNarrow" w:hAnsi="ArialNarrow" w:cs="ArialNarrow"/>
          <w:sz w:val="18"/>
          <w:szCs w:val="18"/>
        </w:rPr>
      </w:pPr>
    </w:p>
    <w:p w:rsidR="00403E79" w:rsidRPr="0006729E" w:rsidP="00403E79">
      <w:pPr>
        <w:bidi w:val="0"/>
        <w:jc w:val="both"/>
        <w:rPr>
          <w:rFonts w:ascii="Arial Narrow" w:hAnsi="Arial Narrow" w:cs="Arial Narrow"/>
          <w:sz w:val="16"/>
          <w:szCs w:val="16"/>
        </w:rPr>
      </w:pPr>
    </w:p>
    <w:p w:rsidR="00403E79" w:rsidP="00403E79">
      <w:pPr>
        <w:bidi w:val="0"/>
        <w:jc w:val="both"/>
        <w:rPr>
          <w:rFonts w:ascii="Arial Narrow" w:hAnsi="Arial Narrow" w:cs="Arial Narrow"/>
        </w:rPr>
      </w:pPr>
      <w:r w:rsidRPr="005D5374">
        <w:rPr>
          <w:rFonts w:ascii="Arial Narrow" w:hAnsi="Arial Narrow" w:cs="Arial Narrow"/>
        </w:rPr>
        <w:t xml:space="preserve">Cena ropy </w:t>
      </w:r>
      <w:r>
        <w:rPr>
          <w:rFonts w:ascii="Arial Narrow" w:hAnsi="Arial Narrow" w:cs="Arial Narrow"/>
        </w:rPr>
        <w:t xml:space="preserve">BRENT v prvých mesiacoch roku 2011 kontinuálne rástla z úrovne 95 USD/bl až ku svojmu doterajšiemu maximu 126 USD/bl v apríli. Odvtedy sa cena pohybovala väčšinu obdobia v pásme 110 – 120 USD/bl s nadpriemernou volatilitou. Pod rast cien sa podpísalo viacero faktorov, najmä rast reálnych ekonomík spojený s rastom dopytu po rope, extrémne expanzívne monetárne politiky (najmä v USA) a tiež politické nepokoje vo viacerých krajinách exportujúcich ropu. </w:t>
      </w:r>
    </w:p>
    <w:p w:rsidR="00403E79" w:rsidP="00403E79">
      <w:pPr>
        <w:pStyle w:val="Heading3"/>
        <w:bidi w:val="0"/>
        <w:spacing w:before="240"/>
        <w:rPr>
          <w:rFonts w:ascii="Arial Narrow" w:hAnsi="Arial Narrow" w:cs="Arial Narrow"/>
          <w:i/>
          <w:iCs/>
          <w:color w:val="auto"/>
          <w:sz w:val="24"/>
          <w:szCs w:val="24"/>
        </w:rPr>
      </w:pPr>
      <w:bookmarkStart w:id="43" w:name="_Toc270928082"/>
      <w:bookmarkStart w:id="44" w:name="_Toc299709423"/>
      <w:r w:rsidRPr="005D5374">
        <w:rPr>
          <w:rFonts w:ascii="Arial Narrow" w:hAnsi="Arial Narrow" w:cs="Arial Narrow"/>
          <w:i/>
          <w:iCs/>
          <w:color w:val="auto"/>
          <w:sz w:val="24"/>
          <w:szCs w:val="24"/>
        </w:rPr>
        <w:t>Domáce očakávania</w:t>
      </w:r>
      <w:bookmarkEnd w:id="41"/>
      <w:bookmarkEnd w:id="42"/>
      <w:bookmarkEnd w:id="43"/>
      <w:bookmarkEnd w:id="44"/>
    </w:p>
    <w:p w:rsidR="00403E79" w:rsidRPr="0006729E" w:rsidP="00403E79">
      <w:pPr>
        <w:keepNext/>
        <w:keepLines/>
        <w:widowControl w:val="0"/>
        <w:bidi w:val="0"/>
        <w:jc w:val="both"/>
        <w:rPr>
          <w:rFonts w:ascii="Arial Narrow" w:hAnsi="Arial Narrow" w:cs="Arial Narrow"/>
          <w:sz w:val="16"/>
          <w:szCs w:val="16"/>
        </w:rPr>
      </w:pPr>
    </w:p>
    <w:p w:rsidR="00403E79" w:rsidRPr="00DA1171" w:rsidP="00403E79">
      <w:pPr>
        <w:keepNext/>
        <w:keepLines/>
        <w:widowControl w:val="0"/>
        <w:bidi w:val="0"/>
        <w:jc w:val="both"/>
        <w:rPr>
          <w:rFonts w:ascii="Arial Narrow" w:hAnsi="Arial Narrow" w:cs="Arial Narrow"/>
        </w:rPr>
      </w:pPr>
      <w:r w:rsidRPr="00DA1171">
        <w:rPr>
          <w:rFonts w:ascii="Arial Narrow" w:hAnsi="Arial Narrow" w:cs="Arial Narrow"/>
        </w:rPr>
        <w:t>Domáce očakávania ekonomického vývoja v roku 201</w:t>
      </w:r>
      <w:r>
        <w:rPr>
          <w:rFonts w:ascii="Arial Narrow" w:hAnsi="Arial Narrow" w:cs="Arial Narrow"/>
        </w:rPr>
        <w:t>1</w:t>
      </w:r>
      <w:r w:rsidRPr="00DA1171">
        <w:rPr>
          <w:rFonts w:ascii="Arial Narrow" w:hAnsi="Arial Narrow" w:cs="Arial Narrow"/>
        </w:rPr>
        <w:t xml:space="preserve"> </w:t>
      </w:r>
      <w:r>
        <w:rPr>
          <w:rFonts w:ascii="Arial Narrow" w:hAnsi="Arial Narrow" w:cs="Arial Narrow"/>
        </w:rPr>
        <w:t>kolíšu tesne pod dlhodobým priemerom</w:t>
      </w:r>
      <w:r w:rsidRPr="00DA1171">
        <w:rPr>
          <w:rFonts w:ascii="Arial Narrow" w:hAnsi="Arial Narrow" w:cs="Arial Narrow"/>
        </w:rPr>
        <w:t xml:space="preserve">. Indikátor ekonomického sentimentu (IES) </w:t>
      </w:r>
      <w:r>
        <w:rPr>
          <w:rFonts w:ascii="Arial Narrow" w:hAnsi="Arial Narrow" w:cs="Arial Narrow"/>
        </w:rPr>
        <w:t>po takmer nepretržitom raste od polovice roka 2009 zaznamenal začiatkom tohto roka mierny pokles, stále sa však nachádza blízko priemeru</w:t>
      </w:r>
      <w:r w:rsidRPr="00DA1171">
        <w:rPr>
          <w:rFonts w:ascii="Arial Narrow" w:hAnsi="Arial Narrow" w:cs="Arial Narrow"/>
        </w:rPr>
        <w:t>.</w:t>
      </w:r>
      <w:r>
        <w:rPr>
          <w:rFonts w:ascii="Arial Narrow" w:hAnsi="Arial Narrow" w:cs="Arial Narrow"/>
        </w:rPr>
        <w:t xml:space="preserve"> O zlepšení sa dá hovoriť jedine v prípade dôvery v službách, ostatné zložky indikátora buď stagnovali (spotrebiteľská dôvera, dôvera v maloobchode) alebo klesli (dôvera v priemysle a v stavebníctve).</w:t>
      </w:r>
      <w:r w:rsidRPr="00DA1171">
        <w:rPr>
          <w:rFonts w:ascii="Arial Narrow" w:hAnsi="Arial Narrow" w:cs="Arial Narrow"/>
        </w:rPr>
        <w:t xml:space="preserve"> </w:t>
      </w:r>
    </w:p>
    <w:p w:rsidR="00403E79" w:rsidP="00403E79">
      <w:pPr>
        <w:bidi w:val="0"/>
        <w:jc w:val="both"/>
        <w:rPr>
          <w:rFonts w:ascii="Arial Narrow" w:hAnsi="Arial Narrow" w:cs="Arial Narrow"/>
        </w:rPr>
      </w:pPr>
    </w:p>
    <w:tbl>
      <w:tblPr>
        <w:tblStyle w:val="TableNormal"/>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4253"/>
        <w:gridCol w:w="284"/>
        <w:gridCol w:w="4253"/>
      </w:tblGrid>
      <w:tr>
        <w:tblPrEx>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Ex>
        <w:trPr>
          <w:trHeight w:val="277"/>
          <w:jc w:val="center"/>
        </w:trPr>
        <w:tc>
          <w:tcPr>
            <w:tcW w:w="4253" w:type="dxa"/>
            <w:tcBorders>
              <w:top w:val="nil"/>
              <w:left w:val="nil"/>
              <w:bottom w:val="nil"/>
              <w:right w:val="nil"/>
            </w:tcBorders>
            <w:shd w:val="clear" w:color="auto" w:fill="000000"/>
            <w:textDirection w:val="lrTb"/>
            <w:vAlign w:val="center"/>
          </w:tcPr>
          <w:p w:rsidR="00403E79" w:rsidRPr="00AF2DEE" w:rsidP="00BE03CA">
            <w:pPr>
              <w:keepNext/>
              <w:keepLines/>
              <w:widowControl w:val="0"/>
              <w:bidi w:val="0"/>
              <w:spacing w:after="0" w:line="240" w:lineRule="auto"/>
              <w:rPr>
                <w:rFonts w:ascii="Arial Narrow" w:hAnsi="Arial Narrow" w:cs="Arial Narrow"/>
                <w:b/>
                <w:bCs/>
                <w:color w:val="FFFFFF"/>
                <w:sz w:val="20"/>
                <w:szCs w:val="20"/>
              </w:rPr>
            </w:pPr>
            <w:r>
              <w:rPr>
                <w:rFonts w:ascii="Arial Narrow" w:hAnsi="Arial Narrow" w:cs="Arial Narrow"/>
                <w:b/>
                <w:bCs/>
                <w:color w:val="FFFFFF"/>
                <w:sz w:val="20"/>
                <w:szCs w:val="20"/>
              </w:rPr>
              <w:t>Indikátor ekonomického sentimentu SR</w:t>
            </w:r>
          </w:p>
        </w:tc>
        <w:tc>
          <w:tcPr>
            <w:tcW w:w="284" w:type="dxa"/>
            <w:tcBorders>
              <w:top w:val="nil"/>
              <w:left w:val="nil"/>
              <w:bottom w:val="nil"/>
              <w:right w:val="nil"/>
            </w:tcBorders>
            <w:textDirection w:val="lrTb"/>
            <w:vAlign w:val="center"/>
          </w:tcPr>
          <w:p w:rsidR="00403E79" w:rsidRPr="00BA7455" w:rsidP="00BE03CA">
            <w:pPr>
              <w:keepNext/>
              <w:keepLines/>
              <w:widowControl w:val="0"/>
              <w:bidi w:val="0"/>
              <w:spacing w:after="0" w:line="240" w:lineRule="auto"/>
              <w:rPr>
                <w:rFonts w:ascii="Arial Narrow" w:hAnsi="Arial Narrow" w:cs="Arial Narrow"/>
                <w:b/>
                <w:bCs/>
                <w:color w:val="FFFFFF"/>
                <w:sz w:val="20"/>
                <w:szCs w:val="20"/>
                <w:highlight w:val="darkYellow"/>
              </w:rPr>
            </w:pPr>
          </w:p>
        </w:tc>
        <w:tc>
          <w:tcPr>
            <w:tcW w:w="4253" w:type="dxa"/>
            <w:tcBorders>
              <w:top w:val="nil"/>
              <w:left w:val="nil"/>
              <w:bottom w:val="nil"/>
              <w:right w:val="nil"/>
            </w:tcBorders>
            <w:shd w:val="clear" w:color="auto" w:fill="000000"/>
            <w:textDirection w:val="lrTb"/>
            <w:vAlign w:val="center"/>
          </w:tcPr>
          <w:p w:rsidR="00403E79" w:rsidRPr="00BA7455" w:rsidP="00BE03CA">
            <w:pPr>
              <w:keepNext/>
              <w:keepLines/>
              <w:widowControl w:val="0"/>
              <w:bidi w:val="0"/>
              <w:spacing w:after="0" w:line="240" w:lineRule="auto"/>
              <w:rPr>
                <w:rFonts w:ascii="Arial Narrow" w:hAnsi="Arial Narrow" w:cs="Arial Narrow"/>
                <w:b/>
                <w:bCs/>
                <w:color w:val="FFFFFF"/>
                <w:sz w:val="20"/>
                <w:szCs w:val="20"/>
                <w:highlight w:val="darkYellow"/>
              </w:rPr>
            </w:pPr>
            <w:r>
              <w:rPr>
                <w:rFonts w:ascii="Arial Narrow" w:hAnsi="Arial Narrow" w:cs="Arial Narrow"/>
                <w:b/>
                <w:bCs/>
                <w:color w:val="FFFFFF"/>
                <w:sz w:val="20"/>
                <w:szCs w:val="20"/>
              </w:rPr>
              <w:t>Indexy očakávaní ZEW a IFO</w:t>
            </w:r>
          </w:p>
        </w:tc>
      </w:tr>
      <w:tr>
        <w:tblPrEx>
          <w:tblW w:w="0" w:type="auto"/>
          <w:jc w:val="center"/>
          <w:tblLayout w:type="fixed"/>
          <w:tblLook w:val="01E0"/>
        </w:tblPrEx>
        <w:trPr>
          <w:trHeight w:val="1531"/>
          <w:jc w:val="center"/>
        </w:trPr>
        <w:tc>
          <w:tcPr>
            <w:tcW w:w="4253" w:type="dxa"/>
            <w:tcBorders>
              <w:top w:val="nil"/>
              <w:left w:val="nil"/>
              <w:bottom w:val="single" w:sz="4" w:space="0" w:color="auto"/>
              <w:right w:val="nil"/>
            </w:tcBorders>
            <w:textDirection w:val="lrTb"/>
            <w:vAlign w:val="center"/>
          </w:tcPr>
          <w:p w:rsidR="00403E79" w:rsidRPr="005D5374" w:rsidP="00BE03CA">
            <w:pPr>
              <w:keepNext/>
              <w:keepLines/>
              <w:widowControl w:val="0"/>
              <w:bidi w:val="0"/>
              <w:spacing w:before="40" w:after="40" w:line="240" w:lineRule="auto"/>
              <w:rPr>
                <w:rFonts w:ascii="Arial Narrow" w:hAnsi="Arial Narrow" w:cs="Arial Narrow"/>
              </w:rPr>
            </w:pPr>
            <w:r>
              <w:rPr>
                <w:rFonts w:ascii="Arial Narrow" w:hAnsi="Arial Narrow" w:cs="Arial Narrow"/>
                <w:b/>
                <w:noProof/>
                <w:sz w:val="16"/>
                <w:szCs w:val="16"/>
                <w:rtl w:val="0"/>
              </w:rPr>
              <w:pict>
                <v:shape id="Obrázok 2" o:spid="_x0000_i1029" type="#_x0000_t75" style="width:201.1pt;height:143.36pt;visibility:visible" filled="f" stroked="f">
                  <v:fill o:detectmouseclick="f"/>
                  <v:imagedata r:id="rId10" o:title=""/>
                  <o:lock v:ext="edit" aspectratio="t"/>
                </v:shape>
              </w:pict>
            </w:r>
          </w:p>
        </w:tc>
        <w:tc>
          <w:tcPr>
            <w:tcW w:w="284" w:type="dxa"/>
            <w:tcBorders>
              <w:top w:val="nil"/>
              <w:left w:val="nil"/>
              <w:bottom w:val="nil"/>
              <w:right w:val="nil"/>
            </w:tcBorders>
            <w:textDirection w:val="lrTb"/>
            <w:vAlign w:val="center"/>
          </w:tcPr>
          <w:p w:rsidR="00403E79" w:rsidRPr="005D5374" w:rsidP="00BE03CA">
            <w:pPr>
              <w:keepNext/>
              <w:keepLines/>
              <w:widowControl w:val="0"/>
              <w:bidi w:val="0"/>
              <w:spacing w:after="0" w:line="240" w:lineRule="auto"/>
              <w:rPr>
                <w:rFonts w:ascii="Arial Narrow" w:hAnsi="Arial Narrow" w:cs="Arial Narrow"/>
                <w:b/>
                <w:bCs/>
                <w:sz w:val="16"/>
                <w:szCs w:val="16"/>
              </w:rPr>
            </w:pPr>
          </w:p>
        </w:tc>
        <w:tc>
          <w:tcPr>
            <w:tcW w:w="4253" w:type="dxa"/>
            <w:tcBorders>
              <w:top w:val="nil"/>
              <w:left w:val="nil"/>
              <w:bottom w:val="single" w:sz="4" w:space="0" w:color="auto"/>
              <w:right w:val="nil"/>
            </w:tcBorders>
            <w:textDirection w:val="lrTb"/>
            <w:vAlign w:val="top"/>
          </w:tcPr>
          <w:p w:rsidR="00403E79" w:rsidRPr="005D5374" w:rsidP="00BE03CA">
            <w:pPr>
              <w:keepNext/>
              <w:keepLines/>
              <w:widowControl w:val="0"/>
              <w:bidi w:val="0"/>
              <w:spacing w:after="0" w:line="240" w:lineRule="auto"/>
              <w:rPr>
                <w:rFonts w:ascii="Arial Narrow" w:hAnsi="Arial Narrow" w:cs="Arial Narrow"/>
                <w:b/>
                <w:bCs/>
                <w:sz w:val="16"/>
                <w:szCs w:val="16"/>
              </w:rPr>
            </w:pPr>
            <w:r>
              <w:rPr>
                <w:rFonts w:ascii="Arial Narrow" w:hAnsi="Arial Narrow" w:cs="Arial Narrow"/>
                <w:b/>
                <w:noProof/>
                <w:sz w:val="16"/>
                <w:szCs w:val="16"/>
                <w:rtl w:val="0"/>
              </w:rPr>
              <w:pict>
                <v:shape id="Obrázok 1" o:spid="_x0000_i1030" type="#_x0000_t75" style="width:200.36pt;height:150pt;visibility:visible" filled="f" stroked="f">
                  <v:fill o:detectmouseclick="f"/>
                  <v:imagedata r:id="rId11" o:title=""/>
                  <o:lock v:ext="edit" aspectratio="t"/>
                </v:shape>
              </w:pict>
            </w:r>
          </w:p>
        </w:tc>
      </w:tr>
      <w:tr>
        <w:tblPrEx>
          <w:tblW w:w="0" w:type="auto"/>
          <w:jc w:val="center"/>
          <w:tblLayout w:type="fixed"/>
          <w:tblLook w:val="01E0"/>
        </w:tblPrEx>
        <w:trPr>
          <w:trHeight w:val="240"/>
          <w:jc w:val="center"/>
        </w:trPr>
        <w:tc>
          <w:tcPr>
            <w:tcW w:w="4253" w:type="dxa"/>
            <w:tcBorders>
              <w:top w:val="single" w:sz="4" w:space="0" w:color="auto"/>
              <w:left w:val="nil"/>
              <w:bottom w:val="nil"/>
              <w:right w:val="nil"/>
            </w:tcBorders>
            <w:textDirection w:val="lrTb"/>
            <w:vAlign w:val="center"/>
          </w:tcPr>
          <w:p w:rsidR="00403E79" w:rsidRPr="005D5374" w:rsidP="00BE03CA">
            <w:pPr>
              <w:keepNext/>
              <w:keepLines/>
              <w:widowControl w:val="0"/>
              <w:bidi w:val="0"/>
              <w:spacing w:after="0" w:line="240" w:lineRule="auto"/>
              <w:jc w:val="right"/>
              <w:rPr>
                <w:rFonts w:ascii="Arial Narrow" w:hAnsi="Arial Narrow" w:cs="Arial Narrow"/>
                <w:i/>
                <w:iCs/>
                <w:sz w:val="16"/>
                <w:szCs w:val="16"/>
              </w:rPr>
            </w:pPr>
            <w:r w:rsidRPr="005D5374">
              <w:rPr>
                <w:rFonts w:ascii="Arial Narrow" w:hAnsi="Arial Narrow" w:cs="Arial Narrow"/>
                <w:i/>
                <w:iCs/>
                <w:sz w:val="16"/>
                <w:szCs w:val="16"/>
              </w:rPr>
              <w:t>Zdroj: ŠÚ SR, MF SR</w:t>
            </w:r>
          </w:p>
        </w:tc>
        <w:tc>
          <w:tcPr>
            <w:tcW w:w="284" w:type="dxa"/>
            <w:tcBorders>
              <w:top w:val="nil"/>
              <w:left w:val="nil"/>
              <w:bottom w:val="nil"/>
              <w:right w:val="nil"/>
            </w:tcBorders>
            <w:textDirection w:val="lrTb"/>
            <w:vAlign w:val="center"/>
          </w:tcPr>
          <w:p w:rsidR="00403E79" w:rsidRPr="005D5374" w:rsidP="00BE03CA">
            <w:pPr>
              <w:keepNext/>
              <w:keepLines/>
              <w:widowControl w:val="0"/>
              <w:bidi w:val="0"/>
              <w:spacing w:after="0" w:line="240" w:lineRule="auto"/>
              <w:jc w:val="right"/>
              <w:rPr>
                <w:rFonts w:ascii="Arial Narrow" w:hAnsi="Arial Narrow" w:cs="Arial Narrow"/>
                <w:i/>
                <w:iCs/>
                <w:sz w:val="16"/>
                <w:szCs w:val="16"/>
              </w:rPr>
            </w:pPr>
          </w:p>
        </w:tc>
        <w:tc>
          <w:tcPr>
            <w:tcW w:w="4253" w:type="dxa"/>
            <w:tcBorders>
              <w:top w:val="single" w:sz="4" w:space="0" w:color="auto"/>
              <w:left w:val="nil"/>
              <w:bottom w:val="nil"/>
              <w:right w:val="nil"/>
            </w:tcBorders>
            <w:textDirection w:val="lrTb"/>
            <w:vAlign w:val="center"/>
          </w:tcPr>
          <w:p w:rsidR="00403E79" w:rsidRPr="005D5374" w:rsidP="00BE03CA">
            <w:pPr>
              <w:keepNext/>
              <w:keepLines/>
              <w:widowControl w:val="0"/>
              <w:bidi w:val="0"/>
              <w:spacing w:after="0" w:line="240" w:lineRule="auto"/>
              <w:jc w:val="right"/>
              <w:rPr>
                <w:rFonts w:ascii="Arial Narrow" w:hAnsi="Arial Narrow" w:cs="Arial Narrow"/>
                <w:i/>
                <w:iCs/>
                <w:sz w:val="16"/>
                <w:szCs w:val="16"/>
              </w:rPr>
            </w:pPr>
            <w:r w:rsidRPr="005D5374">
              <w:rPr>
                <w:rFonts w:ascii="Arial Narrow" w:hAnsi="Arial Narrow" w:cs="Arial Narrow"/>
                <w:i/>
                <w:iCs/>
                <w:sz w:val="16"/>
                <w:szCs w:val="16"/>
              </w:rPr>
              <w:t>Zdroj: ŠÚ SR, MF SR</w:t>
            </w:r>
          </w:p>
        </w:tc>
      </w:tr>
    </w:tbl>
    <w:p w:rsidR="00403E79" w:rsidRPr="00062A61" w:rsidP="00403E79">
      <w:pPr>
        <w:bidi w:val="0"/>
        <w:rPr>
          <w:sz w:val="16"/>
          <w:szCs w:val="16"/>
        </w:rPr>
      </w:pPr>
    </w:p>
    <w:p w:rsidR="00403E79" w:rsidP="00403E79">
      <w:pPr>
        <w:pStyle w:val="Heading2"/>
        <w:numPr>
          <w:ilvl w:val="1"/>
          <w:numId w:val="2"/>
        </w:numPr>
        <w:bidi w:val="0"/>
        <w:rPr>
          <w:rFonts w:ascii="Arial Narrow" w:hAnsi="Arial Narrow" w:cs="Arial Narrow"/>
          <w:i w:val="0"/>
          <w:iCs w:val="0"/>
        </w:rPr>
      </w:pPr>
      <w:bookmarkStart w:id="45" w:name="_Toc109546062"/>
      <w:bookmarkStart w:id="46" w:name="_Toc172367398"/>
      <w:bookmarkStart w:id="47" w:name="_Toc180304890"/>
      <w:bookmarkStart w:id="48" w:name="_Toc299709424"/>
      <w:r w:rsidRPr="00AB4446">
        <w:rPr>
          <w:rFonts w:ascii="Arial Narrow" w:hAnsi="Arial Narrow" w:cs="Arial Narrow"/>
          <w:i w:val="0"/>
          <w:iCs w:val="0"/>
        </w:rPr>
        <w:t>Aktualizácia makroekonomických prognóz</w:t>
      </w:r>
      <w:bookmarkEnd w:id="45"/>
      <w:bookmarkEnd w:id="46"/>
      <w:bookmarkEnd w:id="47"/>
      <w:bookmarkEnd w:id="48"/>
      <w:r w:rsidRPr="00AB4446">
        <w:rPr>
          <w:rFonts w:ascii="Arial Narrow" w:hAnsi="Arial Narrow" w:cs="Arial Narrow"/>
          <w:i w:val="0"/>
          <w:iCs w:val="0"/>
        </w:rPr>
        <w:t xml:space="preserve"> </w:t>
      </w:r>
    </w:p>
    <w:p w:rsidR="00403E79" w:rsidRPr="0006729E" w:rsidP="00403E79">
      <w:pPr>
        <w:bidi w:val="0"/>
        <w:rPr>
          <w:sz w:val="16"/>
          <w:szCs w:val="16"/>
        </w:rPr>
      </w:pPr>
    </w:p>
    <w:p w:rsidR="00403E79" w:rsidP="00403E79">
      <w:pPr>
        <w:bidi w:val="0"/>
        <w:jc w:val="both"/>
        <w:rPr>
          <w:rFonts w:ascii="Arial Narrow" w:hAnsi="Arial Narrow" w:cs="Arial Narrow"/>
        </w:rPr>
      </w:pPr>
      <w:r>
        <w:rPr>
          <w:rFonts w:ascii="Arial Narrow" w:hAnsi="Arial Narrow" w:cs="Arial Narrow"/>
        </w:rPr>
        <w:t>Podľa posledných prognóz MF SR z júna sa očakáva, že rast HDP v 2011</w:t>
      </w:r>
      <w:r w:rsidRPr="00B728A7">
        <w:rPr>
          <w:rFonts w:ascii="Arial Narrow" w:hAnsi="Arial Narrow" w:cs="Arial Narrow"/>
        </w:rPr>
        <w:t xml:space="preserve"> dosiahne úroveň </w:t>
      </w:r>
      <w:r>
        <w:rPr>
          <w:rFonts w:ascii="Arial Narrow" w:hAnsi="Arial Narrow" w:cs="Arial Narrow"/>
        </w:rPr>
        <w:t>3,6</w:t>
      </w:r>
      <w:r w:rsidRPr="00B728A7">
        <w:rPr>
          <w:rFonts w:ascii="Arial Narrow" w:hAnsi="Arial Narrow" w:cs="Arial Narrow"/>
        </w:rPr>
        <w:t>%, čo je v porovnaní s p</w:t>
      </w:r>
      <w:r>
        <w:rPr>
          <w:rFonts w:ascii="Arial Narrow" w:hAnsi="Arial Narrow" w:cs="Arial Narrow"/>
        </w:rPr>
        <w:t>redpokladmi rozpočtu na rok 2011</w:t>
      </w:r>
      <w:r w:rsidRPr="00B728A7">
        <w:rPr>
          <w:rFonts w:ascii="Arial Narrow" w:hAnsi="Arial Narrow" w:cs="Arial Narrow"/>
        </w:rPr>
        <w:t xml:space="preserve"> o</w:t>
      </w:r>
      <w:r>
        <w:rPr>
          <w:rFonts w:ascii="Arial Narrow" w:hAnsi="Arial Narrow" w:cs="Arial Narrow"/>
        </w:rPr>
        <w:t xml:space="preserve"> 0,3 p.b. viac. </w:t>
      </w:r>
      <w:r w:rsidRPr="00FD50AF">
        <w:rPr>
          <w:rFonts w:ascii="Arial Narrow" w:hAnsi="Arial Narrow" w:cs="Arial Narrow"/>
        </w:rPr>
        <w:t xml:space="preserve">Príčinou rýchlejšieho rastu je </w:t>
      </w:r>
      <w:r>
        <w:rPr>
          <w:rFonts w:ascii="Arial Narrow" w:hAnsi="Arial Narrow" w:cs="Arial Narrow"/>
        </w:rPr>
        <w:t xml:space="preserve">najmä rýchlejšie </w:t>
      </w:r>
      <w:r w:rsidRPr="00FD50AF">
        <w:rPr>
          <w:rFonts w:ascii="Arial Narrow" w:hAnsi="Arial Narrow" w:cs="Arial Narrow"/>
        </w:rPr>
        <w:t>oživenie dopytu u našich zahraničných obchodných partnerov,</w:t>
      </w:r>
      <w:r>
        <w:rPr>
          <w:rFonts w:ascii="Arial Narrow" w:hAnsi="Arial Narrow" w:cs="Arial Narrow"/>
        </w:rPr>
        <w:t xml:space="preserve"> najmä Nemecka, čo zlepšuje</w:t>
      </w:r>
      <w:r w:rsidRPr="00FD50AF">
        <w:rPr>
          <w:rFonts w:ascii="Arial Narrow" w:hAnsi="Arial Narrow" w:cs="Arial Narrow"/>
        </w:rPr>
        <w:t xml:space="preserve"> </w:t>
      </w:r>
      <w:r>
        <w:rPr>
          <w:rFonts w:ascii="Arial Narrow" w:hAnsi="Arial Narrow" w:cs="Arial Narrow"/>
        </w:rPr>
        <w:t>predpoklady</w:t>
      </w:r>
      <w:r w:rsidRPr="00FD50AF">
        <w:rPr>
          <w:rFonts w:ascii="Arial Narrow" w:hAnsi="Arial Narrow" w:cs="Arial Narrow"/>
        </w:rPr>
        <w:t xml:space="preserve"> o rastoch slovenských vývozov. </w:t>
      </w:r>
      <w:r w:rsidRPr="000336FC">
        <w:rPr>
          <w:rFonts w:ascii="Arial Narrow" w:hAnsi="Arial Narrow" w:cs="Arial Narrow"/>
          <w:b/>
        </w:rPr>
        <w:t>Z pohľadu daňových a odvodových príjmov je štruktúra ekonomického rastu oproti predpokladom rozpočtu mierne pozitívnejšia</w:t>
      </w:r>
      <w:r>
        <w:rPr>
          <w:rFonts w:ascii="Arial Narrow" w:hAnsi="Arial Narrow" w:cs="Arial Narrow"/>
        </w:rPr>
        <w:t xml:space="preserve">, keď sa očakáva výrazne </w:t>
      </w:r>
      <w:r w:rsidRPr="000336FC">
        <w:rPr>
          <w:rFonts w:ascii="Arial Narrow" w:hAnsi="Arial Narrow" w:cs="Arial Narrow"/>
          <w:b/>
        </w:rPr>
        <w:t>vyšší rast zamestnanosti</w:t>
      </w:r>
      <w:r>
        <w:rPr>
          <w:rFonts w:ascii="Arial Narrow" w:hAnsi="Arial Narrow" w:cs="Arial Narrow"/>
        </w:rPr>
        <w:t>, ktorý aj napriek nižším mzdám prispeje k </w:t>
      </w:r>
      <w:r w:rsidRPr="000336FC">
        <w:rPr>
          <w:rFonts w:ascii="Arial Narrow" w:hAnsi="Arial Narrow" w:cs="Arial Narrow"/>
          <w:b/>
        </w:rPr>
        <w:t>vyššej spotrebe domácností</w:t>
      </w:r>
      <w:r>
        <w:rPr>
          <w:rFonts w:ascii="Arial Narrow" w:hAnsi="Arial Narrow" w:cs="Arial Narrow"/>
        </w:rPr>
        <w:t>. S</w:t>
      </w:r>
      <w:r w:rsidRPr="00C0521E">
        <w:rPr>
          <w:rFonts w:ascii="Arial Narrow" w:hAnsi="Arial Narrow" w:cs="Arial Narrow"/>
        </w:rPr>
        <w:t xml:space="preserve">lovenské domácnosti </w:t>
      </w:r>
      <w:r>
        <w:rPr>
          <w:rFonts w:ascii="Arial Narrow" w:hAnsi="Arial Narrow" w:cs="Arial Narrow"/>
        </w:rPr>
        <w:t xml:space="preserve">minú </w:t>
      </w:r>
      <w:r w:rsidRPr="00C0521E">
        <w:rPr>
          <w:rFonts w:ascii="Arial Narrow" w:hAnsi="Arial Narrow" w:cs="Arial Narrow"/>
        </w:rPr>
        <w:t xml:space="preserve">na svoju spotrebu reálne o 0,5 % viac ako počas minulého roka. Nízka spotrebiteľská dôvera však bude aj naďalej ovplyvňovať mieru úspor, ktorá ostane </w:t>
      </w:r>
      <w:r>
        <w:rPr>
          <w:rFonts w:ascii="Arial Narrow" w:hAnsi="Arial Narrow" w:cs="Arial Narrow"/>
        </w:rPr>
        <w:t xml:space="preserve">aj naďalej </w:t>
      </w:r>
      <w:r w:rsidRPr="00C0521E">
        <w:rPr>
          <w:rFonts w:ascii="Arial Narrow" w:hAnsi="Arial Narrow" w:cs="Arial Narrow"/>
        </w:rPr>
        <w:t>na relatívne vysokých úrovniach.</w:t>
      </w:r>
      <w:r>
        <w:rPr>
          <w:rFonts w:ascii="Arial Narrow" w:hAnsi="Arial Narrow" w:cs="Arial Narrow"/>
        </w:rPr>
        <w:t xml:space="preserve"> </w:t>
      </w:r>
      <w:r w:rsidRPr="00165454">
        <w:rPr>
          <w:rFonts w:ascii="Arial Narrow" w:hAnsi="Arial Narrow" w:cs="Arial Narrow"/>
        </w:rPr>
        <w:t>V nasledujúcich rokoch sa predpokladá, že ekonomika bud</w:t>
      </w:r>
      <w:r>
        <w:rPr>
          <w:rFonts w:ascii="Arial Narrow" w:hAnsi="Arial Narrow" w:cs="Arial Narrow"/>
        </w:rPr>
        <w:t>e aj naďalej rásť tempom presahujúcim 4%.</w:t>
      </w:r>
      <w:r w:rsidRPr="00165454">
        <w:rPr>
          <w:rFonts w:ascii="Arial Narrow" w:hAnsi="Arial Narrow" w:cs="Arial Narrow"/>
        </w:rPr>
        <w:t xml:space="preserve"> </w:t>
      </w:r>
    </w:p>
    <w:p w:rsidR="00403E79" w:rsidP="00403E79">
      <w:pPr>
        <w:bidi w:val="0"/>
        <w:jc w:val="both"/>
        <w:rPr>
          <w:rFonts w:ascii="Arial Narrow" w:hAnsi="Arial Narrow" w:cs="Arial Narrow"/>
        </w:rPr>
      </w:pPr>
    </w:p>
    <w:p w:rsidR="00403E79" w:rsidRPr="0006729E" w:rsidP="00403E79">
      <w:pPr>
        <w:bidi w:val="0"/>
        <w:jc w:val="both"/>
        <w:rPr>
          <w:rFonts w:ascii="Arial Narrow" w:hAnsi="Arial Narrow" w:cs="Arial Narrow"/>
          <w:color w:val="000000"/>
          <w:sz w:val="16"/>
          <w:szCs w:val="16"/>
        </w:rPr>
      </w:pPr>
    </w:p>
    <w:tbl>
      <w:tblPr>
        <w:tblStyle w:val="TableNormal"/>
        <w:tblW w:w="5000" w:type="pct"/>
        <w:jc w:val="center"/>
        <w:tblCellMar>
          <w:left w:w="0" w:type="dxa"/>
          <w:right w:w="0" w:type="dxa"/>
        </w:tblCellMar>
      </w:tblPr>
      <w:tblGrid>
        <w:gridCol w:w="4774"/>
        <w:gridCol w:w="1473"/>
        <w:gridCol w:w="1426"/>
        <w:gridCol w:w="1399"/>
      </w:tblGrid>
      <w:tr>
        <w:tblPrEx>
          <w:tblW w:w="5000" w:type="pct"/>
          <w:jc w:val="center"/>
          <w:tblCellMar>
            <w:left w:w="0" w:type="dxa"/>
            <w:right w:w="0" w:type="dxa"/>
          </w:tblCellMar>
        </w:tblPrEx>
        <w:trPr>
          <w:trHeight w:val="255"/>
          <w:jc w:val="center"/>
        </w:trPr>
        <w:tc>
          <w:tcPr>
            <w:tcW w:w="5000" w:type="pct"/>
            <w:gridSpan w:val="4"/>
            <w:tcBorders>
              <w:top w:val="nil"/>
              <w:left w:val="nil"/>
              <w:bottom w:val="nil"/>
              <w:right w:val="nil"/>
            </w:tcBorders>
            <w:shd w:val="clear" w:color="auto" w:fill="000000"/>
            <w:textDirection w:val="lrTb"/>
            <w:vAlign w:val="center"/>
          </w:tcPr>
          <w:p w:rsidR="00403E79" w:rsidRPr="005D5374" w:rsidP="00BE03CA">
            <w:pPr>
              <w:pStyle w:val="BodyText"/>
              <w:bidi w:val="0"/>
              <w:spacing w:before="20" w:after="20" w:line="240" w:lineRule="auto"/>
              <w:jc w:val="both"/>
              <w:rPr>
                <w:rFonts w:ascii="Arial Narrow" w:hAnsi="Arial Narrow" w:cs="Arial Narrow"/>
                <w:b/>
                <w:bCs/>
                <w:color w:val="FFFFFF"/>
                <w:sz w:val="18"/>
                <w:szCs w:val="18"/>
              </w:rPr>
            </w:pPr>
            <w:r w:rsidRPr="005D5374">
              <w:rPr>
                <w:rFonts w:ascii="Arial Narrow" w:hAnsi="Arial Narrow" w:cs="Arial Narrow"/>
                <w:b/>
                <w:bCs/>
                <w:color w:val="FFFFFF"/>
                <w:sz w:val="18"/>
                <w:szCs w:val="18"/>
              </w:rPr>
              <w:t>Aktualizácia prognóz na rok 20</w:t>
            </w:r>
            <w:r>
              <w:rPr>
                <w:rFonts w:ascii="Arial Narrow" w:hAnsi="Arial Narrow" w:cs="Arial Narrow"/>
                <w:b/>
                <w:bCs/>
                <w:color w:val="FFFFFF"/>
                <w:sz w:val="18"/>
                <w:szCs w:val="18"/>
              </w:rPr>
              <w:t xml:space="preserve">11 </w:t>
            </w:r>
          </w:p>
        </w:tc>
      </w:tr>
      <w:tr>
        <w:tblPrEx>
          <w:tblW w:w="5000" w:type="pct"/>
          <w:jc w:val="center"/>
          <w:tblCellMar>
            <w:left w:w="0" w:type="dxa"/>
            <w:right w:w="0" w:type="dxa"/>
          </w:tblCellMar>
        </w:tblPrEx>
        <w:trPr>
          <w:trHeight w:hRule="exact" w:val="227"/>
          <w:jc w:val="center"/>
        </w:trPr>
        <w:tc>
          <w:tcPr>
            <w:tcW w:w="2631" w:type="pct"/>
            <w:tcBorders>
              <w:top w:val="nil"/>
              <w:left w:val="nil"/>
              <w:bottom w:val="single" w:sz="4" w:space="0" w:color="auto"/>
              <w:right w:val="nil"/>
            </w:tcBorders>
            <w:shd w:val="clear" w:color="auto" w:fill="C0C0C0"/>
            <w:textDirection w:val="lrTb"/>
            <w:vAlign w:val="center"/>
          </w:tcPr>
          <w:p w:rsidR="00403E79" w:rsidRPr="005D5374" w:rsidP="00BE03CA">
            <w:pPr>
              <w:bidi w:val="0"/>
              <w:spacing w:before="20" w:after="20" w:line="240" w:lineRule="auto"/>
              <w:rPr>
                <w:rFonts w:ascii="Arial Narrow" w:hAnsi="Arial Narrow" w:cs="Arial Narrow"/>
                <w:b/>
                <w:bCs/>
                <w:sz w:val="18"/>
                <w:szCs w:val="18"/>
              </w:rPr>
            </w:pPr>
            <w:r>
              <w:rPr>
                <w:rFonts w:ascii="Arial Narrow" w:hAnsi="Arial Narrow" w:cs="Arial Narrow"/>
                <w:b/>
                <w:bCs/>
                <w:sz w:val="18"/>
                <w:szCs w:val="18"/>
              </w:rPr>
              <w:t xml:space="preserve"> </w:t>
            </w:r>
            <w:r w:rsidRPr="005D5374">
              <w:rPr>
                <w:rFonts w:ascii="Arial Narrow" w:hAnsi="Arial Narrow" w:cs="Arial Narrow"/>
                <w:b/>
                <w:bCs/>
                <w:sz w:val="18"/>
                <w:szCs w:val="18"/>
              </w:rPr>
              <w:t>v %, ak nie je uvedené inak</w:t>
            </w:r>
          </w:p>
        </w:tc>
        <w:tc>
          <w:tcPr>
            <w:tcW w:w="812" w:type="pct"/>
            <w:tcBorders>
              <w:top w:val="nil"/>
              <w:left w:val="nil"/>
              <w:bottom w:val="single" w:sz="4" w:space="0" w:color="auto"/>
              <w:right w:val="nil"/>
            </w:tcBorders>
            <w:shd w:val="clear" w:color="auto" w:fill="C0C0C0"/>
            <w:textDirection w:val="lrTb"/>
            <w:vAlign w:val="center"/>
          </w:tcPr>
          <w:p w:rsidR="00403E79" w:rsidRPr="005D5374" w:rsidP="00BE03CA">
            <w:pPr>
              <w:bidi w:val="0"/>
              <w:spacing w:before="20" w:after="20" w:line="240" w:lineRule="auto"/>
              <w:jc w:val="center"/>
              <w:rPr>
                <w:rFonts w:ascii="Arial Narrow" w:hAnsi="Arial Narrow" w:cs="Arial Narrow"/>
                <w:b/>
                <w:bCs/>
                <w:sz w:val="18"/>
                <w:szCs w:val="18"/>
              </w:rPr>
            </w:pPr>
            <w:r>
              <w:rPr>
                <w:rFonts w:ascii="Arial Narrow" w:hAnsi="Arial Narrow" w:cs="Arial Narrow"/>
                <w:b/>
                <w:bCs/>
                <w:sz w:val="18"/>
                <w:szCs w:val="18"/>
              </w:rPr>
              <w:t>Rozpočet 2011</w:t>
            </w:r>
          </w:p>
        </w:tc>
        <w:tc>
          <w:tcPr>
            <w:tcW w:w="786" w:type="pct"/>
            <w:tcBorders>
              <w:top w:val="nil"/>
              <w:left w:val="nil"/>
              <w:bottom w:val="single" w:sz="4" w:space="0" w:color="auto"/>
              <w:right w:val="nil"/>
            </w:tcBorders>
            <w:shd w:val="clear" w:color="auto" w:fill="C0C0C0"/>
            <w:textDirection w:val="lrTb"/>
            <w:vAlign w:val="center"/>
          </w:tcPr>
          <w:p w:rsidR="00403E79" w:rsidRPr="005D5374" w:rsidP="00BE03CA">
            <w:pPr>
              <w:bidi w:val="0"/>
              <w:spacing w:before="20" w:after="20" w:line="240" w:lineRule="auto"/>
              <w:jc w:val="center"/>
              <w:rPr>
                <w:rFonts w:ascii="Arial Narrow" w:hAnsi="Arial Narrow" w:cs="Arial Narrow"/>
                <w:b/>
                <w:bCs/>
                <w:sz w:val="18"/>
                <w:szCs w:val="18"/>
              </w:rPr>
            </w:pPr>
            <w:r w:rsidRPr="005D5374">
              <w:rPr>
                <w:rFonts w:ascii="Arial Narrow" w:hAnsi="Arial Narrow" w:cs="Arial Narrow"/>
                <w:b/>
                <w:bCs/>
                <w:sz w:val="18"/>
                <w:szCs w:val="18"/>
              </w:rPr>
              <w:t>Aktuálny odhad</w:t>
            </w:r>
          </w:p>
        </w:tc>
        <w:tc>
          <w:tcPr>
            <w:tcW w:w="771" w:type="pct"/>
            <w:tcBorders>
              <w:top w:val="nil"/>
              <w:left w:val="nil"/>
              <w:bottom w:val="single" w:sz="4" w:space="0" w:color="auto"/>
              <w:right w:val="nil"/>
            </w:tcBorders>
            <w:shd w:val="clear" w:color="auto" w:fill="C0C0C0"/>
            <w:textDirection w:val="lrTb"/>
            <w:vAlign w:val="center"/>
          </w:tcPr>
          <w:p w:rsidR="00403E79" w:rsidRPr="005D5374" w:rsidP="00BE03CA">
            <w:pPr>
              <w:bidi w:val="0"/>
              <w:spacing w:before="20" w:after="20" w:line="240" w:lineRule="auto"/>
              <w:jc w:val="center"/>
              <w:rPr>
                <w:rFonts w:ascii="Arial Narrow" w:hAnsi="Arial Narrow" w:cs="Arial Narrow"/>
                <w:b/>
                <w:bCs/>
                <w:sz w:val="18"/>
                <w:szCs w:val="18"/>
              </w:rPr>
            </w:pPr>
            <w:r w:rsidRPr="005D5374">
              <w:rPr>
                <w:rFonts w:ascii="Arial Narrow" w:hAnsi="Arial Narrow" w:cs="Arial Narrow"/>
                <w:b/>
                <w:bCs/>
                <w:sz w:val="18"/>
                <w:szCs w:val="18"/>
              </w:rPr>
              <w:t>Rozdiel</w:t>
            </w:r>
          </w:p>
        </w:tc>
      </w:tr>
      <w:tr>
        <w:tblPrEx>
          <w:tblW w:w="5000" w:type="pct"/>
          <w:jc w:val="center"/>
          <w:tblCellMar>
            <w:left w:w="0" w:type="dxa"/>
            <w:right w:w="0" w:type="dxa"/>
          </w:tblCellMar>
        </w:tblPrEx>
        <w:trPr>
          <w:trHeight w:hRule="exact" w:val="227"/>
          <w:jc w:val="center"/>
        </w:trPr>
        <w:tc>
          <w:tcPr>
            <w:tcW w:w="2631" w:type="pct"/>
            <w:tcBorders>
              <w:top w:val="single" w:sz="4" w:space="0" w:color="auto"/>
              <w:left w:val="nil"/>
              <w:bottom w:val="nil"/>
              <w:right w:val="nil"/>
            </w:tcBorders>
            <w:textDirection w:val="lrTb"/>
            <w:vAlign w:val="center"/>
          </w:tcPr>
          <w:p w:rsidR="00403E79" w:rsidRPr="005D5374" w:rsidP="00BE03CA">
            <w:pPr>
              <w:tabs>
                <w:tab w:val="left" w:pos="3240"/>
              </w:tabs>
              <w:bidi w:val="0"/>
              <w:spacing w:before="20" w:after="20" w:line="240" w:lineRule="auto"/>
              <w:rPr>
                <w:rFonts w:ascii="Arial Narrow" w:hAnsi="Arial Narrow" w:cs="Arial Narrow"/>
                <w:sz w:val="18"/>
                <w:szCs w:val="18"/>
              </w:rPr>
            </w:pPr>
            <w:r>
              <w:rPr>
                <w:rFonts w:ascii="Arial Narrow" w:hAnsi="Arial Narrow" w:cs="Arial Narrow"/>
                <w:sz w:val="18"/>
                <w:szCs w:val="18"/>
              </w:rPr>
              <w:t xml:space="preserve"> </w:t>
            </w:r>
            <w:r w:rsidRPr="005D5374">
              <w:rPr>
                <w:rFonts w:ascii="Arial Narrow" w:hAnsi="Arial Narrow" w:cs="Arial Narrow"/>
                <w:sz w:val="18"/>
                <w:szCs w:val="18"/>
              </w:rPr>
              <w:t xml:space="preserve">Hrubý domáci produkt </w:t>
              <w:tab/>
              <w:t>reálny rast</w:t>
            </w:r>
          </w:p>
        </w:tc>
        <w:tc>
          <w:tcPr>
            <w:tcW w:w="812" w:type="pct"/>
            <w:tcBorders>
              <w:top w:val="single" w:sz="4" w:space="0" w:color="auto"/>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color w:val="000000"/>
                <w:sz w:val="18"/>
                <w:szCs w:val="18"/>
              </w:rPr>
            </w:pPr>
            <w:r w:rsidRPr="00293C33">
              <w:rPr>
                <w:rFonts w:ascii="Arial Narrow" w:hAnsi="Arial Narrow" w:cs="Arial Narrow"/>
                <w:color w:val="000000"/>
                <w:sz w:val="18"/>
                <w:szCs w:val="18"/>
              </w:rPr>
              <w:t>3</w:t>
            </w:r>
            <w:r>
              <w:rPr>
                <w:rFonts w:ascii="Arial Narrow" w:hAnsi="Arial Narrow" w:cs="Arial Narrow"/>
                <w:color w:val="000000"/>
                <w:sz w:val="18"/>
                <w:szCs w:val="18"/>
              </w:rPr>
              <w:t>,</w:t>
            </w:r>
            <w:r w:rsidRPr="00293C33">
              <w:rPr>
                <w:rFonts w:ascii="Arial Narrow" w:hAnsi="Arial Narrow" w:cs="Arial Narrow"/>
                <w:color w:val="000000"/>
                <w:sz w:val="18"/>
                <w:szCs w:val="18"/>
              </w:rPr>
              <w:t>3</w:t>
            </w:r>
          </w:p>
        </w:tc>
        <w:tc>
          <w:tcPr>
            <w:tcW w:w="786" w:type="pct"/>
            <w:tcBorders>
              <w:top w:val="single" w:sz="4" w:space="0" w:color="auto"/>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sz w:val="18"/>
                <w:szCs w:val="18"/>
              </w:rPr>
            </w:pPr>
            <w:r w:rsidRPr="00293C33">
              <w:rPr>
                <w:rFonts w:ascii="Arial Narrow" w:hAnsi="Arial Narrow"/>
                <w:sz w:val="18"/>
                <w:szCs w:val="18"/>
              </w:rPr>
              <w:t>3</w:t>
            </w:r>
            <w:r>
              <w:rPr>
                <w:rFonts w:ascii="Arial Narrow" w:hAnsi="Arial Narrow"/>
                <w:sz w:val="18"/>
                <w:szCs w:val="18"/>
              </w:rPr>
              <w:t>,</w:t>
            </w:r>
            <w:r w:rsidRPr="00293C33">
              <w:rPr>
                <w:rFonts w:ascii="Arial Narrow" w:hAnsi="Arial Narrow"/>
                <w:sz w:val="18"/>
                <w:szCs w:val="18"/>
              </w:rPr>
              <w:t>6</w:t>
            </w:r>
          </w:p>
        </w:tc>
        <w:tc>
          <w:tcPr>
            <w:tcW w:w="771" w:type="pct"/>
            <w:tcBorders>
              <w:top w:val="single" w:sz="4" w:space="0" w:color="auto"/>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color w:val="000000"/>
                <w:sz w:val="18"/>
                <w:szCs w:val="18"/>
              </w:rPr>
            </w:pPr>
            <w:r w:rsidRPr="00293C33">
              <w:rPr>
                <w:rFonts w:ascii="Arial Narrow" w:hAnsi="Arial Narrow" w:cs="Arial Narrow"/>
                <w:color w:val="000000"/>
                <w:sz w:val="18"/>
                <w:szCs w:val="18"/>
              </w:rPr>
              <w:t>0</w:t>
            </w:r>
            <w:r>
              <w:rPr>
                <w:rFonts w:ascii="Arial Narrow" w:hAnsi="Arial Narrow" w:cs="Arial Narrow"/>
                <w:color w:val="000000"/>
                <w:sz w:val="18"/>
                <w:szCs w:val="18"/>
              </w:rPr>
              <w:t>,</w:t>
            </w:r>
            <w:r w:rsidRPr="00293C33">
              <w:rPr>
                <w:rFonts w:ascii="Arial Narrow" w:hAnsi="Arial Narrow" w:cs="Arial Narrow"/>
                <w:color w:val="000000"/>
                <w:sz w:val="18"/>
                <w:szCs w:val="18"/>
              </w:rPr>
              <w:t>3</w:t>
            </w:r>
          </w:p>
        </w:tc>
      </w:tr>
      <w:tr>
        <w:tblPrEx>
          <w:tblW w:w="5000" w:type="pct"/>
          <w:jc w:val="center"/>
          <w:tblCellMar>
            <w:left w:w="0" w:type="dxa"/>
            <w:right w:w="0" w:type="dxa"/>
          </w:tblCellMar>
        </w:tblPrEx>
        <w:trPr>
          <w:trHeight w:hRule="exact" w:val="227"/>
          <w:jc w:val="center"/>
        </w:trPr>
        <w:tc>
          <w:tcPr>
            <w:tcW w:w="2631" w:type="pct"/>
            <w:tcBorders>
              <w:top w:val="nil"/>
              <w:left w:val="nil"/>
              <w:bottom w:val="nil"/>
              <w:right w:val="nil"/>
            </w:tcBorders>
            <w:textDirection w:val="lrTb"/>
            <w:vAlign w:val="center"/>
          </w:tcPr>
          <w:p w:rsidR="00403E79" w:rsidRPr="005D5374" w:rsidP="00BE03CA">
            <w:pPr>
              <w:tabs>
                <w:tab w:val="left" w:pos="3240"/>
              </w:tabs>
              <w:bidi w:val="0"/>
              <w:spacing w:before="20" w:after="20" w:line="240" w:lineRule="auto"/>
              <w:rPr>
                <w:rFonts w:ascii="Arial Narrow" w:hAnsi="Arial Narrow" w:cs="Arial Narrow"/>
                <w:sz w:val="18"/>
                <w:szCs w:val="18"/>
              </w:rPr>
            </w:pPr>
            <w:r>
              <w:rPr>
                <w:rFonts w:ascii="Arial Narrow" w:hAnsi="Arial Narrow" w:cs="Arial Narrow"/>
                <w:sz w:val="18"/>
                <w:szCs w:val="18"/>
              </w:rPr>
              <w:t xml:space="preserve"> </w:t>
            </w:r>
            <w:r w:rsidRPr="005D5374">
              <w:rPr>
                <w:rFonts w:ascii="Arial Narrow" w:hAnsi="Arial Narrow" w:cs="Arial Narrow"/>
                <w:sz w:val="18"/>
                <w:szCs w:val="18"/>
              </w:rPr>
              <w:t xml:space="preserve">Hrubý domáci </w:t>
            </w:r>
            <w:r>
              <w:rPr>
                <w:rFonts w:ascii="Arial Narrow" w:hAnsi="Arial Narrow" w:cs="Arial Narrow"/>
                <w:sz w:val="18"/>
                <w:szCs w:val="18"/>
              </w:rPr>
              <w:t>produkt v bežných cenách</w:t>
              <w:tab/>
              <w:t>mld. eur</w:t>
            </w:r>
          </w:p>
        </w:tc>
        <w:tc>
          <w:tcPr>
            <w:tcW w:w="812"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bCs/>
                <w:iCs/>
                <w:sz w:val="18"/>
                <w:szCs w:val="18"/>
              </w:rPr>
            </w:pPr>
            <w:r w:rsidRPr="00293C33">
              <w:rPr>
                <w:rFonts w:ascii="Arial Narrow" w:hAnsi="Arial Narrow"/>
                <w:bCs/>
                <w:iCs/>
                <w:sz w:val="18"/>
                <w:szCs w:val="18"/>
              </w:rPr>
              <w:t>70</w:t>
            </w:r>
            <w:r>
              <w:rPr>
                <w:rFonts w:ascii="Arial Narrow" w:hAnsi="Arial Narrow"/>
                <w:bCs/>
                <w:iCs/>
                <w:sz w:val="18"/>
                <w:szCs w:val="18"/>
              </w:rPr>
              <w:t>,2</w:t>
            </w:r>
          </w:p>
        </w:tc>
        <w:tc>
          <w:tcPr>
            <w:tcW w:w="786"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bCs/>
                <w:sz w:val="18"/>
                <w:szCs w:val="18"/>
              </w:rPr>
            </w:pPr>
            <w:r w:rsidRPr="00293C33">
              <w:rPr>
                <w:rFonts w:ascii="Arial Narrow" w:hAnsi="Arial Narrow"/>
                <w:bCs/>
                <w:sz w:val="18"/>
                <w:szCs w:val="18"/>
              </w:rPr>
              <w:t>69</w:t>
            </w:r>
            <w:r>
              <w:rPr>
                <w:rFonts w:ascii="Arial Narrow" w:hAnsi="Arial Narrow"/>
                <w:bCs/>
                <w:sz w:val="18"/>
                <w:szCs w:val="18"/>
              </w:rPr>
              <w:t>,7</w:t>
            </w:r>
          </w:p>
        </w:tc>
        <w:tc>
          <w:tcPr>
            <w:tcW w:w="771"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color w:val="000000"/>
                <w:sz w:val="18"/>
                <w:szCs w:val="18"/>
              </w:rPr>
            </w:pPr>
            <w:r w:rsidRPr="00293C33">
              <w:rPr>
                <w:rFonts w:ascii="Arial Narrow" w:hAnsi="Arial Narrow" w:cs="Arial Narrow"/>
                <w:color w:val="000000"/>
                <w:sz w:val="18"/>
                <w:szCs w:val="18"/>
              </w:rPr>
              <w:t>-0</w:t>
            </w:r>
            <w:r>
              <w:rPr>
                <w:rFonts w:ascii="Arial Narrow" w:hAnsi="Arial Narrow" w:cs="Arial Narrow"/>
                <w:color w:val="000000"/>
                <w:sz w:val="18"/>
                <w:szCs w:val="18"/>
              </w:rPr>
              <w:t>,</w:t>
            </w:r>
            <w:r w:rsidRPr="00293C33">
              <w:rPr>
                <w:rFonts w:ascii="Arial Narrow" w:hAnsi="Arial Narrow" w:cs="Arial Narrow"/>
                <w:color w:val="000000"/>
                <w:sz w:val="18"/>
                <w:szCs w:val="18"/>
              </w:rPr>
              <w:t>5</w:t>
            </w:r>
          </w:p>
        </w:tc>
      </w:tr>
      <w:tr>
        <w:tblPrEx>
          <w:tblW w:w="5000" w:type="pct"/>
          <w:jc w:val="center"/>
          <w:tblCellMar>
            <w:left w:w="0" w:type="dxa"/>
            <w:right w:w="0" w:type="dxa"/>
          </w:tblCellMar>
        </w:tblPrEx>
        <w:trPr>
          <w:trHeight w:hRule="exact" w:val="227"/>
          <w:jc w:val="center"/>
        </w:trPr>
        <w:tc>
          <w:tcPr>
            <w:tcW w:w="2631" w:type="pct"/>
            <w:tcBorders>
              <w:top w:val="nil"/>
              <w:left w:val="nil"/>
              <w:bottom w:val="nil"/>
              <w:right w:val="nil"/>
            </w:tcBorders>
            <w:textDirection w:val="lrTb"/>
            <w:vAlign w:val="center"/>
          </w:tcPr>
          <w:p w:rsidR="00403E79" w:rsidRPr="005D5374" w:rsidP="00BE03CA">
            <w:pPr>
              <w:tabs>
                <w:tab w:val="left" w:pos="3240"/>
              </w:tabs>
              <w:bidi w:val="0"/>
              <w:spacing w:before="20" w:after="20" w:line="240" w:lineRule="auto"/>
              <w:rPr>
                <w:rFonts w:ascii="Arial Narrow" w:hAnsi="Arial Narrow" w:cs="Arial Narrow"/>
                <w:sz w:val="18"/>
                <w:szCs w:val="18"/>
              </w:rPr>
            </w:pPr>
            <w:r>
              <w:rPr>
                <w:rFonts w:ascii="Arial Narrow" w:hAnsi="Arial Narrow" w:cs="Arial Narrow"/>
                <w:sz w:val="18"/>
                <w:szCs w:val="18"/>
              </w:rPr>
              <w:t xml:space="preserve"> </w:t>
            </w:r>
            <w:r w:rsidRPr="005D5374">
              <w:rPr>
                <w:rFonts w:ascii="Arial Narrow" w:hAnsi="Arial Narrow" w:cs="Arial Narrow"/>
                <w:sz w:val="18"/>
                <w:szCs w:val="18"/>
              </w:rPr>
              <w:t>Konečná spotreba domácností</w:t>
              <w:tab/>
              <w:t>reálny rast</w:t>
            </w:r>
          </w:p>
        </w:tc>
        <w:tc>
          <w:tcPr>
            <w:tcW w:w="812"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sz w:val="18"/>
                <w:szCs w:val="18"/>
              </w:rPr>
            </w:pPr>
            <w:r w:rsidRPr="00293C33">
              <w:rPr>
                <w:rFonts w:ascii="Arial Narrow" w:hAnsi="Arial Narrow"/>
                <w:sz w:val="18"/>
                <w:szCs w:val="18"/>
              </w:rPr>
              <w:t>0</w:t>
            </w:r>
            <w:r>
              <w:rPr>
                <w:rFonts w:ascii="Arial Narrow" w:hAnsi="Arial Narrow"/>
                <w:sz w:val="18"/>
                <w:szCs w:val="18"/>
              </w:rPr>
              <w:t>,</w:t>
            </w:r>
            <w:r w:rsidRPr="00293C33">
              <w:rPr>
                <w:rFonts w:ascii="Arial Narrow" w:hAnsi="Arial Narrow"/>
                <w:sz w:val="18"/>
                <w:szCs w:val="18"/>
              </w:rPr>
              <w:t>4</w:t>
            </w:r>
          </w:p>
        </w:tc>
        <w:tc>
          <w:tcPr>
            <w:tcW w:w="786"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sz w:val="18"/>
                <w:szCs w:val="18"/>
              </w:rPr>
            </w:pPr>
            <w:r w:rsidRPr="00293C33">
              <w:rPr>
                <w:rFonts w:ascii="Arial Narrow" w:hAnsi="Arial Narrow"/>
                <w:sz w:val="18"/>
                <w:szCs w:val="18"/>
              </w:rPr>
              <w:t>0</w:t>
            </w:r>
            <w:r>
              <w:rPr>
                <w:rFonts w:ascii="Arial Narrow" w:hAnsi="Arial Narrow"/>
                <w:sz w:val="18"/>
                <w:szCs w:val="18"/>
              </w:rPr>
              <w:t>,</w:t>
            </w:r>
            <w:r w:rsidRPr="00293C33">
              <w:rPr>
                <w:rFonts w:ascii="Arial Narrow" w:hAnsi="Arial Narrow"/>
                <w:sz w:val="18"/>
                <w:szCs w:val="18"/>
              </w:rPr>
              <w:t>5</w:t>
            </w:r>
          </w:p>
        </w:tc>
        <w:tc>
          <w:tcPr>
            <w:tcW w:w="771"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color w:val="000000"/>
                <w:sz w:val="18"/>
                <w:szCs w:val="18"/>
              </w:rPr>
            </w:pPr>
            <w:r w:rsidRPr="00293C33">
              <w:rPr>
                <w:rFonts w:ascii="Arial Narrow" w:hAnsi="Arial Narrow" w:cs="Arial Narrow"/>
                <w:color w:val="000000"/>
                <w:sz w:val="18"/>
                <w:szCs w:val="18"/>
              </w:rPr>
              <w:t>0</w:t>
            </w:r>
            <w:r>
              <w:rPr>
                <w:rFonts w:ascii="Arial Narrow" w:hAnsi="Arial Narrow" w:cs="Arial Narrow"/>
                <w:color w:val="000000"/>
                <w:sz w:val="18"/>
                <w:szCs w:val="18"/>
              </w:rPr>
              <w:t>,</w:t>
            </w:r>
            <w:r w:rsidRPr="00293C33">
              <w:rPr>
                <w:rFonts w:ascii="Arial Narrow" w:hAnsi="Arial Narrow" w:cs="Arial Narrow"/>
                <w:color w:val="000000"/>
                <w:sz w:val="18"/>
                <w:szCs w:val="18"/>
              </w:rPr>
              <w:t>1</w:t>
            </w:r>
          </w:p>
        </w:tc>
      </w:tr>
      <w:tr>
        <w:tblPrEx>
          <w:tblW w:w="5000" w:type="pct"/>
          <w:jc w:val="center"/>
          <w:tblCellMar>
            <w:left w:w="0" w:type="dxa"/>
            <w:right w:w="0" w:type="dxa"/>
          </w:tblCellMar>
        </w:tblPrEx>
        <w:trPr>
          <w:trHeight w:hRule="exact" w:val="227"/>
          <w:jc w:val="center"/>
        </w:trPr>
        <w:tc>
          <w:tcPr>
            <w:tcW w:w="2631" w:type="pct"/>
            <w:tcBorders>
              <w:top w:val="nil"/>
              <w:left w:val="nil"/>
              <w:bottom w:val="nil"/>
              <w:right w:val="nil"/>
            </w:tcBorders>
            <w:textDirection w:val="lrTb"/>
            <w:vAlign w:val="center"/>
          </w:tcPr>
          <w:p w:rsidR="00403E79" w:rsidRPr="005D5374" w:rsidP="00BE03CA">
            <w:pPr>
              <w:tabs>
                <w:tab w:val="left" w:pos="3240"/>
              </w:tabs>
              <w:bidi w:val="0"/>
              <w:spacing w:before="20" w:after="20" w:line="240" w:lineRule="auto"/>
              <w:rPr>
                <w:rFonts w:ascii="Arial Narrow" w:hAnsi="Arial Narrow" w:cs="Arial Narrow"/>
                <w:sz w:val="18"/>
                <w:szCs w:val="18"/>
              </w:rPr>
            </w:pPr>
            <w:r>
              <w:rPr>
                <w:rFonts w:ascii="Arial Narrow" w:hAnsi="Arial Narrow" w:cs="Arial Narrow"/>
                <w:sz w:val="18"/>
                <w:szCs w:val="18"/>
              </w:rPr>
              <w:t xml:space="preserve"> </w:t>
            </w:r>
            <w:r w:rsidRPr="005D5374">
              <w:rPr>
                <w:rFonts w:ascii="Arial Narrow" w:hAnsi="Arial Narrow" w:cs="Arial Narrow"/>
                <w:sz w:val="18"/>
                <w:szCs w:val="18"/>
              </w:rPr>
              <w:t>Konečná spotreba domácností</w:t>
              <w:tab/>
              <w:t>nominálny rast</w:t>
            </w:r>
          </w:p>
        </w:tc>
        <w:tc>
          <w:tcPr>
            <w:tcW w:w="812"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sz w:val="18"/>
                <w:szCs w:val="18"/>
              </w:rPr>
            </w:pPr>
            <w:r w:rsidRPr="00293C33">
              <w:rPr>
                <w:rFonts w:ascii="Arial Narrow" w:hAnsi="Arial Narrow"/>
                <w:sz w:val="18"/>
                <w:szCs w:val="18"/>
              </w:rPr>
              <w:t>3</w:t>
            </w:r>
            <w:r>
              <w:rPr>
                <w:rFonts w:ascii="Arial Narrow" w:hAnsi="Arial Narrow"/>
                <w:sz w:val="18"/>
                <w:szCs w:val="18"/>
              </w:rPr>
              <w:t>,</w:t>
            </w:r>
            <w:r w:rsidRPr="00293C33">
              <w:rPr>
                <w:rFonts w:ascii="Arial Narrow" w:hAnsi="Arial Narrow"/>
                <w:sz w:val="18"/>
                <w:szCs w:val="18"/>
              </w:rPr>
              <w:t>9</w:t>
            </w:r>
          </w:p>
        </w:tc>
        <w:tc>
          <w:tcPr>
            <w:tcW w:w="786"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sz w:val="18"/>
                <w:szCs w:val="18"/>
              </w:rPr>
            </w:pPr>
            <w:r w:rsidRPr="00293C33">
              <w:rPr>
                <w:rFonts w:ascii="Arial Narrow" w:hAnsi="Arial Narrow"/>
                <w:sz w:val="18"/>
                <w:szCs w:val="18"/>
              </w:rPr>
              <w:t>4</w:t>
            </w:r>
            <w:r>
              <w:rPr>
                <w:rFonts w:ascii="Arial Narrow" w:hAnsi="Arial Narrow"/>
                <w:sz w:val="18"/>
                <w:szCs w:val="18"/>
              </w:rPr>
              <w:t>,</w:t>
            </w:r>
            <w:r w:rsidRPr="00293C33">
              <w:rPr>
                <w:rFonts w:ascii="Arial Narrow" w:hAnsi="Arial Narrow"/>
                <w:sz w:val="18"/>
                <w:szCs w:val="18"/>
              </w:rPr>
              <w:t>3</w:t>
            </w:r>
          </w:p>
        </w:tc>
        <w:tc>
          <w:tcPr>
            <w:tcW w:w="771"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color w:val="000000"/>
                <w:sz w:val="18"/>
                <w:szCs w:val="18"/>
              </w:rPr>
            </w:pPr>
            <w:r w:rsidRPr="00293C33">
              <w:rPr>
                <w:rFonts w:ascii="Arial Narrow" w:hAnsi="Arial Narrow" w:cs="Arial Narrow"/>
                <w:color w:val="000000"/>
                <w:sz w:val="18"/>
                <w:szCs w:val="18"/>
              </w:rPr>
              <w:t>0</w:t>
            </w:r>
            <w:r>
              <w:rPr>
                <w:rFonts w:ascii="Arial Narrow" w:hAnsi="Arial Narrow" w:cs="Arial Narrow"/>
                <w:color w:val="000000"/>
                <w:sz w:val="18"/>
                <w:szCs w:val="18"/>
              </w:rPr>
              <w:t>,</w:t>
            </w:r>
            <w:r w:rsidRPr="00293C33">
              <w:rPr>
                <w:rFonts w:ascii="Arial Narrow" w:hAnsi="Arial Narrow" w:cs="Arial Narrow"/>
                <w:color w:val="000000"/>
                <w:sz w:val="18"/>
                <w:szCs w:val="18"/>
              </w:rPr>
              <w:t>4</w:t>
            </w:r>
          </w:p>
        </w:tc>
      </w:tr>
      <w:tr>
        <w:tblPrEx>
          <w:tblW w:w="5000" w:type="pct"/>
          <w:jc w:val="center"/>
          <w:tblCellMar>
            <w:left w:w="0" w:type="dxa"/>
            <w:right w:w="0" w:type="dxa"/>
          </w:tblCellMar>
        </w:tblPrEx>
        <w:trPr>
          <w:trHeight w:hRule="exact" w:val="227"/>
          <w:jc w:val="center"/>
        </w:trPr>
        <w:tc>
          <w:tcPr>
            <w:tcW w:w="2631" w:type="pct"/>
            <w:tcBorders>
              <w:top w:val="nil"/>
              <w:left w:val="nil"/>
              <w:bottom w:val="nil"/>
              <w:right w:val="nil"/>
            </w:tcBorders>
            <w:textDirection w:val="lrTb"/>
            <w:vAlign w:val="center"/>
          </w:tcPr>
          <w:p w:rsidR="00403E79" w:rsidRPr="005D5374" w:rsidP="00BE03CA">
            <w:pPr>
              <w:tabs>
                <w:tab w:val="left" w:pos="3240"/>
              </w:tabs>
              <w:bidi w:val="0"/>
              <w:spacing w:before="20" w:after="20" w:line="240" w:lineRule="auto"/>
              <w:rPr>
                <w:rFonts w:ascii="Arial Narrow" w:hAnsi="Arial Narrow" w:cs="Arial Narrow"/>
                <w:sz w:val="18"/>
                <w:szCs w:val="18"/>
              </w:rPr>
            </w:pPr>
            <w:r>
              <w:rPr>
                <w:rFonts w:ascii="Arial Narrow" w:hAnsi="Arial Narrow" w:cs="Arial Narrow"/>
                <w:sz w:val="18"/>
                <w:szCs w:val="18"/>
              </w:rPr>
              <w:t xml:space="preserve"> </w:t>
            </w:r>
            <w:r w:rsidRPr="005D5374">
              <w:rPr>
                <w:rFonts w:ascii="Arial Narrow" w:hAnsi="Arial Narrow" w:cs="Arial Narrow"/>
                <w:sz w:val="18"/>
                <w:szCs w:val="18"/>
              </w:rPr>
              <w:t>Priemerná mesačná mzda</w:t>
              <w:tab/>
              <w:t>reálny rast</w:t>
            </w:r>
          </w:p>
        </w:tc>
        <w:tc>
          <w:tcPr>
            <w:tcW w:w="812"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sz w:val="18"/>
                <w:szCs w:val="18"/>
              </w:rPr>
            </w:pPr>
            <w:r w:rsidRPr="00293C33">
              <w:rPr>
                <w:rFonts w:ascii="Arial Narrow" w:hAnsi="Arial Narrow"/>
                <w:sz w:val="18"/>
                <w:szCs w:val="18"/>
              </w:rPr>
              <w:t>0</w:t>
            </w:r>
            <w:r>
              <w:rPr>
                <w:rFonts w:ascii="Arial Narrow" w:hAnsi="Arial Narrow"/>
                <w:sz w:val="18"/>
                <w:szCs w:val="18"/>
              </w:rPr>
              <w:t>,</w:t>
            </w:r>
            <w:r w:rsidRPr="00293C33">
              <w:rPr>
                <w:rFonts w:ascii="Arial Narrow" w:hAnsi="Arial Narrow"/>
                <w:sz w:val="18"/>
                <w:szCs w:val="18"/>
              </w:rPr>
              <w:t>0</w:t>
            </w:r>
          </w:p>
        </w:tc>
        <w:tc>
          <w:tcPr>
            <w:tcW w:w="786"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sz w:val="18"/>
                <w:szCs w:val="18"/>
              </w:rPr>
            </w:pPr>
            <w:r w:rsidRPr="00293C33">
              <w:rPr>
                <w:rFonts w:ascii="Arial Narrow" w:hAnsi="Arial Narrow"/>
                <w:sz w:val="18"/>
                <w:szCs w:val="18"/>
              </w:rPr>
              <w:t>-0</w:t>
            </w:r>
            <w:r>
              <w:rPr>
                <w:rFonts w:ascii="Arial Narrow" w:hAnsi="Arial Narrow"/>
                <w:sz w:val="18"/>
                <w:szCs w:val="18"/>
              </w:rPr>
              <w:t>,</w:t>
            </w:r>
            <w:r w:rsidRPr="00293C33">
              <w:rPr>
                <w:rFonts w:ascii="Arial Narrow" w:hAnsi="Arial Narrow"/>
                <w:sz w:val="18"/>
                <w:szCs w:val="18"/>
              </w:rPr>
              <w:t>6</w:t>
            </w:r>
          </w:p>
        </w:tc>
        <w:tc>
          <w:tcPr>
            <w:tcW w:w="771"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color w:val="000000"/>
                <w:sz w:val="18"/>
                <w:szCs w:val="18"/>
              </w:rPr>
            </w:pPr>
            <w:r w:rsidRPr="00293C33">
              <w:rPr>
                <w:rFonts w:ascii="Arial Narrow" w:hAnsi="Arial Narrow" w:cs="Arial Narrow"/>
                <w:color w:val="000000"/>
                <w:sz w:val="18"/>
                <w:szCs w:val="18"/>
              </w:rPr>
              <w:t>-0</w:t>
            </w:r>
            <w:r>
              <w:rPr>
                <w:rFonts w:ascii="Arial Narrow" w:hAnsi="Arial Narrow" w:cs="Arial Narrow"/>
                <w:color w:val="000000"/>
                <w:sz w:val="18"/>
                <w:szCs w:val="18"/>
              </w:rPr>
              <w:t>,</w:t>
            </w:r>
            <w:r w:rsidRPr="00293C33">
              <w:rPr>
                <w:rFonts w:ascii="Arial Narrow" w:hAnsi="Arial Narrow" w:cs="Arial Narrow"/>
                <w:color w:val="000000"/>
                <w:sz w:val="18"/>
                <w:szCs w:val="18"/>
              </w:rPr>
              <w:t>6</w:t>
            </w:r>
          </w:p>
        </w:tc>
      </w:tr>
      <w:tr>
        <w:tblPrEx>
          <w:tblW w:w="5000" w:type="pct"/>
          <w:jc w:val="center"/>
          <w:tblCellMar>
            <w:left w:w="0" w:type="dxa"/>
            <w:right w:w="0" w:type="dxa"/>
          </w:tblCellMar>
        </w:tblPrEx>
        <w:trPr>
          <w:trHeight w:hRule="exact" w:val="227"/>
          <w:jc w:val="center"/>
        </w:trPr>
        <w:tc>
          <w:tcPr>
            <w:tcW w:w="2631" w:type="pct"/>
            <w:tcBorders>
              <w:top w:val="nil"/>
              <w:left w:val="nil"/>
              <w:bottom w:val="nil"/>
              <w:right w:val="nil"/>
            </w:tcBorders>
            <w:textDirection w:val="lrTb"/>
            <w:vAlign w:val="center"/>
          </w:tcPr>
          <w:p w:rsidR="00403E79" w:rsidRPr="005D5374" w:rsidP="00BE03CA">
            <w:pPr>
              <w:tabs>
                <w:tab w:val="left" w:pos="3240"/>
              </w:tabs>
              <w:bidi w:val="0"/>
              <w:spacing w:before="20" w:after="20" w:line="240" w:lineRule="auto"/>
              <w:rPr>
                <w:rFonts w:ascii="Arial Narrow" w:hAnsi="Arial Narrow" w:cs="Arial Narrow"/>
                <w:sz w:val="18"/>
                <w:szCs w:val="18"/>
              </w:rPr>
            </w:pPr>
            <w:r>
              <w:rPr>
                <w:rFonts w:ascii="Arial Narrow" w:hAnsi="Arial Narrow" w:cs="Arial Narrow"/>
                <w:sz w:val="18"/>
                <w:szCs w:val="18"/>
              </w:rPr>
              <w:t xml:space="preserve"> </w:t>
            </w:r>
            <w:r w:rsidRPr="005D5374">
              <w:rPr>
                <w:rFonts w:ascii="Arial Narrow" w:hAnsi="Arial Narrow" w:cs="Arial Narrow"/>
                <w:sz w:val="18"/>
                <w:szCs w:val="18"/>
              </w:rPr>
              <w:t>Priemerná mesačná mzda</w:t>
              <w:tab/>
              <w:t>nominálny rast</w:t>
            </w:r>
          </w:p>
        </w:tc>
        <w:tc>
          <w:tcPr>
            <w:tcW w:w="812"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sz w:val="18"/>
                <w:szCs w:val="18"/>
              </w:rPr>
            </w:pPr>
            <w:r>
              <w:rPr>
                <w:rFonts w:ascii="Arial Narrow" w:hAnsi="Arial Narrow"/>
                <w:sz w:val="18"/>
                <w:szCs w:val="18"/>
              </w:rPr>
              <w:t>3,7</w:t>
            </w:r>
          </w:p>
        </w:tc>
        <w:tc>
          <w:tcPr>
            <w:tcW w:w="786"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sz w:val="18"/>
                <w:szCs w:val="18"/>
              </w:rPr>
            </w:pPr>
            <w:r w:rsidRPr="00293C33">
              <w:rPr>
                <w:rFonts w:ascii="Arial Narrow" w:hAnsi="Arial Narrow"/>
                <w:sz w:val="18"/>
                <w:szCs w:val="18"/>
              </w:rPr>
              <w:t>3</w:t>
            </w:r>
            <w:r>
              <w:rPr>
                <w:rFonts w:ascii="Arial Narrow" w:hAnsi="Arial Narrow"/>
                <w:sz w:val="18"/>
                <w:szCs w:val="18"/>
              </w:rPr>
              <w:t>,</w:t>
            </w:r>
            <w:r w:rsidRPr="00293C33">
              <w:rPr>
                <w:rFonts w:ascii="Arial Narrow" w:hAnsi="Arial Narrow"/>
                <w:sz w:val="18"/>
                <w:szCs w:val="18"/>
              </w:rPr>
              <w:t>5</w:t>
            </w:r>
          </w:p>
        </w:tc>
        <w:tc>
          <w:tcPr>
            <w:tcW w:w="771"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color w:val="000000"/>
                <w:sz w:val="18"/>
                <w:szCs w:val="18"/>
              </w:rPr>
            </w:pPr>
            <w:r>
              <w:rPr>
                <w:rFonts w:ascii="Arial Narrow" w:hAnsi="Arial Narrow" w:cs="Arial Narrow"/>
                <w:color w:val="000000"/>
                <w:sz w:val="18"/>
                <w:szCs w:val="18"/>
              </w:rPr>
              <w:t>-0,2</w:t>
            </w:r>
          </w:p>
        </w:tc>
      </w:tr>
      <w:tr>
        <w:tblPrEx>
          <w:tblW w:w="5000" w:type="pct"/>
          <w:jc w:val="center"/>
          <w:tblCellMar>
            <w:left w:w="0" w:type="dxa"/>
            <w:right w:w="0" w:type="dxa"/>
          </w:tblCellMar>
        </w:tblPrEx>
        <w:trPr>
          <w:trHeight w:hRule="exact" w:val="227"/>
          <w:jc w:val="center"/>
        </w:trPr>
        <w:tc>
          <w:tcPr>
            <w:tcW w:w="2631" w:type="pct"/>
            <w:tcBorders>
              <w:top w:val="nil"/>
              <w:left w:val="nil"/>
              <w:bottom w:val="nil"/>
              <w:right w:val="nil"/>
            </w:tcBorders>
            <w:textDirection w:val="lrTb"/>
            <w:vAlign w:val="center"/>
          </w:tcPr>
          <w:p w:rsidR="00403E79" w:rsidRPr="005D5374" w:rsidP="00BE03CA">
            <w:pPr>
              <w:tabs>
                <w:tab w:val="left" w:pos="3240"/>
              </w:tabs>
              <w:bidi w:val="0"/>
              <w:spacing w:before="20" w:after="20" w:line="240" w:lineRule="auto"/>
              <w:rPr>
                <w:rFonts w:ascii="Arial Narrow" w:hAnsi="Arial Narrow" w:cs="Arial Narrow"/>
                <w:sz w:val="18"/>
                <w:szCs w:val="18"/>
              </w:rPr>
            </w:pPr>
            <w:r>
              <w:rPr>
                <w:rFonts w:ascii="Arial Narrow" w:hAnsi="Arial Narrow" w:cs="Arial Narrow"/>
                <w:sz w:val="18"/>
                <w:szCs w:val="18"/>
              </w:rPr>
              <w:t xml:space="preserve"> </w:t>
            </w:r>
            <w:r w:rsidRPr="005D5374">
              <w:rPr>
                <w:rFonts w:ascii="Arial Narrow" w:hAnsi="Arial Narrow" w:cs="Arial Narrow"/>
                <w:sz w:val="18"/>
                <w:szCs w:val="18"/>
              </w:rPr>
              <w:t>Zamestnanosť (štatistické zisťovanie)</w:t>
              <w:tab/>
              <w:t>priemerný rast</w:t>
            </w:r>
          </w:p>
        </w:tc>
        <w:tc>
          <w:tcPr>
            <w:tcW w:w="812"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sz w:val="18"/>
                <w:szCs w:val="18"/>
              </w:rPr>
            </w:pPr>
            <w:r w:rsidRPr="00293C33">
              <w:rPr>
                <w:rFonts w:ascii="Arial Narrow" w:hAnsi="Arial Narrow"/>
                <w:sz w:val="18"/>
                <w:szCs w:val="18"/>
              </w:rPr>
              <w:t>0</w:t>
            </w:r>
            <w:r>
              <w:rPr>
                <w:rFonts w:ascii="Arial Narrow" w:hAnsi="Arial Narrow"/>
                <w:sz w:val="18"/>
                <w:szCs w:val="18"/>
              </w:rPr>
              <w:t>,</w:t>
            </w:r>
            <w:r w:rsidRPr="00293C33">
              <w:rPr>
                <w:rFonts w:ascii="Arial Narrow" w:hAnsi="Arial Narrow"/>
                <w:sz w:val="18"/>
                <w:szCs w:val="18"/>
              </w:rPr>
              <w:t>6</w:t>
            </w:r>
          </w:p>
        </w:tc>
        <w:tc>
          <w:tcPr>
            <w:tcW w:w="786"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sz w:val="18"/>
                <w:szCs w:val="18"/>
              </w:rPr>
            </w:pPr>
            <w:r w:rsidRPr="00293C33">
              <w:rPr>
                <w:rFonts w:ascii="Arial Narrow" w:hAnsi="Arial Narrow"/>
                <w:sz w:val="18"/>
                <w:szCs w:val="18"/>
              </w:rPr>
              <w:t>1</w:t>
            </w:r>
            <w:r>
              <w:rPr>
                <w:rFonts w:ascii="Arial Narrow" w:hAnsi="Arial Narrow"/>
                <w:sz w:val="18"/>
                <w:szCs w:val="18"/>
              </w:rPr>
              <w:t>,</w:t>
            </w:r>
            <w:r w:rsidRPr="00293C33">
              <w:rPr>
                <w:rFonts w:ascii="Arial Narrow" w:hAnsi="Arial Narrow"/>
                <w:sz w:val="18"/>
                <w:szCs w:val="18"/>
              </w:rPr>
              <w:t>7</w:t>
            </w:r>
          </w:p>
        </w:tc>
        <w:tc>
          <w:tcPr>
            <w:tcW w:w="771"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color w:val="000000"/>
                <w:sz w:val="18"/>
                <w:szCs w:val="18"/>
              </w:rPr>
            </w:pPr>
            <w:r w:rsidRPr="00293C33">
              <w:rPr>
                <w:rFonts w:ascii="Arial Narrow" w:hAnsi="Arial Narrow" w:cs="Arial Narrow"/>
                <w:color w:val="000000"/>
                <w:sz w:val="18"/>
                <w:szCs w:val="18"/>
              </w:rPr>
              <w:t>1</w:t>
            </w:r>
            <w:r>
              <w:rPr>
                <w:rFonts w:ascii="Arial Narrow" w:hAnsi="Arial Narrow" w:cs="Arial Narrow"/>
                <w:color w:val="000000"/>
                <w:sz w:val="18"/>
                <w:szCs w:val="18"/>
              </w:rPr>
              <w:t>,</w:t>
            </w:r>
            <w:r w:rsidRPr="00293C33">
              <w:rPr>
                <w:rFonts w:ascii="Arial Narrow" w:hAnsi="Arial Narrow" w:cs="Arial Narrow"/>
                <w:color w:val="000000"/>
                <w:sz w:val="18"/>
                <w:szCs w:val="18"/>
              </w:rPr>
              <w:t>1</w:t>
            </w:r>
          </w:p>
        </w:tc>
      </w:tr>
      <w:tr>
        <w:tblPrEx>
          <w:tblW w:w="5000" w:type="pct"/>
          <w:jc w:val="center"/>
          <w:tblCellMar>
            <w:left w:w="0" w:type="dxa"/>
            <w:right w:w="0" w:type="dxa"/>
          </w:tblCellMar>
        </w:tblPrEx>
        <w:trPr>
          <w:trHeight w:hRule="exact" w:val="227"/>
          <w:jc w:val="center"/>
        </w:trPr>
        <w:tc>
          <w:tcPr>
            <w:tcW w:w="2631" w:type="pct"/>
            <w:tcBorders>
              <w:top w:val="nil"/>
              <w:left w:val="nil"/>
              <w:bottom w:val="nil"/>
              <w:right w:val="nil"/>
            </w:tcBorders>
            <w:textDirection w:val="lrTb"/>
            <w:vAlign w:val="center"/>
          </w:tcPr>
          <w:p w:rsidR="00403E79" w:rsidRPr="005D5374" w:rsidP="00BE03CA">
            <w:pPr>
              <w:tabs>
                <w:tab w:val="left" w:pos="3240"/>
              </w:tabs>
              <w:bidi w:val="0"/>
              <w:spacing w:before="20" w:after="20" w:line="240" w:lineRule="auto"/>
              <w:rPr>
                <w:rFonts w:ascii="Arial Narrow" w:hAnsi="Arial Narrow" w:cs="Arial Narrow"/>
                <w:sz w:val="18"/>
                <w:szCs w:val="18"/>
              </w:rPr>
            </w:pPr>
            <w:r>
              <w:rPr>
                <w:rFonts w:ascii="Arial Narrow" w:hAnsi="Arial Narrow" w:cs="Arial Narrow"/>
                <w:sz w:val="18"/>
                <w:szCs w:val="18"/>
              </w:rPr>
              <w:t xml:space="preserve"> </w:t>
            </w:r>
            <w:r w:rsidRPr="005D5374">
              <w:rPr>
                <w:rFonts w:ascii="Arial Narrow" w:hAnsi="Arial Narrow" w:cs="Arial Narrow"/>
                <w:sz w:val="18"/>
                <w:szCs w:val="18"/>
              </w:rPr>
              <w:t>Index spotrebiteľských cien (CPI)</w:t>
              <w:tab/>
              <w:t>priemerný rast</w:t>
            </w:r>
          </w:p>
        </w:tc>
        <w:tc>
          <w:tcPr>
            <w:tcW w:w="812"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sz w:val="18"/>
                <w:szCs w:val="18"/>
              </w:rPr>
            </w:pPr>
            <w:r w:rsidRPr="00293C33">
              <w:rPr>
                <w:rFonts w:ascii="Arial Narrow" w:hAnsi="Arial Narrow"/>
                <w:sz w:val="18"/>
                <w:szCs w:val="18"/>
              </w:rPr>
              <w:t>3</w:t>
            </w:r>
            <w:r>
              <w:rPr>
                <w:rFonts w:ascii="Arial Narrow" w:hAnsi="Arial Narrow"/>
                <w:sz w:val="18"/>
                <w:szCs w:val="18"/>
              </w:rPr>
              <w:t>,</w:t>
            </w:r>
            <w:r w:rsidRPr="00293C33">
              <w:rPr>
                <w:rFonts w:ascii="Arial Narrow" w:hAnsi="Arial Narrow"/>
                <w:sz w:val="18"/>
                <w:szCs w:val="18"/>
              </w:rPr>
              <w:t>7</w:t>
            </w:r>
          </w:p>
        </w:tc>
        <w:tc>
          <w:tcPr>
            <w:tcW w:w="786"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sz w:val="18"/>
                <w:szCs w:val="18"/>
              </w:rPr>
            </w:pPr>
            <w:r w:rsidRPr="00293C33">
              <w:rPr>
                <w:rFonts w:ascii="Arial Narrow" w:hAnsi="Arial Narrow"/>
                <w:sz w:val="18"/>
                <w:szCs w:val="18"/>
              </w:rPr>
              <w:t>4</w:t>
            </w:r>
            <w:r>
              <w:rPr>
                <w:rFonts w:ascii="Arial Narrow" w:hAnsi="Arial Narrow"/>
                <w:sz w:val="18"/>
                <w:szCs w:val="18"/>
              </w:rPr>
              <w:t>,</w:t>
            </w:r>
            <w:r w:rsidRPr="00293C33">
              <w:rPr>
                <w:rFonts w:ascii="Arial Narrow" w:hAnsi="Arial Narrow"/>
                <w:sz w:val="18"/>
                <w:szCs w:val="18"/>
              </w:rPr>
              <w:t>1</w:t>
            </w:r>
          </w:p>
        </w:tc>
        <w:tc>
          <w:tcPr>
            <w:tcW w:w="771"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color w:val="000000"/>
                <w:sz w:val="18"/>
                <w:szCs w:val="18"/>
              </w:rPr>
            </w:pPr>
            <w:r w:rsidRPr="00293C33">
              <w:rPr>
                <w:rFonts w:ascii="Arial Narrow" w:hAnsi="Arial Narrow" w:cs="Arial Narrow"/>
                <w:color w:val="000000"/>
                <w:sz w:val="18"/>
                <w:szCs w:val="18"/>
              </w:rPr>
              <w:t>0</w:t>
            </w:r>
            <w:r>
              <w:rPr>
                <w:rFonts w:ascii="Arial Narrow" w:hAnsi="Arial Narrow" w:cs="Arial Narrow"/>
                <w:color w:val="000000"/>
                <w:sz w:val="18"/>
                <w:szCs w:val="18"/>
              </w:rPr>
              <w:t>,</w:t>
            </w:r>
            <w:r w:rsidRPr="00293C33">
              <w:rPr>
                <w:rFonts w:ascii="Arial Narrow" w:hAnsi="Arial Narrow" w:cs="Arial Narrow"/>
                <w:color w:val="000000"/>
                <w:sz w:val="18"/>
                <w:szCs w:val="18"/>
              </w:rPr>
              <w:t>4</w:t>
            </w:r>
          </w:p>
        </w:tc>
      </w:tr>
      <w:tr>
        <w:tblPrEx>
          <w:tblW w:w="5000" w:type="pct"/>
          <w:jc w:val="center"/>
          <w:tblCellMar>
            <w:left w:w="0" w:type="dxa"/>
            <w:right w:w="0" w:type="dxa"/>
          </w:tblCellMar>
        </w:tblPrEx>
        <w:trPr>
          <w:trHeight w:hRule="exact" w:val="227"/>
          <w:jc w:val="center"/>
        </w:trPr>
        <w:tc>
          <w:tcPr>
            <w:tcW w:w="2631" w:type="pct"/>
            <w:tcBorders>
              <w:top w:val="nil"/>
              <w:left w:val="nil"/>
              <w:bottom w:val="nil"/>
              <w:right w:val="nil"/>
            </w:tcBorders>
            <w:textDirection w:val="lrTb"/>
            <w:vAlign w:val="center"/>
          </w:tcPr>
          <w:p w:rsidR="00403E79" w:rsidRPr="005D5374" w:rsidP="00BE03CA">
            <w:pPr>
              <w:tabs>
                <w:tab w:val="left" w:pos="3240"/>
              </w:tabs>
              <w:bidi w:val="0"/>
              <w:spacing w:before="20" w:after="20" w:line="240" w:lineRule="auto"/>
              <w:rPr>
                <w:rFonts w:ascii="Arial Narrow" w:hAnsi="Arial Narrow" w:cs="Arial Narrow"/>
                <w:sz w:val="18"/>
                <w:szCs w:val="18"/>
              </w:rPr>
            </w:pPr>
            <w:r>
              <w:rPr>
                <w:rFonts w:ascii="Arial Narrow" w:hAnsi="Arial Narrow" w:cs="Arial Narrow"/>
                <w:sz w:val="18"/>
                <w:szCs w:val="18"/>
              </w:rPr>
              <w:t xml:space="preserve"> </w:t>
            </w:r>
            <w:r w:rsidRPr="005D5374">
              <w:rPr>
                <w:rFonts w:ascii="Arial Narrow" w:hAnsi="Arial Narrow" w:cs="Arial Narrow"/>
                <w:sz w:val="18"/>
                <w:szCs w:val="18"/>
              </w:rPr>
              <w:t>Bilancia bežného účtu</w:t>
              <w:tab/>
              <w:t>podiel na HDP</w:t>
            </w:r>
          </w:p>
        </w:tc>
        <w:tc>
          <w:tcPr>
            <w:tcW w:w="812"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sz w:val="18"/>
                <w:szCs w:val="18"/>
              </w:rPr>
            </w:pPr>
            <w:r w:rsidRPr="00293C33">
              <w:rPr>
                <w:rFonts w:ascii="Arial Narrow" w:hAnsi="Arial Narrow"/>
                <w:sz w:val="18"/>
                <w:szCs w:val="18"/>
              </w:rPr>
              <w:t>-2</w:t>
            </w:r>
            <w:r>
              <w:rPr>
                <w:rFonts w:ascii="Arial Narrow" w:hAnsi="Arial Narrow"/>
                <w:sz w:val="18"/>
                <w:szCs w:val="18"/>
              </w:rPr>
              <w:t>,</w:t>
            </w:r>
            <w:r w:rsidRPr="00293C33">
              <w:rPr>
                <w:rFonts w:ascii="Arial Narrow" w:hAnsi="Arial Narrow"/>
                <w:sz w:val="18"/>
                <w:szCs w:val="18"/>
              </w:rPr>
              <w:t>3</w:t>
            </w:r>
          </w:p>
        </w:tc>
        <w:tc>
          <w:tcPr>
            <w:tcW w:w="786"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sz w:val="18"/>
                <w:szCs w:val="18"/>
              </w:rPr>
            </w:pPr>
            <w:r w:rsidRPr="00293C33">
              <w:rPr>
                <w:rFonts w:ascii="Arial Narrow" w:hAnsi="Arial Narrow"/>
                <w:sz w:val="18"/>
                <w:szCs w:val="18"/>
              </w:rPr>
              <w:t>-1</w:t>
            </w:r>
            <w:r>
              <w:rPr>
                <w:rFonts w:ascii="Arial Narrow" w:hAnsi="Arial Narrow"/>
                <w:sz w:val="18"/>
                <w:szCs w:val="18"/>
              </w:rPr>
              <w:t>,</w:t>
            </w:r>
            <w:r w:rsidRPr="00293C33">
              <w:rPr>
                <w:rFonts w:ascii="Arial Narrow" w:hAnsi="Arial Narrow"/>
                <w:sz w:val="18"/>
                <w:szCs w:val="18"/>
              </w:rPr>
              <w:t>8</w:t>
            </w:r>
          </w:p>
        </w:tc>
        <w:tc>
          <w:tcPr>
            <w:tcW w:w="771" w:type="pct"/>
            <w:tcBorders>
              <w:top w:val="nil"/>
              <w:left w:val="nil"/>
              <w:bottom w:val="nil"/>
              <w:right w:val="nil"/>
            </w:tcBorders>
            <w:textDirection w:val="lrTb"/>
            <w:vAlign w:val="bottom"/>
          </w:tcPr>
          <w:p w:rsidR="00403E79" w:rsidRPr="00293C33" w:rsidP="00BE03CA">
            <w:pPr>
              <w:bidi w:val="0"/>
              <w:spacing w:after="0" w:line="240" w:lineRule="auto"/>
              <w:jc w:val="center"/>
              <w:rPr>
                <w:rFonts w:ascii="Arial Narrow" w:hAnsi="Arial Narrow"/>
                <w:color w:val="000000"/>
                <w:sz w:val="18"/>
                <w:szCs w:val="18"/>
              </w:rPr>
            </w:pPr>
            <w:r w:rsidRPr="00293C33">
              <w:rPr>
                <w:rFonts w:ascii="Arial Narrow" w:hAnsi="Arial Narrow" w:cs="Arial Narrow"/>
                <w:color w:val="000000"/>
                <w:sz w:val="18"/>
                <w:szCs w:val="18"/>
              </w:rPr>
              <w:t>0</w:t>
            </w:r>
            <w:r>
              <w:rPr>
                <w:rFonts w:ascii="Arial Narrow" w:hAnsi="Arial Narrow" w:cs="Arial Narrow"/>
                <w:color w:val="000000"/>
                <w:sz w:val="18"/>
                <w:szCs w:val="18"/>
              </w:rPr>
              <w:t>,</w:t>
            </w:r>
            <w:r w:rsidRPr="00293C33">
              <w:rPr>
                <w:rFonts w:ascii="Arial Narrow" w:hAnsi="Arial Narrow" w:cs="Arial Narrow"/>
                <w:color w:val="000000"/>
                <w:sz w:val="18"/>
                <w:szCs w:val="18"/>
              </w:rPr>
              <w:t>5</w:t>
            </w:r>
          </w:p>
        </w:tc>
      </w:tr>
      <w:tr>
        <w:tblPrEx>
          <w:tblW w:w="5000" w:type="pct"/>
          <w:jc w:val="center"/>
          <w:tblCellMar>
            <w:left w:w="0" w:type="dxa"/>
            <w:right w:w="0" w:type="dxa"/>
          </w:tblCellMar>
        </w:tblPrEx>
        <w:trPr>
          <w:trHeight w:hRule="exact" w:val="227"/>
          <w:jc w:val="center"/>
        </w:trPr>
        <w:tc>
          <w:tcPr>
            <w:tcW w:w="5000" w:type="pct"/>
            <w:gridSpan w:val="4"/>
            <w:tcBorders>
              <w:top w:val="single" w:sz="4" w:space="0" w:color="auto"/>
              <w:left w:val="nil"/>
              <w:bottom w:val="nil"/>
              <w:right w:val="nil"/>
            </w:tcBorders>
            <w:textDirection w:val="lrTb"/>
            <w:vAlign w:val="center"/>
          </w:tcPr>
          <w:p w:rsidR="00403E79" w:rsidRPr="00293C33" w:rsidP="00BE03CA">
            <w:pPr>
              <w:pStyle w:val="BodyText"/>
              <w:bidi w:val="0"/>
              <w:spacing w:before="20" w:after="20" w:line="240" w:lineRule="auto"/>
              <w:jc w:val="right"/>
              <w:rPr>
                <w:rFonts w:ascii="Arial Narrow" w:hAnsi="Arial Narrow" w:cs="Arial Narrow"/>
                <w:i/>
                <w:iCs/>
                <w:sz w:val="18"/>
                <w:szCs w:val="18"/>
              </w:rPr>
            </w:pPr>
            <w:r w:rsidRPr="00293C33">
              <w:rPr>
                <w:rFonts w:ascii="Arial Narrow" w:hAnsi="Arial Narrow" w:cs="Arial Narrow"/>
                <w:i/>
                <w:iCs/>
                <w:sz w:val="18"/>
                <w:szCs w:val="18"/>
              </w:rPr>
              <w:t>Zdroj: MF SR</w:t>
            </w:r>
          </w:p>
        </w:tc>
      </w:tr>
    </w:tbl>
    <w:p w:rsidR="00403E79" w:rsidRPr="0006729E" w:rsidP="00403E79">
      <w:pPr>
        <w:bidi w:val="0"/>
        <w:jc w:val="both"/>
        <w:rPr>
          <w:rFonts w:ascii="Arial Narrow" w:hAnsi="Arial Narrow" w:cs="Arial Narrow"/>
          <w:sz w:val="16"/>
          <w:szCs w:val="16"/>
        </w:rPr>
      </w:pPr>
    </w:p>
    <w:p w:rsidR="00403E79" w:rsidRPr="00561EDA" w:rsidP="00561EDA">
      <w:pPr>
        <w:bidi w:val="0"/>
        <w:jc w:val="both"/>
        <w:rPr>
          <w:rFonts w:ascii="Arial Narrow" w:hAnsi="Arial Narrow" w:cs="Arial Narrow"/>
          <w:bCs/>
        </w:rPr>
      </w:pPr>
      <w:r w:rsidRPr="005D5374">
        <w:rPr>
          <w:rFonts w:ascii="Arial Narrow" w:hAnsi="Arial Narrow" w:cs="Arial Narrow"/>
        </w:rPr>
        <w:t xml:space="preserve">Prognóza makroekonomického vývoja vypracovaná MF SR bola podrobená hodnoteniu v rámci Výboru pre makroekonomické prognózovanie, ktorého štrnáste zasadnutie sa konalo </w:t>
      </w:r>
      <w:r>
        <w:rPr>
          <w:rFonts w:ascii="Arial Narrow" w:hAnsi="Arial Narrow" w:cs="Arial Narrow"/>
        </w:rPr>
        <w:t>16. júna 2011</w:t>
      </w:r>
      <w:r w:rsidRPr="005D5374">
        <w:rPr>
          <w:rFonts w:ascii="Arial Narrow" w:hAnsi="Arial Narrow" w:cs="Arial Narrow"/>
        </w:rPr>
        <w:t xml:space="preserve">. </w:t>
      </w:r>
      <w:r>
        <w:rPr>
          <w:rFonts w:ascii="Arial Narrow" w:hAnsi="Arial Narrow" w:cs="Arial Narrow"/>
        </w:rPr>
        <w:t xml:space="preserve">Prognóza </w:t>
      </w:r>
      <w:r w:rsidRPr="005D5374">
        <w:rPr>
          <w:rFonts w:ascii="Arial Narrow" w:hAnsi="Arial Narrow" w:cs="Arial Narrow"/>
        </w:rPr>
        <w:t>MF SR bola</w:t>
      </w:r>
      <w:r>
        <w:rPr>
          <w:rFonts w:ascii="Arial Narrow" w:hAnsi="Arial Narrow" w:cs="Arial Narrow"/>
        </w:rPr>
        <w:t xml:space="preserve"> </w:t>
      </w:r>
      <w:r w:rsidRPr="000336FC">
        <w:rPr>
          <w:rFonts w:ascii="Arial Narrow" w:hAnsi="Arial Narrow" w:cs="Arial Narrow"/>
          <w:b/>
        </w:rPr>
        <w:t>takmer všetkými členmi Výboru označená ako realistická</w:t>
      </w:r>
      <w:r>
        <w:rPr>
          <w:rFonts w:ascii="Arial Narrow" w:hAnsi="Arial Narrow" w:cs="Arial Narrow"/>
        </w:rPr>
        <w:t>,</w:t>
      </w:r>
      <w:r w:rsidRPr="005D5374">
        <w:rPr>
          <w:rFonts w:ascii="Arial Narrow" w:hAnsi="Arial Narrow" w:cs="Arial Narrow"/>
        </w:rPr>
        <w:t xml:space="preserve"> </w:t>
      </w:r>
      <w:bookmarkStart w:id="49" w:name="RANGE_A3_D22"/>
      <w:bookmarkStart w:id="50" w:name="_Toc173032554"/>
      <w:bookmarkStart w:id="51" w:name="_Toc204046329"/>
      <w:bookmarkEnd w:id="7"/>
      <w:bookmarkEnd w:id="49"/>
      <w:r w:rsidRPr="00293C33">
        <w:rPr>
          <w:rFonts w:ascii="Arial Narrow" w:hAnsi="Arial Narrow" w:cs="Arial Narrow"/>
          <w:bCs/>
        </w:rPr>
        <w:t>jeden člen ju označil za optimistickú a jeden ako konzervatívnu.</w:t>
      </w:r>
      <w:bookmarkEnd w:id="50"/>
      <w:bookmarkEnd w:id="51"/>
    </w:p>
    <w:p w:rsidR="00403E79" w:rsidRPr="00561EDA" w:rsidP="00561EDA">
      <w:pPr>
        <w:pStyle w:val="Heading1"/>
        <w:numPr>
          <w:numId w:val="2"/>
        </w:numPr>
        <w:bidi w:val="0"/>
        <w:rPr>
          <w:rFonts w:ascii="Arial Narrow" w:hAnsi="Arial Narrow"/>
          <w:sz w:val="28"/>
          <w:szCs w:val="28"/>
        </w:rPr>
      </w:pPr>
      <w:bookmarkStart w:id="52" w:name="_Toc299709425"/>
      <w:r w:rsidRPr="00561EDA">
        <w:rPr>
          <w:rFonts w:ascii="Arial Narrow" w:hAnsi="Arial Narrow"/>
          <w:sz w:val="28"/>
          <w:szCs w:val="28"/>
        </w:rPr>
        <w:t>VÝVOJ VEREJNÝCH FINANCIÍ</w:t>
      </w:r>
      <w:bookmarkEnd w:id="52"/>
    </w:p>
    <w:p w:rsidR="00403E79" w:rsidRPr="00403E79" w:rsidP="00403E79">
      <w:pPr>
        <w:bidi w:val="0"/>
        <w:rPr>
          <w:rFonts w:ascii="Arial Narrow" w:hAnsi="Arial Narrow"/>
        </w:rPr>
      </w:pPr>
    </w:p>
    <w:p w:rsidR="00403E79" w:rsidRPr="00403E79" w:rsidP="00403E79">
      <w:pPr>
        <w:bidi w:val="0"/>
        <w:jc w:val="both"/>
        <w:rPr>
          <w:rFonts w:ascii="Arial Narrow" w:hAnsi="Arial Narrow" w:cs="Arial Narrow"/>
        </w:rPr>
      </w:pPr>
      <w:r w:rsidRPr="00403E79">
        <w:rPr>
          <w:rFonts w:ascii="Arial Narrow" w:hAnsi="Arial Narrow" w:cs="Arial Narrow"/>
        </w:rPr>
        <w:t>Hlavný rozpočtový cieľ vlády na rok 2011 bol stanovený v rámci rozpočtu verejnej správy na roky 2011 až 2013 v podobe deficitu verejnej správy vo výške</w:t>
      </w:r>
      <w:r w:rsidRPr="00403E79">
        <w:rPr>
          <w:rFonts w:ascii="Arial Narrow" w:hAnsi="Arial Narrow" w:cs="Arial Narrow"/>
          <w:b/>
          <w:bCs/>
        </w:rPr>
        <w:t xml:space="preserve"> 4,9 % HDP</w:t>
      </w:r>
      <w:r w:rsidRPr="00403E79">
        <w:rPr>
          <w:rFonts w:ascii="Arial Narrow" w:hAnsi="Arial Narrow" w:cs="Arial Narrow"/>
        </w:rPr>
        <w:t xml:space="preserve">. Na základe v súčasnosti dostupných informácií sa očakáva, že uvedený </w:t>
      </w:r>
      <w:r w:rsidRPr="00403E79">
        <w:rPr>
          <w:rFonts w:ascii="Arial Narrow" w:hAnsi="Arial Narrow" w:cs="Arial Narrow"/>
          <w:b/>
        </w:rPr>
        <w:t>cieľ bude splnený</w:t>
      </w:r>
      <w:r w:rsidRPr="00403E79">
        <w:rPr>
          <w:rFonts w:ascii="Arial Narrow" w:hAnsi="Arial Narrow" w:cs="Arial Narrow"/>
        </w:rPr>
        <w:t>.</w:t>
      </w:r>
    </w:p>
    <w:p w:rsidR="00403E79" w:rsidRPr="00403E79" w:rsidP="00403E79">
      <w:pPr>
        <w:bidi w:val="0"/>
        <w:jc w:val="both"/>
        <w:rPr>
          <w:rFonts w:ascii="Arial Narrow" w:hAnsi="Arial Narrow" w:cs="Arial Narrow"/>
          <w:sz w:val="16"/>
          <w:szCs w:val="16"/>
        </w:rPr>
      </w:pPr>
    </w:p>
    <w:tbl>
      <w:tblPr>
        <w:tblStyle w:val="TableNormal"/>
        <w:tblW w:w="9072" w:type="dxa"/>
        <w:tblInd w:w="58" w:type="dxa"/>
        <w:tblCellMar>
          <w:left w:w="70" w:type="dxa"/>
          <w:right w:w="70" w:type="dxa"/>
        </w:tblCellMar>
        <w:tblLook w:val="04A0"/>
      </w:tblPr>
      <w:tblGrid>
        <w:gridCol w:w="7973"/>
        <w:gridCol w:w="1099"/>
      </w:tblGrid>
      <w:tr>
        <w:tblPrEx>
          <w:tblW w:w="9072" w:type="dxa"/>
          <w:tblInd w:w="58" w:type="dxa"/>
          <w:tblCellMar>
            <w:left w:w="70" w:type="dxa"/>
            <w:right w:w="70" w:type="dxa"/>
          </w:tblCellMar>
          <w:tblLook w:val="04A0"/>
        </w:tblPrEx>
        <w:trPr>
          <w:trHeight w:val="375"/>
        </w:trPr>
        <w:tc>
          <w:tcPr>
            <w:tcW w:w="9072" w:type="dxa"/>
            <w:gridSpan w:val="2"/>
            <w:tcBorders>
              <w:top w:val="single" w:sz="8" w:space="0" w:color="auto"/>
              <w:left w:val="single" w:sz="8" w:space="0" w:color="auto"/>
              <w:bottom w:val="single" w:sz="4" w:space="0" w:color="auto"/>
              <w:right w:val="single" w:sz="8" w:space="0" w:color="000000"/>
            </w:tcBorders>
            <w:shd w:val="clear" w:color="000000" w:fill="000000"/>
            <w:textDirection w:val="lrTb"/>
            <w:vAlign w:val="center"/>
            <w:hideMark/>
          </w:tcPr>
          <w:p w:rsidR="00403E79" w:rsidRPr="00403E79" w:rsidP="00403E79">
            <w:pPr>
              <w:bidi w:val="0"/>
              <w:spacing w:after="0" w:line="240" w:lineRule="auto"/>
              <w:rPr>
                <w:rFonts w:ascii="Arial Narrow" w:hAnsi="Arial Narrow" w:cs="Times New Roman"/>
                <w:b/>
                <w:bCs/>
                <w:color w:val="FFFFFF"/>
                <w:sz w:val="20"/>
                <w:szCs w:val="20"/>
              </w:rPr>
            </w:pPr>
            <w:r w:rsidRPr="00403E79">
              <w:rPr>
                <w:rFonts w:ascii="Arial Narrow" w:hAnsi="Arial Narrow" w:cs="Times New Roman"/>
                <w:b/>
                <w:bCs/>
                <w:color w:val="FFFFFF"/>
                <w:sz w:val="20"/>
                <w:szCs w:val="20"/>
              </w:rPr>
              <w:t>Aktuálny odhad salda verejnej správy v roku 2011 (ESA 95, tis. eur)</w:t>
            </w:r>
          </w:p>
        </w:tc>
      </w:tr>
      <w:tr>
        <w:tblPrEx>
          <w:tblW w:w="9072" w:type="dxa"/>
          <w:tblInd w:w="58" w:type="dxa"/>
          <w:tblCellMar>
            <w:left w:w="70" w:type="dxa"/>
            <w:right w:w="70" w:type="dxa"/>
          </w:tblCellMar>
          <w:tblLook w:val="04A0"/>
        </w:tblPrEx>
        <w:trPr>
          <w:trHeight w:val="330"/>
        </w:trPr>
        <w:tc>
          <w:tcPr>
            <w:tcW w:w="7973" w:type="dxa"/>
            <w:tcBorders>
              <w:top w:val="nil"/>
              <w:left w:val="single" w:sz="8" w:space="0" w:color="auto"/>
              <w:bottom w:val="single" w:sz="4" w:space="0" w:color="auto"/>
              <w:right w:val="single" w:sz="4" w:space="0" w:color="auto"/>
            </w:tcBorders>
            <w:noWrap/>
            <w:textDirection w:val="lrTb"/>
            <w:vAlign w:val="center"/>
            <w:hideMark/>
          </w:tcPr>
          <w:p w:rsidR="00403E79" w:rsidRPr="00403E79" w:rsidP="00403E79">
            <w:pPr>
              <w:bidi w:val="0"/>
              <w:spacing w:after="0" w:line="240" w:lineRule="auto"/>
              <w:rPr>
                <w:rFonts w:ascii="Arial Narrow" w:hAnsi="Arial Narrow" w:cs="Times New Roman"/>
                <w:b/>
                <w:bCs/>
                <w:color w:val="000000"/>
                <w:sz w:val="18"/>
                <w:szCs w:val="18"/>
              </w:rPr>
            </w:pPr>
            <w:r w:rsidRPr="00403E79">
              <w:rPr>
                <w:rFonts w:ascii="Arial Narrow" w:hAnsi="Arial Narrow" w:cs="Times New Roman"/>
                <w:b/>
                <w:bCs/>
                <w:color w:val="000000"/>
                <w:sz w:val="18"/>
                <w:szCs w:val="18"/>
              </w:rPr>
              <w:t>Saldo VS po schválení jednotlivých rozpočtov</w:t>
            </w:r>
          </w:p>
        </w:tc>
        <w:tc>
          <w:tcPr>
            <w:tcW w:w="1099" w:type="dxa"/>
            <w:tcBorders>
              <w:top w:val="nil"/>
              <w:left w:val="nil"/>
              <w:bottom w:val="single" w:sz="4" w:space="0" w:color="auto"/>
              <w:right w:val="single" w:sz="8" w:space="0" w:color="auto"/>
            </w:tcBorders>
            <w:noWrap/>
            <w:textDirection w:val="lrTb"/>
            <w:vAlign w:val="center"/>
            <w:hideMark/>
          </w:tcPr>
          <w:p w:rsidR="00403E79" w:rsidRPr="00403E79" w:rsidP="00403E79">
            <w:pPr>
              <w:bidi w:val="0"/>
              <w:spacing w:after="0" w:line="240" w:lineRule="auto"/>
              <w:jc w:val="right"/>
              <w:rPr>
                <w:rFonts w:ascii="Arial Narrow" w:hAnsi="Arial Narrow" w:cs="Times New Roman"/>
                <w:b/>
                <w:bCs/>
                <w:color w:val="000000"/>
                <w:sz w:val="18"/>
                <w:szCs w:val="18"/>
              </w:rPr>
            </w:pPr>
            <w:r w:rsidRPr="00403E79">
              <w:rPr>
                <w:rFonts w:ascii="Arial Narrow" w:hAnsi="Arial Narrow" w:cs="Times New Roman"/>
                <w:b/>
                <w:bCs/>
                <w:color w:val="000000"/>
                <w:sz w:val="18"/>
                <w:szCs w:val="18"/>
              </w:rPr>
              <w:t>-3 448 934</w:t>
            </w:r>
          </w:p>
        </w:tc>
      </w:tr>
      <w:tr>
        <w:tblPrEx>
          <w:tblW w:w="9072" w:type="dxa"/>
          <w:tblInd w:w="58" w:type="dxa"/>
          <w:tblCellMar>
            <w:left w:w="70" w:type="dxa"/>
            <w:right w:w="70" w:type="dxa"/>
          </w:tblCellMar>
          <w:tblLook w:val="04A0"/>
        </w:tblPrEx>
        <w:trPr>
          <w:trHeight w:val="330"/>
        </w:trPr>
        <w:tc>
          <w:tcPr>
            <w:tcW w:w="7973" w:type="dxa"/>
            <w:tcBorders>
              <w:top w:val="nil"/>
              <w:left w:val="single" w:sz="8" w:space="0" w:color="auto"/>
              <w:bottom w:val="single" w:sz="4" w:space="0" w:color="auto"/>
              <w:right w:val="single" w:sz="4" w:space="0" w:color="auto"/>
            </w:tcBorders>
            <w:shd w:val="clear" w:color="000000" w:fill="BFBFBF"/>
            <w:noWrap/>
            <w:textDirection w:val="lrTb"/>
            <w:vAlign w:val="center"/>
            <w:hideMark/>
          </w:tcPr>
          <w:p w:rsidR="00403E79" w:rsidRPr="00403E79" w:rsidP="00403E79">
            <w:pPr>
              <w:bidi w:val="0"/>
              <w:spacing w:after="0" w:line="240" w:lineRule="auto"/>
              <w:rPr>
                <w:rFonts w:ascii="Arial Narrow" w:hAnsi="Arial Narrow" w:cs="Times New Roman"/>
                <w:b/>
                <w:bCs/>
                <w:color w:val="000000"/>
                <w:sz w:val="18"/>
                <w:szCs w:val="18"/>
              </w:rPr>
            </w:pPr>
            <w:r w:rsidRPr="00403E79">
              <w:rPr>
                <w:rFonts w:ascii="Arial Narrow" w:hAnsi="Arial Narrow" w:cs="Times New Roman"/>
                <w:b/>
                <w:bCs/>
                <w:color w:val="000000"/>
                <w:sz w:val="18"/>
                <w:szCs w:val="18"/>
              </w:rPr>
              <w:t>Saldo VS po schválení jednotlivých rozpočtov v % HDP (pôvodné HDP)</w:t>
            </w:r>
          </w:p>
        </w:tc>
        <w:tc>
          <w:tcPr>
            <w:tcW w:w="1099" w:type="dxa"/>
            <w:tcBorders>
              <w:top w:val="nil"/>
              <w:left w:val="nil"/>
              <w:bottom w:val="single" w:sz="4" w:space="0" w:color="auto"/>
              <w:right w:val="single" w:sz="8" w:space="0" w:color="auto"/>
            </w:tcBorders>
            <w:shd w:val="clear" w:color="000000" w:fill="BFBFBF"/>
            <w:noWrap/>
            <w:textDirection w:val="lrTb"/>
            <w:vAlign w:val="center"/>
            <w:hideMark/>
          </w:tcPr>
          <w:p w:rsidR="00403E79" w:rsidRPr="00403E79" w:rsidP="00403E79">
            <w:pPr>
              <w:bidi w:val="0"/>
              <w:spacing w:after="0" w:line="240" w:lineRule="auto"/>
              <w:jc w:val="right"/>
              <w:rPr>
                <w:rFonts w:ascii="Arial Narrow" w:hAnsi="Arial Narrow" w:cs="Times New Roman"/>
                <w:b/>
                <w:bCs/>
                <w:color w:val="000000"/>
                <w:sz w:val="18"/>
                <w:szCs w:val="18"/>
              </w:rPr>
            </w:pPr>
            <w:r w:rsidRPr="00403E79">
              <w:rPr>
                <w:rFonts w:ascii="Arial Narrow" w:hAnsi="Arial Narrow" w:cs="Times New Roman"/>
                <w:b/>
                <w:bCs/>
                <w:color w:val="000000"/>
                <w:sz w:val="18"/>
                <w:szCs w:val="18"/>
              </w:rPr>
              <w:t>-4,91</w:t>
            </w:r>
          </w:p>
        </w:tc>
      </w:tr>
      <w:tr>
        <w:tblPrEx>
          <w:tblW w:w="9072" w:type="dxa"/>
          <w:tblInd w:w="58" w:type="dxa"/>
          <w:tblCellMar>
            <w:left w:w="70" w:type="dxa"/>
            <w:right w:w="70" w:type="dxa"/>
          </w:tblCellMar>
          <w:tblLook w:val="04A0"/>
        </w:tblPrEx>
        <w:trPr>
          <w:trHeight w:val="284"/>
        </w:trPr>
        <w:tc>
          <w:tcPr>
            <w:tcW w:w="7973" w:type="dxa"/>
            <w:tcBorders>
              <w:top w:val="nil"/>
              <w:left w:val="single" w:sz="8" w:space="0" w:color="auto"/>
              <w:bottom w:val="single" w:sz="4" w:space="0" w:color="auto"/>
              <w:right w:val="single" w:sz="4" w:space="0" w:color="auto"/>
            </w:tcBorders>
            <w:noWrap/>
            <w:textDirection w:val="lrTb"/>
            <w:vAlign w:val="center"/>
            <w:hideMark/>
          </w:tcPr>
          <w:p w:rsidR="00403E79" w:rsidRPr="00403E79" w:rsidP="00403E79">
            <w:pPr>
              <w:bidi w:val="0"/>
              <w:spacing w:after="0" w:line="240" w:lineRule="auto"/>
              <w:rPr>
                <w:rFonts w:ascii="Arial Narrow" w:hAnsi="Arial Narrow" w:cs="Times New Roman"/>
                <w:b/>
                <w:bCs/>
                <w:color w:val="000000"/>
                <w:sz w:val="18"/>
                <w:szCs w:val="18"/>
              </w:rPr>
            </w:pPr>
            <w:r w:rsidRPr="00403E79">
              <w:rPr>
                <w:rFonts w:ascii="Arial Narrow" w:hAnsi="Arial Narrow" w:cs="Times New Roman"/>
                <w:b/>
                <w:bCs/>
                <w:color w:val="000000"/>
                <w:sz w:val="18"/>
                <w:szCs w:val="18"/>
              </w:rPr>
              <w:t>A. Štátny rozpočet v ESA95</w:t>
            </w:r>
          </w:p>
        </w:tc>
        <w:tc>
          <w:tcPr>
            <w:tcW w:w="1099" w:type="dxa"/>
            <w:tcBorders>
              <w:top w:val="nil"/>
              <w:left w:val="nil"/>
              <w:bottom w:val="single" w:sz="4" w:space="0" w:color="auto"/>
              <w:right w:val="single" w:sz="8" w:space="0" w:color="auto"/>
            </w:tcBorders>
            <w:noWrap/>
            <w:textDirection w:val="lrTb"/>
            <w:vAlign w:val="center"/>
            <w:hideMark/>
          </w:tcPr>
          <w:p w:rsidR="00403E79" w:rsidRPr="00403E79" w:rsidP="00403E79">
            <w:pPr>
              <w:bidi w:val="0"/>
              <w:spacing w:after="0" w:line="240" w:lineRule="auto"/>
              <w:jc w:val="right"/>
              <w:rPr>
                <w:rFonts w:ascii="Arial Narrow" w:hAnsi="Arial Narrow" w:cs="Times New Roman"/>
                <w:b/>
                <w:bCs/>
                <w:color w:val="000000"/>
                <w:sz w:val="18"/>
                <w:szCs w:val="18"/>
              </w:rPr>
            </w:pPr>
            <w:r w:rsidRPr="00403E79">
              <w:rPr>
                <w:rFonts w:ascii="Arial Narrow" w:hAnsi="Arial Narrow" w:cs="Times New Roman"/>
                <w:b/>
                <w:bCs/>
                <w:color w:val="000000"/>
                <w:sz w:val="18"/>
                <w:szCs w:val="18"/>
              </w:rPr>
              <w:t>122 918</w:t>
            </w:r>
          </w:p>
        </w:tc>
      </w:tr>
      <w:tr>
        <w:tblPrEx>
          <w:tblW w:w="9072" w:type="dxa"/>
          <w:tblInd w:w="58" w:type="dxa"/>
          <w:tblCellMar>
            <w:left w:w="70" w:type="dxa"/>
            <w:right w:w="70" w:type="dxa"/>
          </w:tblCellMar>
          <w:tblLook w:val="04A0"/>
        </w:tblPrEx>
        <w:trPr>
          <w:trHeight w:val="284"/>
        </w:trPr>
        <w:tc>
          <w:tcPr>
            <w:tcW w:w="7973" w:type="dxa"/>
            <w:tcBorders>
              <w:top w:val="nil"/>
              <w:left w:val="single" w:sz="8" w:space="0" w:color="auto"/>
              <w:bottom w:val="single" w:sz="4" w:space="0" w:color="auto"/>
              <w:right w:val="single" w:sz="4" w:space="0" w:color="auto"/>
            </w:tcBorders>
            <w:noWrap/>
            <w:textDirection w:val="lrTb"/>
            <w:vAlign w:val="center"/>
            <w:hideMark/>
          </w:tcPr>
          <w:p w:rsidR="00403E79" w:rsidRPr="00403E79" w:rsidP="00403E79">
            <w:pPr>
              <w:bidi w:val="0"/>
              <w:spacing w:after="0" w:line="240" w:lineRule="auto"/>
              <w:rPr>
                <w:rFonts w:ascii="Arial Narrow" w:hAnsi="Arial Narrow" w:cs="Times New Roman"/>
                <w:color w:val="000000"/>
                <w:sz w:val="18"/>
                <w:szCs w:val="18"/>
              </w:rPr>
            </w:pPr>
            <w:r w:rsidRPr="00403E79">
              <w:rPr>
                <w:rFonts w:ascii="Arial Narrow" w:hAnsi="Arial Narrow" w:cs="Times New Roman"/>
                <w:color w:val="000000"/>
                <w:sz w:val="18"/>
                <w:szCs w:val="18"/>
              </w:rPr>
              <w:t xml:space="preserve">   daňové príjmy štátneho rozpočtu</w:t>
            </w:r>
          </w:p>
        </w:tc>
        <w:tc>
          <w:tcPr>
            <w:tcW w:w="1099" w:type="dxa"/>
            <w:tcBorders>
              <w:top w:val="nil"/>
              <w:left w:val="nil"/>
              <w:bottom w:val="single" w:sz="4" w:space="0" w:color="auto"/>
              <w:right w:val="single" w:sz="8" w:space="0" w:color="auto"/>
            </w:tcBorders>
            <w:noWrap/>
            <w:textDirection w:val="lrTb"/>
            <w:vAlign w:val="center"/>
            <w:hideMark/>
          </w:tcPr>
          <w:p w:rsidR="00403E79" w:rsidRPr="00403E79" w:rsidP="00403E79">
            <w:pPr>
              <w:bidi w:val="0"/>
              <w:spacing w:after="0" w:line="240" w:lineRule="auto"/>
              <w:jc w:val="right"/>
              <w:rPr>
                <w:rFonts w:ascii="Arial Narrow" w:hAnsi="Arial Narrow" w:cs="Times New Roman"/>
                <w:color w:val="000000"/>
                <w:sz w:val="18"/>
                <w:szCs w:val="18"/>
              </w:rPr>
            </w:pPr>
            <w:r w:rsidRPr="00403E79">
              <w:rPr>
                <w:rFonts w:ascii="Arial Narrow" w:hAnsi="Arial Narrow" w:cs="Times New Roman"/>
                <w:color w:val="000000"/>
                <w:sz w:val="18"/>
                <w:szCs w:val="18"/>
              </w:rPr>
              <w:t>47 425</w:t>
            </w:r>
          </w:p>
        </w:tc>
      </w:tr>
      <w:tr>
        <w:tblPrEx>
          <w:tblW w:w="9072" w:type="dxa"/>
          <w:tblInd w:w="58" w:type="dxa"/>
          <w:tblCellMar>
            <w:left w:w="70" w:type="dxa"/>
            <w:right w:w="70" w:type="dxa"/>
          </w:tblCellMar>
          <w:tblLook w:val="04A0"/>
        </w:tblPrEx>
        <w:trPr>
          <w:trHeight w:val="284"/>
        </w:trPr>
        <w:tc>
          <w:tcPr>
            <w:tcW w:w="7973" w:type="dxa"/>
            <w:tcBorders>
              <w:top w:val="nil"/>
              <w:left w:val="single" w:sz="8" w:space="0" w:color="auto"/>
              <w:bottom w:val="single" w:sz="4" w:space="0" w:color="auto"/>
              <w:right w:val="single" w:sz="4" w:space="0" w:color="auto"/>
            </w:tcBorders>
            <w:noWrap/>
            <w:textDirection w:val="lrTb"/>
            <w:vAlign w:val="center"/>
            <w:hideMark/>
          </w:tcPr>
          <w:p w:rsidR="00403E79" w:rsidRPr="00403E79" w:rsidP="00403E79">
            <w:pPr>
              <w:bidi w:val="0"/>
              <w:spacing w:after="0" w:line="240" w:lineRule="auto"/>
              <w:rPr>
                <w:rFonts w:ascii="Arial Narrow" w:hAnsi="Arial Narrow" w:cs="Times New Roman"/>
                <w:color w:val="000000"/>
                <w:sz w:val="18"/>
                <w:szCs w:val="18"/>
              </w:rPr>
            </w:pPr>
            <w:r w:rsidRPr="00403E79">
              <w:rPr>
                <w:rFonts w:ascii="Arial Narrow" w:hAnsi="Arial Narrow" w:cs="Times New Roman"/>
                <w:color w:val="000000"/>
                <w:sz w:val="18"/>
                <w:szCs w:val="18"/>
              </w:rPr>
              <w:t xml:space="preserve">   dividendy zo spoločností s majetkovou účasťou štátu, resp. FNM SR</w:t>
            </w:r>
          </w:p>
        </w:tc>
        <w:tc>
          <w:tcPr>
            <w:tcW w:w="1099" w:type="dxa"/>
            <w:tcBorders>
              <w:top w:val="nil"/>
              <w:left w:val="nil"/>
              <w:bottom w:val="single" w:sz="4" w:space="0" w:color="auto"/>
              <w:right w:val="single" w:sz="8" w:space="0" w:color="auto"/>
            </w:tcBorders>
            <w:noWrap/>
            <w:textDirection w:val="lrTb"/>
            <w:vAlign w:val="center"/>
            <w:hideMark/>
          </w:tcPr>
          <w:p w:rsidR="00403E79" w:rsidRPr="00403E79" w:rsidP="00403E79">
            <w:pPr>
              <w:bidi w:val="0"/>
              <w:spacing w:after="0" w:line="240" w:lineRule="auto"/>
              <w:jc w:val="right"/>
              <w:rPr>
                <w:rFonts w:ascii="Arial Narrow" w:hAnsi="Arial Narrow" w:cs="Times New Roman"/>
                <w:color w:val="000000"/>
                <w:sz w:val="18"/>
                <w:szCs w:val="18"/>
              </w:rPr>
            </w:pPr>
            <w:r w:rsidRPr="00403E79">
              <w:rPr>
                <w:rFonts w:ascii="Arial Narrow" w:hAnsi="Arial Narrow" w:cs="Times New Roman"/>
                <w:color w:val="000000"/>
                <w:sz w:val="18"/>
                <w:szCs w:val="18"/>
              </w:rPr>
              <w:t>55 300</w:t>
            </w:r>
          </w:p>
        </w:tc>
      </w:tr>
      <w:tr>
        <w:tblPrEx>
          <w:tblW w:w="9072" w:type="dxa"/>
          <w:tblInd w:w="58" w:type="dxa"/>
          <w:tblCellMar>
            <w:left w:w="70" w:type="dxa"/>
            <w:right w:w="70" w:type="dxa"/>
          </w:tblCellMar>
          <w:tblLook w:val="04A0"/>
        </w:tblPrEx>
        <w:trPr>
          <w:trHeight w:val="284"/>
        </w:trPr>
        <w:tc>
          <w:tcPr>
            <w:tcW w:w="7973" w:type="dxa"/>
            <w:tcBorders>
              <w:top w:val="nil"/>
              <w:left w:val="single" w:sz="8" w:space="0" w:color="auto"/>
              <w:bottom w:val="single" w:sz="4" w:space="0" w:color="auto"/>
              <w:right w:val="single" w:sz="4" w:space="0" w:color="auto"/>
            </w:tcBorders>
            <w:noWrap/>
            <w:textDirection w:val="lrTb"/>
            <w:vAlign w:val="center"/>
            <w:hideMark/>
          </w:tcPr>
          <w:p w:rsidR="00403E79" w:rsidRPr="00403E79" w:rsidP="00312CF3">
            <w:pPr>
              <w:bidi w:val="0"/>
              <w:spacing w:after="0" w:line="240" w:lineRule="auto"/>
              <w:rPr>
                <w:rFonts w:ascii="Arial Narrow" w:hAnsi="Arial Narrow" w:cs="Times New Roman"/>
                <w:color w:val="000000"/>
                <w:sz w:val="18"/>
                <w:szCs w:val="18"/>
              </w:rPr>
            </w:pPr>
            <w:r w:rsidRPr="00403E79">
              <w:rPr>
                <w:rFonts w:ascii="Arial Narrow" w:hAnsi="Arial Narrow" w:cs="Times New Roman"/>
                <w:color w:val="000000"/>
                <w:sz w:val="18"/>
                <w:szCs w:val="18"/>
              </w:rPr>
              <w:t xml:space="preserve">   iné ako daňové príjmy</w:t>
            </w:r>
          </w:p>
        </w:tc>
        <w:tc>
          <w:tcPr>
            <w:tcW w:w="1099" w:type="dxa"/>
            <w:tcBorders>
              <w:top w:val="nil"/>
              <w:left w:val="nil"/>
              <w:bottom w:val="single" w:sz="4" w:space="0" w:color="auto"/>
              <w:right w:val="single" w:sz="8" w:space="0" w:color="auto"/>
            </w:tcBorders>
            <w:noWrap/>
            <w:textDirection w:val="lrTb"/>
            <w:vAlign w:val="center"/>
            <w:hideMark/>
          </w:tcPr>
          <w:p w:rsidR="00403E79" w:rsidRPr="00403E79" w:rsidP="00403E79">
            <w:pPr>
              <w:bidi w:val="0"/>
              <w:spacing w:after="0" w:line="240" w:lineRule="auto"/>
              <w:jc w:val="right"/>
              <w:rPr>
                <w:rFonts w:ascii="Arial Narrow" w:hAnsi="Arial Narrow" w:cs="Times New Roman"/>
                <w:color w:val="000000"/>
                <w:sz w:val="18"/>
                <w:szCs w:val="18"/>
              </w:rPr>
            </w:pPr>
            <w:r w:rsidRPr="00403E79">
              <w:rPr>
                <w:rFonts w:ascii="Arial Narrow" w:hAnsi="Arial Narrow" w:cs="Times New Roman"/>
                <w:color w:val="000000"/>
                <w:sz w:val="18"/>
                <w:szCs w:val="18"/>
              </w:rPr>
              <w:t>74 221</w:t>
            </w:r>
          </w:p>
        </w:tc>
      </w:tr>
      <w:tr>
        <w:tblPrEx>
          <w:tblW w:w="9072" w:type="dxa"/>
          <w:tblInd w:w="58" w:type="dxa"/>
          <w:tblCellMar>
            <w:left w:w="70" w:type="dxa"/>
            <w:right w:w="70" w:type="dxa"/>
          </w:tblCellMar>
          <w:tblLook w:val="04A0"/>
        </w:tblPrEx>
        <w:trPr>
          <w:trHeight w:val="284"/>
        </w:trPr>
        <w:tc>
          <w:tcPr>
            <w:tcW w:w="7973" w:type="dxa"/>
            <w:tcBorders>
              <w:top w:val="nil"/>
              <w:left w:val="single" w:sz="8" w:space="0" w:color="auto"/>
              <w:bottom w:val="single" w:sz="4" w:space="0" w:color="auto"/>
              <w:right w:val="single" w:sz="4" w:space="0" w:color="auto"/>
            </w:tcBorders>
            <w:noWrap/>
            <w:textDirection w:val="lrTb"/>
            <w:vAlign w:val="center"/>
            <w:hideMark/>
          </w:tcPr>
          <w:p w:rsidR="00403E79" w:rsidRPr="00403E79" w:rsidP="00403E79">
            <w:pPr>
              <w:bidi w:val="0"/>
              <w:spacing w:after="0" w:line="240" w:lineRule="auto"/>
              <w:rPr>
                <w:rFonts w:ascii="Arial Narrow" w:hAnsi="Arial Narrow" w:cs="Times New Roman"/>
                <w:color w:val="000000"/>
                <w:sz w:val="18"/>
                <w:szCs w:val="18"/>
              </w:rPr>
            </w:pPr>
            <w:r w:rsidRPr="00403E79">
              <w:rPr>
                <w:rFonts w:ascii="Arial Narrow" w:hAnsi="Arial Narrow" w:cs="Times New Roman"/>
                <w:color w:val="000000"/>
                <w:sz w:val="18"/>
                <w:szCs w:val="18"/>
              </w:rPr>
              <w:t xml:space="preserve">   úspora prostriedkov určených na financovanie spoločných programov SR a EÚ</w:t>
            </w:r>
          </w:p>
        </w:tc>
        <w:tc>
          <w:tcPr>
            <w:tcW w:w="1099" w:type="dxa"/>
            <w:tcBorders>
              <w:top w:val="nil"/>
              <w:left w:val="nil"/>
              <w:bottom w:val="single" w:sz="4" w:space="0" w:color="auto"/>
              <w:right w:val="single" w:sz="8" w:space="0" w:color="auto"/>
            </w:tcBorders>
            <w:noWrap/>
            <w:textDirection w:val="lrTb"/>
            <w:vAlign w:val="center"/>
            <w:hideMark/>
          </w:tcPr>
          <w:p w:rsidR="00403E79" w:rsidRPr="00403E79" w:rsidP="00403E79">
            <w:pPr>
              <w:bidi w:val="0"/>
              <w:spacing w:after="0" w:line="240" w:lineRule="auto"/>
              <w:jc w:val="right"/>
              <w:rPr>
                <w:rFonts w:ascii="Arial Narrow" w:hAnsi="Arial Narrow" w:cs="Times New Roman"/>
                <w:color w:val="000000"/>
                <w:sz w:val="18"/>
                <w:szCs w:val="18"/>
              </w:rPr>
            </w:pPr>
            <w:r w:rsidRPr="00403E79">
              <w:rPr>
                <w:rFonts w:ascii="Arial Narrow" w:hAnsi="Arial Narrow" w:cs="Times New Roman"/>
                <w:color w:val="000000"/>
                <w:sz w:val="18"/>
                <w:szCs w:val="18"/>
              </w:rPr>
              <w:t>210 000</w:t>
            </w:r>
          </w:p>
        </w:tc>
      </w:tr>
      <w:tr>
        <w:tblPrEx>
          <w:tblW w:w="9072" w:type="dxa"/>
          <w:tblInd w:w="58" w:type="dxa"/>
          <w:tblCellMar>
            <w:left w:w="70" w:type="dxa"/>
            <w:right w:w="70" w:type="dxa"/>
          </w:tblCellMar>
          <w:tblLook w:val="04A0"/>
        </w:tblPrEx>
        <w:trPr>
          <w:trHeight w:val="284"/>
        </w:trPr>
        <w:tc>
          <w:tcPr>
            <w:tcW w:w="7973" w:type="dxa"/>
            <w:tcBorders>
              <w:top w:val="nil"/>
              <w:left w:val="single" w:sz="8" w:space="0" w:color="auto"/>
              <w:bottom w:val="single" w:sz="4" w:space="0" w:color="auto"/>
              <w:right w:val="single" w:sz="4" w:space="0" w:color="auto"/>
            </w:tcBorders>
            <w:noWrap/>
            <w:textDirection w:val="lrTb"/>
            <w:vAlign w:val="center"/>
            <w:hideMark/>
          </w:tcPr>
          <w:p w:rsidR="00403E79" w:rsidRPr="00403E79" w:rsidP="00403E79">
            <w:pPr>
              <w:bidi w:val="0"/>
              <w:spacing w:after="0" w:line="240" w:lineRule="auto"/>
              <w:rPr>
                <w:rFonts w:ascii="Arial Narrow" w:hAnsi="Arial Narrow" w:cs="Times New Roman"/>
                <w:color w:val="000000"/>
                <w:sz w:val="18"/>
                <w:szCs w:val="18"/>
              </w:rPr>
            </w:pPr>
            <w:r w:rsidRPr="00403E79">
              <w:rPr>
                <w:rFonts w:ascii="Arial Narrow" w:hAnsi="Arial Narrow" w:cs="Times New Roman"/>
                <w:color w:val="000000"/>
                <w:sz w:val="18"/>
                <w:szCs w:val="18"/>
              </w:rPr>
              <w:t xml:space="preserve">   úspora výdavkov na obsluhu štátneho dlhu</w:t>
            </w:r>
          </w:p>
        </w:tc>
        <w:tc>
          <w:tcPr>
            <w:tcW w:w="1099" w:type="dxa"/>
            <w:tcBorders>
              <w:top w:val="nil"/>
              <w:left w:val="nil"/>
              <w:bottom w:val="single" w:sz="4" w:space="0" w:color="auto"/>
              <w:right w:val="single" w:sz="8" w:space="0" w:color="auto"/>
            </w:tcBorders>
            <w:noWrap/>
            <w:textDirection w:val="lrTb"/>
            <w:vAlign w:val="center"/>
            <w:hideMark/>
          </w:tcPr>
          <w:p w:rsidR="00403E79" w:rsidRPr="00403E79" w:rsidP="00403E79">
            <w:pPr>
              <w:bidi w:val="0"/>
              <w:spacing w:after="0" w:line="240" w:lineRule="auto"/>
              <w:jc w:val="right"/>
              <w:rPr>
                <w:rFonts w:ascii="Arial Narrow" w:hAnsi="Arial Narrow" w:cs="Times New Roman"/>
                <w:color w:val="000000"/>
                <w:sz w:val="18"/>
                <w:szCs w:val="18"/>
              </w:rPr>
            </w:pPr>
            <w:r w:rsidRPr="00403E79">
              <w:rPr>
                <w:rFonts w:ascii="Arial Narrow" w:hAnsi="Arial Narrow" w:cs="Times New Roman"/>
                <w:color w:val="000000"/>
                <w:sz w:val="18"/>
                <w:szCs w:val="18"/>
              </w:rPr>
              <w:t>100 000</w:t>
            </w:r>
          </w:p>
        </w:tc>
      </w:tr>
      <w:tr>
        <w:tblPrEx>
          <w:tblW w:w="9072" w:type="dxa"/>
          <w:tblInd w:w="58" w:type="dxa"/>
          <w:tblCellMar>
            <w:left w:w="70" w:type="dxa"/>
            <w:right w:w="70" w:type="dxa"/>
          </w:tblCellMar>
          <w:tblLook w:val="04A0"/>
        </w:tblPrEx>
        <w:trPr>
          <w:trHeight w:val="284"/>
        </w:trPr>
        <w:tc>
          <w:tcPr>
            <w:tcW w:w="7973" w:type="dxa"/>
            <w:tcBorders>
              <w:top w:val="nil"/>
              <w:left w:val="single" w:sz="8" w:space="0" w:color="auto"/>
              <w:bottom w:val="single" w:sz="4" w:space="0" w:color="auto"/>
              <w:right w:val="single" w:sz="4" w:space="0" w:color="auto"/>
            </w:tcBorders>
            <w:noWrap/>
            <w:textDirection w:val="lrTb"/>
            <w:vAlign w:val="center"/>
            <w:hideMark/>
          </w:tcPr>
          <w:p w:rsidR="00403E79" w:rsidRPr="00403E79" w:rsidP="00403E79">
            <w:pPr>
              <w:bidi w:val="0"/>
              <w:spacing w:after="0" w:line="240" w:lineRule="auto"/>
              <w:rPr>
                <w:rFonts w:ascii="Arial Narrow" w:hAnsi="Arial Narrow" w:cs="Times New Roman"/>
                <w:color w:val="000000"/>
                <w:sz w:val="18"/>
                <w:szCs w:val="18"/>
              </w:rPr>
            </w:pPr>
            <w:r w:rsidRPr="00403E79">
              <w:rPr>
                <w:rFonts w:ascii="Arial Narrow" w:hAnsi="Arial Narrow" w:cs="Times New Roman"/>
                <w:color w:val="000000"/>
                <w:sz w:val="18"/>
                <w:szCs w:val="18"/>
              </w:rPr>
              <w:t xml:space="preserve">   úspora na odvode SR do rozpočtu EÚ vrátane jej rezervy</w:t>
            </w:r>
          </w:p>
        </w:tc>
        <w:tc>
          <w:tcPr>
            <w:tcW w:w="1099" w:type="dxa"/>
            <w:tcBorders>
              <w:top w:val="nil"/>
              <w:left w:val="nil"/>
              <w:bottom w:val="single" w:sz="4" w:space="0" w:color="auto"/>
              <w:right w:val="single" w:sz="8" w:space="0" w:color="auto"/>
            </w:tcBorders>
            <w:noWrap/>
            <w:textDirection w:val="lrTb"/>
            <w:vAlign w:val="center"/>
            <w:hideMark/>
          </w:tcPr>
          <w:p w:rsidR="00403E79" w:rsidRPr="00403E79" w:rsidP="00403E79">
            <w:pPr>
              <w:bidi w:val="0"/>
              <w:spacing w:after="0" w:line="240" w:lineRule="auto"/>
              <w:jc w:val="right"/>
              <w:rPr>
                <w:rFonts w:ascii="Arial Narrow" w:hAnsi="Arial Narrow" w:cs="Times New Roman"/>
                <w:color w:val="000000"/>
                <w:sz w:val="18"/>
                <w:szCs w:val="18"/>
              </w:rPr>
            </w:pPr>
            <w:r w:rsidRPr="00403E79">
              <w:rPr>
                <w:rFonts w:ascii="Arial Narrow" w:hAnsi="Arial Narrow" w:cs="Times New Roman"/>
                <w:color w:val="000000"/>
                <w:sz w:val="18"/>
                <w:szCs w:val="18"/>
              </w:rPr>
              <w:t>37 260</w:t>
            </w:r>
          </w:p>
        </w:tc>
      </w:tr>
      <w:tr>
        <w:tblPrEx>
          <w:tblW w:w="9072" w:type="dxa"/>
          <w:tblInd w:w="58" w:type="dxa"/>
          <w:tblCellMar>
            <w:left w:w="70" w:type="dxa"/>
            <w:right w:w="70" w:type="dxa"/>
          </w:tblCellMar>
          <w:tblLook w:val="04A0"/>
        </w:tblPrEx>
        <w:trPr>
          <w:trHeight w:val="284"/>
        </w:trPr>
        <w:tc>
          <w:tcPr>
            <w:tcW w:w="7973" w:type="dxa"/>
            <w:tcBorders>
              <w:top w:val="nil"/>
              <w:left w:val="single" w:sz="8" w:space="0" w:color="auto"/>
              <w:bottom w:val="single" w:sz="4" w:space="0" w:color="auto"/>
              <w:right w:val="single" w:sz="4" w:space="0" w:color="auto"/>
            </w:tcBorders>
            <w:noWrap/>
            <w:textDirection w:val="lrTb"/>
            <w:vAlign w:val="center"/>
            <w:hideMark/>
          </w:tcPr>
          <w:p w:rsidR="00403E79" w:rsidRPr="00403E79" w:rsidP="00403E79">
            <w:pPr>
              <w:bidi w:val="0"/>
              <w:spacing w:after="0" w:line="240" w:lineRule="auto"/>
              <w:rPr>
                <w:rFonts w:ascii="Arial Narrow" w:hAnsi="Arial Narrow" w:cs="Times New Roman"/>
                <w:color w:val="000000"/>
                <w:sz w:val="18"/>
                <w:szCs w:val="18"/>
              </w:rPr>
            </w:pPr>
            <w:r w:rsidRPr="00403E79">
              <w:rPr>
                <w:rFonts w:ascii="Arial Narrow" w:hAnsi="Arial Narrow" w:cs="Times New Roman"/>
                <w:color w:val="000000"/>
                <w:sz w:val="18"/>
                <w:szCs w:val="18"/>
              </w:rPr>
              <w:t xml:space="preserve">   dofinancovanie ŽSR a ZSSK, vrátane záväzku MVRR SR za rok 2011</w:t>
            </w:r>
          </w:p>
        </w:tc>
        <w:tc>
          <w:tcPr>
            <w:tcW w:w="1099" w:type="dxa"/>
            <w:tcBorders>
              <w:top w:val="nil"/>
              <w:left w:val="nil"/>
              <w:bottom w:val="single" w:sz="4" w:space="0" w:color="auto"/>
              <w:right w:val="single" w:sz="8" w:space="0" w:color="auto"/>
            </w:tcBorders>
            <w:noWrap/>
            <w:textDirection w:val="lrTb"/>
            <w:vAlign w:val="center"/>
            <w:hideMark/>
          </w:tcPr>
          <w:p w:rsidR="00403E79" w:rsidRPr="00403E79" w:rsidP="00403E79">
            <w:pPr>
              <w:bidi w:val="0"/>
              <w:spacing w:after="0" w:line="240" w:lineRule="auto"/>
              <w:jc w:val="right"/>
              <w:rPr>
                <w:rFonts w:ascii="Arial Narrow" w:hAnsi="Arial Narrow" w:cs="Times New Roman"/>
                <w:color w:val="000000"/>
                <w:sz w:val="18"/>
                <w:szCs w:val="18"/>
              </w:rPr>
            </w:pPr>
            <w:r w:rsidRPr="00403E79">
              <w:rPr>
                <w:rFonts w:ascii="Arial Narrow" w:hAnsi="Arial Narrow" w:cs="Times New Roman"/>
                <w:color w:val="000000"/>
                <w:sz w:val="18"/>
                <w:szCs w:val="18"/>
              </w:rPr>
              <w:t>-230 627</w:t>
            </w:r>
          </w:p>
        </w:tc>
      </w:tr>
      <w:tr>
        <w:tblPrEx>
          <w:tblW w:w="9072" w:type="dxa"/>
          <w:tblInd w:w="58" w:type="dxa"/>
          <w:tblCellMar>
            <w:left w:w="70" w:type="dxa"/>
            <w:right w:w="70" w:type="dxa"/>
          </w:tblCellMar>
          <w:tblLook w:val="04A0"/>
        </w:tblPrEx>
        <w:trPr>
          <w:trHeight w:val="284"/>
        </w:trPr>
        <w:tc>
          <w:tcPr>
            <w:tcW w:w="7973" w:type="dxa"/>
            <w:tcBorders>
              <w:top w:val="nil"/>
              <w:left w:val="single" w:sz="8" w:space="0" w:color="auto"/>
              <w:bottom w:val="single" w:sz="4" w:space="0" w:color="auto"/>
              <w:right w:val="single" w:sz="4" w:space="0" w:color="auto"/>
            </w:tcBorders>
            <w:noWrap/>
            <w:textDirection w:val="lrTb"/>
            <w:vAlign w:val="center"/>
            <w:hideMark/>
          </w:tcPr>
          <w:p w:rsidR="00403E79" w:rsidRPr="00403E79" w:rsidP="00403E79">
            <w:pPr>
              <w:bidi w:val="0"/>
              <w:spacing w:after="0" w:line="240" w:lineRule="auto"/>
              <w:rPr>
                <w:rFonts w:ascii="Arial Narrow" w:hAnsi="Arial Narrow" w:cs="Times New Roman"/>
                <w:color w:val="000000"/>
                <w:sz w:val="18"/>
                <w:szCs w:val="18"/>
              </w:rPr>
            </w:pPr>
            <w:r w:rsidRPr="00403E79">
              <w:rPr>
                <w:rFonts w:ascii="Arial Narrow" w:hAnsi="Arial Narrow" w:cs="Times New Roman"/>
                <w:color w:val="000000"/>
                <w:sz w:val="18"/>
                <w:szCs w:val="18"/>
              </w:rPr>
              <w:t xml:space="preserve">   zadlženosť zdravotníckych zariadení</w:t>
            </w:r>
          </w:p>
        </w:tc>
        <w:tc>
          <w:tcPr>
            <w:tcW w:w="1099" w:type="dxa"/>
            <w:tcBorders>
              <w:top w:val="nil"/>
              <w:left w:val="nil"/>
              <w:bottom w:val="single" w:sz="4" w:space="0" w:color="auto"/>
              <w:right w:val="single" w:sz="8" w:space="0" w:color="auto"/>
            </w:tcBorders>
            <w:noWrap/>
            <w:textDirection w:val="lrTb"/>
            <w:vAlign w:val="center"/>
            <w:hideMark/>
          </w:tcPr>
          <w:p w:rsidR="00403E79" w:rsidRPr="00403E79" w:rsidP="00403E79">
            <w:pPr>
              <w:bidi w:val="0"/>
              <w:spacing w:after="0" w:line="240" w:lineRule="auto"/>
              <w:jc w:val="right"/>
              <w:rPr>
                <w:rFonts w:ascii="Arial Narrow" w:hAnsi="Arial Narrow" w:cs="Times New Roman"/>
                <w:color w:val="000000"/>
                <w:sz w:val="18"/>
                <w:szCs w:val="18"/>
              </w:rPr>
            </w:pPr>
            <w:r w:rsidRPr="00403E79">
              <w:rPr>
                <w:rFonts w:ascii="Arial Narrow" w:hAnsi="Arial Narrow" w:cs="Times New Roman"/>
                <w:color w:val="000000"/>
                <w:sz w:val="18"/>
                <w:szCs w:val="18"/>
              </w:rPr>
              <w:t>-100 000</w:t>
            </w:r>
          </w:p>
        </w:tc>
      </w:tr>
      <w:tr>
        <w:tblPrEx>
          <w:tblW w:w="9072" w:type="dxa"/>
          <w:tblInd w:w="58" w:type="dxa"/>
          <w:tblCellMar>
            <w:left w:w="70" w:type="dxa"/>
            <w:right w:w="70" w:type="dxa"/>
          </w:tblCellMar>
          <w:tblLook w:val="04A0"/>
        </w:tblPrEx>
        <w:trPr>
          <w:trHeight w:val="284"/>
        </w:trPr>
        <w:tc>
          <w:tcPr>
            <w:tcW w:w="7973" w:type="dxa"/>
            <w:tcBorders>
              <w:top w:val="nil"/>
              <w:left w:val="single" w:sz="8" w:space="0" w:color="auto"/>
              <w:bottom w:val="single" w:sz="4" w:space="0" w:color="auto"/>
              <w:right w:val="single" w:sz="4" w:space="0" w:color="auto"/>
            </w:tcBorders>
            <w:noWrap/>
            <w:textDirection w:val="lrTb"/>
            <w:vAlign w:val="center"/>
            <w:hideMark/>
          </w:tcPr>
          <w:p w:rsidR="00BF5F38" w:rsidRPr="00403E79" w:rsidP="00F62B44">
            <w:pPr>
              <w:bidi w:val="0"/>
              <w:spacing w:after="0" w:line="240" w:lineRule="auto"/>
              <w:rPr>
                <w:rFonts w:ascii="Arial Narrow" w:hAnsi="Arial Narrow" w:cs="Times New Roman"/>
                <w:color w:val="000000"/>
                <w:sz w:val="18"/>
                <w:szCs w:val="18"/>
              </w:rPr>
            </w:pPr>
            <w:r w:rsidRPr="00BE54FF">
              <w:rPr>
                <w:rFonts w:ascii="Arial Narrow" w:hAnsi="Arial Narrow" w:cs="Arial"/>
                <w:color w:val="000000"/>
                <w:sz w:val="18"/>
                <w:szCs w:val="18"/>
              </w:rPr>
              <w:t xml:space="preserve">   prekročenie základných výdavkov na chod štátu </w:t>
            </w:r>
          </w:p>
        </w:tc>
        <w:tc>
          <w:tcPr>
            <w:tcW w:w="1099" w:type="dxa"/>
            <w:tcBorders>
              <w:top w:val="nil"/>
              <w:left w:val="nil"/>
              <w:bottom w:val="single" w:sz="4" w:space="0" w:color="auto"/>
              <w:right w:val="single" w:sz="8" w:space="0" w:color="auto"/>
            </w:tcBorders>
            <w:noWrap/>
            <w:textDirection w:val="lrTb"/>
            <w:vAlign w:val="center"/>
            <w:hideMark/>
          </w:tcPr>
          <w:p w:rsidR="00BF5F38" w:rsidRPr="00403E79" w:rsidP="00403E79">
            <w:pPr>
              <w:bidi w:val="0"/>
              <w:spacing w:after="0" w:line="240" w:lineRule="auto"/>
              <w:jc w:val="right"/>
              <w:rPr>
                <w:rFonts w:ascii="Arial Narrow" w:hAnsi="Arial Narrow" w:cs="Times New Roman"/>
                <w:color w:val="000000"/>
                <w:sz w:val="18"/>
                <w:szCs w:val="18"/>
              </w:rPr>
            </w:pPr>
            <w:r w:rsidRPr="00403E79">
              <w:rPr>
                <w:rFonts w:ascii="Arial Narrow" w:hAnsi="Arial Narrow" w:cs="Times New Roman"/>
                <w:color w:val="000000"/>
                <w:sz w:val="18"/>
                <w:szCs w:val="18"/>
              </w:rPr>
              <w:t>-90 697</w:t>
            </w:r>
          </w:p>
        </w:tc>
      </w:tr>
      <w:tr>
        <w:tblPrEx>
          <w:tblW w:w="9072" w:type="dxa"/>
          <w:tblInd w:w="58" w:type="dxa"/>
          <w:tblCellMar>
            <w:left w:w="70" w:type="dxa"/>
            <w:right w:w="70" w:type="dxa"/>
          </w:tblCellMar>
          <w:tblLook w:val="04A0"/>
        </w:tblPrEx>
        <w:trPr>
          <w:trHeight w:val="284"/>
        </w:trPr>
        <w:tc>
          <w:tcPr>
            <w:tcW w:w="7973" w:type="dxa"/>
            <w:tcBorders>
              <w:top w:val="nil"/>
              <w:left w:val="single" w:sz="8" w:space="0" w:color="auto"/>
              <w:bottom w:val="single" w:sz="4" w:space="0" w:color="auto"/>
              <w:right w:val="single" w:sz="4" w:space="0" w:color="auto"/>
            </w:tcBorders>
            <w:noWrap/>
            <w:textDirection w:val="lrTb"/>
            <w:vAlign w:val="center"/>
            <w:hideMark/>
          </w:tcPr>
          <w:p w:rsidR="00F62B44" w:rsidRPr="00BE54FF" w:rsidP="00403E79">
            <w:pPr>
              <w:bidi w:val="0"/>
              <w:spacing w:after="0" w:line="240" w:lineRule="auto"/>
              <w:rPr>
                <w:rFonts w:ascii="Arial Narrow" w:hAnsi="Arial Narrow" w:cs="Arial"/>
                <w:color w:val="000000"/>
                <w:sz w:val="18"/>
                <w:szCs w:val="18"/>
              </w:rPr>
            </w:pPr>
            <w:r>
              <w:rPr>
                <w:rFonts w:ascii="Arial Narrow" w:hAnsi="Arial Narrow" w:cs="Arial"/>
                <w:color w:val="000000"/>
                <w:sz w:val="18"/>
                <w:szCs w:val="18"/>
              </w:rPr>
              <w:t xml:space="preserve">        z toho:</w:t>
            </w:r>
            <w:r w:rsidRPr="00BE54FF">
              <w:rPr>
                <w:rFonts w:ascii="Arial Narrow" w:hAnsi="Arial Narrow" w:cs="Arial"/>
                <w:color w:val="000000"/>
                <w:sz w:val="18"/>
                <w:szCs w:val="18"/>
              </w:rPr>
              <w:t xml:space="preserve"> čerpanie presunutých limitov výdavkov z minulých rokov</w:t>
            </w:r>
          </w:p>
        </w:tc>
        <w:tc>
          <w:tcPr>
            <w:tcW w:w="1099" w:type="dxa"/>
            <w:tcBorders>
              <w:top w:val="nil"/>
              <w:left w:val="nil"/>
              <w:bottom w:val="single" w:sz="4" w:space="0" w:color="auto"/>
              <w:right w:val="single" w:sz="8" w:space="0" w:color="auto"/>
            </w:tcBorders>
            <w:noWrap/>
            <w:textDirection w:val="lrTb"/>
            <w:vAlign w:val="center"/>
            <w:hideMark/>
          </w:tcPr>
          <w:p w:rsidR="00F62B44" w:rsidRPr="00BE54FF" w:rsidP="00403E79">
            <w:pPr>
              <w:bidi w:val="0"/>
              <w:spacing w:after="0" w:line="240" w:lineRule="auto"/>
              <w:jc w:val="right"/>
              <w:rPr>
                <w:rFonts w:ascii="Arial Narrow" w:hAnsi="Arial Narrow" w:cs="Arial"/>
                <w:color w:val="000000"/>
                <w:sz w:val="18"/>
                <w:szCs w:val="18"/>
              </w:rPr>
            </w:pPr>
            <w:r w:rsidRPr="00BE54FF">
              <w:rPr>
                <w:rFonts w:ascii="Arial Narrow" w:hAnsi="Arial Narrow" w:cs="Arial"/>
                <w:color w:val="000000"/>
                <w:sz w:val="18"/>
                <w:szCs w:val="18"/>
              </w:rPr>
              <w:t>-159 031</w:t>
            </w:r>
          </w:p>
        </w:tc>
      </w:tr>
      <w:tr>
        <w:tblPrEx>
          <w:tblW w:w="9072" w:type="dxa"/>
          <w:tblInd w:w="58" w:type="dxa"/>
          <w:tblCellMar>
            <w:left w:w="70" w:type="dxa"/>
            <w:right w:w="70" w:type="dxa"/>
          </w:tblCellMar>
          <w:tblLook w:val="04A0"/>
        </w:tblPrEx>
        <w:trPr>
          <w:trHeight w:val="284"/>
        </w:trPr>
        <w:tc>
          <w:tcPr>
            <w:tcW w:w="7973" w:type="dxa"/>
            <w:tcBorders>
              <w:top w:val="nil"/>
              <w:left w:val="single" w:sz="8" w:space="0" w:color="auto"/>
              <w:bottom w:val="single" w:sz="4" w:space="0" w:color="auto"/>
              <w:right w:val="single" w:sz="4" w:space="0" w:color="auto"/>
            </w:tcBorders>
            <w:noWrap/>
            <w:textDirection w:val="lrTb"/>
            <w:vAlign w:val="center"/>
            <w:hideMark/>
          </w:tcPr>
          <w:p w:rsidR="00BF5F38" w:rsidRPr="00403E79" w:rsidP="00312CF3">
            <w:pPr>
              <w:bidi w:val="0"/>
              <w:spacing w:after="0" w:line="240" w:lineRule="auto"/>
              <w:rPr>
                <w:rFonts w:ascii="Arial Narrow" w:hAnsi="Arial Narrow" w:cs="Times New Roman"/>
                <w:color w:val="000000"/>
                <w:sz w:val="18"/>
                <w:szCs w:val="18"/>
              </w:rPr>
            </w:pPr>
            <w:r w:rsidRPr="00BE54FF">
              <w:rPr>
                <w:rFonts w:ascii="Arial Narrow" w:hAnsi="Arial Narrow" w:cs="Arial"/>
                <w:color w:val="000000"/>
                <w:sz w:val="18"/>
                <w:szCs w:val="18"/>
              </w:rPr>
              <w:t xml:space="preserve">   </w:t>
            </w:r>
            <w:r w:rsidR="00F62B44">
              <w:rPr>
                <w:rFonts w:ascii="Arial Narrow" w:hAnsi="Arial Narrow" w:cs="Arial"/>
                <w:color w:val="000000"/>
                <w:sz w:val="18"/>
                <w:szCs w:val="18"/>
              </w:rPr>
              <w:t xml:space="preserve">     z toho: </w:t>
            </w:r>
            <w:r w:rsidRPr="00BE54FF">
              <w:rPr>
                <w:rFonts w:ascii="Arial Narrow" w:hAnsi="Arial Narrow" w:cs="Arial"/>
                <w:color w:val="000000"/>
                <w:sz w:val="18"/>
                <w:szCs w:val="18"/>
              </w:rPr>
              <w:t>iné úspory základných výdavkov na chod štátu</w:t>
            </w:r>
          </w:p>
        </w:tc>
        <w:tc>
          <w:tcPr>
            <w:tcW w:w="1099" w:type="dxa"/>
            <w:tcBorders>
              <w:top w:val="nil"/>
              <w:left w:val="nil"/>
              <w:bottom w:val="single" w:sz="4" w:space="0" w:color="auto"/>
              <w:right w:val="single" w:sz="8" w:space="0" w:color="auto"/>
            </w:tcBorders>
            <w:noWrap/>
            <w:textDirection w:val="lrTb"/>
            <w:vAlign w:val="center"/>
            <w:hideMark/>
          </w:tcPr>
          <w:p w:rsidR="00BF5F38" w:rsidRPr="00403E79" w:rsidP="00403E79">
            <w:pPr>
              <w:bidi w:val="0"/>
              <w:spacing w:after="0" w:line="240" w:lineRule="auto"/>
              <w:jc w:val="right"/>
              <w:rPr>
                <w:rFonts w:ascii="Arial Narrow" w:hAnsi="Arial Narrow" w:cs="Times New Roman"/>
                <w:color w:val="000000"/>
                <w:sz w:val="18"/>
                <w:szCs w:val="18"/>
              </w:rPr>
            </w:pPr>
            <w:r w:rsidRPr="00BE54FF">
              <w:rPr>
                <w:rFonts w:ascii="Arial Narrow" w:hAnsi="Arial Narrow" w:cs="Arial"/>
                <w:color w:val="000000"/>
                <w:sz w:val="18"/>
                <w:szCs w:val="18"/>
              </w:rPr>
              <w:t>68 334</w:t>
            </w:r>
          </w:p>
        </w:tc>
      </w:tr>
      <w:tr>
        <w:tblPrEx>
          <w:tblW w:w="9072" w:type="dxa"/>
          <w:tblInd w:w="58" w:type="dxa"/>
          <w:tblCellMar>
            <w:left w:w="70" w:type="dxa"/>
            <w:right w:w="70" w:type="dxa"/>
          </w:tblCellMar>
          <w:tblLook w:val="04A0"/>
        </w:tblPrEx>
        <w:trPr>
          <w:trHeight w:val="284"/>
        </w:trPr>
        <w:tc>
          <w:tcPr>
            <w:tcW w:w="7973" w:type="dxa"/>
            <w:tcBorders>
              <w:top w:val="nil"/>
              <w:left w:val="single" w:sz="8" w:space="0" w:color="auto"/>
              <w:bottom w:val="single" w:sz="4" w:space="0" w:color="auto"/>
              <w:right w:val="single" w:sz="4" w:space="0" w:color="auto"/>
            </w:tcBorders>
            <w:noWrap/>
            <w:textDirection w:val="lrTb"/>
            <w:vAlign w:val="center"/>
            <w:hideMark/>
          </w:tcPr>
          <w:p w:rsidR="00403E79" w:rsidRPr="00403E79" w:rsidP="00403E79">
            <w:pPr>
              <w:bidi w:val="0"/>
              <w:spacing w:after="0" w:line="240" w:lineRule="auto"/>
              <w:rPr>
                <w:rFonts w:ascii="Arial Narrow" w:hAnsi="Arial Narrow" w:cs="Times New Roman"/>
                <w:color w:val="000000"/>
                <w:sz w:val="18"/>
                <w:szCs w:val="18"/>
              </w:rPr>
            </w:pPr>
            <w:r w:rsidRPr="00403E79">
              <w:rPr>
                <w:rFonts w:ascii="Arial Narrow" w:hAnsi="Arial Narrow" w:cs="Times New Roman"/>
                <w:color w:val="000000"/>
                <w:sz w:val="18"/>
                <w:szCs w:val="18"/>
              </w:rPr>
              <w:t xml:space="preserve">   lepšie hospodárenie štátnych finančných aktív*</w:t>
            </w:r>
          </w:p>
        </w:tc>
        <w:tc>
          <w:tcPr>
            <w:tcW w:w="1099" w:type="dxa"/>
            <w:tcBorders>
              <w:top w:val="nil"/>
              <w:left w:val="nil"/>
              <w:bottom w:val="single" w:sz="4" w:space="0" w:color="auto"/>
              <w:right w:val="single" w:sz="8" w:space="0" w:color="auto"/>
            </w:tcBorders>
            <w:noWrap/>
            <w:textDirection w:val="lrTb"/>
            <w:vAlign w:val="center"/>
            <w:hideMark/>
          </w:tcPr>
          <w:p w:rsidR="00403E79" w:rsidRPr="00403E79" w:rsidP="00403E79">
            <w:pPr>
              <w:bidi w:val="0"/>
              <w:spacing w:after="0" w:line="240" w:lineRule="auto"/>
              <w:jc w:val="right"/>
              <w:rPr>
                <w:rFonts w:ascii="Arial Narrow" w:hAnsi="Arial Narrow" w:cs="Times New Roman"/>
                <w:color w:val="000000"/>
                <w:sz w:val="18"/>
                <w:szCs w:val="18"/>
              </w:rPr>
            </w:pPr>
            <w:r w:rsidRPr="00403E79">
              <w:rPr>
                <w:rFonts w:ascii="Arial Narrow" w:hAnsi="Arial Narrow" w:cs="Times New Roman"/>
                <w:color w:val="000000"/>
                <w:sz w:val="18"/>
                <w:szCs w:val="18"/>
              </w:rPr>
              <w:t>20 036</w:t>
            </w:r>
          </w:p>
        </w:tc>
      </w:tr>
      <w:tr>
        <w:tblPrEx>
          <w:tblW w:w="9072" w:type="dxa"/>
          <w:tblInd w:w="58" w:type="dxa"/>
          <w:tblCellMar>
            <w:left w:w="70" w:type="dxa"/>
            <w:right w:w="70" w:type="dxa"/>
          </w:tblCellMar>
          <w:tblLook w:val="04A0"/>
        </w:tblPrEx>
        <w:trPr>
          <w:trHeight w:val="284"/>
        </w:trPr>
        <w:tc>
          <w:tcPr>
            <w:tcW w:w="7973" w:type="dxa"/>
            <w:tcBorders>
              <w:top w:val="nil"/>
              <w:left w:val="single" w:sz="8" w:space="0" w:color="auto"/>
              <w:bottom w:val="single" w:sz="4" w:space="0" w:color="auto"/>
              <w:right w:val="single" w:sz="4" w:space="0" w:color="auto"/>
            </w:tcBorders>
            <w:noWrap/>
            <w:textDirection w:val="lrTb"/>
            <w:vAlign w:val="center"/>
            <w:hideMark/>
          </w:tcPr>
          <w:p w:rsidR="00403E79" w:rsidRPr="00403E79" w:rsidP="00403E79">
            <w:pPr>
              <w:bidi w:val="0"/>
              <w:spacing w:after="0" w:line="240" w:lineRule="auto"/>
              <w:rPr>
                <w:rFonts w:ascii="Arial Narrow" w:hAnsi="Arial Narrow" w:cs="Times New Roman"/>
                <w:b/>
                <w:bCs/>
                <w:color w:val="000000"/>
                <w:sz w:val="18"/>
                <w:szCs w:val="18"/>
              </w:rPr>
            </w:pPr>
            <w:r w:rsidRPr="00403E79">
              <w:rPr>
                <w:rFonts w:ascii="Arial Narrow" w:hAnsi="Arial Narrow" w:cs="Times New Roman"/>
                <w:b/>
                <w:bCs/>
                <w:color w:val="000000"/>
                <w:sz w:val="18"/>
                <w:szCs w:val="18"/>
              </w:rPr>
              <w:t>B. Subjekty verejnej správy</w:t>
            </w:r>
          </w:p>
        </w:tc>
        <w:tc>
          <w:tcPr>
            <w:tcW w:w="1099" w:type="dxa"/>
            <w:tcBorders>
              <w:top w:val="nil"/>
              <w:left w:val="nil"/>
              <w:bottom w:val="single" w:sz="4" w:space="0" w:color="auto"/>
              <w:right w:val="single" w:sz="8" w:space="0" w:color="auto"/>
            </w:tcBorders>
            <w:noWrap/>
            <w:textDirection w:val="lrTb"/>
            <w:vAlign w:val="center"/>
            <w:hideMark/>
          </w:tcPr>
          <w:p w:rsidR="00403E79" w:rsidRPr="00403E79" w:rsidP="00403E79">
            <w:pPr>
              <w:bidi w:val="0"/>
              <w:spacing w:after="0" w:line="240" w:lineRule="auto"/>
              <w:jc w:val="right"/>
              <w:rPr>
                <w:rFonts w:ascii="Arial Narrow" w:hAnsi="Arial Narrow" w:cs="Times New Roman"/>
                <w:b/>
                <w:bCs/>
                <w:color w:val="000000"/>
                <w:sz w:val="18"/>
                <w:szCs w:val="18"/>
              </w:rPr>
            </w:pPr>
            <w:r w:rsidRPr="00403E79">
              <w:rPr>
                <w:rFonts w:ascii="Arial Narrow" w:hAnsi="Arial Narrow" w:cs="Times New Roman"/>
                <w:b/>
                <w:bCs/>
                <w:color w:val="000000"/>
                <w:sz w:val="18"/>
                <w:szCs w:val="18"/>
              </w:rPr>
              <w:t>-88 148</w:t>
            </w:r>
          </w:p>
        </w:tc>
      </w:tr>
      <w:tr>
        <w:tblPrEx>
          <w:tblW w:w="9072" w:type="dxa"/>
          <w:tblInd w:w="58" w:type="dxa"/>
          <w:tblCellMar>
            <w:left w:w="70" w:type="dxa"/>
            <w:right w:w="70" w:type="dxa"/>
          </w:tblCellMar>
          <w:tblLook w:val="04A0"/>
        </w:tblPrEx>
        <w:trPr>
          <w:trHeight w:val="284"/>
        </w:trPr>
        <w:tc>
          <w:tcPr>
            <w:tcW w:w="7973" w:type="dxa"/>
            <w:tcBorders>
              <w:top w:val="nil"/>
              <w:left w:val="single" w:sz="8" w:space="0" w:color="auto"/>
              <w:bottom w:val="single" w:sz="4" w:space="0" w:color="auto"/>
              <w:right w:val="single" w:sz="4" w:space="0" w:color="auto"/>
            </w:tcBorders>
            <w:noWrap/>
            <w:textDirection w:val="lrTb"/>
            <w:vAlign w:val="center"/>
            <w:hideMark/>
          </w:tcPr>
          <w:p w:rsidR="00403E79" w:rsidRPr="00403E79" w:rsidP="00403E79">
            <w:pPr>
              <w:bidi w:val="0"/>
              <w:spacing w:after="0" w:line="240" w:lineRule="auto"/>
              <w:rPr>
                <w:rFonts w:ascii="Arial Narrow" w:hAnsi="Arial Narrow" w:cs="Times New Roman"/>
                <w:color w:val="000000"/>
                <w:sz w:val="18"/>
                <w:szCs w:val="18"/>
              </w:rPr>
            </w:pPr>
            <w:r w:rsidRPr="00403E79">
              <w:rPr>
                <w:rFonts w:ascii="Arial Narrow" w:hAnsi="Arial Narrow" w:cs="Times New Roman"/>
                <w:color w:val="000000"/>
                <w:sz w:val="18"/>
                <w:szCs w:val="18"/>
              </w:rPr>
              <w:t xml:space="preserve">   Environmentálny fond</w:t>
            </w:r>
          </w:p>
        </w:tc>
        <w:tc>
          <w:tcPr>
            <w:tcW w:w="1099" w:type="dxa"/>
            <w:tcBorders>
              <w:top w:val="nil"/>
              <w:left w:val="nil"/>
              <w:bottom w:val="single" w:sz="4" w:space="0" w:color="auto"/>
              <w:right w:val="single" w:sz="8" w:space="0" w:color="auto"/>
            </w:tcBorders>
            <w:noWrap/>
            <w:textDirection w:val="lrTb"/>
            <w:vAlign w:val="center"/>
            <w:hideMark/>
          </w:tcPr>
          <w:p w:rsidR="00403E79" w:rsidRPr="00403E79" w:rsidP="00403E79">
            <w:pPr>
              <w:bidi w:val="0"/>
              <w:spacing w:after="0" w:line="240" w:lineRule="auto"/>
              <w:jc w:val="right"/>
              <w:rPr>
                <w:rFonts w:ascii="Arial Narrow" w:hAnsi="Arial Narrow" w:cs="Times New Roman"/>
                <w:color w:val="000000"/>
                <w:sz w:val="18"/>
                <w:szCs w:val="18"/>
              </w:rPr>
            </w:pPr>
            <w:r w:rsidRPr="00403E79">
              <w:rPr>
                <w:rFonts w:ascii="Arial Narrow" w:hAnsi="Arial Narrow" w:cs="Times New Roman"/>
                <w:color w:val="000000"/>
                <w:sz w:val="18"/>
                <w:szCs w:val="18"/>
              </w:rPr>
              <w:t>-79 424</w:t>
            </w:r>
          </w:p>
        </w:tc>
      </w:tr>
      <w:tr>
        <w:tblPrEx>
          <w:tblW w:w="9072" w:type="dxa"/>
          <w:tblInd w:w="58" w:type="dxa"/>
          <w:tblCellMar>
            <w:left w:w="70" w:type="dxa"/>
            <w:right w:w="70" w:type="dxa"/>
          </w:tblCellMar>
          <w:tblLook w:val="04A0"/>
        </w:tblPrEx>
        <w:trPr>
          <w:trHeight w:val="284"/>
        </w:trPr>
        <w:tc>
          <w:tcPr>
            <w:tcW w:w="7973" w:type="dxa"/>
            <w:tcBorders>
              <w:top w:val="nil"/>
              <w:left w:val="single" w:sz="8" w:space="0" w:color="auto"/>
              <w:bottom w:val="single" w:sz="4" w:space="0" w:color="auto"/>
              <w:right w:val="single" w:sz="4" w:space="0" w:color="auto"/>
            </w:tcBorders>
            <w:noWrap/>
            <w:textDirection w:val="lrTb"/>
            <w:vAlign w:val="center"/>
            <w:hideMark/>
          </w:tcPr>
          <w:p w:rsidR="00403E79" w:rsidRPr="00403E79" w:rsidP="00403E79">
            <w:pPr>
              <w:bidi w:val="0"/>
              <w:spacing w:after="0" w:line="240" w:lineRule="auto"/>
              <w:rPr>
                <w:rFonts w:ascii="Arial Narrow" w:hAnsi="Arial Narrow" w:cs="Times New Roman"/>
                <w:color w:val="000000"/>
                <w:sz w:val="18"/>
                <w:szCs w:val="18"/>
              </w:rPr>
            </w:pPr>
            <w:r w:rsidRPr="00403E79">
              <w:rPr>
                <w:rFonts w:ascii="Arial Narrow" w:hAnsi="Arial Narrow" w:cs="Times New Roman"/>
                <w:color w:val="000000"/>
                <w:sz w:val="18"/>
                <w:szCs w:val="18"/>
              </w:rPr>
              <w:t xml:space="preserve">   Územná samospráva (obce a VÚC)</w:t>
            </w:r>
          </w:p>
        </w:tc>
        <w:tc>
          <w:tcPr>
            <w:tcW w:w="1099" w:type="dxa"/>
            <w:tcBorders>
              <w:top w:val="nil"/>
              <w:left w:val="nil"/>
              <w:bottom w:val="single" w:sz="4" w:space="0" w:color="auto"/>
              <w:right w:val="single" w:sz="8" w:space="0" w:color="auto"/>
            </w:tcBorders>
            <w:noWrap/>
            <w:textDirection w:val="lrTb"/>
            <w:vAlign w:val="center"/>
            <w:hideMark/>
          </w:tcPr>
          <w:p w:rsidR="00403E79" w:rsidRPr="00403E79" w:rsidP="00403E79">
            <w:pPr>
              <w:bidi w:val="0"/>
              <w:spacing w:after="0" w:line="240" w:lineRule="auto"/>
              <w:jc w:val="right"/>
              <w:rPr>
                <w:rFonts w:ascii="Arial Narrow" w:hAnsi="Arial Narrow" w:cs="Times New Roman"/>
                <w:color w:val="000000"/>
                <w:sz w:val="18"/>
                <w:szCs w:val="18"/>
              </w:rPr>
            </w:pPr>
            <w:r w:rsidRPr="00403E79">
              <w:rPr>
                <w:rFonts w:ascii="Arial Narrow" w:hAnsi="Arial Narrow" w:cs="Times New Roman"/>
                <w:color w:val="000000"/>
                <w:sz w:val="18"/>
                <w:szCs w:val="18"/>
              </w:rPr>
              <w:t>-26 277</w:t>
            </w:r>
          </w:p>
        </w:tc>
      </w:tr>
      <w:tr>
        <w:tblPrEx>
          <w:tblW w:w="9072" w:type="dxa"/>
          <w:tblInd w:w="58" w:type="dxa"/>
          <w:tblCellMar>
            <w:left w:w="70" w:type="dxa"/>
            <w:right w:w="70" w:type="dxa"/>
          </w:tblCellMar>
          <w:tblLook w:val="04A0"/>
        </w:tblPrEx>
        <w:trPr>
          <w:trHeight w:val="284"/>
        </w:trPr>
        <w:tc>
          <w:tcPr>
            <w:tcW w:w="7973" w:type="dxa"/>
            <w:tcBorders>
              <w:top w:val="nil"/>
              <w:left w:val="single" w:sz="8" w:space="0" w:color="auto"/>
              <w:bottom w:val="single" w:sz="4" w:space="0" w:color="auto"/>
              <w:right w:val="single" w:sz="4" w:space="0" w:color="auto"/>
            </w:tcBorders>
            <w:noWrap/>
            <w:textDirection w:val="lrTb"/>
            <w:vAlign w:val="center"/>
            <w:hideMark/>
          </w:tcPr>
          <w:p w:rsidR="00403E79" w:rsidRPr="00403E79" w:rsidP="00403E79">
            <w:pPr>
              <w:bidi w:val="0"/>
              <w:spacing w:after="0" w:line="240" w:lineRule="auto"/>
              <w:rPr>
                <w:rFonts w:ascii="Arial Narrow" w:hAnsi="Arial Narrow" w:cs="Times New Roman"/>
                <w:color w:val="000000"/>
                <w:sz w:val="18"/>
                <w:szCs w:val="18"/>
              </w:rPr>
            </w:pPr>
            <w:r w:rsidRPr="00403E79">
              <w:rPr>
                <w:rFonts w:ascii="Arial Narrow" w:hAnsi="Arial Narrow" w:cs="Times New Roman"/>
                <w:color w:val="000000"/>
                <w:sz w:val="18"/>
                <w:szCs w:val="18"/>
              </w:rPr>
              <w:t xml:space="preserve">   Národný jadrový fond </w:t>
            </w:r>
          </w:p>
        </w:tc>
        <w:tc>
          <w:tcPr>
            <w:tcW w:w="1099" w:type="dxa"/>
            <w:tcBorders>
              <w:top w:val="nil"/>
              <w:left w:val="nil"/>
              <w:bottom w:val="single" w:sz="4" w:space="0" w:color="auto"/>
              <w:right w:val="single" w:sz="8" w:space="0" w:color="auto"/>
            </w:tcBorders>
            <w:noWrap/>
            <w:textDirection w:val="lrTb"/>
            <w:vAlign w:val="center"/>
            <w:hideMark/>
          </w:tcPr>
          <w:p w:rsidR="00403E79" w:rsidRPr="00403E79" w:rsidP="00403E79">
            <w:pPr>
              <w:bidi w:val="0"/>
              <w:spacing w:after="0" w:line="240" w:lineRule="auto"/>
              <w:jc w:val="right"/>
              <w:rPr>
                <w:rFonts w:ascii="Arial Narrow" w:hAnsi="Arial Narrow" w:cs="Times New Roman"/>
                <w:color w:val="000000"/>
                <w:sz w:val="18"/>
                <w:szCs w:val="18"/>
              </w:rPr>
            </w:pPr>
            <w:r w:rsidRPr="00403E79">
              <w:rPr>
                <w:rFonts w:ascii="Arial Narrow" w:hAnsi="Arial Narrow" w:cs="Times New Roman"/>
                <w:color w:val="000000"/>
                <w:sz w:val="18"/>
                <w:szCs w:val="18"/>
              </w:rPr>
              <w:t>12 729</w:t>
            </w:r>
          </w:p>
        </w:tc>
      </w:tr>
      <w:tr>
        <w:tblPrEx>
          <w:tblW w:w="9072" w:type="dxa"/>
          <w:tblInd w:w="58" w:type="dxa"/>
          <w:tblCellMar>
            <w:left w:w="70" w:type="dxa"/>
            <w:right w:w="70" w:type="dxa"/>
          </w:tblCellMar>
          <w:tblLook w:val="04A0"/>
        </w:tblPrEx>
        <w:trPr>
          <w:trHeight w:val="284"/>
        </w:trPr>
        <w:tc>
          <w:tcPr>
            <w:tcW w:w="7973" w:type="dxa"/>
            <w:tcBorders>
              <w:top w:val="nil"/>
              <w:left w:val="single" w:sz="8" w:space="0" w:color="auto"/>
              <w:bottom w:val="single" w:sz="4" w:space="0" w:color="auto"/>
              <w:right w:val="single" w:sz="4" w:space="0" w:color="auto"/>
            </w:tcBorders>
            <w:noWrap/>
            <w:textDirection w:val="lrTb"/>
            <w:vAlign w:val="center"/>
            <w:hideMark/>
          </w:tcPr>
          <w:p w:rsidR="00403E79" w:rsidRPr="00403E79" w:rsidP="00403E79">
            <w:pPr>
              <w:bidi w:val="0"/>
              <w:spacing w:after="0" w:line="240" w:lineRule="auto"/>
              <w:rPr>
                <w:rFonts w:ascii="Arial Narrow" w:hAnsi="Arial Narrow" w:cs="Times New Roman"/>
                <w:color w:val="000000"/>
                <w:sz w:val="18"/>
                <w:szCs w:val="18"/>
              </w:rPr>
            </w:pPr>
            <w:r w:rsidRPr="00403E79">
              <w:rPr>
                <w:rFonts w:ascii="Arial Narrow" w:hAnsi="Arial Narrow" w:cs="Times New Roman"/>
                <w:color w:val="000000"/>
                <w:sz w:val="18"/>
                <w:szCs w:val="18"/>
              </w:rPr>
              <w:t xml:space="preserve">   Ostatné subjekty verejnej správy*</w:t>
            </w:r>
          </w:p>
        </w:tc>
        <w:tc>
          <w:tcPr>
            <w:tcW w:w="1099" w:type="dxa"/>
            <w:tcBorders>
              <w:top w:val="nil"/>
              <w:left w:val="nil"/>
              <w:bottom w:val="single" w:sz="4" w:space="0" w:color="auto"/>
              <w:right w:val="single" w:sz="8" w:space="0" w:color="auto"/>
            </w:tcBorders>
            <w:noWrap/>
            <w:textDirection w:val="lrTb"/>
            <w:vAlign w:val="center"/>
            <w:hideMark/>
          </w:tcPr>
          <w:p w:rsidR="00403E79" w:rsidRPr="00403E79" w:rsidP="00403E79">
            <w:pPr>
              <w:bidi w:val="0"/>
              <w:spacing w:after="0" w:line="240" w:lineRule="auto"/>
              <w:jc w:val="right"/>
              <w:rPr>
                <w:rFonts w:ascii="Arial Narrow" w:hAnsi="Arial Narrow" w:cs="Times New Roman"/>
                <w:color w:val="000000"/>
                <w:sz w:val="18"/>
                <w:szCs w:val="18"/>
              </w:rPr>
            </w:pPr>
            <w:r w:rsidRPr="00403E79">
              <w:rPr>
                <w:rFonts w:ascii="Arial Narrow" w:hAnsi="Arial Narrow" w:cs="Times New Roman"/>
                <w:color w:val="000000"/>
                <w:sz w:val="18"/>
                <w:szCs w:val="18"/>
              </w:rPr>
              <w:t>4 824</w:t>
            </w:r>
          </w:p>
        </w:tc>
      </w:tr>
      <w:tr>
        <w:tblPrEx>
          <w:tblW w:w="9072" w:type="dxa"/>
          <w:tblInd w:w="58" w:type="dxa"/>
          <w:tblCellMar>
            <w:left w:w="70" w:type="dxa"/>
            <w:right w:w="70" w:type="dxa"/>
          </w:tblCellMar>
          <w:tblLook w:val="04A0"/>
        </w:tblPrEx>
        <w:trPr>
          <w:trHeight w:val="330"/>
        </w:trPr>
        <w:tc>
          <w:tcPr>
            <w:tcW w:w="7973" w:type="dxa"/>
            <w:tcBorders>
              <w:top w:val="nil"/>
              <w:left w:val="single" w:sz="8" w:space="0" w:color="auto"/>
              <w:bottom w:val="single" w:sz="4" w:space="0" w:color="auto"/>
              <w:right w:val="single" w:sz="4" w:space="0" w:color="auto"/>
            </w:tcBorders>
            <w:noWrap/>
            <w:textDirection w:val="lrTb"/>
            <w:vAlign w:val="center"/>
            <w:hideMark/>
          </w:tcPr>
          <w:p w:rsidR="00403E79" w:rsidRPr="00403E79" w:rsidP="00403E79">
            <w:pPr>
              <w:bidi w:val="0"/>
              <w:spacing w:after="0" w:line="240" w:lineRule="auto"/>
              <w:rPr>
                <w:rFonts w:ascii="Arial Narrow" w:hAnsi="Arial Narrow" w:cs="Times New Roman"/>
                <w:b/>
                <w:bCs/>
                <w:color w:val="000000"/>
                <w:sz w:val="18"/>
                <w:szCs w:val="18"/>
              </w:rPr>
            </w:pPr>
            <w:r w:rsidRPr="00403E79">
              <w:rPr>
                <w:rFonts w:ascii="Arial Narrow" w:hAnsi="Arial Narrow" w:cs="Times New Roman"/>
                <w:b/>
                <w:bCs/>
                <w:color w:val="000000"/>
                <w:sz w:val="18"/>
                <w:szCs w:val="18"/>
              </w:rPr>
              <w:t>Aktuálny odhad salda VS v tis. eur</w:t>
            </w:r>
            <w:r w:rsidRPr="00403E79">
              <w:rPr>
                <w:rFonts w:ascii="Arial Narrow" w:hAnsi="Arial Narrow" w:cs="Times New Roman"/>
                <w:color w:val="000000"/>
                <w:sz w:val="18"/>
                <w:szCs w:val="18"/>
              </w:rPr>
              <w:t xml:space="preserve"> (rozpočet + A + B)</w:t>
            </w:r>
          </w:p>
        </w:tc>
        <w:tc>
          <w:tcPr>
            <w:tcW w:w="1099" w:type="dxa"/>
            <w:tcBorders>
              <w:top w:val="nil"/>
              <w:left w:val="nil"/>
              <w:bottom w:val="single" w:sz="4" w:space="0" w:color="auto"/>
              <w:right w:val="single" w:sz="8" w:space="0" w:color="auto"/>
            </w:tcBorders>
            <w:noWrap/>
            <w:textDirection w:val="lrTb"/>
            <w:vAlign w:val="center"/>
            <w:hideMark/>
          </w:tcPr>
          <w:p w:rsidR="00403E79" w:rsidRPr="00403E79" w:rsidP="00403E79">
            <w:pPr>
              <w:bidi w:val="0"/>
              <w:spacing w:after="0" w:line="240" w:lineRule="auto"/>
              <w:jc w:val="right"/>
              <w:rPr>
                <w:rFonts w:ascii="Arial Narrow" w:hAnsi="Arial Narrow" w:cs="Times New Roman"/>
                <w:b/>
                <w:bCs/>
                <w:color w:val="000000"/>
                <w:sz w:val="18"/>
                <w:szCs w:val="18"/>
              </w:rPr>
            </w:pPr>
            <w:r w:rsidRPr="00403E79">
              <w:rPr>
                <w:rFonts w:ascii="Arial Narrow" w:hAnsi="Arial Narrow" w:cs="Times New Roman"/>
                <w:b/>
                <w:bCs/>
                <w:color w:val="000000"/>
                <w:sz w:val="18"/>
                <w:szCs w:val="18"/>
              </w:rPr>
              <w:t>-3 414 164</w:t>
            </w:r>
          </w:p>
        </w:tc>
      </w:tr>
      <w:tr>
        <w:tblPrEx>
          <w:tblW w:w="9072" w:type="dxa"/>
          <w:tblInd w:w="58" w:type="dxa"/>
          <w:tblCellMar>
            <w:left w:w="70" w:type="dxa"/>
            <w:right w:w="70" w:type="dxa"/>
          </w:tblCellMar>
          <w:tblLook w:val="04A0"/>
        </w:tblPrEx>
        <w:trPr>
          <w:trHeight w:val="330"/>
        </w:trPr>
        <w:tc>
          <w:tcPr>
            <w:tcW w:w="7973" w:type="dxa"/>
            <w:tcBorders>
              <w:top w:val="nil"/>
              <w:left w:val="single" w:sz="8" w:space="0" w:color="auto"/>
              <w:bottom w:val="single" w:sz="4" w:space="0" w:color="auto"/>
              <w:right w:val="single" w:sz="4" w:space="0" w:color="auto"/>
            </w:tcBorders>
            <w:shd w:val="clear" w:color="000000" w:fill="BFBFBF"/>
            <w:noWrap/>
            <w:textDirection w:val="lrTb"/>
            <w:vAlign w:val="center"/>
            <w:hideMark/>
          </w:tcPr>
          <w:p w:rsidR="00403E79" w:rsidRPr="00403E79" w:rsidP="00403E79">
            <w:pPr>
              <w:bidi w:val="0"/>
              <w:spacing w:after="0" w:line="240" w:lineRule="auto"/>
              <w:rPr>
                <w:rFonts w:ascii="Arial Narrow" w:hAnsi="Arial Narrow" w:cs="Times New Roman"/>
                <w:b/>
                <w:bCs/>
                <w:color w:val="000000"/>
                <w:sz w:val="18"/>
                <w:szCs w:val="18"/>
              </w:rPr>
            </w:pPr>
            <w:r w:rsidRPr="00403E79">
              <w:rPr>
                <w:rFonts w:ascii="Arial Narrow" w:hAnsi="Arial Narrow" w:cs="Times New Roman"/>
                <w:b/>
                <w:bCs/>
                <w:color w:val="000000"/>
                <w:sz w:val="18"/>
                <w:szCs w:val="18"/>
              </w:rPr>
              <w:t>Aktuálny odhad salda VS v % HDP</w:t>
            </w:r>
          </w:p>
        </w:tc>
        <w:tc>
          <w:tcPr>
            <w:tcW w:w="1099" w:type="dxa"/>
            <w:tcBorders>
              <w:top w:val="nil"/>
              <w:left w:val="nil"/>
              <w:bottom w:val="single" w:sz="4" w:space="0" w:color="auto"/>
              <w:right w:val="single" w:sz="8" w:space="0" w:color="auto"/>
            </w:tcBorders>
            <w:shd w:val="clear" w:color="000000" w:fill="BFBFBF"/>
            <w:noWrap/>
            <w:textDirection w:val="lrTb"/>
            <w:vAlign w:val="center"/>
            <w:hideMark/>
          </w:tcPr>
          <w:p w:rsidR="00403E79" w:rsidRPr="00403E79" w:rsidP="00403E79">
            <w:pPr>
              <w:bidi w:val="0"/>
              <w:spacing w:after="0" w:line="240" w:lineRule="auto"/>
              <w:jc w:val="right"/>
              <w:rPr>
                <w:rFonts w:ascii="Arial Narrow" w:hAnsi="Arial Narrow" w:cs="Times New Roman"/>
                <w:b/>
                <w:bCs/>
                <w:color w:val="000000"/>
                <w:sz w:val="18"/>
                <w:szCs w:val="18"/>
              </w:rPr>
            </w:pPr>
            <w:r w:rsidRPr="00403E79">
              <w:rPr>
                <w:rFonts w:ascii="Arial Narrow" w:hAnsi="Arial Narrow" w:cs="Times New Roman"/>
                <w:b/>
                <w:bCs/>
                <w:color w:val="000000"/>
                <w:sz w:val="18"/>
                <w:szCs w:val="18"/>
              </w:rPr>
              <w:t>-4,90</w:t>
            </w:r>
          </w:p>
        </w:tc>
      </w:tr>
      <w:tr>
        <w:tblPrEx>
          <w:tblW w:w="9072" w:type="dxa"/>
          <w:tblInd w:w="58" w:type="dxa"/>
          <w:tblCellMar>
            <w:left w:w="70" w:type="dxa"/>
            <w:right w:w="70" w:type="dxa"/>
          </w:tblCellMar>
          <w:tblLook w:val="04A0"/>
        </w:tblPrEx>
        <w:trPr>
          <w:trHeight w:val="198"/>
        </w:trPr>
        <w:tc>
          <w:tcPr>
            <w:tcW w:w="7973" w:type="dxa"/>
            <w:tcBorders>
              <w:top w:val="nil"/>
              <w:left w:val="single" w:sz="8" w:space="0" w:color="auto"/>
              <w:bottom w:val="single" w:sz="8" w:space="0" w:color="auto"/>
              <w:right w:val="single" w:sz="4" w:space="0" w:color="auto"/>
            </w:tcBorders>
            <w:noWrap/>
            <w:textDirection w:val="lrTb"/>
            <w:vAlign w:val="center"/>
            <w:hideMark/>
          </w:tcPr>
          <w:p w:rsidR="00403E79" w:rsidRPr="00403E79" w:rsidP="00403E79">
            <w:pPr>
              <w:bidi w:val="0"/>
              <w:spacing w:after="0" w:line="240" w:lineRule="auto"/>
              <w:ind w:firstLine="180" w:firstLineChars="100"/>
              <w:rPr>
                <w:rFonts w:ascii="Arial Narrow" w:hAnsi="Arial Narrow" w:cs="Times New Roman"/>
                <w:color w:val="000000"/>
                <w:sz w:val="18"/>
                <w:szCs w:val="18"/>
              </w:rPr>
            </w:pPr>
            <w:r w:rsidRPr="00403E79">
              <w:rPr>
                <w:rFonts w:ascii="Arial Narrow" w:hAnsi="Arial Narrow" w:cs="Times New Roman"/>
                <w:color w:val="000000"/>
                <w:sz w:val="18"/>
                <w:szCs w:val="18"/>
              </w:rPr>
              <w:t>z toho: zhoršenie deficitu vplyvom aktualizácie odhadu HDP (v % HDP)</w:t>
            </w:r>
          </w:p>
        </w:tc>
        <w:tc>
          <w:tcPr>
            <w:tcW w:w="1099" w:type="dxa"/>
            <w:tcBorders>
              <w:top w:val="nil"/>
              <w:left w:val="nil"/>
              <w:bottom w:val="single" w:sz="8" w:space="0" w:color="auto"/>
              <w:right w:val="single" w:sz="8" w:space="0" w:color="auto"/>
            </w:tcBorders>
            <w:noWrap/>
            <w:textDirection w:val="lrTb"/>
            <w:vAlign w:val="center"/>
            <w:hideMark/>
          </w:tcPr>
          <w:p w:rsidR="00403E79" w:rsidRPr="00403E79" w:rsidP="00403E79">
            <w:pPr>
              <w:bidi w:val="0"/>
              <w:spacing w:after="0" w:line="240" w:lineRule="auto"/>
              <w:jc w:val="right"/>
              <w:rPr>
                <w:rFonts w:ascii="Arial Narrow" w:hAnsi="Arial Narrow" w:cs="Times New Roman"/>
                <w:color w:val="000000"/>
                <w:sz w:val="18"/>
                <w:szCs w:val="18"/>
              </w:rPr>
            </w:pPr>
            <w:r w:rsidRPr="00403E79">
              <w:rPr>
                <w:rFonts w:ascii="Arial Narrow" w:hAnsi="Arial Narrow" w:cs="Times New Roman"/>
                <w:color w:val="000000"/>
                <w:sz w:val="18"/>
                <w:szCs w:val="18"/>
              </w:rPr>
              <w:t>-0,04</w:t>
            </w:r>
          </w:p>
        </w:tc>
      </w:tr>
      <w:tr>
        <w:tblPrEx>
          <w:tblW w:w="9072" w:type="dxa"/>
          <w:tblInd w:w="58" w:type="dxa"/>
          <w:tblCellMar>
            <w:left w:w="70" w:type="dxa"/>
            <w:right w:w="70" w:type="dxa"/>
          </w:tblCellMar>
          <w:tblLook w:val="04A0"/>
        </w:tblPrEx>
        <w:trPr>
          <w:trHeight w:val="330"/>
        </w:trPr>
        <w:tc>
          <w:tcPr>
            <w:tcW w:w="7973" w:type="dxa"/>
            <w:tcBorders>
              <w:top w:val="nil"/>
              <w:left w:val="nil"/>
              <w:bottom w:val="nil"/>
              <w:right w:val="nil"/>
            </w:tcBorders>
            <w:noWrap/>
            <w:textDirection w:val="lrTb"/>
            <w:vAlign w:val="center"/>
            <w:hideMark/>
          </w:tcPr>
          <w:p w:rsidR="00403E79" w:rsidRPr="00403E79" w:rsidP="00403E79">
            <w:pPr>
              <w:bidi w:val="0"/>
              <w:spacing w:after="0" w:line="240" w:lineRule="auto"/>
              <w:rPr>
                <w:rFonts w:ascii="Arial Narrow" w:hAnsi="Arial Narrow" w:cs="Times New Roman"/>
                <w:i/>
                <w:iCs/>
                <w:color w:val="000000"/>
                <w:sz w:val="18"/>
                <w:szCs w:val="18"/>
              </w:rPr>
            </w:pPr>
            <w:r w:rsidRPr="00403E79">
              <w:rPr>
                <w:rFonts w:ascii="Arial Narrow" w:hAnsi="Arial Narrow" w:cs="Times New Roman"/>
                <w:i/>
                <w:iCs/>
                <w:color w:val="000000"/>
                <w:sz w:val="18"/>
                <w:szCs w:val="18"/>
              </w:rPr>
              <w:t>(+) indikuje zlepšenie a (-) zhoršenie schodku verejnej správy v metodike ESA95</w:t>
            </w:r>
          </w:p>
        </w:tc>
        <w:tc>
          <w:tcPr>
            <w:tcW w:w="1099" w:type="dxa"/>
            <w:tcBorders>
              <w:top w:val="nil"/>
              <w:left w:val="nil"/>
              <w:bottom w:val="nil"/>
              <w:right w:val="nil"/>
            </w:tcBorders>
            <w:noWrap/>
            <w:textDirection w:val="lrTb"/>
            <w:vAlign w:val="center"/>
            <w:hideMark/>
          </w:tcPr>
          <w:p w:rsidR="00403E79" w:rsidRPr="00403E79" w:rsidP="00403E79">
            <w:pPr>
              <w:bidi w:val="0"/>
              <w:spacing w:after="0" w:line="240" w:lineRule="auto"/>
              <w:rPr>
                <w:rFonts w:ascii="Arial Narrow" w:hAnsi="Arial Narrow" w:cs="Calibri"/>
                <w:color w:val="000000"/>
              </w:rPr>
            </w:pPr>
          </w:p>
        </w:tc>
      </w:tr>
      <w:tr>
        <w:tblPrEx>
          <w:tblW w:w="9072" w:type="dxa"/>
          <w:tblInd w:w="58" w:type="dxa"/>
          <w:tblCellMar>
            <w:left w:w="70" w:type="dxa"/>
            <w:right w:w="70" w:type="dxa"/>
          </w:tblCellMar>
          <w:tblLook w:val="04A0"/>
        </w:tblPrEx>
        <w:trPr>
          <w:trHeight w:val="202"/>
        </w:trPr>
        <w:tc>
          <w:tcPr>
            <w:tcW w:w="9072" w:type="dxa"/>
            <w:gridSpan w:val="2"/>
            <w:tcBorders>
              <w:top w:val="nil"/>
              <w:left w:val="nil"/>
              <w:bottom w:val="nil"/>
              <w:right w:val="nil"/>
            </w:tcBorders>
            <w:textDirection w:val="lrTb"/>
            <w:vAlign w:val="center"/>
            <w:hideMark/>
          </w:tcPr>
          <w:p w:rsidR="00403E79" w:rsidRPr="00403E79" w:rsidP="00403E79">
            <w:pPr>
              <w:bidi w:val="0"/>
              <w:spacing w:after="0" w:line="240" w:lineRule="auto"/>
              <w:rPr>
                <w:rFonts w:ascii="Arial Narrow" w:hAnsi="Arial Narrow" w:cs="Times New Roman"/>
                <w:i/>
                <w:color w:val="000000"/>
                <w:sz w:val="18"/>
                <w:szCs w:val="18"/>
              </w:rPr>
            </w:pPr>
            <w:r w:rsidRPr="00403E79">
              <w:rPr>
                <w:rFonts w:ascii="Arial Narrow" w:hAnsi="Arial Narrow" w:cs="Times New Roman"/>
                <w:i/>
                <w:color w:val="000000"/>
                <w:sz w:val="18"/>
                <w:szCs w:val="18"/>
              </w:rPr>
              <w:t>Pozn.: * v tabuľke nie sú uvedené transakcie s neutrálnym vplyvom na saldo VS, ktoré protichodne ovplyvňujú saldá jednotlivých subjektov VS (napríklad transfer mimoriadnych dividend z Fondu národného majetku do štátnych finančných aktív)</w:t>
            </w:r>
          </w:p>
        </w:tc>
      </w:tr>
    </w:tbl>
    <w:p w:rsidR="00403E79" w:rsidRPr="00403E79" w:rsidP="00403E79">
      <w:pPr>
        <w:bidi w:val="0"/>
        <w:jc w:val="both"/>
        <w:rPr>
          <w:rFonts w:ascii="Arial Narrow" w:hAnsi="Arial Narrow" w:cs="Arial Narrow"/>
        </w:rPr>
      </w:pPr>
    </w:p>
    <w:p w:rsidR="00403E79" w:rsidRPr="00403E79" w:rsidP="00403E79">
      <w:pPr>
        <w:bidi w:val="0"/>
        <w:ind w:left="360" w:hanging="360"/>
        <w:jc w:val="both"/>
        <w:outlineLvl w:val="1"/>
        <w:rPr>
          <w:rFonts w:ascii="Arial Narrow" w:hAnsi="Arial Narrow" w:cs="Times New Roman"/>
          <w:b/>
          <w:bCs/>
        </w:rPr>
      </w:pPr>
      <w:bookmarkStart w:id="53" w:name="_Toc299709426"/>
      <w:r w:rsidRPr="00403E79">
        <w:rPr>
          <w:rFonts w:ascii="Arial Narrow" w:hAnsi="Arial Narrow" w:cs="Times New Roman"/>
          <w:b/>
          <w:bCs/>
        </w:rPr>
        <w:t>Daňové príjmy štátneho rozpočtu</w:t>
      </w:r>
      <w:bookmarkEnd w:id="53"/>
      <w:r w:rsidRPr="00403E79">
        <w:rPr>
          <w:rFonts w:ascii="Arial Narrow" w:hAnsi="Arial Narrow" w:cs="Times New Roman"/>
          <w:b/>
          <w:bCs/>
        </w:rPr>
        <w:t xml:space="preserve"> </w:t>
      </w:r>
    </w:p>
    <w:p w:rsidR="00403E79" w:rsidP="00403E79">
      <w:pPr>
        <w:bidi w:val="0"/>
        <w:jc w:val="both"/>
        <w:rPr>
          <w:rFonts w:ascii="Arial Narrow" w:hAnsi="Arial Narrow" w:cs="Arial Narrow"/>
        </w:rPr>
      </w:pPr>
      <w:r w:rsidRPr="00403E79">
        <w:rPr>
          <w:rFonts w:ascii="Arial Narrow" w:hAnsi="Arial Narrow" w:cs="Arial Narrow"/>
        </w:rPr>
        <w:t xml:space="preserve">V rámci daňových príjmov sa očakáva, že oproti schválenému rozpočtu budú v metodike ESA 95 </w:t>
      </w:r>
      <w:r w:rsidRPr="000336FC">
        <w:rPr>
          <w:rFonts w:ascii="Arial Narrow" w:hAnsi="Arial Narrow" w:cs="Arial Narrow"/>
          <w:b/>
        </w:rPr>
        <w:t>vyššie o 47,4 mil. eur</w:t>
      </w:r>
      <w:r w:rsidRPr="00403E79">
        <w:rPr>
          <w:rFonts w:ascii="Arial Narrow" w:hAnsi="Arial Narrow" w:cs="Arial Narrow"/>
        </w:rPr>
        <w:t>. Zvýšenie výnosu v porovnaní s rozpočtom možno očakávať najmä v prípade dane z pridanej hodnoty (113,2 mil. eur) a dane z príjmov právnických osôb (30,1 mil. eur). Pokles oproti rozpočtu zaznamenali spotrebné dane (52 mil. eur) a daň z emisných kvót (47,6 mil. eur). Odhadovaný vývoj daňových príjmov je podrobnejšie popísaný v</w:t>
      </w:r>
      <w:r w:rsidR="00BE03CA">
        <w:rPr>
          <w:rFonts w:ascii="Arial Narrow" w:hAnsi="Arial Narrow" w:cs="Arial Narrow"/>
        </w:rPr>
        <w:t> </w:t>
      </w:r>
      <w:r w:rsidRPr="00403E79">
        <w:rPr>
          <w:rFonts w:ascii="Arial Narrow" w:hAnsi="Arial Narrow" w:cs="Arial Narrow"/>
        </w:rPr>
        <w:t>prílohe</w:t>
      </w:r>
      <w:r w:rsidR="00BE03CA">
        <w:rPr>
          <w:rFonts w:ascii="Arial Narrow" w:hAnsi="Arial Narrow" w:cs="Arial Narrow"/>
        </w:rPr>
        <w:t xml:space="preserve"> č. 1</w:t>
      </w:r>
      <w:r w:rsidRPr="00403E79">
        <w:rPr>
          <w:rFonts w:ascii="Arial Narrow" w:hAnsi="Arial Narrow" w:cs="Arial Narrow"/>
        </w:rPr>
        <w:t>.</w:t>
      </w:r>
    </w:p>
    <w:p w:rsidR="00BE03CA" w:rsidRPr="00403E79" w:rsidP="00403E79">
      <w:pPr>
        <w:bidi w:val="0"/>
        <w:jc w:val="both"/>
        <w:rPr>
          <w:rFonts w:ascii="Arial Narrow" w:hAnsi="Arial Narrow" w:cs="Arial Narrow"/>
        </w:rPr>
      </w:pPr>
    </w:p>
    <w:tbl>
      <w:tblPr>
        <w:tblStyle w:val="TableNormal"/>
        <w:tblW w:w="7420" w:type="dxa"/>
        <w:jc w:val="center"/>
        <w:tblInd w:w="55" w:type="dxa"/>
        <w:tblCellMar>
          <w:left w:w="70" w:type="dxa"/>
          <w:right w:w="70" w:type="dxa"/>
        </w:tblCellMar>
        <w:tblLook w:val="04A0"/>
      </w:tblPr>
      <w:tblGrid>
        <w:gridCol w:w="4060"/>
        <w:gridCol w:w="1120"/>
        <w:gridCol w:w="1120"/>
        <w:gridCol w:w="1120"/>
      </w:tblGrid>
      <w:tr>
        <w:tblPrEx>
          <w:tblW w:w="7420" w:type="dxa"/>
          <w:jc w:val="center"/>
          <w:tblInd w:w="55" w:type="dxa"/>
          <w:tblCellMar>
            <w:left w:w="70" w:type="dxa"/>
            <w:right w:w="70" w:type="dxa"/>
          </w:tblCellMar>
          <w:tblLook w:val="04A0"/>
        </w:tblPrEx>
        <w:trPr>
          <w:trHeight w:val="810"/>
          <w:jc w:val="center"/>
        </w:trPr>
        <w:tc>
          <w:tcPr>
            <w:tcW w:w="4060" w:type="dxa"/>
            <w:tcBorders>
              <w:top w:val="single" w:sz="8" w:space="0" w:color="auto"/>
              <w:left w:val="single" w:sz="8" w:space="0" w:color="auto"/>
              <w:bottom w:val="single" w:sz="4" w:space="0" w:color="auto"/>
              <w:right w:val="single" w:sz="4" w:space="0" w:color="auto"/>
            </w:tcBorders>
            <w:shd w:val="clear" w:color="000000" w:fill="BFBFBF"/>
            <w:textDirection w:val="lrTb"/>
            <w:vAlign w:val="center"/>
            <w:hideMark/>
          </w:tcPr>
          <w:p w:rsidR="00403E79" w:rsidRPr="00403E79" w:rsidP="00403E79">
            <w:pPr>
              <w:bidi w:val="0"/>
              <w:spacing w:after="0" w:line="240" w:lineRule="auto"/>
              <w:rPr>
                <w:rFonts w:ascii="Arial Narrow" w:hAnsi="Arial Narrow" w:cs="Arial"/>
                <w:b/>
                <w:bCs/>
                <w:sz w:val="18"/>
                <w:szCs w:val="18"/>
              </w:rPr>
            </w:pPr>
            <w:r w:rsidRPr="00403E79">
              <w:rPr>
                <w:rFonts w:ascii="Arial Narrow" w:hAnsi="Arial Narrow" w:cs="Arial"/>
                <w:b/>
                <w:bCs/>
                <w:sz w:val="18"/>
                <w:szCs w:val="18"/>
              </w:rPr>
              <w:t>Daňové príjmy štátneho rozpočtu</w:t>
              <w:br/>
            </w:r>
            <w:r w:rsidRPr="00403E79">
              <w:rPr>
                <w:rFonts w:ascii="Arial Narrow" w:hAnsi="Arial Narrow" w:cs="Arial"/>
                <w:sz w:val="18"/>
                <w:szCs w:val="18"/>
              </w:rPr>
              <w:t>(v tis. eur; vrátane sankcií)</w:t>
            </w:r>
          </w:p>
        </w:tc>
        <w:tc>
          <w:tcPr>
            <w:tcW w:w="1120" w:type="dxa"/>
            <w:tcBorders>
              <w:top w:val="single" w:sz="8" w:space="0" w:color="auto"/>
              <w:left w:val="nil"/>
              <w:bottom w:val="single" w:sz="4" w:space="0" w:color="auto"/>
              <w:right w:val="single" w:sz="4" w:space="0" w:color="auto"/>
            </w:tcBorders>
            <w:shd w:val="clear" w:color="000000" w:fill="BFBFBF"/>
            <w:textDirection w:val="lrTb"/>
            <w:vAlign w:val="center"/>
            <w:hideMark/>
          </w:tcPr>
          <w:p w:rsidR="00403E79" w:rsidRPr="00403E79" w:rsidP="00403E79">
            <w:pPr>
              <w:bidi w:val="0"/>
              <w:spacing w:after="0" w:line="240" w:lineRule="auto"/>
              <w:jc w:val="center"/>
              <w:rPr>
                <w:rFonts w:ascii="Arial Narrow" w:hAnsi="Arial Narrow" w:cs="Arial"/>
                <w:b/>
                <w:bCs/>
                <w:sz w:val="18"/>
                <w:szCs w:val="18"/>
              </w:rPr>
            </w:pPr>
            <w:r w:rsidRPr="00403E79">
              <w:rPr>
                <w:rFonts w:ascii="Arial Narrow" w:hAnsi="Arial Narrow" w:cs="Arial"/>
                <w:b/>
                <w:bCs/>
                <w:sz w:val="18"/>
                <w:szCs w:val="18"/>
              </w:rPr>
              <w:t xml:space="preserve">Schválený rozpočet 2011 </w:t>
            </w:r>
            <w:r w:rsidRPr="00403E79">
              <w:rPr>
                <w:rFonts w:ascii="Arial Narrow" w:hAnsi="Arial Narrow" w:cs="Arial"/>
                <w:sz w:val="18"/>
                <w:szCs w:val="18"/>
              </w:rPr>
              <w:t xml:space="preserve">(S) </w:t>
            </w:r>
          </w:p>
        </w:tc>
        <w:tc>
          <w:tcPr>
            <w:tcW w:w="1120" w:type="dxa"/>
            <w:tcBorders>
              <w:top w:val="single" w:sz="8" w:space="0" w:color="auto"/>
              <w:left w:val="nil"/>
              <w:bottom w:val="single" w:sz="4" w:space="0" w:color="auto"/>
              <w:right w:val="single" w:sz="4" w:space="0" w:color="auto"/>
            </w:tcBorders>
            <w:shd w:val="clear" w:color="000000" w:fill="BFBFBF"/>
            <w:textDirection w:val="lrTb"/>
            <w:vAlign w:val="center"/>
            <w:hideMark/>
          </w:tcPr>
          <w:p w:rsidR="00403E79" w:rsidRPr="00403E79" w:rsidP="00403E79">
            <w:pPr>
              <w:bidi w:val="0"/>
              <w:spacing w:after="0" w:line="240" w:lineRule="auto"/>
              <w:jc w:val="center"/>
              <w:rPr>
                <w:rFonts w:ascii="Arial Narrow" w:hAnsi="Arial Narrow" w:cs="Arial"/>
                <w:b/>
                <w:bCs/>
                <w:sz w:val="18"/>
                <w:szCs w:val="18"/>
              </w:rPr>
            </w:pPr>
            <w:r w:rsidRPr="00403E79">
              <w:rPr>
                <w:rFonts w:ascii="Arial Narrow" w:hAnsi="Arial Narrow" w:cs="Arial"/>
                <w:b/>
                <w:bCs/>
                <w:sz w:val="18"/>
                <w:szCs w:val="18"/>
              </w:rPr>
              <w:t>Predpoklad</w:t>
              <w:br/>
              <w:br/>
            </w:r>
            <w:r w:rsidRPr="00403E79">
              <w:rPr>
                <w:rFonts w:ascii="Arial Narrow" w:hAnsi="Arial Narrow" w:cs="Arial"/>
                <w:sz w:val="18"/>
                <w:szCs w:val="18"/>
              </w:rPr>
              <w:t>(P)</w:t>
            </w:r>
          </w:p>
        </w:tc>
        <w:tc>
          <w:tcPr>
            <w:tcW w:w="1120" w:type="dxa"/>
            <w:tcBorders>
              <w:top w:val="single" w:sz="8" w:space="0" w:color="auto"/>
              <w:left w:val="nil"/>
              <w:bottom w:val="single" w:sz="4" w:space="0" w:color="auto"/>
              <w:right w:val="single" w:sz="8" w:space="0" w:color="auto"/>
            </w:tcBorders>
            <w:shd w:val="clear" w:color="000000" w:fill="BFBFBF"/>
            <w:textDirection w:val="lrTb"/>
            <w:vAlign w:val="center"/>
            <w:hideMark/>
          </w:tcPr>
          <w:p w:rsidR="00403E79" w:rsidRPr="00403E79" w:rsidP="00403E79">
            <w:pPr>
              <w:bidi w:val="0"/>
              <w:spacing w:after="0" w:line="240" w:lineRule="auto"/>
              <w:jc w:val="center"/>
              <w:rPr>
                <w:rFonts w:ascii="Arial Narrow" w:hAnsi="Arial Narrow" w:cs="Arial"/>
                <w:b/>
                <w:bCs/>
                <w:sz w:val="18"/>
                <w:szCs w:val="18"/>
              </w:rPr>
            </w:pPr>
            <w:r w:rsidRPr="00403E79">
              <w:rPr>
                <w:rFonts w:ascii="Arial Narrow" w:hAnsi="Arial Narrow" w:cs="Arial"/>
                <w:b/>
                <w:bCs/>
                <w:sz w:val="18"/>
                <w:szCs w:val="18"/>
              </w:rPr>
              <w:t>Rozdiel</w:t>
              <w:br/>
              <w:br/>
            </w:r>
            <w:r w:rsidRPr="00403E79">
              <w:rPr>
                <w:rFonts w:ascii="Arial Narrow" w:hAnsi="Arial Narrow" w:cs="Arial"/>
                <w:sz w:val="18"/>
                <w:szCs w:val="18"/>
              </w:rPr>
              <w:t>(P-S)</w:t>
            </w:r>
          </w:p>
        </w:tc>
      </w:tr>
      <w:tr>
        <w:tblPrEx>
          <w:tblW w:w="7420" w:type="dxa"/>
          <w:jc w:val="center"/>
          <w:tblInd w:w="55" w:type="dxa"/>
          <w:tblCellMar>
            <w:left w:w="70" w:type="dxa"/>
            <w:right w:w="70" w:type="dxa"/>
          </w:tblCellMar>
          <w:tblLook w:val="04A0"/>
        </w:tblPrEx>
        <w:trPr>
          <w:trHeight w:val="270"/>
          <w:jc w:val="center"/>
        </w:trPr>
        <w:tc>
          <w:tcPr>
            <w:tcW w:w="4060" w:type="dxa"/>
            <w:tcBorders>
              <w:top w:val="nil"/>
              <w:left w:val="single" w:sz="8" w:space="0" w:color="auto"/>
              <w:bottom w:val="single" w:sz="4" w:space="0" w:color="auto"/>
              <w:right w:val="single" w:sz="4" w:space="0" w:color="auto"/>
            </w:tcBorders>
            <w:noWrap/>
            <w:textDirection w:val="lrTb"/>
            <w:vAlign w:val="center"/>
            <w:hideMark/>
          </w:tcPr>
          <w:p w:rsidR="00403E79" w:rsidRPr="00403E79" w:rsidP="00403E79">
            <w:pPr>
              <w:bidi w:val="0"/>
              <w:spacing w:after="0" w:line="240" w:lineRule="auto"/>
              <w:rPr>
                <w:rFonts w:ascii="Arial Narrow" w:hAnsi="Arial Narrow" w:cs="Arial"/>
                <w:sz w:val="18"/>
                <w:szCs w:val="18"/>
              </w:rPr>
            </w:pPr>
            <w:r w:rsidRPr="00403E79">
              <w:rPr>
                <w:rFonts w:ascii="Arial Narrow" w:hAnsi="Arial Narrow" w:cs="Arial"/>
                <w:sz w:val="18"/>
                <w:szCs w:val="18"/>
              </w:rPr>
              <w:t>Akruálny princíp</w:t>
            </w:r>
          </w:p>
        </w:tc>
        <w:tc>
          <w:tcPr>
            <w:tcW w:w="1120" w:type="dxa"/>
            <w:tcBorders>
              <w:top w:val="nil"/>
              <w:left w:val="nil"/>
              <w:bottom w:val="single" w:sz="4" w:space="0" w:color="auto"/>
              <w:right w:val="single" w:sz="4" w:space="0" w:color="auto"/>
            </w:tcBorders>
            <w:noWrap/>
            <w:textDirection w:val="lrTb"/>
            <w:vAlign w:val="center"/>
            <w:hideMark/>
          </w:tcPr>
          <w:p w:rsidR="00403E79" w:rsidRPr="00403E79" w:rsidP="00403E79">
            <w:pPr>
              <w:bidi w:val="0"/>
              <w:spacing w:after="0" w:line="240" w:lineRule="auto"/>
              <w:jc w:val="right"/>
              <w:rPr>
                <w:rFonts w:ascii="Arial Narrow" w:hAnsi="Arial Narrow" w:cs="Arial"/>
                <w:sz w:val="18"/>
                <w:szCs w:val="18"/>
              </w:rPr>
            </w:pPr>
            <w:r w:rsidRPr="00403E79">
              <w:rPr>
                <w:rFonts w:ascii="Arial Narrow" w:hAnsi="Arial Narrow" w:cs="Arial"/>
                <w:sz w:val="18"/>
                <w:szCs w:val="18"/>
              </w:rPr>
              <w:t>8 993 593</w:t>
            </w:r>
          </w:p>
        </w:tc>
        <w:tc>
          <w:tcPr>
            <w:tcW w:w="1120" w:type="dxa"/>
            <w:tcBorders>
              <w:top w:val="nil"/>
              <w:left w:val="nil"/>
              <w:bottom w:val="single" w:sz="4" w:space="0" w:color="auto"/>
              <w:right w:val="single" w:sz="4" w:space="0" w:color="auto"/>
            </w:tcBorders>
            <w:noWrap/>
            <w:textDirection w:val="lrTb"/>
            <w:vAlign w:val="center"/>
            <w:hideMark/>
          </w:tcPr>
          <w:p w:rsidR="00403E79" w:rsidRPr="00403E79" w:rsidP="00403E79">
            <w:pPr>
              <w:bidi w:val="0"/>
              <w:spacing w:after="0" w:line="240" w:lineRule="auto"/>
              <w:jc w:val="right"/>
              <w:rPr>
                <w:rFonts w:ascii="Arial Narrow" w:hAnsi="Arial Narrow" w:cs="Arial"/>
                <w:sz w:val="18"/>
                <w:szCs w:val="18"/>
              </w:rPr>
            </w:pPr>
            <w:r w:rsidRPr="00403E79">
              <w:rPr>
                <w:rFonts w:ascii="Arial Narrow" w:hAnsi="Arial Narrow" w:cs="Arial"/>
                <w:sz w:val="18"/>
                <w:szCs w:val="18"/>
              </w:rPr>
              <w:t>9 046 444</w:t>
            </w:r>
          </w:p>
        </w:tc>
        <w:tc>
          <w:tcPr>
            <w:tcW w:w="1120" w:type="dxa"/>
            <w:tcBorders>
              <w:top w:val="nil"/>
              <w:left w:val="nil"/>
              <w:bottom w:val="single" w:sz="4" w:space="0" w:color="auto"/>
              <w:right w:val="single" w:sz="8" w:space="0" w:color="auto"/>
            </w:tcBorders>
            <w:noWrap/>
            <w:textDirection w:val="lrTb"/>
            <w:vAlign w:val="center"/>
            <w:hideMark/>
          </w:tcPr>
          <w:p w:rsidR="00403E79" w:rsidRPr="00403E79" w:rsidP="00403E79">
            <w:pPr>
              <w:bidi w:val="0"/>
              <w:spacing w:after="0" w:line="240" w:lineRule="auto"/>
              <w:jc w:val="right"/>
              <w:rPr>
                <w:rFonts w:ascii="Arial Narrow" w:hAnsi="Arial Narrow" w:cs="Arial"/>
                <w:sz w:val="18"/>
                <w:szCs w:val="18"/>
              </w:rPr>
            </w:pPr>
            <w:r w:rsidRPr="00403E79">
              <w:rPr>
                <w:rFonts w:ascii="Arial Narrow" w:hAnsi="Arial Narrow" w:cs="Arial"/>
                <w:sz w:val="18"/>
                <w:szCs w:val="18"/>
              </w:rPr>
              <w:t>52 851</w:t>
            </w:r>
          </w:p>
        </w:tc>
      </w:tr>
      <w:tr>
        <w:tblPrEx>
          <w:tblW w:w="7420" w:type="dxa"/>
          <w:jc w:val="center"/>
          <w:tblInd w:w="55" w:type="dxa"/>
          <w:tblCellMar>
            <w:left w:w="70" w:type="dxa"/>
            <w:right w:w="70" w:type="dxa"/>
          </w:tblCellMar>
          <w:tblLook w:val="04A0"/>
        </w:tblPrEx>
        <w:trPr>
          <w:trHeight w:val="270"/>
          <w:jc w:val="center"/>
        </w:trPr>
        <w:tc>
          <w:tcPr>
            <w:tcW w:w="4060" w:type="dxa"/>
            <w:tcBorders>
              <w:top w:val="nil"/>
              <w:left w:val="single" w:sz="8" w:space="0" w:color="auto"/>
              <w:bottom w:val="single" w:sz="4" w:space="0" w:color="auto"/>
              <w:right w:val="single" w:sz="4" w:space="0" w:color="auto"/>
            </w:tcBorders>
            <w:noWrap/>
            <w:textDirection w:val="lrTb"/>
            <w:vAlign w:val="center"/>
            <w:hideMark/>
          </w:tcPr>
          <w:p w:rsidR="00403E79" w:rsidRPr="00403E79" w:rsidP="00403E79">
            <w:pPr>
              <w:bidi w:val="0"/>
              <w:spacing w:after="0" w:line="240" w:lineRule="auto"/>
              <w:rPr>
                <w:rFonts w:ascii="Arial Narrow" w:hAnsi="Arial Narrow" w:cs="Arial"/>
                <w:sz w:val="18"/>
                <w:szCs w:val="18"/>
              </w:rPr>
            </w:pPr>
            <w:r w:rsidRPr="00403E79">
              <w:rPr>
                <w:rFonts w:ascii="Arial Narrow" w:hAnsi="Arial Narrow" w:cs="Arial"/>
                <w:sz w:val="18"/>
                <w:szCs w:val="18"/>
              </w:rPr>
              <w:t>Výdavky na verejnoprospešný účel</w:t>
            </w:r>
          </w:p>
        </w:tc>
        <w:tc>
          <w:tcPr>
            <w:tcW w:w="1120" w:type="dxa"/>
            <w:tcBorders>
              <w:top w:val="nil"/>
              <w:left w:val="nil"/>
              <w:bottom w:val="single" w:sz="4" w:space="0" w:color="auto"/>
              <w:right w:val="single" w:sz="4" w:space="0" w:color="auto"/>
            </w:tcBorders>
            <w:noWrap/>
            <w:textDirection w:val="lrTb"/>
            <w:vAlign w:val="center"/>
            <w:hideMark/>
          </w:tcPr>
          <w:p w:rsidR="00403E79" w:rsidRPr="00403E79" w:rsidP="00403E79">
            <w:pPr>
              <w:bidi w:val="0"/>
              <w:spacing w:after="0" w:line="240" w:lineRule="auto"/>
              <w:jc w:val="right"/>
              <w:rPr>
                <w:rFonts w:ascii="Arial Narrow" w:hAnsi="Arial Narrow" w:cs="Arial"/>
                <w:sz w:val="18"/>
                <w:szCs w:val="18"/>
              </w:rPr>
            </w:pPr>
            <w:r w:rsidRPr="00403E79">
              <w:rPr>
                <w:rFonts w:ascii="Arial Narrow" w:hAnsi="Arial Narrow" w:cs="Arial"/>
                <w:sz w:val="18"/>
                <w:szCs w:val="18"/>
              </w:rPr>
              <w:t>-32 419</w:t>
            </w:r>
          </w:p>
        </w:tc>
        <w:tc>
          <w:tcPr>
            <w:tcW w:w="1120" w:type="dxa"/>
            <w:tcBorders>
              <w:top w:val="nil"/>
              <w:left w:val="nil"/>
              <w:bottom w:val="single" w:sz="4" w:space="0" w:color="auto"/>
              <w:right w:val="single" w:sz="4" w:space="0" w:color="auto"/>
            </w:tcBorders>
            <w:noWrap/>
            <w:textDirection w:val="lrTb"/>
            <w:vAlign w:val="center"/>
            <w:hideMark/>
          </w:tcPr>
          <w:p w:rsidR="00403E79" w:rsidRPr="00403E79" w:rsidP="00403E79">
            <w:pPr>
              <w:bidi w:val="0"/>
              <w:spacing w:after="0" w:line="240" w:lineRule="auto"/>
              <w:jc w:val="right"/>
              <w:rPr>
                <w:rFonts w:ascii="Arial Narrow" w:hAnsi="Arial Narrow" w:cs="Arial"/>
                <w:sz w:val="18"/>
                <w:szCs w:val="18"/>
              </w:rPr>
            </w:pPr>
            <w:r w:rsidRPr="00403E79">
              <w:rPr>
                <w:rFonts w:ascii="Arial Narrow" w:hAnsi="Arial Narrow" w:cs="Arial"/>
                <w:sz w:val="18"/>
                <w:szCs w:val="18"/>
              </w:rPr>
              <w:t>-37 845</w:t>
            </w:r>
          </w:p>
        </w:tc>
        <w:tc>
          <w:tcPr>
            <w:tcW w:w="1120" w:type="dxa"/>
            <w:tcBorders>
              <w:top w:val="nil"/>
              <w:left w:val="nil"/>
              <w:bottom w:val="single" w:sz="4" w:space="0" w:color="auto"/>
              <w:right w:val="single" w:sz="8" w:space="0" w:color="auto"/>
            </w:tcBorders>
            <w:noWrap/>
            <w:textDirection w:val="lrTb"/>
            <w:vAlign w:val="center"/>
            <w:hideMark/>
          </w:tcPr>
          <w:p w:rsidR="00403E79" w:rsidRPr="00403E79" w:rsidP="00403E79">
            <w:pPr>
              <w:bidi w:val="0"/>
              <w:spacing w:after="0" w:line="240" w:lineRule="auto"/>
              <w:jc w:val="right"/>
              <w:rPr>
                <w:rFonts w:ascii="Arial Narrow" w:hAnsi="Arial Narrow" w:cs="Arial"/>
                <w:sz w:val="18"/>
                <w:szCs w:val="18"/>
              </w:rPr>
            </w:pPr>
            <w:r w:rsidRPr="00403E79">
              <w:rPr>
                <w:rFonts w:ascii="Arial Narrow" w:hAnsi="Arial Narrow" w:cs="Arial"/>
                <w:sz w:val="18"/>
                <w:szCs w:val="18"/>
              </w:rPr>
              <w:t>-5 426</w:t>
            </w:r>
          </w:p>
        </w:tc>
      </w:tr>
      <w:tr>
        <w:tblPrEx>
          <w:tblW w:w="7420" w:type="dxa"/>
          <w:jc w:val="center"/>
          <w:tblInd w:w="55" w:type="dxa"/>
          <w:tblCellMar>
            <w:left w:w="70" w:type="dxa"/>
            <w:right w:w="70" w:type="dxa"/>
          </w:tblCellMar>
          <w:tblLook w:val="04A0"/>
        </w:tblPrEx>
        <w:trPr>
          <w:trHeight w:val="285"/>
          <w:jc w:val="center"/>
        </w:trPr>
        <w:tc>
          <w:tcPr>
            <w:tcW w:w="4060" w:type="dxa"/>
            <w:tcBorders>
              <w:top w:val="nil"/>
              <w:left w:val="single" w:sz="8" w:space="0" w:color="auto"/>
              <w:bottom w:val="single" w:sz="8" w:space="0" w:color="auto"/>
              <w:right w:val="single" w:sz="4" w:space="0" w:color="auto"/>
            </w:tcBorders>
            <w:shd w:val="clear" w:color="000000" w:fill="C0C0C0"/>
            <w:noWrap/>
            <w:textDirection w:val="lrTb"/>
            <w:vAlign w:val="center"/>
            <w:hideMark/>
          </w:tcPr>
          <w:p w:rsidR="00403E79" w:rsidRPr="00403E79" w:rsidP="00403E79">
            <w:pPr>
              <w:bidi w:val="0"/>
              <w:spacing w:after="0" w:line="240" w:lineRule="auto"/>
              <w:rPr>
                <w:rFonts w:ascii="Arial Narrow" w:hAnsi="Arial Narrow" w:cs="Arial"/>
                <w:b/>
                <w:bCs/>
                <w:sz w:val="18"/>
                <w:szCs w:val="18"/>
              </w:rPr>
            </w:pPr>
            <w:r w:rsidRPr="00403E79">
              <w:rPr>
                <w:rFonts w:ascii="Arial Narrow" w:hAnsi="Arial Narrow" w:cs="Arial"/>
                <w:b/>
                <w:bCs/>
                <w:sz w:val="18"/>
                <w:szCs w:val="18"/>
              </w:rPr>
              <w:t>Rozdiel</w:t>
            </w:r>
          </w:p>
        </w:tc>
        <w:tc>
          <w:tcPr>
            <w:tcW w:w="1120" w:type="dxa"/>
            <w:tcBorders>
              <w:top w:val="nil"/>
              <w:left w:val="nil"/>
              <w:bottom w:val="single" w:sz="8" w:space="0" w:color="auto"/>
              <w:right w:val="single" w:sz="4" w:space="0" w:color="auto"/>
            </w:tcBorders>
            <w:shd w:val="clear" w:color="000000" w:fill="C0C0C0"/>
            <w:noWrap/>
            <w:textDirection w:val="lrTb"/>
            <w:vAlign w:val="center"/>
            <w:hideMark/>
          </w:tcPr>
          <w:p w:rsidR="00403E79" w:rsidRPr="00403E79" w:rsidP="00403E79">
            <w:pPr>
              <w:bidi w:val="0"/>
              <w:spacing w:after="0" w:line="240" w:lineRule="auto"/>
              <w:jc w:val="right"/>
              <w:rPr>
                <w:rFonts w:ascii="Arial Narrow" w:hAnsi="Arial Narrow" w:cs="Arial"/>
                <w:b/>
                <w:bCs/>
                <w:sz w:val="18"/>
                <w:szCs w:val="18"/>
              </w:rPr>
            </w:pPr>
            <w:r w:rsidRPr="00403E79">
              <w:rPr>
                <w:rFonts w:ascii="Arial Narrow" w:hAnsi="Arial Narrow" w:cs="Arial"/>
                <w:b/>
                <w:bCs/>
                <w:sz w:val="18"/>
                <w:szCs w:val="18"/>
              </w:rPr>
              <w:t>8 961 174</w:t>
            </w:r>
          </w:p>
        </w:tc>
        <w:tc>
          <w:tcPr>
            <w:tcW w:w="1120" w:type="dxa"/>
            <w:tcBorders>
              <w:top w:val="nil"/>
              <w:left w:val="nil"/>
              <w:bottom w:val="single" w:sz="8" w:space="0" w:color="auto"/>
              <w:right w:val="single" w:sz="4" w:space="0" w:color="auto"/>
            </w:tcBorders>
            <w:shd w:val="clear" w:color="000000" w:fill="C0C0C0"/>
            <w:noWrap/>
            <w:textDirection w:val="lrTb"/>
            <w:vAlign w:val="center"/>
            <w:hideMark/>
          </w:tcPr>
          <w:p w:rsidR="00403E79" w:rsidRPr="00403E79" w:rsidP="00403E79">
            <w:pPr>
              <w:bidi w:val="0"/>
              <w:spacing w:after="0" w:line="240" w:lineRule="auto"/>
              <w:jc w:val="right"/>
              <w:rPr>
                <w:rFonts w:ascii="Arial Narrow" w:hAnsi="Arial Narrow" w:cs="Arial"/>
                <w:b/>
                <w:bCs/>
                <w:sz w:val="18"/>
                <w:szCs w:val="18"/>
              </w:rPr>
            </w:pPr>
            <w:r w:rsidRPr="00403E79">
              <w:rPr>
                <w:rFonts w:ascii="Arial Narrow" w:hAnsi="Arial Narrow" w:cs="Arial"/>
                <w:b/>
                <w:bCs/>
                <w:sz w:val="18"/>
                <w:szCs w:val="18"/>
              </w:rPr>
              <w:t>9 008 599</w:t>
            </w:r>
          </w:p>
        </w:tc>
        <w:tc>
          <w:tcPr>
            <w:tcW w:w="1120" w:type="dxa"/>
            <w:tcBorders>
              <w:top w:val="nil"/>
              <w:left w:val="nil"/>
              <w:bottom w:val="single" w:sz="8" w:space="0" w:color="auto"/>
              <w:right w:val="single" w:sz="8" w:space="0" w:color="auto"/>
            </w:tcBorders>
            <w:shd w:val="clear" w:color="000000" w:fill="C0C0C0"/>
            <w:noWrap/>
            <w:textDirection w:val="lrTb"/>
            <w:vAlign w:val="center"/>
            <w:hideMark/>
          </w:tcPr>
          <w:p w:rsidR="00403E79" w:rsidRPr="00403E79" w:rsidP="00403E79">
            <w:pPr>
              <w:bidi w:val="0"/>
              <w:spacing w:after="0" w:line="240" w:lineRule="auto"/>
              <w:jc w:val="right"/>
              <w:rPr>
                <w:rFonts w:ascii="Arial Narrow" w:hAnsi="Arial Narrow" w:cs="Arial"/>
                <w:b/>
                <w:bCs/>
                <w:sz w:val="18"/>
                <w:szCs w:val="18"/>
              </w:rPr>
            </w:pPr>
            <w:r w:rsidRPr="00403E79">
              <w:rPr>
                <w:rFonts w:ascii="Arial Narrow" w:hAnsi="Arial Narrow" w:cs="Arial"/>
                <w:b/>
                <w:bCs/>
                <w:sz w:val="18"/>
                <w:szCs w:val="18"/>
              </w:rPr>
              <w:t>47 425</w:t>
            </w:r>
          </w:p>
        </w:tc>
      </w:tr>
    </w:tbl>
    <w:p w:rsidR="00403E79" w:rsidP="00403E79">
      <w:pPr>
        <w:bidi w:val="0"/>
        <w:jc w:val="both"/>
        <w:rPr>
          <w:rFonts w:ascii="Arial Narrow" w:hAnsi="Arial Narrow" w:cs="Times New Roman"/>
        </w:rPr>
      </w:pPr>
    </w:p>
    <w:p w:rsidR="00DC2884" w:rsidRPr="00403E79" w:rsidP="00403E79">
      <w:pPr>
        <w:bidi w:val="0"/>
        <w:jc w:val="both"/>
        <w:rPr>
          <w:rFonts w:ascii="Arial Narrow" w:hAnsi="Arial Narrow" w:cs="Times New Roman"/>
        </w:rPr>
      </w:pPr>
    </w:p>
    <w:p w:rsidR="00403E79" w:rsidRPr="00403E79" w:rsidP="00403E79">
      <w:pPr>
        <w:bidi w:val="0"/>
        <w:ind w:left="360" w:hanging="360"/>
        <w:jc w:val="both"/>
        <w:outlineLvl w:val="1"/>
        <w:rPr>
          <w:rFonts w:ascii="Arial Narrow" w:hAnsi="Arial Narrow" w:cs="Times New Roman"/>
          <w:b/>
          <w:bCs/>
        </w:rPr>
      </w:pPr>
      <w:bookmarkStart w:id="54" w:name="_Toc299709427"/>
      <w:r w:rsidRPr="00403E79">
        <w:rPr>
          <w:rFonts w:ascii="Arial Narrow" w:hAnsi="Arial Narrow" w:cs="Times New Roman"/>
          <w:b/>
          <w:bCs/>
        </w:rPr>
        <w:t>Dividendy zo spoločností s majetkovou účasťou štátu, resp. FNM SR</w:t>
      </w:r>
      <w:bookmarkEnd w:id="54"/>
    </w:p>
    <w:p w:rsidR="00403E79" w:rsidRPr="00403E79" w:rsidP="00403E79">
      <w:pPr>
        <w:bidi w:val="0"/>
        <w:jc w:val="both"/>
        <w:rPr>
          <w:rFonts w:ascii="Arial Narrow" w:hAnsi="Arial Narrow" w:cs="Arial Narrow"/>
        </w:rPr>
      </w:pPr>
      <w:r w:rsidRPr="00403E79">
        <w:rPr>
          <w:rFonts w:ascii="Arial Narrow" w:hAnsi="Arial Narrow" w:cs="Arial Narrow"/>
        </w:rPr>
        <w:t>Dôležitou súčasťou príjmov štátneho rozpočtu sú príjmy z dividend zo spoločností s majetkovou účasťou štátu a Fondu národného majetku SR. Dividendy s majetkovou účasťou štátu realizujú príslušné ministerstvá, v ktorých pôsobnosti sa jednotlivé spoločnosti nachádzajú, a v ktorých zabezpečujú výkon akcionárskych práv. Dividendy realizované Fondom národného majetku SR, z dôvodu vlastníctva akcii, predstavujú najmä dividendy z prirodzených monopolov (napr. Slovenský plynárenský priemysel, a. s.).</w:t>
      </w:r>
    </w:p>
    <w:p w:rsidR="00403E79" w:rsidRPr="00DC2884" w:rsidP="00403E79">
      <w:pPr>
        <w:bidi w:val="0"/>
        <w:jc w:val="both"/>
        <w:rPr>
          <w:rFonts w:ascii="Arial Narrow" w:hAnsi="Arial Narrow" w:cs="Arial Narrow"/>
        </w:rPr>
      </w:pPr>
    </w:p>
    <w:tbl>
      <w:tblPr>
        <w:tblStyle w:val="TableNormal"/>
        <w:tblW w:w="7420" w:type="dxa"/>
        <w:jc w:val="center"/>
        <w:tblInd w:w="55" w:type="dxa"/>
        <w:tblCellMar>
          <w:left w:w="70" w:type="dxa"/>
          <w:right w:w="70" w:type="dxa"/>
        </w:tblCellMar>
        <w:tblLook w:val="04A0"/>
      </w:tblPr>
      <w:tblGrid>
        <w:gridCol w:w="4060"/>
        <w:gridCol w:w="1120"/>
        <w:gridCol w:w="1120"/>
        <w:gridCol w:w="1120"/>
      </w:tblGrid>
      <w:tr>
        <w:tblPrEx>
          <w:tblW w:w="7420" w:type="dxa"/>
          <w:jc w:val="center"/>
          <w:tblInd w:w="55" w:type="dxa"/>
          <w:tblCellMar>
            <w:left w:w="70" w:type="dxa"/>
            <w:right w:w="70" w:type="dxa"/>
          </w:tblCellMar>
          <w:tblLook w:val="04A0"/>
        </w:tblPrEx>
        <w:trPr>
          <w:trHeight w:val="540"/>
          <w:jc w:val="center"/>
        </w:trPr>
        <w:tc>
          <w:tcPr>
            <w:tcW w:w="4060" w:type="dxa"/>
            <w:tcBorders>
              <w:top w:val="single" w:sz="8" w:space="0" w:color="auto"/>
              <w:left w:val="single" w:sz="8" w:space="0" w:color="auto"/>
              <w:bottom w:val="single" w:sz="4" w:space="0" w:color="auto"/>
              <w:right w:val="single" w:sz="4" w:space="0" w:color="auto"/>
            </w:tcBorders>
            <w:shd w:val="clear" w:color="000000" w:fill="BFBFBF"/>
            <w:textDirection w:val="lrTb"/>
            <w:vAlign w:val="center"/>
            <w:hideMark/>
          </w:tcPr>
          <w:p w:rsidR="00403E79" w:rsidRPr="00403E79" w:rsidP="00403E79">
            <w:pPr>
              <w:bidi w:val="0"/>
              <w:spacing w:after="0" w:line="240" w:lineRule="auto"/>
              <w:rPr>
                <w:rFonts w:ascii="Arial Narrow" w:hAnsi="Arial Narrow" w:cs="Arial"/>
                <w:b/>
                <w:bCs/>
                <w:sz w:val="18"/>
                <w:szCs w:val="18"/>
              </w:rPr>
            </w:pPr>
            <w:r w:rsidRPr="00403E79">
              <w:rPr>
                <w:rFonts w:ascii="Arial Narrow" w:hAnsi="Arial Narrow" w:cs="Arial"/>
                <w:b/>
                <w:bCs/>
                <w:sz w:val="18"/>
                <w:szCs w:val="18"/>
              </w:rPr>
              <w:t>Dividendy</w:t>
              <w:br/>
            </w:r>
            <w:r w:rsidRPr="00403E79">
              <w:rPr>
                <w:rFonts w:ascii="Arial Narrow" w:hAnsi="Arial Narrow" w:cs="Arial"/>
                <w:sz w:val="18"/>
                <w:szCs w:val="18"/>
              </w:rPr>
              <w:t>(v tis. eur)</w:t>
            </w:r>
          </w:p>
        </w:tc>
        <w:tc>
          <w:tcPr>
            <w:tcW w:w="1120" w:type="dxa"/>
            <w:tcBorders>
              <w:top w:val="single" w:sz="8" w:space="0" w:color="auto"/>
              <w:left w:val="nil"/>
              <w:bottom w:val="single" w:sz="4" w:space="0" w:color="auto"/>
              <w:right w:val="single" w:sz="4" w:space="0" w:color="auto"/>
            </w:tcBorders>
            <w:shd w:val="clear" w:color="000000" w:fill="BFBFBF"/>
            <w:noWrap/>
            <w:textDirection w:val="lrTb"/>
            <w:vAlign w:val="center"/>
            <w:hideMark/>
          </w:tcPr>
          <w:p w:rsidR="00403E79" w:rsidRPr="00403E79" w:rsidP="00403E79">
            <w:pPr>
              <w:bidi w:val="0"/>
              <w:spacing w:after="0" w:line="240" w:lineRule="auto"/>
              <w:jc w:val="center"/>
              <w:rPr>
                <w:rFonts w:ascii="Arial Narrow" w:hAnsi="Arial Narrow" w:cs="Arial"/>
                <w:b/>
                <w:bCs/>
                <w:sz w:val="18"/>
                <w:szCs w:val="18"/>
              </w:rPr>
            </w:pPr>
            <w:r w:rsidRPr="00403E79">
              <w:rPr>
                <w:rFonts w:ascii="Arial Narrow" w:hAnsi="Arial Narrow" w:cs="Arial"/>
                <w:b/>
                <w:bCs/>
                <w:sz w:val="18"/>
                <w:szCs w:val="18"/>
              </w:rPr>
              <w:t>Rozpočet</w:t>
            </w:r>
          </w:p>
        </w:tc>
        <w:tc>
          <w:tcPr>
            <w:tcW w:w="1120" w:type="dxa"/>
            <w:tcBorders>
              <w:top w:val="single" w:sz="8" w:space="0" w:color="auto"/>
              <w:left w:val="nil"/>
              <w:bottom w:val="single" w:sz="4" w:space="0" w:color="auto"/>
              <w:right w:val="single" w:sz="4" w:space="0" w:color="auto"/>
            </w:tcBorders>
            <w:shd w:val="clear" w:color="000000" w:fill="BFBFBF"/>
            <w:noWrap/>
            <w:textDirection w:val="lrTb"/>
            <w:vAlign w:val="center"/>
            <w:hideMark/>
          </w:tcPr>
          <w:p w:rsidR="00403E79" w:rsidRPr="00403E79" w:rsidP="00403E79">
            <w:pPr>
              <w:bidi w:val="0"/>
              <w:spacing w:after="0" w:line="240" w:lineRule="auto"/>
              <w:jc w:val="center"/>
              <w:rPr>
                <w:rFonts w:ascii="Arial Narrow" w:hAnsi="Arial Narrow" w:cs="Arial"/>
                <w:b/>
                <w:bCs/>
                <w:sz w:val="18"/>
                <w:szCs w:val="18"/>
              </w:rPr>
            </w:pPr>
            <w:r w:rsidRPr="00403E79">
              <w:rPr>
                <w:rFonts w:ascii="Arial Narrow" w:hAnsi="Arial Narrow" w:cs="Arial"/>
                <w:b/>
                <w:bCs/>
                <w:sz w:val="18"/>
                <w:szCs w:val="18"/>
              </w:rPr>
              <w:t>Predpoklad</w:t>
            </w:r>
          </w:p>
        </w:tc>
        <w:tc>
          <w:tcPr>
            <w:tcW w:w="1120" w:type="dxa"/>
            <w:tcBorders>
              <w:top w:val="single" w:sz="8" w:space="0" w:color="auto"/>
              <w:left w:val="nil"/>
              <w:bottom w:val="single" w:sz="4" w:space="0" w:color="auto"/>
              <w:right w:val="single" w:sz="8" w:space="0" w:color="auto"/>
            </w:tcBorders>
            <w:shd w:val="clear" w:color="000000" w:fill="BFBFBF"/>
            <w:noWrap/>
            <w:textDirection w:val="lrTb"/>
            <w:vAlign w:val="center"/>
            <w:hideMark/>
          </w:tcPr>
          <w:p w:rsidR="00403E79" w:rsidRPr="00403E79" w:rsidP="00403E79">
            <w:pPr>
              <w:bidi w:val="0"/>
              <w:spacing w:after="0" w:line="240" w:lineRule="auto"/>
              <w:jc w:val="center"/>
              <w:rPr>
                <w:rFonts w:ascii="Arial Narrow" w:hAnsi="Arial Narrow" w:cs="Arial"/>
                <w:b/>
                <w:bCs/>
                <w:sz w:val="18"/>
                <w:szCs w:val="18"/>
              </w:rPr>
            </w:pPr>
            <w:r w:rsidRPr="00403E79">
              <w:rPr>
                <w:rFonts w:ascii="Arial Narrow" w:hAnsi="Arial Narrow" w:cs="Arial"/>
                <w:b/>
                <w:bCs/>
                <w:sz w:val="18"/>
                <w:szCs w:val="18"/>
              </w:rPr>
              <w:t>Rozdiel</w:t>
            </w:r>
          </w:p>
        </w:tc>
      </w:tr>
      <w:tr>
        <w:tblPrEx>
          <w:tblW w:w="7420" w:type="dxa"/>
          <w:jc w:val="center"/>
          <w:tblInd w:w="55" w:type="dxa"/>
          <w:tblCellMar>
            <w:left w:w="70" w:type="dxa"/>
            <w:right w:w="70" w:type="dxa"/>
          </w:tblCellMar>
          <w:tblLook w:val="04A0"/>
        </w:tblPrEx>
        <w:trPr>
          <w:trHeight w:val="270"/>
          <w:jc w:val="center"/>
        </w:trPr>
        <w:tc>
          <w:tcPr>
            <w:tcW w:w="4060" w:type="dxa"/>
            <w:tcBorders>
              <w:top w:val="nil"/>
              <w:left w:val="single" w:sz="8" w:space="0" w:color="auto"/>
              <w:bottom w:val="single" w:sz="4" w:space="0" w:color="auto"/>
              <w:right w:val="single" w:sz="4" w:space="0" w:color="auto"/>
            </w:tcBorders>
            <w:noWrap/>
            <w:textDirection w:val="lrTb"/>
            <w:vAlign w:val="center"/>
            <w:hideMark/>
          </w:tcPr>
          <w:p w:rsidR="00403E79" w:rsidRPr="00403E79" w:rsidP="00403E79">
            <w:pPr>
              <w:bidi w:val="0"/>
              <w:spacing w:after="0" w:line="240" w:lineRule="auto"/>
              <w:rPr>
                <w:rFonts w:ascii="Arial Narrow" w:hAnsi="Arial Narrow" w:cs="Arial"/>
                <w:sz w:val="18"/>
                <w:szCs w:val="18"/>
              </w:rPr>
            </w:pPr>
            <w:r w:rsidRPr="00403E79">
              <w:rPr>
                <w:rFonts w:ascii="Arial Narrow" w:hAnsi="Arial Narrow" w:cs="Arial"/>
                <w:sz w:val="18"/>
                <w:szCs w:val="18"/>
              </w:rPr>
              <w:t>Fond národného majetku SR</w:t>
            </w:r>
          </w:p>
        </w:tc>
        <w:tc>
          <w:tcPr>
            <w:tcW w:w="1120" w:type="dxa"/>
            <w:tcBorders>
              <w:top w:val="nil"/>
              <w:left w:val="nil"/>
              <w:bottom w:val="single" w:sz="4" w:space="0" w:color="auto"/>
              <w:right w:val="single" w:sz="4" w:space="0" w:color="auto"/>
            </w:tcBorders>
            <w:noWrap/>
            <w:textDirection w:val="lrTb"/>
            <w:vAlign w:val="center"/>
            <w:hideMark/>
          </w:tcPr>
          <w:p w:rsidR="00403E79" w:rsidRPr="00403E79" w:rsidP="00403E79">
            <w:pPr>
              <w:bidi w:val="0"/>
              <w:spacing w:after="0" w:line="240" w:lineRule="auto"/>
              <w:jc w:val="right"/>
              <w:rPr>
                <w:rFonts w:ascii="Arial Narrow" w:hAnsi="Arial Narrow" w:cs="Arial"/>
                <w:sz w:val="18"/>
                <w:szCs w:val="18"/>
              </w:rPr>
            </w:pPr>
            <w:r w:rsidRPr="00403E79">
              <w:rPr>
                <w:rFonts w:ascii="Arial Narrow" w:hAnsi="Arial Narrow" w:cs="Arial"/>
                <w:sz w:val="18"/>
                <w:szCs w:val="18"/>
              </w:rPr>
              <w:t>298 204</w:t>
            </w:r>
          </w:p>
        </w:tc>
        <w:tc>
          <w:tcPr>
            <w:tcW w:w="1120" w:type="dxa"/>
            <w:tcBorders>
              <w:top w:val="nil"/>
              <w:left w:val="nil"/>
              <w:bottom w:val="single" w:sz="4" w:space="0" w:color="auto"/>
              <w:right w:val="single" w:sz="4" w:space="0" w:color="auto"/>
            </w:tcBorders>
            <w:noWrap/>
            <w:textDirection w:val="lrTb"/>
            <w:vAlign w:val="center"/>
            <w:hideMark/>
          </w:tcPr>
          <w:p w:rsidR="00403E79" w:rsidRPr="00403E79" w:rsidP="00403E79">
            <w:pPr>
              <w:bidi w:val="0"/>
              <w:spacing w:after="0" w:line="240" w:lineRule="auto"/>
              <w:jc w:val="right"/>
              <w:rPr>
                <w:rFonts w:ascii="Arial Narrow" w:hAnsi="Arial Narrow" w:cs="Arial"/>
                <w:sz w:val="18"/>
                <w:szCs w:val="18"/>
              </w:rPr>
            </w:pPr>
            <w:r w:rsidRPr="00403E79">
              <w:rPr>
                <w:rFonts w:ascii="Arial Narrow" w:hAnsi="Arial Narrow" w:cs="Arial"/>
                <w:sz w:val="18"/>
                <w:szCs w:val="18"/>
              </w:rPr>
              <w:t>373 979</w:t>
            </w:r>
          </w:p>
        </w:tc>
        <w:tc>
          <w:tcPr>
            <w:tcW w:w="1120" w:type="dxa"/>
            <w:tcBorders>
              <w:top w:val="nil"/>
              <w:left w:val="nil"/>
              <w:bottom w:val="single" w:sz="4" w:space="0" w:color="auto"/>
              <w:right w:val="single" w:sz="8" w:space="0" w:color="auto"/>
            </w:tcBorders>
            <w:noWrap/>
            <w:textDirection w:val="lrTb"/>
            <w:vAlign w:val="center"/>
            <w:hideMark/>
          </w:tcPr>
          <w:p w:rsidR="00403E79" w:rsidRPr="00403E79" w:rsidP="00403E79">
            <w:pPr>
              <w:bidi w:val="0"/>
              <w:spacing w:after="0" w:line="240" w:lineRule="auto"/>
              <w:jc w:val="right"/>
              <w:rPr>
                <w:rFonts w:ascii="Arial Narrow" w:hAnsi="Arial Narrow" w:cs="Arial"/>
                <w:sz w:val="18"/>
                <w:szCs w:val="18"/>
              </w:rPr>
            </w:pPr>
            <w:r w:rsidRPr="00403E79">
              <w:rPr>
                <w:rFonts w:ascii="Arial Narrow" w:hAnsi="Arial Narrow" w:cs="Arial"/>
                <w:sz w:val="18"/>
                <w:szCs w:val="18"/>
              </w:rPr>
              <w:t>75 775</w:t>
            </w:r>
          </w:p>
        </w:tc>
      </w:tr>
      <w:tr>
        <w:tblPrEx>
          <w:tblW w:w="7420" w:type="dxa"/>
          <w:jc w:val="center"/>
          <w:tblInd w:w="55" w:type="dxa"/>
          <w:tblCellMar>
            <w:left w:w="70" w:type="dxa"/>
            <w:right w:w="70" w:type="dxa"/>
          </w:tblCellMar>
          <w:tblLook w:val="04A0"/>
        </w:tblPrEx>
        <w:trPr>
          <w:trHeight w:val="270"/>
          <w:jc w:val="center"/>
        </w:trPr>
        <w:tc>
          <w:tcPr>
            <w:tcW w:w="4060" w:type="dxa"/>
            <w:tcBorders>
              <w:top w:val="nil"/>
              <w:left w:val="single" w:sz="8" w:space="0" w:color="auto"/>
              <w:bottom w:val="single" w:sz="4" w:space="0" w:color="auto"/>
              <w:right w:val="single" w:sz="4" w:space="0" w:color="auto"/>
            </w:tcBorders>
            <w:noWrap/>
            <w:textDirection w:val="lrTb"/>
            <w:vAlign w:val="center"/>
            <w:hideMark/>
          </w:tcPr>
          <w:p w:rsidR="00403E79" w:rsidRPr="00403E79" w:rsidP="00403E79">
            <w:pPr>
              <w:bidi w:val="0"/>
              <w:spacing w:after="0" w:line="240" w:lineRule="auto"/>
              <w:rPr>
                <w:rFonts w:ascii="Arial Narrow" w:hAnsi="Arial Narrow" w:cs="Arial"/>
                <w:sz w:val="18"/>
                <w:szCs w:val="18"/>
              </w:rPr>
            </w:pPr>
            <w:r w:rsidRPr="00403E79">
              <w:rPr>
                <w:rFonts w:ascii="Arial Narrow" w:hAnsi="Arial Narrow" w:cs="Arial"/>
                <w:sz w:val="18"/>
                <w:szCs w:val="18"/>
              </w:rPr>
              <w:t>Štátny rozpočet - príslušné ministerstvá</w:t>
            </w:r>
          </w:p>
        </w:tc>
        <w:tc>
          <w:tcPr>
            <w:tcW w:w="1120" w:type="dxa"/>
            <w:tcBorders>
              <w:top w:val="nil"/>
              <w:left w:val="nil"/>
              <w:bottom w:val="single" w:sz="4" w:space="0" w:color="auto"/>
              <w:right w:val="single" w:sz="4" w:space="0" w:color="auto"/>
            </w:tcBorders>
            <w:noWrap/>
            <w:textDirection w:val="lrTb"/>
            <w:vAlign w:val="center"/>
            <w:hideMark/>
          </w:tcPr>
          <w:p w:rsidR="00403E79" w:rsidRPr="00403E79" w:rsidP="00403E79">
            <w:pPr>
              <w:bidi w:val="0"/>
              <w:spacing w:after="0" w:line="240" w:lineRule="auto"/>
              <w:jc w:val="right"/>
              <w:rPr>
                <w:rFonts w:ascii="Arial Narrow" w:hAnsi="Arial Narrow" w:cs="Arial"/>
                <w:sz w:val="18"/>
                <w:szCs w:val="18"/>
              </w:rPr>
            </w:pPr>
            <w:r w:rsidRPr="00403E79">
              <w:rPr>
                <w:rFonts w:ascii="Arial Narrow" w:hAnsi="Arial Narrow" w:cs="Arial"/>
                <w:sz w:val="18"/>
                <w:szCs w:val="18"/>
              </w:rPr>
              <w:t>92 212</w:t>
            </w:r>
          </w:p>
        </w:tc>
        <w:tc>
          <w:tcPr>
            <w:tcW w:w="1120" w:type="dxa"/>
            <w:tcBorders>
              <w:top w:val="nil"/>
              <w:left w:val="nil"/>
              <w:bottom w:val="single" w:sz="4" w:space="0" w:color="auto"/>
              <w:right w:val="single" w:sz="4" w:space="0" w:color="auto"/>
            </w:tcBorders>
            <w:noWrap/>
            <w:textDirection w:val="lrTb"/>
            <w:vAlign w:val="center"/>
            <w:hideMark/>
          </w:tcPr>
          <w:p w:rsidR="00403E79" w:rsidRPr="00403E79" w:rsidP="00403E79">
            <w:pPr>
              <w:bidi w:val="0"/>
              <w:spacing w:after="0" w:line="240" w:lineRule="auto"/>
              <w:jc w:val="right"/>
              <w:rPr>
                <w:rFonts w:ascii="Arial Narrow" w:hAnsi="Arial Narrow" w:cs="Arial"/>
                <w:sz w:val="18"/>
                <w:szCs w:val="18"/>
              </w:rPr>
            </w:pPr>
            <w:r w:rsidRPr="00403E79">
              <w:rPr>
                <w:rFonts w:ascii="Arial Narrow" w:hAnsi="Arial Narrow" w:cs="Arial"/>
                <w:sz w:val="18"/>
                <w:szCs w:val="18"/>
              </w:rPr>
              <w:t>71 737</w:t>
            </w:r>
          </w:p>
        </w:tc>
        <w:tc>
          <w:tcPr>
            <w:tcW w:w="1120" w:type="dxa"/>
            <w:tcBorders>
              <w:top w:val="nil"/>
              <w:left w:val="nil"/>
              <w:bottom w:val="single" w:sz="4" w:space="0" w:color="auto"/>
              <w:right w:val="single" w:sz="8" w:space="0" w:color="auto"/>
            </w:tcBorders>
            <w:noWrap/>
            <w:textDirection w:val="lrTb"/>
            <w:vAlign w:val="center"/>
            <w:hideMark/>
          </w:tcPr>
          <w:p w:rsidR="00403E79" w:rsidRPr="00403E79" w:rsidP="00403E79">
            <w:pPr>
              <w:bidi w:val="0"/>
              <w:spacing w:after="0" w:line="240" w:lineRule="auto"/>
              <w:jc w:val="right"/>
              <w:rPr>
                <w:rFonts w:ascii="Arial Narrow" w:hAnsi="Arial Narrow" w:cs="Arial"/>
                <w:sz w:val="18"/>
                <w:szCs w:val="18"/>
              </w:rPr>
            </w:pPr>
            <w:r w:rsidRPr="00403E79">
              <w:rPr>
                <w:rFonts w:ascii="Arial Narrow" w:hAnsi="Arial Narrow" w:cs="Arial"/>
                <w:sz w:val="18"/>
                <w:szCs w:val="18"/>
              </w:rPr>
              <w:t>-20 475</w:t>
            </w:r>
          </w:p>
        </w:tc>
      </w:tr>
      <w:tr>
        <w:tblPrEx>
          <w:tblW w:w="7420" w:type="dxa"/>
          <w:jc w:val="center"/>
          <w:tblInd w:w="55" w:type="dxa"/>
          <w:tblCellMar>
            <w:left w:w="70" w:type="dxa"/>
            <w:right w:w="70" w:type="dxa"/>
          </w:tblCellMar>
          <w:tblLook w:val="04A0"/>
        </w:tblPrEx>
        <w:trPr>
          <w:trHeight w:val="285"/>
          <w:jc w:val="center"/>
        </w:trPr>
        <w:tc>
          <w:tcPr>
            <w:tcW w:w="4060" w:type="dxa"/>
            <w:tcBorders>
              <w:top w:val="nil"/>
              <w:left w:val="single" w:sz="8" w:space="0" w:color="auto"/>
              <w:bottom w:val="single" w:sz="8" w:space="0" w:color="auto"/>
              <w:right w:val="single" w:sz="4" w:space="0" w:color="auto"/>
            </w:tcBorders>
            <w:shd w:val="clear" w:color="000000" w:fill="BFBFBF"/>
            <w:noWrap/>
            <w:textDirection w:val="lrTb"/>
            <w:vAlign w:val="center"/>
            <w:hideMark/>
          </w:tcPr>
          <w:p w:rsidR="00403E79" w:rsidRPr="00403E79" w:rsidP="00403E79">
            <w:pPr>
              <w:bidi w:val="0"/>
              <w:spacing w:after="0" w:line="240" w:lineRule="auto"/>
              <w:rPr>
                <w:rFonts w:ascii="Arial Narrow" w:hAnsi="Arial Narrow" w:cs="Arial"/>
                <w:b/>
                <w:bCs/>
                <w:sz w:val="18"/>
                <w:szCs w:val="18"/>
              </w:rPr>
            </w:pPr>
            <w:r w:rsidRPr="00403E79">
              <w:rPr>
                <w:rFonts w:ascii="Arial Narrow" w:hAnsi="Arial Narrow" w:cs="Arial"/>
                <w:b/>
                <w:bCs/>
                <w:sz w:val="18"/>
                <w:szCs w:val="18"/>
              </w:rPr>
              <w:t>Spolu</w:t>
            </w:r>
          </w:p>
        </w:tc>
        <w:tc>
          <w:tcPr>
            <w:tcW w:w="1120" w:type="dxa"/>
            <w:tcBorders>
              <w:top w:val="nil"/>
              <w:left w:val="nil"/>
              <w:bottom w:val="single" w:sz="8" w:space="0" w:color="auto"/>
              <w:right w:val="single" w:sz="4" w:space="0" w:color="auto"/>
            </w:tcBorders>
            <w:shd w:val="clear" w:color="000000" w:fill="BFBFBF"/>
            <w:noWrap/>
            <w:textDirection w:val="lrTb"/>
            <w:vAlign w:val="center"/>
            <w:hideMark/>
          </w:tcPr>
          <w:p w:rsidR="00403E79" w:rsidRPr="00403E79" w:rsidP="00403E79">
            <w:pPr>
              <w:bidi w:val="0"/>
              <w:spacing w:after="0" w:line="240" w:lineRule="auto"/>
              <w:jc w:val="right"/>
              <w:rPr>
                <w:rFonts w:ascii="Arial Narrow" w:hAnsi="Arial Narrow" w:cs="Arial"/>
                <w:b/>
                <w:bCs/>
                <w:sz w:val="18"/>
                <w:szCs w:val="18"/>
              </w:rPr>
            </w:pPr>
            <w:r w:rsidRPr="00403E79">
              <w:rPr>
                <w:rFonts w:ascii="Arial Narrow" w:hAnsi="Arial Narrow" w:cs="Arial"/>
                <w:b/>
                <w:bCs/>
                <w:sz w:val="18"/>
                <w:szCs w:val="18"/>
              </w:rPr>
              <w:t>390 416</w:t>
            </w:r>
          </w:p>
        </w:tc>
        <w:tc>
          <w:tcPr>
            <w:tcW w:w="1120" w:type="dxa"/>
            <w:tcBorders>
              <w:top w:val="nil"/>
              <w:left w:val="nil"/>
              <w:bottom w:val="single" w:sz="8" w:space="0" w:color="auto"/>
              <w:right w:val="single" w:sz="4" w:space="0" w:color="auto"/>
            </w:tcBorders>
            <w:shd w:val="clear" w:color="000000" w:fill="BFBFBF"/>
            <w:noWrap/>
            <w:textDirection w:val="lrTb"/>
            <w:vAlign w:val="center"/>
            <w:hideMark/>
          </w:tcPr>
          <w:p w:rsidR="00403E79" w:rsidRPr="00403E79" w:rsidP="00403E79">
            <w:pPr>
              <w:bidi w:val="0"/>
              <w:spacing w:after="0" w:line="240" w:lineRule="auto"/>
              <w:jc w:val="right"/>
              <w:rPr>
                <w:rFonts w:ascii="Arial Narrow" w:hAnsi="Arial Narrow" w:cs="Arial"/>
                <w:b/>
                <w:bCs/>
                <w:sz w:val="18"/>
                <w:szCs w:val="18"/>
              </w:rPr>
            </w:pPr>
            <w:r w:rsidRPr="00403E79">
              <w:rPr>
                <w:rFonts w:ascii="Arial Narrow" w:hAnsi="Arial Narrow" w:cs="Arial"/>
                <w:b/>
                <w:bCs/>
                <w:sz w:val="18"/>
                <w:szCs w:val="18"/>
              </w:rPr>
              <w:t>445 716</w:t>
            </w:r>
          </w:p>
        </w:tc>
        <w:tc>
          <w:tcPr>
            <w:tcW w:w="1120" w:type="dxa"/>
            <w:tcBorders>
              <w:top w:val="nil"/>
              <w:left w:val="nil"/>
              <w:bottom w:val="single" w:sz="8" w:space="0" w:color="auto"/>
              <w:right w:val="single" w:sz="8" w:space="0" w:color="auto"/>
            </w:tcBorders>
            <w:shd w:val="clear" w:color="000000" w:fill="BFBFBF"/>
            <w:noWrap/>
            <w:textDirection w:val="lrTb"/>
            <w:vAlign w:val="center"/>
            <w:hideMark/>
          </w:tcPr>
          <w:p w:rsidR="00403E79" w:rsidRPr="00403E79" w:rsidP="00403E79">
            <w:pPr>
              <w:bidi w:val="0"/>
              <w:spacing w:after="0" w:line="240" w:lineRule="auto"/>
              <w:jc w:val="right"/>
              <w:rPr>
                <w:rFonts w:ascii="Arial Narrow" w:hAnsi="Arial Narrow" w:cs="Arial"/>
                <w:b/>
                <w:bCs/>
                <w:sz w:val="18"/>
                <w:szCs w:val="18"/>
              </w:rPr>
            </w:pPr>
            <w:r w:rsidRPr="00403E79">
              <w:rPr>
                <w:rFonts w:ascii="Arial Narrow" w:hAnsi="Arial Narrow" w:cs="Arial"/>
                <w:b/>
                <w:bCs/>
                <w:sz w:val="18"/>
                <w:szCs w:val="18"/>
              </w:rPr>
              <w:t>55 300</w:t>
            </w:r>
          </w:p>
        </w:tc>
      </w:tr>
    </w:tbl>
    <w:p w:rsidR="00403E79" w:rsidRPr="00DC2884" w:rsidP="00403E79">
      <w:pPr>
        <w:bidi w:val="0"/>
        <w:jc w:val="both"/>
        <w:rPr>
          <w:rFonts w:ascii="Arial Narrow" w:hAnsi="Arial Narrow" w:cs="Arial Narrow"/>
        </w:rPr>
      </w:pPr>
    </w:p>
    <w:p w:rsidR="00403E79" w:rsidRPr="00403E79" w:rsidP="00403E79">
      <w:pPr>
        <w:bidi w:val="0"/>
        <w:jc w:val="both"/>
        <w:rPr>
          <w:rFonts w:ascii="Arial Narrow" w:hAnsi="Arial Narrow" w:cs="Arial Narrow"/>
        </w:rPr>
      </w:pPr>
      <w:r w:rsidRPr="00403E79">
        <w:rPr>
          <w:rFonts w:ascii="Arial Narrow" w:hAnsi="Arial Narrow" w:cs="Arial Narrow"/>
        </w:rPr>
        <w:t>V rámci riadnych dividend (v zmysle metodiky ESA 95 – ide len o dividendy získané z hospodárskej činnosti) FNM SR sa očakáva vyšší odvod dividend najmä od Slovenského plynárenského priemyslu, a. s. vo výške 53,4 mil. eur, Západoslovenskej energetiky, a. s. 7,4 mil. eur, Stredoslovenskej energetiky, a. s . vo výške 25,1 mil. eur, Východoslovenskej energetiky, a. s. vo výške 3,1 mil. eur, a od Slovenskej elektrizačnej a prenosovej sústavy, a. s. vo výške 3,8 mil. eur. Naopak nenaplnenie rozpočtovanej výšky dividend sa javí v spoločnosti Slovak Telecom, a. s., a to vo výške 18 mil. eur.</w:t>
      </w:r>
    </w:p>
    <w:p w:rsidR="00403E79" w:rsidRPr="00403E79" w:rsidP="00403E79">
      <w:pPr>
        <w:bidi w:val="0"/>
        <w:jc w:val="both"/>
        <w:rPr>
          <w:rFonts w:ascii="Arial Narrow" w:hAnsi="Arial Narrow" w:cs="Arial Narrow"/>
          <w:sz w:val="16"/>
          <w:szCs w:val="16"/>
        </w:rPr>
      </w:pPr>
    </w:p>
    <w:p w:rsidR="00403E79" w:rsidRPr="00403E79" w:rsidP="00403E79">
      <w:pPr>
        <w:bidi w:val="0"/>
        <w:jc w:val="both"/>
        <w:rPr>
          <w:rFonts w:ascii="Arial Narrow" w:hAnsi="Arial Narrow" w:cs="Arial Narrow"/>
        </w:rPr>
      </w:pPr>
      <w:r w:rsidRPr="00403E79">
        <w:rPr>
          <w:rFonts w:ascii="Arial Narrow" w:hAnsi="Arial Narrow" w:cs="Arial Narrow"/>
        </w:rPr>
        <w:t>V rámci príjmov z dividend realizovaných jednotlivými ministerstvami sa očakáva prekročenie rozpočtovanej úrovne v rámci Ministerstva financií SR, a to od spoločnosti Slovenská konsolidačná, a. s. vo výške 10 mil. eur, v rámci Ministerstva hospodárstva SR od spoločnosti Transpetrol, a. s. vo výške 10,3 mil. eur a v rámci Ministerstva dopravy, výstavby a regionálneho rozvoja SR od Letiska Košice, a. s. vo výške 0,3 mil. eur. Naopak nenaplnenie sa očakáva v rámci Ministerstva hospodárstva SR od spoločnosti Slovak Telecom, a. s. vo výške 40,8 mil. eur a Ministerstva zahraničných vecí SR od spoločnosti Správa služieb diplomatickému zboru, a. s. vo výške 0,4 mil. eur.</w:t>
      </w:r>
    </w:p>
    <w:p w:rsidR="00403E79" w:rsidRPr="00403E79" w:rsidP="00403E79">
      <w:pPr>
        <w:bidi w:val="0"/>
        <w:jc w:val="both"/>
        <w:rPr>
          <w:rFonts w:ascii="Arial Narrow" w:hAnsi="Arial Narrow"/>
          <w:sz w:val="16"/>
          <w:szCs w:val="16"/>
        </w:rPr>
      </w:pPr>
    </w:p>
    <w:p w:rsidR="00403E79" w:rsidRPr="00403E79" w:rsidP="00403E79">
      <w:pPr>
        <w:bidi w:val="0"/>
        <w:ind w:left="360" w:hanging="360"/>
        <w:jc w:val="both"/>
        <w:outlineLvl w:val="1"/>
        <w:rPr>
          <w:rFonts w:ascii="Arial Narrow" w:hAnsi="Arial Narrow" w:cs="Times New Roman"/>
          <w:b/>
          <w:bCs/>
        </w:rPr>
      </w:pPr>
      <w:bookmarkStart w:id="55" w:name="_Toc299709428"/>
      <w:r w:rsidRPr="00403E79">
        <w:rPr>
          <w:rFonts w:ascii="Arial Narrow" w:hAnsi="Arial Narrow" w:cs="Times New Roman"/>
          <w:b/>
          <w:bCs/>
        </w:rPr>
        <w:t>Iné ako daňové príjmy</w:t>
      </w:r>
      <w:bookmarkEnd w:id="55"/>
    </w:p>
    <w:p w:rsidR="00403E79" w:rsidRPr="00403E79" w:rsidP="00403E79">
      <w:pPr>
        <w:bidi w:val="0"/>
        <w:jc w:val="both"/>
        <w:rPr>
          <w:rFonts w:ascii="Arial Narrow" w:hAnsi="Arial Narrow" w:cs="Arial Narrow"/>
        </w:rPr>
      </w:pPr>
      <w:r w:rsidRPr="00403E79">
        <w:rPr>
          <w:rFonts w:ascii="Arial Narrow" w:hAnsi="Arial Narrow" w:cs="Arial Narrow"/>
        </w:rPr>
        <w:t xml:space="preserve">V rámci ostatných nedaňových príjmov sa očakáva </w:t>
      </w:r>
      <w:r w:rsidRPr="00403E79">
        <w:rPr>
          <w:rFonts w:ascii="Arial Narrow" w:hAnsi="Arial Narrow" w:cs="Arial Narrow"/>
          <w:b/>
        </w:rPr>
        <w:t>prekročenie</w:t>
      </w:r>
      <w:r w:rsidRPr="00403E79">
        <w:rPr>
          <w:rFonts w:ascii="Arial Narrow" w:hAnsi="Arial Narrow" w:cs="Arial Narrow"/>
        </w:rPr>
        <w:t xml:space="preserve"> rozpočtovanej úrovne </w:t>
      </w:r>
      <w:r w:rsidRPr="00403E79">
        <w:rPr>
          <w:rFonts w:ascii="Arial Narrow" w:hAnsi="Arial Narrow" w:cs="Arial Narrow"/>
          <w:b/>
        </w:rPr>
        <w:t>o 74 mil. eur</w:t>
      </w:r>
      <w:r w:rsidRPr="00403E79">
        <w:rPr>
          <w:rFonts w:ascii="Arial Narrow" w:hAnsi="Arial Narrow" w:cs="Arial Narrow"/>
        </w:rPr>
        <w:t xml:space="preserve">. Predpokladá sa nenaplnenie príjmov z administratívnych poplatkov vo výške 13 mil. eur, úrokových príjmov vo výške takmer 19 mil. eur. </w:t>
      </w:r>
      <w:r w:rsidR="00312CF3">
        <w:rPr>
          <w:rFonts w:ascii="Arial Narrow" w:hAnsi="Arial Narrow" w:cs="Arial Narrow"/>
        </w:rPr>
        <w:t xml:space="preserve">Na druhej strane sa očakávajú dodatočné príjmy z dividend </w:t>
      </w:r>
      <w:r w:rsidR="00BF5F38">
        <w:rPr>
          <w:rFonts w:ascii="Arial Narrow" w:hAnsi="Arial Narrow" w:cs="Arial Narrow"/>
        </w:rPr>
        <w:t xml:space="preserve">od spoločnosti Slovak Telecom, a. s. </w:t>
      </w:r>
      <w:r w:rsidR="00312CF3">
        <w:rPr>
          <w:rFonts w:ascii="Arial Narrow" w:hAnsi="Arial Narrow" w:cs="Arial Narrow"/>
        </w:rPr>
        <w:t>a vyššie príjmy z licenčných poplatkov</w:t>
      </w:r>
      <w:r w:rsidR="00BF5F38">
        <w:rPr>
          <w:rFonts w:ascii="Arial Narrow" w:hAnsi="Arial Narrow" w:cs="Arial Narrow"/>
        </w:rPr>
        <w:t>. Ďalším pozitívom bude prekročenie</w:t>
      </w:r>
      <w:r w:rsidRPr="00403E79" w:rsidR="00BF5F38">
        <w:rPr>
          <w:rFonts w:ascii="Arial Narrow" w:hAnsi="Arial Narrow" w:cs="Arial Narrow"/>
        </w:rPr>
        <w:t xml:space="preserve"> iných nedaňových príjmov vo výške 38 mil. eur a vyšší príjem z predaja ma</w:t>
      </w:r>
      <w:r w:rsidR="00BF5F38">
        <w:rPr>
          <w:rFonts w:ascii="Arial Narrow" w:hAnsi="Arial Narrow" w:cs="Arial Narrow"/>
        </w:rPr>
        <w:t>je</w:t>
      </w:r>
      <w:r w:rsidRPr="00403E79" w:rsidR="00BF5F38">
        <w:rPr>
          <w:rFonts w:ascii="Arial Narrow" w:hAnsi="Arial Narrow" w:cs="Arial Narrow"/>
        </w:rPr>
        <w:t>tku vo výške 2 mil. eur.</w:t>
      </w:r>
      <w:r w:rsidRPr="00403E79">
        <w:rPr>
          <w:rFonts w:ascii="Arial Narrow" w:hAnsi="Arial Narrow" w:cs="Arial Narrow"/>
        </w:rPr>
        <w:t xml:space="preserve"> </w:t>
      </w:r>
    </w:p>
    <w:p w:rsidR="00403E79" w:rsidRPr="00403E79" w:rsidP="00403E79">
      <w:pPr>
        <w:bidi w:val="0"/>
        <w:ind w:left="360" w:hanging="360"/>
        <w:jc w:val="both"/>
        <w:outlineLvl w:val="1"/>
        <w:rPr>
          <w:rFonts w:ascii="Arial Narrow" w:hAnsi="Arial Narrow" w:cs="Times New Roman"/>
          <w:b/>
          <w:bCs/>
        </w:rPr>
      </w:pPr>
    </w:p>
    <w:p w:rsidR="00403E79" w:rsidRPr="00403E79" w:rsidP="00403E79">
      <w:pPr>
        <w:bidi w:val="0"/>
        <w:jc w:val="both"/>
        <w:outlineLvl w:val="1"/>
        <w:rPr>
          <w:rFonts w:ascii="Arial Narrow" w:hAnsi="Arial Narrow" w:cs="Times New Roman"/>
          <w:b/>
          <w:bCs/>
        </w:rPr>
      </w:pPr>
      <w:bookmarkStart w:id="56" w:name="_Toc299709429"/>
      <w:r w:rsidRPr="00403E79">
        <w:rPr>
          <w:rFonts w:ascii="Arial Narrow" w:hAnsi="Arial Narrow" w:cs="Times New Roman"/>
          <w:b/>
          <w:bCs/>
        </w:rPr>
        <w:t>Predpoklad čerpania prostriedkov štátneho rozpočtu určených na financovanie spol. programov SR a EÚ</w:t>
      </w:r>
      <w:bookmarkEnd w:id="56"/>
    </w:p>
    <w:p w:rsidR="00403E79" w:rsidRPr="00403E79" w:rsidP="00403E79">
      <w:pPr>
        <w:bidi w:val="0"/>
        <w:jc w:val="both"/>
        <w:rPr>
          <w:rFonts w:ascii="Arial Narrow" w:hAnsi="Arial Narrow" w:cs="Arial Narrow"/>
        </w:rPr>
      </w:pPr>
      <w:r w:rsidRPr="00403E79">
        <w:rPr>
          <w:rFonts w:ascii="Arial Narrow" w:hAnsi="Arial Narrow" w:cs="Arial Narrow"/>
        </w:rPr>
        <w:t>Ministerstvo financií SR na základe pravidelného monitoringu čerpania výdavkov jednotlivých kapitol štátneho rozpočtu a v nadväznosti na reálne čerpanie výdavkov v posledných rokoch predpokladá</w:t>
      </w:r>
      <w:r w:rsidRPr="003B021C" w:rsidR="003B021C">
        <w:rPr>
          <w:rFonts w:ascii="Arial Narrow" w:hAnsi="Arial Narrow" w:cs="Arial Narrow"/>
        </w:rPr>
        <w:t>, že v roku 2011 nebudú čerpané prostriedky EÚ a prostriedky štátneho rozpočtu určené na financovanie spoločných programov SR a EÚ v plnej výške schváleného rozpočtu</w:t>
      </w:r>
      <w:r w:rsidRPr="00403E79">
        <w:rPr>
          <w:rFonts w:ascii="Arial Narrow" w:hAnsi="Arial Narrow" w:cs="Arial Narrow"/>
        </w:rPr>
        <w:t xml:space="preserve">. Na základe súčasných predpokladov je možné očakávať </w:t>
      </w:r>
      <w:r w:rsidRPr="00403E79">
        <w:rPr>
          <w:rFonts w:ascii="Arial Narrow" w:hAnsi="Arial Narrow" w:cs="Arial Narrow"/>
          <w:b/>
        </w:rPr>
        <w:t>nečerpanie</w:t>
      </w:r>
      <w:r w:rsidRPr="00403E79">
        <w:rPr>
          <w:rFonts w:ascii="Arial Narrow" w:hAnsi="Arial Narrow" w:cs="Arial Narrow"/>
        </w:rPr>
        <w:t xml:space="preserve"> prostriedkov štátneho rozpočtu určených na financovanie spoločných programov SR a EÚ cca vo výške           </w:t>
      </w:r>
      <w:r w:rsidRPr="00403E79">
        <w:rPr>
          <w:rFonts w:ascii="Arial Narrow" w:hAnsi="Arial Narrow" w:cs="Arial Narrow"/>
          <w:b/>
        </w:rPr>
        <w:t>210 mil. eur</w:t>
      </w:r>
      <w:r w:rsidRPr="00403E79">
        <w:rPr>
          <w:rFonts w:ascii="Arial Narrow" w:hAnsi="Arial Narrow" w:cs="Arial Narrow"/>
        </w:rPr>
        <w:t xml:space="preserve">. </w:t>
      </w:r>
    </w:p>
    <w:p w:rsidR="00403E79" w:rsidRPr="00403E79" w:rsidP="00403E79">
      <w:pPr>
        <w:bidi w:val="0"/>
        <w:jc w:val="both"/>
        <w:rPr>
          <w:rFonts w:ascii="Arial Narrow" w:hAnsi="Arial Narrow"/>
        </w:rPr>
      </w:pPr>
    </w:p>
    <w:p w:rsidR="00403E79" w:rsidRPr="00403E79" w:rsidP="00403E79">
      <w:pPr>
        <w:bidi w:val="0"/>
        <w:ind w:left="360" w:hanging="360"/>
        <w:jc w:val="both"/>
        <w:rPr>
          <w:rFonts w:ascii="Arial Narrow" w:hAnsi="Arial Narrow" w:cs="Arial Narrow"/>
          <w:b/>
        </w:rPr>
      </w:pPr>
      <w:r w:rsidRPr="00403E79">
        <w:rPr>
          <w:rFonts w:ascii="Arial Narrow" w:hAnsi="Arial Narrow" w:cs="Arial Narrow"/>
          <w:b/>
        </w:rPr>
        <w:t>Úspora vo výdavkoch štátneho dlhu</w:t>
      </w:r>
    </w:p>
    <w:p w:rsidR="00403E79" w:rsidRPr="00403E79" w:rsidP="00403E79">
      <w:pPr>
        <w:bidi w:val="0"/>
        <w:jc w:val="both"/>
        <w:rPr>
          <w:rFonts w:ascii="Arial Narrow" w:hAnsi="Arial Narrow" w:cs="Arial Narrow"/>
        </w:rPr>
      </w:pPr>
      <w:r w:rsidRPr="00403E79">
        <w:rPr>
          <w:rFonts w:ascii="Arial Narrow" w:hAnsi="Arial Narrow" w:cs="Arial Narrow"/>
        </w:rPr>
        <w:t xml:space="preserve">Z dôvodu úspešnej emisnej politiky štátnych dlhopisov aj doteraz dobrého vývoja deficitu štátneho rozpočtu v prvom polroku roku 2011 je možné očakávať </w:t>
      </w:r>
      <w:r w:rsidRPr="00403E79">
        <w:rPr>
          <w:rFonts w:ascii="Arial Narrow" w:hAnsi="Arial Narrow" w:cs="Arial Narrow"/>
          <w:b/>
        </w:rPr>
        <w:t>úsporu</w:t>
      </w:r>
      <w:r w:rsidRPr="00403E79">
        <w:rPr>
          <w:rFonts w:ascii="Arial Narrow" w:hAnsi="Arial Narrow" w:cs="Arial Narrow"/>
        </w:rPr>
        <w:t xml:space="preserve"> vo výdavkoch štátneho dlhu v tomto roku v objeme </w:t>
      </w:r>
      <w:r w:rsidRPr="00403E79">
        <w:rPr>
          <w:rFonts w:ascii="Arial Narrow" w:hAnsi="Arial Narrow" w:cs="Arial Narrow"/>
          <w:b/>
        </w:rPr>
        <w:t>100 mil. eur</w:t>
      </w:r>
      <w:r w:rsidRPr="00403E79">
        <w:rPr>
          <w:rFonts w:ascii="Arial Narrow" w:hAnsi="Arial Narrow" w:cs="Arial Narrow"/>
        </w:rPr>
        <w:t xml:space="preserve">. </w:t>
      </w:r>
    </w:p>
    <w:p w:rsidR="00403E79" w:rsidRPr="00403E79" w:rsidP="00403E79">
      <w:pPr>
        <w:bidi w:val="0"/>
        <w:jc w:val="both"/>
        <w:rPr>
          <w:rFonts w:ascii="Arial Narrow" w:hAnsi="Arial Narrow"/>
        </w:rPr>
      </w:pPr>
    </w:p>
    <w:p w:rsidR="00403E79" w:rsidRPr="00403E79" w:rsidP="00403E79">
      <w:pPr>
        <w:bidi w:val="0"/>
        <w:ind w:left="360" w:hanging="360"/>
        <w:jc w:val="both"/>
        <w:rPr>
          <w:rFonts w:ascii="Arial Narrow" w:hAnsi="Arial Narrow" w:cs="Arial Narrow"/>
          <w:b/>
        </w:rPr>
      </w:pPr>
      <w:r w:rsidRPr="00403E79">
        <w:rPr>
          <w:rFonts w:ascii="Arial Narrow" w:hAnsi="Arial Narrow" w:cs="Arial Narrow"/>
          <w:b/>
        </w:rPr>
        <w:t>Odvody do všeobecného rozpočtu EÚ</w:t>
      </w:r>
    </w:p>
    <w:p w:rsidR="00403E79" w:rsidRPr="00403E79" w:rsidP="00403E79">
      <w:pPr>
        <w:bidi w:val="0"/>
        <w:jc w:val="both"/>
        <w:rPr>
          <w:rFonts w:ascii="Arial Narrow" w:hAnsi="Arial Narrow" w:cs="Arial Narrow"/>
        </w:rPr>
      </w:pPr>
      <w:r w:rsidRPr="00403E79">
        <w:rPr>
          <w:rFonts w:ascii="Arial Narrow" w:hAnsi="Arial Narrow" w:cs="Arial Narrow"/>
        </w:rPr>
        <w:t xml:space="preserve">Na základe oznámenia Stáleho zastúpenia Slovenskej republiky sa prerozdelil rozpočtový prebytok rozpočtu EÚ za rok 2010 medzi členské štáty. Podiel SR na prebytku predstavuje </w:t>
      </w:r>
      <w:r w:rsidRPr="00403E79">
        <w:rPr>
          <w:rFonts w:ascii="Arial Narrow" w:hAnsi="Arial Narrow" w:cs="Arial Narrow"/>
          <w:b/>
        </w:rPr>
        <w:t>25 mil. eur</w:t>
      </w:r>
      <w:r w:rsidRPr="00403E79">
        <w:rPr>
          <w:rFonts w:ascii="Arial Narrow" w:hAnsi="Arial Narrow" w:cs="Arial Narrow"/>
        </w:rPr>
        <w:t xml:space="preserve">. O túto sumu sa Slovenskej republike znížia odvody do rozpočtu EÚ v roku 2011. </w:t>
      </w:r>
    </w:p>
    <w:p w:rsidR="00403E79" w:rsidP="00403E79">
      <w:pPr>
        <w:bidi w:val="0"/>
        <w:jc w:val="both"/>
        <w:rPr>
          <w:rFonts w:ascii="Arial Narrow" w:hAnsi="Arial Narrow" w:cs="Arial Narrow"/>
        </w:rPr>
      </w:pPr>
    </w:p>
    <w:p w:rsidR="00DC2884" w:rsidP="00403E79">
      <w:pPr>
        <w:bidi w:val="0"/>
        <w:jc w:val="both"/>
        <w:rPr>
          <w:rFonts w:ascii="Arial Narrow" w:hAnsi="Arial Narrow" w:cs="Arial Narrow"/>
        </w:rPr>
      </w:pPr>
    </w:p>
    <w:p w:rsidR="00DC2884" w:rsidRPr="00403E79" w:rsidP="00403E79">
      <w:pPr>
        <w:bidi w:val="0"/>
        <w:jc w:val="both"/>
        <w:rPr>
          <w:rFonts w:ascii="Arial Narrow" w:hAnsi="Arial Narrow" w:cs="Arial Narrow"/>
        </w:rPr>
      </w:pPr>
    </w:p>
    <w:p w:rsidR="00403E79" w:rsidRPr="00403E79" w:rsidP="00403E79">
      <w:pPr>
        <w:bidi w:val="0"/>
        <w:ind w:left="360" w:hanging="360"/>
        <w:jc w:val="both"/>
        <w:rPr>
          <w:rFonts w:ascii="Arial Narrow" w:hAnsi="Arial Narrow" w:cs="Arial Narrow"/>
          <w:b/>
        </w:rPr>
      </w:pPr>
      <w:r w:rsidRPr="00403E79">
        <w:rPr>
          <w:rFonts w:ascii="Arial Narrow" w:hAnsi="Arial Narrow" w:cs="Arial Narrow"/>
          <w:b/>
        </w:rPr>
        <w:t>Rezerva na odvody do všeobecného rozpočtu EÚ</w:t>
      </w:r>
    </w:p>
    <w:p w:rsidR="00403E79" w:rsidRPr="00403E79" w:rsidP="00403E79">
      <w:pPr>
        <w:bidi w:val="0"/>
        <w:jc w:val="both"/>
        <w:rPr>
          <w:rFonts w:ascii="Arial Narrow" w:hAnsi="Arial Narrow" w:cs="Arial Narrow"/>
        </w:rPr>
      </w:pPr>
      <w:r w:rsidRPr="00403E79">
        <w:rPr>
          <w:rFonts w:ascii="Arial Narrow" w:hAnsi="Arial Narrow" w:cs="Arial Narrow"/>
        </w:rPr>
        <w:t xml:space="preserve">V rámci štátneho rozpočtu je rozpočtovaná rezerva na odvody do všeobecného rozpočtu EÚ vo výške 2 % zo sumy odvodov rozpočtovanej pre zdroj založený na DPH a HND. Predmetom rozpočtovania týchto výdavkov je prípadné pokrytie zostatkov vyplývajúcich z aktualizácie harmonizovaného základu DPH a agregátu HND členských štátov za predchádzajúci rok, ako aj aktualizácie sumy korekcie Veľkej Británie a na pokrytie prípadného zvýšenia odvodov členských štátov v súvislosti s prijatím noviel rozpočtu EÚ počas daného rozpočtového roka. </w:t>
      </w:r>
    </w:p>
    <w:p w:rsidR="00403E79" w:rsidRPr="00403E79" w:rsidP="00403E79">
      <w:pPr>
        <w:bidi w:val="0"/>
        <w:jc w:val="both"/>
        <w:rPr>
          <w:rFonts w:ascii="Arial Narrow" w:hAnsi="Arial Narrow" w:cs="Arial Narrow"/>
        </w:rPr>
      </w:pPr>
      <w:r w:rsidRPr="00403E79">
        <w:rPr>
          <w:rFonts w:ascii="Arial Narrow" w:hAnsi="Arial Narrow" w:cs="Arial Narrow"/>
        </w:rPr>
        <w:t> </w:t>
      </w:r>
    </w:p>
    <w:p w:rsidR="00403E79" w:rsidRPr="00403E79" w:rsidP="00403E79">
      <w:pPr>
        <w:bidi w:val="0"/>
        <w:jc w:val="both"/>
        <w:rPr>
          <w:rFonts w:ascii="Arial Narrow" w:hAnsi="Arial Narrow" w:cs="Arial Narrow"/>
        </w:rPr>
      </w:pPr>
      <w:r w:rsidRPr="00403E79">
        <w:rPr>
          <w:rFonts w:ascii="Arial Narrow" w:hAnsi="Arial Narrow" w:cs="Arial Narrow"/>
        </w:rPr>
        <w:t xml:space="preserve">V nadväznosti na konečnú podobu rozpočtu EÚ na rok 2011 schváleného v decembri 2010  je možné predpokladať, že rozpočtovaná  rezerva na odvody do všeobecného rozpočtu EÚ vo výške </w:t>
      </w:r>
      <w:r w:rsidRPr="00403E79">
        <w:rPr>
          <w:rFonts w:ascii="Arial Narrow" w:hAnsi="Arial Narrow" w:cs="Arial Narrow"/>
          <w:b/>
        </w:rPr>
        <w:t>12 mil. eur</w:t>
      </w:r>
      <w:r w:rsidRPr="00403E79">
        <w:rPr>
          <w:rFonts w:ascii="Arial Narrow" w:hAnsi="Arial Narrow" w:cs="Arial Narrow"/>
        </w:rPr>
        <w:t xml:space="preserve"> nebude použitá. </w:t>
      </w:r>
    </w:p>
    <w:p w:rsidR="00403E79" w:rsidRPr="00403E79" w:rsidP="00403E79">
      <w:pPr>
        <w:bidi w:val="0"/>
        <w:jc w:val="both"/>
        <w:rPr>
          <w:rFonts w:ascii="Arial Narrow" w:hAnsi="Arial Narrow" w:cs="Arial Narrow"/>
        </w:rPr>
      </w:pPr>
    </w:p>
    <w:p w:rsidR="00403E79" w:rsidRPr="00403E79" w:rsidP="00403E79">
      <w:pPr>
        <w:bidi w:val="0"/>
        <w:ind w:left="360" w:hanging="360"/>
        <w:jc w:val="both"/>
        <w:rPr>
          <w:rFonts w:ascii="Arial Narrow" w:hAnsi="Arial Narrow" w:cs="Arial Narrow"/>
          <w:b/>
        </w:rPr>
      </w:pPr>
      <w:r w:rsidRPr="00403E79">
        <w:rPr>
          <w:rFonts w:ascii="Arial Narrow" w:hAnsi="Arial Narrow" w:cs="Arial Narrow"/>
          <w:b/>
        </w:rPr>
        <w:t>Revitalizácia železničných spoločností</w:t>
      </w:r>
    </w:p>
    <w:p w:rsidR="00403E79" w:rsidRPr="00403E79" w:rsidP="00403E79">
      <w:pPr>
        <w:bidi w:val="0"/>
        <w:jc w:val="both"/>
        <w:rPr>
          <w:rFonts w:ascii="Arial Narrow" w:hAnsi="Arial Narrow" w:cs="Arial Narrow"/>
        </w:rPr>
      </w:pPr>
      <w:r w:rsidRPr="00403E79">
        <w:rPr>
          <w:rFonts w:ascii="Arial Narrow" w:hAnsi="Arial Narrow" w:cs="Arial Narrow"/>
        </w:rPr>
        <w:t xml:space="preserve">Vláda SR svojím uznesením č. 188 zo dňa 16. marca 2011 schválila program revitalizácie železničných spoločností. Okrem samotných úsporných opatrení zo strany spoločností sa pristúpi aj k vyčleneniu dodatočných zdrojov na krytie štátom objednaných služieb a výkonov. Pre ŽSR bolo vyčlenených 80 mil. eur a pre ZSSK 55,6 mil. eur. Okrem týchto položiek bude mať na rozpočet verejnej správy v metodike ESA 95 negatívny vplyv aj strata oboch spoločností zo zmlúv so štátom, ktorá napriek zvýšeným dotáciám dosiahne približne 95 mil. eur. Je spôsobená aj neskorším spustením ozdravného plánu, ale aj jeho zmäkčením v porovnaní so zámermi z decembra 2010. Celkový </w:t>
      </w:r>
      <w:r w:rsidRPr="00403E79">
        <w:rPr>
          <w:rFonts w:ascii="Arial Narrow" w:hAnsi="Arial Narrow" w:cs="Arial Narrow"/>
          <w:b/>
        </w:rPr>
        <w:t>negatívny vplyv na saldo verejnej správy</w:t>
      </w:r>
      <w:r w:rsidRPr="00403E79">
        <w:rPr>
          <w:rFonts w:ascii="Arial Narrow" w:hAnsi="Arial Narrow" w:cs="Arial Narrow"/>
        </w:rPr>
        <w:t xml:space="preserve"> bude preto </w:t>
      </w:r>
      <w:r w:rsidRPr="000336FC" w:rsidR="00427CA7">
        <w:rPr>
          <w:rFonts w:ascii="Arial Narrow" w:hAnsi="Arial Narrow" w:cs="Arial Narrow"/>
          <w:b/>
        </w:rPr>
        <w:t xml:space="preserve">až </w:t>
      </w:r>
      <w:r w:rsidRPr="00427CA7">
        <w:rPr>
          <w:rFonts w:ascii="Arial Narrow" w:hAnsi="Arial Narrow" w:cs="Arial Narrow"/>
          <w:b/>
        </w:rPr>
        <w:t>2</w:t>
      </w:r>
      <w:r w:rsidRPr="00403E79">
        <w:rPr>
          <w:rFonts w:ascii="Arial Narrow" w:hAnsi="Arial Narrow" w:cs="Arial Narrow"/>
          <w:b/>
        </w:rPr>
        <w:t>30,6 mil. eur</w:t>
      </w:r>
      <w:r w:rsidRPr="00403E79">
        <w:rPr>
          <w:rFonts w:ascii="Arial Narrow" w:hAnsi="Arial Narrow" w:cs="Arial Narrow"/>
        </w:rPr>
        <w:t>.</w:t>
      </w:r>
    </w:p>
    <w:p w:rsidR="00403E79" w:rsidRPr="00403E79" w:rsidP="00403E79">
      <w:pPr>
        <w:bidi w:val="0"/>
        <w:jc w:val="both"/>
        <w:rPr>
          <w:rFonts w:ascii="Arial Narrow" w:hAnsi="Arial Narrow"/>
        </w:rPr>
      </w:pPr>
    </w:p>
    <w:p w:rsidR="00403E79" w:rsidRPr="00403E79" w:rsidP="00403E79">
      <w:pPr>
        <w:bidi w:val="0"/>
        <w:jc w:val="both"/>
        <w:rPr>
          <w:rFonts w:ascii="Arial Narrow" w:hAnsi="Arial Narrow" w:cs="Arial Narrow"/>
          <w:b/>
        </w:rPr>
      </w:pPr>
      <w:r w:rsidRPr="00403E79">
        <w:rPr>
          <w:rFonts w:ascii="Arial Narrow" w:hAnsi="Arial Narrow" w:cs="Arial Narrow"/>
          <w:b/>
        </w:rPr>
        <w:t>Zadlženosť zdravotníckych zariadení</w:t>
      </w:r>
    </w:p>
    <w:p w:rsidR="00403E79" w:rsidRPr="00403E79" w:rsidP="00403E79">
      <w:pPr>
        <w:bidi w:val="0"/>
        <w:jc w:val="both"/>
        <w:rPr>
          <w:rFonts w:ascii="Arial Narrow" w:hAnsi="Arial Narrow" w:cs="Arial Narrow"/>
        </w:rPr>
      </w:pPr>
      <w:r w:rsidRPr="00403E79">
        <w:rPr>
          <w:rFonts w:ascii="Arial Narrow" w:hAnsi="Arial Narrow" w:cs="Arial Narrow"/>
        </w:rPr>
        <w:t xml:space="preserve">Väčšina zdravotníckych zariadení pokračuje počas tohto roku vo zvyšovaní svojej zadlženosti. Medziročný nárast ich dlhu zvyšuje deficit rozpočtu verejnej správy v metodike ESA 95. Hoci nárast dlhu počas roku 2011 je v súčasnosti ťažko možné presne predpokladať, Ministerstvo financií SR v tomto štádiu uvažuje s hodnotou       </w:t>
      </w:r>
      <w:r w:rsidRPr="00403E79">
        <w:rPr>
          <w:rFonts w:ascii="Arial Narrow" w:hAnsi="Arial Narrow" w:cs="Arial Narrow"/>
          <w:b/>
        </w:rPr>
        <w:t>100 mil. eur</w:t>
      </w:r>
      <w:r w:rsidRPr="00403E79">
        <w:rPr>
          <w:rFonts w:ascii="Arial Narrow" w:hAnsi="Arial Narrow" w:cs="Arial Narrow"/>
        </w:rPr>
        <w:t>.</w:t>
      </w:r>
    </w:p>
    <w:p w:rsidR="00403E79" w:rsidRPr="00403E79" w:rsidP="00403E79">
      <w:pPr>
        <w:bidi w:val="0"/>
        <w:jc w:val="both"/>
        <w:rPr>
          <w:rFonts w:ascii="Arial Narrow" w:hAnsi="Arial Narrow"/>
        </w:rPr>
      </w:pPr>
    </w:p>
    <w:p w:rsidR="00403E79" w:rsidRPr="00403E79" w:rsidP="00403E79">
      <w:pPr>
        <w:bidi w:val="0"/>
        <w:jc w:val="both"/>
        <w:rPr>
          <w:rFonts w:ascii="Arial Narrow" w:hAnsi="Arial Narrow"/>
          <w:b/>
        </w:rPr>
      </w:pPr>
      <w:r w:rsidRPr="00F62B44" w:rsidR="00F62B44">
        <w:rPr>
          <w:rFonts w:ascii="Arial Narrow" w:hAnsi="Arial Narrow"/>
          <w:b/>
        </w:rPr>
        <w:t>Z</w:t>
      </w:r>
      <w:r w:rsidRPr="00F62B44">
        <w:rPr>
          <w:rFonts w:ascii="Arial Narrow" w:hAnsi="Arial Narrow"/>
          <w:b/>
        </w:rPr>
        <w:t>ákladn</w:t>
      </w:r>
      <w:r w:rsidRPr="00F62B44" w:rsidR="00F62B44">
        <w:rPr>
          <w:rFonts w:ascii="Arial Narrow" w:hAnsi="Arial Narrow"/>
          <w:b/>
        </w:rPr>
        <w:t>é</w:t>
      </w:r>
      <w:r w:rsidRPr="00F62B44">
        <w:rPr>
          <w:rFonts w:ascii="Arial Narrow" w:hAnsi="Arial Narrow"/>
          <w:b/>
        </w:rPr>
        <w:t xml:space="preserve"> výdavk</w:t>
      </w:r>
      <w:r w:rsidRPr="00F62B44" w:rsidR="00F62B44">
        <w:rPr>
          <w:rFonts w:ascii="Arial Narrow" w:hAnsi="Arial Narrow"/>
          <w:b/>
        </w:rPr>
        <w:t>y na chod</w:t>
      </w:r>
      <w:r w:rsidRPr="00F62B44">
        <w:rPr>
          <w:rFonts w:ascii="Arial Narrow" w:hAnsi="Arial Narrow"/>
          <w:b/>
        </w:rPr>
        <w:t xml:space="preserve"> štátu</w:t>
      </w:r>
    </w:p>
    <w:p w:rsidR="00BF5F38" w:rsidP="00BF5F38">
      <w:pPr>
        <w:bidi w:val="0"/>
        <w:jc w:val="both"/>
        <w:rPr>
          <w:rFonts w:ascii="Arial Narrow" w:hAnsi="Arial Narrow"/>
        </w:rPr>
      </w:pPr>
      <w:r w:rsidRPr="00BE54FF">
        <w:rPr>
          <w:rFonts w:ascii="Arial Narrow" w:hAnsi="Arial Narrow"/>
        </w:rPr>
        <w:t>Pre</w:t>
      </w:r>
      <w:r w:rsidR="00611BCC">
        <w:rPr>
          <w:rFonts w:ascii="Arial Narrow" w:hAnsi="Arial Narrow"/>
        </w:rPr>
        <w:t xml:space="preserve">dpokladá sa, že základné výdavky na chod štátu </w:t>
      </w:r>
      <w:r w:rsidRPr="003B021C" w:rsidR="003B021C">
        <w:rPr>
          <w:rFonts w:ascii="Arial Narrow" w:hAnsi="Arial Narrow"/>
          <w:b/>
        </w:rPr>
        <w:t>presiahnu rozpočtovanú úroveň o 91 mil. eur</w:t>
      </w:r>
      <w:r w:rsidR="00611BCC">
        <w:rPr>
          <w:rFonts w:ascii="Arial Narrow" w:hAnsi="Arial Narrow"/>
        </w:rPr>
        <w:t xml:space="preserve">. Hlavným dôvodom je </w:t>
      </w:r>
      <w:r w:rsidRPr="00EE5C53">
        <w:rPr>
          <w:rFonts w:ascii="Arial Narrow" w:hAnsi="Arial Narrow"/>
          <w:b/>
        </w:rPr>
        <w:t>čerpani</w:t>
      </w:r>
      <w:r w:rsidR="00611BCC">
        <w:rPr>
          <w:rFonts w:ascii="Arial Narrow" w:hAnsi="Arial Narrow"/>
          <w:b/>
        </w:rPr>
        <w:t>e</w:t>
      </w:r>
      <w:r w:rsidRPr="00EE5C53">
        <w:rPr>
          <w:rFonts w:ascii="Arial Narrow" w:hAnsi="Arial Narrow"/>
          <w:b/>
        </w:rPr>
        <w:t xml:space="preserve"> presunutých limitov výdavkov z minulých rokov</w:t>
      </w:r>
      <w:r w:rsidRPr="00F62B44" w:rsidR="00F62B44">
        <w:rPr>
          <w:rFonts w:ascii="Arial Narrow" w:hAnsi="Arial Narrow"/>
        </w:rPr>
        <w:t xml:space="preserve"> </w:t>
      </w:r>
      <w:r w:rsidR="00F62B44">
        <w:rPr>
          <w:rFonts w:ascii="Arial Narrow" w:hAnsi="Arial Narrow"/>
        </w:rPr>
        <w:t>vo výške 159 mil. eur</w:t>
      </w:r>
      <w:r>
        <w:rPr>
          <w:rFonts w:ascii="Arial Narrow" w:hAnsi="Arial Narrow"/>
        </w:rPr>
        <w:t>. Č</w:t>
      </w:r>
      <w:r w:rsidRPr="00EE5C53">
        <w:rPr>
          <w:rFonts w:ascii="Arial Narrow" w:hAnsi="Arial Narrow"/>
        </w:rPr>
        <w:t xml:space="preserve">erpanie presunutých limitov výdavkov </w:t>
      </w:r>
      <w:r>
        <w:rPr>
          <w:rFonts w:ascii="Arial Narrow" w:hAnsi="Arial Narrow"/>
        </w:rPr>
        <w:t xml:space="preserve">štátneho rozpočtu </w:t>
      </w:r>
      <w:r w:rsidRPr="00EE5C53">
        <w:rPr>
          <w:rFonts w:ascii="Arial Narrow" w:hAnsi="Arial Narrow"/>
        </w:rPr>
        <w:t>z minulých rokov</w:t>
      </w:r>
      <w:r w:rsidRPr="000B3D99">
        <w:rPr>
          <w:rFonts w:ascii="Arial Narrow" w:hAnsi="Arial Narrow"/>
        </w:rPr>
        <w:t xml:space="preserve"> </w:t>
      </w:r>
      <w:r>
        <w:rPr>
          <w:rFonts w:ascii="Arial Narrow" w:hAnsi="Arial Narrow"/>
        </w:rPr>
        <w:t xml:space="preserve">súvisí najmä s obstarávaním kapitálových aktív s dobou výstavby presahujúcou jeden rok. </w:t>
      </w:r>
      <w:r w:rsidR="00F62B44">
        <w:rPr>
          <w:rFonts w:ascii="Arial Narrow" w:hAnsi="Arial Narrow"/>
        </w:rPr>
        <w:t xml:space="preserve">Negatívny vplyv súvisí s tým, že </w:t>
      </w:r>
      <w:r>
        <w:rPr>
          <w:rFonts w:ascii="Arial Narrow" w:hAnsi="Arial Narrow"/>
        </w:rPr>
        <w:t>Ministerstvo financií SR nepredpokladá ďalší presun limitov výdavkov štátneho rozpočtu do nasledujúceho roka.</w:t>
      </w:r>
    </w:p>
    <w:p w:rsidR="00BF5F38" w:rsidP="00BF5F38">
      <w:pPr>
        <w:bidi w:val="0"/>
        <w:jc w:val="both"/>
        <w:rPr>
          <w:rFonts w:ascii="Arial Narrow" w:hAnsi="Arial Narrow"/>
        </w:rPr>
      </w:pPr>
    </w:p>
    <w:p w:rsidR="00403E79" w:rsidP="00403E79">
      <w:pPr>
        <w:bidi w:val="0"/>
        <w:jc w:val="both"/>
        <w:rPr>
          <w:rFonts w:ascii="Arial Narrow" w:hAnsi="Arial Narrow" w:cs="Arial"/>
          <w:sz w:val="18"/>
          <w:szCs w:val="18"/>
        </w:rPr>
      </w:pPr>
      <w:r w:rsidRPr="001C1E3C" w:rsidR="003B021C">
        <w:rPr>
          <w:rFonts w:ascii="Arial Narrow" w:hAnsi="Arial Narrow"/>
        </w:rPr>
        <w:t xml:space="preserve">Uvedené </w:t>
      </w:r>
      <w:r w:rsidRPr="001C1E3C" w:rsidR="00952EEA">
        <w:rPr>
          <w:rFonts w:ascii="Arial Narrow" w:hAnsi="Arial Narrow"/>
        </w:rPr>
        <w:t>nárasty výdavkov</w:t>
      </w:r>
      <w:r w:rsidRPr="001C1E3C" w:rsidR="003B021C">
        <w:rPr>
          <w:rFonts w:ascii="Arial Narrow" w:hAnsi="Arial Narrow"/>
        </w:rPr>
        <w:t xml:space="preserve"> bud</w:t>
      </w:r>
      <w:r w:rsidRPr="001C1E3C" w:rsidR="00F62B44">
        <w:rPr>
          <w:rFonts w:ascii="Arial Narrow" w:hAnsi="Arial Narrow"/>
        </w:rPr>
        <w:t>ú</w:t>
      </w:r>
      <w:r w:rsidRPr="001C1E3C" w:rsidR="003B021C">
        <w:rPr>
          <w:rFonts w:ascii="Arial Narrow" w:hAnsi="Arial Narrow"/>
        </w:rPr>
        <w:t xml:space="preserve"> sčasti kompenzované</w:t>
      </w:r>
      <w:r w:rsidRPr="001C1E3C" w:rsidR="00611BCC">
        <w:rPr>
          <w:rFonts w:ascii="Arial Narrow" w:hAnsi="Arial Narrow"/>
          <w:b/>
        </w:rPr>
        <w:t xml:space="preserve"> ú</w:t>
      </w:r>
      <w:r w:rsidRPr="001C1E3C" w:rsidR="00BF5F38">
        <w:rPr>
          <w:rFonts w:ascii="Arial Narrow" w:hAnsi="Arial Narrow"/>
          <w:b/>
        </w:rPr>
        <w:t>spor</w:t>
      </w:r>
      <w:r w:rsidRPr="001C1E3C" w:rsidR="00611BCC">
        <w:rPr>
          <w:rFonts w:ascii="Arial Narrow" w:hAnsi="Arial Narrow"/>
          <w:b/>
        </w:rPr>
        <w:t>ou</w:t>
      </w:r>
      <w:r w:rsidRPr="001C1E3C" w:rsidR="00BF5F38">
        <w:rPr>
          <w:rFonts w:ascii="Arial Narrow" w:hAnsi="Arial Narrow"/>
          <w:b/>
        </w:rPr>
        <w:t xml:space="preserve"> ostatných základných výdavkov na chod štátu</w:t>
      </w:r>
      <w:r w:rsidRPr="001C1E3C" w:rsidR="00611BCC">
        <w:rPr>
          <w:rFonts w:ascii="Arial Narrow" w:hAnsi="Arial Narrow"/>
          <w:b/>
        </w:rPr>
        <w:t xml:space="preserve"> </w:t>
      </w:r>
      <w:r w:rsidRPr="001C1E3C" w:rsidR="003B021C">
        <w:rPr>
          <w:rFonts w:ascii="Arial Narrow" w:hAnsi="Arial Narrow"/>
        </w:rPr>
        <w:t xml:space="preserve">vo výške </w:t>
      </w:r>
      <w:r w:rsidRPr="001C1E3C" w:rsidR="00312CF3">
        <w:rPr>
          <w:rFonts w:ascii="Arial Narrow" w:hAnsi="Arial Narrow"/>
        </w:rPr>
        <w:t>68</w:t>
      </w:r>
      <w:r w:rsidRPr="001C1E3C" w:rsidR="003B021C">
        <w:rPr>
          <w:rFonts w:ascii="Arial Narrow" w:hAnsi="Arial Narrow"/>
        </w:rPr>
        <w:t>,</w:t>
      </w:r>
      <w:r w:rsidRPr="001C1E3C" w:rsidR="00312CF3">
        <w:rPr>
          <w:rFonts w:ascii="Arial Narrow" w:hAnsi="Arial Narrow"/>
        </w:rPr>
        <w:t>3</w:t>
      </w:r>
      <w:r w:rsidRPr="001C1E3C" w:rsidR="003B021C">
        <w:rPr>
          <w:rFonts w:ascii="Arial Narrow" w:hAnsi="Arial Narrow"/>
        </w:rPr>
        <w:t xml:space="preserve"> mil. eur</w:t>
      </w:r>
      <w:r w:rsidRPr="001C1E3C" w:rsidR="00952EEA">
        <w:rPr>
          <w:rFonts w:ascii="Arial Narrow" w:hAnsi="Arial Narrow"/>
        </w:rPr>
        <w:t>. Ide o celkovú sumu úspor v porovnaní s rozpočtovanými hodnotami</w:t>
      </w:r>
      <w:r w:rsidRPr="001C1E3C" w:rsidR="00BF5F38">
        <w:rPr>
          <w:rFonts w:ascii="Arial Narrow" w:hAnsi="Arial Narrow"/>
        </w:rPr>
        <w:t xml:space="preserve"> (napr. úspora časti transferu pre NDS, a. s. určeného na krytie výdavkov nad rámec spolufinancovania OP Doprava)</w:t>
      </w:r>
      <w:r w:rsidRPr="001C1E3C" w:rsidR="009A2EA2">
        <w:rPr>
          <w:rFonts w:ascii="Arial Narrow" w:hAnsi="Arial Narrow"/>
        </w:rPr>
        <w:t xml:space="preserve"> vrátane </w:t>
      </w:r>
      <w:r w:rsidRPr="001C1E3C" w:rsidR="001C1E3C">
        <w:rPr>
          <w:rFonts w:ascii="Arial Narrow" w:hAnsi="Arial Narrow"/>
        </w:rPr>
        <w:t>ďalších</w:t>
      </w:r>
      <w:r w:rsidRPr="001C1E3C" w:rsidR="009A2EA2">
        <w:rPr>
          <w:rFonts w:ascii="Arial Narrow" w:hAnsi="Arial Narrow"/>
        </w:rPr>
        <w:t xml:space="preserve"> výdavkových titulov, ktoré je potrebné vykryť v priebehu roka.</w:t>
      </w:r>
    </w:p>
    <w:p w:rsidR="00BF5F38" w:rsidRPr="00BF5F38" w:rsidP="00403E79">
      <w:pPr>
        <w:bidi w:val="0"/>
        <w:jc w:val="both"/>
        <w:rPr>
          <w:rFonts w:ascii="Arial Narrow" w:hAnsi="Arial Narrow"/>
        </w:rPr>
      </w:pPr>
    </w:p>
    <w:p w:rsidR="00403E79" w:rsidRPr="00403E79" w:rsidP="00403E79">
      <w:pPr>
        <w:bidi w:val="0"/>
        <w:jc w:val="both"/>
        <w:rPr>
          <w:rFonts w:ascii="Arial Narrow" w:hAnsi="Arial Narrow"/>
          <w:b/>
        </w:rPr>
      </w:pPr>
      <w:r w:rsidRPr="00403E79">
        <w:rPr>
          <w:rFonts w:ascii="Arial Narrow" w:hAnsi="Arial Narrow"/>
          <w:b/>
        </w:rPr>
        <w:t>Štátne finančné aktíva</w:t>
      </w:r>
    </w:p>
    <w:p w:rsidR="00403E79" w:rsidP="00403E79">
      <w:pPr>
        <w:bidi w:val="0"/>
        <w:adjustRightInd w:val="0"/>
        <w:jc w:val="both"/>
        <w:rPr>
          <w:rFonts w:ascii="Arial Narrow" w:hAnsi="Arial Narrow"/>
        </w:rPr>
      </w:pPr>
      <w:r w:rsidRPr="00403E79">
        <w:rPr>
          <w:rFonts w:ascii="Arial Narrow" w:hAnsi="Arial Narrow"/>
        </w:rPr>
        <w:t>Z hľadiska vplyvu na saldo verejnej správy sa v porovnaní s rozpočtom odhaduje</w:t>
      </w:r>
      <w:r w:rsidRPr="00403E79">
        <w:rPr>
          <w:rFonts w:ascii="Arial Narrow" w:hAnsi="Arial Narrow"/>
          <w:b/>
        </w:rPr>
        <w:t xml:space="preserve"> zlepšenie</w:t>
      </w:r>
      <w:r w:rsidRPr="00403E79">
        <w:rPr>
          <w:rFonts w:ascii="Arial Narrow" w:hAnsi="Arial Narrow"/>
        </w:rPr>
        <w:t xml:space="preserve"> hospodárenia štátnych finančných aktív vo výške </w:t>
      </w:r>
      <w:r w:rsidRPr="00403E79">
        <w:rPr>
          <w:rFonts w:ascii="Arial Narrow" w:hAnsi="Arial Narrow"/>
          <w:b/>
        </w:rPr>
        <w:t>20,0 mil. eur</w:t>
      </w:r>
      <w:r w:rsidRPr="00403E79">
        <w:rPr>
          <w:rFonts w:ascii="Arial Narrow" w:hAnsi="Arial Narrow"/>
        </w:rPr>
        <w:t xml:space="preserve"> a vyplýva najmä zo splatenia návratnej finančnej výpomoci, ktorá bola poskytnutá mestu Žilina v roku 2004 vo výške 20,2 mil. eur. Pozitívny vplyv na saldo súvisí s tým, že v minulosti bola táto návratná finančná výpomoc preklasifikovaná na kapitálový transfer, čo v danom období zhoršilo deficit verejnej správy. </w:t>
      </w:r>
    </w:p>
    <w:p w:rsidR="00DC2884" w:rsidRPr="00403E79" w:rsidP="00403E79">
      <w:pPr>
        <w:bidi w:val="0"/>
        <w:adjustRightInd w:val="0"/>
        <w:jc w:val="both"/>
        <w:rPr>
          <w:rFonts w:ascii="Arial Narrow" w:hAnsi="Arial Narrow"/>
        </w:rPr>
      </w:pPr>
    </w:p>
    <w:p w:rsidR="00403E79" w:rsidRPr="00403E79" w:rsidP="00403E79">
      <w:pPr>
        <w:bidi w:val="0"/>
        <w:ind w:left="360" w:hanging="360"/>
        <w:jc w:val="both"/>
        <w:rPr>
          <w:rFonts w:ascii="Arial Narrow" w:hAnsi="Arial Narrow"/>
          <w:b/>
        </w:rPr>
      </w:pPr>
      <w:r w:rsidRPr="00403E79">
        <w:rPr>
          <w:rFonts w:ascii="Arial Narrow" w:hAnsi="Arial Narrow"/>
          <w:b/>
        </w:rPr>
        <w:t>Predaj emisných kvót</w:t>
      </w:r>
    </w:p>
    <w:p w:rsidR="00403E79" w:rsidRPr="00403E79" w:rsidP="00403E79">
      <w:pPr>
        <w:bidi w:val="0"/>
        <w:jc w:val="both"/>
        <w:rPr>
          <w:rFonts w:ascii="Arial Narrow" w:hAnsi="Arial Narrow"/>
        </w:rPr>
      </w:pPr>
      <w:r w:rsidRPr="00403E79">
        <w:rPr>
          <w:rFonts w:ascii="Arial Narrow" w:hAnsi="Arial Narrow"/>
        </w:rPr>
        <w:t xml:space="preserve">Na rok 2011 sú v rozpočte Environmentálneho fondu rozpočtované príjmy z predaja emisných kvót na úrovni 100 mil. eur. Je však </w:t>
      </w:r>
      <w:r w:rsidR="00BE03CA">
        <w:rPr>
          <w:rFonts w:ascii="Arial Narrow" w:hAnsi="Arial Narrow"/>
        </w:rPr>
        <w:t>veľmi</w:t>
      </w:r>
      <w:r w:rsidRPr="00403E79">
        <w:rPr>
          <w:rFonts w:ascii="Arial Narrow" w:hAnsi="Arial Narrow"/>
        </w:rPr>
        <w:t xml:space="preserve"> pravdepodobné, že </w:t>
      </w:r>
      <w:r w:rsidR="00427CA7">
        <w:rPr>
          <w:rFonts w:ascii="Arial Narrow" w:hAnsi="Arial Narrow"/>
        </w:rPr>
        <w:t xml:space="preserve">sa rezortnému ministerstvu bohužiaľ nepodarí </w:t>
      </w:r>
      <w:r w:rsidRPr="00403E79">
        <w:rPr>
          <w:rFonts w:ascii="Arial Narrow" w:hAnsi="Arial Narrow"/>
        </w:rPr>
        <w:t xml:space="preserve">emisné kvóty v priebehu tohto roku predať. S cieľom znížiť riziká tohtoročného rozpočtu, minister financií pozastavil </w:t>
      </w:r>
      <w:r w:rsidR="00427CA7">
        <w:rPr>
          <w:rFonts w:ascii="Arial Narrow" w:hAnsi="Arial Narrow"/>
        </w:rPr>
        <w:t xml:space="preserve">„vinníkovi“ </w:t>
      </w:r>
      <w:r w:rsidRPr="00403E79">
        <w:rPr>
          <w:rFonts w:ascii="Arial Narrow" w:hAnsi="Arial Narrow"/>
        </w:rPr>
        <w:t xml:space="preserve">možnosť poskytovania dotácií – kapitálových transferov z Environmentálneho fondu v rozsahu 20 mil. eur. Znamená to, že negatívny vplyv na rozpočet verejnej správy v metodike ESA95 sa odhaduje vo výške </w:t>
      </w:r>
      <w:r w:rsidRPr="00403E79">
        <w:rPr>
          <w:rFonts w:ascii="Arial Narrow" w:hAnsi="Arial Narrow"/>
          <w:b/>
        </w:rPr>
        <w:t>80 mil. eur</w:t>
      </w:r>
      <w:r w:rsidRPr="00403E79">
        <w:rPr>
          <w:rFonts w:ascii="Arial Narrow" w:hAnsi="Arial Narrow"/>
        </w:rPr>
        <w:t xml:space="preserve">. </w:t>
      </w:r>
    </w:p>
    <w:p w:rsidR="00403E79" w:rsidP="00403E79">
      <w:pPr>
        <w:bidi w:val="0"/>
        <w:jc w:val="both"/>
        <w:rPr>
          <w:rFonts w:ascii="Arial Narrow" w:hAnsi="Arial Narrow"/>
        </w:rPr>
      </w:pPr>
    </w:p>
    <w:p w:rsidR="00DC2884" w:rsidRPr="00403E79" w:rsidP="00403E79">
      <w:pPr>
        <w:bidi w:val="0"/>
        <w:jc w:val="both"/>
        <w:rPr>
          <w:rFonts w:ascii="Arial Narrow" w:hAnsi="Arial Narrow"/>
        </w:rPr>
      </w:pPr>
    </w:p>
    <w:p w:rsidR="00403E79" w:rsidRPr="00403E79" w:rsidP="00403E79">
      <w:pPr>
        <w:bidi w:val="0"/>
        <w:jc w:val="both"/>
        <w:outlineLvl w:val="4"/>
        <w:rPr>
          <w:rFonts w:ascii="Arial Narrow" w:hAnsi="Arial Narrow"/>
          <w:b/>
        </w:rPr>
      </w:pPr>
      <w:r w:rsidRPr="00403E79">
        <w:rPr>
          <w:rFonts w:ascii="Arial Narrow" w:hAnsi="Arial Narrow"/>
          <w:b/>
        </w:rPr>
        <w:t>Územná samospráva</w:t>
      </w:r>
    </w:p>
    <w:p w:rsidR="00403E79" w:rsidRPr="00403E79" w:rsidP="00403E79">
      <w:pPr>
        <w:bidi w:val="0"/>
        <w:jc w:val="both"/>
        <w:rPr>
          <w:rFonts w:ascii="Arial Narrow" w:hAnsi="Arial Narrow"/>
        </w:rPr>
      </w:pPr>
      <w:r w:rsidRPr="00403E79">
        <w:rPr>
          <w:rFonts w:ascii="Arial Narrow" w:hAnsi="Arial Narrow"/>
        </w:rPr>
        <w:t xml:space="preserve">Hospodárenie obcí a vyšších územných celkov sa napriek očakávanému deficitnému hospodáreniu v schválenom rozpočte verejnej správy predpokladá ešte </w:t>
      </w:r>
      <w:r w:rsidRPr="00403E79">
        <w:rPr>
          <w:rFonts w:ascii="Arial Narrow" w:hAnsi="Arial Narrow"/>
          <w:b/>
        </w:rPr>
        <w:t>horšie o 26,3 mil. eur</w:t>
      </w:r>
      <w:r w:rsidRPr="00403E79">
        <w:rPr>
          <w:rFonts w:ascii="Arial Narrow" w:hAnsi="Arial Narrow"/>
        </w:rPr>
        <w:t xml:space="preserve">. U obcí sa predpokladá, že zhoršenie ich hospodárenia oproti rozpočtu bude o 19,2 mil. </w:t>
      </w:r>
      <w:r w:rsidR="00BE03CA">
        <w:rPr>
          <w:rFonts w:ascii="Arial Narrow" w:hAnsi="Arial Narrow"/>
        </w:rPr>
        <w:t>e</w:t>
      </w:r>
      <w:r w:rsidRPr="00403E79">
        <w:rPr>
          <w:rFonts w:ascii="Arial Narrow" w:hAnsi="Arial Narrow"/>
        </w:rPr>
        <w:t>ur, a to najmä z dôvodu zníženia daňových   príjmov – dane z príjmov fyzických osôb. Predpokladá sa, že toto zníženie sa čiastočne  premietne aj do v nižších výdavkoch bežného rozpočtu, a to na tovary a služby. U VÚC sa predpokladá, že zhoršenie ich hospodárenia oproti rozpočtu bude o 7,1 mil. eur, a to najmä z dôvodu zníženia daňových príjmov – dane z príjmov fyzických osôb. Predpokladá sa, že očakávané zvýšené transfery zo štátneho rozpočtu, súvisiace s realizáciou projektov regionálneho rozvoja – podpora a rozvoj infraštruktúry a cezhraničná spolupráca, sa v rovnakej miere premietnu aj do kapitálových výdavkov.</w:t>
      </w:r>
    </w:p>
    <w:p w:rsidR="00403E79" w:rsidRPr="00403E79" w:rsidP="00403E79">
      <w:pPr>
        <w:bidi w:val="0"/>
        <w:jc w:val="both"/>
        <w:rPr>
          <w:rFonts w:ascii="Arial Narrow" w:hAnsi="Arial Narrow"/>
        </w:rPr>
      </w:pPr>
    </w:p>
    <w:p w:rsidR="00403E79" w:rsidRPr="00403E79" w:rsidP="00403E79">
      <w:pPr>
        <w:bidi w:val="0"/>
        <w:jc w:val="both"/>
        <w:rPr>
          <w:rFonts w:ascii="Arial Narrow" w:hAnsi="Arial Narrow"/>
          <w:b/>
        </w:rPr>
      </w:pPr>
      <w:r w:rsidRPr="00403E79">
        <w:rPr>
          <w:rFonts w:ascii="Arial Narrow" w:hAnsi="Arial Narrow"/>
          <w:b/>
        </w:rPr>
        <w:t>Národný jadrový fond</w:t>
      </w:r>
    </w:p>
    <w:p w:rsidR="00403E79" w:rsidRPr="00403E79" w:rsidP="00403E79">
      <w:pPr>
        <w:bidi w:val="0"/>
        <w:jc w:val="both"/>
        <w:rPr>
          <w:rFonts w:ascii="Arial Narrow" w:hAnsi="Arial Narrow"/>
        </w:rPr>
      </w:pPr>
      <w:r w:rsidRPr="00403E79">
        <w:rPr>
          <w:rFonts w:ascii="Arial Narrow" w:hAnsi="Arial Narrow"/>
        </w:rPr>
        <w:t xml:space="preserve">V rámci hospodárenia Národného jadrového fondu sa očakáva </w:t>
      </w:r>
      <w:r w:rsidRPr="00403E79">
        <w:rPr>
          <w:rFonts w:ascii="Arial Narrow" w:hAnsi="Arial Narrow"/>
          <w:b/>
        </w:rPr>
        <w:t>zlepšenie</w:t>
      </w:r>
      <w:r w:rsidRPr="00403E79">
        <w:rPr>
          <w:rFonts w:ascii="Arial Narrow" w:hAnsi="Arial Narrow"/>
        </w:rPr>
        <w:t xml:space="preserve"> oproti rozpočtovanej úrovni           o </w:t>
      </w:r>
      <w:r w:rsidRPr="00403E79">
        <w:rPr>
          <w:rFonts w:ascii="Arial Narrow" w:hAnsi="Arial Narrow"/>
          <w:b/>
        </w:rPr>
        <w:t>12,7 mil. eur</w:t>
      </w:r>
      <w:r w:rsidRPr="00403E79">
        <w:rPr>
          <w:rFonts w:ascii="Arial Narrow" w:hAnsi="Arial Narrow"/>
        </w:rPr>
        <w:t>, čo súvisí so zvýšením úrokových príjmov.</w:t>
      </w:r>
    </w:p>
    <w:p w:rsidR="00403E79" w:rsidRPr="00403E79" w:rsidP="00403E79">
      <w:pPr>
        <w:bidi w:val="0"/>
        <w:jc w:val="both"/>
        <w:rPr>
          <w:rFonts w:ascii="Arial Narrow" w:hAnsi="Arial Narrow"/>
        </w:rPr>
      </w:pPr>
    </w:p>
    <w:p w:rsidR="00403E79" w:rsidRPr="00403E79" w:rsidP="00403E79">
      <w:pPr>
        <w:bidi w:val="0"/>
        <w:jc w:val="both"/>
        <w:rPr>
          <w:rFonts w:ascii="Arial Narrow" w:hAnsi="Arial Narrow"/>
          <w:b/>
        </w:rPr>
      </w:pPr>
      <w:r w:rsidRPr="00403E79">
        <w:rPr>
          <w:rFonts w:ascii="Arial Narrow" w:hAnsi="Arial Narrow"/>
          <w:b/>
        </w:rPr>
        <w:t>Ostatné subjekty verejnej správy</w:t>
      </w:r>
    </w:p>
    <w:p w:rsidR="00403E79" w:rsidRPr="00403E79" w:rsidP="00403E79">
      <w:pPr>
        <w:bidi w:val="0"/>
        <w:jc w:val="both"/>
        <w:rPr>
          <w:rFonts w:ascii="Arial Narrow" w:hAnsi="Arial Narrow"/>
        </w:rPr>
      </w:pPr>
      <w:r w:rsidRPr="00403E79">
        <w:rPr>
          <w:rFonts w:ascii="Arial Narrow" w:hAnsi="Arial Narrow"/>
        </w:rPr>
        <w:t>Vplyv ostatných subjektov verejnej správy na odhadované saldo verejnej správy je minimálny.</w:t>
      </w:r>
    </w:p>
    <w:p w:rsidR="00C20E65" w:rsidRPr="00403E79" w:rsidP="005F1AC8">
      <w:pPr>
        <w:bidi w:val="0"/>
        <w:spacing w:after="240"/>
        <w:rPr>
          <w:rFonts w:ascii="Arial Narrow" w:hAnsi="Arial Narrow" w:cs="Arial Narrow"/>
          <w:sz w:val="28"/>
          <w:szCs w:val="28"/>
        </w:rPr>
      </w:pPr>
    </w:p>
    <w:p w:rsidR="00A24395" w:rsidRPr="00403E79" w:rsidP="00A24395">
      <w:pPr>
        <w:bidi w:val="0"/>
        <w:rPr>
          <w:rFonts w:ascii="Arial Narrow" w:hAnsi="Arial Narrow" w:cs="Arial Narrow"/>
        </w:rPr>
      </w:pPr>
    </w:p>
    <w:p w:rsidR="00A24395" w:rsidRPr="00403E79" w:rsidP="00A24395">
      <w:pPr>
        <w:bidi w:val="0"/>
        <w:rPr>
          <w:rFonts w:ascii="Arial Narrow" w:hAnsi="Arial Narrow" w:cs="Arial Narrow"/>
        </w:rPr>
      </w:pPr>
    </w:p>
    <w:p w:rsidR="00A24395" w:rsidRPr="00403E79" w:rsidP="00A24395">
      <w:pPr>
        <w:bidi w:val="0"/>
        <w:rPr>
          <w:rFonts w:ascii="Arial Narrow" w:hAnsi="Arial Narrow" w:cs="Arial Narrow"/>
        </w:rPr>
      </w:pPr>
    </w:p>
    <w:p w:rsidR="00A24395" w:rsidRPr="00403E79" w:rsidP="00A24395">
      <w:pPr>
        <w:bidi w:val="0"/>
        <w:rPr>
          <w:rFonts w:ascii="Arial Narrow" w:hAnsi="Arial Narrow" w:cs="Arial Narrow"/>
        </w:rPr>
      </w:pPr>
    </w:p>
    <w:p w:rsidR="00A24395" w:rsidRPr="00403E79" w:rsidP="00A24395">
      <w:pPr>
        <w:bidi w:val="0"/>
        <w:rPr>
          <w:rFonts w:ascii="Arial Narrow" w:hAnsi="Arial Narrow" w:cs="Arial Narrow"/>
        </w:rPr>
      </w:pPr>
    </w:p>
    <w:p w:rsidR="00A24395" w:rsidRPr="00403E79" w:rsidP="00A24395">
      <w:pPr>
        <w:bidi w:val="0"/>
        <w:rPr>
          <w:rFonts w:ascii="Arial Narrow" w:hAnsi="Arial Narrow" w:cs="Arial Narrow"/>
        </w:rPr>
      </w:pPr>
    </w:p>
    <w:p w:rsidR="00A24395" w:rsidRPr="00403E79" w:rsidP="00A24395">
      <w:pPr>
        <w:bidi w:val="0"/>
        <w:rPr>
          <w:rFonts w:ascii="Arial Narrow" w:hAnsi="Arial Narrow" w:cs="Arial Narrow"/>
        </w:rPr>
      </w:pPr>
    </w:p>
    <w:p w:rsidR="00A24395" w:rsidRPr="00403E79" w:rsidP="00A24395">
      <w:pPr>
        <w:bidi w:val="0"/>
        <w:rPr>
          <w:rFonts w:ascii="Arial Narrow" w:hAnsi="Arial Narrow" w:cs="Arial Narrow"/>
        </w:rPr>
      </w:pPr>
    </w:p>
    <w:p w:rsidR="00A24395" w:rsidP="00A24395">
      <w:pPr>
        <w:bidi w:val="0"/>
        <w:rPr>
          <w:rFonts w:ascii="Arial Narrow" w:hAnsi="Arial Narrow" w:cs="Arial Narrow"/>
        </w:rPr>
      </w:pPr>
    </w:p>
    <w:p w:rsidR="00403E79" w:rsidP="00A24395">
      <w:pPr>
        <w:bidi w:val="0"/>
        <w:rPr>
          <w:rFonts w:ascii="Arial Narrow" w:hAnsi="Arial Narrow" w:cs="Arial Narrow"/>
        </w:rPr>
      </w:pPr>
    </w:p>
    <w:p w:rsidR="00403E79" w:rsidP="00A24395">
      <w:pPr>
        <w:bidi w:val="0"/>
        <w:rPr>
          <w:rFonts w:ascii="Arial Narrow" w:hAnsi="Arial Narrow" w:cs="Arial Narrow"/>
        </w:rPr>
      </w:pPr>
    </w:p>
    <w:p w:rsidR="00403E79" w:rsidP="00A24395">
      <w:pPr>
        <w:bidi w:val="0"/>
        <w:rPr>
          <w:rFonts w:ascii="Arial Narrow" w:hAnsi="Arial Narrow" w:cs="Arial Narrow"/>
        </w:rPr>
      </w:pPr>
    </w:p>
    <w:p w:rsidR="00403E79" w:rsidP="00A24395">
      <w:pPr>
        <w:bidi w:val="0"/>
        <w:rPr>
          <w:rFonts w:ascii="Arial Narrow" w:hAnsi="Arial Narrow" w:cs="Arial Narrow"/>
        </w:rPr>
      </w:pPr>
    </w:p>
    <w:p w:rsidR="00403E79" w:rsidRPr="00403E79" w:rsidP="00A24395">
      <w:pPr>
        <w:bidi w:val="0"/>
        <w:rPr>
          <w:rFonts w:ascii="Arial Narrow" w:hAnsi="Arial Narrow" w:cs="Arial Narrow"/>
        </w:rPr>
      </w:pPr>
    </w:p>
    <w:p w:rsidR="00A24395" w:rsidRPr="00403E79" w:rsidP="00A24395">
      <w:pPr>
        <w:bidi w:val="0"/>
        <w:rPr>
          <w:rFonts w:ascii="Arial Narrow" w:hAnsi="Arial Narrow" w:cs="Arial Narrow"/>
        </w:rPr>
      </w:pPr>
    </w:p>
    <w:p w:rsidR="00A24395" w:rsidRPr="00403E79" w:rsidP="00A24395">
      <w:pPr>
        <w:bidi w:val="0"/>
        <w:rPr>
          <w:rFonts w:ascii="Arial Narrow" w:hAnsi="Arial Narrow" w:cs="Arial Narrow"/>
        </w:rPr>
      </w:pPr>
    </w:p>
    <w:p w:rsidR="00A24395" w:rsidRPr="00403E79" w:rsidP="00A24395">
      <w:pPr>
        <w:bidi w:val="0"/>
        <w:rPr>
          <w:rFonts w:ascii="Arial Narrow" w:hAnsi="Arial Narrow" w:cs="Arial Narrow"/>
        </w:rPr>
      </w:pPr>
    </w:p>
    <w:p w:rsidR="00A24395" w:rsidRPr="00403E79" w:rsidP="00A24395">
      <w:pPr>
        <w:bidi w:val="0"/>
        <w:rPr>
          <w:rFonts w:ascii="Arial Narrow" w:hAnsi="Arial Narrow" w:cs="Arial Narrow"/>
        </w:rPr>
      </w:pPr>
    </w:p>
    <w:p w:rsidR="00A24395" w:rsidRPr="00403E79" w:rsidP="00A24395">
      <w:pPr>
        <w:bidi w:val="0"/>
        <w:rPr>
          <w:rFonts w:ascii="Arial Narrow" w:hAnsi="Arial Narrow" w:cs="Arial Narrow"/>
        </w:rPr>
      </w:pPr>
    </w:p>
    <w:p w:rsidR="00A24395" w:rsidRPr="00403E79" w:rsidP="00A24395">
      <w:pPr>
        <w:bidi w:val="0"/>
        <w:rPr>
          <w:rFonts w:ascii="Arial Narrow" w:hAnsi="Arial Narrow" w:cs="Arial Narrow"/>
        </w:rPr>
      </w:pPr>
    </w:p>
    <w:p w:rsidR="00A24395" w:rsidRPr="00403E79" w:rsidP="00A24395">
      <w:pPr>
        <w:bidi w:val="0"/>
        <w:rPr>
          <w:rFonts w:ascii="Arial Narrow" w:hAnsi="Arial Narrow" w:cs="Arial Narrow"/>
        </w:rPr>
      </w:pPr>
    </w:p>
    <w:p w:rsidR="00A24395" w:rsidRPr="00403E79" w:rsidP="00A24395">
      <w:pPr>
        <w:bidi w:val="0"/>
        <w:rPr>
          <w:rFonts w:ascii="Arial Narrow" w:hAnsi="Arial Narrow"/>
        </w:rPr>
      </w:pPr>
    </w:p>
    <w:p w:rsidR="00403E79" w:rsidP="00A24395">
      <w:pPr>
        <w:pStyle w:val="Heading1"/>
        <w:bidi w:val="0"/>
        <w:jc w:val="both"/>
        <w:rPr>
          <w:rFonts w:ascii="Arial Narrow" w:hAnsi="Arial Narrow" w:cs="Arial Narrow"/>
          <w:sz w:val="28"/>
          <w:szCs w:val="28"/>
        </w:rPr>
      </w:pPr>
      <w:r>
        <w:rPr>
          <w:rFonts w:ascii="Arial Narrow" w:hAnsi="Arial Narrow" w:cs="Arial Narrow"/>
          <w:sz w:val="28"/>
          <w:szCs w:val="28"/>
        </w:rPr>
        <w:br w:type="page"/>
      </w:r>
    </w:p>
    <w:p w:rsidR="00A24395" w:rsidRPr="00403E79" w:rsidP="00A24395">
      <w:pPr>
        <w:pStyle w:val="Heading1"/>
        <w:bidi w:val="0"/>
        <w:jc w:val="both"/>
        <w:rPr>
          <w:rFonts w:ascii="Arial Narrow" w:hAnsi="Arial Narrow" w:cs="Arial Narrow"/>
          <w:sz w:val="28"/>
          <w:szCs w:val="28"/>
        </w:rPr>
      </w:pPr>
      <w:bookmarkStart w:id="57" w:name="_Toc299709430"/>
      <w:r w:rsidRPr="00403E79">
        <w:rPr>
          <w:rFonts w:ascii="Arial Narrow" w:hAnsi="Arial Narrow" w:cs="Arial Narrow"/>
          <w:sz w:val="28"/>
          <w:szCs w:val="28"/>
        </w:rPr>
        <w:t>Príloha č.1: Daňové a odvodové príjmy v metodike ESA 95</w:t>
      </w:r>
      <w:bookmarkEnd w:id="57"/>
      <w:r w:rsidRPr="00403E79">
        <w:rPr>
          <w:rFonts w:ascii="Arial Narrow" w:hAnsi="Arial Narrow" w:cs="Arial Narrow"/>
          <w:sz w:val="28"/>
          <w:szCs w:val="28"/>
        </w:rPr>
        <w:t xml:space="preserve"> </w:t>
      </w:r>
    </w:p>
    <w:p w:rsidR="00A24395" w:rsidRPr="00403E79" w:rsidP="00A24395">
      <w:pPr>
        <w:bidi w:val="0"/>
        <w:rPr>
          <w:rFonts w:ascii="Arial Narrow" w:hAnsi="Arial Narrow" w:cs="Arial Narrow"/>
          <w:sz w:val="16"/>
          <w:szCs w:val="16"/>
        </w:rPr>
      </w:pPr>
    </w:p>
    <w:p w:rsidR="0009512E" w:rsidRPr="00403E79" w:rsidP="0009512E">
      <w:pPr>
        <w:bidi w:val="0"/>
        <w:jc w:val="both"/>
        <w:rPr>
          <w:rFonts w:ascii="Arial Narrow" w:hAnsi="Arial Narrow" w:cs="Arial Narrow"/>
        </w:rPr>
      </w:pPr>
      <w:bookmarkStart w:id="58" w:name="_Toc269987190"/>
      <w:bookmarkStart w:id="59" w:name="_Toc270928097"/>
      <w:r w:rsidRPr="00403E79">
        <w:rPr>
          <w:rFonts w:ascii="Arial Narrow" w:hAnsi="Arial Narrow" w:cs="Arial Narrow"/>
        </w:rPr>
        <w:t>Po zasadnutí Výboru pre makroekonomické prognózy sa dňa 7. júla 2011 uskutočnilo aj zasadnutie Výboru pre daňové prognózy. Ministerstvo financií SR na tomto zasadnutí prezentovalo svoju aktualizovanú strednodobú prognózu daňových príjmov</w:t>
      </w:r>
      <w:r>
        <w:rPr>
          <w:rStyle w:val="FootnoteReference"/>
          <w:rFonts w:ascii="Arial Narrow" w:hAnsi="Arial Narrow" w:cs="Arial Narrow"/>
          <w:rtl w:val="0"/>
        </w:rPr>
        <w:footnoteReference w:id="2"/>
      </w:r>
      <w:r w:rsidRPr="00403E79">
        <w:rPr>
          <w:rFonts w:ascii="Arial Narrow" w:hAnsi="Arial Narrow" w:cs="Arial Narrow"/>
        </w:rPr>
        <w:t xml:space="preserve"> na roky 2011 až 2014. Všetci členovia Výboru okrem ČSOB</w:t>
      </w:r>
      <w:r>
        <w:rPr>
          <w:rStyle w:val="FootnoteReference"/>
          <w:rFonts w:ascii="Arial Narrow" w:hAnsi="Arial Narrow"/>
          <w:rtl w:val="0"/>
        </w:rPr>
        <w:footnoteReference w:id="3"/>
      </w:r>
      <w:r w:rsidRPr="00403E79">
        <w:rPr>
          <w:rFonts w:ascii="Arial Narrow" w:hAnsi="Arial Narrow" w:cs="Arial Narrow"/>
        </w:rPr>
        <w:t xml:space="preserve"> posúdili prognózu MF SR ako </w:t>
      </w:r>
      <w:r w:rsidRPr="000336FC">
        <w:rPr>
          <w:rFonts w:ascii="Arial Narrow" w:hAnsi="Arial Narrow" w:cs="Arial Narrow"/>
          <w:b/>
        </w:rPr>
        <w:t>realistickú</w:t>
      </w:r>
      <w:r w:rsidRPr="00403E79">
        <w:rPr>
          <w:rFonts w:ascii="Arial Narrow" w:hAnsi="Arial Narrow" w:cs="Arial Narrow"/>
        </w:rPr>
        <w:t>. Súčasťou aktualizovanej prognózy je aj odhad na rok 2011, ktorý je v nasledujúcej časti materiálu porovnávaný s výnosom daní v schválenom rozpočte na rok 2011.</w:t>
      </w:r>
    </w:p>
    <w:p w:rsidR="0009512E" w:rsidRPr="00403E79" w:rsidP="0009512E">
      <w:pPr>
        <w:bidi w:val="0"/>
        <w:jc w:val="both"/>
        <w:rPr>
          <w:rFonts w:ascii="Arial Narrow" w:hAnsi="Arial Narrow" w:cs="Arial Narrow"/>
          <w:sz w:val="16"/>
          <w:szCs w:val="16"/>
          <w:highlight w:val="yellow"/>
        </w:rPr>
      </w:pPr>
    </w:p>
    <w:p w:rsidR="0009512E" w:rsidRPr="00403E79" w:rsidP="0009512E">
      <w:pPr>
        <w:bidi w:val="0"/>
        <w:jc w:val="both"/>
        <w:rPr>
          <w:rFonts w:ascii="Arial Narrow" w:hAnsi="Arial Narrow" w:cs="Arial Narrow"/>
          <w:b/>
          <w:bCs/>
        </w:rPr>
      </w:pPr>
      <w:r w:rsidRPr="00403E79">
        <w:rPr>
          <w:rFonts w:ascii="Arial Narrow" w:hAnsi="Arial Narrow" w:cs="Arial Narrow"/>
          <w:b/>
          <w:bCs/>
        </w:rPr>
        <w:t xml:space="preserve">Aktuálny odhad celkových daňových príjmov verejnej správy vrátane odvodov do Sociálnej poisťovne a zdravotných poisťovní je oproti schválenému rozpočtu na rok 2011 nižší o 33 mil. </w:t>
      </w:r>
      <w:r>
        <w:rPr>
          <w:rFonts w:ascii="Arial Narrow" w:hAnsi="Arial Narrow" w:cs="Arial Narrow"/>
          <w:b/>
          <w:bCs/>
        </w:rPr>
        <w:t>e</w:t>
      </w:r>
      <w:r w:rsidRPr="00403E79">
        <w:rPr>
          <w:rFonts w:ascii="Arial Narrow" w:hAnsi="Arial Narrow" w:cs="Arial Narrow"/>
          <w:b/>
          <w:bCs/>
        </w:rPr>
        <w:t xml:space="preserve">ur, čo predstavuje plnenie na úrovni 99,8%. </w:t>
      </w:r>
    </w:p>
    <w:p w:rsidR="0009512E" w:rsidRPr="00403E79" w:rsidP="0009512E">
      <w:pPr>
        <w:bidi w:val="0"/>
        <w:jc w:val="both"/>
        <w:rPr>
          <w:rFonts w:ascii="Arial Narrow" w:hAnsi="Arial Narrow" w:cs="Arial Narrow"/>
          <w:b/>
          <w:bCs/>
        </w:rPr>
      </w:pPr>
    </w:p>
    <w:p w:rsidR="0009512E" w:rsidRPr="00403E79" w:rsidP="0009512E">
      <w:pPr>
        <w:bidi w:val="0"/>
        <w:jc w:val="both"/>
        <w:rPr>
          <w:rFonts w:ascii="Arial Narrow" w:hAnsi="Arial Narrow" w:cs="Arial Narrow"/>
          <w:b/>
          <w:bCs/>
        </w:rPr>
      </w:pPr>
      <w:r w:rsidRPr="00403E79">
        <w:rPr>
          <w:rFonts w:ascii="Arial Narrow" w:hAnsi="Arial Narrow" w:cs="Arial Narrow"/>
          <w:b/>
          <w:bCs/>
        </w:rPr>
        <w:t>Štátny rozpočet</w:t>
      </w:r>
    </w:p>
    <w:p w:rsidR="0009512E" w:rsidRPr="00B35D4D" w:rsidP="0009512E">
      <w:pPr>
        <w:bidi w:val="0"/>
        <w:jc w:val="both"/>
        <w:rPr>
          <w:rFonts w:ascii="Arial Narrow" w:hAnsi="Arial Narrow" w:cs="Arial Narrow"/>
          <w:b/>
          <w:bCs/>
          <w:highlight w:val="yellow"/>
        </w:rPr>
      </w:pPr>
    </w:p>
    <w:p w:rsidR="0009512E" w:rsidRPr="00403E79" w:rsidP="0009512E">
      <w:pPr>
        <w:bidi w:val="0"/>
        <w:jc w:val="both"/>
        <w:rPr>
          <w:rFonts w:ascii="Arial Narrow" w:hAnsi="Arial Narrow" w:cs="Arial Narrow"/>
        </w:rPr>
      </w:pPr>
      <w:r w:rsidRPr="00904E61">
        <w:rPr>
          <w:rFonts w:ascii="Arial Narrow" w:hAnsi="Arial Narrow" w:cs="Arial Narrow"/>
        </w:rPr>
        <w:t>Pokles oproti rozpočtu zaznamenali spotrebné dane (52 mil. eur), daň z príjmov fyzických osôb z podnikania (48,7 mil. eur) a daň z emisných kvót (47,6 mil. eur). V rámci fondov sociálneho</w:t>
      </w:r>
      <w:r>
        <w:rPr>
          <w:rFonts w:ascii="Arial Narrow" w:hAnsi="Arial Narrow" w:cs="Arial Narrow"/>
        </w:rPr>
        <w:t xml:space="preserve"> a zdravotného</w:t>
      </w:r>
      <w:r w:rsidRPr="00904E61">
        <w:rPr>
          <w:rFonts w:ascii="Arial Narrow" w:hAnsi="Arial Narrow" w:cs="Arial Narrow"/>
        </w:rPr>
        <w:t xml:space="preserve"> zabezpečenia sa očakáva pokles odvodov do Sociálnej poisťovne (</w:t>
      </w:r>
      <w:r>
        <w:rPr>
          <w:rFonts w:ascii="Arial Narrow" w:hAnsi="Arial Narrow" w:cs="Arial Narrow"/>
        </w:rPr>
        <w:t>43</w:t>
      </w:r>
      <w:r w:rsidRPr="00904E61">
        <w:rPr>
          <w:rFonts w:ascii="Arial Narrow" w:hAnsi="Arial Narrow" w:cs="Arial Narrow"/>
        </w:rPr>
        <w:t>,</w:t>
      </w:r>
      <w:r>
        <w:rPr>
          <w:rFonts w:ascii="Arial Narrow" w:hAnsi="Arial Narrow" w:cs="Arial Narrow"/>
        </w:rPr>
        <w:t>6</w:t>
      </w:r>
      <w:r w:rsidRPr="00904E61">
        <w:rPr>
          <w:rFonts w:ascii="Arial Narrow" w:hAnsi="Arial Narrow" w:cs="Arial Narrow"/>
        </w:rPr>
        <w:t xml:space="preserve"> mil. eur)</w:t>
      </w:r>
      <w:r>
        <w:rPr>
          <w:rFonts w:ascii="Arial Narrow" w:hAnsi="Arial Narrow" w:cs="Arial Narrow"/>
        </w:rPr>
        <w:t xml:space="preserve"> a nárast odvodov do zdravotných poisťovní (40,2 mil. </w:t>
      </w:r>
      <w:r w:rsidR="00BF5F38">
        <w:rPr>
          <w:rFonts w:ascii="Arial Narrow" w:hAnsi="Arial Narrow" w:cs="Arial Narrow"/>
        </w:rPr>
        <w:t>eur</w:t>
      </w:r>
      <w:r>
        <w:rPr>
          <w:rFonts w:ascii="Arial Narrow" w:hAnsi="Arial Narrow" w:cs="Arial Narrow"/>
        </w:rPr>
        <w:t xml:space="preserve">) </w:t>
      </w:r>
      <w:r w:rsidRPr="00904E61">
        <w:rPr>
          <w:rFonts w:ascii="Arial Narrow" w:hAnsi="Arial Narrow" w:cs="Arial Narrow"/>
        </w:rPr>
        <w:t>. Zvýšenie výberu v porovnaní s rozpočtom možno očakávať najmä v prípade dane z pridanej hodnoty (113,2 mil. eur) a dane z príjmov právnických osôb (30,1 mil. eur).</w:t>
      </w:r>
    </w:p>
    <w:p w:rsidR="0009512E" w:rsidRPr="00403E79" w:rsidP="0009512E">
      <w:pPr>
        <w:bidi w:val="0"/>
        <w:jc w:val="both"/>
        <w:rPr>
          <w:rFonts w:ascii="Arial Narrow" w:hAnsi="Arial Narrow" w:cs="Arial Narrow"/>
          <w:sz w:val="16"/>
          <w:szCs w:val="16"/>
        </w:rPr>
      </w:pPr>
    </w:p>
    <w:tbl>
      <w:tblPr>
        <w:tblStyle w:val="TableNormal"/>
        <w:tblW w:w="8686" w:type="dxa"/>
        <w:jc w:val="center"/>
        <w:tblCellMar>
          <w:left w:w="70" w:type="dxa"/>
          <w:right w:w="70" w:type="dxa"/>
        </w:tblCellMar>
        <w:tblLook w:val="04A0"/>
      </w:tblPr>
      <w:tblGrid>
        <w:gridCol w:w="3941"/>
        <w:gridCol w:w="1262"/>
        <w:gridCol w:w="1262"/>
        <w:gridCol w:w="1033"/>
        <w:gridCol w:w="1188"/>
      </w:tblGrid>
      <w:tr>
        <w:tblPrEx>
          <w:tblW w:w="8686" w:type="dxa"/>
          <w:jc w:val="center"/>
          <w:tblCellMar>
            <w:left w:w="70" w:type="dxa"/>
            <w:right w:w="70" w:type="dxa"/>
          </w:tblCellMar>
          <w:tblLook w:val="04A0"/>
        </w:tblPrEx>
        <w:trPr>
          <w:trHeight w:val="261"/>
          <w:jc w:val="center"/>
        </w:trPr>
        <w:tc>
          <w:tcPr>
            <w:tcW w:w="8686" w:type="dxa"/>
            <w:gridSpan w:val="5"/>
            <w:tcBorders>
              <w:top w:val="nil"/>
              <w:left w:val="nil"/>
              <w:bottom w:val="nil"/>
              <w:right w:val="nil"/>
            </w:tcBorders>
            <w:shd w:val="clear" w:color="000000" w:fill="000000"/>
            <w:noWrap/>
            <w:textDirection w:val="lrTb"/>
            <w:vAlign w:val="center"/>
            <w:hideMark/>
          </w:tcPr>
          <w:p w:rsidR="0009512E" w:rsidRPr="00F4176A" w:rsidP="00F4176A">
            <w:pPr>
              <w:bidi w:val="0"/>
              <w:spacing w:after="0" w:line="240" w:lineRule="auto"/>
              <w:rPr>
                <w:rFonts w:ascii="Arial Narrow" w:hAnsi="Arial Narrow" w:cs="Times New Roman"/>
                <w:b/>
                <w:bCs/>
                <w:color w:val="FFFFFF"/>
                <w:sz w:val="20"/>
                <w:szCs w:val="20"/>
              </w:rPr>
            </w:pPr>
            <w:r w:rsidRPr="00F4176A">
              <w:rPr>
                <w:rFonts w:ascii="Arial Narrow" w:hAnsi="Arial Narrow" w:cs="Times New Roman"/>
                <w:b/>
                <w:bCs/>
                <w:color w:val="FFFFFF"/>
                <w:sz w:val="20"/>
                <w:szCs w:val="20"/>
              </w:rPr>
              <w:t xml:space="preserve">Daňové príjmy verejnej správy v roku 2011 (ESA95, tis. </w:t>
            </w:r>
            <w:r w:rsidRPr="00F4176A" w:rsidR="00F4176A">
              <w:rPr>
                <w:rFonts w:ascii="Arial Narrow" w:hAnsi="Arial Narrow" w:cs="Times New Roman"/>
                <w:b/>
                <w:bCs/>
                <w:color w:val="FFFFFF"/>
                <w:sz w:val="20"/>
                <w:szCs w:val="20"/>
              </w:rPr>
              <w:t>e</w:t>
            </w:r>
            <w:r w:rsidRPr="00F4176A">
              <w:rPr>
                <w:rFonts w:ascii="Arial Narrow" w:hAnsi="Arial Narrow" w:cs="Times New Roman"/>
                <w:b/>
                <w:bCs/>
                <w:color w:val="FFFFFF"/>
                <w:sz w:val="20"/>
                <w:szCs w:val="20"/>
              </w:rPr>
              <w:t>ur)</w:t>
            </w:r>
          </w:p>
        </w:tc>
      </w:tr>
      <w:tr>
        <w:tblPrEx>
          <w:tblW w:w="8686" w:type="dxa"/>
          <w:jc w:val="center"/>
          <w:tblCellMar>
            <w:left w:w="70" w:type="dxa"/>
            <w:right w:w="70" w:type="dxa"/>
          </w:tblCellMar>
          <w:tblLook w:val="04A0"/>
        </w:tblPrEx>
        <w:trPr>
          <w:trHeight w:val="769"/>
          <w:jc w:val="center"/>
        </w:trPr>
        <w:tc>
          <w:tcPr>
            <w:tcW w:w="3941" w:type="dxa"/>
            <w:tcBorders>
              <w:top w:val="nil"/>
              <w:left w:val="nil"/>
              <w:bottom w:val="single" w:sz="8" w:space="0" w:color="auto"/>
              <w:right w:val="nil"/>
            </w:tcBorders>
            <w:shd w:val="clear" w:color="000000" w:fill="BFBFBF"/>
            <w:noWrap/>
            <w:textDirection w:val="lrTb"/>
            <w:vAlign w:val="center"/>
            <w:hideMark/>
          </w:tcPr>
          <w:p w:rsidR="0009512E" w:rsidRPr="002F4E14" w:rsidP="00F4176A">
            <w:pPr>
              <w:bidi w:val="0"/>
              <w:spacing w:after="0" w:line="240" w:lineRule="auto"/>
              <w:rPr>
                <w:rFonts w:ascii="Arial Narrow" w:hAnsi="Arial Narrow" w:cs="Times New Roman"/>
                <w:color w:val="000000"/>
                <w:sz w:val="18"/>
                <w:szCs w:val="18"/>
              </w:rPr>
            </w:pPr>
            <w:r w:rsidRPr="002F4E14">
              <w:rPr>
                <w:rFonts w:ascii="Arial Narrow" w:hAnsi="Arial Narrow" w:cs="Times New Roman"/>
                <w:color w:val="000000"/>
                <w:sz w:val="18"/>
                <w:szCs w:val="18"/>
              </w:rPr>
              <w:t> </w:t>
            </w:r>
          </w:p>
        </w:tc>
        <w:tc>
          <w:tcPr>
            <w:tcW w:w="1262" w:type="dxa"/>
            <w:tcBorders>
              <w:top w:val="nil"/>
              <w:left w:val="nil"/>
              <w:bottom w:val="single" w:sz="8" w:space="0" w:color="auto"/>
              <w:right w:val="nil"/>
            </w:tcBorders>
            <w:shd w:val="clear" w:color="000000" w:fill="BFBFBF"/>
            <w:textDirection w:val="lrTb"/>
            <w:vAlign w:val="center"/>
            <w:hideMark/>
          </w:tcPr>
          <w:p w:rsidR="0009512E" w:rsidRPr="00F4176A" w:rsidP="009C51D3">
            <w:pPr>
              <w:bidi w:val="0"/>
              <w:spacing w:after="0" w:line="240" w:lineRule="auto"/>
              <w:jc w:val="center"/>
              <w:rPr>
                <w:rFonts w:ascii="Arial Narrow" w:hAnsi="Arial Narrow" w:cs="Times New Roman"/>
                <w:b/>
                <w:color w:val="000000"/>
                <w:sz w:val="18"/>
                <w:szCs w:val="18"/>
              </w:rPr>
            </w:pPr>
            <w:r w:rsidRPr="00F4176A">
              <w:rPr>
                <w:rFonts w:ascii="Arial Narrow" w:hAnsi="Arial Narrow" w:cs="Times New Roman"/>
                <w:b/>
                <w:color w:val="000000"/>
                <w:sz w:val="18"/>
                <w:szCs w:val="18"/>
              </w:rPr>
              <w:t>Schválený rozpočet 2011</w:t>
            </w:r>
          </w:p>
        </w:tc>
        <w:tc>
          <w:tcPr>
            <w:tcW w:w="1262" w:type="dxa"/>
            <w:tcBorders>
              <w:top w:val="nil"/>
              <w:left w:val="nil"/>
              <w:bottom w:val="single" w:sz="8" w:space="0" w:color="auto"/>
              <w:right w:val="nil"/>
            </w:tcBorders>
            <w:shd w:val="clear" w:color="000000" w:fill="BFBFBF"/>
            <w:textDirection w:val="lrTb"/>
            <w:vAlign w:val="center"/>
            <w:hideMark/>
          </w:tcPr>
          <w:p w:rsidR="0009512E" w:rsidRPr="00F4176A" w:rsidP="009C51D3">
            <w:pPr>
              <w:bidi w:val="0"/>
              <w:spacing w:after="0" w:line="240" w:lineRule="auto"/>
              <w:jc w:val="center"/>
              <w:rPr>
                <w:rFonts w:ascii="Arial Narrow" w:hAnsi="Arial Narrow" w:cs="Times New Roman"/>
                <w:b/>
                <w:color w:val="000000"/>
                <w:sz w:val="18"/>
                <w:szCs w:val="18"/>
              </w:rPr>
            </w:pPr>
            <w:r w:rsidRPr="00F4176A">
              <w:rPr>
                <w:rFonts w:ascii="Arial Narrow" w:hAnsi="Arial Narrow" w:cs="Times New Roman"/>
                <w:b/>
                <w:color w:val="000000"/>
                <w:sz w:val="18"/>
                <w:szCs w:val="18"/>
              </w:rPr>
              <w:t>Aktuálny odhad MF SR</w:t>
            </w:r>
          </w:p>
        </w:tc>
        <w:tc>
          <w:tcPr>
            <w:tcW w:w="1033" w:type="dxa"/>
            <w:tcBorders>
              <w:top w:val="nil"/>
              <w:left w:val="nil"/>
              <w:bottom w:val="single" w:sz="8" w:space="0" w:color="auto"/>
              <w:right w:val="nil"/>
            </w:tcBorders>
            <w:shd w:val="clear" w:color="000000" w:fill="BFBFBF"/>
            <w:textDirection w:val="lrTb"/>
            <w:vAlign w:val="center"/>
            <w:hideMark/>
          </w:tcPr>
          <w:p w:rsidR="0009512E" w:rsidRPr="00F4176A" w:rsidP="009C51D3">
            <w:pPr>
              <w:bidi w:val="0"/>
              <w:spacing w:after="0" w:line="240" w:lineRule="auto"/>
              <w:jc w:val="center"/>
              <w:rPr>
                <w:rFonts w:ascii="Arial Narrow" w:hAnsi="Arial Narrow" w:cs="Times New Roman"/>
                <w:b/>
                <w:color w:val="000000"/>
                <w:sz w:val="18"/>
                <w:szCs w:val="18"/>
              </w:rPr>
            </w:pPr>
            <w:r w:rsidRPr="00F4176A">
              <w:rPr>
                <w:rFonts w:ascii="Arial Narrow" w:hAnsi="Arial Narrow" w:cs="Times New Roman"/>
                <w:b/>
                <w:color w:val="000000"/>
                <w:sz w:val="18"/>
                <w:szCs w:val="18"/>
              </w:rPr>
              <w:t>Rozdiel oproti rozpočtu</w:t>
            </w:r>
          </w:p>
        </w:tc>
        <w:tc>
          <w:tcPr>
            <w:tcW w:w="1188" w:type="dxa"/>
            <w:tcBorders>
              <w:top w:val="nil"/>
              <w:left w:val="nil"/>
              <w:bottom w:val="single" w:sz="8" w:space="0" w:color="auto"/>
              <w:right w:val="nil"/>
            </w:tcBorders>
            <w:shd w:val="clear" w:color="000000" w:fill="BFBFBF"/>
            <w:textDirection w:val="lrTb"/>
            <w:vAlign w:val="center"/>
            <w:hideMark/>
          </w:tcPr>
          <w:p w:rsidR="0009512E" w:rsidRPr="00F4176A" w:rsidP="009C51D3">
            <w:pPr>
              <w:bidi w:val="0"/>
              <w:spacing w:after="0" w:line="240" w:lineRule="auto"/>
              <w:jc w:val="center"/>
              <w:rPr>
                <w:rFonts w:ascii="Arial Narrow" w:hAnsi="Arial Narrow" w:cs="Times New Roman"/>
                <w:b/>
                <w:color w:val="000000"/>
                <w:sz w:val="18"/>
                <w:szCs w:val="18"/>
              </w:rPr>
            </w:pPr>
            <w:r w:rsidRPr="00F4176A">
              <w:rPr>
                <w:rFonts w:ascii="Arial Narrow" w:hAnsi="Arial Narrow" w:cs="Times New Roman"/>
                <w:b/>
                <w:color w:val="000000"/>
                <w:sz w:val="18"/>
                <w:szCs w:val="18"/>
              </w:rPr>
              <w:t>Očakávané plnenie rozpočtu (%)</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nil"/>
              <w:right w:val="nil"/>
            </w:tcBorders>
            <w:noWrap/>
            <w:textDirection w:val="lrTb"/>
            <w:vAlign w:val="center"/>
            <w:hideMark/>
          </w:tcPr>
          <w:p w:rsidR="0009512E" w:rsidRPr="002F4E14" w:rsidP="00F4176A">
            <w:pPr>
              <w:bidi w:val="0"/>
              <w:spacing w:after="0" w:line="240" w:lineRule="auto"/>
              <w:rPr>
                <w:rFonts w:ascii="Arial Narrow" w:hAnsi="Arial Narrow" w:cs="Times New Roman"/>
                <w:b/>
                <w:bCs/>
                <w:color w:val="000000"/>
                <w:sz w:val="18"/>
                <w:szCs w:val="18"/>
              </w:rPr>
            </w:pPr>
            <w:r w:rsidRPr="002F4E14">
              <w:rPr>
                <w:rFonts w:ascii="Arial Narrow" w:hAnsi="Arial Narrow" w:cs="Times New Roman"/>
                <w:b/>
                <w:bCs/>
                <w:color w:val="000000"/>
                <w:sz w:val="18"/>
                <w:szCs w:val="18"/>
              </w:rPr>
              <w:t>A. Dane</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11 258 979</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11 268 028</w:t>
            </w:r>
          </w:p>
        </w:tc>
        <w:tc>
          <w:tcPr>
            <w:tcW w:w="1033"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9 049</w:t>
            </w:r>
          </w:p>
        </w:tc>
        <w:tc>
          <w:tcPr>
            <w:tcW w:w="1188"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100,1</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single" w:sz="8" w:space="0" w:color="auto"/>
              <w:right w:val="nil"/>
            </w:tcBorders>
            <w:noWrap/>
            <w:textDirection w:val="lrTb"/>
            <w:vAlign w:val="center"/>
            <w:hideMark/>
          </w:tcPr>
          <w:p w:rsidR="0009512E" w:rsidRPr="002F4E14" w:rsidP="00F4176A">
            <w:pPr>
              <w:bidi w:val="0"/>
              <w:spacing w:after="0" w:line="240" w:lineRule="auto"/>
              <w:ind w:firstLine="360" w:firstLineChars="200"/>
              <w:rPr>
                <w:rFonts w:ascii="Arial Narrow" w:hAnsi="Arial Narrow" w:cs="Times New Roman"/>
                <w:color w:val="000000"/>
                <w:sz w:val="18"/>
                <w:szCs w:val="18"/>
              </w:rPr>
            </w:pPr>
            <w:r w:rsidRPr="002F4E14">
              <w:rPr>
                <w:rFonts w:ascii="Arial Narrow" w:hAnsi="Arial Narrow" w:cs="Times New Roman"/>
                <w:color w:val="000000"/>
                <w:sz w:val="18"/>
                <w:szCs w:val="18"/>
              </w:rPr>
              <w:t>podiel na HDP %</w:t>
            </w:r>
          </w:p>
        </w:tc>
        <w:tc>
          <w:tcPr>
            <w:tcW w:w="1262" w:type="dxa"/>
            <w:tcBorders>
              <w:top w:val="nil"/>
              <w:left w:val="nil"/>
              <w:bottom w:val="single" w:sz="8"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 xml:space="preserve">16,0 </w:t>
            </w:r>
          </w:p>
        </w:tc>
        <w:tc>
          <w:tcPr>
            <w:tcW w:w="1262" w:type="dxa"/>
            <w:tcBorders>
              <w:top w:val="nil"/>
              <w:left w:val="nil"/>
              <w:bottom w:val="single" w:sz="8"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 xml:space="preserve">16,2 </w:t>
            </w:r>
          </w:p>
        </w:tc>
        <w:tc>
          <w:tcPr>
            <w:tcW w:w="1033" w:type="dxa"/>
            <w:tcBorders>
              <w:top w:val="nil"/>
              <w:left w:val="nil"/>
              <w:bottom w:val="single" w:sz="8"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 xml:space="preserve">0,1 </w:t>
            </w:r>
          </w:p>
        </w:tc>
        <w:tc>
          <w:tcPr>
            <w:tcW w:w="1188" w:type="dxa"/>
            <w:tcBorders>
              <w:top w:val="nil"/>
              <w:left w:val="nil"/>
              <w:bottom w:val="single" w:sz="8"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nil"/>
              <w:right w:val="nil"/>
            </w:tcBorders>
            <w:noWrap/>
            <w:textDirection w:val="lrTb"/>
            <w:vAlign w:val="center"/>
            <w:hideMark/>
          </w:tcPr>
          <w:p w:rsidR="0009512E" w:rsidRPr="002F4E14" w:rsidP="00F4176A">
            <w:pPr>
              <w:bidi w:val="0"/>
              <w:spacing w:after="0" w:line="240" w:lineRule="auto"/>
              <w:ind w:firstLine="180" w:firstLineChars="100"/>
              <w:rPr>
                <w:rFonts w:ascii="Arial Narrow" w:hAnsi="Arial Narrow" w:cs="Times New Roman"/>
                <w:b/>
                <w:bCs/>
                <w:color w:val="000000"/>
                <w:sz w:val="18"/>
                <w:szCs w:val="18"/>
              </w:rPr>
            </w:pPr>
            <w:r w:rsidRPr="002F4E14">
              <w:rPr>
                <w:rFonts w:ascii="Arial Narrow" w:hAnsi="Arial Narrow" w:cs="Times New Roman"/>
                <w:b/>
                <w:bCs/>
                <w:color w:val="000000"/>
                <w:sz w:val="18"/>
                <w:szCs w:val="18"/>
              </w:rPr>
              <w:t>Dane z príjmov</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3 752 074</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3 739 227</w:t>
            </w:r>
          </w:p>
        </w:tc>
        <w:tc>
          <w:tcPr>
            <w:tcW w:w="1033"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-12 847</w:t>
            </w:r>
          </w:p>
        </w:tc>
        <w:tc>
          <w:tcPr>
            <w:tcW w:w="1188"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99,7</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nil"/>
              <w:right w:val="nil"/>
            </w:tcBorders>
            <w:noWrap/>
            <w:textDirection w:val="lrTb"/>
            <w:vAlign w:val="center"/>
            <w:hideMark/>
          </w:tcPr>
          <w:p w:rsidR="0009512E" w:rsidRPr="002F4E14" w:rsidP="00F4176A">
            <w:pPr>
              <w:bidi w:val="0"/>
              <w:spacing w:after="0" w:line="240" w:lineRule="auto"/>
              <w:ind w:firstLine="360" w:firstLineChars="200"/>
              <w:rPr>
                <w:rFonts w:ascii="Arial Narrow" w:hAnsi="Arial Narrow" w:cs="Times New Roman"/>
                <w:color w:val="000000"/>
                <w:sz w:val="18"/>
                <w:szCs w:val="18"/>
              </w:rPr>
            </w:pPr>
            <w:r w:rsidRPr="002F4E14">
              <w:rPr>
                <w:rFonts w:ascii="Arial Narrow" w:hAnsi="Arial Narrow" w:cs="Times New Roman"/>
                <w:color w:val="000000"/>
                <w:sz w:val="18"/>
                <w:szCs w:val="18"/>
              </w:rPr>
              <w:t>FO zo závislej činnosti a funkčných pôžitkov</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1 679 590</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1 676 392</w:t>
            </w:r>
          </w:p>
        </w:tc>
        <w:tc>
          <w:tcPr>
            <w:tcW w:w="1033"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-3 198</w:t>
            </w:r>
          </w:p>
        </w:tc>
        <w:tc>
          <w:tcPr>
            <w:tcW w:w="1188"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99,8</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nil"/>
              <w:right w:val="nil"/>
            </w:tcBorders>
            <w:noWrap/>
            <w:textDirection w:val="lrTb"/>
            <w:vAlign w:val="center"/>
            <w:hideMark/>
          </w:tcPr>
          <w:p w:rsidR="0009512E" w:rsidRPr="002F4E14" w:rsidP="00F4176A">
            <w:pPr>
              <w:bidi w:val="0"/>
              <w:spacing w:after="0" w:line="240" w:lineRule="auto"/>
              <w:ind w:firstLine="360" w:firstLineChars="200"/>
              <w:rPr>
                <w:rFonts w:ascii="Arial Narrow" w:hAnsi="Arial Narrow" w:cs="Times New Roman"/>
                <w:color w:val="000000"/>
                <w:sz w:val="18"/>
                <w:szCs w:val="18"/>
              </w:rPr>
            </w:pPr>
            <w:r w:rsidRPr="002F4E14">
              <w:rPr>
                <w:rFonts w:ascii="Arial Narrow" w:hAnsi="Arial Narrow" w:cs="Times New Roman"/>
                <w:color w:val="000000"/>
                <w:sz w:val="18"/>
                <w:szCs w:val="18"/>
              </w:rPr>
              <w:t>FO z podnikania a sam. zárobkovej činnosti</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155 174</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106 521</w:t>
            </w:r>
          </w:p>
        </w:tc>
        <w:tc>
          <w:tcPr>
            <w:tcW w:w="1033"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-48 653</w:t>
            </w:r>
          </w:p>
        </w:tc>
        <w:tc>
          <w:tcPr>
            <w:tcW w:w="1188"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68,6</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nil"/>
              <w:right w:val="nil"/>
            </w:tcBorders>
            <w:noWrap/>
            <w:textDirection w:val="lrTb"/>
            <w:vAlign w:val="center"/>
            <w:hideMark/>
          </w:tcPr>
          <w:p w:rsidR="0009512E" w:rsidRPr="002F4E14" w:rsidP="00F4176A">
            <w:pPr>
              <w:bidi w:val="0"/>
              <w:spacing w:after="0" w:line="240" w:lineRule="auto"/>
              <w:ind w:firstLine="360" w:firstLineChars="200"/>
              <w:rPr>
                <w:rFonts w:ascii="Arial Narrow" w:hAnsi="Arial Narrow" w:cs="Times New Roman"/>
                <w:color w:val="000000"/>
                <w:sz w:val="18"/>
                <w:szCs w:val="18"/>
              </w:rPr>
            </w:pPr>
            <w:r w:rsidRPr="002F4E14">
              <w:rPr>
                <w:rFonts w:ascii="Arial Narrow" w:hAnsi="Arial Narrow" w:cs="Times New Roman"/>
                <w:color w:val="000000"/>
                <w:sz w:val="18"/>
                <w:szCs w:val="18"/>
              </w:rPr>
              <w:t>Právnických osôb</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1 771 332</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1 802 169</w:t>
            </w:r>
          </w:p>
        </w:tc>
        <w:tc>
          <w:tcPr>
            <w:tcW w:w="1033"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30 837</w:t>
            </w:r>
          </w:p>
        </w:tc>
        <w:tc>
          <w:tcPr>
            <w:tcW w:w="1188"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101,7</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nil"/>
              <w:right w:val="nil"/>
            </w:tcBorders>
            <w:noWrap/>
            <w:textDirection w:val="lrTb"/>
            <w:vAlign w:val="center"/>
            <w:hideMark/>
          </w:tcPr>
          <w:p w:rsidR="0009512E" w:rsidRPr="002F4E14" w:rsidP="00F4176A">
            <w:pPr>
              <w:bidi w:val="0"/>
              <w:spacing w:after="0" w:line="240" w:lineRule="auto"/>
              <w:ind w:firstLine="360" w:firstLineChars="200"/>
              <w:rPr>
                <w:rFonts w:ascii="Arial Narrow" w:hAnsi="Arial Narrow" w:cs="Times New Roman"/>
                <w:color w:val="000000"/>
                <w:sz w:val="18"/>
                <w:szCs w:val="18"/>
              </w:rPr>
            </w:pPr>
            <w:r w:rsidRPr="002F4E14">
              <w:rPr>
                <w:rFonts w:ascii="Arial Narrow" w:hAnsi="Arial Narrow" w:cs="Times New Roman"/>
                <w:color w:val="000000"/>
                <w:sz w:val="18"/>
                <w:szCs w:val="18"/>
              </w:rPr>
              <w:t>Vyberané zrážkou</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145 978</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154 145</w:t>
            </w:r>
          </w:p>
        </w:tc>
        <w:tc>
          <w:tcPr>
            <w:tcW w:w="1033"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8 167</w:t>
            </w:r>
          </w:p>
        </w:tc>
        <w:tc>
          <w:tcPr>
            <w:tcW w:w="1188"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105,6</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nil"/>
              <w:right w:val="nil"/>
            </w:tcBorders>
            <w:noWrap/>
            <w:textDirection w:val="lrTb"/>
            <w:vAlign w:val="center"/>
            <w:hideMark/>
          </w:tcPr>
          <w:p w:rsidR="0009512E" w:rsidRPr="002F4E14" w:rsidP="00F4176A">
            <w:pPr>
              <w:bidi w:val="0"/>
              <w:spacing w:after="0" w:line="240" w:lineRule="auto"/>
              <w:ind w:firstLine="180" w:firstLineChars="100"/>
              <w:rPr>
                <w:rFonts w:ascii="Arial Narrow" w:hAnsi="Arial Narrow" w:cs="Times New Roman"/>
                <w:b/>
                <w:bCs/>
                <w:color w:val="000000"/>
                <w:sz w:val="18"/>
                <w:szCs w:val="18"/>
              </w:rPr>
            </w:pPr>
            <w:r w:rsidRPr="002F4E14">
              <w:rPr>
                <w:rFonts w:ascii="Arial Narrow" w:hAnsi="Arial Narrow" w:cs="Times New Roman"/>
                <w:b/>
                <w:bCs/>
                <w:color w:val="000000"/>
                <w:sz w:val="18"/>
                <w:szCs w:val="18"/>
              </w:rPr>
              <w:t>Domáce dane na tovary a služby</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6 726 310</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6 787 528</w:t>
            </w:r>
          </w:p>
        </w:tc>
        <w:tc>
          <w:tcPr>
            <w:tcW w:w="1033"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61 218</w:t>
            </w:r>
          </w:p>
        </w:tc>
        <w:tc>
          <w:tcPr>
            <w:tcW w:w="1188"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100,9</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nil"/>
              <w:right w:val="nil"/>
            </w:tcBorders>
            <w:noWrap/>
            <w:textDirection w:val="lrTb"/>
            <w:vAlign w:val="center"/>
            <w:hideMark/>
          </w:tcPr>
          <w:p w:rsidR="0009512E" w:rsidRPr="002F4E14" w:rsidP="00F4176A">
            <w:pPr>
              <w:bidi w:val="0"/>
              <w:spacing w:after="0" w:line="240" w:lineRule="auto"/>
              <w:ind w:firstLine="360" w:firstLineChars="200"/>
              <w:rPr>
                <w:rFonts w:ascii="Arial Narrow" w:hAnsi="Arial Narrow" w:cs="Times New Roman"/>
                <w:color w:val="000000"/>
                <w:sz w:val="18"/>
                <w:szCs w:val="18"/>
              </w:rPr>
            </w:pPr>
            <w:r w:rsidRPr="002F4E14">
              <w:rPr>
                <w:rFonts w:ascii="Arial Narrow" w:hAnsi="Arial Narrow" w:cs="Times New Roman"/>
                <w:color w:val="000000"/>
                <w:sz w:val="18"/>
                <w:szCs w:val="18"/>
              </w:rPr>
              <w:t>Daň z pridanej hodnoty</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4 619 092</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4 732 328</w:t>
            </w:r>
          </w:p>
        </w:tc>
        <w:tc>
          <w:tcPr>
            <w:tcW w:w="1033"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113 236</w:t>
            </w:r>
          </w:p>
        </w:tc>
        <w:tc>
          <w:tcPr>
            <w:tcW w:w="1188"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102,5</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nil"/>
              <w:right w:val="nil"/>
            </w:tcBorders>
            <w:noWrap/>
            <w:textDirection w:val="lrTb"/>
            <w:vAlign w:val="center"/>
            <w:hideMark/>
          </w:tcPr>
          <w:p w:rsidR="0009512E" w:rsidRPr="002F4E14" w:rsidP="00F4176A">
            <w:pPr>
              <w:bidi w:val="0"/>
              <w:spacing w:after="0" w:line="240" w:lineRule="auto"/>
              <w:ind w:firstLine="360" w:firstLineChars="200"/>
              <w:rPr>
                <w:rFonts w:ascii="Arial Narrow" w:hAnsi="Arial Narrow" w:cs="Times New Roman"/>
                <w:color w:val="000000"/>
                <w:sz w:val="18"/>
                <w:szCs w:val="18"/>
              </w:rPr>
            </w:pPr>
            <w:r w:rsidRPr="002F4E14">
              <w:rPr>
                <w:rFonts w:ascii="Arial Narrow" w:hAnsi="Arial Narrow" w:cs="Times New Roman"/>
                <w:color w:val="000000"/>
                <w:sz w:val="18"/>
                <w:szCs w:val="18"/>
              </w:rPr>
              <w:t>Spotrebné dane</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2 107 218</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2 055 200</w:t>
            </w:r>
          </w:p>
        </w:tc>
        <w:tc>
          <w:tcPr>
            <w:tcW w:w="1033"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-52 018</w:t>
            </w:r>
          </w:p>
        </w:tc>
        <w:tc>
          <w:tcPr>
            <w:tcW w:w="1188"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97,5</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nil"/>
              <w:right w:val="nil"/>
            </w:tcBorders>
            <w:noWrap/>
            <w:textDirection w:val="lrTb"/>
            <w:vAlign w:val="center"/>
            <w:hideMark/>
          </w:tcPr>
          <w:p w:rsidR="0009512E" w:rsidRPr="002F4E14" w:rsidP="00F4176A">
            <w:pPr>
              <w:bidi w:val="0"/>
              <w:spacing w:after="0" w:line="240" w:lineRule="auto"/>
              <w:ind w:firstLine="180" w:firstLineChars="100"/>
              <w:rPr>
                <w:rFonts w:ascii="Arial Narrow" w:hAnsi="Arial Narrow" w:cs="Times New Roman"/>
                <w:b/>
                <w:bCs/>
                <w:color w:val="000000"/>
                <w:sz w:val="18"/>
                <w:szCs w:val="18"/>
              </w:rPr>
            </w:pPr>
            <w:r w:rsidRPr="002F4E14">
              <w:rPr>
                <w:rFonts w:ascii="Arial Narrow" w:hAnsi="Arial Narrow" w:cs="Times New Roman"/>
                <w:b/>
                <w:bCs/>
                <w:color w:val="000000"/>
                <w:sz w:val="18"/>
                <w:szCs w:val="18"/>
              </w:rPr>
              <w:t>Miestne dane</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576 832</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578 768</w:t>
            </w:r>
          </w:p>
        </w:tc>
        <w:tc>
          <w:tcPr>
            <w:tcW w:w="1033"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1 936</w:t>
            </w:r>
          </w:p>
        </w:tc>
        <w:tc>
          <w:tcPr>
            <w:tcW w:w="1188"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100,3</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nil"/>
              <w:right w:val="nil"/>
            </w:tcBorders>
            <w:noWrap/>
            <w:textDirection w:val="lrTb"/>
            <w:vAlign w:val="center"/>
            <w:hideMark/>
          </w:tcPr>
          <w:p w:rsidR="0009512E" w:rsidRPr="002F4E14" w:rsidP="00F4176A">
            <w:pPr>
              <w:bidi w:val="0"/>
              <w:spacing w:after="0" w:line="240" w:lineRule="auto"/>
              <w:ind w:firstLine="360" w:firstLineChars="200"/>
              <w:rPr>
                <w:rFonts w:ascii="Arial Narrow" w:hAnsi="Arial Narrow" w:cs="Times New Roman"/>
                <w:color w:val="000000"/>
                <w:sz w:val="18"/>
                <w:szCs w:val="18"/>
              </w:rPr>
            </w:pPr>
            <w:r w:rsidRPr="002F4E14">
              <w:rPr>
                <w:rFonts w:ascii="Arial Narrow" w:hAnsi="Arial Narrow" w:cs="Times New Roman"/>
                <w:color w:val="000000"/>
                <w:sz w:val="18"/>
                <w:szCs w:val="18"/>
              </w:rPr>
              <w:t>Daň z nehnuteľností</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280 933</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280 933</w:t>
            </w:r>
          </w:p>
        </w:tc>
        <w:tc>
          <w:tcPr>
            <w:tcW w:w="1033"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0</w:t>
            </w:r>
          </w:p>
        </w:tc>
        <w:tc>
          <w:tcPr>
            <w:tcW w:w="1188"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100,0</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nil"/>
              <w:right w:val="nil"/>
            </w:tcBorders>
            <w:noWrap/>
            <w:textDirection w:val="lrTb"/>
            <w:vAlign w:val="center"/>
            <w:hideMark/>
          </w:tcPr>
          <w:p w:rsidR="0009512E" w:rsidRPr="002F4E14" w:rsidP="00F4176A">
            <w:pPr>
              <w:bidi w:val="0"/>
              <w:spacing w:after="0" w:line="240" w:lineRule="auto"/>
              <w:ind w:firstLine="360" w:firstLineChars="200"/>
              <w:rPr>
                <w:rFonts w:ascii="Arial Narrow" w:hAnsi="Arial Narrow" w:cs="Times New Roman"/>
                <w:color w:val="000000"/>
                <w:sz w:val="18"/>
                <w:szCs w:val="18"/>
              </w:rPr>
            </w:pPr>
            <w:r w:rsidRPr="002F4E14">
              <w:rPr>
                <w:rFonts w:ascii="Arial Narrow" w:hAnsi="Arial Narrow" w:cs="Times New Roman"/>
                <w:color w:val="000000"/>
                <w:sz w:val="18"/>
                <w:szCs w:val="18"/>
              </w:rPr>
              <w:t>Dane za špecifické služby</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174 307</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174 307</w:t>
            </w:r>
          </w:p>
        </w:tc>
        <w:tc>
          <w:tcPr>
            <w:tcW w:w="1033"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0</w:t>
            </w:r>
          </w:p>
        </w:tc>
        <w:tc>
          <w:tcPr>
            <w:tcW w:w="1188"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100,0</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nil"/>
              <w:right w:val="nil"/>
            </w:tcBorders>
            <w:noWrap/>
            <w:textDirection w:val="lrTb"/>
            <w:vAlign w:val="center"/>
            <w:hideMark/>
          </w:tcPr>
          <w:p w:rsidR="0009512E" w:rsidRPr="002F4E14" w:rsidP="00F4176A">
            <w:pPr>
              <w:bidi w:val="0"/>
              <w:spacing w:after="0" w:line="240" w:lineRule="auto"/>
              <w:ind w:firstLine="360" w:firstLineChars="200"/>
              <w:rPr>
                <w:rFonts w:ascii="Arial Narrow" w:hAnsi="Arial Narrow" w:cs="Times New Roman"/>
                <w:color w:val="000000"/>
                <w:sz w:val="18"/>
                <w:szCs w:val="18"/>
              </w:rPr>
            </w:pPr>
            <w:r w:rsidRPr="002F4E14">
              <w:rPr>
                <w:rFonts w:ascii="Arial Narrow" w:hAnsi="Arial Narrow" w:cs="Times New Roman"/>
                <w:color w:val="000000"/>
                <w:sz w:val="18"/>
                <w:szCs w:val="18"/>
              </w:rPr>
              <w:t>Daň z motorových vozidiel</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121 592</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123 528</w:t>
            </w:r>
          </w:p>
        </w:tc>
        <w:tc>
          <w:tcPr>
            <w:tcW w:w="1033"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1 936</w:t>
            </w:r>
          </w:p>
        </w:tc>
        <w:tc>
          <w:tcPr>
            <w:tcW w:w="1188"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101,6</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nil"/>
              <w:right w:val="nil"/>
            </w:tcBorders>
            <w:noWrap/>
            <w:textDirection w:val="lrTb"/>
            <w:vAlign w:val="center"/>
            <w:hideMark/>
          </w:tcPr>
          <w:p w:rsidR="0009512E" w:rsidRPr="002F4E14" w:rsidP="00F4176A">
            <w:pPr>
              <w:bidi w:val="0"/>
              <w:spacing w:after="0" w:line="240" w:lineRule="auto"/>
              <w:ind w:firstLine="180" w:firstLineChars="100"/>
              <w:rPr>
                <w:rFonts w:ascii="Arial Narrow" w:hAnsi="Arial Narrow" w:cs="Times New Roman"/>
                <w:b/>
                <w:bCs/>
                <w:color w:val="000000"/>
                <w:sz w:val="18"/>
                <w:szCs w:val="18"/>
              </w:rPr>
            </w:pPr>
            <w:r w:rsidRPr="002F4E14">
              <w:rPr>
                <w:rFonts w:ascii="Arial Narrow" w:hAnsi="Arial Narrow" w:cs="Times New Roman"/>
                <w:b/>
                <w:bCs/>
                <w:color w:val="000000"/>
                <w:sz w:val="18"/>
                <w:szCs w:val="18"/>
              </w:rPr>
              <w:t>Dane z medzinárodného obchodu a transakcií</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33 908</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39 921</w:t>
            </w:r>
          </w:p>
        </w:tc>
        <w:tc>
          <w:tcPr>
            <w:tcW w:w="1033"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6 013</w:t>
            </w:r>
          </w:p>
        </w:tc>
        <w:tc>
          <w:tcPr>
            <w:tcW w:w="1188"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117,7</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nil"/>
              <w:right w:val="nil"/>
            </w:tcBorders>
            <w:noWrap/>
            <w:textDirection w:val="lrTb"/>
            <w:vAlign w:val="center"/>
            <w:hideMark/>
          </w:tcPr>
          <w:p w:rsidR="0009512E" w:rsidRPr="002F4E14" w:rsidP="00F4176A">
            <w:pPr>
              <w:bidi w:val="0"/>
              <w:spacing w:after="0" w:line="240" w:lineRule="auto"/>
              <w:ind w:firstLine="180" w:firstLineChars="100"/>
              <w:rPr>
                <w:rFonts w:ascii="Arial Narrow" w:hAnsi="Arial Narrow" w:cs="Times New Roman"/>
                <w:b/>
                <w:bCs/>
                <w:color w:val="000000"/>
                <w:sz w:val="18"/>
                <w:szCs w:val="18"/>
              </w:rPr>
            </w:pPr>
            <w:r w:rsidRPr="002F4E14">
              <w:rPr>
                <w:rFonts w:ascii="Arial Narrow" w:hAnsi="Arial Narrow" w:cs="Times New Roman"/>
                <w:b/>
                <w:bCs/>
                <w:color w:val="000000"/>
                <w:sz w:val="18"/>
                <w:szCs w:val="18"/>
              </w:rPr>
              <w:t>Ostatné dane</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169 855</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122 584</w:t>
            </w:r>
          </w:p>
        </w:tc>
        <w:tc>
          <w:tcPr>
            <w:tcW w:w="1033"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-47 271</w:t>
            </w:r>
          </w:p>
        </w:tc>
        <w:tc>
          <w:tcPr>
            <w:tcW w:w="1188"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72,2</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nil"/>
              <w:right w:val="nil"/>
            </w:tcBorders>
            <w:noWrap/>
            <w:textDirection w:val="lrTb"/>
            <w:vAlign w:val="center"/>
            <w:hideMark/>
          </w:tcPr>
          <w:p w:rsidR="0009512E" w:rsidRPr="002F4E14" w:rsidP="00F4176A">
            <w:pPr>
              <w:bidi w:val="0"/>
              <w:spacing w:after="0" w:line="240" w:lineRule="auto"/>
              <w:ind w:firstLine="360" w:firstLineChars="200"/>
              <w:rPr>
                <w:rFonts w:ascii="Arial Narrow" w:hAnsi="Arial Narrow" w:cs="Times New Roman"/>
                <w:color w:val="000000"/>
                <w:sz w:val="18"/>
                <w:szCs w:val="18"/>
              </w:rPr>
            </w:pPr>
            <w:r w:rsidRPr="002F4E14">
              <w:rPr>
                <w:rFonts w:ascii="Arial Narrow" w:hAnsi="Arial Narrow" w:cs="Times New Roman"/>
                <w:color w:val="000000"/>
                <w:sz w:val="18"/>
                <w:szCs w:val="18"/>
              </w:rPr>
              <w:t>Daň z emisných kvót</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92 640</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45 000</w:t>
            </w:r>
          </w:p>
        </w:tc>
        <w:tc>
          <w:tcPr>
            <w:tcW w:w="1033"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-47 640</w:t>
            </w:r>
          </w:p>
        </w:tc>
        <w:tc>
          <w:tcPr>
            <w:tcW w:w="1188"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48,6</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nil"/>
              <w:right w:val="nil"/>
            </w:tcBorders>
            <w:noWrap/>
            <w:textDirection w:val="lrTb"/>
            <w:vAlign w:val="center"/>
            <w:hideMark/>
          </w:tcPr>
          <w:p w:rsidR="0009512E" w:rsidRPr="002F4E14" w:rsidP="00F4176A">
            <w:pPr>
              <w:bidi w:val="0"/>
              <w:spacing w:after="0" w:line="240" w:lineRule="auto"/>
              <w:ind w:firstLine="360" w:firstLineChars="200"/>
              <w:rPr>
                <w:rFonts w:ascii="Arial Narrow" w:hAnsi="Arial Narrow" w:cs="Times New Roman"/>
                <w:color w:val="000000"/>
                <w:sz w:val="18"/>
                <w:szCs w:val="18"/>
              </w:rPr>
            </w:pPr>
            <w:r w:rsidRPr="002F4E14">
              <w:rPr>
                <w:rFonts w:ascii="Arial Narrow" w:hAnsi="Arial Narrow" w:cs="Times New Roman"/>
                <w:color w:val="000000"/>
                <w:sz w:val="18"/>
                <w:szCs w:val="18"/>
              </w:rPr>
              <w:t>Úhrada za služby verejnosti poskytované STV a SRo</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75 821</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75 821</w:t>
            </w:r>
          </w:p>
        </w:tc>
        <w:tc>
          <w:tcPr>
            <w:tcW w:w="1033"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0</w:t>
            </w:r>
          </w:p>
        </w:tc>
        <w:tc>
          <w:tcPr>
            <w:tcW w:w="1188"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100,0</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nil"/>
              <w:right w:val="nil"/>
            </w:tcBorders>
            <w:noWrap/>
            <w:textDirection w:val="lrTb"/>
            <w:vAlign w:val="center"/>
            <w:hideMark/>
          </w:tcPr>
          <w:p w:rsidR="0009512E" w:rsidRPr="002F4E14" w:rsidP="00F4176A">
            <w:pPr>
              <w:bidi w:val="0"/>
              <w:spacing w:after="0" w:line="240" w:lineRule="auto"/>
              <w:ind w:firstLine="360" w:firstLineChars="200"/>
              <w:rPr>
                <w:rFonts w:ascii="Arial Narrow" w:hAnsi="Arial Narrow" w:cs="Times New Roman"/>
                <w:color w:val="000000"/>
                <w:sz w:val="18"/>
                <w:szCs w:val="18"/>
              </w:rPr>
            </w:pPr>
            <w:r w:rsidRPr="002F4E14">
              <w:rPr>
                <w:rFonts w:ascii="Arial Narrow" w:hAnsi="Arial Narrow" w:cs="Times New Roman"/>
                <w:color w:val="000000"/>
                <w:sz w:val="18"/>
                <w:szCs w:val="18"/>
              </w:rPr>
              <w:t>Daň z úhrad za uskladňovanie plynov alebo kvapalín</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870</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1 001</w:t>
            </w:r>
          </w:p>
        </w:tc>
        <w:tc>
          <w:tcPr>
            <w:tcW w:w="1033"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131</w:t>
            </w:r>
          </w:p>
        </w:tc>
        <w:tc>
          <w:tcPr>
            <w:tcW w:w="1188"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115,1</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single" w:sz="8" w:space="0" w:color="auto"/>
              <w:right w:val="nil"/>
            </w:tcBorders>
            <w:noWrap/>
            <w:textDirection w:val="lrTb"/>
            <w:vAlign w:val="center"/>
            <w:hideMark/>
          </w:tcPr>
          <w:p w:rsidR="0009512E" w:rsidRPr="002F4E14" w:rsidP="00F4176A">
            <w:pPr>
              <w:bidi w:val="0"/>
              <w:spacing w:after="0" w:line="240" w:lineRule="auto"/>
              <w:ind w:firstLine="360" w:firstLineChars="200"/>
              <w:rPr>
                <w:rFonts w:ascii="Arial Narrow" w:hAnsi="Arial Narrow" w:cs="Times New Roman"/>
                <w:color w:val="000000"/>
                <w:sz w:val="18"/>
                <w:szCs w:val="18"/>
              </w:rPr>
            </w:pPr>
            <w:r w:rsidRPr="002F4E14">
              <w:rPr>
                <w:rFonts w:ascii="Arial Narrow" w:hAnsi="Arial Narrow" w:cs="Times New Roman"/>
                <w:color w:val="000000"/>
                <w:sz w:val="18"/>
                <w:szCs w:val="18"/>
              </w:rPr>
              <w:t>Majetkové a iné dane*</w:t>
            </w:r>
          </w:p>
        </w:tc>
        <w:tc>
          <w:tcPr>
            <w:tcW w:w="1262" w:type="dxa"/>
            <w:tcBorders>
              <w:top w:val="nil"/>
              <w:left w:val="nil"/>
              <w:bottom w:val="single" w:sz="8"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524</w:t>
            </w:r>
          </w:p>
        </w:tc>
        <w:tc>
          <w:tcPr>
            <w:tcW w:w="1262" w:type="dxa"/>
            <w:tcBorders>
              <w:top w:val="nil"/>
              <w:left w:val="nil"/>
              <w:bottom w:val="single" w:sz="8"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762</w:t>
            </w:r>
          </w:p>
        </w:tc>
        <w:tc>
          <w:tcPr>
            <w:tcW w:w="1033" w:type="dxa"/>
            <w:tcBorders>
              <w:top w:val="nil"/>
              <w:left w:val="nil"/>
              <w:bottom w:val="single" w:sz="8"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238</w:t>
            </w:r>
          </w:p>
        </w:tc>
        <w:tc>
          <w:tcPr>
            <w:tcW w:w="1188" w:type="dxa"/>
            <w:tcBorders>
              <w:top w:val="nil"/>
              <w:left w:val="nil"/>
              <w:bottom w:val="single" w:sz="8"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145,4</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nil"/>
              <w:right w:val="nil"/>
            </w:tcBorders>
            <w:noWrap/>
            <w:textDirection w:val="lrTb"/>
            <w:vAlign w:val="center"/>
            <w:hideMark/>
          </w:tcPr>
          <w:p w:rsidR="0009512E" w:rsidRPr="002F4E14" w:rsidP="00F4176A">
            <w:pPr>
              <w:bidi w:val="0"/>
              <w:spacing w:after="0" w:line="240" w:lineRule="auto"/>
              <w:rPr>
                <w:rFonts w:ascii="Arial Narrow" w:hAnsi="Arial Narrow" w:cs="Times New Roman"/>
                <w:b/>
                <w:bCs/>
                <w:color w:val="000000"/>
                <w:sz w:val="18"/>
                <w:szCs w:val="18"/>
              </w:rPr>
            </w:pPr>
            <w:r w:rsidRPr="002F4E14">
              <w:rPr>
                <w:rFonts w:ascii="Arial Narrow" w:hAnsi="Arial Narrow" w:cs="Times New Roman"/>
                <w:b/>
                <w:bCs/>
                <w:color w:val="000000"/>
                <w:sz w:val="18"/>
                <w:szCs w:val="18"/>
              </w:rPr>
              <w:t>B. Odvody</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6 908 946</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6 905 517</w:t>
            </w:r>
          </w:p>
        </w:tc>
        <w:tc>
          <w:tcPr>
            <w:tcW w:w="1033"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-3 429</w:t>
            </w:r>
          </w:p>
        </w:tc>
        <w:tc>
          <w:tcPr>
            <w:tcW w:w="1188" w:type="dxa"/>
            <w:tcBorders>
              <w:top w:val="nil"/>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100,0</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single" w:sz="8" w:space="0" w:color="auto"/>
              <w:right w:val="nil"/>
            </w:tcBorders>
            <w:noWrap/>
            <w:textDirection w:val="lrTb"/>
            <w:vAlign w:val="center"/>
            <w:hideMark/>
          </w:tcPr>
          <w:p w:rsidR="0009512E" w:rsidRPr="002F4E14" w:rsidP="00F4176A">
            <w:pPr>
              <w:bidi w:val="0"/>
              <w:spacing w:after="0" w:line="240" w:lineRule="auto"/>
              <w:ind w:firstLine="540" w:firstLineChars="300"/>
              <w:rPr>
                <w:rFonts w:ascii="Arial Narrow" w:hAnsi="Arial Narrow" w:cs="Times New Roman"/>
                <w:color w:val="000000"/>
                <w:sz w:val="18"/>
                <w:szCs w:val="18"/>
              </w:rPr>
            </w:pPr>
            <w:r w:rsidRPr="002F4E14">
              <w:rPr>
                <w:rFonts w:ascii="Arial Narrow" w:hAnsi="Arial Narrow" w:cs="Times New Roman"/>
                <w:color w:val="000000"/>
                <w:sz w:val="18"/>
                <w:szCs w:val="18"/>
              </w:rPr>
              <w:t>podiel na HDP %</w:t>
            </w:r>
          </w:p>
        </w:tc>
        <w:tc>
          <w:tcPr>
            <w:tcW w:w="1262" w:type="dxa"/>
            <w:tcBorders>
              <w:top w:val="nil"/>
              <w:left w:val="nil"/>
              <w:bottom w:val="single" w:sz="8"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 xml:space="preserve">9,8 </w:t>
            </w:r>
          </w:p>
        </w:tc>
        <w:tc>
          <w:tcPr>
            <w:tcW w:w="1262" w:type="dxa"/>
            <w:tcBorders>
              <w:top w:val="nil"/>
              <w:left w:val="nil"/>
              <w:bottom w:val="single" w:sz="8"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 xml:space="preserve">9,9 </w:t>
            </w:r>
          </w:p>
        </w:tc>
        <w:tc>
          <w:tcPr>
            <w:tcW w:w="1033" w:type="dxa"/>
            <w:tcBorders>
              <w:top w:val="nil"/>
              <w:left w:val="nil"/>
              <w:bottom w:val="single" w:sz="8"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 xml:space="preserve">0,1 </w:t>
            </w:r>
          </w:p>
        </w:tc>
        <w:tc>
          <w:tcPr>
            <w:tcW w:w="1188" w:type="dxa"/>
            <w:tcBorders>
              <w:top w:val="nil"/>
              <w:left w:val="nil"/>
              <w:bottom w:val="single" w:sz="8"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none" w:sz="0" w:space="0" w:color="auto"/>
              <w:right w:val="nil"/>
            </w:tcBorders>
            <w:noWrap/>
            <w:textDirection w:val="lrTb"/>
            <w:vAlign w:val="center"/>
            <w:hideMark/>
          </w:tcPr>
          <w:p w:rsidR="0009512E" w:rsidRPr="002F4E14" w:rsidP="00F4176A">
            <w:pPr>
              <w:bidi w:val="0"/>
              <w:spacing w:after="0" w:line="240" w:lineRule="auto"/>
              <w:ind w:firstLine="180" w:firstLineChars="100"/>
              <w:rPr>
                <w:rFonts w:ascii="Arial Narrow" w:hAnsi="Arial Narrow" w:cs="Times New Roman"/>
                <w:b/>
                <w:bCs/>
                <w:color w:val="000000"/>
                <w:sz w:val="18"/>
                <w:szCs w:val="18"/>
              </w:rPr>
            </w:pPr>
            <w:r w:rsidRPr="002F4E14">
              <w:rPr>
                <w:rFonts w:ascii="Arial Narrow" w:hAnsi="Arial Narrow" w:cs="Times New Roman"/>
                <w:b/>
                <w:bCs/>
                <w:color w:val="000000"/>
                <w:sz w:val="18"/>
                <w:szCs w:val="18"/>
              </w:rPr>
              <w:t>Sociálna poisťovňa (EAO + dlžné) - 1. pilier</w:t>
            </w:r>
          </w:p>
        </w:tc>
        <w:tc>
          <w:tcPr>
            <w:tcW w:w="1262" w:type="dxa"/>
            <w:tcBorders>
              <w:top w:val="nil"/>
              <w:left w:val="nil"/>
              <w:bottom w:val="none" w:sz="0"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4 541 732</w:t>
            </w:r>
          </w:p>
        </w:tc>
        <w:tc>
          <w:tcPr>
            <w:tcW w:w="1262" w:type="dxa"/>
            <w:tcBorders>
              <w:top w:val="nil"/>
              <w:left w:val="nil"/>
              <w:bottom w:val="none" w:sz="0"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4 498 122</w:t>
            </w:r>
          </w:p>
        </w:tc>
        <w:tc>
          <w:tcPr>
            <w:tcW w:w="1033" w:type="dxa"/>
            <w:tcBorders>
              <w:top w:val="nil"/>
              <w:left w:val="nil"/>
              <w:bottom w:val="none" w:sz="0"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-43 610</w:t>
            </w:r>
          </w:p>
        </w:tc>
        <w:tc>
          <w:tcPr>
            <w:tcW w:w="1188" w:type="dxa"/>
            <w:tcBorders>
              <w:top w:val="nil"/>
              <w:left w:val="nil"/>
              <w:bottom w:val="none" w:sz="0"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99,0</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single" w:sz="4" w:space="0" w:color="auto"/>
              <w:right w:val="nil"/>
            </w:tcBorders>
            <w:noWrap/>
            <w:textDirection w:val="lrTb"/>
            <w:vAlign w:val="center"/>
            <w:hideMark/>
          </w:tcPr>
          <w:p w:rsidR="0009512E" w:rsidRPr="002F4E14" w:rsidP="00F4176A">
            <w:pPr>
              <w:bidi w:val="0"/>
              <w:spacing w:after="0" w:line="240" w:lineRule="auto"/>
              <w:ind w:firstLine="180" w:firstLineChars="100"/>
              <w:rPr>
                <w:rFonts w:ascii="Arial Narrow" w:hAnsi="Arial Narrow" w:cs="Times New Roman"/>
                <w:b/>
                <w:bCs/>
                <w:color w:val="000000"/>
                <w:sz w:val="18"/>
                <w:szCs w:val="18"/>
              </w:rPr>
            </w:pPr>
            <w:r w:rsidRPr="002F4E14">
              <w:rPr>
                <w:rFonts w:ascii="Arial Narrow" w:hAnsi="Arial Narrow" w:cs="Times New Roman"/>
                <w:b/>
                <w:bCs/>
                <w:color w:val="000000"/>
                <w:sz w:val="18"/>
                <w:szCs w:val="18"/>
              </w:rPr>
              <w:t>Zdravotné poistenie EAO + dlžné - (vr. roč. zúčt.)</w:t>
            </w:r>
          </w:p>
        </w:tc>
        <w:tc>
          <w:tcPr>
            <w:tcW w:w="1262" w:type="dxa"/>
            <w:tcBorders>
              <w:top w:val="nil"/>
              <w:left w:val="nil"/>
              <w:bottom w:val="single" w:sz="4"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2 367 214</w:t>
            </w:r>
          </w:p>
        </w:tc>
        <w:tc>
          <w:tcPr>
            <w:tcW w:w="1262" w:type="dxa"/>
            <w:tcBorders>
              <w:top w:val="nil"/>
              <w:left w:val="nil"/>
              <w:bottom w:val="single" w:sz="4"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2 407 395</w:t>
            </w:r>
          </w:p>
        </w:tc>
        <w:tc>
          <w:tcPr>
            <w:tcW w:w="1033" w:type="dxa"/>
            <w:tcBorders>
              <w:top w:val="nil"/>
              <w:left w:val="nil"/>
              <w:bottom w:val="single" w:sz="4"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40 181</w:t>
            </w:r>
          </w:p>
        </w:tc>
        <w:tc>
          <w:tcPr>
            <w:tcW w:w="1188" w:type="dxa"/>
            <w:tcBorders>
              <w:top w:val="nil"/>
              <w:left w:val="nil"/>
              <w:bottom w:val="single" w:sz="4"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101,7</w:t>
            </w:r>
          </w:p>
        </w:tc>
      </w:tr>
      <w:tr>
        <w:tblPrEx>
          <w:tblW w:w="8686" w:type="dxa"/>
          <w:jc w:val="center"/>
          <w:tblCellMar>
            <w:left w:w="70" w:type="dxa"/>
            <w:right w:w="70" w:type="dxa"/>
          </w:tblCellMar>
          <w:tblLook w:val="04A0"/>
        </w:tblPrEx>
        <w:trPr>
          <w:trHeight w:hRule="exact" w:val="255"/>
          <w:jc w:val="center"/>
        </w:trPr>
        <w:tc>
          <w:tcPr>
            <w:tcW w:w="3941" w:type="dxa"/>
            <w:tcBorders>
              <w:top w:val="single" w:sz="4" w:space="0" w:color="auto"/>
              <w:left w:val="nil"/>
              <w:bottom w:val="nil"/>
              <w:right w:val="nil"/>
            </w:tcBorders>
            <w:noWrap/>
            <w:textDirection w:val="lrTb"/>
            <w:vAlign w:val="center"/>
            <w:hideMark/>
          </w:tcPr>
          <w:p w:rsidR="0009512E" w:rsidRPr="002F4E14" w:rsidP="00F4176A">
            <w:pPr>
              <w:bidi w:val="0"/>
              <w:spacing w:after="0" w:line="240" w:lineRule="auto"/>
              <w:rPr>
                <w:rFonts w:ascii="Arial Narrow" w:hAnsi="Arial Narrow" w:cs="Times New Roman"/>
                <w:b/>
                <w:bCs/>
                <w:color w:val="000000"/>
                <w:sz w:val="18"/>
                <w:szCs w:val="18"/>
              </w:rPr>
            </w:pPr>
            <w:r w:rsidRPr="002F4E14">
              <w:rPr>
                <w:rFonts w:ascii="Arial Narrow" w:hAnsi="Arial Narrow" w:cs="Times New Roman"/>
                <w:b/>
                <w:bCs/>
                <w:color w:val="000000"/>
                <w:sz w:val="18"/>
                <w:szCs w:val="18"/>
              </w:rPr>
              <w:t>Daňové a odvodové príjmy (A+B)</w:t>
            </w:r>
          </w:p>
        </w:tc>
        <w:tc>
          <w:tcPr>
            <w:tcW w:w="1262" w:type="dxa"/>
            <w:tcBorders>
              <w:top w:val="single" w:sz="4" w:space="0" w:color="auto"/>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18 167 925</w:t>
            </w:r>
          </w:p>
        </w:tc>
        <w:tc>
          <w:tcPr>
            <w:tcW w:w="1262" w:type="dxa"/>
            <w:tcBorders>
              <w:top w:val="single" w:sz="4" w:space="0" w:color="auto"/>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18 173 545</w:t>
            </w:r>
          </w:p>
        </w:tc>
        <w:tc>
          <w:tcPr>
            <w:tcW w:w="1033" w:type="dxa"/>
            <w:tcBorders>
              <w:top w:val="single" w:sz="4" w:space="0" w:color="auto"/>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5 620</w:t>
            </w:r>
          </w:p>
        </w:tc>
        <w:tc>
          <w:tcPr>
            <w:tcW w:w="1188" w:type="dxa"/>
            <w:tcBorders>
              <w:top w:val="single" w:sz="4" w:space="0" w:color="auto"/>
              <w:left w:val="nil"/>
              <w:bottom w:val="nil"/>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100,0</w:t>
            </w:r>
          </w:p>
        </w:tc>
      </w:tr>
      <w:tr>
        <w:tblPrEx>
          <w:tblW w:w="8686" w:type="dxa"/>
          <w:jc w:val="center"/>
          <w:tblCellMar>
            <w:left w:w="70" w:type="dxa"/>
            <w:right w:w="70" w:type="dxa"/>
          </w:tblCellMar>
          <w:tblLook w:val="04A0"/>
        </w:tblPrEx>
        <w:trPr>
          <w:trHeight w:hRule="exact" w:val="255"/>
          <w:jc w:val="center"/>
        </w:trPr>
        <w:tc>
          <w:tcPr>
            <w:tcW w:w="3941" w:type="dxa"/>
            <w:tcBorders>
              <w:top w:val="nil"/>
              <w:left w:val="nil"/>
              <w:bottom w:val="single" w:sz="8" w:space="0" w:color="auto"/>
              <w:right w:val="nil"/>
            </w:tcBorders>
            <w:noWrap/>
            <w:textDirection w:val="lrTb"/>
            <w:vAlign w:val="center"/>
            <w:hideMark/>
          </w:tcPr>
          <w:p w:rsidR="0009512E" w:rsidRPr="002F4E14" w:rsidP="00F4176A">
            <w:pPr>
              <w:bidi w:val="0"/>
              <w:spacing w:after="0" w:line="240" w:lineRule="auto"/>
              <w:ind w:firstLine="540" w:firstLineChars="300"/>
              <w:rPr>
                <w:rFonts w:ascii="Arial Narrow" w:hAnsi="Arial Narrow" w:cs="Times New Roman"/>
                <w:color w:val="000000"/>
                <w:sz w:val="18"/>
                <w:szCs w:val="18"/>
              </w:rPr>
            </w:pPr>
            <w:r w:rsidRPr="002F4E14">
              <w:rPr>
                <w:rFonts w:ascii="Arial Narrow" w:hAnsi="Arial Narrow" w:cs="Times New Roman"/>
                <w:color w:val="000000"/>
                <w:sz w:val="18"/>
                <w:szCs w:val="18"/>
              </w:rPr>
              <w:t>podiel na HDP %</w:t>
            </w:r>
          </w:p>
        </w:tc>
        <w:tc>
          <w:tcPr>
            <w:tcW w:w="1262" w:type="dxa"/>
            <w:tcBorders>
              <w:top w:val="nil"/>
              <w:left w:val="nil"/>
              <w:bottom w:val="single" w:sz="8"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 xml:space="preserve">25,9 </w:t>
            </w:r>
          </w:p>
        </w:tc>
        <w:tc>
          <w:tcPr>
            <w:tcW w:w="1262" w:type="dxa"/>
            <w:tcBorders>
              <w:top w:val="nil"/>
              <w:left w:val="nil"/>
              <w:bottom w:val="single" w:sz="8"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 xml:space="preserve">26,1 </w:t>
            </w:r>
          </w:p>
        </w:tc>
        <w:tc>
          <w:tcPr>
            <w:tcW w:w="1033" w:type="dxa"/>
            <w:tcBorders>
              <w:top w:val="nil"/>
              <w:left w:val="nil"/>
              <w:bottom w:val="single" w:sz="8"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 xml:space="preserve">0,2 </w:t>
            </w:r>
          </w:p>
        </w:tc>
        <w:tc>
          <w:tcPr>
            <w:tcW w:w="1188" w:type="dxa"/>
            <w:tcBorders>
              <w:top w:val="nil"/>
              <w:left w:val="nil"/>
              <w:bottom w:val="single" w:sz="8" w:space="0" w:color="auto"/>
              <w:right w:val="nil"/>
            </w:tcBorders>
            <w:noWrap/>
            <w:textDirection w:val="lrTb"/>
            <w:vAlign w:val="bottom"/>
            <w:hideMark/>
          </w:tcPr>
          <w:p w:rsidR="0009512E" w:rsidRPr="002F4E14" w:rsidP="009C51D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w:t>
            </w:r>
          </w:p>
        </w:tc>
      </w:tr>
      <w:tr>
        <w:tblPrEx>
          <w:tblW w:w="8686" w:type="dxa"/>
          <w:jc w:val="center"/>
          <w:tblCellMar>
            <w:left w:w="70" w:type="dxa"/>
            <w:right w:w="70" w:type="dxa"/>
          </w:tblCellMar>
          <w:tblLook w:val="04A0"/>
        </w:tblPrEx>
        <w:trPr>
          <w:trHeight w:val="261"/>
          <w:jc w:val="center"/>
        </w:trPr>
        <w:tc>
          <w:tcPr>
            <w:tcW w:w="3941" w:type="dxa"/>
            <w:tcBorders>
              <w:top w:val="nil"/>
              <w:left w:val="nil"/>
              <w:bottom w:val="nil"/>
              <w:right w:val="nil"/>
            </w:tcBorders>
            <w:noWrap/>
            <w:textDirection w:val="lrTb"/>
            <w:vAlign w:val="bottom"/>
            <w:hideMark/>
          </w:tcPr>
          <w:p w:rsidR="0009512E" w:rsidRPr="002F4E14" w:rsidP="009C51D3">
            <w:pPr>
              <w:bidi w:val="0"/>
              <w:spacing w:after="0" w:line="240" w:lineRule="auto"/>
              <w:rPr>
                <w:rFonts w:ascii="Arial Narrow" w:hAnsi="Arial Narrow" w:cs="Times New Roman"/>
                <w:i/>
                <w:iCs/>
                <w:color w:val="000000"/>
                <w:sz w:val="18"/>
                <w:szCs w:val="18"/>
              </w:rPr>
            </w:pPr>
            <w:r w:rsidRPr="002F4E14">
              <w:rPr>
                <w:rFonts w:ascii="Arial Narrow" w:hAnsi="Arial Narrow" w:cs="Times New Roman"/>
                <w:i/>
                <w:iCs/>
                <w:color w:val="000000"/>
                <w:sz w:val="18"/>
                <w:szCs w:val="18"/>
              </w:rPr>
              <w:t>* vrátane dane z úhrad za dobývací priestor</w:t>
            </w: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rPr>
                <w:rFonts w:ascii="Arial Narrow" w:hAnsi="Arial Narrow" w:cs="Times New Roman"/>
                <w:color w:val="000000"/>
                <w:sz w:val="18"/>
                <w:szCs w:val="18"/>
              </w:rPr>
            </w:pPr>
          </w:p>
        </w:tc>
        <w:tc>
          <w:tcPr>
            <w:tcW w:w="1262" w:type="dxa"/>
            <w:tcBorders>
              <w:top w:val="nil"/>
              <w:left w:val="nil"/>
              <w:bottom w:val="nil"/>
              <w:right w:val="nil"/>
            </w:tcBorders>
            <w:noWrap/>
            <w:textDirection w:val="lrTb"/>
            <w:vAlign w:val="bottom"/>
            <w:hideMark/>
          </w:tcPr>
          <w:p w:rsidR="0009512E" w:rsidRPr="002F4E14" w:rsidP="009C51D3">
            <w:pPr>
              <w:bidi w:val="0"/>
              <w:spacing w:after="0" w:line="240" w:lineRule="auto"/>
              <w:rPr>
                <w:rFonts w:ascii="Arial Narrow" w:hAnsi="Arial Narrow" w:cs="Times New Roman"/>
                <w:color w:val="000000"/>
                <w:sz w:val="18"/>
                <w:szCs w:val="18"/>
              </w:rPr>
            </w:pPr>
          </w:p>
        </w:tc>
        <w:tc>
          <w:tcPr>
            <w:tcW w:w="1033" w:type="dxa"/>
            <w:tcBorders>
              <w:top w:val="nil"/>
              <w:left w:val="nil"/>
              <w:bottom w:val="nil"/>
              <w:right w:val="nil"/>
            </w:tcBorders>
            <w:noWrap/>
            <w:textDirection w:val="lrTb"/>
            <w:vAlign w:val="bottom"/>
            <w:hideMark/>
          </w:tcPr>
          <w:p w:rsidR="0009512E" w:rsidRPr="002F4E14" w:rsidP="009C51D3">
            <w:pPr>
              <w:bidi w:val="0"/>
              <w:spacing w:after="0" w:line="240" w:lineRule="auto"/>
              <w:rPr>
                <w:rFonts w:ascii="Arial Narrow" w:hAnsi="Arial Narrow" w:cs="Times New Roman"/>
                <w:color w:val="000000"/>
                <w:sz w:val="18"/>
                <w:szCs w:val="18"/>
              </w:rPr>
            </w:pPr>
          </w:p>
        </w:tc>
        <w:tc>
          <w:tcPr>
            <w:tcW w:w="1188" w:type="dxa"/>
            <w:tcBorders>
              <w:top w:val="nil"/>
              <w:left w:val="nil"/>
              <w:bottom w:val="nil"/>
              <w:right w:val="nil"/>
            </w:tcBorders>
            <w:noWrap/>
            <w:textDirection w:val="lrTb"/>
            <w:vAlign w:val="bottom"/>
            <w:hideMark/>
          </w:tcPr>
          <w:p w:rsidR="0009512E" w:rsidRPr="002F4E14" w:rsidP="009C51D3">
            <w:pPr>
              <w:bidi w:val="0"/>
              <w:spacing w:after="0" w:line="240" w:lineRule="auto"/>
              <w:rPr>
                <w:rFonts w:ascii="Arial Narrow" w:hAnsi="Arial Narrow" w:cs="Times New Roman"/>
                <w:i/>
                <w:iCs/>
                <w:color w:val="000000"/>
                <w:sz w:val="16"/>
                <w:szCs w:val="16"/>
              </w:rPr>
            </w:pPr>
            <w:r w:rsidRPr="002F4E14">
              <w:rPr>
                <w:rFonts w:ascii="Arial Narrow" w:hAnsi="Arial Narrow" w:cs="Times New Roman"/>
                <w:i/>
                <w:iCs/>
                <w:color w:val="000000"/>
                <w:sz w:val="16"/>
                <w:szCs w:val="16"/>
              </w:rPr>
              <w:t>Zdroj: MFSR</w:t>
            </w:r>
          </w:p>
        </w:tc>
      </w:tr>
    </w:tbl>
    <w:p w:rsidR="0009512E" w:rsidRPr="00403E79" w:rsidP="0009512E">
      <w:pPr>
        <w:bidi w:val="0"/>
        <w:jc w:val="both"/>
        <w:rPr>
          <w:rFonts w:ascii="Arial Narrow" w:hAnsi="Arial Narrow" w:cs="Arial Narrow"/>
          <w:sz w:val="16"/>
          <w:szCs w:val="16"/>
        </w:rPr>
      </w:pPr>
    </w:p>
    <w:p w:rsidR="0009512E" w:rsidRPr="00403E79" w:rsidP="0009512E">
      <w:pPr>
        <w:autoSpaceDE w:val="0"/>
        <w:autoSpaceDN w:val="0"/>
        <w:bidi w:val="0"/>
        <w:adjustRightInd w:val="0"/>
        <w:jc w:val="both"/>
        <w:rPr>
          <w:rFonts w:ascii="Arial Narrow" w:hAnsi="Arial Narrow" w:cs="Arial Narrow"/>
        </w:rPr>
      </w:pPr>
      <w:r w:rsidRPr="00904E61">
        <w:rPr>
          <w:rFonts w:ascii="Arial Narrow" w:hAnsi="Arial Narrow" w:cs="Arial Narrow"/>
        </w:rPr>
        <w:t>Porovnanie aktuálneho odhadu s rozpočtovanými výnosmi daní, daňových sankcií jednotlivých zložiek verejnej správy, vplyvu 2% poukazovaných na verejnoprospešný účel je uvedené v nasledujúcej tabuľke. Po zohľadnení vyššie uvedených faktorov má aktualizácia daňových príjmov negatívny vplyv na rozpočet verejnej správy v sume 4 mil. eur.</w:t>
      </w:r>
    </w:p>
    <w:p w:rsidR="0009512E" w:rsidRPr="00CB1463" w:rsidP="0009512E">
      <w:pPr>
        <w:autoSpaceDE w:val="0"/>
        <w:autoSpaceDN w:val="0"/>
        <w:bidi w:val="0"/>
        <w:adjustRightInd w:val="0"/>
        <w:jc w:val="both"/>
        <w:rPr>
          <w:rFonts w:ascii="Arial Narrow" w:hAnsi="Arial Narrow" w:cs="Arial Narrow"/>
        </w:rPr>
      </w:pPr>
    </w:p>
    <w:tbl>
      <w:tblPr>
        <w:tblStyle w:val="TableNormal"/>
        <w:tblW w:w="9081" w:type="dxa"/>
        <w:jc w:val="center"/>
        <w:tblInd w:w="55" w:type="dxa"/>
        <w:tblCellMar>
          <w:left w:w="70" w:type="dxa"/>
          <w:right w:w="70" w:type="dxa"/>
        </w:tblCellMar>
        <w:tblLook w:val="04A0"/>
      </w:tblPr>
      <w:tblGrid>
        <w:gridCol w:w="3100"/>
        <w:gridCol w:w="1571"/>
        <w:gridCol w:w="1399"/>
        <w:gridCol w:w="1054"/>
        <w:gridCol w:w="796"/>
        <w:gridCol w:w="1161"/>
      </w:tblGrid>
      <w:tr>
        <w:tblPrEx>
          <w:tblW w:w="9081" w:type="dxa"/>
          <w:jc w:val="center"/>
          <w:tblInd w:w="55" w:type="dxa"/>
          <w:tblCellMar>
            <w:left w:w="70" w:type="dxa"/>
            <w:right w:w="70" w:type="dxa"/>
          </w:tblCellMar>
          <w:tblLook w:val="04A0"/>
        </w:tblPrEx>
        <w:trPr>
          <w:trHeight w:val="273"/>
          <w:jc w:val="center"/>
        </w:trPr>
        <w:tc>
          <w:tcPr>
            <w:tcW w:w="9080" w:type="dxa"/>
            <w:gridSpan w:val="6"/>
            <w:tcBorders>
              <w:top w:val="nil"/>
              <w:left w:val="nil"/>
              <w:bottom w:val="nil"/>
              <w:right w:val="nil"/>
            </w:tcBorders>
            <w:shd w:val="clear" w:color="000000" w:fill="0D0D0D"/>
            <w:noWrap/>
            <w:textDirection w:val="lrTb"/>
            <w:vAlign w:val="center"/>
            <w:hideMark/>
          </w:tcPr>
          <w:p w:rsidR="0009512E" w:rsidRPr="00F4176A" w:rsidP="00F4176A">
            <w:pPr>
              <w:bidi w:val="0"/>
              <w:spacing w:after="0" w:line="240" w:lineRule="auto"/>
              <w:rPr>
                <w:rFonts w:ascii="Arial Narrow" w:hAnsi="Arial Narrow" w:cs="Times New Roman"/>
                <w:b/>
                <w:bCs/>
                <w:color w:val="FFFFFF"/>
                <w:sz w:val="20"/>
                <w:szCs w:val="20"/>
              </w:rPr>
            </w:pPr>
            <w:r w:rsidRPr="00F4176A">
              <w:rPr>
                <w:rFonts w:ascii="Arial Narrow" w:hAnsi="Arial Narrow" w:cs="Times New Roman"/>
                <w:b/>
                <w:bCs/>
                <w:color w:val="FFFFFF"/>
                <w:sz w:val="20"/>
                <w:szCs w:val="20"/>
              </w:rPr>
              <w:t xml:space="preserve">Vplyv aktuálneho odhadu daní na saldo VS oproti schválenému rozpočtu (ESA95, v tis. </w:t>
            </w:r>
            <w:r w:rsidRPr="00F4176A" w:rsidR="00F4176A">
              <w:rPr>
                <w:rFonts w:ascii="Arial Narrow" w:hAnsi="Arial Narrow" w:cs="Times New Roman"/>
                <w:b/>
                <w:bCs/>
                <w:color w:val="FFFFFF"/>
                <w:sz w:val="20"/>
                <w:szCs w:val="20"/>
              </w:rPr>
              <w:t>e</w:t>
            </w:r>
            <w:r w:rsidRPr="00F4176A">
              <w:rPr>
                <w:rFonts w:ascii="Arial Narrow" w:hAnsi="Arial Narrow" w:cs="Times New Roman"/>
                <w:b/>
                <w:bCs/>
                <w:color w:val="FFFFFF"/>
                <w:sz w:val="20"/>
                <w:szCs w:val="20"/>
              </w:rPr>
              <w:t>ur)</w:t>
            </w:r>
          </w:p>
        </w:tc>
      </w:tr>
      <w:tr>
        <w:tblPrEx>
          <w:tblW w:w="9081" w:type="dxa"/>
          <w:jc w:val="center"/>
          <w:tblInd w:w="55" w:type="dxa"/>
          <w:tblCellMar>
            <w:left w:w="70" w:type="dxa"/>
            <w:right w:w="70" w:type="dxa"/>
          </w:tblCellMar>
          <w:tblLook w:val="04A0"/>
        </w:tblPrEx>
        <w:trPr>
          <w:trHeight w:val="273"/>
          <w:jc w:val="center"/>
        </w:trPr>
        <w:tc>
          <w:tcPr>
            <w:tcW w:w="3100" w:type="dxa"/>
            <w:tcBorders>
              <w:top w:val="nil"/>
              <w:left w:val="nil"/>
              <w:bottom w:val="single" w:sz="4" w:space="0" w:color="auto"/>
              <w:right w:val="nil"/>
            </w:tcBorders>
            <w:shd w:val="clear" w:color="000000" w:fill="BFBFBF"/>
            <w:noWrap/>
            <w:textDirection w:val="lrTb"/>
            <w:vAlign w:val="center"/>
            <w:hideMark/>
          </w:tcPr>
          <w:p w:rsidR="0009512E" w:rsidRPr="002F4E14" w:rsidP="007F6023">
            <w:pPr>
              <w:bidi w:val="0"/>
              <w:spacing w:after="0" w:line="240" w:lineRule="auto"/>
              <w:rPr>
                <w:rFonts w:ascii="Arial Narrow" w:hAnsi="Arial Narrow" w:cs="Times New Roman"/>
                <w:color w:val="000000"/>
                <w:sz w:val="18"/>
                <w:szCs w:val="18"/>
              </w:rPr>
            </w:pPr>
            <w:r w:rsidRPr="002F4E14">
              <w:rPr>
                <w:rFonts w:ascii="Arial Narrow" w:hAnsi="Arial Narrow" w:cs="Times New Roman"/>
                <w:color w:val="000000"/>
                <w:sz w:val="18"/>
                <w:szCs w:val="18"/>
              </w:rPr>
              <w:t> </w:t>
            </w:r>
          </w:p>
        </w:tc>
        <w:tc>
          <w:tcPr>
            <w:tcW w:w="1571" w:type="dxa"/>
            <w:tcBorders>
              <w:top w:val="nil"/>
              <w:left w:val="nil"/>
              <w:bottom w:val="single" w:sz="4" w:space="0" w:color="auto"/>
              <w:right w:val="nil"/>
            </w:tcBorders>
            <w:shd w:val="clear" w:color="000000" w:fill="BFBFBF"/>
            <w:noWrap/>
            <w:textDirection w:val="lrTb"/>
            <w:vAlign w:val="center"/>
            <w:hideMark/>
          </w:tcPr>
          <w:p w:rsidR="0009512E" w:rsidRPr="002F4E14" w:rsidP="007F602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Daňové príjmy</w:t>
            </w:r>
          </w:p>
        </w:tc>
        <w:tc>
          <w:tcPr>
            <w:tcW w:w="1399" w:type="dxa"/>
            <w:tcBorders>
              <w:top w:val="nil"/>
              <w:left w:val="nil"/>
              <w:bottom w:val="single" w:sz="4" w:space="0" w:color="auto"/>
              <w:right w:val="nil"/>
            </w:tcBorders>
            <w:shd w:val="clear" w:color="000000" w:fill="BFBFBF"/>
            <w:noWrap/>
            <w:textDirection w:val="lrTb"/>
            <w:vAlign w:val="center"/>
            <w:hideMark/>
          </w:tcPr>
          <w:p w:rsidR="0009512E" w:rsidRPr="002F4E14" w:rsidP="007F602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Sankcie daní</w:t>
            </w:r>
          </w:p>
        </w:tc>
        <w:tc>
          <w:tcPr>
            <w:tcW w:w="1054" w:type="dxa"/>
            <w:tcBorders>
              <w:top w:val="nil"/>
              <w:left w:val="nil"/>
              <w:bottom w:val="single" w:sz="4" w:space="0" w:color="auto"/>
              <w:right w:val="nil"/>
            </w:tcBorders>
            <w:shd w:val="clear" w:color="000000" w:fill="BFBFBF"/>
            <w:noWrap/>
            <w:textDirection w:val="lrTb"/>
            <w:vAlign w:val="center"/>
            <w:hideMark/>
          </w:tcPr>
          <w:p w:rsidR="0009512E" w:rsidRPr="002F4E14" w:rsidP="007F602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2% z daní</w:t>
            </w:r>
          </w:p>
        </w:tc>
        <w:tc>
          <w:tcPr>
            <w:tcW w:w="796" w:type="dxa"/>
            <w:tcBorders>
              <w:top w:val="nil"/>
              <w:left w:val="nil"/>
              <w:bottom w:val="single" w:sz="4" w:space="0" w:color="auto"/>
              <w:right w:val="nil"/>
            </w:tcBorders>
            <w:shd w:val="clear" w:color="000000" w:fill="BFBFBF"/>
            <w:noWrap/>
            <w:textDirection w:val="lrTb"/>
            <w:vAlign w:val="center"/>
            <w:hideMark/>
          </w:tcPr>
          <w:p w:rsidR="0009512E" w:rsidRPr="002F4E14" w:rsidP="007F602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Spolu</w:t>
            </w:r>
          </w:p>
        </w:tc>
        <w:tc>
          <w:tcPr>
            <w:tcW w:w="1161" w:type="dxa"/>
            <w:tcBorders>
              <w:top w:val="nil"/>
              <w:left w:val="nil"/>
              <w:bottom w:val="single" w:sz="4" w:space="0" w:color="auto"/>
              <w:right w:val="nil"/>
            </w:tcBorders>
            <w:shd w:val="clear" w:color="000000" w:fill="BFBFBF"/>
            <w:noWrap/>
            <w:textDirection w:val="lrTb"/>
            <w:vAlign w:val="center"/>
            <w:hideMark/>
          </w:tcPr>
          <w:p w:rsidR="0009512E" w:rsidRPr="002F4E14" w:rsidP="007F602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 HDP</w:t>
            </w:r>
          </w:p>
        </w:tc>
      </w:tr>
      <w:tr>
        <w:tblPrEx>
          <w:tblW w:w="9081" w:type="dxa"/>
          <w:jc w:val="center"/>
          <w:tblInd w:w="55" w:type="dxa"/>
          <w:tblCellMar>
            <w:left w:w="70" w:type="dxa"/>
            <w:right w:w="70" w:type="dxa"/>
          </w:tblCellMar>
          <w:tblLook w:val="04A0"/>
        </w:tblPrEx>
        <w:trPr>
          <w:trHeight w:val="273"/>
          <w:jc w:val="center"/>
        </w:trPr>
        <w:tc>
          <w:tcPr>
            <w:tcW w:w="3100" w:type="dxa"/>
            <w:tcBorders>
              <w:top w:val="nil"/>
              <w:left w:val="nil"/>
              <w:bottom w:val="nil"/>
              <w:right w:val="nil"/>
            </w:tcBorders>
            <w:noWrap/>
            <w:textDirection w:val="lrTb"/>
            <w:vAlign w:val="center"/>
            <w:hideMark/>
          </w:tcPr>
          <w:p w:rsidR="0009512E" w:rsidRPr="002F4E14" w:rsidP="007F6023">
            <w:pPr>
              <w:bidi w:val="0"/>
              <w:spacing w:after="0" w:line="240" w:lineRule="auto"/>
              <w:rPr>
                <w:rFonts w:ascii="Arial Narrow" w:hAnsi="Arial Narrow" w:cs="Times New Roman"/>
                <w:b/>
                <w:bCs/>
                <w:color w:val="000000"/>
                <w:sz w:val="18"/>
                <w:szCs w:val="18"/>
              </w:rPr>
            </w:pPr>
            <w:r w:rsidRPr="002F4E14">
              <w:rPr>
                <w:rFonts w:ascii="Arial Narrow" w:hAnsi="Arial Narrow" w:cs="Times New Roman"/>
                <w:b/>
                <w:bCs/>
                <w:color w:val="000000"/>
                <w:sz w:val="18"/>
                <w:szCs w:val="18"/>
              </w:rPr>
              <w:t>Verejná správa</w:t>
            </w:r>
          </w:p>
        </w:tc>
        <w:tc>
          <w:tcPr>
            <w:tcW w:w="1571"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5 620</w:t>
            </w:r>
          </w:p>
        </w:tc>
        <w:tc>
          <w:tcPr>
            <w:tcW w:w="1399"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-4 232</w:t>
            </w:r>
          </w:p>
        </w:tc>
        <w:tc>
          <w:tcPr>
            <w:tcW w:w="1054"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-5 426</w:t>
            </w:r>
          </w:p>
        </w:tc>
        <w:tc>
          <w:tcPr>
            <w:tcW w:w="796"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-4 038</w:t>
            </w:r>
          </w:p>
        </w:tc>
        <w:tc>
          <w:tcPr>
            <w:tcW w:w="1161"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-0,0</w:t>
            </w:r>
          </w:p>
        </w:tc>
      </w:tr>
      <w:tr>
        <w:tblPrEx>
          <w:tblW w:w="9081" w:type="dxa"/>
          <w:jc w:val="center"/>
          <w:tblInd w:w="55" w:type="dxa"/>
          <w:tblCellMar>
            <w:left w:w="70" w:type="dxa"/>
            <w:right w:w="70" w:type="dxa"/>
          </w:tblCellMar>
          <w:tblLook w:val="04A0"/>
        </w:tblPrEx>
        <w:trPr>
          <w:trHeight w:val="273"/>
          <w:jc w:val="center"/>
        </w:trPr>
        <w:tc>
          <w:tcPr>
            <w:tcW w:w="3100" w:type="dxa"/>
            <w:tcBorders>
              <w:top w:val="nil"/>
              <w:left w:val="nil"/>
              <w:bottom w:val="nil"/>
              <w:right w:val="nil"/>
            </w:tcBorders>
            <w:noWrap/>
            <w:textDirection w:val="lrTb"/>
            <w:vAlign w:val="center"/>
            <w:hideMark/>
          </w:tcPr>
          <w:p w:rsidR="0009512E" w:rsidRPr="002F4E14" w:rsidP="007F6023">
            <w:pPr>
              <w:bidi w:val="0"/>
              <w:spacing w:after="0" w:line="240" w:lineRule="auto"/>
              <w:ind w:firstLine="180" w:firstLineChars="100"/>
              <w:rPr>
                <w:rFonts w:ascii="Arial Narrow" w:hAnsi="Arial Narrow" w:cs="Times New Roman"/>
                <w:color w:val="000000"/>
                <w:sz w:val="18"/>
                <w:szCs w:val="18"/>
              </w:rPr>
            </w:pPr>
            <w:r w:rsidRPr="002F4E14">
              <w:rPr>
                <w:rFonts w:ascii="Arial Narrow" w:hAnsi="Arial Narrow" w:cs="Times New Roman"/>
                <w:color w:val="000000"/>
                <w:sz w:val="18"/>
                <w:szCs w:val="18"/>
              </w:rPr>
              <w:t>- Štátny rozpočet</w:t>
            </w:r>
          </w:p>
        </w:tc>
        <w:tc>
          <w:tcPr>
            <w:tcW w:w="1571"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55 933</w:t>
            </w:r>
          </w:p>
        </w:tc>
        <w:tc>
          <w:tcPr>
            <w:tcW w:w="1399"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-3 082</w:t>
            </w:r>
          </w:p>
        </w:tc>
        <w:tc>
          <w:tcPr>
            <w:tcW w:w="1054"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-5 426</w:t>
            </w:r>
          </w:p>
        </w:tc>
        <w:tc>
          <w:tcPr>
            <w:tcW w:w="796"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47 425</w:t>
            </w:r>
          </w:p>
        </w:tc>
        <w:tc>
          <w:tcPr>
            <w:tcW w:w="1161"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0,1</w:t>
            </w:r>
          </w:p>
        </w:tc>
      </w:tr>
      <w:tr>
        <w:tblPrEx>
          <w:tblW w:w="9081" w:type="dxa"/>
          <w:jc w:val="center"/>
          <w:tblInd w:w="55" w:type="dxa"/>
          <w:tblCellMar>
            <w:left w:w="70" w:type="dxa"/>
            <w:right w:w="70" w:type="dxa"/>
          </w:tblCellMar>
          <w:tblLook w:val="04A0"/>
        </w:tblPrEx>
        <w:trPr>
          <w:trHeight w:val="273"/>
          <w:jc w:val="center"/>
        </w:trPr>
        <w:tc>
          <w:tcPr>
            <w:tcW w:w="3100" w:type="dxa"/>
            <w:tcBorders>
              <w:top w:val="nil"/>
              <w:left w:val="nil"/>
              <w:bottom w:val="nil"/>
              <w:right w:val="nil"/>
            </w:tcBorders>
            <w:noWrap/>
            <w:textDirection w:val="lrTb"/>
            <w:vAlign w:val="center"/>
            <w:hideMark/>
          </w:tcPr>
          <w:p w:rsidR="0009512E" w:rsidRPr="002F4E14" w:rsidP="007F6023">
            <w:pPr>
              <w:bidi w:val="0"/>
              <w:spacing w:after="0" w:line="240" w:lineRule="auto"/>
              <w:ind w:firstLine="180" w:firstLineChars="100"/>
              <w:rPr>
                <w:rFonts w:ascii="Arial Narrow" w:hAnsi="Arial Narrow" w:cs="Times New Roman"/>
                <w:color w:val="000000"/>
                <w:sz w:val="18"/>
                <w:szCs w:val="18"/>
              </w:rPr>
            </w:pPr>
            <w:r w:rsidRPr="002F4E14">
              <w:rPr>
                <w:rFonts w:ascii="Arial Narrow" w:hAnsi="Arial Narrow" w:cs="Times New Roman"/>
                <w:color w:val="000000"/>
                <w:sz w:val="18"/>
                <w:szCs w:val="18"/>
              </w:rPr>
              <w:t>- Obce</w:t>
            </w:r>
          </w:p>
        </w:tc>
        <w:tc>
          <w:tcPr>
            <w:tcW w:w="1571"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-36 686</w:t>
            </w:r>
          </w:p>
        </w:tc>
        <w:tc>
          <w:tcPr>
            <w:tcW w:w="1399"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-903</w:t>
            </w:r>
          </w:p>
        </w:tc>
        <w:tc>
          <w:tcPr>
            <w:tcW w:w="1054"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w:t>
            </w:r>
          </w:p>
        </w:tc>
        <w:tc>
          <w:tcPr>
            <w:tcW w:w="796"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-37 589</w:t>
            </w:r>
          </w:p>
        </w:tc>
        <w:tc>
          <w:tcPr>
            <w:tcW w:w="1161"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-0,1</w:t>
            </w:r>
          </w:p>
        </w:tc>
      </w:tr>
      <w:tr>
        <w:tblPrEx>
          <w:tblW w:w="9081" w:type="dxa"/>
          <w:jc w:val="center"/>
          <w:tblInd w:w="55" w:type="dxa"/>
          <w:tblCellMar>
            <w:left w:w="70" w:type="dxa"/>
            <w:right w:w="70" w:type="dxa"/>
          </w:tblCellMar>
          <w:tblLook w:val="04A0"/>
        </w:tblPrEx>
        <w:trPr>
          <w:trHeight w:val="273"/>
          <w:jc w:val="center"/>
        </w:trPr>
        <w:tc>
          <w:tcPr>
            <w:tcW w:w="3100" w:type="dxa"/>
            <w:tcBorders>
              <w:top w:val="nil"/>
              <w:left w:val="nil"/>
              <w:bottom w:val="nil"/>
              <w:right w:val="nil"/>
            </w:tcBorders>
            <w:noWrap/>
            <w:textDirection w:val="lrTb"/>
            <w:vAlign w:val="center"/>
            <w:hideMark/>
          </w:tcPr>
          <w:p w:rsidR="0009512E" w:rsidRPr="002F4E14" w:rsidP="007F6023">
            <w:pPr>
              <w:bidi w:val="0"/>
              <w:spacing w:after="0" w:line="240" w:lineRule="auto"/>
              <w:ind w:firstLine="180" w:firstLineChars="100"/>
              <w:rPr>
                <w:rFonts w:ascii="Arial Narrow" w:hAnsi="Arial Narrow" w:cs="Times New Roman"/>
                <w:color w:val="000000"/>
                <w:sz w:val="18"/>
                <w:szCs w:val="18"/>
              </w:rPr>
            </w:pPr>
            <w:r w:rsidRPr="002F4E14">
              <w:rPr>
                <w:rFonts w:ascii="Arial Narrow" w:hAnsi="Arial Narrow" w:cs="Times New Roman"/>
                <w:color w:val="000000"/>
                <w:sz w:val="18"/>
                <w:szCs w:val="18"/>
              </w:rPr>
              <w:t>- VÚC</w:t>
            </w:r>
          </w:p>
        </w:tc>
        <w:tc>
          <w:tcPr>
            <w:tcW w:w="1571"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-10 329</w:t>
            </w:r>
          </w:p>
        </w:tc>
        <w:tc>
          <w:tcPr>
            <w:tcW w:w="1399"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-247</w:t>
            </w:r>
          </w:p>
        </w:tc>
        <w:tc>
          <w:tcPr>
            <w:tcW w:w="1054"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w:t>
            </w:r>
          </w:p>
        </w:tc>
        <w:tc>
          <w:tcPr>
            <w:tcW w:w="796"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-10 576</w:t>
            </w:r>
          </w:p>
        </w:tc>
        <w:tc>
          <w:tcPr>
            <w:tcW w:w="1161"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-0,0</w:t>
            </w:r>
          </w:p>
        </w:tc>
      </w:tr>
      <w:tr>
        <w:tblPrEx>
          <w:tblW w:w="9081" w:type="dxa"/>
          <w:jc w:val="center"/>
          <w:tblInd w:w="55" w:type="dxa"/>
          <w:tblCellMar>
            <w:left w:w="70" w:type="dxa"/>
            <w:right w:w="70" w:type="dxa"/>
          </w:tblCellMar>
          <w:tblLook w:val="04A0"/>
        </w:tblPrEx>
        <w:trPr>
          <w:trHeight w:val="273"/>
          <w:jc w:val="center"/>
        </w:trPr>
        <w:tc>
          <w:tcPr>
            <w:tcW w:w="3100" w:type="dxa"/>
            <w:tcBorders>
              <w:top w:val="nil"/>
              <w:left w:val="nil"/>
              <w:bottom w:val="nil"/>
              <w:right w:val="nil"/>
            </w:tcBorders>
            <w:noWrap/>
            <w:textDirection w:val="lrTb"/>
            <w:vAlign w:val="center"/>
            <w:hideMark/>
          </w:tcPr>
          <w:p w:rsidR="0009512E" w:rsidRPr="002F4E14" w:rsidP="007F6023">
            <w:pPr>
              <w:bidi w:val="0"/>
              <w:spacing w:after="0" w:line="240" w:lineRule="auto"/>
              <w:ind w:firstLine="180" w:firstLineChars="100"/>
              <w:rPr>
                <w:rFonts w:ascii="Arial Narrow" w:hAnsi="Arial Narrow" w:cs="Times New Roman"/>
                <w:color w:val="000000"/>
                <w:sz w:val="18"/>
                <w:szCs w:val="18"/>
              </w:rPr>
            </w:pPr>
            <w:r w:rsidRPr="002F4E14">
              <w:rPr>
                <w:rFonts w:ascii="Arial Narrow" w:hAnsi="Arial Narrow" w:cs="Times New Roman"/>
                <w:color w:val="000000"/>
                <w:sz w:val="18"/>
                <w:szCs w:val="18"/>
              </w:rPr>
              <w:t>- Sociálna poisťovňa (I. pilier)</w:t>
            </w:r>
          </w:p>
        </w:tc>
        <w:tc>
          <w:tcPr>
            <w:tcW w:w="1571"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-43 610</w:t>
            </w:r>
          </w:p>
        </w:tc>
        <w:tc>
          <w:tcPr>
            <w:tcW w:w="1399"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w:t>
            </w:r>
          </w:p>
        </w:tc>
        <w:tc>
          <w:tcPr>
            <w:tcW w:w="1054"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w:t>
            </w:r>
          </w:p>
        </w:tc>
        <w:tc>
          <w:tcPr>
            <w:tcW w:w="796"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-43 610</w:t>
            </w:r>
          </w:p>
        </w:tc>
        <w:tc>
          <w:tcPr>
            <w:tcW w:w="1161"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-0,1</w:t>
            </w:r>
          </w:p>
        </w:tc>
      </w:tr>
      <w:tr>
        <w:tblPrEx>
          <w:tblW w:w="9081" w:type="dxa"/>
          <w:jc w:val="center"/>
          <w:tblInd w:w="55" w:type="dxa"/>
          <w:tblCellMar>
            <w:left w:w="70" w:type="dxa"/>
            <w:right w:w="70" w:type="dxa"/>
          </w:tblCellMar>
          <w:tblLook w:val="04A0"/>
        </w:tblPrEx>
        <w:trPr>
          <w:trHeight w:val="273"/>
          <w:jc w:val="center"/>
        </w:trPr>
        <w:tc>
          <w:tcPr>
            <w:tcW w:w="3100" w:type="dxa"/>
            <w:tcBorders>
              <w:top w:val="nil"/>
              <w:left w:val="nil"/>
              <w:bottom w:val="nil"/>
              <w:right w:val="nil"/>
            </w:tcBorders>
            <w:noWrap/>
            <w:textDirection w:val="lrTb"/>
            <w:vAlign w:val="center"/>
            <w:hideMark/>
          </w:tcPr>
          <w:p w:rsidR="0009512E" w:rsidRPr="002F4E14" w:rsidP="007F6023">
            <w:pPr>
              <w:bidi w:val="0"/>
              <w:spacing w:after="0" w:line="240" w:lineRule="auto"/>
              <w:ind w:firstLine="180" w:firstLineChars="100"/>
              <w:rPr>
                <w:rFonts w:ascii="Arial Narrow" w:hAnsi="Arial Narrow" w:cs="Times New Roman"/>
                <w:color w:val="000000"/>
                <w:sz w:val="18"/>
                <w:szCs w:val="18"/>
              </w:rPr>
            </w:pPr>
            <w:r w:rsidRPr="002F4E14">
              <w:rPr>
                <w:rFonts w:ascii="Arial Narrow" w:hAnsi="Arial Narrow" w:cs="Times New Roman"/>
                <w:color w:val="000000"/>
                <w:sz w:val="18"/>
                <w:szCs w:val="18"/>
              </w:rPr>
              <w:t>- Zdravotné poisťovne</w:t>
            </w:r>
          </w:p>
        </w:tc>
        <w:tc>
          <w:tcPr>
            <w:tcW w:w="1571"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40 181</w:t>
            </w:r>
          </w:p>
        </w:tc>
        <w:tc>
          <w:tcPr>
            <w:tcW w:w="1399"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w:t>
            </w:r>
          </w:p>
        </w:tc>
        <w:tc>
          <w:tcPr>
            <w:tcW w:w="1054"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w:t>
            </w:r>
          </w:p>
        </w:tc>
        <w:tc>
          <w:tcPr>
            <w:tcW w:w="796"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40 181</w:t>
            </w:r>
          </w:p>
        </w:tc>
        <w:tc>
          <w:tcPr>
            <w:tcW w:w="1161"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0,1</w:t>
            </w:r>
          </w:p>
        </w:tc>
      </w:tr>
      <w:tr>
        <w:tblPrEx>
          <w:tblW w:w="9081" w:type="dxa"/>
          <w:jc w:val="center"/>
          <w:tblInd w:w="55" w:type="dxa"/>
          <w:tblCellMar>
            <w:left w:w="70" w:type="dxa"/>
            <w:right w:w="70" w:type="dxa"/>
          </w:tblCellMar>
          <w:tblLook w:val="04A0"/>
        </w:tblPrEx>
        <w:trPr>
          <w:trHeight w:val="273"/>
          <w:jc w:val="center"/>
        </w:trPr>
        <w:tc>
          <w:tcPr>
            <w:tcW w:w="3100" w:type="dxa"/>
            <w:tcBorders>
              <w:top w:val="nil"/>
              <w:left w:val="nil"/>
              <w:bottom w:val="nil"/>
              <w:right w:val="nil"/>
            </w:tcBorders>
            <w:noWrap/>
            <w:textDirection w:val="lrTb"/>
            <w:vAlign w:val="center"/>
            <w:hideMark/>
          </w:tcPr>
          <w:p w:rsidR="0009512E" w:rsidRPr="002F4E14" w:rsidP="007F6023">
            <w:pPr>
              <w:bidi w:val="0"/>
              <w:spacing w:after="0" w:line="240" w:lineRule="auto"/>
              <w:ind w:firstLine="180" w:firstLineChars="100"/>
              <w:rPr>
                <w:rFonts w:ascii="Arial Narrow" w:hAnsi="Arial Narrow" w:cs="Times New Roman"/>
                <w:color w:val="000000"/>
                <w:sz w:val="18"/>
                <w:szCs w:val="18"/>
              </w:rPr>
            </w:pPr>
            <w:r w:rsidRPr="002F4E14">
              <w:rPr>
                <w:rFonts w:ascii="Arial Narrow" w:hAnsi="Arial Narrow" w:cs="Times New Roman"/>
                <w:color w:val="000000"/>
                <w:sz w:val="18"/>
                <w:szCs w:val="18"/>
              </w:rPr>
              <w:t>- RTVS</w:t>
            </w:r>
          </w:p>
        </w:tc>
        <w:tc>
          <w:tcPr>
            <w:tcW w:w="1571"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0</w:t>
            </w:r>
          </w:p>
        </w:tc>
        <w:tc>
          <w:tcPr>
            <w:tcW w:w="1399"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w:t>
            </w:r>
          </w:p>
        </w:tc>
        <w:tc>
          <w:tcPr>
            <w:tcW w:w="1054"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w:t>
            </w:r>
          </w:p>
        </w:tc>
        <w:tc>
          <w:tcPr>
            <w:tcW w:w="796"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0</w:t>
            </w:r>
          </w:p>
        </w:tc>
        <w:tc>
          <w:tcPr>
            <w:tcW w:w="1161" w:type="dxa"/>
            <w:tcBorders>
              <w:top w:val="nil"/>
              <w:left w:val="nil"/>
              <w:bottom w:val="nil"/>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-0,0</w:t>
            </w:r>
          </w:p>
        </w:tc>
      </w:tr>
      <w:tr>
        <w:tblPrEx>
          <w:tblW w:w="9081" w:type="dxa"/>
          <w:jc w:val="center"/>
          <w:tblInd w:w="55" w:type="dxa"/>
          <w:tblCellMar>
            <w:left w:w="70" w:type="dxa"/>
            <w:right w:w="70" w:type="dxa"/>
          </w:tblCellMar>
          <w:tblLook w:val="04A0"/>
        </w:tblPrEx>
        <w:trPr>
          <w:trHeight w:val="273"/>
          <w:jc w:val="center"/>
        </w:trPr>
        <w:tc>
          <w:tcPr>
            <w:tcW w:w="3100" w:type="dxa"/>
            <w:tcBorders>
              <w:top w:val="nil"/>
              <w:left w:val="nil"/>
              <w:bottom w:val="single" w:sz="4" w:space="0" w:color="auto"/>
              <w:right w:val="nil"/>
            </w:tcBorders>
            <w:noWrap/>
            <w:textDirection w:val="lrTb"/>
            <w:vAlign w:val="center"/>
            <w:hideMark/>
          </w:tcPr>
          <w:p w:rsidR="0009512E" w:rsidRPr="002F4E14" w:rsidP="007F6023">
            <w:pPr>
              <w:bidi w:val="0"/>
              <w:spacing w:after="0" w:line="240" w:lineRule="auto"/>
              <w:ind w:firstLine="180" w:firstLineChars="100"/>
              <w:rPr>
                <w:rFonts w:ascii="Arial Narrow" w:hAnsi="Arial Narrow" w:cs="Times New Roman"/>
                <w:color w:val="000000"/>
                <w:sz w:val="18"/>
                <w:szCs w:val="18"/>
              </w:rPr>
            </w:pPr>
            <w:r w:rsidRPr="002F4E14">
              <w:rPr>
                <w:rFonts w:ascii="Arial Narrow" w:hAnsi="Arial Narrow" w:cs="Times New Roman"/>
                <w:color w:val="000000"/>
                <w:sz w:val="18"/>
                <w:szCs w:val="18"/>
              </w:rPr>
              <w:t>- Environmentálny fond</w:t>
            </w:r>
          </w:p>
        </w:tc>
        <w:tc>
          <w:tcPr>
            <w:tcW w:w="1571" w:type="dxa"/>
            <w:tcBorders>
              <w:top w:val="nil"/>
              <w:left w:val="nil"/>
              <w:bottom w:val="single" w:sz="4" w:space="0" w:color="auto"/>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131</w:t>
            </w:r>
          </w:p>
        </w:tc>
        <w:tc>
          <w:tcPr>
            <w:tcW w:w="1399" w:type="dxa"/>
            <w:tcBorders>
              <w:top w:val="nil"/>
              <w:left w:val="nil"/>
              <w:bottom w:val="single" w:sz="4" w:space="0" w:color="auto"/>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w:t>
            </w:r>
          </w:p>
        </w:tc>
        <w:tc>
          <w:tcPr>
            <w:tcW w:w="1054" w:type="dxa"/>
            <w:tcBorders>
              <w:top w:val="nil"/>
              <w:left w:val="nil"/>
              <w:bottom w:val="single" w:sz="4" w:space="0" w:color="auto"/>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w:t>
            </w:r>
          </w:p>
        </w:tc>
        <w:tc>
          <w:tcPr>
            <w:tcW w:w="796" w:type="dxa"/>
            <w:tcBorders>
              <w:top w:val="nil"/>
              <w:left w:val="nil"/>
              <w:bottom w:val="single" w:sz="4" w:space="0" w:color="auto"/>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color w:val="000000"/>
                <w:sz w:val="18"/>
                <w:szCs w:val="18"/>
              </w:rPr>
            </w:pPr>
            <w:r w:rsidRPr="002F4E14">
              <w:rPr>
                <w:rFonts w:ascii="Arial Narrow" w:hAnsi="Arial Narrow" w:cs="Times New Roman"/>
                <w:color w:val="000000"/>
                <w:sz w:val="18"/>
                <w:szCs w:val="18"/>
              </w:rPr>
              <w:t>131</w:t>
            </w:r>
          </w:p>
        </w:tc>
        <w:tc>
          <w:tcPr>
            <w:tcW w:w="1161" w:type="dxa"/>
            <w:tcBorders>
              <w:top w:val="nil"/>
              <w:left w:val="nil"/>
              <w:bottom w:val="single" w:sz="4" w:space="0" w:color="auto"/>
              <w:right w:val="nil"/>
            </w:tcBorders>
            <w:noWrap/>
            <w:textDirection w:val="lrTb"/>
            <w:vAlign w:val="center"/>
            <w:hideMark/>
          </w:tcPr>
          <w:p w:rsidR="0009512E" w:rsidRPr="002F4E14" w:rsidP="007F6023">
            <w:pPr>
              <w:bidi w:val="0"/>
              <w:spacing w:after="0" w:line="240" w:lineRule="auto"/>
              <w:jc w:val="center"/>
              <w:rPr>
                <w:rFonts w:ascii="Arial Narrow" w:hAnsi="Arial Narrow" w:cs="Times New Roman"/>
                <w:b/>
                <w:bCs/>
                <w:color w:val="000000"/>
                <w:sz w:val="18"/>
                <w:szCs w:val="18"/>
              </w:rPr>
            </w:pPr>
            <w:r w:rsidRPr="002F4E14">
              <w:rPr>
                <w:rFonts w:ascii="Arial Narrow" w:hAnsi="Arial Narrow" w:cs="Times New Roman"/>
                <w:b/>
                <w:bCs/>
                <w:color w:val="000000"/>
                <w:sz w:val="18"/>
                <w:szCs w:val="18"/>
              </w:rPr>
              <w:t>0,0</w:t>
            </w:r>
          </w:p>
        </w:tc>
      </w:tr>
      <w:tr>
        <w:tblPrEx>
          <w:tblW w:w="9081" w:type="dxa"/>
          <w:jc w:val="center"/>
          <w:tblInd w:w="55" w:type="dxa"/>
          <w:tblCellMar>
            <w:left w:w="70" w:type="dxa"/>
            <w:right w:w="70" w:type="dxa"/>
          </w:tblCellMar>
          <w:tblLook w:val="04A0"/>
        </w:tblPrEx>
        <w:trPr>
          <w:trHeight w:val="273"/>
          <w:jc w:val="center"/>
        </w:trPr>
        <w:tc>
          <w:tcPr>
            <w:tcW w:w="4671" w:type="dxa"/>
            <w:gridSpan w:val="2"/>
            <w:tcBorders>
              <w:top w:val="nil"/>
              <w:left w:val="nil"/>
              <w:bottom w:val="nil"/>
              <w:right w:val="nil"/>
            </w:tcBorders>
            <w:noWrap/>
            <w:textDirection w:val="lrTb"/>
            <w:vAlign w:val="bottom"/>
            <w:hideMark/>
          </w:tcPr>
          <w:p w:rsidR="0009512E" w:rsidRPr="002F4E14" w:rsidP="009C51D3">
            <w:pPr>
              <w:bidi w:val="0"/>
              <w:spacing w:after="0" w:line="240" w:lineRule="auto"/>
              <w:ind w:firstLine="160" w:firstLineChars="100"/>
              <w:rPr>
                <w:rFonts w:ascii="Arial Narrow" w:hAnsi="Arial Narrow" w:cs="Times New Roman"/>
                <w:i/>
                <w:iCs/>
                <w:color w:val="000000"/>
                <w:sz w:val="16"/>
                <w:szCs w:val="16"/>
              </w:rPr>
            </w:pPr>
            <w:r w:rsidRPr="002F4E14">
              <w:rPr>
                <w:rFonts w:ascii="Arial Narrow" w:hAnsi="Arial Narrow" w:cs="Times New Roman"/>
                <w:i/>
                <w:iCs/>
                <w:color w:val="000000"/>
                <w:sz w:val="16"/>
                <w:szCs w:val="16"/>
              </w:rPr>
              <w:t>Pozn.: (+) znamená pozitívny, (-) negatívny vplyv na saldo VS</w:t>
            </w:r>
          </w:p>
        </w:tc>
        <w:tc>
          <w:tcPr>
            <w:tcW w:w="1399" w:type="dxa"/>
            <w:tcBorders>
              <w:top w:val="nil"/>
              <w:left w:val="nil"/>
              <w:bottom w:val="nil"/>
              <w:right w:val="nil"/>
            </w:tcBorders>
            <w:noWrap/>
            <w:textDirection w:val="lrTb"/>
            <w:vAlign w:val="bottom"/>
            <w:hideMark/>
          </w:tcPr>
          <w:p w:rsidR="0009512E" w:rsidRPr="002F4E14" w:rsidP="009C51D3">
            <w:pPr>
              <w:bidi w:val="0"/>
              <w:spacing w:after="0" w:line="240" w:lineRule="auto"/>
              <w:rPr>
                <w:rFonts w:ascii="Arial Narrow" w:hAnsi="Arial Narrow" w:cs="Times New Roman"/>
                <w:color w:val="000000"/>
                <w:sz w:val="18"/>
                <w:szCs w:val="18"/>
              </w:rPr>
            </w:pPr>
          </w:p>
        </w:tc>
        <w:tc>
          <w:tcPr>
            <w:tcW w:w="1054" w:type="dxa"/>
            <w:tcBorders>
              <w:top w:val="nil"/>
              <w:left w:val="nil"/>
              <w:bottom w:val="nil"/>
              <w:right w:val="nil"/>
            </w:tcBorders>
            <w:noWrap/>
            <w:textDirection w:val="lrTb"/>
            <w:vAlign w:val="bottom"/>
            <w:hideMark/>
          </w:tcPr>
          <w:p w:rsidR="0009512E" w:rsidRPr="002F4E14" w:rsidP="009C51D3">
            <w:pPr>
              <w:bidi w:val="0"/>
              <w:spacing w:after="0" w:line="240" w:lineRule="auto"/>
              <w:rPr>
                <w:rFonts w:ascii="Arial Narrow" w:hAnsi="Arial Narrow" w:cs="Times New Roman"/>
                <w:color w:val="000000"/>
                <w:sz w:val="18"/>
                <w:szCs w:val="18"/>
              </w:rPr>
            </w:pPr>
          </w:p>
        </w:tc>
        <w:tc>
          <w:tcPr>
            <w:tcW w:w="796" w:type="dxa"/>
            <w:tcBorders>
              <w:top w:val="nil"/>
              <w:left w:val="nil"/>
              <w:bottom w:val="nil"/>
              <w:right w:val="nil"/>
            </w:tcBorders>
            <w:noWrap/>
            <w:textDirection w:val="lrTb"/>
            <w:vAlign w:val="bottom"/>
            <w:hideMark/>
          </w:tcPr>
          <w:p w:rsidR="0009512E" w:rsidRPr="002F4E14" w:rsidP="009C51D3">
            <w:pPr>
              <w:bidi w:val="0"/>
              <w:spacing w:after="0" w:line="240" w:lineRule="auto"/>
              <w:rPr>
                <w:rFonts w:ascii="Arial Narrow" w:hAnsi="Arial Narrow" w:cs="Times New Roman"/>
                <w:color w:val="000000"/>
                <w:sz w:val="18"/>
                <w:szCs w:val="18"/>
              </w:rPr>
            </w:pPr>
          </w:p>
        </w:tc>
        <w:tc>
          <w:tcPr>
            <w:tcW w:w="1161" w:type="dxa"/>
            <w:tcBorders>
              <w:top w:val="nil"/>
              <w:left w:val="nil"/>
              <w:bottom w:val="nil"/>
              <w:right w:val="nil"/>
            </w:tcBorders>
            <w:noWrap/>
            <w:textDirection w:val="lrTb"/>
            <w:vAlign w:val="bottom"/>
            <w:hideMark/>
          </w:tcPr>
          <w:p w:rsidR="0009512E" w:rsidRPr="002F4E14" w:rsidP="009C51D3">
            <w:pPr>
              <w:bidi w:val="0"/>
              <w:spacing w:after="0" w:line="240" w:lineRule="auto"/>
              <w:rPr>
                <w:rFonts w:ascii="Arial Narrow" w:hAnsi="Arial Narrow" w:cs="Times New Roman"/>
                <w:i/>
                <w:iCs/>
                <w:color w:val="000000"/>
                <w:sz w:val="16"/>
                <w:szCs w:val="16"/>
              </w:rPr>
            </w:pPr>
            <w:r w:rsidRPr="002F4E14">
              <w:rPr>
                <w:rFonts w:ascii="Arial Narrow" w:hAnsi="Arial Narrow" w:cs="Times New Roman"/>
                <w:i/>
                <w:iCs/>
                <w:color w:val="000000"/>
                <w:sz w:val="16"/>
                <w:szCs w:val="16"/>
              </w:rPr>
              <w:t>Zdroj: MFSR</w:t>
            </w:r>
          </w:p>
        </w:tc>
      </w:tr>
    </w:tbl>
    <w:p w:rsidR="0009512E" w:rsidRPr="00403E79" w:rsidP="0009512E">
      <w:pPr>
        <w:bidi w:val="0"/>
        <w:jc w:val="both"/>
        <w:rPr>
          <w:rFonts w:ascii="Arial Narrow" w:hAnsi="Arial Narrow" w:cs="Arial Narrow"/>
          <w:b/>
          <w:bCs/>
          <w:i/>
          <w:iCs/>
          <w:sz w:val="16"/>
          <w:szCs w:val="16"/>
        </w:rPr>
      </w:pPr>
    </w:p>
    <w:p w:rsidR="0009512E" w:rsidRPr="00403E79" w:rsidP="0009512E">
      <w:pPr>
        <w:bidi w:val="0"/>
        <w:jc w:val="both"/>
        <w:rPr>
          <w:rFonts w:ascii="Arial Narrow" w:hAnsi="Arial Narrow" w:cs="Arial Narrow"/>
          <w:b/>
          <w:bCs/>
          <w:i/>
          <w:iCs/>
        </w:rPr>
      </w:pPr>
    </w:p>
    <w:p w:rsidR="0009512E" w:rsidRPr="00403E79" w:rsidP="0009512E">
      <w:pPr>
        <w:bidi w:val="0"/>
        <w:jc w:val="both"/>
        <w:rPr>
          <w:rFonts w:ascii="Arial Narrow" w:hAnsi="Arial Narrow" w:cs="Arial Narrow"/>
          <w:b/>
          <w:bCs/>
          <w:i/>
          <w:iCs/>
        </w:rPr>
      </w:pPr>
      <w:r w:rsidRPr="00403E79">
        <w:rPr>
          <w:rFonts w:ascii="Arial Narrow" w:hAnsi="Arial Narrow" w:cs="Arial Narrow"/>
          <w:b/>
          <w:bCs/>
          <w:i/>
          <w:iCs/>
        </w:rPr>
        <w:t>Faktory vplývajúce na daňové príjmy v roku 2011</w:t>
      </w:r>
    </w:p>
    <w:p w:rsidR="0009512E" w:rsidRPr="00403E79" w:rsidP="0009512E">
      <w:pPr>
        <w:bidi w:val="0"/>
        <w:jc w:val="both"/>
        <w:rPr>
          <w:rFonts w:ascii="Arial Narrow" w:hAnsi="Arial Narrow" w:cs="Arial Narrow"/>
          <w:b/>
          <w:bCs/>
          <w:sz w:val="16"/>
          <w:szCs w:val="16"/>
        </w:rPr>
      </w:pPr>
    </w:p>
    <w:p w:rsidR="0009512E" w:rsidRPr="00403E79" w:rsidP="0009512E">
      <w:pPr>
        <w:bidi w:val="0"/>
        <w:jc w:val="both"/>
        <w:rPr>
          <w:rFonts w:ascii="Arial Narrow" w:hAnsi="Arial Narrow" w:cs="Arial Narrow"/>
        </w:rPr>
      </w:pPr>
      <w:r w:rsidRPr="00403E79">
        <w:rPr>
          <w:rFonts w:ascii="Arial Narrow" w:hAnsi="Arial Narrow" w:cs="Arial Narrow"/>
        </w:rPr>
        <w:t>Na zníženie odhadu daňových príjmov malo vplyv viacero faktorov, ktoré sú vysvetlené v nasledujúcej časti materiálu. Medzi základné faktory možno zaradiť aktualizáciu skutočného výnosu daní v roku 2010, informácie o aktuálnom plnení daňových príjmov v tomto roku, najmä v spojitosti s makroekonomickým vývojom.</w:t>
      </w:r>
    </w:p>
    <w:p w:rsidR="0009512E" w:rsidRPr="00403E79" w:rsidP="0009512E">
      <w:pPr>
        <w:bidi w:val="0"/>
        <w:jc w:val="both"/>
        <w:rPr>
          <w:rFonts w:ascii="Arial Narrow" w:hAnsi="Arial Narrow" w:cs="Arial Narrow"/>
          <w:sz w:val="16"/>
          <w:szCs w:val="16"/>
          <w:highlight w:val="yellow"/>
        </w:rPr>
      </w:pPr>
    </w:p>
    <w:p w:rsidR="0009512E" w:rsidRPr="00403E79" w:rsidP="0009512E">
      <w:pPr>
        <w:bidi w:val="0"/>
        <w:jc w:val="both"/>
        <w:rPr>
          <w:rFonts w:ascii="Arial Narrow" w:hAnsi="Arial Narrow" w:cs="Arial Narrow"/>
        </w:rPr>
      </w:pPr>
      <w:r w:rsidRPr="00403E79">
        <w:rPr>
          <w:rFonts w:ascii="Arial Narrow" w:hAnsi="Arial Narrow" w:cs="Arial Narrow"/>
        </w:rPr>
        <w:t xml:space="preserve">V porovnaní s rozpočtom verejnej správy na roky 2011 až 2013 došlo </w:t>
      </w:r>
      <w:r w:rsidRPr="00403E79">
        <w:rPr>
          <w:rFonts w:ascii="Arial Narrow" w:hAnsi="Arial Narrow" w:cs="Arial Narrow"/>
          <w:b/>
          <w:bCs/>
        </w:rPr>
        <w:t>k spresneniu skutočného výnosu jednotlivých daní za rok 2010</w:t>
      </w:r>
      <w:r w:rsidRPr="00403E79">
        <w:rPr>
          <w:rFonts w:ascii="Arial Narrow" w:hAnsi="Arial Narrow" w:cs="Arial Narrow"/>
        </w:rPr>
        <w:t>. Keďže príprava rozpočtu na rok 2011 prebiehala počas roka 2010, skutočnosť za rok 2010 ešte nebola známa. V súčasnosti je skutočný výnos daňových príjmov za rok 2010 k dispozícii, v prípade dane z príjmov fyzických osôb z podnikania, dane z príjmov právnických osôb a dane z motorových vozidiel ide stále o odhad</w:t>
      </w:r>
      <w:r>
        <w:rPr>
          <w:rStyle w:val="FootnoteReference"/>
          <w:rFonts w:ascii="Arial Narrow" w:hAnsi="Arial Narrow" w:cs="Arial Narrow"/>
          <w:rtl w:val="0"/>
        </w:rPr>
        <w:footnoteReference w:id="4"/>
      </w:r>
      <w:r w:rsidRPr="00403E79">
        <w:rPr>
          <w:rFonts w:ascii="Arial Narrow" w:hAnsi="Arial Narrow" w:cs="Arial Narrow"/>
        </w:rPr>
        <w:t>. Skutočnosť o daňových príjmoch verejnej správy za rok 2010 má priamy vplyv na odhadovanú výšku daňových príjmov v roku 2011, keďže je východiskovým rokom pre prognózu.</w:t>
      </w:r>
    </w:p>
    <w:p w:rsidR="0009512E" w:rsidRPr="00B35D4D" w:rsidP="0009512E">
      <w:pPr>
        <w:bidi w:val="0"/>
        <w:jc w:val="both"/>
        <w:rPr>
          <w:rFonts w:ascii="Arial Narrow" w:hAnsi="Arial Narrow" w:cs="Arial Narrow"/>
        </w:rPr>
      </w:pPr>
    </w:p>
    <w:tbl>
      <w:tblPr>
        <w:tblStyle w:val="TableNormal"/>
        <w:tblW w:w="9114" w:type="dxa"/>
        <w:jc w:val="center"/>
        <w:tblCellMar>
          <w:left w:w="70" w:type="dxa"/>
          <w:right w:w="70" w:type="dxa"/>
        </w:tblCellMar>
        <w:tblLook w:val="04A0"/>
      </w:tblPr>
      <w:tblGrid>
        <w:gridCol w:w="4316"/>
        <w:gridCol w:w="1295"/>
        <w:gridCol w:w="1073"/>
        <w:gridCol w:w="222"/>
        <w:gridCol w:w="1053"/>
        <w:gridCol w:w="143"/>
        <w:gridCol w:w="1012"/>
      </w:tblGrid>
      <w:tr>
        <w:tblPrEx>
          <w:tblW w:w="9114" w:type="dxa"/>
          <w:jc w:val="center"/>
          <w:tblCellMar>
            <w:left w:w="70" w:type="dxa"/>
            <w:right w:w="70" w:type="dxa"/>
          </w:tblCellMar>
          <w:tblLook w:val="04A0"/>
        </w:tblPrEx>
        <w:trPr>
          <w:trHeight w:val="328"/>
          <w:jc w:val="center"/>
        </w:trPr>
        <w:tc>
          <w:tcPr>
            <w:tcW w:w="9114" w:type="dxa"/>
            <w:gridSpan w:val="7"/>
            <w:tcBorders>
              <w:top w:val="single" w:sz="4" w:space="0" w:color="auto"/>
              <w:left w:val="single" w:sz="4" w:space="0" w:color="auto"/>
              <w:bottom w:val="single" w:sz="4" w:space="0" w:color="auto"/>
              <w:right w:val="single" w:sz="4" w:space="0" w:color="auto"/>
            </w:tcBorders>
            <w:shd w:val="clear" w:color="000000" w:fill="000000"/>
            <w:noWrap/>
            <w:textDirection w:val="lrTb"/>
            <w:vAlign w:val="center"/>
            <w:hideMark/>
          </w:tcPr>
          <w:p w:rsidR="0009512E" w:rsidRPr="00F4176A" w:rsidP="00F4176A">
            <w:pPr>
              <w:bidi w:val="0"/>
              <w:spacing w:after="0" w:line="240" w:lineRule="auto"/>
              <w:rPr>
                <w:rFonts w:ascii="Arial Narrow" w:hAnsi="Arial Narrow" w:cs="Times New Roman"/>
                <w:b/>
                <w:bCs/>
                <w:color w:val="FFFFFF"/>
                <w:sz w:val="20"/>
                <w:szCs w:val="20"/>
              </w:rPr>
            </w:pPr>
            <w:r w:rsidRPr="00F4176A">
              <w:rPr>
                <w:rFonts w:ascii="Arial Narrow" w:hAnsi="Arial Narrow" w:cs="Times New Roman"/>
                <w:b/>
                <w:bCs/>
                <w:color w:val="FFFFFF"/>
                <w:sz w:val="20"/>
                <w:szCs w:val="20"/>
              </w:rPr>
              <w:t xml:space="preserve">Daňové príjmy verejnej správy v roku 2010 (ESA95, tis. </w:t>
            </w:r>
            <w:r w:rsidRPr="00F4176A" w:rsidR="00F4176A">
              <w:rPr>
                <w:rFonts w:ascii="Arial Narrow" w:hAnsi="Arial Narrow" w:cs="Times New Roman"/>
                <w:b/>
                <w:bCs/>
                <w:color w:val="FFFFFF"/>
                <w:sz w:val="20"/>
                <w:szCs w:val="20"/>
              </w:rPr>
              <w:t>e</w:t>
            </w:r>
            <w:r w:rsidRPr="00F4176A">
              <w:rPr>
                <w:rFonts w:ascii="Arial Narrow" w:hAnsi="Arial Narrow" w:cs="Times New Roman"/>
                <w:b/>
                <w:bCs/>
                <w:color w:val="FFFFFF"/>
                <w:sz w:val="20"/>
                <w:szCs w:val="20"/>
              </w:rPr>
              <w:t>ur)</w:t>
            </w:r>
          </w:p>
        </w:tc>
      </w:tr>
      <w:tr>
        <w:tblPrEx>
          <w:tblW w:w="9114" w:type="dxa"/>
          <w:jc w:val="center"/>
          <w:tblCellMar>
            <w:left w:w="70" w:type="dxa"/>
            <w:right w:w="70" w:type="dxa"/>
          </w:tblCellMar>
          <w:tblLook w:val="04A0"/>
        </w:tblPrEx>
        <w:trPr>
          <w:trHeight w:val="552"/>
          <w:jc w:val="center"/>
        </w:trPr>
        <w:tc>
          <w:tcPr>
            <w:tcW w:w="4316" w:type="dxa"/>
            <w:tcBorders>
              <w:top w:val="nil"/>
              <w:left w:val="nil"/>
              <w:bottom w:val="single" w:sz="8" w:space="0" w:color="auto"/>
              <w:right w:val="nil"/>
            </w:tcBorders>
            <w:shd w:val="clear" w:color="000000" w:fill="BFBFBF"/>
            <w:noWrap/>
            <w:textDirection w:val="lrTb"/>
            <w:vAlign w:val="center"/>
            <w:hideMark/>
          </w:tcPr>
          <w:p w:rsidR="0009512E" w:rsidRPr="00904E61" w:rsidP="009C51D3">
            <w:pPr>
              <w:bidi w:val="0"/>
              <w:spacing w:after="0" w:line="240" w:lineRule="auto"/>
              <w:rPr>
                <w:rFonts w:ascii="Arial Narrow" w:hAnsi="Arial Narrow" w:cs="Times New Roman"/>
                <w:color w:val="000000"/>
                <w:sz w:val="18"/>
                <w:szCs w:val="18"/>
              </w:rPr>
            </w:pPr>
            <w:r w:rsidRPr="00904E61">
              <w:rPr>
                <w:rFonts w:ascii="Arial Narrow" w:hAnsi="Arial Narrow" w:cs="Times New Roman"/>
                <w:color w:val="000000"/>
                <w:sz w:val="18"/>
                <w:szCs w:val="18"/>
              </w:rPr>
              <w:t> </w:t>
            </w:r>
          </w:p>
        </w:tc>
        <w:tc>
          <w:tcPr>
            <w:tcW w:w="1295" w:type="dxa"/>
            <w:tcBorders>
              <w:top w:val="nil"/>
              <w:left w:val="nil"/>
              <w:bottom w:val="single" w:sz="8" w:space="0" w:color="auto"/>
              <w:right w:val="nil"/>
            </w:tcBorders>
            <w:shd w:val="clear" w:color="000000" w:fill="BFBFBF"/>
            <w:textDirection w:val="lrTb"/>
            <w:vAlign w:val="center"/>
            <w:hideMark/>
          </w:tcPr>
          <w:p w:rsidR="0009512E" w:rsidRPr="007F6023" w:rsidP="009C51D3">
            <w:pPr>
              <w:bidi w:val="0"/>
              <w:spacing w:after="0" w:line="240" w:lineRule="auto"/>
              <w:jc w:val="center"/>
              <w:rPr>
                <w:rFonts w:ascii="Arial Narrow" w:hAnsi="Arial Narrow" w:cs="Times New Roman"/>
                <w:b/>
                <w:color w:val="000000"/>
                <w:sz w:val="18"/>
                <w:szCs w:val="18"/>
              </w:rPr>
            </w:pPr>
            <w:r w:rsidRPr="007F6023">
              <w:rPr>
                <w:rFonts w:ascii="Arial Narrow" w:hAnsi="Arial Narrow" w:cs="Times New Roman"/>
                <w:b/>
                <w:color w:val="000000"/>
                <w:sz w:val="18"/>
                <w:szCs w:val="18"/>
              </w:rPr>
              <w:t>RVS 2011 - 2013</w:t>
            </w:r>
          </w:p>
        </w:tc>
        <w:tc>
          <w:tcPr>
            <w:tcW w:w="1073" w:type="dxa"/>
            <w:tcBorders>
              <w:top w:val="nil"/>
              <w:left w:val="nil"/>
              <w:bottom w:val="single" w:sz="8" w:space="0" w:color="auto"/>
              <w:right w:val="nil"/>
            </w:tcBorders>
            <w:shd w:val="clear" w:color="000000" w:fill="BFBFBF"/>
            <w:textDirection w:val="lrTb"/>
            <w:vAlign w:val="center"/>
            <w:hideMark/>
          </w:tcPr>
          <w:p w:rsidR="0009512E" w:rsidRPr="007F6023" w:rsidP="0009512E">
            <w:pPr>
              <w:bidi w:val="0"/>
              <w:spacing w:after="0" w:line="240" w:lineRule="auto"/>
              <w:jc w:val="center"/>
              <w:rPr>
                <w:rFonts w:ascii="Arial Narrow" w:hAnsi="Arial Narrow" w:cs="Times New Roman"/>
                <w:b/>
                <w:color w:val="000000"/>
                <w:sz w:val="18"/>
                <w:szCs w:val="18"/>
              </w:rPr>
            </w:pPr>
            <w:r w:rsidRPr="007F6023">
              <w:rPr>
                <w:rFonts w:ascii="Arial Narrow" w:hAnsi="Arial Narrow" w:cs="Times New Roman"/>
                <w:b/>
                <w:color w:val="000000"/>
                <w:sz w:val="18"/>
                <w:szCs w:val="18"/>
              </w:rPr>
              <w:t xml:space="preserve">Aktuálny odhad </w:t>
            </w:r>
          </w:p>
        </w:tc>
        <w:tc>
          <w:tcPr>
            <w:tcW w:w="1275" w:type="dxa"/>
            <w:gridSpan w:val="2"/>
            <w:tcBorders>
              <w:top w:val="nil"/>
              <w:left w:val="nil"/>
              <w:bottom w:val="single" w:sz="8" w:space="0" w:color="auto"/>
              <w:right w:val="nil"/>
            </w:tcBorders>
            <w:shd w:val="clear" w:color="000000" w:fill="BFBFBF"/>
            <w:textDirection w:val="lrTb"/>
            <w:vAlign w:val="center"/>
            <w:hideMark/>
          </w:tcPr>
          <w:p w:rsidR="0009512E" w:rsidRPr="007F6023" w:rsidP="009C51D3">
            <w:pPr>
              <w:bidi w:val="0"/>
              <w:spacing w:after="0" w:line="240" w:lineRule="auto"/>
              <w:jc w:val="center"/>
              <w:rPr>
                <w:rFonts w:ascii="Arial Narrow" w:hAnsi="Arial Narrow" w:cs="Times New Roman"/>
                <w:b/>
                <w:color w:val="000000"/>
                <w:sz w:val="18"/>
                <w:szCs w:val="18"/>
              </w:rPr>
            </w:pPr>
            <w:r w:rsidRPr="007F6023">
              <w:rPr>
                <w:rFonts w:ascii="Arial Narrow" w:hAnsi="Arial Narrow" w:cs="Times New Roman"/>
                <w:b/>
                <w:color w:val="000000"/>
                <w:sz w:val="18"/>
                <w:szCs w:val="18"/>
              </w:rPr>
              <w:t>Rozdiel oproti rozpočtu</w:t>
            </w:r>
          </w:p>
        </w:tc>
        <w:tc>
          <w:tcPr>
            <w:tcW w:w="1155" w:type="dxa"/>
            <w:gridSpan w:val="2"/>
            <w:tcBorders>
              <w:top w:val="nil"/>
              <w:left w:val="nil"/>
              <w:bottom w:val="single" w:sz="8" w:space="0" w:color="auto"/>
              <w:right w:val="nil"/>
            </w:tcBorders>
            <w:shd w:val="clear" w:color="000000" w:fill="BFBFBF"/>
            <w:textDirection w:val="lrTb"/>
            <w:vAlign w:val="center"/>
            <w:hideMark/>
          </w:tcPr>
          <w:p w:rsidR="0009512E" w:rsidRPr="007F6023" w:rsidP="009C51D3">
            <w:pPr>
              <w:bidi w:val="0"/>
              <w:spacing w:after="0" w:line="240" w:lineRule="auto"/>
              <w:jc w:val="center"/>
              <w:rPr>
                <w:rFonts w:ascii="Arial Narrow" w:hAnsi="Arial Narrow" w:cs="Times New Roman"/>
                <w:b/>
                <w:color w:val="000000"/>
                <w:sz w:val="18"/>
                <w:szCs w:val="18"/>
              </w:rPr>
            </w:pPr>
            <w:r w:rsidRPr="007F6023">
              <w:rPr>
                <w:rFonts w:ascii="Arial Narrow" w:hAnsi="Arial Narrow" w:cs="Times New Roman"/>
                <w:b/>
                <w:color w:val="000000"/>
                <w:sz w:val="18"/>
                <w:szCs w:val="18"/>
              </w:rPr>
              <w:t>Plnenie rozpočtu v %</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nil"/>
              <w:right w:val="nil"/>
            </w:tcBorders>
            <w:noWrap/>
            <w:textDirection w:val="lrTb"/>
            <w:vAlign w:val="center"/>
            <w:hideMark/>
          </w:tcPr>
          <w:p w:rsidR="0009512E" w:rsidRPr="00904E61" w:rsidP="009C51D3">
            <w:pPr>
              <w:bidi w:val="0"/>
              <w:spacing w:after="0" w:line="240" w:lineRule="auto"/>
              <w:rPr>
                <w:rFonts w:ascii="Arial Narrow" w:hAnsi="Arial Narrow" w:cs="Times New Roman"/>
                <w:b/>
                <w:bCs/>
                <w:color w:val="000000"/>
                <w:sz w:val="18"/>
                <w:szCs w:val="18"/>
              </w:rPr>
            </w:pPr>
            <w:r w:rsidRPr="00904E61">
              <w:rPr>
                <w:rFonts w:ascii="Arial Narrow" w:hAnsi="Arial Narrow" w:cs="Times New Roman"/>
                <w:b/>
                <w:bCs/>
                <w:color w:val="000000"/>
                <w:sz w:val="18"/>
                <w:szCs w:val="18"/>
              </w:rPr>
              <w:t>A. Dane</w:t>
            </w:r>
          </w:p>
        </w:tc>
        <w:tc>
          <w:tcPr>
            <w:tcW w:w="1295"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10 068 564</w:t>
            </w:r>
          </w:p>
        </w:tc>
        <w:tc>
          <w:tcPr>
            <w:tcW w:w="1295"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10 095 955</w:t>
            </w:r>
          </w:p>
        </w:tc>
        <w:tc>
          <w:tcPr>
            <w:tcW w:w="1196"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27 392</w:t>
            </w:r>
          </w:p>
        </w:tc>
        <w:tc>
          <w:tcPr>
            <w:tcW w:w="1012"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100,3</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single" w:sz="8" w:space="0" w:color="auto"/>
              <w:right w:val="nil"/>
            </w:tcBorders>
            <w:noWrap/>
            <w:textDirection w:val="lrTb"/>
            <w:vAlign w:val="center"/>
            <w:hideMark/>
          </w:tcPr>
          <w:p w:rsidR="0009512E" w:rsidRPr="00904E61" w:rsidP="009C51D3">
            <w:pPr>
              <w:bidi w:val="0"/>
              <w:spacing w:after="0" w:line="240" w:lineRule="auto"/>
              <w:ind w:firstLine="360" w:firstLineChars="200"/>
              <w:rPr>
                <w:rFonts w:ascii="Arial Narrow" w:hAnsi="Arial Narrow" w:cs="Times New Roman"/>
                <w:color w:val="000000"/>
                <w:sz w:val="18"/>
                <w:szCs w:val="18"/>
              </w:rPr>
            </w:pPr>
            <w:r w:rsidRPr="00904E61">
              <w:rPr>
                <w:rFonts w:ascii="Arial Narrow" w:hAnsi="Arial Narrow" w:cs="Times New Roman"/>
                <w:color w:val="000000"/>
                <w:sz w:val="18"/>
                <w:szCs w:val="18"/>
              </w:rPr>
              <w:t>podiel na HDP %</w:t>
            </w:r>
          </w:p>
        </w:tc>
        <w:tc>
          <w:tcPr>
            <w:tcW w:w="1295" w:type="dxa"/>
            <w:tcBorders>
              <w:top w:val="nil"/>
              <w:left w:val="nil"/>
              <w:bottom w:val="single" w:sz="8"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 xml:space="preserve">15,3 </w:t>
            </w:r>
          </w:p>
        </w:tc>
        <w:tc>
          <w:tcPr>
            <w:tcW w:w="1295" w:type="dxa"/>
            <w:gridSpan w:val="2"/>
            <w:tcBorders>
              <w:top w:val="nil"/>
              <w:left w:val="nil"/>
              <w:bottom w:val="single" w:sz="8"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 xml:space="preserve">15,3 </w:t>
            </w:r>
          </w:p>
        </w:tc>
        <w:tc>
          <w:tcPr>
            <w:tcW w:w="1196" w:type="dxa"/>
            <w:gridSpan w:val="2"/>
            <w:tcBorders>
              <w:top w:val="nil"/>
              <w:left w:val="nil"/>
              <w:bottom w:val="single" w:sz="8"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 xml:space="preserve">0,0 </w:t>
            </w:r>
          </w:p>
        </w:tc>
        <w:tc>
          <w:tcPr>
            <w:tcW w:w="1012" w:type="dxa"/>
            <w:tcBorders>
              <w:top w:val="nil"/>
              <w:left w:val="nil"/>
              <w:bottom w:val="single" w:sz="8"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nil"/>
              <w:right w:val="nil"/>
            </w:tcBorders>
            <w:noWrap/>
            <w:textDirection w:val="lrTb"/>
            <w:vAlign w:val="center"/>
            <w:hideMark/>
          </w:tcPr>
          <w:p w:rsidR="0009512E" w:rsidRPr="00904E61" w:rsidP="009C51D3">
            <w:pPr>
              <w:bidi w:val="0"/>
              <w:spacing w:after="0" w:line="240" w:lineRule="auto"/>
              <w:ind w:firstLine="180" w:firstLineChars="100"/>
              <w:rPr>
                <w:rFonts w:ascii="Arial Narrow" w:hAnsi="Arial Narrow" w:cs="Times New Roman"/>
                <w:b/>
                <w:bCs/>
                <w:color w:val="000000"/>
                <w:sz w:val="18"/>
                <w:szCs w:val="18"/>
              </w:rPr>
            </w:pPr>
            <w:r w:rsidRPr="00904E61">
              <w:rPr>
                <w:rFonts w:ascii="Arial Narrow" w:hAnsi="Arial Narrow" w:cs="Times New Roman"/>
                <w:b/>
                <w:bCs/>
                <w:color w:val="000000"/>
                <w:sz w:val="18"/>
                <w:szCs w:val="18"/>
              </w:rPr>
              <w:t>Dane z príjmov</w:t>
            </w:r>
          </w:p>
        </w:tc>
        <w:tc>
          <w:tcPr>
            <w:tcW w:w="1295"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3 316 200</w:t>
            </w:r>
          </w:p>
        </w:tc>
        <w:tc>
          <w:tcPr>
            <w:tcW w:w="1295"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3 322 262</w:t>
            </w:r>
          </w:p>
        </w:tc>
        <w:tc>
          <w:tcPr>
            <w:tcW w:w="1196"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6 062</w:t>
            </w:r>
          </w:p>
        </w:tc>
        <w:tc>
          <w:tcPr>
            <w:tcW w:w="1012"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100,2</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nil"/>
              <w:right w:val="nil"/>
            </w:tcBorders>
            <w:noWrap/>
            <w:textDirection w:val="lrTb"/>
            <w:vAlign w:val="center"/>
            <w:hideMark/>
          </w:tcPr>
          <w:p w:rsidR="0009512E" w:rsidRPr="00904E61" w:rsidP="009C51D3">
            <w:pPr>
              <w:bidi w:val="0"/>
              <w:spacing w:after="0" w:line="240" w:lineRule="auto"/>
              <w:ind w:firstLine="360" w:firstLineChars="200"/>
              <w:rPr>
                <w:rFonts w:ascii="Arial Narrow" w:hAnsi="Arial Narrow" w:cs="Times New Roman"/>
                <w:color w:val="000000"/>
                <w:sz w:val="18"/>
                <w:szCs w:val="18"/>
              </w:rPr>
            </w:pPr>
            <w:r w:rsidRPr="00904E61">
              <w:rPr>
                <w:rFonts w:ascii="Arial Narrow" w:hAnsi="Arial Narrow" w:cs="Times New Roman"/>
                <w:color w:val="000000"/>
                <w:sz w:val="18"/>
                <w:szCs w:val="18"/>
              </w:rPr>
              <w:t>FO zo závislej činnosti a funkčných pôžitkov</w:t>
            </w:r>
          </w:p>
        </w:tc>
        <w:tc>
          <w:tcPr>
            <w:tcW w:w="1295"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1 456 400</w:t>
            </w:r>
          </w:p>
        </w:tc>
        <w:tc>
          <w:tcPr>
            <w:tcW w:w="1295"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1 447 257</w:t>
            </w:r>
          </w:p>
        </w:tc>
        <w:tc>
          <w:tcPr>
            <w:tcW w:w="1196"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-9 143</w:t>
            </w:r>
          </w:p>
        </w:tc>
        <w:tc>
          <w:tcPr>
            <w:tcW w:w="1012"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99,4</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nil"/>
              <w:right w:val="nil"/>
            </w:tcBorders>
            <w:noWrap/>
            <w:textDirection w:val="lrTb"/>
            <w:vAlign w:val="center"/>
            <w:hideMark/>
          </w:tcPr>
          <w:p w:rsidR="0009512E" w:rsidRPr="00904E61" w:rsidP="009C51D3">
            <w:pPr>
              <w:bidi w:val="0"/>
              <w:spacing w:after="0" w:line="240" w:lineRule="auto"/>
              <w:ind w:firstLine="360" w:firstLineChars="200"/>
              <w:rPr>
                <w:rFonts w:ascii="Arial Narrow" w:hAnsi="Arial Narrow" w:cs="Times New Roman"/>
                <w:color w:val="000000"/>
                <w:sz w:val="18"/>
                <w:szCs w:val="18"/>
              </w:rPr>
            </w:pPr>
            <w:r w:rsidRPr="00904E61">
              <w:rPr>
                <w:rFonts w:ascii="Arial Narrow" w:hAnsi="Arial Narrow" w:cs="Times New Roman"/>
                <w:color w:val="000000"/>
                <w:sz w:val="18"/>
                <w:szCs w:val="18"/>
              </w:rPr>
              <w:t>FO z podnikania a sam. zárobkovej činnosti</w:t>
            </w:r>
          </w:p>
        </w:tc>
        <w:tc>
          <w:tcPr>
            <w:tcW w:w="1295"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90 853</w:t>
            </w:r>
          </w:p>
        </w:tc>
        <w:tc>
          <w:tcPr>
            <w:tcW w:w="1295"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70 739</w:t>
            </w:r>
          </w:p>
        </w:tc>
        <w:tc>
          <w:tcPr>
            <w:tcW w:w="1196"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-20 114</w:t>
            </w:r>
          </w:p>
        </w:tc>
        <w:tc>
          <w:tcPr>
            <w:tcW w:w="1012"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77,9</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nil"/>
              <w:right w:val="nil"/>
            </w:tcBorders>
            <w:noWrap/>
            <w:textDirection w:val="lrTb"/>
            <w:vAlign w:val="center"/>
            <w:hideMark/>
          </w:tcPr>
          <w:p w:rsidR="0009512E" w:rsidRPr="00904E61" w:rsidP="009C51D3">
            <w:pPr>
              <w:bidi w:val="0"/>
              <w:spacing w:after="0" w:line="240" w:lineRule="auto"/>
              <w:ind w:firstLine="360" w:firstLineChars="200"/>
              <w:rPr>
                <w:rFonts w:ascii="Arial Narrow" w:hAnsi="Arial Narrow" w:cs="Times New Roman"/>
                <w:color w:val="000000"/>
                <w:sz w:val="18"/>
                <w:szCs w:val="18"/>
              </w:rPr>
            </w:pPr>
            <w:r w:rsidRPr="00904E61">
              <w:rPr>
                <w:rFonts w:ascii="Arial Narrow" w:hAnsi="Arial Narrow" w:cs="Times New Roman"/>
                <w:color w:val="000000"/>
                <w:sz w:val="18"/>
                <w:szCs w:val="18"/>
              </w:rPr>
              <w:t>Právnických osôb</w:t>
            </w:r>
          </w:p>
        </w:tc>
        <w:tc>
          <w:tcPr>
            <w:tcW w:w="1295"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1 634 285</w:t>
            </w:r>
          </w:p>
        </w:tc>
        <w:tc>
          <w:tcPr>
            <w:tcW w:w="1295"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1 651 934</w:t>
            </w:r>
          </w:p>
        </w:tc>
        <w:tc>
          <w:tcPr>
            <w:tcW w:w="1196"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17 649</w:t>
            </w:r>
          </w:p>
        </w:tc>
        <w:tc>
          <w:tcPr>
            <w:tcW w:w="1012"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101,1</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nil"/>
              <w:right w:val="nil"/>
            </w:tcBorders>
            <w:noWrap/>
            <w:textDirection w:val="lrTb"/>
            <w:vAlign w:val="center"/>
            <w:hideMark/>
          </w:tcPr>
          <w:p w:rsidR="0009512E" w:rsidRPr="00904E61" w:rsidP="009C51D3">
            <w:pPr>
              <w:bidi w:val="0"/>
              <w:spacing w:after="0" w:line="240" w:lineRule="auto"/>
              <w:ind w:firstLine="360" w:firstLineChars="200"/>
              <w:rPr>
                <w:rFonts w:ascii="Arial Narrow" w:hAnsi="Arial Narrow" w:cs="Times New Roman"/>
                <w:color w:val="000000"/>
                <w:sz w:val="18"/>
                <w:szCs w:val="18"/>
              </w:rPr>
            </w:pPr>
            <w:r w:rsidRPr="00904E61">
              <w:rPr>
                <w:rFonts w:ascii="Arial Narrow" w:hAnsi="Arial Narrow" w:cs="Times New Roman"/>
                <w:color w:val="000000"/>
                <w:sz w:val="18"/>
                <w:szCs w:val="18"/>
              </w:rPr>
              <w:t>Vyberané zrážkou</w:t>
            </w:r>
          </w:p>
        </w:tc>
        <w:tc>
          <w:tcPr>
            <w:tcW w:w="1295"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134 662</w:t>
            </w:r>
          </w:p>
        </w:tc>
        <w:tc>
          <w:tcPr>
            <w:tcW w:w="1295"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152 332</w:t>
            </w:r>
          </w:p>
        </w:tc>
        <w:tc>
          <w:tcPr>
            <w:tcW w:w="1196"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17 670</w:t>
            </w:r>
          </w:p>
        </w:tc>
        <w:tc>
          <w:tcPr>
            <w:tcW w:w="1012"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113,1</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nil"/>
              <w:right w:val="nil"/>
            </w:tcBorders>
            <w:noWrap/>
            <w:textDirection w:val="lrTb"/>
            <w:vAlign w:val="center"/>
            <w:hideMark/>
          </w:tcPr>
          <w:p w:rsidR="0009512E" w:rsidRPr="00904E61" w:rsidP="009C51D3">
            <w:pPr>
              <w:bidi w:val="0"/>
              <w:spacing w:after="0" w:line="240" w:lineRule="auto"/>
              <w:ind w:firstLine="180" w:firstLineChars="100"/>
              <w:rPr>
                <w:rFonts w:ascii="Arial Narrow" w:hAnsi="Arial Narrow" w:cs="Times New Roman"/>
                <w:b/>
                <w:bCs/>
                <w:color w:val="000000"/>
                <w:sz w:val="18"/>
                <w:szCs w:val="18"/>
              </w:rPr>
            </w:pPr>
            <w:r w:rsidRPr="00904E61">
              <w:rPr>
                <w:rFonts w:ascii="Arial Narrow" w:hAnsi="Arial Narrow" w:cs="Times New Roman"/>
                <w:b/>
                <w:bCs/>
                <w:color w:val="000000"/>
                <w:sz w:val="18"/>
                <w:szCs w:val="18"/>
              </w:rPr>
              <w:t>Domáce dane na tovary a služby</w:t>
            </w:r>
          </w:p>
        </w:tc>
        <w:tc>
          <w:tcPr>
            <w:tcW w:w="1295"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6 090 986</w:t>
            </w:r>
          </w:p>
        </w:tc>
        <w:tc>
          <w:tcPr>
            <w:tcW w:w="1295"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6 112 982</w:t>
            </w:r>
          </w:p>
        </w:tc>
        <w:tc>
          <w:tcPr>
            <w:tcW w:w="1196"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21 996</w:t>
            </w:r>
          </w:p>
        </w:tc>
        <w:tc>
          <w:tcPr>
            <w:tcW w:w="1012"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100,4</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nil"/>
              <w:right w:val="nil"/>
            </w:tcBorders>
            <w:noWrap/>
            <w:textDirection w:val="lrTb"/>
            <w:vAlign w:val="center"/>
            <w:hideMark/>
          </w:tcPr>
          <w:p w:rsidR="0009512E" w:rsidRPr="00904E61" w:rsidP="009C51D3">
            <w:pPr>
              <w:bidi w:val="0"/>
              <w:spacing w:after="0" w:line="240" w:lineRule="auto"/>
              <w:ind w:firstLine="360" w:firstLineChars="200"/>
              <w:rPr>
                <w:rFonts w:ascii="Arial Narrow" w:hAnsi="Arial Narrow" w:cs="Times New Roman"/>
                <w:color w:val="000000"/>
                <w:sz w:val="18"/>
                <w:szCs w:val="18"/>
              </w:rPr>
            </w:pPr>
            <w:r w:rsidRPr="00904E61">
              <w:rPr>
                <w:rFonts w:ascii="Arial Narrow" w:hAnsi="Arial Narrow" w:cs="Times New Roman"/>
                <w:color w:val="000000"/>
                <w:sz w:val="18"/>
                <w:szCs w:val="18"/>
              </w:rPr>
              <w:t>Daň z pridanej hodnoty</w:t>
            </w:r>
          </w:p>
        </w:tc>
        <w:tc>
          <w:tcPr>
            <w:tcW w:w="1295"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4 165 205</w:t>
            </w:r>
          </w:p>
        </w:tc>
        <w:tc>
          <w:tcPr>
            <w:tcW w:w="1295"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4 182 177</w:t>
            </w:r>
          </w:p>
        </w:tc>
        <w:tc>
          <w:tcPr>
            <w:tcW w:w="1196"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16 972</w:t>
            </w:r>
          </w:p>
        </w:tc>
        <w:tc>
          <w:tcPr>
            <w:tcW w:w="1012"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100,4</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nil"/>
              <w:right w:val="nil"/>
            </w:tcBorders>
            <w:noWrap/>
            <w:textDirection w:val="lrTb"/>
            <w:vAlign w:val="center"/>
            <w:hideMark/>
          </w:tcPr>
          <w:p w:rsidR="0009512E" w:rsidRPr="00904E61" w:rsidP="009C51D3">
            <w:pPr>
              <w:bidi w:val="0"/>
              <w:spacing w:after="0" w:line="240" w:lineRule="auto"/>
              <w:ind w:firstLine="360" w:firstLineChars="200"/>
              <w:rPr>
                <w:rFonts w:ascii="Arial Narrow" w:hAnsi="Arial Narrow" w:cs="Times New Roman"/>
                <w:color w:val="000000"/>
                <w:sz w:val="18"/>
                <w:szCs w:val="18"/>
              </w:rPr>
            </w:pPr>
            <w:r w:rsidRPr="00904E61">
              <w:rPr>
                <w:rFonts w:ascii="Arial Narrow" w:hAnsi="Arial Narrow" w:cs="Times New Roman"/>
                <w:color w:val="000000"/>
                <w:sz w:val="18"/>
                <w:szCs w:val="18"/>
              </w:rPr>
              <w:t>Spotrebné dane</w:t>
            </w:r>
          </w:p>
        </w:tc>
        <w:tc>
          <w:tcPr>
            <w:tcW w:w="1295"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1 925 781</w:t>
            </w:r>
          </w:p>
        </w:tc>
        <w:tc>
          <w:tcPr>
            <w:tcW w:w="1295"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1 930 805</w:t>
            </w:r>
          </w:p>
        </w:tc>
        <w:tc>
          <w:tcPr>
            <w:tcW w:w="1196"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5 024</w:t>
            </w:r>
          </w:p>
        </w:tc>
        <w:tc>
          <w:tcPr>
            <w:tcW w:w="1012"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100,3</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nil"/>
              <w:right w:val="nil"/>
            </w:tcBorders>
            <w:noWrap/>
            <w:textDirection w:val="lrTb"/>
            <w:vAlign w:val="center"/>
            <w:hideMark/>
          </w:tcPr>
          <w:p w:rsidR="0009512E" w:rsidRPr="00904E61" w:rsidP="009C51D3">
            <w:pPr>
              <w:bidi w:val="0"/>
              <w:spacing w:after="0" w:line="240" w:lineRule="auto"/>
              <w:ind w:firstLine="180" w:firstLineChars="100"/>
              <w:rPr>
                <w:rFonts w:ascii="Arial Narrow" w:hAnsi="Arial Narrow" w:cs="Times New Roman"/>
                <w:b/>
                <w:bCs/>
                <w:color w:val="000000"/>
                <w:sz w:val="18"/>
                <w:szCs w:val="18"/>
              </w:rPr>
            </w:pPr>
            <w:r w:rsidRPr="00904E61">
              <w:rPr>
                <w:rFonts w:ascii="Arial Narrow" w:hAnsi="Arial Narrow" w:cs="Times New Roman"/>
                <w:b/>
                <w:bCs/>
                <w:color w:val="000000"/>
                <w:sz w:val="18"/>
                <w:szCs w:val="18"/>
              </w:rPr>
              <w:t>Miestne dane</w:t>
            </w:r>
          </w:p>
        </w:tc>
        <w:tc>
          <w:tcPr>
            <w:tcW w:w="1295"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551 612</w:t>
            </w:r>
          </w:p>
        </w:tc>
        <w:tc>
          <w:tcPr>
            <w:tcW w:w="1295"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547 229</w:t>
            </w:r>
          </w:p>
        </w:tc>
        <w:tc>
          <w:tcPr>
            <w:tcW w:w="1196"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-4 383</w:t>
            </w:r>
          </w:p>
        </w:tc>
        <w:tc>
          <w:tcPr>
            <w:tcW w:w="1012"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99,2</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nil"/>
              <w:right w:val="nil"/>
            </w:tcBorders>
            <w:noWrap/>
            <w:textDirection w:val="lrTb"/>
            <w:vAlign w:val="center"/>
            <w:hideMark/>
          </w:tcPr>
          <w:p w:rsidR="0009512E" w:rsidRPr="00904E61" w:rsidP="009C51D3">
            <w:pPr>
              <w:bidi w:val="0"/>
              <w:spacing w:after="0" w:line="240" w:lineRule="auto"/>
              <w:ind w:firstLine="360" w:firstLineChars="200"/>
              <w:rPr>
                <w:rFonts w:ascii="Arial Narrow" w:hAnsi="Arial Narrow" w:cs="Times New Roman"/>
                <w:color w:val="000000"/>
                <w:sz w:val="18"/>
                <w:szCs w:val="18"/>
              </w:rPr>
            </w:pPr>
            <w:r w:rsidRPr="00904E61">
              <w:rPr>
                <w:rFonts w:ascii="Arial Narrow" w:hAnsi="Arial Narrow" w:cs="Times New Roman"/>
                <w:color w:val="000000"/>
                <w:sz w:val="18"/>
                <w:szCs w:val="18"/>
              </w:rPr>
              <w:t>Daň z nehnuteľností</w:t>
            </w:r>
          </w:p>
        </w:tc>
        <w:tc>
          <w:tcPr>
            <w:tcW w:w="1295"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267 555</w:t>
            </w:r>
          </w:p>
        </w:tc>
        <w:tc>
          <w:tcPr>
            <w:tcW w:w="1295"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266 284</w:t>
            </w:r>
          </w:p>
        </w:tc>
        <w:tc>
          <w:tcPr>
            <w:tcW w:w="1196"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-1 271</w:t>
            </w:r>
          </w:p>
        </w:tc>
        <w:tc>
          <w:tcPr>
            <w:tcW w:w="1012"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99,5</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nil"/>
              <w:right w:val="nil"/>
            </w:tcBorders>
            <w:noWrap/>
            <w:textDirection w:val="lrTb"/>
            <w:vAlign w:val="center"/>
            <w:hideMark/>
          </w:tcPr>
          <w:p w:rsidR="0009512E" w:rsidRPr="00904E61" w:rsidP="009C51D3">
            <w:pPr>
              <w:bidi w:val="0"/>
              <w:spacing w:after="0" w:line="240" w:lineRule="auto"/>
              <w:ind w:firstLine="360" w:firstLineChars="200"/>
              <w:rPr>
                <w:rFonts w:ascii="Arial Narrow" w:hAnsi="Arial Narrow" w:cs="Times New Roman"/>
                <w:color w:val="000000"/>
                <w:sz w:val="18"/>
                <w:szCs w:val="18"/>
              </w:rPr>
            </w:pPr>
            <w:r w:rsidRPr="00904E61">
              <w:rPr>
                <w:rFonts w:ascii="Arial Narrow" w:hAnsi="Arial Narrow" w:cs="Times New Roman"/>
                <w:color w:val="000000"/>
                <w:sz w:val="18"/>
                <w:szCs w:val="18"/>
              </w:rPr>
              <w:t>Dane za špecifické služby</w:t>
            </w:r>
          </w:p>
        </w:tc>
        <w:tc>
          <w:tcPr>
            <w:tcW w:w="1295"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166 007</w:t>
            </w:r>
          </w:p>
        </w:tc>
        <w:tc>
          <w:tcPr>
            <w:tcW w:w="1295"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159 875</w:t>
            </w:r>
          </w:p>
        </w:tc>
        <w:tc>
          <w:tcPr>
            <w:tcW w:w="1196"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-6 132</w:t>
            </w:r>
          </w:p>
        </w:tc>
        <w:tc>
          <w:tcPr>
            <w:tcW w:w="1012"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96,3</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nil"/>
              <w:right w:val="nil"/>
            </w:tcBorders>
            <w:noWrap/>
            <w:textDirection w:val="lrTb"/>
            <w:vAlign w:val="center"/>
            <w:hideMark/>
          </w:tcPr>
          <w:p w:rsidR="0009512E" w:rsidRPr="00904E61" w:rsidP="009C51D3">
            <w:pPr>
              <w:bidi w:val="0"/>
              <w:spacing w:after="0" w:line="240" w:lineRule="auto"/>
              <w:ind w:firstLine="360" w:firstLineChars="200"/>
              <w:rPr>
                <w:rFonts w:ascii="Arial Narrow" w:hAnsi="Arial Narrow" w:cs="Times New Roman"/>
                <w:color w:val="000000"/>
                <w:sz w:val="18"/>
                <w:szCs w:val="18"/>
              </w:rPr>
            </w:pPr>
            <w:r w:rsidRPr="00904E61">
              <w:rPr>
                <w:rFonts w:ascii="Arial Narrow" w:hAnsi="Arial Narrow" w:cs="Times New Roman"/>
                <w:color w:val="000000"/>
                <w:sz w:val="18"/>
                <w:szCs w:val="18"/>
              </w:rPr>
              <w:t>Daň z motorových vozidiel</w:t>
            </w:r>
          </w:p>
        </w:tc>
        <w:tc>
          <w:tcPr>
            <w:tcW w:w="1295"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118 050</w:t>
            </w:r>
          </w:p>
        </w:tc>
        <w:tc>
          <w:tcPr>
            <w:tcW w:w="1295"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121 070</w:t>
            </w:r>
          </w:p>
        </w:tc>
        <w:tc>
          <w:tcPr>
            <w:tcW w:w="1196"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3 020</w:t>
            </w:r>
          </w:p>
        </w:tc>
        <w:tc>
          <w:tcPr>
            <w:tcW w:w="1012"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102,6</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nil"/>
              <w:right w:val="nil"/>
            </w:tcBorders>
            <w:noWrap/>
            <w:textDirection w:val="lrTb"/>
            <w:vAlign w:val="center"/>
            <w:hideMark/>
          </w:tcPr>
          <w:p w:rsidR="0009512E" w:rsidRPr="00904E61" w:rsidP="009C51D3">
            <w:pPr>
              <w:bidi w:val="0"/>
              <w:spacing w:after="0" w:line="240" w:lineRule="auto"/>
              <w:ind w:firstLine="180" w:firstLineChars="100"/>
              <w:rPr>
                <w:rFonts w:ascii="Arial Narrow" w:hAnsi="Arial Narrow" w:cs="Times New Roman"/>
                <w:b/>
                <w:bCs/>
                <w:color w:val="000000"/>
                <w:sz w:val="18"/>
                <w:szCs w:val="18"/>
              </w:rPr>
            </w:pPr>
            <w:r w:rsidRPr="00904E61">
              <w:rPr>
                <w:rFonts w:ascii="Arial Narrow" w:hAnsi="Arial Narrow" w:cs="Times New Roman"/>
                <w:b/>
                <w:bCs/>
                <w:color w:val="000000"/>
                <w:sz w:val="18"/>
                <w:szCs w:val="18"/>
              </w:rPr>
              <w:t>Dane z medzinárodného obchodu a transakcií</w:t>
            </w:r>
          </w:p>
        </w:tc>
        <w:tc>
          <w:tcPr>
            <w:tcW w:w="1295"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32 055</w:t>
            </w:r>
          </w:p>
        </w:tc>
        <w:tc>
          <w:tcPr>
            <w:tcW w:w="1295"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35 368</w:t>
            </w:r>
          </w:p>
        </w:tc>
        <w:tc>
          <w:tcPr>
            <w:tcW w:w="1196"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3 313</w:t>
            </w:r>
          </w:p>
        </w:tc>
        <w:tc>
          <w:tcPr>
            <w:tcW w:w="1012"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110,3</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nil"/>
              <w:right w:val="nil"/>
            </w:tcBorders>
            <w:noWrap/>
            <w:textDirection w:val="lrTb"/>
            <w:vAlign w:val="center"/>
            <w:hideMark/>
          </w:tcPr>
          <w:p w:rsidR="0009512E" w:rsidRPr="00904E61" w:rsidP="009C51D3">
            <w:pPr>
              <w:bidi w:val="0"/>
              <w:spacing w:after="0" w:line="240" w:lineRule="auto"/>
              <w:ind w:firstLine="180" w:firstLineChars="100"/>
              <w:rPr>
                <w:rFonts w:ascii="Arial Narrow" w:hAnsi="Arial Narrow" w:cs="Times New Roman"/>
                <w:b/>
                <w:bCs/>
                <w:color w:val="000000"/>
                <w:sz w:val="18"/>
                <w:szCs w:val="18"/>
              </w:rPr>
            </w:pPr>
            <w:r w:rsidRPr="00904E61">
              <w:rPr>
                <w:rFonts w:ascii="Arial Narrow" w:hAnsi="Arial Narrow" w:cs="Times New Roman"/>
                <w:b/>
                <w:bCs/>
                <w:color w:val="000000"/>
                <w:sz w:val="18"/>
                <w:szCs w:val="18"/>
              </w:rPr>
              <w:t>Ostatné dane</w:t>
            </w:r>
          </w:p>
        </w:tc>
        <w:tc>
          <w:tcPr>
            <w:tcW w:w="1295"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77 711</w:t>
            </w:r>
          </w:p>
        </w:tc>
        <w:tc>
          <w:tcPr>
            <w:tcW w:w="1295"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78 115</w:t>
            </w:r>
          </w:p>
        </w:tc>
        <w:tc>
          <w:tcPr>
            <w:tcW w:w="1196"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404</w:t>
            </w:r>
          </w:p>
        </w:tc>
        <w:tc>
          <w:tcPr>
            <w:tcW w:w="1012"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100,5</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nil"/>
              <w:right w:val="nil"/>
            </w:tcBorders>
            <w:noWrap/>
            <w:textDirection w:val="lrTb"/>
            <w:vAlign w:val="center"/>
            <w:hideMark/>
          </w:tcPr>
          <w:p w:rsidR="0009512E" w:rsidRPr="00904E61" w:rsidP="009C51D3">
            <w:pPr>
              <w:bidi w:val="0"/>
              <w:spacing w:after="0" w:line="240" w:lineRule="auto"/>
              <w:ind w:firstLine="360" w:firstLineChars="200"/>
              <w:rPr>
                <w:rFonts w:ascii="Arial Narrow" w:hAnsi="Arial Narrow" w:cs="Times New Roman"/>
                <w:color w:val="000000"/>
                <w:sz w:val="18"/>
                <w:szCs w:val="18"/>
              </w:rPr>
            </w:pPr>
            <w:r w:rsidRPr="00904E61">
              <w:rPr>
                <w:rFonts w:ascii="Arial Narrow" w:hAnsi="Arial Narrow" w:cs="Times New Roman"/>
                <w:color w:val="000000"/>
                <w:sz w:val="18"/>
                <w:szCs w:val="18"/>
              </w:rPr>
              <w:t>Úhrada za služby verejnosti poskytované STV a SRo</w:t>
            </w:r>
          </w:p>
        </w:tc>
        <w:tc>
          <w:tcPr>
            <w:tcW w:w="1295"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75 958</w:t>
            </w:r>
          </w:p>
        </w:tc>
        <w:tc>
          <w:tcPr>
            <w:tcW w:w="1295"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76 098</w:t>
            </w:r>
          </w:p>
        </w:tc>
        <w:tc>
          <w:tcPr>
            <w:tcW w:w="1196"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140</w:t>
            </w:r>
          </w:p>
        </w:tc>
        <w:tc>
          <w:tcPr>
            <w:tcW w:w="1012"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100,2</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nil"/>
              <w:right w:val="nil"/>
            </w:tcBorders>
            <w:noWrap/>
            <w:textDirection w:val="lrTb"/>
            <w:vAlign w:val="center"/>
            <w:hideMark/>
          </w:tcPr>
          <w:p w:rsidR="0009512E" w:rsidRPr="00904E61" w:rsidP="009C51D3">
            <w:pPr>
              <w:bidi w:val="0"/>
              <w:spacing w:after="0" w:line="240" w:lineRule="auto"/>
              <w:ind w:firstLine="360" w:firstLineChars="200"/>
              <w:rPr>
                <w:rFonts w:ascii="Arial Narrow" w:hAnsi="Arial Narrow" w:cs="Times New Roman"/>
                <w:color w:val="000000"/>
                <w:sz w:val="18"/>
                <w:szCs w:val="18"/>
              </w:rPr>
            </w:pPr>
            <w:r w:rsidRPr="00904E61">
              <w:rPr>
                <w:rFonts w:ascii="Arial Narrow" w:hAnsi="Arial Narrow" w:cs="Times New Roman"/>
                <w:color w:val="000000"/>
                <w:sz w:val="18"/>
                <w:szCs w:val="18"/>
              </w:rPr>
              <w:t>Daň z úhrad za uskladňovanie plynov alebo kvapalín</w:t>
            </w:r>
          </w:p>
        </w:tc>
        <w:tc>
          <w:tcPr>
            <w:tcW w:w="1295"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900</w:t>
            </w:r>
          </w:p>
        </w:tc>
        <w:tc>
          <w:tcPr>
            <w:tcW w:w="1295"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1 183</w:t>
            </w:r>
          </w:p>
        </w:tc>
        <w:tc>
          <w:tcPr>
            <w:tcW w:w="1196"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283</w:t>
            </w:r>
          </w:p>
        </w:tc>
        <w:tc>
          <w:tcPr>
            <w:tcW w:w="1012"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131,5</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single" w:sz="8" w:space="0" w:color="auto"/>
              <w:right w:val="nil"/>
            </w:tcBorders>
            <w:noWrap/>
            <w:textDirection w:val="lrTb"/>
            <w:vAlign w:val="center"/>
            <w:hideMark/>
          </w:tcPr>
          <w:p w:rsidR="0009512E" w:rsidRPr="00904E61" w:rsidP="009C51D3">
            <w:pPr>
              <w:bidi w:val="0"/>
              <w:spacing w:after="0" w:line="240" w:lineRule="auto"/>
              <w:ind w:firstLine="360" w:firstLineChars="200"/>
              <w:rPr>
                <w:rFonts w:ascii="Arial Narrow" w:hAnsi="Arial Narrow" w:cs="Times New Roman"/>
                <w:color w:val="000000"/>
                <w:sz w:val="18"/>
                <w:szCs w:val="18"/>
              </w:rPr>
            </w:pPr>
            <w:r w:rsidRPr="00904E61">
              <w:rPr>
                <w:rFonts w:ascii="Arial Narrow" w:hAnsi="Arial Narrow" w:cs="Times New Roman"/>
                <w:color w:val="000000"/>
                <w:sz w:val="18"/>
                <w:szCs w:val="18"/>
              </w:rPr>
              <w:t>Majetkové a iné dane*</w:t>
            </w:r>
          </w:p>
        </w:tc>
        <w:tc>
          <w:tcPr>
            <w:tcW w:w="1295" w:type="dxa"/>
            <w:tcBorders>
              <w:top w:val="nil"/>
              <w:left w:val="nil"/>
              <w:bottom w:val="single" w:sz="8"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853</w:t>
            </w:r>
          </w:p>
        </w:tc>
        <w:tc>
          <w:tcPr>
            <w:tcW w:w="1295" w:type="dxa"/>
            <w:gridSpan w:val="2"/>
            <w:tcBorders>
              <w:top w:val="nil"/>
              <w:left w:val="nil"/>
              <w:bottom w:val="single" w:sz="8"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833</w:t>
            </w:r>
          </w:p>
        </w:tc>
        <w:tc>
          <w:tcPr>
            <w:tcW w:w="1196" w:type="dxa"/>
            <w:gridSpan w:val="2"/>
            <w:tcBorders>
              <w:top w:val="nil"/>
              <w:left w:val="nil"/>
              <w:bottom w:val="single" w:sz="8"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-20</w:t>
            </w:r>
          </w:p>
        </w:tc>
        <w:tc>
          <w:tcPr>
            <w:tcW w:w="1012" w:type="dxa"/>
            <w:tcBorders>
              <w:top w:val="nil"/>
              <w:left w:val="nil"/>
              <w:bottom w:val="single" w:sz="8"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97,7</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nil"/>
              <w:right w:val="nil"/>
            </w:tcBorders>
            <w:noWrap/>
            <w:textDirection w:val="lrTb"/>
            <w:vAlign w:val="center"/>
            <w:hideMark/>
          </w:tcPr>
          <w:p w:rsidR="0009512E" w:rsidRPr="00904E61" w:rsidP="009C51D3">
            <w:pPr>
              <w:bidi w:val="0"/>
              <w:spacing w:after="0" w:line="240" w:lineRule="auto"/>
              <w:rPr>
                <w:rFonts w:ascii="Arial Narrow" w:hAnsi="Arial Narrow" w:cs="Times New Roman"/>
                <w:b/>
                <w:bCs/>
                <w:color w:val="000000"/>
                <w:sz w:val="18"/>
                <w:szCs w:val="18"/>
              </w:rPr>
            </w:pPr>
            <w:r w:rsidRPr="00904E61">
              <w:rPr>
                <w:rFonts w:ascii="Arial Narrow" w:hAnsi="Arial Narrow" w:cs="Times New Roman"/>
                <w:b/>
                <w:bCs/>
                <w:color w:val="000000"/>
                <w:sz w:val="18"/>
                <w:szCs w:val="18"/>
              </w:rPr>
              <w:t>B. Odvody</w:t>
            </w:r>
          </w:p>
        </w:tc>
        <w:tc>
          <w:tcPr>
            <w:tcW w:w="1295"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6 456 005</w:t>
            </w:r>
          </w:p>
        </w:tc>
        <w:tc>
          <w:tcPr>
            <w:tcW w:w="1295"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6 490 538</w:t>
            </w:r>
          </w:p>
        </w:tc>
        <w:tc>
          <w:tcPr>
            <w:tcW w:w="1196"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34 533</w:t>
            </w:r>
          </w:p>
        </w:tc>
        <w:tc>
          <w:tcPr>
            <w:tcW w:w="1012" w:type="dxa"/>
            <w:tcBorders>
              <w:top w:val="nil"/>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100,5</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single" w:sz="8" w:space="0" w:color="auto"/>
              <w:right w:val="nil"/>
            </w:tcBorders>
            <w:noWrap/>
            <w:textDirection w:val="lrTb"/>
            <w:vAlign w:val="center"/>
            <w:hideMark/>
          </w:tcPr>
          <w:p w:rsidR="0009512E" w:rsidRPr="00904E61" w:rsidP="009C51D3">
            <w:pPr>
              <w:bidi w:val="0"/>
              <w:spacing w:after="0" w:line="240" w:lineRule="auto"/>
              <w:ind w:firstLine="540" w:firstLineChars="300"/>
              <w:rPr>
                <w:rFonts w:ascii="Arial Narrow" w:hAnsi="Arial Narrow" w:cs="Times New Roman"/>
                <w:color w:val="000000"/>
                <w:sz w:val="18"/>
                <w:szCs w:val="18"/>
              </w:rPr>
            </w:pPr>
            <w:r w:rsidRPr="00904E61">
              <w:rPr>
                <w:rFonts w:ascii="Arial Narrow" w:hAnsi="Arial Narrow" w:cs="Times New Roman"/>
                <w:color w:val="000000"/>
                <w:sz w:val="18"/>
                <w:szCs w:val="18"/>
              </w:rPr>
              <w:t>podiel na HDP %</w:t>
            </w:r>
          </w:p>
        </w:tc>
        <w:tc>
          <w:tcPr>
            <w:tcW w:w="1295" w:type="dxa"/>
            <w:tcBorders>
              <w:top w:val="nil"/>
              <w:left w:val="nil"/>
              <w:bottom w:val="single" w:sz="8"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 xml:space="preserve">9,8 </w:t>
            </w:r>
          </w:p>
        </w:tc>
        <w:tc>
          <w:tcPr>
            <w:tcW w:w="1295" w:type="dxa"/>
            <w:gridSpan w:val="2"/>
            <w:tcBorders>
              <w:top w:val="nil"/>
              <w:left w:val="nil"/>
              <w:bottom w:val="single" w:sz="8"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 xml:space="preserve">9,8 </w:t>
            </w:r>
          </w:p>
        </w:tc>
        <w:tc>
          <w:tcPr>
            <w:tcW w:w="1196" w:type="dxa"/>
            <w:gridSpan w:val="2"/>
            <w:tcBorders>
              <w:top w:val="nil"/>
              <w:left w:val="nil"/>
              <w:bottom w:val="single" w:sz="8"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 xml:space="preserve">0,1 </w:t>
            </w:r>
          </w:p>
        </w:tc>
        <w:tc>
          <w:tcPr>
            <w:tcW w:w="1012" w:type="dxa"/>
            <w:tcBorders>
              <w:top w:val="nil"/>
              <w:left w:val="nil"/>
              <w:bottom w:val="single" w:sz="8"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none" w:sz="0" w:space="0" w:color="auto"/>
              <w:right w:val="nil"/>
            </w:tcBorders>
            <w:noWrap/>
            <w:textDirection w:val="lrTb"/>
            <w:vAlign w:val="center"/>
            <w:hideMark/>
          </w:tcPr>
          <w:p w:rsidR="0009512E" w:rsidRPr="00904E61" w:rsidP="009C51D3">
            <w:pPr>
              <w:bidi w:val="0"/>
              <w:spacing w:after="0" w:line="240" w:lineRule="auto"/>
              <w:ind w:firstLine="180" w:firstLineChars="100"/>
              <w:rPr>
                <w:rFonts w:ascii="Arial Narrow" w:hAnsi="Arial Narrow" w:cs="Times New Roman"/>
                <w:b/>
                <w:bCs/>
                <w:color w:val="000000"/>
                <w:sz w:val="18"/>
                <w:szCs w:val="18"/>
              </w:rPr>
            </w:pPr>
            <w:r w:rsidRPr="00904E61">
              <w:rPr>
                <w:rFonts w:ascii="Arial Narrow" w:hAnsi="Arial Narrow" w:cs="Times New Roman"/>
                <w:b/>
                <w:bCs/>
                <w:color w:val="000000"/>
                <w:sz w:val="18"/>
                <w:szCs w:val="18"/>
              </w:rPr>
              <w:t>Sociálna poisťovňa (EAO + dlžné - 1. pilier) **</w:t>
            </w:r>
          </w:p>
        </w:tc>
        <w:tc>
          <w:tcPr>
            <w:tcW w:w="1295" w:type="dxa"/>
            <w:tcBorders>
              <w:top w:val="nil"/>
              <w:left w:val="nil"/>
              <w:bottom w:val="none" w:sz="0"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4 233 349</w:t>
            </w:r>
          </w:p>
        </w:tc>
        <w:tc>
          <w:tcPr>
            <w:tcW w:w="1295" w:type="dxa"/>
            <w:gridSpan w:val="2"/>
            <w:tcBorders>
              <w:top w:val="nil"/>
              <w:left w:val="nil"/>
              <w:bottom w:val="none" w:sz="0"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4 247 290</w:t>
            </w:r>
          </w:p>
        </w:tc>
        <w:tc>
          <w:tcPr>
            <w:tcW w:w="1196" w:type="dxa"/>
            <w:gridSpan w:val="2"/>
            <w:tcBorders>
              <w:top w:val="nil"/>
              <w:left w:val="nil"/>
              <w:bottom w:val="none" w:sz="0"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13 941</w:t>
            </w:r>
          </w:p>
        </w:tc>
        <w:tc>
          <w:tcPr>
            <w:tcW w:w="1012" w:type="dxa"/>
            <w:tcBorders>
              <w:top w:val="nil"/>
              <w:left w:val="nil"/>
              <w:bottom w:val="none" w:sz="0"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100,3</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single" w:sz="4" w:space="0" w:color="auto"/>
              <w:right w:val="nil"/>
            </w:tcBorders>
            <w:noWrap/>
            <w:textDirection w:val="lrTb"/>
            <w:vAlign w:val="center"/>
            <w:hideMark/>
          </w:tcPr>
          <w:p w:rsidR="0009512E" w:rsidRPr="00904E61" w:rsidP="009C51D3">
            <w:pPr>
              <w:bidi w:val="0"/>
              <w:spacing w:after="0" w:line="240" w:lineRule="auto"/>
              <w:ind w:firstLine="180" w:firstLineChars="100"/>
              <w:rPr>
                <w:rFonts w:ascii="Arial Narrow" w:hAnsi="Arial Narrow" w:cs="Times New Roman"/>
                <w:b/>
                <w:bCs/>
                <w:color w:val="000000"/>
                <w:sz w:val="18"/>
                <w:szCs w:val="18"/>
              </w:rPr>
            </w:pPr>
            <w:r w:rsidRPr="00904E61">
              <w:rPr>
                <w:rFonts w:ascii="Arial Narrow" w:hAnsi="Arial Narrow" w:cs="Times New Roman"/>
                <w:b/>
                <w:bCs/>
                <w:color w:val="000000"/>
                <w:sz w:val="18"/>
                <w:szCs w:val="18"/>
              </w:rPr>
              <w:t>Zdravotné poistenie (EAO + dlžné -</w:t>
            </w:r>
            <w:r>
              <w:rPr>
                <w:rFonts w:ascii="Arial Narrow" w:hAnsi="Arial Narrow" w:cs="Times New Roman"/>
                <w:b/>
                <w:bCs/>
                <w:color w:val="000000"/>
                <w:sz w:val="18"/>
                <w:szCs w:val="18"/>
              </w:rPr>
              <w:t xml:space="preserve"> </w:t>
            </w:r>
            <w:r w:rsidRPr="00904E61">
              <w:rPr>
                <w:rFonts w:ascii="Arial Narrow" w:hAnsi="Arial Narrow" w:cs="Times New Roman"/>
                <w:b/>
                <w:bCs/>
                <w:color w:val="000000"/>
                <w:sz w:val="18"/>
                <w:szCs w:val="18"/>
              </w:rPr>
              <w:t>vr. roč. zúčt.)</w:t>
            </w:r>
          </w:p>
        </w:tc>
        <w:tc>
          <w:tcPr>
            <w:tcW w:w="1295" w:type="dxa"/>
            <w:tcBorders>
              <w:top w:val="nil"/>
              <w:left w:val="nil"/>
              <w:bottom w:val="single" w:sz="4"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2 222 656</w:t>
            </w:r>
          </w:p>
        </w:tc>
        <w:tc>
          <w:tcPr>
            <w:tcW w:w="1295" w:type="dxa"/>
            <w:gridSpan w:val="2"/>
            <w:tcBorders>
              <w:top w:val="nil"/>
              <w:left w:val="nil"/>
              <w:bottom w:val="single" w:sz="4"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2 243 248</w:t>
            </w:r>
          </w:p>
        </w:tc>
        <w:tc>
          <w:tcPr>
            <w:tcW w:w="1196" w:type="dxa"/>
            <w:gridSpan w:val="2"/>
            <w:tcBorders>
              <w:top w:val="nil"/>
              <w:left w:val="nil"/>
              <w:bottom w:val="single" w:sz="4"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20 592</w:t>
            </w:r>
          </w:p>
        </w:tc>
        <w:tc>
          <w:tcPr>
            <w:tcW w:w="1012" w:type="dxa"/>
            <w:tcBorders>
              <w:top w:val="nil"/>
              <w:left w:val="nil"/>
              <w:bottom w:val="single" w:sz="4"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100,9</w:t>
            </w:r>
          </w:p>
        </w:tc>
      </w:tr>
      <w:tr>
        <w:tblPrEx>
          <w:tblW w:w="9114" w:type="dxa"/>
          <w:jc w:val="center"/>
          <w:tblCellMar>
            <w:left w:w="70" w:type="dxa"/>
            <w:right w:w="70" w:type="dxa"/>
          </w:tblCellMar>
          <w:tblLook w:val="04A0"/>
        </w:tblPrEx>
        <w:trPr>
          <w:trHeight w:hRule="exact" w:val="254"/>
          <w:jc w:val="center"/>
        </w:trPr>
        <w:tc>
          <w:tcPr>
            <w:tcW w:w="4316" w:type="dxa"/>
            <w:tcBorders>
              <w:top w:val="single" w:sz="4" w:space="0" w:color="auto"/>
              <w:left w:val="nil"/>
              <w:bottom w:val="nil"/>
              <w:right w:val="nil"/>
            </w:tcBorders>
            <w:noWrap/>
            <w:textDirection w:val="lrTb"/>
            <w:vAlign w:val="center"/>
            <w:hideMark/>
          </w:tcPr>
          <w:p w:rsidR="0009512E" w:rsidRPr="00904E61" w:rsidP="009C51D3">
            <w:pPr>
              <w:bidi w:val="0"/>
              <w:spacing w:after="0" w:line="240" w:lineRule="auto"/>
              <w:rPr>
                <w:rFonts w:ascii="Arial Narrow" w:hAnsi="Arial Narrow" w:cs="Times New Roman"/>
                <w:b/>
                <w:bCs/>
                <w:color w:val="000000"/>
                <w:sz w:val="18"/>
                <w:szCs w:val="18"/>
              </w:rPr>
            </w:pPr>
            <w:r w:rsidRPr="00904E61">
              <w:rPr>
                <w:rFonts w:ascii="Arial Narrow" w:hAnsi="Arial Narrow" w:cs="Times New Roman"/>
                <w:b/>
                <w:bCs/>
                <w:color w:val="000000"/>
                <w:sz w:val="18"/>
                <w:szCs w:val="18"/>
              </w:rPr>
              <w:t>Daňové a odvodové príjmy (A+B)</w:t>
            </w:r>
          </w:p>
        </w:tc>
        <w:tc>
          <w:tcPr>
            <w:tcW w:w="1295" w:type="dxa"/>
            <w:tcBorders>
              <w:top w:val="single" w:sz="4" w:space="0" w:color="auto"/>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16 524 569</w:t>
            </w:r>
          </w:p>
        </w:tc>
        <w:tc>
          <w:tcPr>
            <w:tcW w:w="1295" w:type="dxa"/>
            <w:gridSpan w:val="2"/>
            <w:tcBorders>
              <w:top w:val="single" w:sz="4" w:space="0" w:color="auto"/>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16 586 493</w:t>
            </w:r>
          </w:p>
        </w:tc>
        <w:tc>
          <w:tcPr>
            <w:tcW w:w="1196" w:type="dxa"/>
            <w:gridSpan w:val="2"/>
            <w:tcBorders>
              <w:top w:val="single" w:sz="4" w:space="0" w:color="auto"/>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61 925</w:t>
            </w:r>
          </w:p>
        </w:tc>
        <w:tc>
          <w:tcPr>
            <w:tcW w:w="1012" w:type="dxa"/>
            <w:tcBorders>
              <w:top w:val="single" w:sz="4" w:space="0" w:color="auto"/>
              <w:left w:val="nil"/>
              <w:bottom w:val="nil"/>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b/>
                <w:bCs/>
                <w:color w:val="000000"/>
                <w:sz w:val="18"/>
                <w:szCs w:val="18"/>
              </w:rPr>
            </w:pPr>
            <w:r w:rsidRPr="00904E61">
              <w:rPr>
                <w:rFonts w:ascii="Arial Narrow" w:hAnsi="Arial Narrow" w:cs="Times New Roman"/>
                <w:b/>
                <w:bCs/>
                <w:color w:val="000000"/>
                <w:sz w:val="18"/>
                <w:szCs w:val="18"/>
              </w:rPr>
              <w:t>100,4</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single" w:sz="8" w:space="0" w:color="auto"/>
              <w:right w:val="nil"/>
            </w:tcBorders>
            <w:noWrap/>
            <w:textDirection w:val="lrTb"/>
            <w:vAlign w:val="center"/>
            <w:hideMark/>
          </w:tcPr>
          <w:p w:rsidR="0009512E" w:rsidRPr="00904E61" w:rsidP="009C51D3">
            <w:pPr>
              <w:bidi w:val="0"/>
              <w:spacing w:after="0" w:line="240" w:lineRule="auto"/>
              <w:ind w:firstLine="540" w:firstLineChars="300"/>
              <w:rPr>
                <w:rFonts w:ascii="Arial Narrow" w:hAnsi="Arial Narrow" w:cs="Times New Roman"/>
                <w:color w:val="000000"/>
                <w:sz w:val="18"/>
                <w:szCs w:val="18"/>
              </w:rPr>
            </w:pPr>
            <w:r w:rsidRPr="00904E61">
              <w:rPr>
                <w:rFonts w:ascii="Arial Narrow" w:hAnsi="Arial Narrow" w:cs="Times New Roman"/>
                <w:color w:val="000000"/>
                <w:sz w:val="18"/>
                <w:szCs w:val="18"/>
              </w:rPr>
              <w:t>podiel na HDP %</w:t>
            </w:r>
          </w:p>
        </w:tc>
        <w:tc>
          <w:tcPr>
            <w:tcW w:w="1295" w:type="dxa"/>
            <w:tcBorders>
              <w:top w:val="nil"/>
              <w:left w:val="nil"/>
              <w:bottom w:val="single" w:sz="8"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 xml:space="preserve">25,1 </w:t>
            </w:r>
          </w:p>
        </w:tc>
        <w:tc>
          <w:tcPr>
            <w:tcW w:w="1295" w:type="dxa"/>
            <w:gridSpan w:val="2"/>
            <w:tcBorders>
              <w:top w:val="nil"/>
              <w:left w:val="nil"/>
              <w:bottom w:val="single" w:sz="8"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 xml:space="preserve">25,2 </w:t>
            </w:r>
          </w:p>
        </w:tc>
        <w:tc>
          <w:tcPr>
            <w:tcW w:w="1196" w:type="dxa"/>
            <w:gridSpan w:val="2"/>
            <w:tcBorders>
              <w:top w:val="nil"/>
              <w:left w:val="nil"/>
              <w:bottom w:val="single" w:sz="8"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 xml:space="preserve">0,1 </w:t>
            </w:r>
          </w:p>
        </w:tc>
        <w:tc>
          <w:tcPr>
            <w:tcW w:w="1012" w:type="dxa"/>
            <w:tcBorders>
              <w:top w:val="nil"/>
              <w:left w:val="nil"/>
              <w:bottom w:val="single" w:sz="8" w:space="0" w:color="auto"/>
              <w:right w:val="nil"/>
            </w:tcBorders>
            <w:noWrap/>
            <w:textDirection w:val="lrTb"/>
            <w:vAlign w:val="center"/>
            <w:hideMark/>
          </w:tcPr>
          <w:p w:rsidR="0009512E" w:rsidRPr="00904E61" w:rsidP="009C51D3">
            <w:pPr>
              <w:bidi w:val="0"/>
              <w:spacing w:after="0" w:line="240" w:lineRule="auto"/>
              <w:jc w:val="center"/>
              <w:rPr>
                <w:rFonts w:ascii="Arial Narrow" w:hAnsi="Arial Narrow" w:cs="Times New Roman"/>
                <w:color w:val="000000"/>
                <w:sz w:val="18"/>
                <w:szCs w:val="18"/>
              </w:rPr>
            </w:pPr>
            <w:r w:rsidRPr="00904E61">
              <w:rPr>
                <w:rFonts w:ascii="Arial Narrow" w:hAnsi="Arial Narrow" w:cs="Times New Roman"/>
                <w:color w:val="000000"/>
                <w:sz w:val="18"/>
                <w:szCs w:val="18"/>
              </w:rPr>
              <w:t>-</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nil"/>
              <w:right w:val="nil"/>
            </w:tcBorders>
            <w:noWrap/>
            <w:textDirection w:val="lrTb"/>
            <w:vAlign w:val="center"/>
            <w:hideMark/>
          </w:tcPr>
          <w:p w:rsidR="0009512E" w:rsidRPr="00904E61" w:rsidP="009C51D3">
            <w:pPr>
              <w:bidi w:val="0"/>
              <w:spacing w:after="0" w:line="240" w:lineRule="auto"/>
              <w:rPr>
                <w:rFonts w:ascii="Arial Narrow" w:hAnsi="Arial Narrow" w:cs="Times New Roman"/>
                <w:i/>
                <w:iCs/>
                <w:color w:val="000000"/>
                <w:sz w:val="18"/>
                <w:szCs w:val="18"/>
              </w:rPr>
            </w:pPr>
            <w:r w:rsidRPr="00904E61">
              <w:rPr>
                <w:rFonts w:ascii="Arial Narrow" w:hAnsi="Arial Narrow" w:cs="Times New Roman"/>
                <w:i/>
                <w:iCs/>
                <w:color w:val="000000"/>
                <w:sz w:val="18"/>
                <w:szCs w:val="18"/>
              </w:rPr>
              <w:t>* vrátane dane z úhrad za dobývací priestor</w:t>
            </w:r>
          </w:p>
        </w:tc>
        <w:tc>
          <w:tcPr>
            <w:tcW w:w="1295" w:type="dxa"/>
            <w:tcBorders>
              <w:top w:val="nil"/>
              <w:left w:val="nil"/>
              <w:bottom w:val="nil"/>
              <w:right w:val="nil"/>
            </w:tcBorders>
            <w:noWrap/>
            <w:textDirection w:val="lrTb"/>
            <w:vAlign w:val="center"/>
            <w:hideMark/>
          </w:tcPr>
          <w:p w:rsidR="0009512E" w:rsidRPr="00904E61" w:rsidP="009C51D3">
            <w:pPr>
              <w:bidi w:val="0"/>
              <w:spacing w:after="0" w:line="240" w:lineRule="auto"/>
              <w:rPr>
                <w:rFonts w:ascii="Arial Narrow" w:hAnsi="Arial Narrow" w:cs="Times New Roman"/>
                <w:color w:val="000000"/>
                <w:sz w:val="18"/>
                <w:szCs w:val="18"/>
              </w:rPr>
            </w:pPr>
          </w:p>
        </w:tc>
        <w:tc>
          <w:tcPr>
            <w:tcW w:w="1295"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rPr>
                <w:rFonts w:ascii="Arial Narrow" w:hAnsi="Arial Narrow" w:cs="Times New Roman"/>
                <w:color w:val="000000"/>
                <w:sz w:val="18"/>
                <w:szCs w:val="18"/>
              </w:rPr>
            </w:pPr>
          </w:p>
        </w:tc>
        <w:tc>
          <w:tcPr>
            <w:tcW w:w="1196"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rPr>
                <w:rFonts w:ascii="Arial Narrow" w:hAnsi="Arial Narrow" w:cs="Times New Roman"/>
                <w:color w:val="000000"/>
                <w:sz w:val="18"/>
                <w:szCs w:val="18"/>
              </w:rPr>
            </w:pPr>
          </w:p>
        </w:tc>
        <w:tc>
          <w:tcPr>
            <w:tcW w:w="1012" w:type="dxa"/>
            <w:tcBorders>
              <w:top w:val="nil"/>
              <w:left w:val="nil"/>
              <w:bottom w:val="nil"/>
              <w:right w:val="nil"/>
            </w:tcBorders>
            <w:noWrap/>
            <w:textDirection w:val="lrTb"/>
            <w:vAlign w:val="center"/>
            <w:hideMark/>
          </w:tcPr>
          <w:p w:rsidR="0009512E" w:rsidRPr="00904E61" w:rsidP="009C51D3">
            <w:pPr>
              <w:bidi w:val="0"/>
              <w:spacing w:after="0" w:line="240" w:lineRule="auto"/>
              <w:rPr>
                <w:rFonts w:ascii="Arial Narrow" w:hAnsi="Arial Narrow" w:cs="Times New Roman"/>
                <w:i/>
                <w:iCs/>
                <w:color w:val="000000"/>
                <w:sz w:val="16"/>
                <w:szCs w:val="16"/>
              </w:rPr>
            </w:pPr>
            <w:r w:rsidRPr="00904E61">
              <w:rPr>
                <w:rFonts w:ascii="Arial Narrow" w:hAnsi="Arial Narrow" w:cs="Times New Roman"/>
                <w:i/>
                <w:iCs/>
                <w:color w:val="000000"/>
                <w:sz w:val="16"/>
                <w:szCs w:val="16"/>
              </w:rPr>
              <w:t>Zdroj: MFSR</w:t>
            </w:r>
          </w:p>
        </w:tc>
      </w:tr>
      <w:tr>
        <w:tblPrEx>
          <w:tblW w:w="9114" w:type="dxa"/>
          <w:jc w:val="center"/>
          <w:tblCellMar>
            <w:left w:w="70" w:type="dxa"/>
            <w:right w:w="70" w:type="dxa"/>
          </w:tblCellMar>
          <w:tblLook w:val="04A0"/>
        </w:tblPrEx>
        <w:trPr>
          <w:trHeight w:hRule="exact" w:val="254"/>
          <w:jc w:val="center"/>
        </w:trPr>
        <w:tc>
          <w:tcPr>
            <w:tcW w:w="4316" w:type="dxa"/>
            <w:tcBorders>
              <w:top w:val="nil"/>
              <w:left w:val="nil"/>
              <w:bottom w:val="nil"/>
              <w:right w:val="nil"/>
            </w:tcBorders>
            <w:noWrap/>
            <w:textDirection w:val="lrTb"/>
            <w:vAlign w:val="center"/>
            <w:hideMark/>
          </w:tcPr>
          <w:p w:rsidR="0009512E" w:rsidRPr="00904E61" w:rsidP="009C51D3">
            <w:pPr>
              <w:bidi w:val="0"/>
              <w:spacing w:after="0" w:line="240" w:lineRule="auto"/>
              <w:rPr>
                <w:rFonts w:ascii="Arial Narrow" w:hAnsi="Arial Narrow" w:cs="Times New Roman"/>
                <w:i/>
                <w:iCs/>
                <w:color w:val="000000"/>
                <w:sz w:val="18"/>
                <w:szCs w:val="18"/>
              </w:rPr>
            </w:pPr>
            <w:r w:rsidRPr="00904E61">
              <w:rPr>
                <w:rFonts w:ascii="Arial Narrow" w:hAnsi="Arial Narrow" w:cs="Times New Roman"/>
                <w:i/>
                <w:iCs/>
                <w:color w:val="000000"/>
                <w:sz w:val="18"/>
                <w:szCs w:val="18"/>
              </w:rPr>
              <w:t>** vrátane transferu úspor z druhého piliera</w:t>
            </w:r>
          </w:p>
        </w:tc>
        <w:tc>
          <w:tcPr>
            <w:tcW w:w="1295" w:type="dxa"/>
            <w:tcBorders>
              <w:top w:val="nil"/>
              <w:left w:val="nil"/>
              <w:bottom w:val="nil"/>
              <w:right w:val="nil"/>
            </w:tcBorders>
            <w:noWrap/>
            <w:textDirection w:val="lrTb"/>
            <w:vAlign w:val="center"/>
            <w:hideMark/>
          </w:tcPr>
          <w:p w:rsidR="0009512E" w:rsidRPr="00904E61" w:rsidP="009C51D3">
            <w:pPr>
              <w:bidi w:val="0"/>
              <w:spacing w:after="0" w:line="240" w:lineRule="auto"/>
              <w:rPr>
                <w:rFonts w:ascii="Arial Narrow" w:hAnsi="Arial Narrow" w:cs="Times New Roman"/>
                <w:color w:val="000000"/>
              </w:rPr>
            </w:pPr>
          </w:p>
        </w:tc>
        <w:tc>
          <w:tcPr>
            <w:tcW w:w="1295"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rPr>
                <w:rFonts w:ascii="Arial Narrow" w:hAnsi="Arial Narrow" w:cs="Times New Roman"/>
                <w:color w:val="000000"/>
              </w:rPr>
            </w:pPr>
          </w:p>
        </w:tc>
        <w:tc>
          <w:tcPr>
            <w:tcW w:w="1196" w:type="dxa"/>
            <w:gridSpan w:val="2"/>
            <w:tcBorders>
              <w:top w:val="nil"/>
              <w:left w:val="nil"/>
              <w:bottom w:val="nil"/>
              <w:right w:val="nil"/>
            </w:tcBorders>
            <w:noWrap/>
            <w:textDirection w:val="lrTb"/>
            <w:vAlign w:val="center"/>
            <w:hideMark/>
          </w:tcPr>
          <w:p w:rsidR="0009512E" w:rsidRPr="00904E61" w:rsidP="009C51D3">
            <w:pPr>
              <w:bidi w:val="0"/>
              <w:spacing w:after="0" w:line="240" w:lineRule="auto"/>
              <w:rPr>
                <w:rFonts w:ascii="Arial Narrow" w:hAnsi="Arial Narrow" w:cs="Times New Roman"/>
                <w:color w:val="000000"/>
              </w:rPr>
            </w:pPr>
          </w:p>
        </w:tc>
        <w:tc>
          <w:tcPr>
            <w:tcW w:w="1012" w:type="dxa"/>
            <w:tcBorders>
              <w:top w:val="nil"/>
              <w:left w:val="nil"/>
              <w:bottom w:val="nil"/>
              <w:right w:val="nil"/>
            </w:tcBorders>
            <w:noWrap/>
            <w:textDirection w:val="lrTb"/>
            <w:vAlign w:val="center"/>
            <w:hideMark/>
          </w:tcPr>
          <w:p w:rsidR="0009512E" w:rsidRPr="00904E61" w:rsidP="009C51D3">
            <w:pPr>
              <w:bidi w:val="0"/>
              <w:spacing w:after="0" w:line="240" w:lineRule="auto"/>
              <w:rPr>
                <w:rFonts w:ascii="Arial Narrow" w:hAnsi="Arial Narrow" w:cs="Times New Roman"/>
                <w:color w:val="000000"/>
              </w:rPr>
            </w:pPr>
          </w:p>
        </w:tc>
      </w:tr>
    </w:tbl>
    <w:p w:rsidR="0009512E" w:rsidP="0009512E">
      <w:pPr>
        <w:autoSpaceDE w:val="0"/>
        <w:autoSpaceDN w:val="0"/>
        <w:bidi w:val="0"/>
        <w:adjustRightInd w:val="0"/>
        <w:jc w:val="both"/>
        <w:rPr>
          <w:rFonts w:ascii="Arial Narrow" w:hAnsi="Arial Narrow" w:cs="Arial Narrow"/>
        </w:rPr>
      </w:pPr>
    </w:p>
    <w:p w:rsidR="0009512E" w:rsidRPr="00403E79" w:rsidP="0009512E">
      <w:pPr>
        <w:autoSpaceDE w:val="0"/>
        <w:autoSpaceDN w:val="0"/>
        <w:bidi w:val="0"/>
        <w:adjustRightInd w:val="0"/>
        <w:jc w:val="both"/>
        <w:rPr>
          <w:rFonts w:ascii="Arial Narrow" w:hAnsi="Arial Narrow" w:cs="Arial Narrow"/>
        </w:rPr>
      </w:pPr>
      <w:r w:rsidRPr="00403E79">
        <w:rPr>
          <w:rFonts w:ascii="Arial Narrow" w:hAnsi="Arial Narrow" w:cs="Arial Narrow"/>
        </w:rPr>
        <w:t xml:space="preserve">K zníženiu odhadu daňových príjmov na rok 2011 prispela aj </w:t>
      </w:r>
      <w:r w:rsidRPr="00403E79">
        <w:rPr>
          <w:rFonts w:ascii="Arial Narrow" w:hAnsi="Arial Narrow" w:cs="Arial Narrow"/>
          <w:b/>
          <w:bCs/>
        </w:rPr>
        <w:t>aktualizácia prognózy makroekonomického prostredia</w:t>
      </w:r>
      <w:r w:rsidRPr="00403E79">
        <w:rPr>
          <w:rFonts w:ascii="Arial Narrow" w:hAnsi="Arial Narrow" w:cs="Arial Narrow"/>
        </w:rPr>
        <w:t>. V porovnaní s rozpočtom verejnej správy na roky 2011 až 2013 došlo k zlepšeniu odhadu najmä v prípade reálneho rastu HDP, konečnej spotreby domácností (reálnej aj nominálnej) a počtu zamestnaných, čo sa v konečnom dôsledku odrazilo aj v raste mzdovej bázy.</w:t>
      </w:r>
    </w:p>
    <w:p w:rsidR="0009512E" w:rsidRPr="00403E79" w:rsidP="0009512E">
      <w:pPr>
        <w:autoSpaceDE w:val="0"/>
        <w:autoSpaceDN w:val="0"/>
        <w:bidi w:val="0"/>
        <w:adjustRightInd w:val="0"/>
        <w:jc w:val="both"/>
        <w:rPr>
          <w:rFonts w:ascii="Arial Narrow" w:hAnsi="Arial Narrow" w:cs="Arial Narrow"/>
        </w:rPr>
      </w:pPr>
    </w:p>
    <w:tbl>
      <w:tblPr>
        <w:tblStyle w:val="TableNormal"/>
        <w:tblW w:w="9060" w:type="dxa"/>
        <w:jc w:val="center"/>
        <w:tblCellMar>
          <w:left w:w="70" w:type="dxa"/>
          <w:right w:w="70" w:type="dxa"/>
        </w:tblCellMar>
        <w:tblLook w:val="04A0"/>
      </w:tblPr>
      <w:tblGrid>
        <w:gridCol w:w="3620"/>
        <w:gridCol w:w="1720"/>
        <w:gridCol w:w="1240"/>
        <w:gridCol w:w="1240"/>
        <w:gridCol w:w="1240"/>
      </w:tblGrid>
      <w:tr>
        <w:tblPrEx>
          <w:tblW w:w="9060" w:type="dxa"/>
          <w:jc w:val="center"/>
          <w:tblCellMar>
            <w:left w:w="70" w:type="dxa"/>
            <w:right w:w="70" w:type="dxa"/>
          </w:tblCellMar>
          <w:tblLook w:val="04A0"/>
        </w:tblPrEx>
        <w:trPr>
          <w:trHeight w:val="330"/>
          <w:jc w:val="center"/>
        </w:trPr>
        <w:tc>
          <w:tcPr>
            <w:tcW w:w="9060" w:type="dxa"/>
            <w:gridSpan w:val="5"/>
            <w:tcBorders>
              <w:top w:val="nil"/>
              <w:left w:val="nil"/>
              <w:bottom w:val="nil"/>
              <w:right w:val="nil"/>
            </w:tcBorders>
            <w:shd w:val="clear" w:color="000000" w:fill="000000"/>
            <w:noWrap/>
            <w:textDirection w:val="lrTb"/>
            <w:vAlign w:val="center"/>
            <w:hideMark/>
          </w:tcPr>
          <w:p w:rsidR="0009512E" w:rsidRPr="00403E79" w:rsidP="009C51D3">
            <w:pPr>
              <w:bidi w:val="0"/>
              <w:spacing w:after="0" w:line="240" w:lineRule="auto"/>
              <w:rPr>
                <w:rFonts w:ascii="Arial Narrow" w:hAnsi="Arial Narrow" w:cs="Times New Roman"/>
                <w:b/>
                <w:bCs/>
                <w:color w:val="FFFFFF"/>
                <w:sz w:val="20"/>
                <w:szCs w:val="20"/>
              </w:rPr>
            </w:pPr>
            <w:r w:rsidRPr="00403E79">
              <w:rPr>
                <w:rFonts w:ascii="Arial Narrow" w:hAnsi="Arial Narrow" w:cs="Times New Roman"/>
                <w:b/>
                <w:bCs/>
                <w:color w:val="FFFFFF"/>
                <w:sz w:val="20"/>
                <w:szCs w:val="20"/>
              </w:rPr>
              <w:t>Porovnanie makroekonomických predpokladov na rok 2011 v čase rozpočtu oproti aktuálnemu odhadu</w:t>
            </w:r>
          </w:p>
        </w:tc>
      </w:tr>
      <w:tr>
        <w:tblPrEx>
          <w:tblW w:w="9060" w:type="dxa"/>
          <w:jc w:val="center"/>
          <w:tblCellMar>
            <w:left w:w="70" w:type="dxa"/>
            <w:right w:w="70" w:type="dxa"/>
          </w:tblCellMar>
          <w:tblLook w:val="04A0"/>
        </w:tblPrEx>
        <w:trPr>
          <w:trHeight w:hRule="exact" w:val="479"/>
          <w:jc w:val="center"/>
        </w:trPr>
        <w:tc>
          <w:tcPr>
            <w:tcW w:w="3620" w:type="dxa"/>
            <w:vMerge w:val="restart"/>
            <w:tcBorders>
              <w:top w:val="nil"/>
              <w:left w:val="nil"/>
              <w:bottom w:val="single" w:sz="8" w:space="0" w:color="000000"/>
              <w:right w:val="nil"/>
            </w:tcBorders>
            <w:shd w:val="clear" w:color="000000" w:fill="BFBFBF"/>
            <w:noWrap/>
            <w:textDirection w:val="lrTb"/>
            <w:vAlign w:val="center"/>
            <w:hideMark/>
          </w:tcPr>
          <w:p w:rsidR="0009512E" w:rsidRPr="00403E79" w:rsidP="009C51D3">
            <w:pPr>
              <w:bidi w:val="0"/>
              <w:spacing w:after="0" w:line="240" w:lineRule="auto"/>
              <w:jc w:val="center"/>
              <w:rPr>
                <w:rFonts w:ascii="Arial Narrow" w:hAnsi="Arial Narrow" w:cs="Times New Roman"/>
                <w:b/>
                <w:bCs/>
                <w:sz w:val="18"/>
                <w:szCs w:val="18"/>
              </w:rPr>
            </w:pPr>
            <w:r w:rsidRPr="00403E79">
              <w:rPr>
                <w:rFonts w:ascii="Arial Narrow" w:hAnsi="Arial Narrow" w:cs="Times New Roman"/>
                <w:b/>
                <w:bCs/>
                <w:sz w:val="18"/>
                <w:szCs w:val="18"/>
              </w:rPr>
              <w:t>Ukazovateľ (%)</w:t>
            </w:r>
          </w:p>
        </w:tc>
        <w:tc>
          <w:tcPr>
            <w:tcW w:w="1720" w:type="dxa"/>
            <w:vMerge w:val="restart"/>
            <w:tcBorders>
              <w:top w:val="nil"/>
              <w:left w:val="nil"/>
              <w:bottom w:val="single" w:sz="8" w:space="0" w:color="000000"/>
              <w:right w:val="nil"/>
            </w:tcBorders>
            <w:shd w:val="clear" w:color="000000" w:fill="BFBFBF"/>
            <w:textDirection w:val="lrTb"/>
            <w:vAlign w:val="center"/>
            <w:hideMark/>
          </w:tcPr>
          <w:p w:rsidR="0009512E" w:rsidRPr="00403E79" w:rsidP="009C51D3">
            <w:pPr>
              <w:bidi w:val="0"/>
              <w:spacing w:after="0" w:line="240" w:lineRule="auto"/>
              <w:jc w:val="center"/>
              <w:rPr>
                <w:rFonts w:ascii="Arial Narrow" w:hAnsi="Arial Narrow" w:cs="Times New Roman"/>
                <w:b/>
                <w:bCs/>
                <w:color w:val="000000"/>
                <w:sz w:val="18"/>
                <w:szCs w:val="18"/>
              </w:rPr>
            </w:pPr>
            <w:r w:rsidRPr="00403E79">
              <w:rPr>
                <w:rFonts w:ascii="Arial Narrow" w:hAnsi="Arial Narrow" w:cs="Times New Roman"/>
                <w:b/>
                <w:bCs/>
                <w:color w:val="000000"/>
                <w:sz w:val="18"/>
                <w:szCs w:val="18"/>
              </w:rPr>
              <w:t>Základňa pre daň</w:t>
            </w:r>
          </w:p>
        </w:tc>
        <w:tc>
          <w:tcPr>
            <w:tcW w:w="1240" w:type="dxa"/>
            <w:tcBorders>
              <w:top w:val="nil"/>
              <w:left w:val="nil"/>
              <w:bottom w:val="none" w:sz="0" w:space="0" w:color="auto"/>
              <w:right w:val="nil"/>
            </w:tcBorders>
            <w:shd w:val="clear" w:color="000000" w:fill="BFBFBF"/>
            <w:textDirection w:val="lrTb"/>
            <w:vAlign w:val="center"/>
            <w:hideMark/>
          </w:tcPr>
          <w:p w:rsidR="0009512E" w:rsidRPr="00403E79" w:rsidP="009C51D3">
            <w:pPr>
              <w:bidi w:val="0"/>
              <w:spacing w:after="0" w:line="240" w:lineRule="auto"/>
              <w:jc w:val="center"/>
              <w:rPr>
                <w:rFonts w:ascii="Arial Narrow" w:hAnsi="Arial Narrow" w:cs="Times New Roman"/>
                <w:b/>
                <w:bCs/>
                <w:color w:val="000000"/>
                <w:sz w:val="18"/>
                <w:szCs w:val="18"/>
              </w:rPr>
            </w:pPr>
            <w:r w:rsidRPr="00403E79">
              <w:rPr>
                <w:rFonts w:ascii="Arial Narrow" w:hAnsi="Arial Narrow" w:cs="Times New Roman"/>
                <w:b/>
                <w:bCs/>
                <w:color w:val="000000"/>
                <w:sz w:val="18"/>
                <w:szCs w:val="18"/>
              </w:rPr>
              <w:t>RVS                    2011 - 2013</w:t>
            </w:r>
          </w:p>
        </w:tc>
        <w:tc>
          <w:tcPr>
            <w:tcW w:w="1240" w:type="dxa"/>
            <w:tcBorders>
              <w:top w:val="nil"/>
              <w:left w:val="nil"/>
              <w:bottom w:val="none" w:sz="0" w:space="0" w:color="auto"/>
              <w:right w:val="nil"/>
            </w:tcBorders>
            <w:shd w:val="clear" w:color="000000" w:fill="BFBFBF"/>
            <w:textDirection w:val="lrTb"/>
            <w:vAlign w:val="center"/>
            <w:hideMark/>
          </w:tcPr>
          <w:p w:rsidR="0009512E" w:rsidRPr="00403E79" w:rsidP="009C51D3">
            <w:pPr>
              <w:bidi w:val="0"/>
              <w:spacing w:after="0" w:line="240" w:lineRule="auto"/>
              <w:jc w:val="center"/>
              <w:rPr>
                <w:rFonts w:ascii="Arial Narrow" w:hAnsi="Arial Narrow" w:cs="Times New Roman"/>
                <w:b/>
                <w:bCs/>
                <w:color w:val="000000"/>
                <w:sz w:val="18"/>
                <w:szCs w:val="18"/>
              </w:rPr>
            </w:pPr>
            <w:r w:rsidRPr="00403E79">
              <w:rPr>
                <w:rFonts w:ascii="Arial Narrow" w:hAnsi="Arial Narrow" w:cs="Times New Roman"/>
                <w:b/>
                <w:bCs/>
                <w:color w:val="000000"/>
                <w:sz w:val="18"/>
                <w:szCs w:val="18"/>
              </w:rPr>
              <w:t>Aktuálny odhad</w:t>
            </w:r>
          </w:p>
        </w:tc>
        <w:tc>
          <w:tcPr>
            <w:tcW w:w="1240" w:type="dxa"/>
            <w:tcBorders>
              <w:top w:val="nil"/>
              <w:left w:val="nil"/>
              <w:bottom w:val="none" w:sz="0" w:space="0" w:color="auto"/>
              <w:right w:val="nil"/>
            </w:tcBorders>
            <w:shd w:val="clear" w:color="000000" w:fill="BFBFBF"/>
            <w:textDirection w:val="lrTb"/>
            <w:vAlign w:val="center"/>
            <w:hideMark/>
          </w:tcPr>
          <w:p w:rsidR="0009512E" w:rsidRPr="00403E79" w:rsidP="009C51D3">
            <w:pPr>
              <w:bidi w:val="0"/>
              <w:spacing w:after="0" w:line="240" w:lineRule="auto"/>
              <w:jc w:val="center"/>
              <w:rPr>
                <w:rFonts w:ascii="Arial Narrow" w:hAnsi="Arial Narrow" w:cs="Times New Roman"/>
                <w:b/>
                <w:bCs/>
                <w:color w:val="000000"/>
                <w:sz w:val="18"/>
                <w:szCs w:val="18"/>
              </w:rPr>
            </w:pPr>
            <w:r w:rsidRPr="00403E79">
              <w:rPr>
                <w:rFonts w:ascii="Arial Narrow" w:hAnsi="Arial Narrow" w:cs="Times New Roman"/>
                <w:b/>
                <w:bCs/>
                <w:color w:val="000000"/>
                <w:sz w:val="18"/>
                <w:szCs w:val="18"/>
              </w:rPr>
              <w:t>Rozdiel oproti RVS</w:t>
            </w:r>
          </w:p>
        </w:tc>
      </w:tr>
      <w:tr>
        <w:tblPrEx>
          <w:tblW w:w="9060" w:type="dxa"/>
          <w:jc w:val="center"/>
          <w:tblCellMar>
            <w:left w:w="70" w:type="dxa"/>
            <w:right w:w="70" w:type="dxa"/>
          </w:tblCellMar>
          <w:tblLook w:val="04A0"/>
        </w:tblPrEx>
        <w:trPr>
          <w:trHeight w:hRule="exact" w:val="255"/>
          <w:jc w:val="center"/>
        </w:trPr>
        <w:tc>
          <w:tcPr>
            <w:tcW w:w="3620" w:type="dxa"/>
            <w:vMerge/>
            <w:tcBorders>
              <w:top w:val="nil"/>
              <w:left w:val="nil"/>
              <w:bottom w:val="single" w:sz="8" w:space="0" w:color="000000"/>
              <w:right w:val="nil"/>
            </w:tcBorders>
            <w:textDirection w:val="lrTb"/>
            <w:vAlign w:val="center"/>
            <w:hideMark/>
          </w:tcPr>
          <w:p w:rsidR="0009512E" w:rsidRPr="00403E79" w:rsidP="009C51D3">
            <w:pPr>
              <w:bidi w:val="0"/>
              <w:spacing w:after="0" w:line="240" w:lineRule="auto"/>
              <w:jc w:val="center"/>
              <w:rPr>
                <w:rFonts w:ascii="Arial Narrow" w:hAnsi="Arial Narrow" w:cs="Times New Roman"/>
                <w:b/>
                <w:bCs/>
                <w:sz w:val="18"/>
                <w:szCs w:val="18"/>
              </w:rPr>
            </w:pPr>
          </w:p>
        </w:tc>
        <w:tc>
          <w:tcPr>
            <w:tcW w:w="1720" w:type="dxa"/>
            <w:vMerge/>
            <w:tcBorders>
              <w:top w:val="nil"/>
              <w:left w:val="nil"/>
              <w:bottom w:val="single" w:sz="8" w:space="0" w:color="000000"/>
              <w:right w:val="nil"/>
            </w:tcBorders>
            <w:textDirection w:val="lrTb"/>
            <w:vAlign w:val="center"/>
            <w:hideMark/>
          </w:tcPr>
          <w:p w:rsidR="0009512E" w:rsidRPr="00403E79" w:rsidP="009C51D3">
            <w:pPr>
              <w:bidi w:val="0"/>
              <w:spacing w:after="0" w:line="240" w:lineRule="auto"/>
              <w:jc w:val="center"/>
              <w:rPr>
                <w:rFonts w:ascii="Arial Narrow" w:hAnsi="Arial Narrow" w:cs="Times New Roman"/>
                <w:b/>
                <w:bCs/>
                <w:color w:val="000000"/>
                <w:sz w:val="18"/>
                <w:szCs w:val="18"/>
              </w:rPr>
            </w:pPr>
          </w:p>
        </w:tc>
        <w:tc>
          <w:tcPr>
            <w:tcW w:w="1240" w:type="dxa"/>
            <w:tcBorders>
              <w:top w:val="none" w:sz="0" w:space="0" w:color="auto"/>
              <w:left w:val="nil"/>
              <w:bottom w:val="single" w:sz="8" w:space="0" w:color="auto"/>
              <w:right w:val="nil"/>
            </w:tcBorders>
            <w:shd w:val="clear" w:color="000000" w:fill="BFBFBF"/>
            <w:textDirection w:val="lrTb"/>
            <w:vAlign w:val="center"/>
            <w:hideMark/>
          </w:tcPr>
          <w:p w:rsidR="0009512E" w:rsidRPr="00403E79" w:rsidP="009C51D3">
            <w:pPr>
              <w:bidi w:val="0"/>
              <w:spacing w:after="0" w:line="240" w:lineRule="auto"/>
              <w:jc w:val="center"/>
              <w:rPr>
                <w:rFonts w:ascii="Arial Narrow" w:hAnsi="Arial Narrow" w:cs="Times New Roman"/>
                <w:b/>
                <w:bCs/>
                <w:color w:val="000000"/>
                <w:sz w:val="18"/>
                <w:szCs w:val="18"/>
              </w:rPr>
            </w:pPr>
            <w:r w:rsidRPr="00403E79">
              <w:rPr>
                <w:rFonts w:ascii="Arial Narrow" w:hAnsi="Arial Narrow" w:cs="Times New Roman"/>
                <w:b/>
                <w:bCs/>
                <w:color w:val="000000"/>
                <w:sz w:val="18"/>
                <w:szCs w:val="18"/>
              </w:rPr>
              <w:t>(1)</w:t>
            </w:r>
          </w:p>
        </w:tc>
        <w:tc>
          <w:tcPr>
            <w:tcW w:w="1240" w:type="dxa"/>
            <w:tcBorders>
              <w:top w:val="none" w:sz="0" w:space="0" w:color="auto"/>
              <w:left w:val="nil"/>
              <w:bottom w:val="single" w:sz="8" w:space="0" w:color="auto"/>
              <w:right w:val="nil"/>
            </w:tcBorders>
            <w:shd w:val="clear" w:color="000000" w:fill="BFBFBF"/>
            <w:textDirection w:val="lrTb"/>
            <w:vAlign w:val="center"/>
            <w:hideMark/>
          </w:tcPr>
          <w:p w:rsidR="0009512E" w:rsidRPr="00403E79" w:rsidP="009C51D3">
            <w:pPr>
              <w:bidi w:val="0"/>
              <w:spacing w:after="0" w:line="240" w:lineRule="auto"/>
              <w:jc w:val="center"/>
              <w:rPr>
                <w:rFonts w:ascii="Arial Narrow" w:hAnsi="Arial Narrow" w:cs="Times New Roman"/>
                <w:b/>
                <w:bCs/>
                <w:color w:val="000000"/>
                <w:sz w:val="18"/>
                <w:szCs w:val="18"/>
              </w:rPr>
            </w:pPr>
            <w:r w:rsidRPr="00403E79">
              <w:rPr>
                <w:rFonts w:ascii="Arial Narrow" w:hAnsi="Arial Narrow" w:cs="Times New Roman"/>
                <w:b/>
                <w:bCs/>
                <w:color w:val="000000"/>
                <w:sz w:val="18"/>
                <w:szCs w:val="18"/>
              </w:rPr>
              <w:t>(2)</w:t>
            </w:r>
          </w:p>
        </w:tc>
        <w:tc>
          <w:tcPr>
            <w:tcW w:w="1240" w:type="dxa"/>
            <w:tcBorders>
              <w:top w:val="none" w:sz="0" w:space="0" w:color="auto"/>
              <w:left w:val="nil"/>
              <w:bottom w:val="single" w:sz="8" w:space="0" w:color="auto"/>
              <w:right w:val="nil"/>
            </w:tcBorders>
            <w:shd w:val="clear" w:color="000000" w:fill="BFBFBF"/>
            <w:textDirection w:val="lrTb"/>
            <w:vAlign w:val="center"/>
            <w:hideMark/>
          </w:tcPr>
          <w:p w:rsidR="0009512E" w:rsidRPr="00403E79" w:rsidP="009C51D3">
            <w:pPr>
              <w:bidi w:val="0"/>
              <w:spacing w:after="0" w:line="240" w:lineRule="auto"/>
              <w:jc w:val="center"/>
              <w:rPr>
                <w:rFonts w:ascii="Arial Narrow" w:hAnsi="Arial Narrow" w:cs="Times New Roman"/>
                <w:b/>
                <w:bCs/>
                <w:color w:val="000000"/>
                <w:sz w:val="18"/>
                <w:szCs w:val="18"/>
              </w:rPr>
            </w:pPr>
            <w:r w:rsidRPr="00403E79">
              <w:rPr>
                <w:rFonts w:ascii="Arial Narrow" w:hAnsi="Arial Narrow" w:cs="Times New Roman"/>
                <w:b/>
                <w:bCs/>
                <w:color w:val="000000"/>
                <w:sz w:val="18"/>
                <w:szCs w:val="18"/>
              </w:rPr>
              <w:t>3 = (2) - (1)</w:t>
            </w:r>
          </w:p>
        </w:tc>
      </w:tr>
      <w:tr>
        <w:tblPrEx>
          <w:tblW w:w="9060" w:type="dxa"/>
          <w:jc w:val="center"/>
          <w:tblCellMar>
            <w:left w:w="70" w:type="dxa"/>
            <w:right w:w="70" w:type="dxa"/>
          </w:tblCellMar>
          <w:tblLook w:val="04A0"/>
        </w:tblPrEx>
        <w:trPr>
          <w:trHeight w:hRule="exact" w:val="255"/>
          <w:jc w:val="center"/>
        </w:trPr>
        <w:tc>
          <w:tcPr>
            <w:tcW w:w="3620" w:type="dxa"/>
            <w:tcBorders>
              <w:top w:val="nil"/>
              <w:left w:val="nil"/>
              <w:bottom w:val="nil"/>
              <w:right w:val="nil"/>
            </w:tcBorders>
            <w:noWrap/>
            <w:textDirection w:val="lrTb"/>
            <w:vAlign w:val="center"/>
            <w:hideMark/>
          </w:tcPr>
          <w:p w:rsidR="0009512E" w:rsidRPr="00403E79" w:rsidP="009C51D3">
            <w:pPr>
              <w:bidi w:val="0"/>
              <w:spacing w:after="0" w:line="240" w:lineRule="auto"/>
              <w:rPr>
                <w:rFonts w:ascii="Arial Narrow" w:hAnsi="Arial Narrow" w:cs="Times New Roman"/>
                <w:color w:val="000000"/>
                <w:sz w:val="18"/>
                <w:szCs w:val="18"/>
              </w:rPr>
            </w:pPr>
            <w:r w:rsidRPr="00403E79">
              <w:rPr>
                <w:rFonts w:ascii="Arial Narrow" w:hAnsi="Arial Narrow" w:cs="Times New Roman"/>
                <w:color w:val="000000"/>
                <w:sz w:val="18"/>
                <w:szCs w:val="18"/>
              </w:rPr>
              <w:t xml:space="preserve">HDP; b.c. (mil. </w:t>
            </w:r>
            <w:r>
              <w:rPr>
                <w:rFonts w:ascii="Arial Narrow" w:hAnsi="Arial Narrow" w:cs="Times New Roman"/>
                <w:color w:val="000000"/>
                <w:sz w:val="18"/>
                <w:szCs w:val="18"/>
              </w:rPr>
              <w:t>e</w:t>
            </w:r>
            <w:r w:rsidRPr="00403E79">
              <w:rPr>
                <w:rFonts w:ascii="Arial Narrow" w:hAnsi="Arial Narrow" w:cs="Times New Roman"/>
                <w:color w:val="000000"/>
                <w:sz w:val="18"/>
                <w:szCs w:val="18"/>
              </w:rPr>
              <w:t>ur)</w:t>
            </w:r>
          </w:p>
        </w:tc>
        <w:tc>
          <w:tcPr>
            <w:tcW w:w="172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70 173,6</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69 674,0</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-499,6</w:t>
            </w:r>
          </w:p>
        </w:tc>
      </w:tr>
      <w:tr>
        <w:tblPrEx>
          <w:tblW w:w="9060" w:type="dxa"/>
          <w:jc w:val="center"/>
          <w:tblCellMar>
            <w:left w:w="70" w:type="dxa"/>
            <w:right w:w="70" w:type="dxa"/>
          </w:tblCellMar>
          <w:tblLook w:val="04A0"/>
        </w:tblPrEx>
        <w:trPr>
          <w:trHeight w:hRule="exact" w:val="255"/>
          <w:jc w:val="center"/>
        </w:trPr>
        <w:tc>
          <w:tcPr>
            <w:tcW w:w="3620" w:type="dxa"/>
            <w:tcBorders>
              <w:top w:val="nil"/>
              <w:left w:val="nil"/>
              <w:bottom w:val="nil"/>
              <w:right w:val="nil"/>
            </w:tcBorders>
            <w:noWrap/>
            <w:textDirection w:val="lrTb"/>
            <w:vAlign w:val="center"/>
            <w:hideMark/>
          </w:tcPr>
          <w:p w:rsidR="0009512E" w:rsidRPr="00403E79" w:rsidP="009C51D3">
            <w:pPr>
              <w:bidi w:val="0"/>
              <w:spacing w:after="0" w:line="240" w:lineRule="auto"/>
              <w:rPr>
                <w:rFonts w:ascii="Arial Narrow" w:hAnsi="Arial Narrow" w:cs="Times New Roman"/>
                <w:sz w:val="18"/>
                <w:szCs w:val="18"/>
              </w:rPr>
            </w:pPr>
            <w:r w:rsidRPr="00403E79">
              <w:rPr>
                <w:rFonts w:ascii="Arial Narrow" w:hAnsi="Arial Narrow" w:cs="Times New Roman"/>
                <w:sz w:val="18"/>
                <w:szCs w:val="18"/>
              </w:rPr>
              <w:t>HDP; reálny rast</w:t>
            </w:r>
          </w:p>
        </w:tc>
        <w:tc>
          <w:tcPr>
            <w:tcW w:w="172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3,3</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3,6</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0,3</w:t>
            </w:r>
          </w:p>
        </w:tc>
      </w:tr>
      <w:tr>
        <w:tblPrEx>
          <w:tblW w:w="9060" w:type="dxa"/>
          <w:jc w:val="center"/>
          <w:tblCellMar>
            <w:left w:w="70" w:type="dxa"/>
            <w:right w:w="70" w:type="dxa"/>
          </w:tblCellMar>
          <w:tblLook w:val="04A0"/>
        </w:tblPrEx>
        <w:trPr>
          <w:trHeight w:hRule="exact" w:val="255"/>
          <w:jc w:val="center"/>
        </w:trPr>
        <w:tc>
          <w:tcPr>
            <w:tcW w:w="3620" w:type="dxa"/>
            <w:tcBorders>
              <w:top w:val="nil"/>
              <w:left w:val="nil"/>
              <w:bottom w:val="nil"/>
              <w:right w:val="nil"/>
            </w:tcBorders>
            <w:noWrap/>
            <w:textDirection w:val="lrTb"/>
            <w:vAlign w:val="center"/>
            <w:hideMark/>
          </w:tcPr>
          <w:p w:rsidR="0009512E" w:rsidRPr="00403E79" w:rsidP="009C51D3">
            <w:pPr>
              <w:bidi w:val="0"/>
              <w:spacing w:after="0" w:line="240" w:lineRule="auto"/>
              <w:rPr>
                <w:rFonts w:ascii="Arial Narrow" w:hAnsi="Arial Narrow" w:cs="Times New Roman"/>
                <w:sz w:val="18"/>
                <w:szCs w:val="18"/>
              </w:rPr>
            </w:pPr>
            <w:r w:rsidRPr="00403E79">
              <w:rPr>
                <w:rFonts w:ascii="Arial Narrow" w:hAnsi="Arial Narrow" w:cs="Times New Roman"/>
                <w:sz w:val="18"/>
                <w:szCs w:val="18"/>
              </w:rPr>
              <w:t>HDP; nominálny rast</w:t>
            </w:r>
          </w:p>
        </w:tc>
        <w:tc>
          <w:tcPr>
            <w:tcW w:w="172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DPPO, DP zrážka</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6,5</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5,7</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-0,7</w:t>
            </w:r>
          </w:p>
        </w:tc>
      </w:tr>
      <w:tr>
        <w:tblPrEx>
          <w:tblW w:w="9060" w:type="dxa"/>
          <w:jc w:val="center"/>
          <w:tblCellMar>
            <w:left w:w="70" w:type="dxa"/>
            <w:right w:w="70" w:type="dxa"/>
          </w:tblCellMar>
          <w:tblLook w:val="04A0"/>
        </w:tblPrEx>
        <w:trPr>
          <w:trHeight w:hRule="exact" w:val="255"/>
          <w:jc w:val="center"/>
        </w:trPr>
        <w:tc>
          <w:tcPr>
            <w:tcW w:w="3620" w:type="dxa"/>
            <w:tcBorders>
              <w:top w:val="nil"/>
              <w:left w:val="nil"/>
              <w:bottom w:val="nil"/>
              <w:right w:val="nil"/>
            </w:tcBorders>
            <w:textDirection w:val="lrTb"/>
            <w:vAlign w:val="center"/>
            <w:hideMark/>
          </w:tcPr>
          <w:p w:rsidR="0009512E" w:rsidRPr="00403E79" w:rsidP="009C51D3">
            <w:pPr>
              <w:bidi w:val="0"/>
              <w:spacing w:after="0" w:line="240" w:lineRule="auto"/>
              <w:rPr>
                <w:rFonts w:ascii="Arial Narrow" w:hAnsi="Arial Narrow" w:cs="Times New Roman"/>
                <w:sz w:val="18"/>
                <w:szCs w:val="18"/>
              </w:rPr>
            </w:pPr>
            <w:r w:rsidRPr="00403E79">
              <w:rPr>
                <w:rFonts w:ascii="Arial Narrow" w:hAnsi="Arial Narrow" w:cs="Times New Roman"/>
                <w:sz w:val="18"/>
                <w:szCs w:val="18"/>
              </w:rPr>
              <w:t>Konečná spotreba domácností; reálny rast</w:t>
            </w:r>
          </w:p>
        </w:tc>
        <w:tc>
          <w:tcPr>
            <w:tcW w:w="172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Spotrebné dane</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0,4</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0,5</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0,1</w:t>
            </w:r>
          </w:p>
        </w:tc>
      </w:tr>
      <w:tr>
        <w:tblPrEx>
          <w:tblW w:w="9060" w:type="dxa"/>
          <w:jc w:val="center"/>
          <w:tblCellMar>
            <w:left w:w="70" w:type="dxa"/>
            <w:right w:w="70" w:type="dxa"/>
          </w:tblCellMar>
          <w:tblLook w:val="04A0"/>
        </w:tblPrEx>
        <w:trPr>
          <w:trHeight w:hRule="exact" w:val="255"/>
          <w:jc w:val="center"/>
        </w:trPr>
        <w:tc>
          <w:tcPr>
            <w:tcW w:w="3620" w:type="dxa"/>
            <w:tcBorders>
              <w:top w:val="nil"/>
              <w:left w:val="nil"/>
              <w:bottom w:val="nil"/>
              <w:right w:val="nil"/>
            </w:tcBorders>
            <w:textDirection w:val="lrTb"/>
            <w:vAlign w:val="center"/>
            <w:hideMark/>
          </w:tcPr>
          <w:p w:rsidR="0009512E" w:rsidRPr="00403E79" w:rsidP="009C51D3">
            <w:pPr>
              <w:bidi w:val="0"/>
              <w:spacing w:after="0" w:line="240" w:lineRule="auto"/>
              <w:rPr>
                <w:rFonts w:ascii="Arial Narrow" w:hAnsi="Arial Narrow" w:cs="Times New Roman"/>
                <w:sz w:val="18"/>
                <w:szCs w:val="18"/>
              </w:rPr>
            </w:pPr>
            <w:r w:rsidRPr="00403E79">
              <w:rPr>
                <w:rFonts w:ascii="Arial Narrow" w:hAnsi="Arial Narrow" w:cs="Times New Roman"/>
                <w:sz w:val="18"/>
                <w:szCs w:val="18"/>
              </w:rPr>
              <w:t>Konečná spotreba domácností; nominálny rast</w:t>
            </w:r>
          </w:p>
        </w:tc>
        <w:tc>
          <w:tcPr>
            <w:tcW w:w="172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DPH</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3,9</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4,3</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0,4</w:t>
            </w:r>
          </w:p>
        </w:tc>
      </w:tr>
      <w:tr>
        <w:tblPrEx>
          <w:tblW w:w="9060" w:type="dxa"/>
          <w:jc w:val="center"/>
          <w:tblCellMar>
            <w:left w:w="70" w:type="dxa"/>
            <w:right w:w="70" w:type="dxa"/>
          </w:tblCellMar>
          <w:tblLook w:val="04A0"/>
        </w:tblPrEx>
        <w:trPr>
          <w:trHeight w:hRule="exact" w:val="255"/>
          <w:jc w:val="center"/>
        </w:trPr>
        <w:tc>
          <w:tcPr>
            <w:tcW w:w="3620" w:type="dxa"/>
            <w:tcBorders>
              <w:top w:val="nil"/>
              <w:left w:val="nil"/>
              <w:bottom w:val="nil"/>
              <w:right w:val="nil"/>
            </w:tcBorders>
            <w:textDirection w:val="lrTb"/>
            <w:vAlign w:val="center"/>
            <w:hideMark/>
          </w:tcPr>
          <w:p w:rsidR="0009512E" w:rsidRPr="00403E79" w:rsidP="009C51D3">
            <w:pPr>
              <w:bidi w:val="0"/>
              <w:spacing w:after="0" w:line="240" w:lineRule="auto"/>
              <w:rPr>
                <w:rFonts w:ascii="Arial Narrow" w:hAnsi="Arial Narrow" w:cs="Times New Roman"/>
                <w:sz w:val="18"/>
                <w:szCs w:val="18"/>
              </w:rPr>
            </w:pPr>
            <w:r w:rsidRPr="00403E79">
              <w:rPr>
                <w:rFonts w:ascii="Arial Narrow" w:hAnsi="Arial Narrow" w:cs="Times New Roman"/>
                <w:sz w:val="18"/>
                <w:szCs w:val="18"/>
              </w:rPr>
              <w:t>Priem. mesačná mzda; nomin. rast</w:t>
            </w:r>
          </w:p>
        </w:tc>
        <w:tc>
          <w:tcPr>
            <w:tcW w:w="172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DPFO, Odvody</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3,7</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3,5</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-0,2</w:t>
            </w:r>
          </w:p>
        </w:tc>
      </w:tr>
      <w:tr>
        <w:tblPrEx>
          <w:tblW w:w="9060" w:type="dxa"/>
          <w:jc w:val="center"/>
          <w:tblCellMar>
            <w:left w:w="70" w:type="dxa"/>
            <w:right w:w="70" w:type="dxa"/>
          </w:tblCellMar>
          <w:tblLook w:val="04A0"/>
        </w:tblPrEx>
        <w:trPr>
          <w:trHeight w:hRule="exact" w:val="255"/>
          <w:jc w:val="center"/>
        </w:trPr>
        <w:tc>
          <w:tcPr>
            <w:tcW w:w="3620" w:type="dxa"/>
            <w:tcBorders>
              <w:top w:val="nil"/>
              <w:left w:val="nil"/>
              <w:bottom w:val="nil"/>
              <w:right w:val="nil"/>
            </w:tcBorders>
            <w:noWrap/>
            <w:textDirection w:val="lrTb"/>
            <w:vAlign w:val="center"/>
            <w:hideMark/>
          </w:tcPr>
          <w:p w:rsidR="0009512E" w:rsidRPr="00403E79" w:rsidP="009C51D3">
            <w:pPr>
              <w:bidi w:val="0"/>
              <w:spacing w:after="0" w:line="240" w:lineRule="auto"/>
              <w:rPr>
                <w:rFonts w:ascii="Arial Narrow" w:hAnsi="Arial Narrow" w:cs="Times New Roman"/>
                <w:sz w:val="18"/>
                <w:szCs w:val="18"/>
              </w:rPr>
            </w:pPr>
            <w:r w:rsidRPr="00403E79">
              <w:rPr>
                <w:rFonts w:ascii="Arial Narrow" w:hAnsi="Arial Narrow" w:cs="Times New Roman"/>
                <w:sz w:val="18"/>
                <w:szCs w:val="18"/>
              </w:rPr>
              <w:t>Počet zamestnaných, podľa evid. počtu; rast</w:t>
            </w:r>
          </w:p>
        </w:tc>
        <w:tc>
          <w:tcPr>
            <w:tcW w:w="172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DPFO, Odvody</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0,6</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1,7</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1,1</w:t>
            </w:r>
          </w:p>
        </w:tc>
      </w:tr>
      <w:tr>
        <w:tblPrEx>
          <w:tblW w:w="9060" w:type="dxa"/>
          <w:jc w:val="center"/>
          <w:tblCellMar>
            <w:left w:w="70" w:type="dxa"/>
            <w:right w:w="70" w:type="dxa"/>
          </w:tblCellMar>
          <w:tblLook w:val="04A0"/>
        </w:tblPrEx>
        <w:trPr>
          <w:trHeight w:hRule="exact" w:val="255"/>
          <w:jc w:val="center"/>
        </w:trPr>
        <w:tc>
          <w:tcPr>
            <w:tcW w:w="3620" w:type="dxa"/>
            <w:tcBorders>
              <w:top w:val="nil"/>
              <w:left w:val="nil"/>
              <w:bottom w:val="nil"/>
              <w:right w:val="nil"/>
            </w:tcBorders>
            <w:textDirection w:val="lrTb"/>
            <w:vAlign w:val="center"/>
            <w:hideMark/>
          </w:tcPr>
          <w:p w:rsidR="0009512E" w:rsidRPr="00403E79" w:rsidP="009C51D3">
            <w:pPr>
              <w:bidi w:val="0"/>
              <w:spacing w:after="0" w:line="240" w:lineRule="auto"/>
              <w:rPr>
                <w:rFonts w:ascii="Arial Narrow" w:hAnsi="Arial Narrow" w:cs="Times New Roman"/>
                <w:sz w:val="18"/>
                <w:szCs w:val="18"/>
              </w:rPr>
            </w:pPr>
            <w:r w:rsidRPr="00403E79">
              <w:rPr>
                <w:rFonts w:ascii="Arial Narrow" w:hAnsi="Arial Narrow" w:cs="Times New Roman"/>
                <w:sz w:val="18"/>
                <w:szCs w:val="18"/>
              </w:rPr>
              <w:t>Mzdová báza; rast  *)</w:t>
            </w:r>
          </w:p>
        </w:tc>
        <w:tc>
          <w:tcPr>
            <w:tcW w:w="172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DPFO, Odvody</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4,3</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5,3</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0,9</w:t>
            </w:r>
          </w:p>
        </w:tc>
      </w:tr>
      <w:tr>
        <w:tblPrEx>
          <w:tblW w:w="9060" w:type="dxa"/>
          <w:jc w:val="center"/>
          <w:tblCellMar>
            <w:left w:w="70" w:type="dxa"/>
            <w:right w:w="70" w:type="dxa"/>
          </w:tblCellMar>
          <w:tblLook w:val="04A0"/>
        </w:tblPrEx>
        <w:trPr>
          <w:trHeight w:hRule="exact" w:val="255"/>
          <w:jc w:val="center"/>
        </w:trPr>
        <w:tc>
          <w:tcPr>
            <w:tcW w:w="3620" w:type="dxa"/>
            <w:tcBorders>
              <w:top w:val="nil"/>
              <w:left w:val="nil"/>
              <w:bottom w:val="nil"/>
              <w:right w:val="nil"/>
            </w:tcBorders>
            <w:noWrap/>
            <w:textDirection w:val="lrTb"/>
            <w:vAlign w:val="center"/>
            <w:hideMark/>
          </w:tcPr>
          <w:p w:rsidR="0009512E" w:rsidRPr="00403E79" w:rsidP="009C51D3">
            <w:pPr>
              <w:bidi w:val="0"/>
              <w:spacing w:after="0" w:line="240" w:lineRule="auto"/>
              <w:rPr>
                <w:rFonts w:ascii="Arial Narrow" w:hAnsi="Arial Narrow" w:cs="Times New Roman"/>
                <w:sz w:val="18"/>
                <w:szCs w:val="18"/>
              </w:rPr>
            </w:pPr>
            <w:r w:rsidRPr="00403E79">
              <w:rPr>
                <w:rFonts w:ascii="Arial Narrow" w:hAnsi="Arial Narrow" w:cs="Times New Roman"/>
                <w:sz w:val="18"/>
                <w:szCs w:val="18"/>
              </w:rPr>
              <w:t>Priemerná ročná miera inflácie</w:t>
            </w:r>
          </w:p>
        </w:tc>
        <w:tc>
          <w:tcPr>
            <w:tcW w:w="172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DPFO (odpoč. položky)</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3,7</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4,1</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0,4</w:t>
            </w:r>
          </w:p>
        </w:tc>
      </w:tr>
      <w:tr>
        <w:tblPrEx>
          <w:tblW w:w="9060" w:type="dxa"/>
          <w:jc w:val="center"/>
          <w:tblCellMar>
            <w:left w:w="70" w:type="dxa"/>
            <w:right w:w="70" w:type="dxa"/>
          </w:tblCellMar>
          <w:tblLook w:val="04A0"/>
        </w:tblPrEx>
        <w:trPr>
          <w:trHeight w:hRule="exact" w:val="255"/>
          <w:jc w:val="center"/>
        </w:trPr>
        <w:tc>
          <w:tcPr>
            <w:tcW w:w="3620" w:type="dxa"/>
            <w:tcBorders>
              <w:top w:val="nil"/>
              <w:left w:val="nil"/>
              <w:bottom w:val="single" w:sz="8" w:space="0" w:color="auto"/>
              <w:right w:val="nil"/>
            </w:tcBorders>
            <w:textDirection w:val="lrTb"/>
            <w:vAlign w:val="center"/>
            <w:hideMark/>
          </w:tcPr>
          <w:p w:rsidR="0009512E" w:rsidRPr="00403E79" w:rsidP="009C51D3">
            <w:pPr>
              <w:bidi w:val="0"/>
              <w:spacing w:after="0" w:line="240" w:lineRule="auto"/>
              <w:rPr>
                <w:rFonts w:ascii="Arial Narrow" w:hAnsi="Arial Narrow" w:cs="Times New Roman"/>
                <w:sz w:val="18"/>
                <w:szCs w:val="18"/>
              </w:rPr>
            </w:pPr>
            <w:r w:rsidRPr="00403E79">
              <w:rPr>
                <w:rFonts w:ascii="Arial Narrow" w:hAnsi="Arial Narrow" w:cs="Times New Roman"/>
                <w:sz w:val="18"/>
                <w:szCs w:val="18"/>
              </w:rPr>
              <w:t>EURIBOR 3M (priemer)</w:t>
            </w:r>
          </w:p>
        </w:tc>
        <w:tc>
          <w:tcPr>
            <w:tcW w:w="1720" w:type="dxa"/>
            <w:tcBorders>
              <w:top w:val="nil"/>
              <w:left w:val="nil"/>
              <w:bottom w:val="single" w:sz="8" w:space="0" w:color="auto"/>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DP zrážka</w:t>
            </w:r>
          </w:p>
        </w:tc>
        <w:tc>
          <w:tcPr>
            <w:tcW w:w="1240" w:type="dxa"/>
            <w:tcBorders>
              <w:top w:val="nil"/>
              <w:left w:val="nil"/>
              <w:bottom w:val="single" w:sz="8" w:space="0" w:color="auto"/>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1,5</w:t>
            </w:r>
          </w:p>
        </w:tc>
        <w:tc>
          <w:tcPr>
            <w:tcW w:w="1240" w:type="dxa"/>
            <w:tcBorders>
              <w:top w:val="nil"/>
              <w:left w:val="nil"/>
              <w:bottom w:val="single" w:sz="8" w:space="0" w:color="auto"/>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1,5</w:t>
            </w:r>
          </w:p>
        </w:tc>
        <w:tc>
          <w:tcPr>
            <w:tcW w:w="1240" w:type="dxa"/>
            <w:tcBorders>
              <w:top w:val="nil"/>
              <w:left w:val="nil"/>
              <w:bottom w:val="single" w:sz="8" w:space="0" w:color="auto"/>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sz w:val="18"/>
                <w:szCs w:val="18"/>
              </w:rPr>
            </w:pPr>
            <w:r w:rsidRPr="00403E79">
              <w:rPr>
                <w:rFonts w:ascii="Arial Narrow" w:hAnsi="Arial Narrow" w:cs="Times New Roman"/>
                <w:color w:val="000000"/>
                <w:sz w:val="18"/>
                <w:szCs w:val="18"/>
              </w:rPr>
              <w:t>0,0</w:t>
            </w:r>
          </w:p>
        </w:tc>
      </w:tr>
      <w:tr>
        <w:tblPrEx>
          <w:tblW w:w="9060" w:type="dxa"/>
          <w:jc w:val="center"/>
          <w:tblCellMar>
            <w:left w:w="70" w:type="dxa"/>
            <w:right w:w="70" w:type="dxa"/>
          </w:tblCellMar>
          <w:tblLook w:val="04A0"/>
        </w:tblPrEx>
        <w:trPr>
          <w:trHeight w:val="330"/>
          <w:jc w:val="center"/>
        </w:trPr>
        <w:tc>
          <w:tcPr>
            <w:tcW w:w="5340" w:type="dxa"/>
            <w:gridSpan w:val="2"/>
            <w:tcBorders>
              <w:top w:val="nil"/>
              <w:left w:val="nil"/>
              <w:bottom w:val="nil"/>
              <w:right w:val="nil"/>
            </w:tcBorders>
            <w:noWrap/>
            <w:textDirection w:val="lrTb"/>
            <w:vAlign w:val="bottom"/>
            <w:hideMark/>
          </w:tcPr>
          <w:p w:rsidR="0009512E" w:rsidRPr="00403E79" w:rsidP="009C51D3">
            <w:pPr>
              <w:bidi w:val="0"/>
              <w:spacing w:after="0" w:line="240" w:lineRule="auto"/>
              <w:rPr>
                <w:rFonts w:ascii="Arial Narrow" w:hAnsi="Arial Narrow" w:cs="Times New Roman"/>
                <w:i/>
                <w:iCs/>
                <w:sz w:val="18"/>
                <w:szCs w:val="18"/>
              </w:rPr>
            </w:pPr>
            <w:r w:rsidRPr="00403E79">
              <w:rPr>
                <w:rFonts w:ascii="Arial Narrow" w:hAnsi="Arial Narrow" w:cs="Times New Roman"/>
                <w:i/>
                <w:iCs/>
                <w:sz w:val="18"/>
                <w:szCs w:val="18"/>
              </w:rPr>
              <w:t>*) Mzdová báza = priemerná mzda * zamestnaní podľa evidenčného počtu</w:t>
            </w: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rPr>
            </w:pP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color w:val="000000"/>
              </w:rPr>
            </w:pPr>
          </w:p>
        </w:tc>
        <w:tc>
          <w:tcPr>
            <w:tcW w:w="1240" w:type="dxa"/>
            <w:tcBorders>
              <w:top w:val="nil"/>
              <w:left w:val="nil"/>
              <w:bottom w:val="nil"/>
              <w:right w:val="nil"/>
            </w:tcBorders>
            <w:noWrap/>
            <w:textDirection w:val="lrTb"/>
            <w:vAlign w:val="center"/>
            <w:hideMark/>
          </w:tcPr>
          <w:p w:rsidR="0009512E" w:rsidRPr="00403E79" w:rsidP="009C51D3">
            <w:pPr>
              <w:bidi w:val="0"/>
              <w:spacing w:after="0" w:line="240" w:lineRule="auto"/>
              <w:jc w:val="center"/>
              <w:rPr>
                <w:rFonts w:ascii="Arial Narrow" w:hAnsi="Arial Narrow" w:cs="Times New Roman"/>
                <w:i/>
                <w:iCs/>
                <w:color w:val="000000"/>
                <w:sz w:val="16"/>
                <w:szCs w:val="16"/>
              </w:rPr>
            </w:pPr>
            <w:r w:rsidRPr="00403E79">
              <w:rPr>
                <w:rFonts w:ascii="Arial Narrow" w:hAnsi="Arial Narrow" w:cs="Times New Roman"/>
                <w:i/>
                <w:iCs/>
                <w:color w:val="000000"/>
                <w:sz w:val="16"/>
                <w:szCs w:val="16"/>
              </w:rPr>
              <w:t>Zdroj: MFSR</w:t>
            </w:r>
          </w:p>
        </w:tc>
      </w:tr>
    </w:tbl>
    <w:p w:rsidR="0009512E" w:rsidRPr="00403E79" w:rsidP="0009512E">
      <w:pPr>
        <w:autoSpaceDE w:val="0"/>
        <w:autoSpaceDN w:val="0"/>
        <w:bidi w:val="0"/>
        <w:adjustRightInd w:val="0"/>
        <w:jc w:val="both"/>
        <w:rPr>
          <w:rFonts w:ascii="Arial Narrow" w:hAnsi="Arial Narrow" w:cs="Arial Narrow"/>
        </w:rPr>
      </w:pPr>
    </w:p>
    <w:p w:rsidR="0009512E" w:rsidRPr="00403E79" w:rsidP="0009512E">
      <w:pPr>
        <w:bidi w:val="0"/>
        <w:jc w:val="both"/>
        <w:rPr>
          <w:rFonts w:ascii="Arial Narrow" w:hAnsi="Arial Narrow" w:cs="Arial Narrow"/>
          <w:sz w:val="16"/>
          <w:szCs w:val="16"/>
        </w:rPr>
      </w:pPr>
    </w:p>
    <w:p w:rsidR="0009512E" w:rsidRPr="00403E79" w:rsidP="0009512E">
      <w:pPr>
        <w:autoSpaceDE w:val="0"/>
        <w:autoSpaceDN w:val="0"/>
        <w:bidi w:val="0"/>
        <w:adjustRightInd w:val="0"/>
        <w:jc w:val="both"/>
        <w:rPr>
          <w:rFonts w:ascii="Arial Narrow" w:hAnsi="Arial Narrow" w:cs="Arial Narrow"/>
          <w:b/>
          <w:bCs/>
          <w:i/>
          <w:iCs/>
        </w:rPr>
      </w:pPr>
      <w:r w:rsidRPr="00403E79">
        <w:rPr>
          <w:rFonts w:ascii="Arial Narrow" w:hAnsi="Arial Narrow" w:cs="Arial Narrow"/>
          <w:b/>
          <w:bCs/>
          <w:i/>
          <w:iCs/>
        </w:rPr>
        <w:t>Vývoj jednotlivých daňových príjmov v roku 2011</w:t>
      </w:r>
    </w:p>
    <w:p w:rsidR="0009512E" w:rsidRPr="00403E79" w:rsidP="0009512E">
      <w:pPr>
        <w:autoSpaceDE w:val="0"/>
        <w:autoSpaceDN w:val="0"/>
        <w:bidi w:val="0"/>
        <w:adjustRightInd w:val="0"/>
        <w:jc w:val="both"/>
        <w:rPr>
          <w:rFonts w:ascii="Arial Narrow" w:hAnsi="Arial Narrow" w:cs="Arial Narrow"/>
          <w:sz w:val="16"/>
          <w:szCs w:val="16"/>
        </w:rPr>
      </w:pPr>
    </w:p>
    <w:p w:rsidR="0009512E" w:rsidRPr="00403E79" w:rsidP="0009512E">
      <w:pPr>
        <w:autoSpaceDE w:val="0"/>
        <w:autoSpaceDN w:val="0"/>
        <w:bidi w:val="0"/>
        <w:adjustRightInd w:val="0"/>
        <w:jc w:val="both"/>
        <w:rPr>
          <w:rFonts w:ascii="Arial Narrow" w:hAnsi="Arial Narrow" w:cs="Arial Narrow"/>
        </w:rPr>
      </w:pPr>
      <w:r w:rsidRPr="00403E79">
        <w:rPr>
          <w:rFonts w:ascii="Arial Narrow" w:hAnsi="Arial Narrow" w:cs="Arial Narrow"/>
        </w:rPr>
        <w:t xml:space="preserve">Odhad výnosu </w:t>
      </w:r>
      <w:r w:rsidRPr="00403E79">
        <w:rPr>
          <w:rFonts w:ascii="Arial Narrow" w:hAnsi="Arial Narrow" w:cs="Arial Narrow"/>
          <w:b/>
          <w:bCs/>
        </w:rPr>
        <w:t>dane z príjmov fyzických osôb</w:t>
      </w:r>
      <w:r w:rsidRPr="00403E79">
        <w:rPr>
          <w:rFonts w:ascii="Arial Narrow" w:hAnsi="Arial Narrow" w:cs="Arial Narrow"/>
        </w:rPr>
        <w:t xml:space="preserve"> (DPFO) je v porovnaní s rozpočtom nižší o 51,9 mil. </w:t>
      </w:r>
      <w:r w:rsidR="008139E2">
        <w:rPr>
          <w:rFonts w:ascii="Arial Narrow" w:hAnsi="Arial Narrow" w:cs="Arial Narrow"/>
        </w:rPr>
        <w:t>e</w:t>
      </w:r>
      <w:r w:rsidRPr="00403E79">
        <w:rPr>
          <w:rFonts w:ascii="Arial Narrow" w:hAnsi="Arial Narrow" w:cs="Arial Narrow"/>
        </w:rPr>
        <w:t xml:space="preserve">ur. Za nižším odhadom je najmä vývoj DPFO z podnikania, ktorý je ovplyvnený negatívnym vyrovnaním dane za rok 2010. Odhad DPFO zo závislej činnosti je v porovnaní s rozpočtom nižší iba o 3,2 mil. </w:t>
      </w:r>
      <w:r>
        <w:rPr>
          <w:rFonts w:ascii="Arial Narrow" w:hAnsi="Arial Narrow" w:cs="Arial Narrow"/>
        </w:rPr>
        <w:t>e</w:t>
      </w:r>
      <w:r w:rsidRPr="00403E79">
        <w:rPr>
          <w:rFonts w:ascii="Arial Narrow" w:hAnsi="Arial Narrow" w:cs="Arial Narrow"/>
        </w:rPr>
        <w:t xml:space="preserve">ur. </w:t>
      </w:r>
      <w:r w:rsidRPr="00403E79">
        <w:rPr>
          <w:rFonts w:ascii="Arial Narrow" w:hAnsi="Arial Narrow"/>
        </w:rPr>
        <w:t>Za nižším odhadom je horšie hotovostné plnenie v porovnaní s vývojom mzdovej bázy v roku 2010 ako aj negatívne vyrovnanie dane z príjmov z podnikania za rok 2010.</w:t>
      </w:r>
    </w:p>
    <w:p w:rsidR="0009512E" w:rsidRPr="00403E79" w:rsidP="0009512E">
      <w:pPr>
        <w:autoSpaceDE w:val="0"/>
        <w:autoSpaceDN w:val="0"/>
        <w:bidi w:val="0"/>
        <w:jc w:val="both"/>
        <w:rPr>
          <w:rFonts w:ascii="Arial Narrow" w:hAnsi="Arial Narrow" w:cs="Arial Narrow"/>
          <w:sz w:val="16"/>
          <w:szCs w:val="16"/>
        </w:rPr>
      </w:pPr>
    </w:p>
    <w:p w:rsidR="0009512E" w:rsidRPr="00403E79" w:rsidP="0009512E">
      <w:pPr>
        <w:autoSpaceDE w:val="0"/>
        <w:autoSpaceDN w:val="0"/>
        <w:bidi w:val="0"/>
        <w:jc w:val="both"/>
        <w:rPr>
          <w:rFonts w:ascii="Arial Narrow" w:hAnsi="Arial Narrow"/>
          <w:color w:val="000000"/>
        </w:rPr>
      </w:pPr>
      <w:r w:rsidRPr="00403E79">
        <w:rPr>
          <w:rFonts w:ascii="Arial Narrow" w:hAnsi="Arial Narrow"/>
          <w:color w:val="000000"/>
        </w:rPr>
        <w:t xml:space="preserve">V porovnaní so schváleným rozpočtom dochádza k miernemu zvýšeniu prognózy </w:t>
      </w:r>
      <w:r w:rsidRPr="00403E79">
        <w:rPr>
          <w:rFonts w:ascii="Arial Narrow" w:hAnsi="Arial Narrow"/>
          <w:b/>
          <w:bCs/>
          <w:color w:val="000000"/>
        </w:rPr>
        <w:t>dane z príjmov právnických osôb</w:t>
      </w:r>
      <w:r w:rsidRPr="00403E79">
        <w:rPr>
          <w:rFonts w:ascii="Arial Narrow" w:hAnsi="Arial Narrow"/>
          <w:color w:val="000000"/>
        </w:rPr>
        <w:t xml:space="preserve"> (DPPO).</w:t>
      </w:r>
      <w:r w:rsidRPr="00403E79">
        <w:rPr>
          <w:rFonts w:ascii="Arial Narrow" w:hAnsi="Arial Narrow"/>
          <w:color w:val="1F497D"/>
        </w:rPr>
        <w:t xml:space="preserve"> </w:t>
      </w:r>
      <w:r w:rsidRPr="00403E79">
        <w:rPr>
          <w:rFonts w:ascii="Arial Narrow" w:hAnsi="Arial Narrow"/>
          <w:color w:val="000000"/>
        </w:rPr>
        <w:t xml:space="preserve">Dôvodom je najmä mierne </w:t>
      </w:r>
      <w:r>
        <w:rPr>
          <w:rFonts w:ascii="Arial Narrow" w:hAnsi="Arial Narrow"/>
          <w:color w:val="000000"/>
        </w:rPr>
        <w:t>vyššia očakávaná ziskovosť podnikového sektora s pozitívnym vplyvom na výnos dane, ktorá vyplýva zo zúčtovania dane za rok 2010 ku koncu júna 2011.</w:t>
      </w:r>
      <w:r w:rsidRPr="00403E79">
        <w:rPr>
          <w:rFonts w:ascii="Arial Narrow" w:hAnsi="Arial Narrow"/>
          <w:sz w:val="20"/>
          <w:szCs w:val="20"/>
        </w:rPr>
        <w:t xml:space="preserve"> </w:t>
      </w:r>
    </w:p>
    <w:p w:rsidR="0009512E" w:rsidRPr="00403E79" w:rsidP="0009512E">
      <w:pPr>
        <w:bidi w:val="0"/>
        <w:jc w:val="both"/>
        <w:rPr>
          <w:rFonts w:ascii="Arial Narrow" w:hAnsi="Arial Narrow" w:cs="Arial Narrow"/>
          <w:sz w:val="16"/>
          <w:szCs w:val="16"/>
          <w:highlight w:val="yellow"/>
        </w:rPr>
      </w:pPr>
    </w:p>
    <w:p w:rsidR="0009512E" w:rsidRPr="00403E79" w:rsidP="0009512E">
      <w:pPr>
        <w:autoSpaceDE w:val="0"/>
        <w:autoSpaceDN w:val="0"/>
        <w:bidi w:val="0"/>
        <w:adjustRightInd w:val="0"/>
        <w:jc w:val="both"/>
        <w:rPr>
          <w:rFonts w:ascii="Arial Narrow" w:hAnsi="Arial Narrow" w:cs="Arial Narrow"/>
          <w:sz w:val="16"/>
          <w:szCs w:val="16"/>
          <w:highlight w:val="yellow"/>
        </w:rPr>
      </w:pPr>
    </w:p>
    <w:p w:rsidR="0009512E" w:rsidRPr="00403E79" w:rsidP="0009512E">
      <w:pPr>
        <w:autoSpaceDE w:val="0"/>
        <w:autoSpaceDN w:val="0"/>
        <w:bidi w:val="0"/>
        <w:adjustRightInd w:val="0"/>
        <w:jc w:val="both"/>
        <w:rPr>
          <w:rFonts w:ascii="Arial Narrow" w:hAnsi="Arial Narrow" w:cs="Arial Narrow"/>
        </w:rPr>
      </w:pPr>
      <w:r w:rsidRPr="00403E79">
        <w:rPr>
          <w:rFonts w:ascii="Arial Narrow" w:hAnsi="Arial Narrow" w:cs="Arial Narrow"/>
        </w:rPr>
        <w:t xml:space="preserve">Odhad výnosu </w:t>
      </w:r>
      <w:r w:rsidRPr="00403E79">
        <w:rPr>
          <w:rFonts w:ascii="Arial Narrow" w:hAnsi="Arial Narrow" w:cs="Arial Narrow"/>
          <w:b/>
          <w:bCs/>
        </w:rPr>
        <w:t>dane z pridanej hodnoty</w:t>
      </w:r>
      <w:r w:rsidRPr="00403E79">
        <w:rPr>
          <w:rFonts w:ascii="Arial Narrow" w:hAnsi="Arial Narrow" w:cs="Arial Narrow"/>
        </w:rPr>
        <w:t xml:space="preserve"> je oproti rozpočtu vyšší o 113,2 mil. </w:t>
      </w:r>
      <w:r>
        <w:rPr>
          <w:rFonts w:ascii="Arial Narrow" w:hAnsi="Arial Narrow" w:cs="Arial Narrow"/>
        </w:rPr>
        <w:t>e</w:t>
      </w:r>
      <w:r w:rsidRPr="00403E79">
        <w:rPr>
          <w:rFonts w:ascii="Arial Narrow" w:hAnsi="Arial Narrow" w:cs="Arial Narrow"/>
        </w:rPr>
        <w:t xml:space="preserve">ur. Pozitívny vývoj sa očakáva najmä v dôsledku vyššieho odhadu nominálneho rastu konečnej spotreby domácností. Dodatočný výnos vo výške 19 mil. </w:t>
      </w:r>
      <w:r>
        <w:rPr>
          <w:rFonts w:ascii="Arial Narrow" w:hAnsi="Arial Narrow" w:cs="Arial Narrow"/>
        </w:rPr>
        <w:t>e</w:t>
      </w:r>
      <w:r w:rsidRPr="00403E79">
        <w:rPr>
          <w:rFonts w:ascii="Arial Narrow" w:hAnsi="Arial Narrow" w:cs="Arial Narrow"/>
        </w:rPr>
        <w:t>ur sa očakáva z titulu odovzdania aktuálnych úsekov PPP projektov. V tomto prípade je však  vplyv na saldo verejnej správy neutrálny, nakoľko dochádza k navýšeniu výdavkov verejnej správy v rovnakej výške.</w:t>
      </w:r>
    </w:p>
    <w:p w:rsidR="0009512E" w:rsidRPr="00403E79" w:rsidP="0009512E">
      <w:pPr>
        <w:bidi w:val="0"/>
        <w:jc w:val="both"/>
        <w:rPr>
          <w:rFonts w:ascii="Arial Narrow" w:hAnsi="Arial Narrow" w:cs="Arial Narrow"/>
          <w:sz w:val="16"/>
          <w:szCs w:val="16"/>
          <w:highlight w:val="yellow"/>
        </w:rPr>
      </w:pPr>
    </w:p>
    <w:p w:rsidR="0009512E" w:rsidRPr="00403E79" w:rsidP="0009512E">
      <w:pPr>
        <w:pStyle w:val="Char4"/>
        <w:bidi w:val="0"/>
        <w:spacing w:after="0" w:line="240" w:lineRule="auto"/>
        <w:jc w:val="both"/>
        <w:rPr>
          <w:rFonts w:ascii="Arial Narrow" w:hAnsi="Arial Narrow" w:cs="Arial Narrow"/>
          <w:sz w:val="22"/>
          <w:szCs w:val="22"/>
          <w:lang w:val="sk-SK"/>
        </w:rPr>
      </w:pPr>
      <w:r w:rsidRPr="00403E79">
        <w:rPr>
          <w:rFonts w:ascii="Arial Narrow" w:hAnsi="Arial Narrow" w:cs="Arial Narrow"/>
          <w:sz w:val="22"/>
          <w:szCs w:val="22"/>
          <w:lang w:val="sk-SK"/>
        </w:rPr>
        <w:t xml:space="preserve">Odhad výnosu </w:t>
      </w:r>
      <w:r w:rsidRPr="00403E79">
        <w:rPr>
          <w:rFonts w:ascii="Arial Narrow" w:hAnsi="Arial Narrow" w:cs="Arial Narrow"/>
          <w:b/>
          <w:bCs/>
          <w:sz w:val="22"/>
          <w:szCs w:val="22"/>
          <w:lang w:val="sk-SK"/>
        </w:rPr>
        <w:t>spotrebných daní</w:t>
      </w:r>
      <w:r w:rsidRPr="00403E79">
        <w:rPr>
          <w:rFonts w:ascii="Arial Narrow" w:hAnsi="Arial Narrow" w:cs="Arial Narrow"/>
          <w:sz w:val="22"/>
          <w:szCs w:val="22"/>
          <w:lang w:val="sk-SK"/>
        </w:rPr>
        <w:t xml:space="preserve"> je v porovnaní s rozpočtom na rok 2010 nižší o 52 mil. </w:t>
      </w:r>
      <w:r>
        <w:rPr>
          <w:rFonts w:ascii="Arial Narrow" w:hAnsi="Arial Narrow" w:cs="Arial Narrow"/>
          <w:sz w:val="22"/>
          <w:szCs w:val="22"/>
          <w:lang w:val="sk-SK"/>
        </w:rPr>
        <w:t>e</w:t>
      </w:r>
      <w:r w:rsidRPr="00403E79">
        <w:rPr>
          <w:rFonts w:ascii="Arial Narrow" w:hAnsi="Arial Narrow" w:cs="Arial Narrow"/>
          <w:sz w:val="22"/>
          <w:szCs w:val="22"/>
          <w:lang w:val="sk-SK"/>
        </w:rPr>
        <w:t>ur. Predpokladaný nižší výber spotrebných daní je ovplyvnený predovšetkým horším hotovostným plnením daní z minerálnych olejov (benzín), liehu a zemného plynu. Toto je však do istej miery kompenzované vyšším očakávaným rastom reálnej spotreby domácností.</w:t>
      </w:r>
    </w:p>
    <w:p w:rsidR="0009512E" w:rsidRPr="00403E79" w:rsidP="0009512E">
      <w:pPr>
        <w:pStyle w:val="Char4"/>
        <w:bidi w:val="0"/>
        <w:spacing w:after="0" w:line="240" w:lineRule="auto"/>
        <w:jc w:val="both"/>
        <w:rPr>
          <w:rFonts w:ascii="Arial Narrow" w:hAnsi="Arial Narrow" w:cs="Arial Narrow"/>
          <w:sz w:val="16"/>
          <w:szCs w:val="16"/>
          <w:highlight w:val="yellow"/>
          <w:lang w:val="sk-SK"/>
        </w:rPr>
      </w:pPr>
    </w:p>
    <w:p w:rsidR="0009512E" w:rsidRPr="00403E79" w:rsidP="0009512E">
      <w:pPr>
        <w:autoSpaceDE w:val="0"/>
        <w:autoSpaceDN w:val="0"/>
        <w:bidi w:val="0"/>
        <w:adjustRightInd w:val="0"/>
        <w:jc w:val="both"/>
        <w:rPr>
          <w:rFonts w:ascii="Arial Narrow" w:hAnsi="Arial Narrow" w:cs="Arial Narrow"/>
        </w:rPr>
      </w:pPr>
      <w:r w:rsidRPr="00403E79">
        <w:rPr>
          <w:rFonts w:ascii="Arial Narrow" w:hAnsi="Arial Narrow" w:cs="Arial Narrow"/>
        </w:rPr>
        <w:t xml:space="preserve">Odhad </w:t>
      </w:r>
      <w:r w:rsidRPr="00403E79">
        <w:rPr>
          <w:rFonts w:ascii="Arial Narrow" w:hAnsi="Arial Narrow" w:cs="Arial Narrow"/>
          <w:b/>
          <w:bCs/>
        </w:rPr>
        <w:t>ostatných daní</w:t>
      </w:r>
      <w:r w:rsidRPr="00403E79">
        <w:rPr>
          <w:rFonts w:ascii="Arial Narrow" w:hAnsi="Arial Narrow" w:cs="Arial Narrow"/>
        </w:rPr>
        <w:t xml:space="preserve"> oproti rozpočtu poklesol o 47,3 mil. </w:t>
      </w:r>
      <w:r>
        <w:rPr>
          <w:rFonts w:ascii="Arial Narrow" w:hAnsi="Arial Narrow" w:cs="Arial Narrow"/>
        </w:rPr>
        <w:t>e</w:t>
      </w:r>
      <w:r w:rsidRPr="00403E79">
        <w:rPr>
          <w:rFonts w:ascii="Arial Narrow" w:hAnsi="Arial Narrow" w:cs="Arial Narrow"/>
        </w:rPr>
        <w:t>ur, čo je spôsobené najmä nižším odhadom výberu dane z emisných kvót.</w:t>
      </w:r>
    </w:p>
    <w:p w:rsidR="0009512E" w:rsidRPr="00403E79" w:rsidP="0009512E">
      <w:pPr>
        <w:autoSpaceDE w:val="0"/>
        <w:autoSpaceDN w:val="0"/>
        <w:bidi w:val="0"/>
        <w:adjustRightInd w:val="0"/>
        <w:jc w:val="both"/>
        <w:rPr>
          <w:rFonts w:ascii="Arial Narrow" w:hAnsi="Arial Narrow" w:cs="Arial Narrow"/>
          <w:highlight w:val="yellow"/>
        </w:rPr>
      </w:pPr>
    </w:p>
    <w:p w:rsidR="0009512E" w:rsidRPr="00403E79" w:rsidP="0009512E">
      <w:pPr>
        <w:autoSpaceDE w:val="0"/>
        <w:autoSpaceDN w:val="0"/>
        <w:bidi w:val="0"/>
        <w:adjustRightInd w:val="0"/>
        <w:jc w:val="both"/>
        <w:rPr>
          <w:rFonts w:ascii="Arial Narrow" w:hAnsi="Arial Narrow" w:cs="Arial Narrow"/>
          <w:highlight w:val="yellow"/>
        </w:rPr>
      </w:pPr>
      <w:r w:rsidRPr="00403E79">
        <w:rPr>
          <w:rFonts w:ascii="Arial Narrow" w:hAnsi="Arial Narrow" w:cs="Arial Narrow"/>
        </w:rPr>
        <w:t xml:space="preserve">Odhad </w:t>
      </w:r>
      <w:r w:rsidRPr="00403E79">
        <w:rPr>
          <w:rFonts w:ascii="Arial Narrow" w:hAnsi="Arial Narrow" w:cs="Arial Narrow"/>
          <w:b/>
          <w:bCs/>
        </w:rPr>
        <w:t xml:space="preserve">odvodov </w:t>
      </w:r>
      <w:r w:rsidRPr="00403E79">
        <w:rPr>
          <w:rFonts w:ascii="Arial Narrow" w:hAnsi="Arial Narrow" w:cs="Arial Narrow"/>
        </w:rPr>
        <w:t>od ekonomicky aktívneho obyvateľstva do</w:t>
      </w:r>
      <w:r w:rsidRPr="00403E79">
        <w:rPr>
          <w:rFonts w:ascii="Arial Narrow" w:hAnsi="Arial Narrow" w:cs="Arial Narrow"/>
          <w:b/>
          <w:bCs/>
        </w:rPr>
        <w:t xml:space="preserve"> </w:t>
      </w:r>
      <w:r w:rsidRPr="00403E79">
        <w:rPr>
          <w:rFonts w:ascii="Arial Narrow" w:hAnsi="Arial Narrow" w:cs="Arial Narrow"/>
        </w:rPr>
        <w:t>Sociálnej poisťovne a zdravotných poisťovní</w:t>
      </w:r>
      <w:r w:rsidRPr="00403E79">
        <w:rPr>
          <w:rFonts w:ascii="Arial Narrow" w:hAnsi="Arial Narrow" w:cs="Arial Narrow"/>
          <w:b/>
          <w:bCs/>
        </w:rPr>
        <w:t xml:space="preserve"> </w:t>
      </w:r>
      <w:r w:rsidRPr="00403E79">
        <w:rPr>
          <w:rFonts w:ascii="Arial Narrow" w:hAnsi="Arial Narrow" w:cs="Arial Narrow"/>
        </w:rPr>
        <w:t xml:space="preserve">je oproti rozpočtu nižší o 3,4 mil. </w:t>
      </w:r>
      <w:r>
        <w:rPr>
          <w:rFonts w:ascii="Arial Narrow" w:hAnsi="Arial Narrow" w:cs="Arial Narrow"/>
        </w:rPr>
        <w:t>e</w:t>
      </w:r>
      <w:r w:rsidRPr="00403E79">
        <w:rPr>
          <w:rFonts w:ascii="Arial Narrow" w:hAnsi="Arial Narrow" w:cs="Arial Narrow"/>
        </w:rPr>
        <w:t xml:space="preserve">ur. Vyššie akruálne príjmy od EAO za rok 2010 spolu so zlepšením makroekonomického výhľadu pre rok 2011 indikujú zvýšenie odhadu príjmov pre rok 2011 v porovnaní so schváleným rozpočtom. Priebežné plnenie za prvých päť mesiacov roka 2011 však tieto očakávania potvrdilo iba v prípade zdravotných odvodov, kde sa očakáva vyšší výber od EAO v porovnaní s rozpočtom o 40,2 mil. </w:t>
      </w:r>
      <w:r>
        <w:rPr>
          <w:rFonts w:ascii="Arial Narrow" w:hAnsi="Arial Narrow" w:cs="Arial Narrow"/>
        </w:rPr>
        <w:t>e</w:t>
      </w:r>
      <w:r w:rsidRPr="00403E79">
        <w:rPr>
          <w:rFonts w:ascii="Arial Narrow" w:hAnsi="Arial Narrow" w:cs="Arial Narrow"/>
        </w:rPr>
        <w:t xml:space="preserve">ur. V prípade sociálnych odvodov sa očakáva nižší výber o 43,6 mil. </w:t>
      </w:r>
      <w:r w:rsidR="00F4176A">
        <w:rPr>
          <w:rFonts w:ascii="Arial Narrow" w:hAnsi="Arial Narrow" w:cs="Arial Narrow"/>
        </w:rPr>
        <w:t>e</w:t>
      </w:r>
      <w:r w:rsidRPr="00403E79">
        <w:rPr>
          <w:rFonts w:ascii="Arial Narrow" w:hAnsi="Arial Narrow" w:cs="Arial Narrow"/>
        </w:rPr>
        <w:t>ur.</w:t>
      </w:r>
      <w:r w:rsidRPr="00403E79">
        <w:rPr>
          <w:rFonts w:ascii="Arial Narrow" w:hAnsi="Arial Narrow" w:cs="Arial Narrow"/>
          <w:highlight w:val="yellow"/>
        </w:rPr>
        <w:t xml:space="preserve"> </w:t>
      </w:r>
    </w:p>
    <w:p w:rsidR="00350A8F">
      <w:pPr>
        <w:bidi w:val="0"/>
        <w:spacing w:after="200" w:line="276" w:lineRule="auto"/>
        <w:rPr>
          <w:rFonts w:ascii="Arial Narrow" w:hAnsi="Arial Narrow"/>
          <w:b/>
          <w:highlight w:val="yellow"/>
        </w:rPr>
      </w:pPr>
      <w:r>
        <w:rPr>
          <w:rFonts w:ascii="Arial Narrow" w:hAnsi="Arial Narrow"/>
          <w:b/>
          <w:highlight w:val="yellow"/>
        </w:rPr>
        <w:br w:type="page"/>
      </w:r>
    </w:p>
    <w:p w:rsidR="00350A8F" w:rsidRPr="00AB4446" w:rsidP="00350A8F">
      <w:pPr>
        <w:pStyle w:val="Heading1"/>
        <w:bidi w:val="0"/>
        <w:ind w:left="1560" w:hanging="1560"/>
        <w:jc w:val="both"/>
        <w:rPr>
          <w:rFonts w:ascii="Arial Narrow" w:hAnsi="Arial Narrow" w:cs="Arial Narrow"/>
          <w:sz w:val="28"/>
          <w:szCs w:val="28"/>
        </w:rPr>
      </w:pPr>
      <w:bookmarkStart w:id="60" w:name="_Toc299709431"/>
      <w:r w:rsidRPr="00AB4446">
        <w:rPr>
          <w:rFonts w:ascii="Arial Narrow" w:hAnsi="Arial Narrow" w:cs="Arial Narrow"/>
          <w:sz w:val="28"/>
          <w:szCs w:val="28"/>
        </w:rPr>
        <w:t>Príloha č.</w:t>
      </w:r>
      <w:r>
        <w:rPr>
          <w:rFonts w:ascii="Arial Narrow" w:hAnsi="Arial Narrow" w:cs="Arial Narrow"/>
          <w:sz w:val="28"/>
          <w:szCs w:val="28"/>
        </w:rPr>
        <w:t>2</w:t>
      </w:r>
      <w:r w:rsidRPr="00AB4446">
        <w:rPr>
          <w:rFonts w:ascii="Arial Narrow" w:hAnsi="Arial Narrow" w:cs="Arial Narrow"/>
          <w:sz w:val="28"/>
          <w:szCs w:val="28"/>
        </w:rPr>
        <w:t xml:space="preserve">: Čerpanie rezervy vlády, rezervy </w:t>
      </w:r>
      <w:r>
        <w:rPr>
          <w:rFonts w:ascii="Arial Narrow" w:hAnsi="Arial Narrow" w:cs="Arial Narrow"/>
          <w:sz w:val="28"/>
          <w:szCs w:val="28"/>
        </w:rPr>
        <w:t>predsedu vlády a rezervy na prostriedky Európskej únie a odvody Európskej únii</w:t>
      </w:r>
      <w:bookmarkEnd w:id="60"/>
    </w:p>
    <w:p w:rsidR="00350A8F" w:rsidRPr="00B93BE5" w:rsidP="00350A8F">
      <w:pPr>
        <w:bidi w:val="0"/>
        <w:jc w:val="both"/>
        <w:rPr>
          <w:rFonts w:ascii="Arial Narrow" w:hAnsi="Arial Narrow" w:cs="Arial Narrow"/>
          <w:b/>
          <w:bCs/>
          <w:color w:val="000000"/>
          <w:sz w:val="16"/>
          <w:szCs w:val="16"/>
        </w:rPr>
      </w:pPr>
    </w:p>
    <w:p w:rsidR="00350A8F" w:rsidRPr="007F6023" w:rsidP="00350A8F">
      <w:pPr>
        <w:bidi w:val="0"/>
        <w:jc w:val="both"/>
        <w:rPr>
          <w:rFonts w:ascii="Arial Narrow" w:hAnsi="Arial Narrow" w:cs="Arial Narrow"/>
        </w:rPr>
      </w:pPr>
      <w:r w:rsidRPr="007F6023">
        <w:rPr>
          <w:rFonts w:ascii="Arial Narrow" w:hAnsi="Arial Narrow" w:cs="Arial Narrow"/>
          <w:color w:val="000000"/>
        </w:rPr>
        <w:t xml:space="preserve">V zmysle § 10 zákona o rozpočtových pravidlách verejnej správy podáva vláda správu národnej rade o hospodárení s rozpočtovými rezervami. </w:t>
      </w:r>
    </w:p>
    <w:p w:rsidR="00350A8F" w:rsidRPr="007961F1" w:rsidP="00350A8F">
      <w:pPr>
        <w:bidi w:val="0"/>
        <w:jc w:val="both"/>
        <w:rPr>
          <w:rFonts w:ascii="Arial Narrow" w:hAnsi="Arial Narrow" w:cs="Arial Narrow"/>
          <w:sz w:val="16"/>
          <w:szCs w:val="16"/>
          <w:highlight w:val="yellow"/>
        </w:rPr>
      </w:pPr>
    </w:p>
    <w:tbl>
      <w:tblPr>
        <w:tblStyle w:val="TableNormal"/>
        <w:tblW w:w="8986" w:type="dxa"/>
        <w:jc w:val="center"/>
        <w:tblCellMar>
          <w:left w:w="70" w:type="dxa"/>
          <w:right w:w="70" w:type="dxa"/>
        </w:tblCellMar>
      </w:tblPr>
      <w:tblGrid>
        <w:gridCol w:w="3626"/>
        <w:gridCol w:w="1340"/>
        <w:gridCol w:w="1340"/>
        <w:gridCol w:w="1340"/>
        <w:gridCol w:w="1340"/>
      </w:tblGrid>
      <w:tr>
        <w:tblPrEx>
          <w:tblW w:w="8986" w:type="dxa"/>
          <w:jc w:val="center"/>
          <w:tblCellMar>
            <w:left w:w="70" w:type="dxa"/>
            <w:right w:w="70" w:type="dxa"/>
          </w:tblCellMar>
        </w:tblPrEx>
        <w:trPr>
          <w:trHeight w:val="1080"/>
          <w:jc w:val="center"/>
        </w:trPr>
        <w:tc>
          <w:tcPr>
            <w:tcW w:w="3626" w:type="dxa"/>
            <w:tcBorders>
              <w:top w:val="single" w:sz="8" w:space="0" w:color="auto"/>
              <w:left w:val="single" w:sz="8" w:space="0" w:color="auto"/>
              <w:bottom w:val="single" w:sz="4" w:space="0" w:color="auto"/>
              <w:right w:val="single" w:sz="4" w:space="0" w:color="auto"/>
            </w:tcBorders>
            <w:shd w:val="clear" w:color="auto" w:fill="333333"/>
            <w:textDirection w:val="lrTb"/>
            <w:vAlign w:val="top"/>
          </w:tcPr>
          <w:p w:rsidR="00350A8F" w:rsidRPr="007F6023" w:rsidP="007F6023">
            <w:pPr>
              <w:bidi w:val="0"/>
              <w:spacing w:after="0" w:line="240" w:lineRule="auto"/>
              <w:rPr>
                <w:rFonts w:ascii="Arial Narrow" w:hAnsi="Arial Narrow" w:cs="Arial Narrow"/>
                <w:color w:val="FFFFFF"/>
                <w:sz w:val="18"/>
                <w:szCs w:val="18"/>
              </w:rPr>
            </w:pPr>
            <w:r w:rsidRPr="007F6023">
              <w:rPr>
                <w:rFonts w:ascii="Arial Narrow" w:hAnsi="Arial Narrow" w:cs="Arial Narrow"/>
                <w:color w:val="FFFFFF"/>
                <w:sz w:val="18"/>
                <w:szCs w:val="18"/>
              </w:rPr>
              <w:t xml:space="preserve">(v </w:t>
            </w:r>
            <w:r w:rsidR="007F6023">
              <w:rPr>
                <w:rFonts w:ascii="Arial Narrow" w:hAnsi="Arial Narrow" w:cs="Arial Narrow"/>
                <w:color w:val="FFFFFF"/>
                <w:sz w:val="18"/>
                <w:szCs w:val="18"/>
              </w:rPr>
              <w:t>e</w:t>
            </w:r>
            <w:r w:rsidRPr="007F6023">
              <w:rPr>
                <w:rFonts w:ascii="Arial Narrow" w:hAnsi="Arial Narrow" w:cs="Arial Narrow"/>
                <w:color w:val="FFFFFF"/>
                <w:sz w:val="18"/>
                <w:szCs w:val="18"/>
              </w:rPr>
              <w:t>ur)</w:t>
            </w:r>
          </w:p>
        </w:tc>
        <w:tc>
          <w:tcPr>
            <w:tcW w:w="1340" w:type="dxa"/>
            <w:tcBorders>
              <w:top w:val="single" w:sz="8" w:space="0" w:color="auto"/>
              <w:left w:val="nil"/>
              <w:bottom w:val="single" w:sz="4" w:space="0" w:color="auto"/>
              <w:right w:val="single" w:sz="4" w:space="0" w:color="auto"/>
            </w:tcBorders>
            <w:shd w:val="clear" w:color="auto" w:fill="333333"/>
            <w:textDirection w:val="lrTb"/>
            <w:vAlign w:val="center"/>
          </w:tcPr>
          <w:p w:rsidR="00350A8F" w:rsidRPr="007F6023" w:rsidP="007F6023">
            <w:pPr>
              <w:bidi w:val="0"/>
              <w:spacing w:after="0" w:line="240" w:lineRule="auto"/>
              <w:jc w:val="center"/>
              <w:rPr>
                <w:rFonts w:ascii="Arial Narrow" w:hAnsi="Arial Narrow" w:cs="Arial Narrow"/>
                <w:b/>
                <w:bCs/>
                <w:color w:val="FFFFFF"/>
                <w:sz w:val="18"/>
                <w:szCs w:val="18"/>
              </w:rPr>
            </w:pPr>
            <w:r w:rsidRPr="007F6023">
              <w:rPr>
                <w:rFonts w:ascii="Arial Narrow" w:hAnsi="Arial Narrow" w:cs="Arial Narrow"/>
                <w:b/>
                <w:bCs/>
                <w:color w:val="FFFFFF"/>
                <w:sz w:val="18"/>
                <w:szCs w:val="18"/>
              </w:rPr>
              <w:t>Schválený</w:t>
              <w:br/>
              <w:t>rozpočet</w:t>
              <w:br/>
              <w:t>201</w:t>
            </w:r>
            <w:r w:rsidR="007F6023">
              <w:rPr>
                <w:rFonts w:ascii="Arial Narrow" w:hAnsi="Arial Narrow" w:cs="Arial Narrow"/>
                <w:b/>
                <w:bCs/>
                <w:color w:val="FFFFFF"/>
                <w:sz w:val="18"/>
                <w:szCs w:val="18"/>
              </w:rPr>
              <w:t>1</w:t>
            </w:r>
          </w:p>
        </w:tc>
        <w:tc>
          <w:tcPr>
            <w:tcW w:w="1340" w:type="dxa"/>
            <w:tcBorders>
              <w:top w:val="single" w:sz="8" w:space="0" w:color="auto"/>
              <w:left w:val="nil"/>
              <w:bottom w:val="single" w:sz="4" w:space="0" w:color="auto"/>
              <w:right w:val="single" w:sz="4" w:space="0" w:color="auto"/>
            </w:tcBorders>
            <w:shd w:val="clear" w:color="auto" w:fill="333333"/>
            <w:textDirection w:val="lrTb"/>
            <w:vAlign w:val="center"/>
          </w:tcPr>
          <w:p w:rsidR="00350A8F" w:rsidRPr="007F6023" w:rsidP="007F6023">
            <w:pPr>
              <w:bidi w:val="0"/>
              <w:spacing w:after="0" w:line="240" w:lineRule="auto"/>
              <w:jc w:val="center"/>
              <w:rPr>
                <w:rFonts w:ascii="Arial Narrow" w:hAnsi="Arial Narrow" w:cs="Arial Narrow"/>
                <w:b/>
                <w:bCs/>
                <w:color w:val="FFFFFF"/>
                <w:sz w:val="18"/>
                <w:szCs w:val="18"/>
              </w:rPr>
            </w:pPr>
            <w:r w:rsidRPr="007F6023">
              <w:rPr>
                <w:rFonts w:ascii="Arial Narrow" w:hAnsi="Arial Narrow" w:cs="Arial Narrow"/>
                <w:b/>
                <w:bCs/>
                <w:color w:val="FFFFFF"/>
                <w:sz w:val="18"/>
                <w:szCs w:val="18"/>
              </w:rPr>
              <w:t>Upravený rozpočet</w:t>
              <w:br/>
              <w:t>k</w:t>
              <w:br/>
            </w:r>
            <w:r w:rsidR="007F6023">
              <w:rPr>
                <w:rFonts w:ascii="Arial Narrow" w:hAnsi="Arial Narrow" w:cs="Arial Narrow"/>
                <w:b/>
                <w:bCs/>
                <w:color w:val="FFFFFF"/>
                <w:sz w:val="18"/>
                <w:szCs w:val="18"/>
              </w:rPr>
              <w:t>30</w:t>
            </w:r>
            <w:r w:rsidRPr="007F6023">
              <w:rPr>
                <w:rFonts w:ascii="Arial Narrow" w:hAnsi="Arial Narrow" w:cs="Arial Narrow"/>
                <w:b/>
                <w:bCs/>
                <w:color w:val="FFFFFF"/>
                <w:sz w:val="18"/>
                <w:szCs w:val="18"/>
              </w:rPr>
              <w:t>.0</w:t>
            </w:r>
            <w:r w:rsidR="007F6023">
              <w:rPr>
                <w:rFonts w:ascii="Arial Narrow" w:hAnsi="Arial Narrow" w:cs="Arial Narrow"/>
                <w:b/>
                <w:bCs/>
                <w:color w:val="FFFFFF"/>
                <w:sz w:val="18"/>
                <w:szCs w:val="18"/>
              </w:rPr>
              <w:t>6</w:t>
            </w:r>
            <w:r w:rsidRPr="007F6023">
              <w:rPr>
                <w:rFonts w:ascii="Arial Narrow" w:hAnsi="Arial Narrow" w:cs="Arial Narrow"/>
                <w:b/>
                <w:bCs/>
                <w:color w:val="FFFFFF"/>
                <w:sz w:val="18"/>
                <w:szCs w:val="18"/>
              </w:rPr>
              <w:t>.201</w:t>
            </w:r>
            <w:r w:rsidR="007F6023">
              <w:rPr>
                <w:rFonts w:ascii="Arial Narrow" w:hAnsi="Arial Narrow" w:cs="Arial Narrow"/>
                <w:b/>
                <w:bCs/>
                <w:color w:val="FFFFFF"/>
                <w:sz w:val="18"/>
                <w:szCs w:val="18"/>
              </w:rPr>
              <w:t>1</w:t>
            </w:r>
          </w:p>
        </w:tc>
        <w:tc>
          <w:tcPr>
            <w:tcW w:w="1340" w:type="dxa"/>
            <w:tcBorders>
              <w:top w:val="single" w:sz="8" w:space="0" w:color="auto"/>
              <w:left w:val="nil"/>
              <w:bottom w:val="single" w:sz="4" w:space="0" w:color="auto"/>
              <w:right w:val="single" w:sz="4" w:space="0" w:color="auto"/>
            </w:tcBorders>
            <w:shd w:val="clear" w:color="auto" w:fill="333333"/>
            <w:textDirection w:val="lrTb"/>
            <w:vAlign w:val="center"/>
          </w:tcPr>
          <w:p w:rsidR="00350A8F" w:rsidRPr="007F6023" w:rsidP="007F6023">
            <w:pPr>
              <w:bidi w:val="0"/>
              <w:spacing w:after="0" w:line="240" w:lineRule="auto"/>
              <w:jc w:val="center"/>
              <w:rPr>
                <w:rFonts w:ascii="Arial Narrow" w:hAnsi="Arial Narrow" w:cs="Arial Narrow"/>
                <w:b/>
                <w:bCs/>
                <w:color w:val="FFFFFF"/>
                <w:sz w:val="18"/>
                <w:szCs w:val="18"/>
              </w:rPr>
            </w:pPr>
            <w:r w:rsidRPr="007F6023">
              <w:rPr>
                <w:rFonts w:ascii="Arial Narrow" w:hAnsi="Arial Narrow" w:cs="Arial Narrow"/>
                <w:b/>
                <w:bCs/>
                <w:color w:val="FFFFFF"/>
                <w:sz w:val="18"/>
                <w:szCs w:val="18"/>
              </w:rPr>
              <w:t>Čerpanie</w:t>
              <w:br/>
              <w:t>k</w:t>
              <w:br/>
            </w:r>
            <w:r w:rsidR="007F6023">
              <w:rPr>
                <w:rFonts w:ascii="Arial Narrow" w:hAnsi="Arial Narrow" w:cs="Arial Narrow"/>
                <w:b/>
                <w:bCs/>
                <w:color w:val="FFFFFF"/>
                <w:sz w:val="18"/>
                <w:szCs w:val="18"/>
              </w:rPr>
              <w:t>30</w:t>
            </w:r>
            <w:r w:rsidRPr="007F6023">
              <w:rPr>
                <w:rFonts w:ascii="Arial Narrow" w:hAnsi="Arial Narrow" w:cs="Arial Narrow"/>
                <w:b/>
                <w:bCs/>
                <w:color w:val="FFFFFF"/>
                <w:sz w:val="18"/>
                <w:szCs w:val="18"/>
              </w:rPr>
              <w:t>.0</w:t>
            </w:r>
            <w:r w:rsidR="007F6023">
              <w:rPr>
                <w:rFonts w:ascii="Arial Narrow" w:hAnsi="Arial Narrow" w:cs="Arial Narrow"/>
                <w:b/>
                <w:bCs/>
                <w:color w:val="FFFFFF"/>
                <w:sz w:val="18"/>
                <w:szCs w:val="18"/>
              </w:rPr>
              <w:t>6</w:t>
            </w:r>
            <w:r w:rsidRPr="007F6023">
              <w:rPr>
                <w:rFonts w:ascii="Arial Narrow" w:hAnsi="Arial Narrow" w:cs="Arial Narrow"/>
                <w:b/>
                <w:bCs/>
                <w:color w:val="FFFFFF"/>
                <w:sz w:val="18"/>
                <w:szCs w:val="18"/>
              </w:rPr>
              <w:t>.201</w:t>
            </w:r>
            <w:r w:rsidR="007F6023">
              <w:rPr>
                <w:rFonts w:ascii="Arial Narrow" w:hAnsi="Arial Narrow" w:cs="Arial Narrow"/>
                <w:b/>
                <w:bCs/>
                <w:color w:val="FFFFFF"/>
                <w:sz w:val="18"/>
                <w:szCs w:val="18"/>
              </w:rPr>
              <w:t>1</w:t>
            </w:r>
          </w:p>
        </w:tc>
        <w:tc>
          <w:tcPr>
            <w:tcW w:w="1340" w:type="dxa"/>
            <w:tcBorders>
              <w:top w:val="single" w:sz="8" w:space="0" w:color="auto"/>
              <w:left w:val="nil"/>
              <w:bottom w:val="single" w:sz="4" w:space="0" w:color="auto"/>
              <w:right w:val="single" w:sz="8" w:space="0" w:color="auto"/>
            </w:tcBorders>
            <w:shd w:val="clear" w:color="auto" w:fill="333333"/>
            <w:textDirection w:val="lrTb"/>
            <w:vAlign w:val="center"/>
          </w:tcPr>
          <w:p w:rsidR="00350A8F" w:rsidRPr="007F6023" w:rsidP="007F6023">
            <w:pPr>
              <w:bidi w:val="0"/>
              <w:spacing w:after="0" w:line="240" w:lineRule="auto"/>
              <w:jc w:val="center"/>
              <w:rPr>
                <w:rFonts w:ascii="Arial Narrow" w:hAnsi="Arial Narrow" w:cs="Arial Narrow"/>
                <w:b/>
                <w:bCs/>
                <w:color w:val="FFFFFF"/>
                <w:sz w:val="18"/>
                <w:szCs w:val="18"/>
              </w:rPr>
            </w:pPr>
            <w:r w:rsidRPr="007F6023">
              <w:rPr>
                <w:rFonts w:ascii="Arial Narrow" w:hAnsi="Arial Narrow" w:cs="Arial Narrow"/>
                <w:b/>
                <w:bCs/>
                <w:color w:val="FFFFFF"/>
                <w:sz w:val="18"/>
                <w:szCs w:val="18"/>
              </w:rPr>
              <w:t>Nevyčerpaný zostatok</w:t>
              <w:br/>
              <w:t>k</w:t>
              <w:br/>
            </w:r>
            <w:r w:rsidR="007F6023">
              <w:rPr>
                <w:rFonts w:ascii="Arial Narrow" w:hAnsi="Arial Narrow" w:cs="Arial Narrow"/>
                <w:b/>
                <w:bCs/>
                <w:color w:val="FFFFFF"/>
                <w:sz w:val="18"/>
                <w:szCs w:val="18"/>
              </w:rPr>
              <w:t>30</w:t>
            </w:r>
            <w:r w:rsidRPr="007F6023">
              <w:rPr>
                <w:rFonts w:ascii="Arial Narrow" w:hAnsi="Arial Narrow" w:cs="Arial Narrow"/>
                <w:b/>
                <w:bCs/>
                <w:color w:val="FFFFFF"/>
                <w:sz w:val="18"/>
                <w:szCs w:val="18"/>
              </w:rPr>
              <w:t>.0</w:t>
            </w:r>
            <w:r w:rsidR="007F6023">
              <w:rPr>
                <w:rFonts w:ascii="Arial Narrow" w:hAnsi="Arial Narrow" w:cs="Arial Narrow"/>
                <w:b/>
                <w:bCs/>
                <w:color w:val="FFFFFF"/>
                <w:sz w:val="18"/>
                <w:szCs w:val="18"/>
              </w:rPr>
              <w:t>6</w:t>
            </w:r>
            <w:r w:rsidRPr="007F6023">
              <w:rPr>
                <w:rFonts w:ascii="Arial Narrow" w:hAnsi="Arial Narrow" w:cs="Arial Narrow"/>
                <w:b/>
                <w:bCs/>
                <w:color w:val="FFFFFF"/>
                <w:sz w:val="18"/>
                <w:szCs w:val="18"/>
              </w:rPr>
              <w:t>.201</w:t>
            </w:r>
            <w:r w:rsidR="007F6023">
              <w:rPr>
                <w:rFonts w:ascii="Arial Narrow" w:hAnsi="Arial Narrow" w:cs="Arial Narrow"/>
                <w:b/>
                <w:bCs/>
                <w:color w:val="FFFFFF"/>
                <w:sz w:val="18"/>
                <w:szCs w:val="18"/>
              </w:rPr>
              <w:t>1</w:t>
            </w:r>
          </w:p>
        </w:tc>
      </w:tr>
      <w:tr>
        <w:tblPrEx>
          <w:tblW w:w="8986" w:type="dxa"/>
          <w:jc w:val="center"/>
          <w:tblCellMar>
            <w:left w:w="70" w:type="dxa"/>
            <w:right w:w="70" w:type="dxa"/>
          </w:tblCellMar>
        </w:tblPrEx>
        <w:trPr>
          <w:trHeight w:val="360"/>
          <w:jc w:val="center"/>
        </w:trPr>
        <w:tc>
          <w:tcPr>
            <w:tcW w:w="3626" w:type="dxa"/>
            <w:tcBorders>
              <w:top w:val="nil"/>
              <w:left w:val="single" w:sz="8" w:space="0" w:color="auto"/>
              <w:bottom w:val="single" w:sz="4" w:space="0" w:color="auto"/>
              <w:right w:val="single" w:sz="4" w:space="0" w:color="auto"/>
            </w:tcBorders>
            <w:textDirection w:val="lrTb"/>
            <w:vAlign w:val="center"/>
          </w:tcPr>
          <w:p w:rsidR="007F6023" w:rsidRPr="007F6023" w:rsidP="0093581D">
            <w:pPr>
              <w:bidi w:val="0"/>
              <w:spacing w:after="0" w:line="240" w:lineRule="auto"/>
              <w:rPr>
                <w:rFonts w:ascii="Arial Narrow" w:hAnsi="Arial Narrow" w:cs="Arial Narrow"/>
                <w:sz w:val="18"/>
                <w:szCs w:val="18"/>
              </w:rPr>
            </w:pPr>
            <w:r w:rsidRPr="007F6023">
              <w:rPr>
                <w:rFonts w:ascii="Arial Narrow" w:hAnsi="Arial Narrow" w:cs="Arial Narrow"/>
                <w:sz w:val="18"/>
                <w:szCs w:val="18"/>
              </w:rPr>
              <w:t>Rezerva vlády SR</w:t>
            </w:r>
          </w:p>
        </w:tc>
        <w:tc>
          <w:tcPr>
            <w:tcW w:w="1340" w:type="dxa"/>
            <w:tcBorders>
              <w:top w:val="nil"/>
              <w:left w:val="nil"/>
              <w:bottom w:val="single" w:sz="4" w:space="0" w:color="auto"/>
              <w:right w:val="single" w:sz="4" w:space="0" w:color="auto"/>
            </w:tcBorders>
            <w:textDirection w:val="lrTb"/>
            <w:vAlign w:val="center"/>
          </w:tcPr>
          <w:p w:rsidR="007F6023">
            <w:pPr>
              <w:bidi w:val="0"/>
              <w:spacing w:after="0" w:line="240" w:lineRule="auto"/>
              <w:jc w:val="right"/>
              <w:rPr>
                <w:rFonts w:ascii="Arial Narrow" w:hAnsi="Arial Narrow"/>
                <w:sz w:val="18"/>
                <w:szCs w:val="18"/>
              </w:rPr>
            </w:pPr>
            <w:r>
              <w:rPr>
                <w:rFonts w:ascii="Arial Narrow" w:hAnsi="Arial Narrow"/>
                <w:sz w:val="18"/>
                <w:szCs w:val="18"/>
              </w:rPr>
              <w:t>5 000 000</w:t>
            </w:r>
          </w:p>
        </w:tc>
        <w:tc>
          <w:tcPr>
            <w:tcW w:w="1340" w:type="dxa"/>
            <w:tcBorders>
              <w:top w:val="nil"/>
              <w:left w:val="nil"/>
              <w:bottom w:val="single" w:sz="4" w:space="0" w:color="auto"/>
              <w:right w:val="single" w:sz="4" w:space="0" w:color="auto"/>
            </w:tcBorders>
            <w:textDirection w:val="lrTb"/>
            <w:vAlign w:val="center"/>
          </w:tcPr>
          <w:p w:rsidR="007F6023">
            <w:pPr>
              <w:bidi w:val="0"/>
              <w:spacing w:after="0" w:line="240" w:lineRule="auto"/>
              <w:jc w:val="right"/>
              <w:rPr>
                <w:rFonts w:ascii="Arial Narrow" w:hAnsi="Arial Narrow"/>
                <w:sz w:val="18"/>
                <w:szCs w:val="18"/>
              </w:rPr>
            </w:pPr>
            <w:r>
              <w:rPr>
                <w:rFonts w:ascii="Arial Narrow" w:hAnsi="Arial Narrow"/>
                <w:sz w:val="18"/>
                <w:szCs w:val="18"/>
              </w:rPr>
              <w:t>865 000</w:t>
            </w:r>
          </w:p>
        </w:tc>
        <w:tc>
          <w:tcPr>
            <w:tcW w:w="1340" w:type="dxa"/>
            <w:tcBorders>
              <w:top w:val="nil"/>
              <w:left w:val="nil"/>
              <w:bottom w:val="single" w:sz="4" w:space="0" w:color="auto"/>
              <w:right w:val="single" w:sz="4" w:space="0" w:color="auto"/>
            </w:tcBorders>
            <w:textDirection w:val="lrTb"/>
            <w:vAlign w:val="center"/>
          </w:tcPr>
          <w:p w:rsidR="007F6023">
            <w:pPr>
              <w:bidi w:val="0"/>
              <w:spacing w:after="0" w:line="240" w:lineRule="auto"/>
              <w:jc w:val="right"/>
              <w:rPr>
                <w:rFonts w:ascii="Arial Narrow" w:hAnsi="Arial Narrow"/>
                <w:sz w:val="18"/>
                <w:szCs w:val="18"/>
              </w:rPr>
            </w:pPr>
            <w:r>
              <w:rPr>
                <w:rFonts w:ascii="Arial Narrow" w:hAnsi="Arial Narrow"/>
                <w:sz w:val="18"/>
                <w:szCs w:val="18"/>
              </w:rPr>
              <w:t>0</w:t>
            </w:r>
          </w:p>
        </w:tc>
        <w:tc>
          <w:tcPr>
            <w:tcW w:w="1340" w:type="dxa"/>
            <w:tcBorders>
              <w:top w:val="nil"/>
              <w:left w:val="nil"/>
              <w:bottom w:val="single" w:sz="4" w:space="0" w:color="auto"/>
              <w:right w:val="single" w:sz="8" w:space="0" w:color="auto"/>
            </w:tcBorders>
            <w:textDirection w:val="lrTb"/>
            <w:vAlign w:val="center"/>
          </w:tcPr>
          <w:p w:rsidR="007F6023">
            <w:pPr>
              <w:bidi w:val="0"/>
              <w:spacing w:after="0" w:line="240" w:lineRule="auto"/>
              <w:jc w:val="right"/>
              <w:rPr>
                <w:rFonts w:ascii="Arial Narrow" w:hAnsi="Arial Narrow"/>
                <w:sz w:val="18"/>
                <w:szCs w:val="18"/>
              </w:rPr>
            </w:pPr>
            <w:r>
              <w:rPr>
                <w:rFonts w:ascii="Arial Narrow" w:hAnsi="Arial Narrow"/>
                <w:sz w:val="18"/>
                <w:szCs w:val="18"/>
              </w:rPr>
              <w:t>865 000</w:t>
            </w:r>
          </w:p>
        </w:tc>
      </w:tr>
      <w:tr>
        <w:tblPrEx>
          <w:tblW w:w="8986" w:type="dxa"/>
          <w:jc w:val="center"/>
          <w:tblCellMar>
            <w:left w:w="70" w:type="dxa"/>
            <w:right w:w="70" w:type="dxa"/>
          </w:tblCellMar>
        </w:tblPrEx>
        <w:trPr>
          <w:trHeight w:val="360"/>
          <w:jc w:val="center"/>
        </w:trPr>
        <w:tc>
          <w:tcPr>
            <w:tcW w:w="3626" w:type="dxa"/>
            <w:tcBorders>
              <w:top w:val="nil"/>
              <w:left w:val="single" w:sz="8" w:space="0" w:color="auto"/>
              <w:bottom w:val="single" w:sz="4" w:space="0" w:color="auto"/>
              <w:right w:val="single" w:sz="4" w:space="0" w:color="auto"/>
            </w:tcBorders>
            <w:textDirection w:val="lrTb"/>
            <w:vAlign w:val="center"/>
          </w:tcPr>
          <w:p w:rsidR="007F6023" w:rsidRPr="007F6023" w:rsidP="007F6023">
            <w:pPr>
              <w:bidi w:val="0"/>
              <w:spacing w:after="0" w:line="240" w:lineRule="auto"/>
              <w:rPr>
                <w:rFonts w:ascii="Arial Narrow" w:hAnsi="Arial Narrow" w:cs="Arial Narrow"/>
                <w:sz w:val="18"/>
                <w:szCs w:val="18"/>
              </w:rPr>
            </w:pPr>
            <w:r w:rsidRPr="007F6023">
              <w:rPr>
                <w:rFonts w:ascii="Arial Narrow" w:hAnsi="Arial Narrow" w:cs="Arial Narrow"/>
                <w:sz w:val="18"/>
                <w:szCs w:val="18"/>
              </w:rPr>
              <w:t xml:space="preserve">Rezerva </w:t>
            </w:r>
            <w:r>
              <w:rPr>
                <w:rFonts w:ascii="Arial Narrow" w:hAnsi="Arial Narrow" w:cs="Arial Narrow"/>
                <w:sz w:val="18"/>
                <w:szCs w:val="18"/>
              </w:rPr>
              <w:t xml:space="preserve">predsedníčky </w:t>
            </w:r>
            <w:r w:rsidRPr="007F6023">
              <w:rPr>
                <w:rFonts w:ascii="Arial Narrow" w:hAnsi="Arial Narrow" w:cs="Arial Narrow"/>
                <w:sz w:val="18"/>
                <w:szCs w:val="18"/>
              </w:rPr>
              <w:t>vlády SR</w:t>
            </w:r>
          </w:p>
        </w:tc>
        <w:tc>
          <w:tcPr>
            <w:tcW w:w="1340" w:type="dxa"/>
            <w:tcBorders>
              <w:top w:val="nil"/>
              <w:left w:val="nil"/>
              <w:bottom w:val="single" w:sz="4" w:space="0" w:color="auto"/>
              <w:right w:val="single" w:sz="4" w:space="0" w:color="auto"/>
            </w:tcBorders>
            <w:textDirection w:val="lrTb"/>
            <w:vAlign w:val="center"/>
          </w:tcPr>
          <w:p w:rsidR="007F6023">
            <w:pPr>
              <w:bidi w:val="0"/>
              <w:spacing w:after="0" w:line="240" w:lineRule="auto"/>
              <w:jc w:val="right"/>
              <w:rPr>
                <w:rFonts w:ascii="Arial Narrow" w:hAnsi="Arial Narrow"/>
                <w:sz w:val="18"/>
                <w:szCs w:val="18"/>
              </w:rPr>
            </w:pPr>
            <w:r>
              <w:rPr>
                <w:rFonts w:ascii="Arial Narrow" w:hAnsi="Arial Narrow"/>
                <w:sz w:val="18"/>
                <w:szCs w:val="18"/>
              </w:rPr>
              <w:t>1 659 696</w:t>
            </w:r>
          </w:p>
        </w:tc>
        <w:tc>
          <w:tcPr>
            <w:tcW w:w="1340" w:type="dxa"/>
            <w:tcBorders>
              <w:top w:val="nil"/>
              <w:left w:val="nil"/>
              <w:bottom w:val="single" w:sz="4" w:space="0" w:color="auto"/>
              <w:right w:val="single" w:sz="4" w:space="0" w:color="auto"/>
            </w:tcBorders>
            <w:textDirection w:val="lrTb"/>
            <w:vAlign w:val="center"/>
          </w:tcPr>
          <w:p w:rsidR="007F6023">
            <w:pPr>
              <w:bidi w:val="0"/>
              <w:spacing w:after="0" w:line="240" w:lineRule="auto"/>
              <w:jc w:val="right"/>
              <w:rPr>
                <w:rFonts w:ascii="Arial Narrow" w:hAnsi="Arial Narrow"/>
                <w:sz w:val="18"/>
                <w:szCs w:val="18"/>
              </w:rPr>
            </w:pPr>
            <w:r>
              <w:rPr>
                <w:rFonts w:ascii="Arial Narrow" w:hAnsi="Arial Narrow"/>
                <w:sz w:val="18"/>
                <w:szCs w:val="18"/>
              </w:rPr>
              <w:t>1 968 355</w:t>
            </w:r>
          </w:p>
        </w:tc>
        <w:tc>
          <w:tcPr>
            <w:tcW w:w="1340" w:type="dxa"/>
            <w:tcBorders>
              <w:top w:val="nil"/>
              <w:left w:val="nil"/>
              <w:bottom w:val="single" w:sz="4" w:space="0" w:color="auto"/>
              <w:right w:val="single" w:sz="4" w:space="0" w:color="auto"/>
            </w:tcBorders>
            <w:textDirection w:val="lrTb"/>
            <w:vAlign w:val="center"/>
          </w:tcPr>
          <w:p w:rsidR="007F6023">
            <w:pPr>
              <w:bidi w:val="0"/>
              <w:spacing w:after="0" w:line="240" w:lineRule="auto"/>
              <w:jc w:val="right"/>
              <w:rPr>
                <w:rFonts w:ascii="Arial Narrow" w:hAnsi="Arial Narrow"/>
                <w:sz w:val="18"/>
                <w:szCs w:val="18"/>
              </w:rPr>
            </w:pPr>
            <w:r>
              <w:rPr>
                <w:rFonts w:ascii="Arial Narrow" w:hAnsi="Arial Narrow"/>
                <w:sz w:val="18"/>
                <w:szCs w:val="18"/>
              </w:rPr>
              <w:t>690 780</w:t>
            </w:r>
          </w:p>
        </w:tc>
        <w:tc>
          <w:tcPr>
            <w:tcW w:w="1340" w:type="dxa"/>
            <w:tcBorders>
              <w:top w:val="nil"/>
              <w:left w:val="nil"/>
              <w:bottom w:val="single" w:sz="4" w:space="0" w:color="auto"/>
              <w:right w:val="single" w:sz="8" w:space="0" w:color="auto"/>
            </w:tcBorders>
            <w:textDirection w:val="lrTb"/>
            <w:vAlign w:val="center"/>
          </w:tcPr>
          <w:p w:rsidR="007F6023">
            <w:pPr>
              <w:bidi w:val="0"/>
              <w:spacing w:after="0" w:line="240" w:lineRule="auto"/>
              <w:jc w:val="right"/>
              <w:rPr>
                <w:rFonts w:ascii="Arial Narrow" w:hAnsi="Arial Narrow"/>
                <w:sz w:val="18"/>
                <w:szCs w:val="18"/>
              </w:rPr>
            </w:pPr>
            <w:r>
              <w:rPr>
                <w:rFonts w:ascii="Arial Narrow" w:hAnsi="Arial Narrow"/>
                <w:sz w:val="18"/>
                <w:szCs w:val="18"/>
              </w:rPr>
              <w:t>1 277 575</w:t>
            </w:r>
          </w:p>
        </w:tc>
      </w:tr>
      <w:tr>
        <w:tblPrEx>
          <w:tblW w:w="8986" w:type="dxa"/>
          <w:jc w:val="center"/>
          <w:tblCellMar>
            <w:left w:w="70" w:type="dxa"/>
            <w:right w:w="70" w:type="dxa"/>
          </w:tblCellMar>
        </w:tblPrEx>
        <w:trPr>
          <w:trHeight w:val="360"/>
          <w:jc w:val="center"/>
        </w:trPr>
        <w:tc>
          <w:tcPr>
            <w:tcW w:w="3626" w:type="dxa"/>
            <w:tcBorders>
              <w:top w:val="nil"/>
              <w:left w:val="single" w:sz="8" w:space="0" w:color="auto"/>
              <w:bottom w:val="single" w:sz="4" w:space="0" w:color="auto"/>
              <w:right w:val="single" w:sz="4" w:space="0" w:color="auto"/>
            </w:tcBorders>
            <w:textDirection w:val="lrTb"/>
            <w:vAlign w:val="center"/>
          </w:tcPr>
          <w:p w:rsidR="007F6023" w:rsidRPr="007F6023" w:rsidP="0093581D">
            <w:pPr>
              <w:bidi w:val="0"/>
              <w:spacing w:after="0" w:line="240" w:lineRule="auto"/>
              <w:rPr>
                <w:rFonts w:ascii="Arial Narrow" w:hAnsi="Arial Narrow" w:cs="Arial Narrow"/>
                <w:sz w:val="18"/>
                <w:szCs w:val="18"/>
              </w:rPr>
            </w:pPr>
            <w:r w:rsidRPr="007F6023">
              <w:rPr>
                <w:rFonts w:ascii="Arial Narrow" w:hAnsi="Arial Narrow" w:cs="Arial Narrow"/>
                <w:sz w:val="18"/>
                <w:szCs w:val="18"/>
              </w:rPr>
              <w:t>Rezerva na prostriedky EU a odvody do EU</w:t>
            </w:r>
          </w:p>
        </w:tc>
        <w:tc>
          <w:tcPr>
            <w:tcW w:w="1340" w:type="dxa"/>
            <w:tcBorders>
              <w:top w:val="nil"/>
              <w:left w:val="nil"/>
              <w:bottom w:val="single" w:sz="4" w:space="0" w:color="auto"/>
              <w:right w:val="single" w:sz="4" w:space="0" w:color="auto"/>
            </w:tcBorders>
            <w:textDirection w:val="lrTb"/>
            <w:vAlign w:val="center"/>
          </w:tcPr>
          <w:p w:rsidR="007F6023">
            <w:pPr>
              <w:bidi w:val="0"/>
              <w:spacing w:after="0" w:line="240" w:lineRule="auto"/>
              <w:jc w:val="right"/>
              <w:rPr>
                <w:rFonts w:ascii="Arial Narrow" w:hAnsi="Arial Narrow"/>
                <w:sz w:val="18"/>
                <w:szCs w:val="18"/>
              </w:rPr>
            </w:pPr>
            <w:r>
              <w:rPr>
                <w:rFonts w:ascii="Arial Narrow" w:hAnsi="Arial Narrow"/>
                <w:sz w:val="18"/>
                <w:szCs w:val="18"/>
              </w:rPr>
              <w:t>17 112 168</w:t>
            </w:r>
          </w:p>
        </w:tc>
        <w:tc>
          <w:tcPr>
            <w:tcW w:w="1340" w:type="dxa"/>
            <w:tcBorders>
              <w:top w:val="nil"/>
              <w:left w:val="nil"/>
              <w:bottom w:val="single" w:sz="4" w:space="0" w:color="auto"/>
              <w:right w:val="single" w:sz="4" w:space="0" w:color="auto"/>
            </w:tcBorders>
            <w:textDirection w:val="lrTb"/>
            <w:vAlign w:val="center"/>
          </w:tcPr>
          <w:p w:rsidR="007F6023">
            <w:pPr>
              <w:bidi w:val="0"/>
              <w:spacing w:after="0" w:line="240" w:lineRule="auto"/>
              <w:jc w:val="right"/>
              <w:rPr>
                <w:rFonts w:ascii="Arial Narrow" w:hAnsi="Arial Narrow"/>
                <w:sz w:val="18"/>
                <w:szCs w:val="18"/>
              </w:rPr>
            </w:pPr>
            <w:r>
              <w:rPr>
                <w:rFonts w:ascii="Arial Narrow" w:hAnsi="Arial Narrow"/>
                <w:sz w:val="18"/>
                <w:szCs w:val="18"/>
              </w:rPr>
              <w:t>17 262 859</w:t>
            </w:r>
          </w:p>
        </w:tc>
        <w:tc>
          <w:tcPr>
            <w:tcW w:w="1340" w:type="dxa"/>
            <w:tcBorders>
              <w:top w:val="nil"/>
              <w:left w:val="nil"/>
              <w:bottom w:val="single" w:sz="4" w:space="0" w:color="auto"/>
              <w:right w:val="single" w:sz="4" w:space="0" w:color="auto"/>
            </w:tcBorders>
            <w:textDirection w:val="lrTb"/>
            <w:vAlign w:val="center"/>
          </w:tcPr>
          <w:p w:rsidR="007F6023">
            <w:pPr>
              <w:bidi w:val="0"/>
              <w:spacing w:after="0" w:line="240" w:lineRule="auto"/>
              <w:jc w:val="right"/>
              <w:rPr>
                <w:rFonts w:ascii="Arial Narrow" w:hAnsi="Arial Narrow"/>
                <w:sz w:val="18"/>
                <w:szCs w:val="18"/>
              </w:rPr>
            </w:pPr>
            <w:r>
              <w:rPr>
                <w:rFonts w:ascii="Arial Narrow" w:hAnsi="Arial Narrow"/>
                <w:sz w:val="18"/>
                <w:szCs w:val="18"/>
              </w:rPr>
              <w:t xml:space="preserve">150 691 </w:t>
            </w:r>
          </w:p>
        </w:tc>
        <w:tc>
          <w:tcPr>
            <w:tcW w:w="1340" w:type="dxa"/>
            <w:tcBorders>
              <w:top w:val="nil"/>
              <w:left w:val="nil"/>
              <w:bottom w:val="single" w:sz="4" w:space="0" w:color="auto"/>
              <w:right w:val="single" w:sz="8" w:space="0" w:color="auto"/>
            </w:tcBorders>
            <w:textDirection w:val="lrTb"/>
            <w:vAlign w:val="center"/>
          </w:tcPr>
          <w:p w:rsidR="007F6023">
            <w:pPr>
              <w:bidi w:val="0"/>
              <w:spacing w:after="0" w:line="240" w:lineRule="auto"/>
              <w:jc w:val="right"/>
              <w:rPr>
                <w:rFonts w:ascii="Arial Narrow" w:hAnsi="Arial Narrow"/>
                <w:sz w:val="18"/>
                <w:szCs w:val="18"/>
              </w:rPr>
            </w:pPr>
            <w:r>
              <w:rPr>
                <w:rFonts w:ascii="Arial Narrow" w:hAnsi="Arial Narrow"/>
                <w:sz w:val="18"/>
                <w:szCs w:val="18"/>
              </w:rPr>
              <w:t> 17 112 168</w:t>
            </w:r>
          </w:p>
        </w:tc>
      </w:tr>
      <w:tr>
        <w:tblPrEx>
          <w:tblW w:w="8986" w:type="dxa"/>
          <w:jc w:val="center"/>
          <w:tblCellMar>
            <w:left w:w="70" w:type="dxa"/>
            <w:right w:w="70" w:type="dxa"/>
          </w:tblCellMar>
        </w:tblPrEx>
        <w:trPr>
          <w:trHeight w:val="360"/>
          <w:jc w:val="center"/>
        </w:trPr>
        <w:tc>
          <w:tcPr>
            <w:tcW w:w="3626" w:type="dxa"/>
            <w:tcBorders>
              <w:top w:val="nil"/>
              <w:left w:val="single" w:sz="8" w:space="0" w:color="auto"/>
              <w:bottom w:val="single" w:sz="8" w:space="0" w:color="auto"/>
              <w:right w:val="single" w:sz="4" w:space="0" w:color="auto"/>
            </w:tcBorders>
            <w:shd w:val="clear" w:color="auto" w:fill="333333"/>
            <w:textDirection w:val="lrTb"/>
            <w:vAlign w:val="center"/>
          </w:tcPr>
          <w:p w:rsidR="007F6023" w:rsidRPr="007F6023" w:rsidP="0093581D">
            <w:pPr>
              <w:bidi w:val="0"/>
              <w:spacing w:after="0" w:line="240" w:lineRule="auto"/>
              <w:rPr>
                <w:rFonts w:ascii="Arial Narrow" w:hAnsi="Arial Narrow" w:cs="Arial Narrow"/>
                <w:b/>
                <w:bCs/>
                <w:color w:val="FFFFFF"/>
                <w:sz w:val="18"/>
                <w:szCs w:val="18"/>
              </w:rPr>
            </w:pPr>
            <w:r w:rsidRPr="007F6023">
              <w:rPr>
                <w:rFonts w:ascii="Arial Narrow" w:hAnsi="Arial Narrow" w:cs="Arial Narrow"/>
                <w:b/>
                <w:bCs/>
                <w:color w:val="FFFFFF"/>
                <w:sz w:val="18"/>
                <w:szCs w:val="18"/>
              </w:rPr>
              <w:t>S P O L U</w:t>
            </w:r>
          </w:p>
        </w:tc>
        <w:tc>
          <w:tcPr>
            <w:tcW w:w="1340" w:type="dxa"/>
            <w:tcBorders>
              <w:top w:val="nil"/>
              <w:left w:val="nil"/>
              <w:bottom w:val="single" w:sz="8" w:space="0" w:color="auto"/>
              <w:right w:val="single" w:sz="4" w:space="0" w:color="auto"/>
            </w:tcBorders>
            <w:shd w:val="clear" w:color="auto" w:fill="333333"/>
            <w:noWrap/>
            <w:textDirection w:val="lrTb"/>
            <w:vAlign w:val="center"/>
          </w:tcPr>
          <w:p w:rsidR="007F6023">
            <w:pPr>
              <w:bidi w:val="0"/>
              <w:spacing w:after="0" w:line="240" w:lineRule="auto"/>
              <w:jc w:val="right"/>
              <w:rPr>
                <w:rFonts w:ascii="Arial Narrow" w:hAnsi="Arial Narrow"/>
                <w:b/>
                <w:bCs/>
                <w:color w:val="FFFFFF"/>
                <w:sz w:val="18"/>
                <w:szCs w:val="18"/>
              </w:rPr>
            </w:pPr>
            <w:r>
              <w:rPr>
                <w:rFonts w:ascii="Arial Narrow" w:hAnsi="Arial Narrow"/>
                <w:b/>
                <w:bCs/>
                <w:color w:val="FFFFFF"/>
                <w:sz w:val="18"/>
                <w:szCs w:val="18"/>
              </w:rPr>
              <w:t>23 771 864</w:t>
            </w:r>
          </w:p>
        </w:tc>
        <w:tc>
          <w:tcPr>
            <w:tcW w:w="1340" w:type="dxa"/>
            <w:tcBorders>
              <w:top w:val="nil"/>
              <w:left w:val="nil"/>
              <w:bottom w:val="single" w:sz="8" w:space="0" w:color="auto"/>
              <w:right w:val="single" w:sz="4" w:space="0" w:color="auto"/>
            </w:tcBorders>
            <w:shd w:val="clear" w:color="auto" w:fill="333333"/>
            <w:noWrap/>
            <w:textDirection w:val="lrTb"/>
            <w:vAlign w:val="center"/>
          </w:tcPr>
          <w:p w:rsidR="007F6023">
            <w:pPr>
              <w:bidi w:val="0"/>
              <w:spacing w:after="0" w:line="240" w:lineRule="auto"/>
              <w:jc w:val="right"/>
              <w:rPr>
                <w:rFonts w:ascii="Arial Narrow" w:hAnsi="Arial Narrow"/>
                <w:b/>
                <w:bCs/>
                <w:color w:val="FFFFFF"/>
                <w:sz w:val="18"/>
                <w:szCs w:val="18"/>
              </w:rPr>
            </w:pPr>
            <w:r>
              <w:rPr>
                <w:rFonts w:ascii="Arial Narrow" w:hAnsi="Arial Narrow"/>
                <w:b/>
                <w:bCs/>
                <w:color w:val="FFFFFF"/>
                <w:sz w:val="18"/>
                <w:szCs w:val="18"/>
              </w:rPr>
              <w:t>20 096 214</w:t>
            </w:r>
          </w:p>
        </w:tc>
        <w:tc>
          <w:tcPr>
            <w:tcW w:w="1340" w:type="dxa"/>
            <w:tcBorders>
              <w:top w:val="nil"/>
              <w:left w:val="nil"/>
              <w:bottom w:val="single" w:sz="8" w:space="0" w:color="auto"/>
              <w:right w:val="single" w:sz="4" w:space="0" w:color="auto"/>
            </w:tcBorders>
            <w:shd w:val="clear" w:color="auto" w:fill="333333"/>
            <w:noWrap/>
            <w:textDirection w:val="lrTb"/>
            <w:vAlign w:val="center"/>
          </w:tcPr>
          <w:p w:rsidR="007F6023">
            <w:pPr>
              <w:bidi w:val="0"/>
              <w:spacing w:after="0" w:line="240" w:lineRule="auto"/>
              <w:jc w:val="right"/>
              <w:rPr>
                <w:rFonts w:ascii="Arial Narrow" w:hAnsi="Arial Narrow"/>
                <w:b/>
                <w:bCs/>
                <w:color w:val="FFFFFF"/>
                <w:sz w:val="18"/>
                <w:szCs w:val="18"/>
              </w:rPr>
            </w:pPr>
            <w:r>
              <w:rPr>
                <w:rFonts w:ascii="Arial Narrow" w:hAnsi="Arial Narrow"/>
                <w:b/>
                <w:bCs/>
                <w:color w:val="FFFFFF"/>
                <w:sz w:val="18"/>
                <w:szCs w:val="18"/>
              </w:rPr>
              <w:t>841 471</w:t>
            </w:r>
          </w:p>
        </w:tc>
        <w:tc>
          <w:tcPr>
            <w:tcW w:w="1340" w:type="dxa"/>
            <w:tcBorders>
              <w:top w:val="nil"/>
              <w:left w:val="nil"/>
              <w:bottom w:val="single" w:sz="8" w:space="0" w:color="auto"/>
              <w:right w:val="single" w:sz="8" w:space="0" w:color="auto"/>
            </w:tcBorders>
            <w:shd w:val="clear" w:color="auto" w:fill="333333"/>
            <w:noWrap/>
            <w:textDirection w:val="lrTb"/>
            <w:vAlign w:val="center"/>
          </w:tcPr>
          <w:p w:rsidR="007F6023">
            <w:pPr>
              <w:bidi w:val="0"/>
              <w:spacing w:after="0" w:line="240" w:lineRule="auto"/>
              <w:jc w:val="right"/>
              <w:rPr>
                <w:rFonts w:ascii="Arial Narrow" w:hAnsi="Arial Narrow"/>
                <w:b/>
                <w:bCs/>
                <w:color w:val="FFFFFF"/>
                <w:sz w:val="18"/>
                <w:szCs w:val="18"/>
              </w:rPr>
            </w:pPr>
            <w:r>
              <w:rPr>
                <w:rFonts w:ascii="Arial Narrow" w:hAnsi="Arial Narrow"/>
                <w:b/>
                <w:bCs/>
                <w:color w:val="FFFFFF"/>
                <w:sz w:val="18"/>
                <w:szCs w:val="18"/>
              </w:rPr>
              <w:t>19 254 743</w:t>
            </w:r>
          </w:p>
        </w:tc>
      </w:tr>
    </w:tbl>
    <w:p w:rsidR="00350A8F" w:rsidRPr="007961F1" w:rsidP="00350A8F">
      <w:pPr>
        <w:bidi w:val="0"/>
        <w:jc w:val="both"/>
        <w:rPr>
          <w:rFonts w:ascii="Arial Narrow" w:hAnsi="Arial Narrow" w:cs="Arial Narrow"/>
          <w:sz w:val="16"/>
          <w:szCs w:val="16"/>
          <w:highlight w:val="yellow"/>
        </w:rPr>
      </w:pPr>
    </w:p>
    <w:p w:rsidR="00F066C1" w:rsidRPr="00403E79" w:rsidP="00A24395">
      <w:pPr>
        <w:bidi w:val="0"/>
        <w:jc w:val="both"/>
        <w:rPr>
          <w:rFonts w:ascii="Arial Narrow" w:hAnsi="Arial Narrow"/>
          <w:b/>
          <w:highlight w:val="yellow"/>
        </w:rPr>
      </w:pPr>
    </w:p>
    <w:p w:rsidR="00A24395" w:rsidRPr="00403E79" w:rsidP="00A24395">
      <w:pPr>
        <w:bidi w:val="0"/>
        <w:rPr>
          <w:rFonts w:ascii="Arial Narrow" w:hAnsi="Arial Narrow"/>
        </w:rPr>
      </w:pPr>
      <w:bookmarkEnd w:id="58"/>
      <w:bookmarkEnd w:id="59"/>
    </w:p>
    <w:p w:rsidR="00A24395" w:rsidRPr="00403E79" w:rsidP="00A24395">
      <w:pPr>
        <w:bidi w:val="0"/>
        <w:rPr>
          <w:rFonts w:ascii="Arial Narrow" w:hAnsi="Arial Narrow"/>
        </w:rPr>
      </w:pPr>
    </w:p>
    <w:p w:rsidR="00A8025E" w:rsidRPr="00403E79">
      <w:pPr>
        <w:bidi w:val="0"/>
        <w:rPr>
          <w:rFonts w:ascii="Arial Narrow" w:hAnsi="Arial Narrow"/>
        </w:rPr>
      </w:pPr>
    </w:p>
    <w:sectPr w:rsidSect="004774CD">
      <w:footerReference w:type="default" r:id="rId12"/>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ourier">
    <w:panose1 w:val="02070409020205020404"/>
    <w:charset w:val="00"/>
    <w:family w:val="modern"/>
    <w:pitch w:val="fixed"/>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Arial Narrow"/>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Garamond">
    <w:panose1 w:val="02020404030301010803"/>
    <w:charset w:val="EE"/>
    <w:family w:val="roman"/>
    <w:pitch w:val="variable"/>
    <w:sig w:usb0="00000000" w:usb1="00000000" w:usb2="00000000" w:usb3="00000000" w:csb0="0000009F" w:csb1="00000000"/>
  </w:font>
  <w:font w:name="Dutch801 SWC">
    <w:altName w:val="Times New Roman"/>
    <w:panose1 w:val="00000000000000000000"/>
    <w:charset w:val="00"/>
    <w:family w:val="roman"/>
    <w:pitch w:val="variable"/>
    <w:sig w:usb0="00000000" w:usb1="00000000" w:usb2="00000000" w:usb3="00000000" w:csb0="00000001" w:csb1="00000000"/>
  </w:font>
  <w:font w:name="ArialNarrow">
    <w:altName w:val="Times New Roman"/>
    <w:panose1 w:val="00000000000000000000"/>
    <w:charset w:val="00"/>
    <w:family w:val="swiss"/>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CF3" w:rsidRPr="00BE03CA">
    <w:pPr>
      <w:pStyle w:val="Footer"/>
      <w:bidi w:val="0"/>
      <w:jc w:val="right"/>
      <w:rPr>
        <w:rFonts w:ascii="Arial Narrow" w:hAnsi="Arial Narrow"/>
      </w:rPr>
    </w:pPr>
    <w:r w:rsidRPr="00BE03CA">
      <w:rPr>
        <w:rFonts w:ascii="Arial Narrow" w:hAnsi="Arial Narrow"/>
      </w:rPr>
      <w:fldChar w:fldCharType="begin"/>
    </w:r>
    <w:r w:rsidRPr="00BE03CA">
      <w:rPr>
        <w:rFonts w:ascii="Arial Narrow" w:hAnsi="Arial Narrow"/>
      </w:rPr>
      <w:instrText xml:space="preserve"> PAGE   \* MERGEFORMAT </w:instrText>
    </w:r>
    <w:r w:rsidRPr="00BE03CA">
      <w:rPr>
        <w:rFonts w:ascii="Arial Narrow" w:hAnsi="Arial Narrow"/>
      </w:rPr>
      <w:fldChar w:fldCharType="separate"/>
    </w:r>
    <w:r w:rsidR="00BE561D">
      <w:rPr>
        <w:rFonts w:ascii="Arial Narrow" w:hAnsi="Arial Narrow"/>
        <w:noProof/>
      </w:rPr>
      <w:t>16</w:t>
    </w:r>
    <w:r w:rsidRPr="00BE03CA">
      <w:rPr>
        <w:rFonts w:ascii="Arial Narrow" w:hAnsi="Arial Narrow"/>
      </w:rPr>
      <w:fldChar w:fldCharType="end"/>
    </w:r>
  </w:p>
  <w:p w:rsidR="00312CF3">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6F7" w:rsidP="00A24395">
      <w:pPr>
        <w:bidi w:val="0"/>
      </w:pPr>
      <w:r>
        <w:separator/>
      </w:r>
    </w:p>
  </w:footnote>
  <w:footnote w:type="continuationSeparator" w:id="1">
    <w:p w:rsidR="005846F7" w:rsidP="00A24395">
      <w:pPr>
        <w:bidi w:val="0"/>
      </w:pPr>
      <w:r>
        <w:continuationSeparator/>
      </w:r>
    </w:p>
  </w:footnote>
  <w:footnote w:id="2">
    <w:p w:rsidP="0009512E">
      <w:pPr>
        <w:pStyle w:val="FootnoteText"/>
        <w:bidi w:val="0"/>
        <w:jc w:val="both"/>
      </w:pPr>
      <w:r w:rsidRPr="00BE03CA" w:rsidR="00312CF3">
        <w:rPr>
          <w:rStyle w:val="FootnoteReference"/>
          <w:rFonts w:ascii="Arial Narrow" w:hAnsi="Arial Narrow" w:cs="Arial Narrow"/>
          <w:sz w:val="18"/>
          <w:szCs w:val="18"/>
        </w:rPr>
        <w:footnoteRef/>
      </w:r>
      <w:r w:rsidRPr="00BE03CA" w:rsidR="00312CF3">
        <w:rPr>
          <w:rFonts w:ascii="Arial Narrow" w:hAnsi="Arial Narrow" w:cs="Arial Narrow"/>
          <w:sz w:val="18"/>
          <w:szCs w:val="18"/>
        </w:rPr>
        <w:t xml:space="preserve"> Pod daňovými príjmami sú zahrnuté dane a odvody do fondov sociálneho a zdravotného zabezpečenia</w:t>
      </w:r>
    </w:p>
  </w:footnote>
  <w:footnote w:id="3">
    <w:p w:rsidP="0009512E">
      <w:pPr>
        <w:pStyle w:val="FootnoteText"/>
        <w:bidi w:val="0"/>
        <w:jc w:val="both"/>
      </w:pPr>
      <w:r w:rsidRPr="00BE03CA" w:rsidR="00312CF3">
        <w:rPr>
          <w:rStyle w:val="FootnoteReference"/>
          <w:sz w:val="18"/>
          <w:szCs w:val="18"/>
        </w:rPr>
        <w:footnoteRef/>
      </w:r>
      <w:r w:rsidRPr="00BE03CA" w:rsidR="00312CF3">
        <w:rPr>
          <w:sz w:val="18"/>
          <w:szCs w:val="18"/>
        </w:rPr>
        <w:t xml:space="preserve"> </w:t>
      </w:r>
      <w:r w:rsidRPr="00BE03CA" w:rsidR="00312CF3">
        <w:rPr>
          <w:rFonts w:ascii="Arial Narrow" w:hAnsi="Arial Narrow"/>
          <w:sz w:val="18"/>
          <w:szCs w:val="18"/>
        </w:rPr>
        <w:t>ČSOB sa nevyjadrila</w:t>
      </w:r>
    </w:p>
  </w:footnote>
  <w:footnote w:id="4">
    <w:p w:rsidP="0009512E">
      <w:pPr>
        <w:pStyle w:val="FootnoteText"/>
        <w:bidi w:val="0"/>
        <w:jc w:val="both"/>
      </w:pPr>
      <w:r w:rsidRPr="00381925" w:rsidR="00312CF3">
        <w:rPr>
          <w:rStyle w:val="FootnoteReference"/>
          <w:rFonts w:ascii="Arial Narrow" w:hAnsi="Arial Narrow" w:cs="Arial Narrow"/>
          <w:sz w:val="18"/>
          <w:szCs w:val="18"/>
        </w:rPr>
        <w:footnoteRef/>
      </w:r>
      <w:r w:rsidRPr="00381925" w:rsidR="00312CF3">
        <w:rPr>
          <w:rFonts w:ascii="Arial Narrow" w:hAnsi="Arial Narrow" w:cs="Arial Narrow"/>
          <w:sz w:val="18"/>
          <w:szCs w:val="18"/>
        </w:rPr>
        <w:t xml:space="preserve"> Skutočný výnos dane z príjmov fyzických osôb z podnikania a dane z príjmov právnických osôb bude známy v polovici januára 2012 a skutočnosť za daň z motorových vozidiel bude známa v polovici augusta 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0A88"/>
    <w:multiLevelType w:val="hybridMultilevel"/>
    <w:tmpl w:val="F3C6A64C"/>
    <w:lvl w:ilvl="0">
      <w:start w:val="1"/>
      <w:numFmt w:val="decimal"/>
      <w:lvlText w:val="%1."/>
      <w:lvlJc w:val="left"/>
      <w:pPr>
        <w:tabs>
          <w:tab w:val="num" w:pos="720"/>
        </w:tabs>
        <w:ind w:left="720" w:hanging="360"/>
      </w:pPr>
      <w:rPr>
        <w:rFonts w:cs="Times New Roman" w:hint="default"/>
        <w:rtl w:val="0"/>
        <w:cs w:val="0"/>
      </w:rPr>
    </w:lvl>
    <w:lvl w:ilvl="1">
      <w:start w:val="0"/>
      <w:numFmt w:val="none"/>
      <w:lvlJc w:val="left"/>
      <w:pPr>
        <w:tabs>
          <w:tab w:val="num" w:pos="360"/>
        </w:tabs>
      </w:pPr>
      <w:rPr>
        <w:rFonts w:cs="Times New Roman"/>
        <w:rtl w:val="0"/>
        <w:cs w:val="0"/>
      </w:rPr>
    </w:lvl>
    <w:lvl w:ilvl="2">
      <w:start w:val="0"/>
      <w:numFmt w:val="none"/>
      <w:lvlJc w:val="left"/>
      <w:pPr>
        <w:tabs>
          <w:tab w:val="num" w:pos="360"/>
        </w:tabs>
      </w:pPr>
      <w:rPr>
        <w:rFonts w:cs="Times New Roman"/>
        <w:rtl w:val="0"/>
        <w:cs w:val="0"/>
      </w:rPr>
    </w:lvl>
    <w:lvl w:ilvl="3">
      <w:start w:val="0"/>
      <w:numFmt w:val="none"/>
      <w:lvlJc w:val="left"/>
      <w:pPr>
        <w:tabs>
          <w:tab w:val="num" w:pos="360"/>
        </w:tabs>
      </w:pPr>
      <w:rPr>
        <w:rFonts w:cs="Times New Roman"/>
        <w:rtl w:val="0"/>
        <w:cs w:val="0"/>
      </w:rPr>
    </w:lvl>
    <w:lvl w:ilvl="4">
      <w:start w:val="0"/>
      <w:numFmt w:val="none"/>
      <w:lvlJc w:val="left"/>
      <w:pPr>
        <w:tabs>
          <w:tab w:val="num" w:pos="360"/>
        </w:tabs>
      </w:pPr>
      <w:rPr>
        <w:rFonts w:cs="Times New Roman"/>
        <w:rtl w:val="0"/>
        <w:cs w:val="0"/>
      </w:rPr>
    </w:lvl>
    <w:lvl w:ilvl="5">
      <w:start w:val="0"/>
      <w:numFmt w:val="none"/>
      <w:lvlJc w:val="left"/>
      <w:pPr>
        <w:tabs>
          <w:tab w:val="num" w:pos="360"/>
        </w:tabs>
      </w:pPr>
      <w:rPr>
        <w:rFonts w:cs="Times New Roman"/>
        <w:rtl w:val="0"/>
        <w:cs w:val="0"/>
      </w:rPr>
    </w:lvl>
    <w:lvl w:ilvl="6">
      <w:start w:val="0"/>
      <w:numFmt w:val="none"/>
      <w:lvlJc w:val="left"/>
      <w:pPr>
        <w:tabs>
          <w:tab w:val="num" w:pos="360"/>
        </w:tabs>
      </w:pPr>
      <w:rPr>
        <w:rFonts w:cs="Times New Roman"/>
        <w:rtl w:val="0"/>
        <w:cs w:val="0"/>
      </w:rPr>
    </w:lvl>
    <w:lvl w:ilvl="7">
      <w:start w:val="0"/>
      <w:numFmt w:val="none"/>
      <w:lvlJc w:val="left"/>
      <w:pPr>
        <w:tabs>
          <w:tab w:val="num" w:pos="360"/>
        </w:tabs>
      </w:pPr>
      <w:rPr>
        <w:rFonts w:cs="Times New Roman"/>
        <w:rtl w:val="0"/>
        <w:cs w:val="0"/>
      </w:rPr>
    </w:lvl>
    <w:lvl w:ilvl="8">
      <w:start w:val="0"/>
      <w:numFmt w:val="none"/>
      <w:lvlJc w:val="left"/>
      <w:pPr>
        <w:tabs>
          <w:tab w:val="num" w:pos="360"/>
        </w:tabs>
      </w:pPr>
      <w:rPr>
        <w:rFonts w:cs="Times New Roman"/>
        <w:rtl w:val="0"/>
        <w:cs w:val="0"/>
      </w:rPr>
    </w:lvl>
  </w:abstractNum>
  <w:abstractNum w:abstractNumId="1">
    <w:nsid w:val="04875D1B"/>
    <w:multiLevelType w:val="hybridMultilevel"/>
    <w:tmpl w:val="DA2A3A00"/>
    <w:lvl w:ilvl="0">
      <w:start w:val="1"/>
      <w:numFmt w:val="decimal"/>
      <w:lvlText w:val="%1."/>
      <w:lvlJc w:val="left"/>
      <w:pPr>
        <w:tabs>
          <w:tab w:val="num" w:pos="720"/>
        </w:tabs>
        <w:ind w:left="680" w:hanging="68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65C2932"/>
    <w:multiLevelType w:val="hybridMultilevel"/>
    <w:tmpl w:val="1EEA60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8AC5042"/>
    <w:multiLevelType w:val="multilevel"/>
    <w:tmpl w:val="1EEA60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D4C402C"/>
    <w:multiLevelType w:val="hybridMultilevel"/>
    <w:tmpl w:val="285E1B6A"/>
    <w:lvl w:ilvl="0">
      <w:start w:val="1"/>
      <w:numFmt w:val="bullet"/>
      <w:lvlText w:val="-"/>
      <w:lvlJc w:val="left"/>
      <w:pPr>
        <w:tabs>
          <w:tab w:val="num" w:pos="284"/>
        </w:tabs>
        <w:ind w:left="284" w:hanging="284"/>
      </w:pPr>
      <w:rPr>
        <w:rFonts w:ascii="Book Antiqua" w:hAnsi="Book Antiqu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D6E5C4F"/>
    <w:multiLevelType w:val="multilevel"/>
    <w:tmpl w:val="041B001F"/>
    <w:lvl w:ilvl="0">
      <w:start w:val="1"/>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792"/>
        </w:tabs>
        <w:ind w:left="792" w:hanging="432"/>
      </w:pPr>
      <w:rPr>
        <w:rFonts w:cs="Times New Roman"/>
        <w:rtl w:val="0"/>
        <w:cs w:val="0"/>
      </w:rPr>
    </w:lvl>
    <w:lvl w:ilvl="2">
      <w:start w:val="1"/>
      <w:numFmt w:val="decimal"/>
      <w:lvlText w:val="%1.%2.%3."/>
      <w:lvlJc w:val="left"/>
      <w:pPr>
        <w:tabs>
          <w:tab w:val="num" w:pos="1224"/>
        </w:tabs>
        <w:ind w:left="1224" w:hanging="504"/>
      </w:pPr>
      <w:rPr>
        <w:rFonts w:cs="Times New Roman"/>
        <w:rtl w:val="0"/>
        <w:cs w:val="0"/>
      </w:rPr>
    </w:lvl>
    <w:lvl w:ilvl="3">
      <w:start w:val="1"/>
      <w:numFmt w:val="decimal"/>
      <w:lvlText w:val="%1.%2.%3.%4."/>
      <w:lvlJc w:val="left"/>
      <w:pPr>
        <w:tabs>
          <w:tab w:val="num" w:pos="1728"/>
        </w:tabs>
        <w:ind w:left="1728" w:hanging="648"/>
      </w:pPr>
      <w:rPr>
        <w:rFonts w:cs="Times New Roman"/>
        <w:rtl w:val="0"/>
        <w:cs w:val="0"/>
      </w:rPr>
    </w:lvl>
    <w:lvl w:ilvl="4">
      <w:start w:val="1"/>
      <w:numFmt w:val="decimal"/>
      <w:lvlText w:val="%1.%2.%3.%4.%5."/>
      <w:lvlJc w:val="left"/>
      <w:pPr>
        <w:tabs>
          <w:tab w:val="num" w:pos="2232"/>
        </w:tabs>
        <w:ind w:left="2232" w:hanging="792"/>
      </w:pPr>
      <w:rPr>
        <w:rFonts w:cs="Times New Roman"/>
        <w:rtl w:val="0"/>
        <w:cs w:val="0"/>
      </w:rPr>
    </w:lvl>
    <w:lvl w:ilvl="5">
      <w:start w:val="1"/>
      <w:numFmt w:val="decimal"/>
      <w:lvlText w:val="%1.%2.%3.%4.%5.%6."/>
      <w:lvlJc w:val="left"/>
      <w:pPr>
        <w:tabs>
          <w:tab w:val="num" w:pos="2736"/>
        </w:tabs>
        <w:ind w:left="2736" w:hanging="936"/>
      </w:pPr>
      <w:rPr>
        <w:rFonts w:cs="Times New Roman"/>
        <w:rtl w:val="0"/>
        <w:cs w:val="0"/>
      </w:rPr>
    </w:lvl>
    <w:lvl w:ilvl="6">
      <w:start w:val="1"/>
      <w:numFmt w:val="decimal"/>
      <w:lvlText w:val="%1.%2.%3.%4.%5.%6.%7."/>
      <w:lvlJc w:val="left"/>
      <w:pPr>
        <w:tabs>
          <w:tab w:val="num" w:pos="3240"/>
        </w:tabs>
        <w:ind w:left="3240" w:hanging="1080"/>
      </w:pPr>
      <w:rPr>
        <w:rFonts w:cs="Times New Roman"/>
        <w:rtl w:val="0"/>
        <w:cs w:val="0"/>
      </w:rPr>
    </w:lvl>
    <w:lvl w:ilvl="7">
      <w:start w:val="1"/>
      <w:numFmt w:val="decimal"/>
      <w:lvlText w:val="%1.%2.%3.%4.%5.%6.%7.%8."/>
      <w:lvlJc w:val="left"/>
      <w:pPr>
        <w:tabs>
          <w:tab w:val="num" w:pos="3744"/>
        </w:tabs>
        <w:ind w:left="3744" w:hanging="1224"/>
      </w:pPr>
      <w:rPr>
        <w:rFonts w:cs="Times New Roman"/>
        <w:rtl w:val="0"/>
        <w:cs w:val="0"/>
      </w:rPr>
    </w:lvl>
    <w:lvl w:ilvl="8">
      <w:start w:val="1"/>
      <w:numFmt w:val="decimal"/>
      <w:lvlText w:val="%1.%2.%3.%4.%5.%6.%7.%8.%9."/>
      <w:lvlJc w:val="left"/>
      <w:pPr>
        <w:tabs>
          <w:tab w:val="num" w:pos="4320"/>
        </w:tabs>
        <w:ind w:left="4320" w:hanging="1440"/>
      </w:pPr>
      <w:rPr>
        <w:rFonts w:cs="Times New Roman"/>
        <w:rtl w:val="0"/>
        <w:cs w:val="0"/>
      </w:rPr>
    </w:lvl>
  </w:abstractNum>
  <w:abstractNum w:abstractNumId="6">
    <w:nsid w:val="0F556BCC"/>
    <w:multiLevelType w:val="hybridMultilevel"/>
    <w:tmpl w:val="B240EF44"/>
    <w:lvl w:ilvl="0">
      <w:start w:val="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1AA693A"/>
    <w:multiLevelType w:val="multilevel"/>
    <w:tmpl w:val="2332A8A6"/>
    <w:lvl w:ilvl="0">
      <w:start w:val="1"/>
      <w:numFmt w:val="upperRoman"/>
      <w:lvlText w:val="%1."/>
      <w:lvlJc w:val="left"/>
      <w:pPr>
        <w:tabs>
          <w:tab w:val="num" w:pos="0"/>
        </w:tabs>
      </w:pPr>
      <w:rPr>
        <w:rFonts w:ascii="Arial Narrow" w:hAnsi="Arial Narrow" w:cs="Arial Narrow" w:hint="default"/>
        <w:b/>
        <w:bCs/>
        <w:sz w:val="28"/>
        <w:szCs w:val="28"/>
        <w:rtl w:val="0"/>
        <w:cs w:val="0"/>
      </w:rPr>
    </w:lvl>
    <w:lvl w:ilvl="1">
      <w:start w:val="1"/>
      <w:numFmt w:val="decimal"/>
      <w:lvlText w:val="%1.%2."/>
      <w:lvlJc w:val="left"/>
      <w:pPr>
        <w:tabs>
          <w:tab w:val="num" w:pos="0"/>
        </w:tabs>
      </w:pPr>
      <w:rPr>
        <w:rFonts w:ascii="Arial Narrow" w:hAnsi="Arial Narrow" w:cs="Arial Narrow" w:hint="default"/>
        <w:b/>
        <w:bCs/>
        <w:i w:val="0"/>
        <w:iCs w:val="0"/>
        <w:sz w:val="28"/>
        <w:szCs w:val="28"/>
        <w:rtl w:val="0"/>
        <w:cs w:val="0"/>
      </w:rPr>
    </w:lvl>
    <w:lvl w:ilvl="2">
      <w:start w:val="1"/>
      <w:numFmt w:val="decimal"/>
      <w:lvlText w:val="%1.%2.%3."/>
      <w:lvlJc w:val="left"/>
      <w:pPr>
        <w:tabs>
          <w:tab w:val="num" w:pos="720"/>
        </w:tabs>
      </w:pPr>
      <w:rPr>
        <w:rFonts w:ascii="Arial Narrow" w:hAnsi="Arial Narrow" w:cs="Arial Narrow" w:hint="default"/>
        <w:b/>
        <w:bCs/>
        <w:i w:val="0"/>
        <w:iCs w:val="0"/>
        <w:color w:val="000000"/>
        <w:sz w:val="24"/>
        <w:szCs w:val="24"/>
        <w:rtl w:val="0"/>
        <w:cs w:val="0"/>
      </w:rPr>
    </w:lvl>
    <w:lvl w:ilvl="3">
      <w:start w:val="1"/>
      <w:numFmt w:val="decimal"/>
      <w:lvlText w:val="%1.%2.%3.%4."/>
      <w:lvlJc w:val="left"/>
      <w:pPr>
        <w:tabs>
          <w:tab w:val="num" w:pos="0"/>
        </w:tabs>
      </w:pPr>
      <w:rPr>
        <w:rFonts w:cs="Times New Roman" w:hint="default"/>
        <w:rtl w:val="0"/>
        <w:cs w:val="0"/>
      </w:rPr>
    </w:lvl>
    <w:lvl w:ilvl="4">
      <w:start w:val="1"/>
      <w:numFmt w:val="decimal"/>
      <w:lvlText w:val="%1.%2.%3.%4.%5."/>
      <w:lvlJc w:val="left"/>
      <w:pPr>
        <w:tabs>
          <w:tab w:val="num" w:pos="2880"/>
        </w:tabs>
        <w:ind w:left="2232" w:hanging="792"/>
      </w:pPr>
      <w:rPr>
        <w:rFonts w:cs="Times New Roman" w:hint="default"/>
        <w:rtl w:val="0"/>
        <w:cs w:val="0"/>
      </w:rPr>
    </w:lvl>
    <w:lvl w:ilvl="5">
      <w:start w:val="1"/>
      <w:numFmt w:val="decimal"/>
      <w:lvlText w:val="%1.%2.%3.%4.%5.%6."/>
      <w:lvlJc w:val="left"/>
      <w:pPr>
        <w:tabs>
          <w:tab w:val="num" w:pos="3600"/>
        </w:tabs>
        <w:ind w:left="2736" w:hanging="936"/>
      </w:pPr>
      <w:rPr>
        <w:rFonts w:cs="Times New Roman" w:hint="default"/>
        <w:rtl w:val="0"/>
        <w:cs w:val="0"/>
      </w:rPr>
    </w:lvl>
    <w:lvl w:ilvl="6">
      <w:start w:val="1"/>
      <w:numFmt w:val="decimal"/>
      <w:lvlText w:val="%1.%2.%3.%4.%5.%6.%7."/>
      <w:lvlJc w:val="left"/>
      <w:pPr>
        <w:tabs>
          <w:tab w:val="num" w:pos="4320"/>
        </w:tabs>
        <w:ind w:left="3240" w:hanging="1080"/>
      </w:pPr>
      <w:rPr>
        <w:rFonts w:cs="Times New Roman" w:hint="default"/>
        <w:rtl w:val="0"/>
        <w:cs w:val="0"/>
      </w:rPr>
    </w:lvl>
    <w:lvl w:ilvl="7">
      <w:start w:val="1"/>
      <w:numFmt w:val="decimal"/>
      <w:lvlText w:val="%1.%2.%3.%4.%5.%6.%7.%8."/>
      <w:lvlJc w:val="left"/>
      <w:pPr>
        <w:tabs>
          <w:tab w:val="num" w:pos="4680"/>
        </w:tabs>
        <w:ind w:left="3744" w:hanging="1224"/>
      </w:pPr>
      <w:rPr>
        <w:rFonts w:cs="Times New Roman" w:hint="default"/>
        <w:rtl w:val="0"/>
        <w:cs w:val="0"/>
      </w:rPr>
    </w:lvl>
    <w:lvl w:ilvl="8">
      <w:start w:val="1"/>
      <w:numFmt w:val="decimal"/>
      <w:lvlText w:val="%1.%2.%3.%4.%5.%6.%7.%8.%9."/>
      <w:lvlJc w:val="left"/>
      <w:pPr>
        <w:tabs>
          <w:tab w:val="num" w:pos="5400"/>
        </w:tabs>
        <w:ind w:left="4320" w:hanging="1440"/>
      </w:pPr>
      <w:rPr>
        <w:rFonts w:cs="Times New Roman" w:hint="default"/>
        <w:rtl w:val="0"/>
        <w:cs w:val="0"/>
      </w:rPr>
    </w:lvl>
  </w:abstractNum>
  <w:abstractNum w:abstractNumId="8">
    <w:nsid w:val="11EA7657"/>
    <w:multiLevelType w:val="hybridMultilevel"/>
    <w:tmpl w:val="03F2C172"/>
    <w:lvl w:ilvl="0">
      <w:start w:val="1"/>
      <w:numFmt w:val="decimal"/>
      <w:lvlText w:val="%1."/>
      <w:lvlJc w:val="left"/>
      <w:pPr>
        <w:tabs>
          <w:tab w:val="num" w:pos="720"/>
        </w:tabs>
        <w:ind w:left="720" w:hanging="360"/>
      </w:pPr>
      <w:rPr>
        <w:rFonts w:cs="Times New Roman" w:hint="default"/>
        <w:rtl w:val="0"/>
        <w:cs w:val="0"/>
      </w:rPr>
    </w:lvl>
    <w:lvl w:ilvl="1">
      <w:start w:val="0"/>
      <w:numFmt w:val="none"/>
      <w:lvlJc w:val="left"/>
      <w:pPr>
        <w:tabs>
          <w:tab w:val="num" w:pos="360"/>
        </w:tabs>
      </w:pPr>
      <w:rPr>
        <w:rFonts w:cs="Times New Roman"/>
        <w:rtl w:val="0"/>
        <w:cs w:val="0"/>
      </w:rPr>
    </w:lvl>
    <w:lvl w:ilvl="2">
      <w:start w:val="0"/>
      <w:numFmt w:val="none"/>
      <w:lvlJc w:val="left"/>
      <w:pPr>
        <w:tabs>
          <w:tab w:val="num" w:pos="360"/>
        </w:tabs>
      </w:pPr>
      <w:rPr>
        <w:rFonts w:cs="Times New Roman"/>
        <w:rtl w:val="0"/>
        <w:cs w:val="0"/>
      </w:rPr>
    </w:lvl>
    <w:lvl w:ilvl="3">
      <w:start w:val="0"/>
      <w:numFmt w:val="none"/>
      <w:lvlJc w:val="left"/>
      <w:pPr>
        <w:tabs>
          <w:tab w:val="num" w:pos="360"/>
        </w:tabs>
      </w:pPr>
      <w:rPr>
        <w:rFonts w:cs="Times New Roman"/>
        <w:rtl w:val="0"/>
        <w:cs w:val="0"/>
      </w:rPr>
    </w:lvl>
    <w:lvl w:ilvl="4">
      <w:start w:val="0"/>
      <w:numFmt w:val="none"/>
      <w:lvlJc w:val="left"/>
      <w:pPr>
        <w:tabs>
          <w:tab w:val="num" w:pos="360"/>
        </w:tabs>
      </w:pPr>
      <w:rPr>
        <w:rFonts w:cs="Times New Roman"/>
        <w:rtl w:val="0"/>
        <w:cs w:val="0"/>
      </w:rPr>
    </w:lvl>
    <w:lvl w:ilvl="5">
      <w:start w:val="0"/>
      <w:numFmt w:val="none"/>
      <w:lvlJc w:val="left"/>
      <w:pPr>
        <w:tabs>
          <w:tab w:val="num" w:pos="360"/>
        </w:tabs>
      </w:pPr>
      <w:rPr>
        <w:rFonts w:cs="Times New Roman"/>
        <w:rtl w:val="0"/>
        <w:cs w:val="0"/>
      </w:rPr>
    </w:lvl>
    <w:lvl w:ilvl="6">
      <w:start w:val="0"/>
      <w:numFmt w:val="none"/>
      <w:lvlJc w:val="left"/>
      <w:pPr>
        <w:tabs>
          <w:tab w:val="num" w:pos="360"/>
        </w:tabs>
      </w:pPr>
      <w:rPr>
        <w:rFonts w:cs="Times New Roman"/>
        <w:rtl w:val="0"/>
        <w:cs w:val="0"/>
      </w:rPr>
    </w:lvl>
    <w:lvl w:ilvl="7">
      <w:start w:val="0"/>
      <w:numFmt w:val="none"/>
      <w:lvlJc w:val="left"/>
      <w:pPr>
        <w:tabs>
          <w:tab w:val="num" w:pos="360"/>
        </w:tabs>
      </w:pPr>
      <w:rPr>
        <w:rFonts w:cs="Times New Roman"/>
        <w:rtl w:val="0"/>
        <w:cs w:val="0"/>
      </w:rPr>
    </w:lvl>
    <w:lvl w:ilvl="8">
      <w:start w:val="0"/>
      <w:numFmt w:val="none"/>
      <w:lvlJc w:val="left"/>
      <w:pPr>
        <w:tabs>
          <w:tab w:val="num" w:pos="360"/>
        </w:tabs>
      </w:pPr>
      <w:rPr>
        <w:rFonts w:cs="Times New Roman"/>
        <w:rtl w:val="0"/>
        <w:cs w:val="0"/>
      </w:rPr>
    </w:lvl>
  </w:abstractNum>
  <w:abstractNum w:abstractNumId="9">
    <w:nsid w:val="183B540F"/>
    <w:multiLevelType w:val="hybridMultilevel"/>
    <w:tmpl w:val="2B1633C0"/>
    <w:lvl w:ilvl="0">
      <w:start w:val="3"/>
      <w:numFmt w:val="bullet"/>
      <w:lvlText w:val="-"/>
      <w:lvlJc w:val="left"/>
      <w:pPr>
        <w:tabs>
          <w:tab w:val="num" w:pos="1132"/>
        </w:tabs>
        <w:ind w:left="994" w:hanging="2"/>
      </w:pPr>
      <w:rPr>
        <w:rFonts w:ascii="Arial Narrow" w:eastAsia="Times New Roman" w:hAnsi="Arial Narrow" w:hint="default"/>
      </w:rPr>
    </w:lvl>
    <w:lvl w:ilvl="1">
      <w:start w:val="1"/>
      <w:numFmt w:val="bullet"/>
      <w:lvlText w:val="o"/>
      <w:lvlJc w:val="left"/>
      <w:pPr>
        <w:tabs>
          <w:tab w:val="num" w:pos="1442"/>
        </w:tabs>
        <w:ind w:left="1442" w:hanging="360"/>
      </w:pPr>
      <w:rPr>
        <w:rFonts w:ascii="Courier New" w:hAnsi="Courier New" w:hint="default"/>
      </w:rPr>
    </w:lvl>
    <w:lvl w:ilvl="2">
      <w:start w:val="1"/>
      <w:numFmt w:val="bullet"/>
      <w:lvlText w:val=""/>
      <w:lvlJc w:val="left"/>
      <w:pPr>
        <w:tabs>
          <w:tab w:val="num" w:pos="2162"/>
        </w:tabs>
        <w:ind w:left="2162" w:hanging="360"/>
      </w:pPr>
      <w:rPr>
        <w:rFonts w:ascii="Wingdings" w:hAnsi="Wingdings" w:hint="default"/>
      </w:rPr>
    </w:lvl>
    <w:lvl w:ilvl="3">
      <w:start w:val="1"/>
      <w:numFmt w:val="bullet"/>
      <w:lvlText w:val=""/>
      <w:lvlJc w:val="left"/>
      <w:pPr>
        <w:tabs>
          <w:tab w:val="num" w:pos="2882"/>
        </w:tabs>
        <w:ind w:left="2882" w:hanging="360"/>
      </w:pPr>
      <w:rPr>
        <w:rFonts w:ascii="Symbol" w:hAnsi="Symbol" w:hint="default"/>
      </w:rPr>
    </w:lvl>
    <w:lvl w:ilvl="4">
      <w:start w:val="1"/>
      <w:numFmt w:val="bullet"/>
      <w:lvlText w:val="o"/>
      <w:lvlJc w:val="left"/>
      <w:pPr>
        <w:tabs>
          <w:tab w:val="num" w:pos="3602"/>
        </w:tabs>
        <w:ind w:left="3602" w:hanging="360"/>
      </w:pPr>
      <w:rPr>
        <w:rFonts w:ascii="Courier New" w:hAnsi="Courier New" w:hint="default"/>
      </w:rPr>
    </w:lvl>
    <w:lvl w:ilvl="5">
      <w:start w:val="1"/>
      <w:numFmt w:val="bullet"/>
      <w:lvlText w:val=""/>
      <w:lvlJc w:val="left"/>
      <w:pPr>
        <w:tabs>
          <w:tab w:val="num" w:pos="4322"/>
        </w:tabs>
        <w:ind w:left="4322" w:hanging="360"/>
      </w:pPr>
      <w:rPr>
        <w:rFonts w:ascii="Wingdings" w:hAnsi="Wingdings" w:hint="default"/>
      </w:rPr>
    </w:lvl>
    <w:lvl w:ilvl="6">
      <w:start w:val="1"/>
      <w:numFmt w:val="bullet"/>
      <w:lvlText w:val=""/>
      <w:lvlJc w:val="left"/>
      <w:pPr>
        <w:tabs>
          <w:tab w:val="num" w:pos="5042"/>
        </w:tabs>
        <w:ind w:left="5042" w:hanging="360"/>
      </w:pPr>
      <w:rPr>
        <w:rFonts w:ascii="Symbol" w:hAnsi="Symbol" w:hint="default"/>
      </w:rPr>
    </w:lvl>
    <w:lvl w:ilvl="7">
      <w:start w:val="1"/>
      <w:numFmt w:val="bullet"/>
      <w:lvlText w:val="o"/>
      <w:lvlJc w:val="left"/>
      <w:pPr>
        <w:tabs>
          <w:tab w:val="num" w:pos="5762"/>
        </w:tabs>
        <w:ind w:left="5762" w:hanging="360"/>
      </w:pPr>
      <w:rPr>
        <w:rFonts w:ascii="Courier New" w:hAnsi="Courier New" w:hint="default"/>
      </w:rPr>
    </w:lvl>
    <w:lvl w:ilvl="8">
      <w:start w:val="1"/>
      <w:numFmt w:val="bullet"/>
      <w:lvlText w:val=""/>
      <w:lvlJc w:val="left"/>
      <w:pPr>
        <w:tabs>
          <w:tab w:val="num" w:pos="6482"/>
        </w:tabs>
        <w:ind w:left="6482" w:hanging="360"/>
      </w:pPr>
      <w:rPr>
        <w:rFonts w:ascii="Wingdings" w:hAnsi="Wingdings" w:hint="default"/>
      </w:rPr>
    </w:lvl>
  </w:abstractNum>
  <w:abstractNum w:abstractNumId="10">
    <w:nsid w:val="1A1D7F34"/>
    <w:multiLevelType w:val="hybridMultilevel"/>
    <w:tmpl w:val="E7BCDE88"/>
    <w:lvl w:ilvl="0">
      <w:start w:val="230"/>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1AAB519F"/>
    <w:multiLevelType w:val="hybridMultilevel"/>
    <w:tmpl w:val="2E864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0CF6F91"/>
    <w:multiLevelType w:val="hybridMultilevel"/>
    <w:tmpl w:val="6BA624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0D132C0"/>
    <w:multiLevelType w:val="multilevel"/>
    <w:tmpl w:val="2332A8A6"/>
    <w:lvl w:ilvl="0">
      <w:start w:val="1"/>
      <w:numFmt w:val="upperRoman"/>
      <w:lvlText w:val="%1."/>
      <w:lvlJc w:val="left"/>
      <w:pPr>
        <w:tabs>
          <w:tab w:val="num" w:pos="0"/>
        </w:tabs>
      </w:pPr>
      <w:rPr>
        <w:rFonts w:ascii="Arial Narrow" w:hAnsi="Arial Narrow" w:cs="Arial Narrow" w:hint="default"/>
        <w:b/>
        <w:bCs/>
        <w:sz w:val="28"/>
        <w:szCs w:val="28"/>
        <w:rtl w:val="0"/>
        <w:cs w:val="0"/>
      </w:rPr>
    </w:lvl>
    <w:lvl w:ilvl="1">
      <w:start w:val="1"/>
      <w:numFmt w:val="decimal"/>
      <w:lvlText w:val="%1.%2."/>
      <w:lvlJc w:val="left"/>
      <w:pPr>
        <w:tabs>
          <w:tab w:val="num" w:pos="0"/>
        </w:tabs>
      </w:pPr>
      <w:rPr>
        <w:rFonts w:ascii="Arial Narrow" w:hAnsi="Arial Narrow" w:cs="Arial Narrow" w:hint="default"/>
        <w:b/>
        <w:bCs/>
        <w:i w:val="0"/>
        <w:iCs w:val="0"/>
        <w:sz w:val="28"/>
        <w:szCs w:val="28"/>
        <w:rtl w:val="0"/>
        <w:cs w:val="0"/>
      </w:rPr>
    </w:lvl>
    <w:lvl w:ilvl="2">
      <w:start w:val="1"/>
      <w:numFmt w:val="decimal"/>
      <w:lvlText w:val="%1.%2.%3."/>
      <w:lvlJc w:val="left"/>
      <w:pPr>
        <w:tabs>
          <w:tab w:val="num" w:pos="720"/>
        </w:tabs>
      </w:pPr>
      <w:rPr>
        <w:rFonts w:ascii="Arial Narrow" w:hAnsi="Arial Narrow" w:cs="Arial Narrow" w:hint="default"/>
        <w:b/>
        <w:bCs/>
        <w:i w:val="0"/>
        <w:iCs w:val="0"/>
        <w:color w:val="000000"/>
        <w:sz w:val="24"/>
        <w:szCs w:val="24"/>
        <w:rtl w:val="0"/>
        <w:cs w:val="0"/>
      </w:rPr>
    </w:lvl>
    <w:lvl w:ilvl="3">
      <w:start w:val="1"/>
      <w:numFmt w:val="decimal"/>
      <w:lvlText w:val="%1.%2.%3.%4."/>
      <w:lvlJc w:val="left"/>
      <w:pPr>
        <w:tabs>
          <w:tab w:val="num" w:pos="0"/>
        </w:tabs>
      </w:pPr>
      <w:rPr>
        <w:rFonts w:cs="Times New Roman" w:hint="default"/>
        <w:rtl w:val="0"/>
        <w:cs w:val="0"/>
      </w:rPr>
    </w:lvl>
    <w:lvl w:ilvl="4">
      <w:start w:val="1"/>
      <w:numFmt w:val="decimal"/>
      <w:lvlText w:val="%1.%2.%3.%4.%5."/>
      <w:lvlJc w:val="left"/>
      <w:pPr>
        <w:tabs>
          <w:tab w:val="num" w:pos="2880"/>
        </w:tabs>
        <w:ind w:left="2232" w:hanging="792"/>
      </w:pPr>
      <w:rPr>
        <w:rFonts w:cs="Times New Roman" w:hint="default"/>
        <w:rtl w:val="0"/>
        <w:cs w:val="0"/>
      </w:rPr>
    </w:lvl>
    <w:lvl w:ilvl="5">
      <w:start w:val="1"/>
      <w:numFmt w:val="decimal"/>
      <w:lvlText w:val="%1.%2.%3.%4.%5.%6."/>
      <w:lvlJc w:val="left"/>
      <w:pPr>
        <w:tabs>
          <w:tab w:val="num" w:pos="3600"/>
        </w:tabs>
        <w:ind w:left="2736" w:hanging="936"/>
      </w:pPr>
      <w:rPr>
        <w:rFonts w:cs="Times New Roman" w:hint="default"/>
        <w:rtl w:val="0"/>
        <w:cs w:val="0"/>
      </w:rPr>
    </w:lvl>
    <w:lvl w:ilvl="6">
      <w:start w:val="1"/>
      <w:numFmt w:val="decimal"/>
      <w:lvlText w:val="%1.%2.%3.%4.%5.%6.%7."/>
      <w:lvlJc w:val="left"/>
      <w:pPr>
        <w:tabs>
          <w:tab w:val="num" w:pos="4320"/>
        </w:tabs>
        <w:ind w:left="3240" w:hanging="1080"/>
      </w:pPr>
      <w:rPr>
        <w:rFonts w:cs="Times New Roman" w:hint="default"/>
        <w:rtl w:val="0"/>
        <w:cs w:val="0"/>
      </w:rPr>
    </w:lvl>
    <w:lvl w:ilvl="7">
      <w:start w:val="1"/>
      <w:numFmt w:val="decimal"/>
      <w:lvlText w:val="%1.%2.%3.%4.%5.%6.%7.%8."/>
      <w:lvlJc w:val="left"/>
      <w:pPr>
        <w:tabs>
          <w:tab w:val="num" w:pos="4680"/>
        </w:tabs>
        <w:ind w:left="3744" w:hanging="1224"/>
      </w:pPr>
      <w:rPr>
        <w:rFonts w:cs="Times New Roman" w:hint="default"/>
        <w:rtl w:val="0"/>
        <w:cs w:val="0"/>
      </w:rPr>
    </w:lvl>
    <w:lvl w:ilvl="8">
      <w:start w:val="1"/>
      <w:numFmt w:val="decimal"/>
      <w:lvlText w:val="%1.%2.%3.%4.%5.%6.%7.%8.%9."/>
      <w:lvlJc w:val="left"/>
      <w:pPr>
        <w:tabs>
          <w:tab w:val="num" w:pos="5400"/>
        </w:tabs>
        <w:ind w:left="4320" w:hanging="1440"/>
      </w:pPr>
      <w:rPr>
        <w:rFonts w:cs="Times New Roman" w:hint="default"/>
        <w:rtl w:val="0"/>
        <w:cs w:val="0"/>
      </w:rPr>
    </w:lvl>
  </w:abstractNum>
  <w:abstractNum w:abstractNumId="14">
    <w:nsid w:val="22095C11"/>
    <w:multiLevelType w:val="hybridMultilevel"/>
    <w:tmpl w:val="991C5D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4F20C54"/>
    <w:multiLevelType w:val="hybridMultilevel"/>
    <w:tmpl w:val="4880E9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60261BB"/>
    <w:multiLevelType w:val="hybridMultilevel"/>
    <w:tmpl w:val="094626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A663765"/>
    <w:multiLevelType w:val="hybridMultilevel"/>
    <w:tmpl w:val="BAC47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CDA6A45"/>
    <w:multiLevelType w:val="hybridMultilevel"/>
    <w:tmpl w:val="0094920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3333736B"/>
    <w:multiLevelType w:val="hybridMultilevel"/>
    <w:tmpl w:val="BF9EBF22"/>
    <w:lvl w:ilvl="0">
      <w:start w:val="70"/>
      <w:numFmt w:val="decimal"/>
      <w:lvlText w:val="%1"/>
      <w:lvlJc w:val="left"/>
      <w:pPr>
        <w:tabs>
          <w:tab w:val="num" w:pos="1275"/>
        </w:tabs>
        <w:ind w:left="1275" w:hanging="360"/>
      </w:pPr>
      <w:rPr>
        <w:rFonts w:cs="Times New Roman" w:hint="default"/>
        <w:rtl w:val="0"/>
        <w:cs w:val="0"/>
      </w:rPr>
    </w:lvl>
    <w:lvl w:ilvl="1">
      <w:start w:val="1"/>
      <w:numFmt w:val="bullet"/>
      <w:lvlText w:val="o"/>
      <w:lvlJc w:val="left"/>
      <w:pPr>
        <w:tabs>
          <w:tab w:val="num" w:pos="1995"/>
        </w:tabs>
        <w:ind w:left="1995" w:hanging="360"/>
      </w:pPr>
      <w:rPr>
        <w:rFonts w:ascii="Courier New" w:hAnsi="Courier New" w:hint="default"/>
      </w:rPr>
    </w:lvl>
    <w:lvl w:ilvl="2">
      <w:start w:val="1"/>
      <w:numFmt w:val="bullet"/>
      <w:lvlText w:val=""/>
      <w:lvlJc w:val="left"/>
      <w:pPr>
        <w:tabs>
          <w:tab w:val="num" w:pos="2715"/>
        </w:tabs>
        <w:ind w:left="2715" w:hanging="360"/>
      </w:pPr>
      <w:rPr>
        <w:rFonts w:ascii="Wingdings" w:hAnsi="Wingdings" w:hint="default"/>
      </w:rPr>
    </w:lvl>
    <w:lvl w:ilvl="3">
      <w:start w:val="1"/>
      <w:numFmt w:val="bullet"/>
      <w:lvlText w:val=""/>
      <w:lvlJc w:val="left"/>
      <w:pPr>
        <w:tabs>
          <w:tab w:val="num" w:pos="3435"/>
        </w:tabs>
        <w:ind w:left="3435" w:hanging="360"/>
      </w:pPr>
      <w:rPr>
        <w:rFonts w:ascii="Symbol" w:hAnsi="Symbol" w:hint="default"/>
      </w:rPr>
    </w:lvl>
    <w:lvl w:ilvl="4">
      <w:start w:val="1"/>
      <w:numFmt w:val="bullet"/>
      <w:lvlText w:val="o"/>
      <w:lvlJc w:val="left"/>
      <w:pPr>
        <w:tabs>
          <w:tab w:val="num" w:pos="4155"/>
        </w:tabs>
        <w:ind w:left="4155" w:hanging="360"/>
      </w:pPr>
      <w:rPr>
        <w:rFonts w:ascii="Courier New" w:hAnsi="Courier New" w:hint="default"/>
      </w:rPr>
    </w:lvl>
    <w:lvl w:ilvl="5">
      <w:start w:val="1"/>
      <w:numFmt w:val="bullet"/>
      <w:lvlText w:val=""/>
      <w:lvlJc w:val="left"/>
      <w:pPr>
        <w:tabs>
          <w:tab w:val="num" w:pos="4875"/>
        </w:tabs>
        <w:ind w:left="4875" w:hanging="360"/>
      </w:pPr>
      <w:rPr>
        <w:rFonts w:ascii="Wingdings" w:hAnsi="Wingdings" w:hint="default"/>
      </w:rPr>
    </w:lvl>
    <w:lvl w:ilvl="6">
      <w:start w:val="1"/>
      <w:numFmt w:val="bullet"/>
      <w:lvlText w:val=""/>
      <w:lvlJc w:val="left"/>
      <w:pPr>
        <w:tabs>
          <w:tab w:val="num" w:pos="5595"/>
        </w:tabs>
        <w:ind w:left="5595" w:hanging="360"/>
      </w:pPr>
      <w:rPr>
        <w:rFonts w:ascii="Symbol" w:hAnsi="Symbol" w:hint="default"/>
      </w:rPr>
    </w:lvl>
    <w:lvl w:ilvl="7">
      <w:start w:val="1"/>
      <w:numFmt w:val="bullet"/>
      <w:lvlText w:val="o"/>
      <w:lvlJc w:val="left"/>
      <w:pPr>
        <w:tabs>
          <w:tab w:val="num" w:pos="6315"/>
        </w:tabs>
        <w:ind w:left="6315" w:hanging="360"/>
      </w:pPr>
      <w:rPr>
        <w:rFonts w:ascii="Courier New" w:hAnsi="Courier New" w:hint="default"/>
      </w:rPr>
    </w:lvl>
    <w:lvl w:ilvl="8">
      <w:start w:val="1"/>
      <w:numFmt w:val="bullet"/>
      <w:lvlText w:val=""/>
      <w:lvlJc w:val="left"/>
      <w:pPr>
        <w:tabs>
          <w:tab w:val="num" w:pos="7035"/>
        </w:tabs>
        <w:ind w:left="7035" w:hanging="360"/>
      </w:pPr>
      <w:rPr>
        <w:rFonts w:ascii="Wingdings" w:hAnsi="Wingdings" w:hint="default"/>
      </w:rPr>
    </w:lvl>
  </w:abstractNum>
  <w:abstractNum w:abstractNumId="20">
    <w:nsid w:val="33BE4030"/>
    <w:multiLevelType w:val="singleLevel"/>
    <w:tmpl w:val="7CB81348"/>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18"/>
        <w:szCs w:val="18"/>
        <w:rtl w:val="0"/>
        <w:cs w:val="0"/>
      </w:rPr>
    </w:lvl>
  </w:abstractNum>
  <w:abstractNum w:abstractNumId="21">
    <w:nsid w:val="353563AB"/>
    <w:multiLevelType w:val="hybridMultilevel"/>
    <w:tmpl w:val="C568CE80"/>
    <w:lvl w:ilvl="0">
      <w:start w:val="1"/>
      <w:numFmt w:val="bullet"/>
      <w:lvlText w:val=""/>
      <w:lvlJc w:val="left"/>
      <w:pPr>
        <w:tabs>
          <w:tab w:val="num" w:pos="397"/>
        </w:tabs>
        <w:ind w:left="397"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8955929"/>
    <w:multiLevelType w:val="hybridMultilevel"/>
    <w:tmpl w:val="B8006EC4"/>
    <w:lvl w:ilvl="0">
      <w:start w:val="541"/>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10E6A9F"/>
    <w:multiLevelType w:val="hybridMultilevel"/>
    <w:tmpl w:val="79287E30"/>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2F576FB"/>
    <w:multiLevelType w:val="hybridMultilevel"/>
    <w:tmpl w:val="BE14AE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3BC4A05"/>
    <w:multiLevelType w:val="hybridMultilevel"/>
    <w:tmpl w:val="8B666AE6"/>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496E3ED4"/>
    <w:multiLevelType w:val="hybridMultilevel"/>
    <w:tmpl w:val="BD44649E"/>
    <w:lvl w:ilvl="0">
      <w:start w:val="1"/>
      <w:numFmt w:val="lowerLetter"/>
      <w:lvlText w:val="%1)"/>
      <w:lvlJc w:val="left"/>
      <w:pPr>
        <w:tabs>
          <w:tab w:val="num" w:pos="720"/>
        </w:tabs>
        <w:ind w:left="624" w:hanging="624"/>
      </w:pPr>
      <w:rPr>
        <w:rFonts w:ascii="Times New Roman" w:eastAsia="Times New Roman" w:hAnsi="Times New Roman" w:cs="Times New Roman" w:hint="default"/>
        <w:b w:val="0"/>
        <w:b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4BCF0351"/>
    <w:multiLevelType w:val="hybridMultilevel"/>
    <w:tmpl w:val="DB20106A"/>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F616F30"/>
    <w:multiLevelType w:val="hybridMultilevel"/>
    <w:tmpl w:val="FB94F43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503F4D24"/>
    <w:multiLevelType w:val="hybridMultilevel"/>
    <w:tmpl w:val="4EDCAB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1474C86"/>
    <w:multiLevelType w:val="hybridMultilevel"/>
    <w:tmpl w:val="C95A2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23C08A6"/>
    <w:multiLevelType w:val="hybridMultilevel"/>
    <w:tmpl w:val="27BA8ECC"/>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29D108C"/>
    <w:multiLevelType w:val="hybridMultilevel"/>
    <w:tmpl w:val="08227E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C2F4C8F"/>
    <w:multiLevelType w:val="singleLevel"/>
    <w:tmpl w:val="B06479D8"/>
    <w:lvl w:ilvl="0">
      <w:start w:val="1"/>
      <w:numFmt w:val="decimal"/>
      <w:lvlText w:val="%1."/>
      <w:lvlJc w:val="left"/>
      <w:pPr>
        <w:tabs>
          <w:tab w:val="num" w:pos="360"/>
        </w:tabs>
        <w:ind w:left="170" w:hanging="170"/>
      </w:pPr>
      <w:rPr>
        <w:rFonts w:cs="Times New Roman"/>
        <w:b/>
        <w:bCs/>
        <w:i w:val="0"/>
        <w:iCs w:val="0"/>
        <w:rtl w:val="0"/>
        <w:cs w:val="0"/>
      </w:rPr>
    </w:lvl>
  </w:abstractNum>
  <w:abstractNum w:abstractNumId="34">
    <w:nsid w:val="5C685CFD"/>
    <w:multiLevelType w:val="hybridMultilevel"/>
    <w:tmpl w:val="BB123D8A"/>
    <w:lvl w:ilvl="0">
      <w:start w:val="1"/>
      <w:numFmt w:val="bullet"/>
      <w:lvlText w:val=""/>
      <w:lvlJc w:val="left"/>
      <w:pPr>
        <w:tabs>
          <w:tab w:val="num" w:pos="422"/>
        </w:tabs>
        <w:ind w:left="780" w:hanging="360"/>
      </w:pPr>
      <w:rPr>
        <w:rFonts w:ascii="Symbol" w:hAnsi="Symbol" w:hint="default"/>
        <w:b w:val="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nsid w:val="5FC43057"/>
    <w:multiLevelType w:val="hybridMultilevel"/>
    <w:tmpl w:val="91ACDF2A"/>
    <w:lvl w:ilvl="0">
      <w:start w:val="3"/>
      <w:numFmt w:val="decimal"/>
      <w:lvlText w:val="%1."/>
      <w:lvlJc w:val="left"/>
      <w:pPr>
        <w:tabs>
          <w:tab w:val="num" w:pos="720"/>
        </w:tabs>
        <w:ind w:left="680" w:hanging="68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6F463092"/>
    <w:multiLevelType w:val="hybridMultilevel"/>
    <w:tmpl w:val="3008227A"/>
    <w:lvl w:ilvl="0">
      <w:start w:val="1"/>
      <w:numFmt w:val="bullet"/>
      <w:lvlText w:val="·"/>
      <w:lvlJc w:val="left"/>
      <w:pPr>
        <w:tabs>
          <w:tab w:val="num" w:pos="0"/>
        </w:tabs>
        <w:ind w:left="2722" w:hanging="45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0CD3C46"/>
    <w:multiLevelType w:val="multilevel"/>
    <w:tmpl w:val="3E2212C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72C705C1"/>
    <w:multiLevelType w:val="hybridMultilevel"/>
    <w:tmpl w:val="1D28D6B2"/>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74151384"/>
    <w:multiLevelType w:val="hybridMultilevel"/>
    <w:tmpl w:val="4C3896AA"/>
    <w:lvl w:ilvl="0">
      <w:start w:val="1"/>
      <w:numFmt w:val="upp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40">
    <w:nsid w:val="776E0474"/>
    <w:multiLevelType w:val="multilevel"/>
    <w:tmpl w:val="0094920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
    <w:nsid w:val="799803E8"/>
    <w:multiLevelType w:val="multilevel"/>
    <w:tmpl w:val="2332A8A6"/>
    <w:lvl w:ilvl="0">
      <w:start w:val="1"/>
      <w:numFmt w:val="upperRoman"/>
      <w:lvlText w:val="%1."/>
      <w:lvlJc w:val="left"/>
      <w:pPr>
        <w:tabs>
          <w:tab w:val="num" w:pos="0"/>
        </w:tabs>
      </w:pPr>
      <w:rPr>
        <w:rFonts w:ascii="Arial Narrow" w:hAnsi="Arial Narrow" w:cs="Arial Narrow" w:hint="default"/>
        <w:b/>
        <w:bCs/>
        <w:sz w:val="28"/>
        <w:szCs w:val="28"/>
        <w:rtl w:val="0"/>
        <w:cs w:val="0"/>
      </w:rPr>
    </w:lvl>
    <w:lvl w:ilvl="1">
      <w:start w:val="1"/>
      <w:numFmt w:val="decimal"/>
      <w:lvlText w:val="%1.%2."/>
      <w:lvlJc w:val="left"/>
      <w:pPr>
        <w:tabs>
          <w:tab w:val="num" w:pos="0"/>
        </w:tabs>
      </w:pPr>
      <w:rPr>
        <w:rFonts w:ascii="Arial Narrow" w:hAnsi="Arial Narrow" w:cs="Arial Narrow" w:hint="default"/>
        <w:b/>
        <w:bCs/>
        <w:i w:val="0"/>
        <w:iCs w:val="0"/>
        <w:sz w:val="28"/>
        <w:szCs w:val="28"/>
        <w:rtl w:val="0"/>
        <w:cs w:val="0"/>
      </w:rPr>
    </w:lvl>
    <w:lvl w:ilvl="2">
      <w:start w:val="1"/>
      <w:numFmt w:val="decimal"/>
      <w:lvlText w:val="%1.%2.%3."/>
      <w:lvlJc w:val="left"/>
      <w:pPr>
        <w:tabs>
          <w:tab w:val="num" w:pos="720"/>
        </w:tabs>
      </w:pPr>
      <w:rPr>
        <w:rFonts w:ascii="Arial Narrow" w:hAnsi="Arial Narrow" w:cs="Arial Narrow" w:hint="default"/>
        <w:b/>
        <w:bCs/>
        <w:i w:val="0"/>
        <w:iCs w:val="0"/>
        <w:color w:val="000000"/>
        <w:sz w:val="24"/>
        <w:szCs w:val="24"/>
        <w:rtl w:val="0"/>
        <w:cs w:val="0"/>
      </w:rPr>
    </w:lvl>
    <w:lvl w:ilvl="3">
      <w:start w:val="1"/>
      <w:numFmt w:val="decimal"/>
      <w:lvlText w:val="%1.%2.%3.%4."/>
      <w:lvlJc w:val="left"/>
      <w:pPr>
        <w:tabs>
          <w:tab w:val="num" w:pos="0"/>
        </w:tabs>
      </w:pPr>
      <w:rPr>
        <w:rFonts w:cs="Times New Roman" w:hint="default"/>
        <w:rtl w:val="0"/>
        <w:cs w:val="0"/>
      </w:rPr>
    </w:lvl>
    <w:lvl w:ilvl="4">
      <w:start w:val="1"/>
      <w:numFmt w:val="decimal"/>
      <w:lvlText w:val="%1.%2.%3.%4.%5."/>
      <w:lvlJc w:val="left"/>
      <w:pPr>
        <w:tabs>
          <w:tab w:val="num" w:pos="2880"/>
        </w:tabs>
        <w:ind w:left="2232" w:hanging="792"/>
      </w:pPr>
      <w:rPr>
        <w:rFonts w:cs="Times New Roman" w:hint="default"/>
        <w:rtl w:val="0"/>
        <w:cs w:val="0"/>
      </w:rPr>
    </w:lvl>
    <w:lvl w:ilvl="5">
      <w:start w:val="1"/>
      <w:numFmt w:val="decimal"/>
      <w:lvlText w:val="%1.%2.%3.%4.%5.%6."/>
      <w:lvlJc w:val="left"/>
      <w:pPr>
        <w:tabs>
          <w:tab w:val="num" w:pos="3600"/>
        </w:tabs>
        <w:ind w:left="2736" w:hanging="936"/>
      </w:pPr>
      <w:rPr>
        <w:rFonts w:cs="Times New Roman" w:hint="default"/>
        <w:rtl w:val="0"/>
        <w:cs w:val="0"/>
      </w:rPr>
    </w:lvl>
    <w:lvl w:ilvl="6">
      <w:start w:val="1"/>
      <w:numFmt w:val="decimal"/>
      <w:lvlText w:val="%1.%2.%3.%4.%5.%6.%7."/>
      <w:lvlJc w:val="left"/>
      <w:pPr>
        <w:tabs>
          <w:tab w:val="num" w:pos="4320"/>
        </w:tabs>
        <w:ind w:left="3240" w:hanging="1080"/>
      </w:pPr>
      <w:rPr>
        <w:rFonts w:cs="Times New Roman" w:hint="default"/>
        <w:rtl w:val="0"/>
        <w:cs w:val="0"/>
      </w:rPr>
    </w:lvl>
    <w:lvl w:ilvl="7">
      <w:start w:val="1"/>
      <w:numFmt w:val="decimal"/>
      <w:lvlText w:val="%1.%2.%3.%4.%5.%6.%7.%8."/>
      <w:lvlJc w:val="left"/>
      <w:pPr>
        <w:tabs>
          <w:tab w:val="num" w:pos="4680"/>
        </w:tabs>
        <w:ind w:left="3744" w:hanging="1224"/>
      </w:pPr>
      <w:rPr>
        <w:rFonts w:cs="Times New Roman" w:hint="default"/>
        <w:rtl w:val="0"/>
        <w:cs w:val="0"/>
      </w:rPr>
    </w:lvl>
    <w:lvl w:ilvl="8">
      <w:start w:val="1"/>
      <w:numFmt w:val="decimal"/>
      <w:lvlText w:val="%1.%2.%3.%4.%5.%6.%7.%8.%9."/>
      <w:lvlJc w:val="left"/>
      <w:pPr>
        <w:tabs>
          <w:tab w:val="num" w:pos="5400"/>
        </w:tabs>
        <w:ind w:left="4320" w:hanging="1440"/>
      </w:pPr>
      <w:rPr>
        <w:rFonts w:cs="Times New Roman" w:hint="default"/>
        <w:rtl w:val="0"/>
        <w:cs w:val="0"/>
      </w:rPr>
    </w:lvl>
  </w:abstractNum>
  <w:abstractNum w:abstractNumId="42">
    <w:nsid w:val="7A7C3362"/>
    <w:multiLevelType w:val="hybridMultilevel"/>
    <w:tmpl w:val="DD8CCE5A"/>
    <w:lvl w:ilvl="0">
      <w:start w:val="0"/>
      <w:numFmt w:val="bullet"/>
      <w:lvlText w:val="-"/>
      <w:lvlJc w:val="left"/>
      <w:pPr>
        <w:tabs>
          <w:tab w:val="num" w:pos="720"/>
        </w:tabs>
        <w:ind w:left="720" w:hanging="360"/>
      </w:pPr>
      <w:rPr>
        <w:rFonts w:ascii="Book Antiqua" w:eastAsia="Times New Roman" w:hAnsi="Book Antiqu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D3F3037"/>
    <w:multiLevelType w:val="hybridMultilevel"/>
    <w:tmpl w:val="E4589C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7"/>
  </w:num>
  <w:num w:numId="3">
    <w:abstractNumId w:val="19"/>
  </w:num>
  <w:num w:numId="4">
    <w:abstractNumId w:val="21"/>
  </w:num>
  <w:num w:numId="5">
    <w:abstractNumId w:val="16"/>
  </w:num>
  <w:num w:numId="6">
    <w:abstractNumId w:val="42"/>
  </w:num>
  <w:num w:numId="7">
    <w:abstractNumId w:val="1"/>
  </w:num>
  <w:num w:numId="8">
    <w:abstractNumId w:val="26"/>
  </w:num>
  <w:num w:numId="9">
    <w:abstractNumId w:val="35"/>
  </w:num>
  <w:num w:numId="10">
    <w:abstractNumId w:val="24"/>
  </w:num>
  <w:num w:numId="11">
    <w:abstractNumId w:val="6"/>
  </w:num>
  <w:num w:numId="12">
    <w:abstractNumId w:val="2"/>
  </w:num>
  <w:num w:numId="13">
    <w:abstractNumId w:val="3"/>
  </w:num>
  <w:num w:numId="14">
    <w:abstractNumId w:val="27"/>
  </w:num>
  <w:num w:numId="15">
    <w:abstractNumId w:val="10"/>
  </w:num>
  <w:num w:numId="16">
    <w:abstractNumId w:val="8"/>
  </w:num>
  <w:num w:numId="17">
    <w:abstractNumId w:val="0"/>
  </w:num>
  <w:num w:numId="18">
    <w:abstractNumId w:val="38"/>
  </w:num>
  <w:num w:numId="19">
    <w:abstractNumId w:val="36"/>
  </w:num>
  <w:num w:numId="20">
    <w:abstractNumId w:val="34"/>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0"/>
  </w:num>
  <w:num w:numId="24">
    <w:abstractNumId w:val="18"/>
  </w:num>
  <w:num w:numId="25">
    <w:abstractNumId w:val="37"/>
  </w:num>
  <w:num w:numId="26">
    <w:abstractNumId w:val="28"/>
  </w:num>
  <w:num w:numId="27">
    <w:abstractNumId w:val="40"/>
  </w:num>
  <w:num w:numId="28">
    <w:abstractNumId w:val="12"/>
  </w:num>
  <w:num w:numId="29">
    <w:abstractNumId w:val="14"/>
  </w:num>
  <w:num w:numId="30">
    <w:abstractNumId w:val="41"/>
  </w:num>
  <w:num w:numId="31">
    <w:abstractNumId w:val="9"/>
  </w:num>
  <w:num w:numId="32">
    <w:abstractNumId w:val="43"/>
  </w:num>
  <w:num w:numId="33">
    <w:abstractNumId w:val="29"/>
  </w:num>
  <w:num w:numId="34">
    <w:abstractNumId w:val="15"/>
  </w:num>
  <w:num w:numId="35">
    <w:abstractNumId w:val="4"/>
  </w:num>
  <w:num w:numId="36">
    <w:abstractNumId w:val="31"/>
  </w:num>
  <w:num w:numId="37">
    <w:abstractNumId w:val="25"/>
  </w:num>
  <w:num w:numId="38">
    <w:abstractNumId w:val="5"/>
  </w:num>
  <w:num w:numId="39">
    <w:abstractNumId w:val="22"/>
  </w:num>
  <w:num w:numId="40">
    <w:abstractNumId w:val="23"/>
  </w:num>
  <w:num w:numId="41">
    <w:abstractNumId w:val="39"/>
  </w:num>
  <w:num w:numId="42">
    <w:abstractNumId w:val="30"/>
  </w:num>
  <w:num w:numId="43">
    <w:abstractNumId w:val="13"/>
  </w:num>
  <w:num w:numId="44">
    <w:abstractNumId w:val="17"/>
  </w:num>
  <w:num w:numId="4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drawingGridHorizontalSpacing w:val="110"/>
  <w:displayHorizontalDrawingGridEvery w:val="2"/>
  <w:displayVerticalDrawingGridEvery w:val="2"/>
  <w:characterSpacingControl w:val="doNotCompress"/>
  <w:footnotePr>
    <w:footnote w:id="0"/>
    <w:footnote w:id="1"/>
  </w:footnotePr>
  <w:compat/>
  <w:rsids>
    <w:rsidRoot w:val="00A24395"/>
    <w:rsid w:val="000075FF"/>
    <w:rsid w:val="00010BAA"/>
    <w:rsid w:val="000173F7"/>
    <w:rsid w:val="000336FC"/>
    <w:rsid w:val="00062A61"/>
    <w:rsid w:val="00065387"/>
    <w:rsid w:val="0006729E"/>
    <w:rsid w:val="000931C8"/>
    <w:rsid w:val="0009512E"/>
    <w:rsid w:val="000A1DD3"/>
    <w:rsid w:val="000B3D99"/>
    <w:rsid w:val="000D604F"/>
    <w:rsid w:val="000E513C"/>
    <w:rsid w:val="000F1F0C"/>
    <w:rsid w:val="00165454"/>
    <w:rsid w:val="00167613"/>
    <w:rsid w:val="001B52A4"/>
    <w:rsid w:val="001C1E3C"/>
    <w:rsid w:val="001F5DCD"/>
    <w:rsid w:val="00203E22"/>
    <w:rsid w:val="002065AA"/>
    <w:rsid w:val="00210D5A"/>
    <w:rsid w:val="002434E0"/>
    <w:rsid w:val="00274BA7"/>
    <w:rsid w:val="00286ACF"/>
    <w:rsid w:val="00293C33"/>
    <w:rsid w:val="002D2137"/>
    <w:rsid w:val="002F4E14"/>
    <w:rsid w:val="00312CF3"/>
    <w:rsid w:val="003239FA"/>
    <w:rsid w:val="003266A6"/>
    <w:rsid w:val="00332D7E"/>
    <w:rsid w:val="00340656"/>
    <w:rsid w:val="00350A8F"/>
    <w:rsid w:val="00354273"/>
    <w:rsid w:val="003624BC"/>
    <w:rsid w:val="0036321E"/>
    <w:rsid w:val="00381925"/>
    <w:rsid w:val="00387618"/>
    <w:rsid w:val="00396E64"/>
    <w:rsid w:val="003A138A"/>
    <w:rsid w:val="003B021C"/>
    <w:rsid w:val="003B1A2B"/>
    <w:rsid w:val="003C1561"/>
    <w:rsid w:val="003C2FE0"/>
    <w:rsid w:val="003C3DED"/>
    <w:rsid w:val="003E2268"/>
    <w:rsid w:val="003E5A44"/>
    <w:rsid w:val="003E671B"/>
    <w:rsid w:val="00403E79"/>
    <w:rsid w:val="0042775C"/>
    <w:rsid w:val="00427CA7"/>
    <w:rsid w:val="004449B9"/>
    <w:rsid w:val="004774CD"/>
    <w:rsid w:val="004941E4"/>
    <w:rsid w:val="004957A9"/>
    <w:rsid w:val="004B505D"/>
    <w:rsid w:val="004E00EC"/>
    <w:rsid w:val="00515E92"/>
    <w:rsid w:val="00561EDA"/>
    <w:rsid w:val="00561F4E"/>
    <w:rsid w:val="005846F7"/>
    <w:rsid w:val="00584F8D"/>
    <w:rsid w:val="005B6505"/>
    <w:rsid w:val="005D47C4"/>
    <w:rsid w:val="005D5374"/>
    <w:rsid w:val="005D5863"/>
    <w:rsid w:val="005F1AC8"/>
    <w:rsid w:val="005F5B41"/>
    <w:rsid w:val="00611BCC"/>
    <w:rsid w:val="006628CB"/>
    <w:rsid w:val="006853D1"/>
    <w:rsid w:val="0069197D"/>
    <w:rsid w:val="006C056C"/>
    <w:rsid w:val="006C2D75"/>
    <w:rsid w:val="006C4362"/>
    <w:rsid w:val="006D4DBF"/>
    <w:rsid w:val="00710B65"/>
    <w:rsid w:val="00735654"/>
    <w:rsid w:val="00741617"/>
    <w:rsid w:val="007961F1"/>
    <w:rsid w:val="007B3776"/>
    <w:rsid w:val="007F6023"/>
    <w:rsid w:val="00800D8E"/>
    <w:rsid w:val="00804DEB"/>
    <w:rsid w:val="00807520"/>
    <w:rsid w:val="008139E2"/>
    <w:rsid w:val="00843789"/>
    <w:rsid w:val="00843BFE"/>
    <w:rsid w:val="0085759F"/>
    <w:rsid w:val="00866277"/>
    <w:rsid w:val="008A1A62"/>
    <w:rsid w:val="00904E61"/>
    <w:rsid w:val="00906844"/>
    <w:rsid w:val="00925A21"/>
    <w:rsid w:val="00925D70"/>
    <w:rsid w:val="0093581D"/>
    <w:rsid w:val="00952EEA"/>
    <w:rsid w:val="00955274"/>
    <w:rsid w:val="00972049"/>
    <w:rsid w:val="0099150A"/>
    <w:rsid w:val="009A2EA2"/>
    <w:rsid w:val="009B7DD3"/>
    <w:rsid w:val="009C28E0"/>
    <w:rsid w:val="009C51D3"/>
    <w:rsid w:val="009E488F"/>
    <w:rsid w:val="009F57FF"/>
    <w:rsid w:val="009F760E"/>
    <w:rsid w:val="00A24395"/>
    <w:rsid w:val="00A6588C"/>
    <w:rsid w:val="00A8025E"/>
    <w:rsid w:val="00AB4446"/>
    <w:rsid w:val="00AF2D91"/>
    <w:rsid w:val="00AF2DEE"/>
    <w:rsid w:val="00B35D4D"/>
    <w:rsid w:val="00B5348E"/>
    <w:rsid w:val="00B606B3"/>
    <w:rsid w:val="00B728A7"/>
    <w:rsid w:val="00B93BE5"/>
    <w:rsid w:val="00BA483A"/>
    <w:rsid w:val="00BA7455"/>
    <w:rsid w:val="00BB2D71"/>
    <w:rsid w:val="00BE03CA"/>
    <w:rsid w:val="00BE54FF"/>
    <w:rsid w:val="00BE561D"/>
    <w:rsid w:val="00BF5F38"/>
    <w:rsid w:val="00C0521E"/>
    <w:rsid w:val="00C12DD7"/>
    <w:rsid w:val="00C17975"/>
    <w:rsid w:val="00C20E65"/>
    <w:rsid w:val="00C35042"/>
    <w:rsid w:val="00C42F4A"/>
    <w:rsid w:val="00C45677"/>
    <w:rsid w:val="00C67E80"/>
    <w:rsid w:val="00C86CA2"/>
    <w:rsid w:val="00C91E0A"/>
    <w:rsid w:val="00CB01C8"/>
    <w:rsid w:val="00CB1463"/>
    <w:rsid w:val="00CB2584"/>
    <w:rsid w:val="00D110B8"/>
    <w:rsid w:val="00D205D8"/>
    <w:rsid w:val="00D20D94"/>
    <w:rsid w:val="00D27FD5"/>
    <w:rsid w:val="00D3362A"/>
    <w:rsid w:val="00D35C6D"/>
    <w:rsid w:val="00D35EF2"/>
    <w:rsid w:val="00D41744"/>
    <w:rsid w:val="00D42FD8"/>
    <w:rsid w:val="00D8284C"/>
    <w:rsid w:val="00DA1171"/>
    <w:rsid w:val="00DA2A1C"/>
    <w:rsid w:val="00DA31C5"/>
    <w:rsid w:val="00DC2884"/>
    <w:rsid w:val="00DF5BC8"/>
    <w:rsid w:val="00E17E0C"/>
    <w:rsid w:val="00E549F7"/>
    <w:rsid w:val="00EA2E20"/>
    <w:rsid w:val="00EA446C"/>
    <w:rsid w:val="00EB4AC0"/>
    <w:rsid w:val="00ED5497"/>
    <w:rsid w:val="00EE5C53"/>
    <w:rsid w:val="00EF4BD3"/>
    <w:rsid w:val="00EF4D31"/>
    <w:rsid w:val="00EF58CF"/>
    <w:rsid w:val="00F00859"/>
    <w:rsid w:val="00F066C1"/>
    <w:rsid w:val="00F256ED"/>
    <w:rsid w:val="00F4176A"/>
    <w:rsid w:val="00F53850"/>
    <w:rsid w:val="00F61748"/>
    <w:rsid w:val="00F62B44"/>
    <w:rsid w:val="00F71602"/>
    <w:rsid w:val="00F80F97"/>
    <w:rsid w:val="00F844BB"/>
    <w:rsid w:val="00FA0123"/>
    <w:rsid w:val="00FC7F75"/>
    <w:rsid w:val="00FD50A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395"/>
    <w:pPr>
      <w:framePr w:wrap="auto"/>
      <w:widowControl/>
      <w:autoSpaceDE/>
      <w:autoSpaceDN/>
      <w:adjustRightInd/>
      <w:ind w:left="0" w:right="0"/>
      <w:jc w:val="left"/>
      <w:textAlignment w:val="auto"/>
    </w:pPr>
    <w:rPr>
      <w:rFonts w:ascii="Book Antiqua" w:hAnsi="Book Antiqua" w:cs="Book Antiqua"/>
      <w:sz w:val="22"/>
      <w:szCs w:val="22"/>
      <w:rtl w:val="0"/>
      <w:cs w:val="0"/>
      <w:lang w:val="sk-SK" w:eastAsia="sk-SK" w:bidi="ar-SA"/>
    </w:rPr>
  </w:style>
  <w:style w:type="paragraph" w:styleId="Heading1">
    <w:name w:val="heading 1"/>
    <w:basedOn w:val="Normal"/>
    <w:next w:val="Normal"/>
    <w:link w:val="Nadpis1Char"/>
    <w:uiPriority w:val="9"/>
    <w:qFormat/>
    <w:rsid w:val="00A24395"/>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Nadpis2Char"/>
    <w:uiPriority w:val="9"/>
    <w:qFormat/>
    <w:rsid w:val="00A24395"/>
    <w:pPr>
      <w:keepNext/>
      <w:spacing w:before="240" w:after="60"/>
      <w:jc w:val="left"/>
      <w:outlineLvl w:val="1"/>
    </w:pPr>
    <w:rPr>
      <w:rFonts w:ascii="Arial" w:hAnsi="Arial" w:cs="Arial"/>
      <w:b/>
      <w:bCs/>
      <w:i/>
      <w:iCs/>
      <w:sz w:val="28"/>
      <w:szCs w:val="28"/>
    </w:rPr>
  </w:style>
  <w:style w:type="paragraph" w:styleId="Heading3">
    <w:name w:val="heading 3"/>
    <w:basedOn w:val="Normal"/>
    <w:next w:val="Normal"/>
    <w:link w:val="Nadpis3Char"/>
    <w:uiPriority w:val="99"/>
    <w:qFormat/>
    <w:rsid w:val="00A24395"/>
    <w:pPr>
      <w:keepNext/>
      <w:jc w:val="left"/>
      <w:outlineLvl w:val="2"/>
    </w:pPr>
    <w:rPr>
      <w:rFonts w:ascii="Verdana" w:hAnsi="Verdana" w:cs="Verdana"/>
      <w:b/>
      <w:bCs/>
      <w:color w:val="FFFFFF"/>
      <w:sz w:val="18"/>
      <w:szCs w:val="18"/>
    </w:rPr>
  </w:style>
  <w:style w:type="paragraph" w:styleId="Heading4">
    <w:name w:val="heading 4"/>
    <w:basedOn w:val="Normal"/>
    <w:next w:val="Normal"/>
    <w:link w:val="Nadpis4Char"/>
    <w:uiPriority w:val="9"/>
    <w:qFormat/>
    <w:rsid w:val="00A24395"/>
    <w:pPr>
      <w:keepNext/>
      <w:spacing w:before="240" w:after="60"/>
      <w:jc w:val="left"/>
      <w:outlineLvl w:val="3"/>
    </w:pPr>
    <w:rPr>
      <w:b/>
      <w:bCs/>
      <w:sz w:val="28"/>
      <w:szCs w:val="28"/>
    </w:rPr>
  </w:style>
  <w:style w:type="paragraph" w:styleId="Heading5">
    <w:name w:val="heading 5"/>
    <w:basedOn w:val="Normal"/>
    <w:next w:val="Normal"/>
    <w:link w:val="Nadpis5Char"/>
    <w:uiPriority w:val="9"/>
    <w:qFormat/>
    <w:rsid w:val="00A24395"/>
    <w:pPr>
      <w:spacing w:before="240" w:after="60"/>
      <w:jc w:val="left"/>
      <w:outlineLvl w:val="4"/>
    </w:pPr>
    <w:rPr>
      <w:b/>
      <w:bCs/>
      <w:i/>
      <w:iCs/>
      <w:sz w:val="26"/>
      <w:szCs w:val="26"/>
    </w:rPr>
  </w:style>
  <w:style w:type="paragraph" w:styleId="Heading6">
    <w:name w:val="heading 6"/>
    <w:basedOn w:val="Normal"/>
    <w:next w:val="Normal"/>
    <w:link w:val="Nadpis6Char"/>
    <w:uiPriority w:val="9"/>
    <w:qFormat/>
    <w:rsid w:val="00A24395"/>
    <w:pPr>
      <w:spacing w:before="240" w:after="60"/>
      <w:jc w:val="left"/>
      <w:outlineLvl w:val="5"/>
    </w:pPr>
    <w:rPr>
      <w:b/>
      <w:bCs/>
    </w:rPr>
  </w:style>
  <w:style w:type="paragraph" w:styleId="Heading7">
    <w:name w:val="heading 7"/>
    <w:basedOn w:val="Normal"/>
    <w:next w:val="Normal"/>
    <w:link w:val="Nadpis7Char"/>
    <w:uiPriority w:val="9"/>
    <w:qFormat/>
    <w:rsid w:val="00A24395"/>
    <w:pPr>
      <w:keepNext/>
      <w:jc w:val="both"/>
      <w:outlineLvl w:val="6"/>
    </w:pPr>
    <w:rPr>
      <w:b/>
      <w:bCs/>
      <w:i/>
      <w:iCs/>
    </w:rPr>
  </w:style>
  <w:style w:type="paragraph" w:styleId="Heading8">
    <w:name w:val="heading 8"/>
    <w:basedOn w:val="Normal"/>
    <w:next w:val="Normal"/>
    <w:link w:val="Nadpis8Char"/>
    <w:uiPriority w:val="9"/>
    <w:qFormat/>
    <w:rsid w:val="00A24395"/>
    <w:pPr>
      <w:keepNext/>
      <w:jc w:val="left"/>
      <w:outlineLvl w:val="7"/>
    </w:pPr>
    <w:rPr>
      <w:b/>
      <w:bCs/>
      <w:i/>
      <w:iCs/>
    </w:rPr>
  </w:style>
  <w:style w:type="paragraph" w:styleId="Heading9">
    <w:name w:val="heading 9"/>
    <w:basedOn w:val="Normal"/>
    <w:next w:val="Normal"/>
    <w:link w:val="Nadpis9Char"/>
    <w:uiPriority w:val="9"/>
    <w:qFormat/>
    <w:rsid w:val="00A24395"/>
    <w:pPr>
      <w:keepNext/>
      <w:jc w:val="right"/>
      <w:outlineLvl w:val="8"/>
    </w:pPr>
    <w:rPr>
      <w:rFonts w:ascii="Garamond" w:hAnsi="Garamond" w:cs="Garamond"/>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A24395"/>
    <w:rPr>
      <w:rFonts w:ascii="Arial" w:hAnsi="Arial" w:cs="Arial"/>
      <w:b/>
      <w:bCs/>
      <w:kern w:val="32"/>
      <w:sz w:val="32"/>
      <w:szCs w:val="32"/>
      <w:rtl w:val="0"/>
      <w:cs w:val="0"/>
      <w:lang w:val="x-none" w:eastAsia="sk-SK"/>
    </w:rPr>
  </w:style>
  <w:style w:type="character" w:customStyle="1" w:styleId="Nadpis2Char">
    <w:name w:val="Nadpis 2 Char"/>
    <w:basedOn w:val="DefaultParagraphFont"/>
    <w:link w:val="Heading2"/>
    <w:uiPriority w:val="9"/>
    <w:locked/>
    <w:rsid w:val="00A24395"/>
    <w:rPr>
      <w:rFonts w:ascii="Arial" w:hAnsi="Arial" w:cs="Arial"/>
      <w:b/>
      <w:bCs/>
      <w:i/>
      <w:iCs/>
      <w:sz w:val="28"/>
      <w:szCs w:val="28"/>
      <w:rtl w:val="0"/>
      <w:cs w:val="0"/>
      <w:lang w:val="x-none" w:eastAsia="sk-SK"/>
    </w:rPr>
  </w:style>
  <w:style w:type="character" w:customStyle="1" w:styleId="Nadpis3Char">
    <w:name w:val="Nadpis 3 Char"/>
    <w:basedOn w:val="DefaultParagraphFont"/>
    <w:link w:val="Heading3"/>
    <w:uiPriority w:val="99"/>
    <w:locked/>
    <w:rsid w:val="00A24395"/>
    <w:rPr>
      <w:rFonts w:ascii="Verdana" w:hAnsi="Verdana" w:cs="Verdana"/>
      <w:b/>
      <w:bCs/>
      <w:color w:val="FFFFFF"/>
      <w:sz w:val="18"/>
      <w:szCs w:val="18"/>
      <w:rtl w:val="0"/>
      <w:cs w:val="0"/>
      <w:lang w:val="x-none" w:eastAsia="sk-SK"/>
    </w:rPr>
  </w:style>
  <w:style w:type="character" w:customStyle="1" w:styleId="Nadpis4Char">
    <w:name w:val="Nadpis 4 Char"/>
    <w:basedOn w:val="DefaultParagraphFont"/>
    <w:link w:val="Heading4"/>
    <w:uiPriority w:val="9"/>
    <w:locked/>
    <w:rsid w:val="00A24395"/>
    <w:rPr>
      <w:rFonts w:ascii="Book Antiqua" w:hAnsi="Book Antiqua" w:cs="Book Antiqua"/>
      <w:b/>
      <w:bCs/>
      <w:sz w:val="28"/>
      <w:szCs w:val="28"/>
      <w:rtl w:val="0"/>
      <w:cs w:val="0"/>
      <w:lang w:val="x-none" w:eastAsia="sk-SK"/>
    </w:rPr>
  </w:style>
  <w:style w:type="character" w:customStyle="1" w:styleId="Nadpis5Char">
    <w:name w:val="Nadpis 5 Char"/>
    <w:basedOn w:val="DefaultParagraphFont"/>
    <w:link w:val="Heading5"/>
    <w:uiPriority w:val="9"/>
    <w:locked/>
    <w:rsid w:val="00A24395"/>
    <w:rPr>
      <w:rFonts w:ascii="Book Antiqua" w:hAnsi="Book Antiqua" w:cs="Book Antiqua"/>
      <w:b/>
      <w:bCs/>
      <w:i/>
      <w:iCs/>
      <w:sz w:val="26"/>
      <w:szCs w:val="26"/>
      <w:rtl w:val="0"/>
      <w:cs w:val="0"/>
      <w:lang w:val="x-none" w:eastAsia="sk-SK"/>
    </w:rPr>
  </w:style>
  <w:style w:type="character" w:customStyle="1" w:styleId="Nadpis6Char">
    <w:name w:val="Nadpis 6 Char"/>
    <w:basedOn w:val="DefaultParagraphFont"/>
    <w:link w:val="Heading6"/>
    <w:uiPriority w:val="9"/>
    <w:locked/>
    <w:rsid w:val="00A24395"/>
    <w:rPr>
      <w:rFonts w:ascii="Book Antiqua" w:hAnsi="Book Antiqua" w:cs="Book Antiqua"/>
      <w:b/>
      <w:bCs/>
      <w:sz w:val="22"/>
      <w:szCs w:val="22"/>
      <w:rtl w:val="0"/>
      <w:cs w:val="0"/>
      <w:lang w:val="x-none" w:eastAsia="sk-SK"/>
    </w:rPr>
  </w:style>
  <w:style w:type="character" w:customStyle="1" w:styleId="Nadpis7Char">
    <w:name w:val="Nadpis 7 Char"/>
    <w:basedOn w:val="DefaultParagraphFont"/>
    <w:link w:val="Heading7"/>
    <w:uiPriority w:val="9"/>
    <w:locked/>
    <w:rsid w:val="00A24395"/>
    <w:rPr>
      <w:rFonts w:ascii="Book Antiqua" w:hAnsi="Book Antiqua" w:cs="Book Antiqua"/>
      <w:b/>
      <w:bCs/>
      <w:i/>
      <w:iCs/>
      <w:sz w:val="22"/>
      <w:szCs w:val="22"/>
      <w:rtl w:val="0"/>
      <w:cs w:val="0"/>
      <w:lang w:val="x-none" w:eastAsia="sk-SK"/>
    </w:rPr>
  </w:style>
  <w:style w:type="character" w:customStyle="1" w:styleId="Nadpis8Char">
    <w:name w:val="Nadpis 8 Char"/>
    <w:basedOn w:val="DefaultParagraphFont"/>
    <w:link w:val="Heading8"/>
    <w:uiPriority w:val="9"/>
    <w:locked/>
    <w:rsid w:val="00A24395"/>
    <w:rPr>
      <w:rFonts w:ascii="Book Antiqua" w:hAnsi="Book Antiqua" w:cs="Book Antiqua"/>
      <w:b/>
      <w:bCs/>
      <w:i/>
      <w:iCs/>
      <w:sz w:val="22"/>
      <w:szCs w:val="22"/>
      <w:rtl w:val="0"/>
      <w:cs w:val="0"/>
      <w:lang w:val="x-none" w:eastAsia="sk-SK"/>
    </w:rPr>
  </w:style>
  <w:style w:type="character" w:customStyle="1" w:styleId="Nadpis9Char">
    <w:name w:val="Nadpis 9 Char"/>
    <w:basedOn w:val="DefaultParagraphFont"/>
    <w:link w:val="Heading9"/>
    <w:uiPriority w:val="9"/>
    <w:locked/>
    <w:rsid w:val="00A24395"/>
    <w:rPr>
      <w:rFonts w:ascii="Garamond" w:hAnsi="Garamond" w:cs="Garamond"/>
      <w:i/>
      <w:iCs/>
      <w:sz w:val="16"/>
      <w:szCs w:val="16"/>
      <w:rtl w:val="0"/>
      <w:cs w:val="0"/>
      <w:lang w:val="x-none" w:eastAsia="sk-SK"/>
    </w:rPr>
  </w:style>
  <w:style w:type="paragraph" w:customStyle="1" w:styleId="tlChar">
    <w:name w:val="Štýl Char"/>
    <w:basedOn w:val="Normal"/>
    <w:rsid w:val="00A24395"/>
    <w:pPr>
      <w:spacing w:after="160" w:line="240" w:lineRule="exact"/>
      <w:jc w:val="left"/>
    </w:pPr>
    <w:rPr>
      <w:rFonts w:ascii="Tahoma" w:hAnsi="Tahoma" w:cs="Tahoma"/>
      <w:sz w:val="20"/>
      <w:szCs w:val="20"/>
      <w:lang w:val="en-US" w:eastAsia="en-US"/>
    </w:rPr>
  </w:style>
  <w:style w:type="paragraph" w:styleId="BalloonText">
    <w:name w:val="Balloon Text"/>
    <w:basedOn w:val="Normal"/>
    <w:link w:val="TextbublinyChar"/>
    <w:uiPriority w:val="99"/>
    <w:semiHidden/>
    <w:rsid w:val="00A24395"/>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24395"/>
    <w:rPr>
      <w:rFonts w:ascii="Tahoma" w:hAnsi="Tahoma" w:cs="Tahoma"/>
      <w:sz w:val="16"/>
      <w:szCs w:val="16"/>
      <w:rtl w:val="0"/>
      <w:cs w:val="0"/>
      <w:lang w:val="x-none" w:eastAsia="sk-SK"/>
    </w:rPr>
  </w:style>
  <w:style w:type="paragraph" w:customStyle="1" w:styleId="druhynadpis">
    <w:name w:val="druhy nadpis"/>
    <w:basedOn w:val="Normal"/>
    <w:rsid w:val="00A24395"/>
    <w:pPr>
      <w:widowControl w:val="0"/>
      <w:tabs>
        <w:tab w:val="num" w:pos="360"/>
      </w:tabs>
      <w:spacing w:line="240" w:lineRule="atLeast"/>
      <w:ind w:left="170" w:hanging="170"/>
      <w:jc w:val="left"/>
    </w:pPr>
    <w:rPr>
      <w:rFonts w:ascii="Arial" w:hAnsi="Arial" w:cs="Arial"/>
      <w:b/>
      <w:bCs/>
      <w:color w:val="000000"/>
    </w:rPr>
  </w:style>
  <w:style w:type="paragraph" w:styleId="Footer">
    <w:name w:val="footer"/>
    <w:basedOn w:val="Normal"/>
    <w:link w:val="PtaChar"/>
    <w:uiPriority w:val="99"/>
    <w:rsid w:val="00A24395"/>
    <w:pPr>
      <w:tabs>
        <w:tab w:val="center" w:pos="4536"/>
        <w:tab w:val="right" w:pos="9072"/>
      </w:tabs>
      <w:jc w:val="left"/>
    </w:pPr>
  </w:style>
  <w:style w:type="character" w:customStyle="1" w:styleId="PtaChar">
    <w:name w:val="Päta Char"/>
    <w:basedOn w:val="DefaultParagraphFont"/>
    <w:link w:val="Footer"/>
    <w:uiPriority w:val="99"/>
    <w:locked/>
    <w:rsid w:val="00A24395"/>
    <w:rPr>
      <w:rFonts w:ascii="Book Antiqua" w:hAnsi="Book Antiqua" w:cs="Book Antiqua"/>
      <w:sz w:val="22"/>
      <w:szCs w:val="22"/>
      <w:rtl w:val="0"/>
      <w:cs w:val="0"/>
      <w:lang w:val="x-none" w:eastAsia="sk-SK"/>
    </w:rPr>
  </w:style>
  <w:style w:type="character" w:styleId="PageNumber">
    <w:name w:val="page number"/>
    <w:basedOn w:val="DefaultParagraphFont"/>
    <w:uiPriority w:val="99"/>
    <w:rsid w:val="00A24395"/>
    <w:rPr>
      <w:rFonts w:cs="Times New Roman"/>
      <w:rtl w:val="0"/>
      <w:cs w:val="0"/>
    </w:rPr>
  </w:style>
  <w:style w:type="paragraph" w:styleId="TOC1">
    <w:name w:val="toc 1"/>
    <w:basedOn w:val="Normal"/>
    <w:next w:val="Normal"/>
    <w:autoRedefine/>
    <w:uiPriority w:val="39"/>
    <w:rsid w:val="00A24395"/>
    <w:pPr>
      <w:tabs>
        <w:tab w:val="left" w:pos="480"/>
        <w:tab w:val="right" w:leader="dot" w:pos="9062"/>
      </w:tabs>
      <w:spacing w:before="240" w:after="120"/>
      <w:ind w:left="426" w:hanging="426"/>
      <w:jc w:val="both"/>
    </w:pPr>
    <w:rPr>
      <w:rFonts w:ascii="Arial Narrow" w:hAnsi="Arial Narrow" w:cs="Arial Narrow"/>
      <w:b/>
      <w:bCs/>
      <w:noProof/>
      <w:sz w:val="28"/>
      <w:szCs w:val="28"/>
    </w:rPr>
  </w:style>
  <w:style w:type="paragraph" w:styleId="BodyText">
    <w:name w:val="Body Text"/>
    <w:basedOn w:val="Normal"/>
    <w:link w:val="ZkladntextChar"/>
    <w:uiPriority w:val="99"/>
    <w:rsid w:val="00A24395"/>
    <w:pPr>
      <w:jc w:val="left"/>
    </w:pPr>
  </w:style>
  <w:style w:type="character" w:customStyle="1" w:styleId="ZkladntextChar">
    <w:name w:val="Základný text Char"/>
    <w:basedOn w:val="DefaultParagraphFont"/>
    <w:link w:val="BodyText"/>
    <w:uiPriority w:val="99"/>
    <w:locked/>
    <w:rsid w:val="00A24395"/>
    <w:rPr>
      <w:rFonts w:ascii="Book Antiqua" w:hAnsi="Book Antiqua" w:cs="Book Antiqua"/>
      <w:sz w:val="22"/>
      <w:szCs w:val="22"/>
      <w:rtl w:val="0"/>
      <w:cs w:val="0"/>
      <w:lang w:val="x-none" w:eastAsia="sk-SK"/>
    </w:rPr>
  </w:style>
  <w:style w:type="paragraph" w:styleId="FootnoteText">
    <w:name w:val="footnote text"/>
    <w:basedOn w:val="Normal"/>
    <w:link w:val="TextpoznmkypodiarouChar"/>
    <w:uiPriority w:val="99"/>
    <w:semiHidden/>
    <w:rsid w:val="00A24395"/>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A24395"/>
    <w:rPr>
      <w:rFonts w:ascii="Book Antiqua" w:hAnsi="Book Antiqua" w:cs="Book Antiqua"/>
      <w:sz w:val="20"/>
      <w:szCs w:val="20"/>
      <w:rtl w:val="0"/>
      <w:cs w:val="0"/>
      <w:lang w:val="x-none" w:eastAsia="sk-SK"/>
    </w:rPr>
  </w:style>
  <w:style w:type="character" w:styleId="FootnoteReference">
    <w:name w:val="footnote reference"/>
    <w:basedOn w:val="DefaultParagraphFont"/>
    <w:uiPriority w:val="99"/>
    <w:semiHidden/>
    <w:rsid w:val="00A24395"/>
    <w:rPr>
      <w:rFonts w:cs="Times New Roman"/>
      <w:vertAlign w:val="superscript"/>
      <w:rtl w:val="0"/>
      <w:cs w:val="0"/>
    </w:rPr>
  </w:style>
  <w:style w:type="paragraph" w:customStyle="1" w:styleId="BalloonText1">
    <w:name w:val="Balloon Text1"/>
    <w:basedOn w:val="Normal"/>
    <w:rsid w:val="00A24395"/>
    <w:pPr>
      <w:jc w:val="left"/>
    </w:pPr>
    <w:rPr>
      <w:rFonts w:ascii="Tahoma" w:hAnsi="Tahoma" w:cs="Tahoma"/>
      <w:sz w:val="16"/>
      <w:szCs w:val="16"/>
    </w:rPr>
  </w:style>
  <w:style w:type="paragraph" w:styleId="TOC2">
    <w:name w:val="toc 2"/>
    <w:basedOn w:val="Normal"/>
    <w:next w:val="Normal"/>
    <w:autoRedefine/>
    <w:uiPriority w:val="39"/>
    <w:rsid w:val="00A24395"/>
    <w:pPr>
      <w:tabs>
        <w:tab w:val="left" w:pos="960"/>
        <w:tab w:val="right" w:leader="dot" w:pos="9062"/>
      </w:tabs>
      <w:spacing w:before="120"/>
      <w:ind w:left="238"/>
      <w:jc w:val="left"/>
    </w:pPr>
    <w:rPr>
      <w:noProof/>
    </w:rPr>
  </w:style>
  <w:style w:type="paragraph" w:styleId="TOC3">
    <w:name w:val="toc 3"/>
    <w:basedOn w:val="Normal"/>
    <w:next w:val="Normal"/>
    <w:autoRedefine/>
    <w:uiPriority w:val="39"/>
    <w:rsid w:val="00A24395"/>
    <w:pPr>
      <w:ind w:left="480"/>
      <w:jc w:val="left"/>
    </w:pPr>
  </w:style>
  <w:style w:type="character" w:styleId="Hyperlink">
    <w:name w:val="Hyperlink"/>
    <w:basedOn w:val="DefaultParagraphFont"/>
    <w:uiPriority w:val="99"/>
    <w:rsid w:val="00A24395"/>
    <w:rPr>
      <w:rFonts w:cs="Times New Roman"/>
      <w:color w:val="0000FF"/>
      <w:u w:val="single"/>
      <w:rtl w:val="0"/>
      <w:cs w:val="0"/>
    </w:rPr>
  </w:style>
  <w:style w:type="paragraph" w:styleId="BodyTextIndent">
    <w:name w:val="Body Text Indent"/>
    <w:basedOn w:val="Normal"/>
    <w:link w:val="ZarkazkladnhotextuChar"/>
    <w:uiPriority w:val="99"/>
    <w:rsid w:val="00A24395"/>
    <w:pPr>
      <w:spacing w:after="120"/>
      <w:ind w:left="283"/>
      <w:jc w:val="left"/>
    </w:pPr>
  </w:style>
  <w:style w:type="character" w:customStyle="1" w:styleId="ZarkazkladnhotextuChar">
    <w:name w:val="Zarážka základného textu Char"/>
    <w:basedOn w:val="DefaultParagraphFont"/>
    <w:link w:val="BodyTextIndent"/>
    <w:uiPriority w:val="99"/>
    <w:locked/>
    <w:rsid w:val="00A24395"/>
    <w:rPr>
      <w:rFonts w:ascii="Book Antiqua" w:hAnsi="Book Antiqua" w:cs="Book Antiqua"/>
      <w:sz w:val="22"/>
      <w:szCs w:val="22"/>
      <w:rtl w:val="0"/>
      <w:cs w:val="0"/>
      <w:lang w:val="x-none" w:eastAsia="sk-SK"/>
    </w:rPr>
  </w:style>
  <w:style w:type="paragraph" w:customStyle="1" w:styleId="Texttabulky">
    <w:name w:val="Text tabulky"/>
    <w:rsid w:val="00A24395"/>
    <w:pPr>
      <w:framePr w:wrap="auto"/>
      <w:widowControl w:val="0"/>
      <w:autoSpaceDE w:val="0"/>
      <w:autoSpaceDN w:val="0"/>
      <w:adjustRightInd w:val="0"/>
      <w:ind w:left="0" w:right="0"/>
      <w:jc w:val="left"/>
      <w:textAlignment w:val="auto"/>
    </w:pPr>
    <w:rPr>
      <w:rFonts w:ascii="Book Antiqua" w:hAnsi="Book Antiqua" w:cs="Book Antiqua"/>
      <w:color w:val="000000"/>
      <w:sz w:val="24"/>
      <w:szCs w:val="24"/>
      <w:rtl w:val="0"/>
      <w:cs w:val="0"/>
      <w:lang w:val="sk-SK" w:eastAsia="sk-SK" w:bidi="ar-SA"/>
    </w:rPr>
  </w:style>
  <w:style w:type="paragraph" w:customStyle="1" w:styleId="Pata">
    <w:name w:val="Pata"/>
    <w:rsid w:val="00A24395"/>
    <w:pPr>
      <w:framePr w:wrap="auto"/>
      <w:widowControl w:val="0"/>
      <w:autoSpaceDE w:val="0"/>
      <w:autoSpaceDN w:val="0"/>
      <w:adjustRightInd w:val="0"/>
      <w:ind w:left="0" w:right="0"/>
      <w:jc w:val="left"/>
      <w:textAlignment w:val="auto"/>
    </w:pPr>
    <w:rPr>
      <w:rFonts w:ascii="Book Antiqua" w:hAnsi="Book Antiqua" w:cs="Book Antiqua"/>
      <w:color w:val="000000"/>
      <w:sz w:val="24"/>
      <w:szCs w:val="24"/>
      <w:rtl w:val="0"/>
      <w:cs w:val="0"/>
      <w:lang w:val="sk-SK" w:eastAsia="sk-SK" w:bidi="ar-SA"/>
    </w:rPr>
  </w:style>
  <w:style w:type="paragraph" w:customStyle="1" w:styleId="Zhlav">
    <w:name w:val="Záhlaví"/>
    <w:rsid w:val="00A24395"/>
    <w:pPr>
      <w:framePr w:wrap="auto"/>
      <w:widowControl w:val="0"/>
      <w:autoSpaceDE w:val="0"/>
      <w:autoSpaceDN w:val="0"/>
      <w:adjustRightInd w:val="0"/>
      <w:ind w:left="0" w:right="0"/>
      <w:jc w:val="left"/>
      <w:textAlignment w:val="auto"/>
    </w:pPr>
    <w:rPr>
      <w:rFonts w:ascii="Book Antiqua" w:hAnsi="Book Antiqua" w:cs="Book Antiqua"/>
      <w:color w:val="000000"/>
      <w:sz w:val="24"/>
      <w:szCs w:val="24"/>
      <w:rtl w:val="0"/>
      <w:cs w:val="0"/>
      <w:lang w:val="sk-SK" w:eastAsia="sk-SK" w:bidi="ar-SA"/>
    </w:rPr>
  </w:style>
  <w:style w:type="paragraph" w:customStyle="1" w:styleId="Nadpis">
    <w:name w:val="Nadpis"/>
    <w:rsid w:val="00A24395"/>
    <w:pPr>
      <w:keepNext/>
      <w:keepLines/>
      <w:framePr w:wrap="auto"/>
      <w:widowControl w:val="0"/>
      <w:autoSpaceDE w:val="0"/>
      <w:autoSpaceDN w:val="0"/>
      <w:adjustRightInd w:val="0"/>
      <w:spacing w:before="144" w:after="72"/>
      <w:ind w:left="0" w:right="0"/>
      <w:jc w:val="center"/>
      <w:textAlignment w:val="auto"/>
    </w:pPr>
    <w:rPr>
      <w:rFonts w:ascii="Arial" w:hAnsi="Arial" w:cs="Arial"/>
      <w:b/>
      <w:bCs/>
      <w:color w:val="000000"/>
      <w:sz w:val="36"/>
      <w:szCs w:val="36"/>
      <w:rtl w:val="0"/>
      <w:cs w:val="0"/>
      <w:lang w:val="sk-SK" w:eastAsia="sk-SK" w:bidi="ar-SA"/>
    </w:rPr>
  </w:style>
  <w:style w:type="paragraph" w:customStyle="1" w:styleId="Podnadpis">
    <w:name w:val="Podnadpis"/>
    <w:rsid w:val="00A24395"/>
    <w:pPr>
      <w:framePr w:wrap="auto"/>
      <w:widowControl w:val="0"/>
      <w:autoSpaceDE w:val="0"/>
      <w:autoSpaceDN w:val="0"/>
      <w:adjustRightInd w:val="0"/>
      <w:spacing w:before="72" w:after="72"/>
      <w:ind w:left="0" w:right="0"/>
      <w:jc w:val="left"/>
      <w:textAlignment w:val="auto"/>
    </w:pPr>
    <w:rPr>
      <w:rFonts w:ascii="Book Antiqua" w:hAnsi="Book Antiqua" w:cs="Book Antiqua"/>
      <w:b/>
      <w:bCs/>
      <w:i/>
      <w:iCs/>
      <w:color w:val="000000"/>
      <w:sz w:val="24"/>
      <w:szCs w:val="24"/>
      <w:rtl w:val="0"/>
      <w:cs w:val="0"/>
      <w:lang w:val="sk-SK" w:eastAsia="sk-SK" w:bidi="ar-SA"/>
    </w:rPr>
  </w:style>
  <w:style w:type="paragraph" w:customStyle="1" w:styleId="sloseznamu">
    <w:name w:val="Číslo seznamu"/>
    <w:rsid w:val="00A24395"/>
    <w:pPr>
      <w:framePr w:wrap="auto"/>
      <w:widowControl w:val="0"/>
      <w:autoSpaceDE w:val="0"/>
      <w:autoSpaceDN w:val="0"/>
      <w:adjustRightInd w:val="0"/>
      <w:ind w:left="720" w:right="0"/>
      <w:jc w:val="left"/>
      <w:textAlignment w:val="auto"/>
    </w:pPr>
    <w:rPr>
      <w:rFonts w:ascii="Book Antiqua" w:hAnsi="Book Antiqua" w:cs="Book Antiqua"/>
      <w:color w:val="000000"/>
      <w:sz w:val="24"/>
      <w:szCs w:val="24"/>
      <w:rtl w:val="0"/>
      <w:cs w:val="0"/>
      <w:lang w:val="sk-SK" w:eastAsia="sk-SK" w:bidi="ar-SA"/>
    </w:rPr>
  </w:style>
  <w:style w:type="paragraph" w:customStyle="1" w:styleId="Znaka1">
    <w:name w:val="Značka 1"/>
    <w:rsid w:val="00A24395"/>
    <w:pPr>
      <w:framePr w:wrap="auto"/>
      <w:widowControl w:val="0"/>
      <w:autoSpaceDE w:val="0"/>
      <w:autoSpaceDN w:val="0"/>
      <w:adjustRightInd w:val="0"/>
      <w:ind w:left="576" w:right="0"/>
      <w:jc w:val="left"/>
      <w:textAlignment w:val="auto"/>
    </w:pPr>
    <w:rPr>
      <w:rFonts w:ascii="Book Antiqua" w:hAnsi="Book Antiqua" w:cs="Book Antiqua"/>
      <w:color w:val="000000"/>
      <w:sz w:val="24"/>
      <w:szCs w:val="24"/>
      <w:rtl w:val="0"/>
      <w:cs w:val="0"/>
      <w:lang w:val="sk-SK" w:eastAsia="sk-SK" w:bidi="ar-SA"/>
    </w:rPr>
  </w:style>
  <w:style w:type="paragraph" w:customStyle="1" w:styleId="Znaka">
    <w:name w:val="Značka"/>
    <w:rsid w:val="00A24395"/>
    <w:pPr>
      <w:framePr w:wrap="auto"/>
      <w:widowControl w:val="0"/>
      <w:autoSpaceDE w:val="0"/>
      <w:autoSpaceDN w:val="0"/>
      <w:adjustRightInd w:val="0"/>
      <w:ind w:left="288" w:right="0"/>
      <w:jc w:val="left"/>
      <w:textAlignment w:val="auto"/>
    </w:pPr>
    <w:rPr>
      <w:rFonts w:ascii="Book Antiqua" w:hAnsi="Book Antiqua" w:cs="Book Antiqua"/>
      <w:color w:val="000000"/>
      <w:sz w:val="24"/>
      <w:szCs w:val="24"/>
      <w:rtl w:val="0"/>
      <w:cs w:val="0"/>
      <w:lang w:val="sk-SK" w:eastAsia="sk-SK" w:bidi="ar-SA"/>
    </w:rPr>
  </w:style>
  <w:style w:type="paragraph" w:customStyle="1" w:styleId="dka">
    <w:name w:val="Řádka"/>
    <w:rsid w:val="00A24395"/>
    <w:pPr>
      <w:framePr w:wrap="auto"/>
      <w:widowControl w:val="0"/>
      <w:autoSpaceDE w:val="0"/>
      <w:autoSpaceDN w:val="0"/>
      <w:adjustRightInd w:val="0"/>
      <w:ind w:left="0" w:right="0"/>
      <w:jc w:val="left"/>
      <w:textAlignment w:val="auto"/>
    </w:pPr>
    <w:rPr>
      <w:rFonts w:ascii="Book Antiqua" w:hAnsi="Book Antiqua" w:cs="Book Antiqua"/>
      <w:color w:val="000000"/>
      <w:sz w:val="24"/>
      <w:szCs w:val="24"/>
      <w:rtl w:val="0"/>
      <w:cs w:val="0"/>
      <w:lang w:val="sk-SK" w:eastAsia="sk-SK" w:bidi="ar-SA"/>
    </w:rPr>
  </w:style>
  <w:style w:type="paragraph" w:customStyle="1" w:styleId="Zkladntext">
    <w:name w:val="Základní text"/>
    <w:rsid w:val="00A24395"/>
    <w:pPr>
      <w:framePr w:wrap="auto"/>
      <w:widowControl w:val="0"/>
      <w:autoSpaceDE w:val="0"/>
      <w:autoSpaceDN w:val="0"/>
      <w:adjustRightInd w:val="0"/>
      <w:ind w:left="0" w:right="0"/>
      <w:jc w:val="left"/>
      <w:textAlignment w:val="auto"/>
    </w:pPr>
    <w:rPr>
      <w:rFonts w:ascii="Book Antiqua" w:hAnsi="Book Antiqua" w:cs="Book Antiqua"/>
      <w:color w:val="000000"/>
      <w:sz w:val="24"/>
      <w:szCs w:val="24"/>
      <w:rtl w:val="0"/>
      <w:cs w:val="0"/>
      <w:lang w:val="sk-SK" w:eastAsia="sk-SK" w:bidi="ar-SA"/>
    </w:rPr>
  </w:style>
  <w:style w:type="paragraph" w:styleId="DocumentMap">
    <w:name w:val="Document Map"/>
    <w:basedOn w:val="Normal"/>
    <w:link w:val="truktradokumentuChar"/>
    <w:uiPriority w:val="99"/>
    <w:semiHidden/>
    <w:rsid w:val="00A24395"/>
    <w:pPr>
      <w:shd w:val="clear" w:color="auto" w:fill="000080"/>
      <w:jc w:val="left"/>
    </w:pPr>
    <w:rPr>
      <w:rFonts w:ascii="Tahoma" w:hAnsi="Tahoma" w:cs="Tahoma"/>
    </w:rPr>
  </w:style>
  <w:style w:type="character" w:customStyle="1" w:styleId="truktradokumentuChar">
    <w:name w:val="Štruktúra dokumentu Char"/>
    <w:basedOn w:val="DefaultParagraphFont"/>
    <w:link w:val="DocumentMap"/>
    <w:uiPriority w:val="99"/>
    <w:semiHidden/>
    <w:locked/>
    <w:rsid w:val="00A24395"/>
    <w:rPr>
      <w:rFonts w:ascii="Tahoma" w:hAnsi="Tahoma" w:cs="Tahoma"/>
      <w:sz w:val="22"/>
      <w:szCs w:val="22"/>
      <w:shd w:val="clear" w:color="auto" w:fill="000080"/>
      <w:rtl w:val="0"/>
      <w:cs w:val="0"/>
      <w:lang w:val="x-none" w:eastAsia="sk-SK"/>
    </w:rPr>
  </w:style>
  <w:style w:type="paragraph" w:styleId="BodyText3">
    <w:name w:val="Body Text 3"/>
    <w:basedOn w:val="Normal"/>
    <w:link w:val="Zkladntext3Char"/>
    <w:uiPriority w:val="99"/>
    <w:rsid w:val="00A24395"/>
    <w:pPr>
      <w:spacing w:after="120"/>
      <w:jc w:val="left"/>
    </w:pPr>
    <w:rPr>
      <w:sz w:val="16"/>
      <w:szCs w:val="16"/>
    </w:rPr>
  </w:style>
  <w:style w:type="character" w:customStyle="1" w:styleId="Zkladntext3Char">
    <w:name w:val="Základný text 3 Char"/>
    <w:basedOn w:val="DefaultParagraphFont"/>
    <w:link w:val="BodyText3"/>
    <w:uiPriority w:val="99"/>
    <w:locked/>
    <w:rsid w:val="00A24395"/>
    <w:rPr>
      <w:rFonts w:ascii="Book Antiqua" w:hAnsi="Book Antiqua" w:cs="Book Antiqua"/>
      <w:sz w:val="16"/>
      <w:szCs w:val="16"/>
      <w:rtl w:val="0"/>
      <w:cs w:val="0"/>
      <w:lang w:val="x-none" w:eastAsia="sk-SK"/>
    </w:rPr>
  </w:style>
  <w:style w:type="paragraph" w:customStyle="1" w:styleId="xl35">
    <w:name w:val="xl35"/>
    <w:basedOn w:val="Normal"/>
    <w:rsid w:val="00A24395"/>
    <w:pPr>
      <w:spacing w:before="100" w:beforeAutospacing="1" w:after="100" w:afterAutospacing="1"/>
      <w:jc w:val="right"/>
    </w:pPr>
    <w:rPr>
      <w:rFonts w:ascii="Garamond" w:hAnsi="Garamond" w:cs="Garamond"/>
      <w:i/>
      <w:iCs/>
      <w:sz w:val="16"/>
      <w:szCs w:val="16"/>
    </w:rPr>
  </w:style>
  <w:style w:type="paragraph" w:customStyle="1" w:styleId="1des">
    <w:name w:val="1 des."/>
    <w:rsid w:val="00A24395"/>
    <w:pPr>
      <w:framePr w:wrap="auto"/>
      <w:widowControl w:val="0"/>
      <w:autoSpaceDE w:val="0"/>
      <w:autoSpaceDN w:val="0"/>
      <w:adjustRightInd w:val="0"/>
      <w:ind w:left="0" w:right="0"/>
      <w:jc w:val="left"/>
      <w:textAlignment w:val="auto"/>
    </w:pPr>
    <w:rPr>
      <w:rFonts w:ascii="Book Antiqua" w:hAnsi="Book Antiqua" w:cs="Book Antiqua"/>
      <w:color w:val="000000"/>
      <w:sz w:val="24"/>
      <w:szCs w:val="24"/>
      <w:rtl w:val="0"/>
      <w:cs w:val="0"/>
      <w:lang w:val="sk-SK" w:eastAsia="sk-SK" w:bidi="ar-SA"/>
    </w:rPr>
  </w:style>
  <w:style w:type="paragraph" w:styleId="Header">
    <w:name w:val="header"/>
    <w:basedOn w:val="Normal"/>
    <w:link w:val="HlavikaChar"/>
    <w:uiPriority w:val="99"/>
    <w:rsid w:val="00A24395"/>
    <w:pPr>
      <w:tabs>
        <w:tab w:val="center" w:pos="4536"/>
        <w:tab w:val="right" w:pos="9072"/>
      </w:tabs>
      <w:jc w:val="left"/>
    </w:pPr>
  </w:style>
  <w:style w:type="character" w:customStyle="1" w:styleId="HlavikaChar">
    <w:name w:val="Hlavička Char"/>
    <w:basedOn w:val="DefaultParagraphFont"/>
    <w:link w:val="Header"/>
    <w:uiPriority w:val="99"/>
    <w:locked/>
    <w:rsid w:val="00A24395"/>
    <w:rPr>
      <w:rFonts w:ascii="Book Antiqua" w:hAnsi="Book Antiqua" w:cs="Book Antiqua"/>
      <w:sz w:val="22"/>
      <w:szCs w:val="22"/>
      <w:rtl w:val="0"/>
      <w:cs w:val="0"/>
      <w:lang w:val="x-none" w:eastAsia="sk-SK"/>
    </w:rPr>
  </w:style>
  <w:style w:type="paragraph" w:styleId="BodyTextIndent3">
    <w:name w:val="Body Text Indent 3"/>
    <w:basedOn w:val="Normal"/>
    <w:link w:val="Zarkazkladnhotextu3Char"/>
    <w:uiPriority w:val="99"/>
    <w:rsid w:val="00A24395"/>
    <w:pPr>
      <w:spacing w:after="60" w:line="360" w:lineRule="auto"/>
      <w:ind w:firstLine="360"/>
      <w:jc w:val="both"/>
    </w:pPr>
  </w:style>
  <w:style w:type="character" w:customStyle="1" w:styleId="Zarkazkladnhotextu3Char">
    <w:name w:val="Zarážka základného textu 3 Char"/>
    <w:basedOn w:val="DefaultParagraphFont"/>
    <w:link w:val="BodyTextIndent3"/>
    <w:uiPriority w:val="99"/>
    <w:locked/>
    <w:rsid w:val="00A24395"/>
    <w:rPr>
      <w:rFonts w:ascii="Book Antiqua" w:hAnsi="Book Antiqua" w:cs="Book Antiqua"/>
      <w:sz w:val="22"/>
      <w:szCs w:val="22"/>
      <w:rtl w:val="0"/>
      <w:cs w:val="0"/>
      <w:lang w:val="x-none" w:eastAsia="sk-SK"/>
    </w:rPr>
  </w:style>
  <w:style w:type="paragraph" w:styleId="BodyTextIndent2">
    <w:name w:val="Body Text Indent 2"/>
    <w:basedOn w:val="Normal"/>
    <w:link w:val="Zarkazkladnhotextu2Char"/>
    <w:uiPriority w:val="99"/>
    <w:rsid w:val="00A24395"/>
    <w:pPr>
      <w:spacing w:after="60" w:line="360" w:lineRule="auto"/>
      <w:ind w:firstLine="540"/>
      <w:jc w:val="both"/>
    </w:pPr>
  </w:style>
  <w:style w:type="character" w:customStyle="1" w:styleId="Zarkazkladnhotextu2Char">
    <w:name w:val="Zarážka základného textu 2 Char"/>
    <w:basedOn w:val="DefaultParagraphFont"/>
    <w:link w:val="BodyTextIndent2"/>
    <w:uiPriority w:val="99"/>
    <w:locked/>
    <w:rsid w:val="00A24395"/>
    <w:rPr>
      <w:rFonts w:ascii="Book Antiqua" w:hAnsi="Book Antiqua" w:cs="Book Antiqua"/>
      <w:sz w:val="22"/>
      <w:szCs w:val="22"/>
      <w:rtl w:val="0"/>
      <w:cs w:val="0"/>
      <w:lang w:val="x-none" w:eastAsia="sk-SK"/>
    </w:rPr>
  </w:style>
  <w:style w:type="paragraph" w:customStyle="1" w:styleId="BodyText21">
    <w:name w:val="Body Text 21"/>
    <w:basedOn w:val="Normal"/>
    <w:rsid w:val="00A24395"/>
    <w:pPr>
      <w:ind w:firstLine="708"/>
      <w:jc w:val="both"/>
    </w:pPr>
  </w:style>
  <w:style w:type="paragraph" w:customStyle="1" w:styleId="Zakladnmtext">
    <w:name w:val="Z&lt;/a&gt;kladn&lt;/m&gt; text"/>
    <w:rsid w:val="00A24395"/>
    <w:pPr>
      <w:framePr w:wrap="auto"/>
      <w:widowControl/>
      <w:autoSpaceDE/>
      <w:autoSpaceDN/>
      <w:adjustRightInd/>
      <w:ind w:left="0" w:right="0"/>
      <w:jc w:val="left"/>
      <w:textAlignment w:val="auto"/>
    </w:pPr>
    <w:rPr>
      <w:rFonts w:ascii="Book Antiqua" w:hAnsi="Book Antiqua" w:cs="Book Antiqua"/>
      <w:color w:val="000000"/>
      <w:sz w:val="24"/>
      <w:szCs w:val="24"/>
      <w:rtl w:val="0"/>
      <w:cs w:val="0"/>
      <w:lang w:val="en-US" w:eastAsia="sk-SK" w:bidi="ar-SA"/>
    </w:rPr>
  </w:style>
  <w:style w:type="paragraph" w:customStyle="1" w:styleId="BodyText1">
    <w:name w:val="Body Text1"/>
    <w:rsid w:val="00A24395"/>
    <w:pPr>
      <w:framePr w:wrap="auto"/>
      <w:widowControl/>
      <w:autoSpaceDE/>
      <w:autoSpaceDN/>
      <w:adjustRightInd/>
      <w:ind w:left="0" w:right="0"/>
      <w:jc w:val="left"/>
      <w:textAlignment w:val="auto"/>
    </w:pPr>
    <w:rPr>
      <w:rFonts w:ascii="Dutch801 SWC" w:hAnsi="Dutch801 SWC" w:cs="Dutch801 SWC"/>
      <w:color w:val="000000"/>
      <w:sz w:val="24"/>
      <w:szCs w:val="24"/>
      <w:rtl w:val="0"/>
      <w:cs w:val="0"/>
      <w:lang w:val="en-US" w:eastAsia="sk-SK" w:bidi="ar-SA"/>
    </w:rPr>
  </w:style>
  <w:style w:type="paragraph" w:customStyle="1" w:styleId="Char1">
    <w:name w:val="Char1"/>
    <w:basedOn w:val="Normal"/>
    <w:rsid w:val="00A24395"/>
    <w:pPr>
      <w:spacing w:after="160" w:line="240" w:lineRule="exact"/>
      <w:jc w:val="left"/>
    </w:pPr>
    <w:rPr>
      <w:rFonts w:ascii="Tahoma" w:hAnsi="Tahoma" w:cs="Tahoma"/>
      <w:sz w:val="20"/>
      <w:szCs w:val="20"/>
      <w:lang w:val="en-US" w:eastAsia="en-US"/>
    </w:rPr>
  </w:style>
  <w:style w:type="paragraph" w:customStyle="1" w:styleId="CharCharChar2CharCharCharCharCharChar">
    <w:name w:val="Char Char Char2 Char Char Char Char Char Char"/>
    <w:basedOn w:val="Normal"/>
    <w:rsid w:val="00A24395"/>
    <w:pPr>
      <w:spacing w:after="160" w:line="240" w:lineRule="exact"/>
      <w:jc w:val="left"/>
    </w:pPr>
    <w:rPr>
      <w:rFonts w:ascii="Tahoma" w:hAnsi="Tahoma" w:cs="Tahoma"/>
      <w:sz w:val="20"/>
      <w:szCs w:val="20"/>
      <w:lang w:val="en-US" w:eastAsia="en-US"/>
    </w:rPr>
  </w:style>
  <w:style w:type="paragraph" w:customStyle="1" w:styleId="CharCharCharCharCharChar">
    <w:name w:val="Char Char Char Char Char Char"/>
    <w:basedOn w:val="Normal"/>
    <w:rsid w:val="00A24395"/>
    <w:pPr>
      <w:spacing w:after="160" w:line="240" w:lineRule="exact"/>
      <w:jc w:val="left"/>
    </w:pPr>
    <w:rPr>
      <w:rFonts w:ascii="Tahoma" w:hAnsi="Tahoma" w:cs="Tahoma"/>
      <w:sz w:val="20"/>
      <w:szCs w:val="20"/>
      <w:lang w:val="en-US" w:eastAsia="en-US"/>
    </w:rPr>
  </w:style>
  <w:style w:type="paragraph" w:customStyle="1" w:styleId="CharCharChar2CharCharCharCharCharChar1">
    <w:name w:val="Char Char Char2 Char Char Char Char Char Char1"/>
    <w:basedOn w:val="Normal"/>
    <w:rsid w:val="00A24395"/>
    <w:pPr>
      <w:spacing w:after="160" w:line="240" w:lineRule="exact"/>
      <w:jc w:val="left"/>
    </w:pPr>
    <w:rPr>
      <w:rFonts w:ascii="Tahoma" w:hAnsi="Tahoma" w:cs="Tahoma"/>
      <w:sz w:val="20"/>
      <w:szCs w:val="20"/>
      <w:lang w:val="en-US" w:eastAsia="en-US"/>
    </w:rPr>
  </w:style>
  <w:style w:type="paragraph" w:customStyle="1" w:styleId="d">
    <w:name w:val="d"/>
    <w:basedOn w:val="BodyText"/>
    <w:rsid w:val="00A24395"/>
    <w:pPr>
      <w:spacing w:after="120"/>
      <w:ind w:firstLine="708"/>
      <w:jc w:val="both"/>
    </w:pPr>
    <w:rPr>
      <w:sz w:val="26"/>
      <w:szCs w:val="26"/>
      <w:lang w:eastAsia="cs-CZ"/>
    </w:rPr>
  </w:style>
  <w:style w:type="table" w:styleId="TableGrid">
    <w:name w:val="Table Grid"/>
    <w:basedOn w:val="TableNormal"/>
    <w:uiPriority w:val="59"/>
    <w:rsid w:val="00A24395"/>
    <w:pPr>
      <w:spacing w:after="0" w:line="240" w:lineRule="auto"/>
    </w:pPr>
    <w:rPr>
      <w:rFonts w:ascii="Dutch801 SWC" w:hAnsi="Dutch801 SWC" w:cs="Dutch801 SWC"/>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w:basedOn w:val="Normal"/>
    <w:rsid w:val="00A24395"/>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
    <w:name w:val="Char Char Char Char Char Char Char Char Char Char Char Char Char Char Char Char"/>
    <w:basedOn w:val="Normal"/>
    <w:rsid w:val="00A24395"/>
    <w:pPr>
      <w:spacing w:after="160" w:line="240" w:lineRule="exact"/>
      <w:jc w:val="left"/>
    </w:pPr>
    <w:rPr>
      <w:rFonts w:ascii="Tahoma" w:hAnsi="Tahoma" w:cs="Tahoma"/>
      <w:sz w:val="20"/>
      <w:szCs w:val="20"/>
      <w:lang w:val="en-US" w:eastAsia="en-US"/>
    </w:rPr>
  </w:style>
  <w:style w:type="paragraph" w:styleId="CommentText">
    <w:name w:val="annotation text"/>
    <w:basedOn w:val="Normal"/>
    <w:link w:val="TextkomentraChar"/>
    <w:uiPriority w:val="99"/>
    <w:semiHidden/>
    <w:rsid w:val="00A24395"/>
    <w:pPr>
      <w:jc w:val="left"/>
    </w:pPr>
    <w:rPr>
      <w:sz w:val="20"/>
      <w:szCs w:val="20"/>
    </w:rPr>
  </w:style>
  <w:style w:type="character" w:customStyle="1" w:styleId="TextkomentraChar">
    <w:name w:val="Text komentára Char"/>
    <w:basedOn w:val="DefaultParagraphFont"/>
    <w:link w:val="CommentText"/>
    <w:uiPriority w:val="99"/>
    <w:semiHidden/>
    <w:locked/>
    <w:rsid w:val="00A24395"/>
    <w:rPr>
      <w:rFonts w:ascii="Book Antiqua" w:hAnsi="Book Antiqua" w:cs="Book Antiqua"/>
      <w:sz w:val="20"/>
      <w:szCs w:val="20"/>
      <w:rtl w:val="0"/>
      <w:cs w:val="0"/>
      <w:lang w:val="x-none" w:eastAsia="sk-SK"/>
    </w:rPr>
  </w:style>
  <w:style w:type="paragraph" w:customStyle="1" w:styleId="CharChar20">
    <w:name w:val="Char Char20"/>
    <w:basedOn w:val="Normal"/>
    <w:rsid w:val="00A24395"/>
    <w:pPr>
      <w:spacing w:after="160" w:line="240" w:lineRule="exact"/>
      <w:jc w:val="left"/>
    </w:pPr>
    <w:rPr>
      <w:rFonts w:ascii="Tahoma" w:hAnsi="Tahoma" w:cs="Tahoma"/>
      <w:sz w:val="20"/>
      <w:szCs w:val="20"/>
      <w:lang w:val="en-US" w:eastAsia="en-US"/>
    </w:rPr>
  </w:style>
  <w:style w:type="paragraph" w:customStyle="1" w:styleId="Char">
    <w:name w:val="Char"/>
    <w:basedOn w:val="Normal"/>
    <w:rsid w:val="00A24395"/>
    <w:pPr>
      <w:spacing w:after="160" w:line="240" w:lineRule="exact"/>
      <w:jc w:val="left"/>
    </w:pPr>
    <w:rPr>
      <w:rFonts w:ascii="Tahoma" w:hAnsi="Tahoma" w:cs="Tahoma"/>
      <w:sz w:val="20"/>
      <w:szCs w:val="20"/>
      <w:lang w:val="en-US" w:eastAsia="en-US"/>
    </w:rPr>
  </w:style>
  <w:style w:type="paragraph" w:customStyle="1" w:styleId="CharChar19">
    <w:name w:val="Char Char19"/>
    <w:basedOn w:val="Normal"/>
    <w:rsid w:val="00A24395"/>
    <w:pPr>
      <w:spacing w:after="160" w:line="240" w:lineRule="exact"/>
      <w:jc w:val="left"/>
    </w:pPr>
    <w:rPr>
      <w:rFonts w:ascii="Tahoma" w:hAnsi="Tahoma" w:cs="Tahoma"/>
      <w:sz w:val="20"/>
      <w:szCs w:val="20"/>
      <w:lang w:val="en-US" w:eastAsia="en-US"/>
    </w:rPr>
  </w:style>
  <w:style w:type="paragraph" w:customStyle="1" w:styleId="Char2">
    <w:name w:val="Char2"/>
    <w:basedOn w:val="Normal"/>
    <w:rsid w:val="00A24395"/>
    <w:pPr>
      <w:spacing w:after="160" w:line="240" w:lineRule="exact"/>
      <w:jc w:val="left"/>
    </w:pPr>
    <w:rPr>
      <w:rFonts w:ascii="Tahoma" w:hAnsi="Tahoma" w:cs="Tahoma"/>
      <w:sz w:val="20"/>
      <w:szCs w:val="20"/>
      <w:lang w:val="en-US" w:eastAsia="en-US"/>
    </w:rPr>
  </w:style>
  <w:style w:type="paragraph" w:customStyle="1" w:styleId="CharCharCharChar">
    <w:name w:val="Char Char Char Char"/>
    <w:basedOn w:val="Normal"/>
    <w:rsid w:val="00A24395"/>
    <w:pPr>
      <w:spacing w:after="160" w:line="240" w:lineRule="exact"/>
      <w:jc w:val="left"/>
    </w:pPr>
    <w:rPr>
      <w:rFonts w:ascii="Tahoma" w:hAnsi="Tahoma" w:cs="Tahoma"/>
      <w:sz w:val="20"/>
      <w:szCs w:val="20"/>
      <w:lang w:val="en-US" w:eastAsia="en-US"/>
    </w:rPr>
  </w:style>
  <w:style w:type="paragraph" w:customStyle="1" w:styleId="StyleChar">
    <w:name w:val="Style Char"/>
    <w:basedOn w:val="Normal"/>
    <w:rsid w:val="00A24395"/>
    <w:pPr>
      <w:spacing w:after="160" w:line="240" w:lineRule="exact"/>
      <w:jc w:val="left"/>
    </w:pPr>
    <w:rPr>
      <w:rFonts w:ascii="Tahoma" w:hAnsi="Tahoma" w:cs="Tahoma"/>
      <w:sz w:val="20"/>
      <w:szCs w:val="20"/>
      <w:lang w:val="en-US" w:eastAsia="en-US"/>
    </w:rPr>
  </w:style>
  <w:style w:type="paragraph" w:customStyle="1" w:styleId="BodyTextIndent1">
    <w:name w:val="Body Text Indent1"/>
    <w:basedOn w:val="Normal"/>
    <w:rsid w:val="00A24395"/>
    <w:pPr>
      <w:spacing w:after="120"/>
      <w:ind w:left="283"/>
      <w:jc w:val="left"/>
    </w:pPr>
  </w:style>
  <w:style w:type="paragraph" w:customStyle="1" w:styleId="CharCharChar2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w:basedOn w:val="Normal"/>
    <w:rsid w:val="00A24395"/>
    <w:pPr>
      <w:spacing w:after="160" w:line="240" w:lineRule="exact"/>
      <w:jc w:val="left"/>
    </w:pPr>
    <w:rPr>
      <w:rFonts w:ascii="Tahoma" w:hAnsi="Tahoma" w:cs="Tahoma"/>
      <w:sz w:val="20"/>
      <w:szCs w:val="20"/>
      <w:lang w:val="en-US" w:eastAsia="en-US"/>
    </w:rPr>
  </w:style>
  <w:style w:type="paragraph" w:customStyle="1" w:styleId="Char4">
    <w:name w:val="Char4"/>
    <w:basedOn w:val="Normal"/>
    <w:rsid w:val="00A24395"/>
    <w:pPr>
      <w:spacing w:after="160" w:line="240" w:lineRule="exact"/>
      <w:jc w:val="left"/>
    </w:pPr>
    <w:rPr>
      <w:rFonts w:ascii="Tahoma" w:hAnsi="Tahoma" w:cs="Tahoma"/>
      <w:sz w:val="20"/>
      <w:szCs w:val="20"/>
      <w:lang w:val="en-US" w:eastAsia="en-US"/>
    </w:rPr>
  </w:style>
  <w:style w:type="paragraph" w:customStyle="1" w:styleId="CharCharChar2CharCharCharCharChar">
    <w:name w:val="Char Char Char2 Char Char Char Char Char"/>
    <w:basedOn w:val="Normal"/>
    <w:rsid w:val="00A24395"/>
    <w:pPr>
      <w:spacing w:after="160" w:line="240" w:lineRule="exact"/>
      <w:jc w:val="left"/>
    </w:pPr>
    <w:rPr>
      <w:rFonts w:ascii="Tahoma" w:hAnsi="Tahoma" w:cs="Tahoma"/>
      <w:sz w:val="20"/>
      <w:szCs w:val="20"/>
      <w:lang w:val="en-US" w:eastAsia="en-US"/>
    </w:rPr>
  </w:style>
  <w:style w:type="paragraph" w:customStyle="1" w:styleId="tl">
    <w:name w:val="Štýl"/>
    <w:basedOn w:val="Normal"/>
    <w:rsid w:val="00A24395"/>
    <w:pPr>
      <w:spacing w:after="160" w:line="240" w:lineRule="exact"/>
      <w:jc w:val="left"/>
    </w:pPr>
    <w:rPr>
      <w:rFonts w:ascii="Tahoma" w:hAnsi="Tahoma" w:cs="Tahoma"/>
      <w:sz w:val="20"/>
      <w:szCs w:val="20"/>
      <w:lang w:val="en-US" w:eastAsia="en-US"/>
    </w:rPr>
  </w:style>
  <w:style w:type="character" w:styleId="CommentReference">
    <w:name w:val="annotation reference"/>
    <w:basedOn w:val="DefaultParagraphFont"/>
    <w:uiPriority w:val="99"/>
    <w:semiHidden/>
    <w:rsid w:val="00A24395"/>
    <w:rPr>
      <w:rFonts w:cs="Times New Roman"/>
      <w:sz w:val="16"/>
      <w:szCs w:val="16"/>
      <w:rtl w:val="0"/>
      <w:cs w:val="0"/>
    </w:rPr>
  </w:style>
  <w:style w:type="paragraph" w:styleId="CommentSubject">
    <w:name w:val="annotation subject"/>
    <w:basedOn w:val="CommentText"/>
    <w:next w:val="CommentText"/>
    <w:link w:val="PredmetkomentraChar"/>
    <w:uiPriority w:val="99"/>
    <w:semiHidden/>
    <w:rsid w:val="00A24395"/>
    <w:pPr>
      <w:jc w:val="left"/>
    </w:pPr>
    <w:rPr>
      <w:b/>
      <w:bCs/>
    </w:rPr>
  </w:style>
  <w:style w:type="character" w:customStyle="1" w:styleId="PredmetkomentraChar">
    <w:name w:val="Predmet komentára Char"/>
    <w:basedOn w:val="TextkomentraChar"/>
    <w:link w:val="CommentSubject"/>
    <w:uiPriority w:val="99"/>
    <w:semiHidden/>
    <w:locked/>
    <w:rsid w:val="00A24395"/>
    <w:rPr>
      <w:b/>
      <w:bCs/>
    </w:rPr>
  </w:style>
  <w:style w:type="character" w:customStyle="1" w:styleId="FootnoteTextChar">
    <w:name w:val="Footnote Text Char"/>
    <w:basedOn w:val="DefaultParagraphFont"/>
    <w:semiHidden/>
    <w:rsid w:val="00A24395"/>
    <w:rPr>
      <w:rFonts w:ascii="Book Antiqua" w:hAnsi="Book Antiqua" w:cs="Book Antiqua"/>
      <w:sz w:val="20"/>
      <w:szCs w:val="20"/>
      <w:rtl w:val="0"/>
      <w:cs w:val="0"/>
      <w:lang w:val="x-none" w:eastAsia="sk-SK"/>
    </w:rPr>
  </w:style>
  <w:style w:type="paragraph" w:customStyle="1" w:styleId="CharChar1">
    <w:name w:val="Char Char1"/>
    <w:basedOn w:val="Normal"/>
    <w:rsid w:val="00A24395"/>
    <w:pPr>
      <w:spacing w:after="160" w:line="240" w:lineRule="exact"/>
      <w:jc w:val="left"/>
    </w:pPr>
    <w:rPr>
      <w:rFonts w:ascii="Arial Narrow" w:hAnsi="Arial Narrow" w:cs="Arial Narrow"/>
      <w:lang w:val="en-US" w:eastAsia="en-US"/>
    </w:rPr>
  </w:style>
  <w:style w:type="paragraph" w:styleId="ListParagraph">
    <w:name w:val="List Paragraph"/>
    <w:basedOn w:val="Normal"/>
    <w:uiPriority w:val="34"/>
    <w:qFormat/>
    <w:rsid w:val="00A24395"/>
    <w:pPr>
      <w:ind w:left="708"/>
      <w:jc w:val="left"/>
    </w:pPr>
  </w:style>
  <w:style w:type="paragraph" w:customStyle="1" w:styleId="Zarkazkladnhotextu2">
    <w:name w:val="Zarážka základného textu2"/>
    <w:basedOn w:val="Normal"/>
    <w:rsid w:val="00ED5497"/>
    <w:pPr>
      <w:spacing w:after="120"/>
      <w:ind w:left="283"/>
      <w:jc w:val="left"/>
    </w:pPr>
    <w:rPr>
      <w:rFonts w:ascii="Courier" w:hAnsi="Courier" w:cs="Courier"/>
      <w:sz w:val="24"/>
      <w:szCs w:val="24"/>
      <w:lang w:eastAsia="cs-CZ"/>
    </w:rPr>
  </w:style>
  <w:style w:type="paragraph" w:styleId="NormalWeb">
    <w:name w:val="Normal (Web)"/>
    <w:basedOn w:val="Normal"/>
    <w:uiPriority w:val="99"/>
    <w:unhideWhenUsed/>
    <w:rsid w:val="00ED5497"/>
    <w:pPr>
      <w:spacing w:before="100" w:beforeAutospacing="1" w:after="100" w:afterAutospacing="1"/>
      <w:jc w:val="left"/>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5.emf" /><Relationship Id="rId11" Type="http://schemas.openxmlformats.org/officeDocument/2006/relationships/image" Target="media/image6.emf"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emf" /><Relationship Id="rId7" Type="http://schemas.openxmlformats.org/officeDocument/2006/relationships/image" Target="media/image2.emf" /><Relationship Id="rId8" Type="http://schemas.openxmlformats.org/officeDocument/2006/relationships/image" Target="media/image3.emf" /><Relationship Id="rId9" Type="http://schemas.openxmlformats.org/officeDocument/2006/relationships/image" Target="media/image4.emf"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366F1-B7A7-41B5-B1F4-6F415822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16</Pages>
  <Words>5761</Words>
  <Characters>32841</Characters>
  <Application>Microsoft Office Word</Application>
  <DocSecurity>0</DocSecurity>
  <Lines>0</Lines>
  <Paragraphs>0</Paragraphs>
  <ScaleCrop>false</ScaleCrop>
  <Company>Ministerstvo financií</Company>
  <LinksUpToDate>false</LinksUpToDate>
  <CharactersWithSpaces>38525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Gabik Rastislav</dc:creator>
  <cp:lastModifiedBy>Ujlakyova Andrea</cp:lastModifiedBy>
  <cp:revision>3</cp:revision>
  <cp:lastPrinted>2011-08-17T12:01:00Z</cp:lastPrinted>
  <dcterms:created xsi:type="dcterms:W3CDTF">2011-08-17T11:28:00Z</dcterms:created>
  <dcterms:modified xsi:type="dcterms:W3CDTF">2011-08-17T12:02:00Z</dcterms:modified>
</cp:coreProperties>
</file>