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01489" w:rsidRPr="00BB0D49" w:rsidP="00501489">
      <w:pPr>
        <w:bidi w:val="0"/>
        <w:spacing w:after="0" w:line="240" w:lineRule="auto"/>
        <w:jc w:val="center"/>
        <w:rPr>
          <w:b/>
        </w:rPr>
      </w:pPr>
      <w:r w:rsidRPr="00BB0D49">
        <w:rPr>
          <w:b/>
        </w:rPr>
        <w:t>DOLOŽKA ZLUČITEĽNOSTI</w:t>
      </w:r>
    </w:p>
    <w:p w:rsidR="00501489" w:rsidRPr="00BB0D49" w:rsidP="00501489">
      <w:pPr>
        <w:bidi w:val="0"/>
        <w:spacing w:after="0" w:line="240" w:lineRule="auto"/>
        <w:jc w:val="center"/>
        <w:rPr>
          <w:b/>
        </w:rPr>
      </w:pPr>
      <w:r w:rsidRPr="00BB0D49">
        <w:rPr>
          <w:b/>
        </w:rPr>
        <w:t>návrhu zákona s právom Európskej únie</w:t>
      </w:r>
    </w:p>
    <w:p w:rsidR="00501489" w:rsidRPr="00BB0D49" w:rsidP="00501489">
      <w:pPr>
        <w:bidi w:val="0"/>
        <w:spacing w:after="0" w:line="240" w:lineRule="auto"/>
      </w:pPr>
    </w:p>
    <w:p w:rsidR="00501489" w:rsidRPr="00BB0D49" w:rsidP="00501489">
      <w:pPr>
        <w:bidi w:val="0"/>
        <w:spacing w:after="0" w:line="240" w:lineRule="auto"/>
        <w:jc w:val="both"/>
      </w:pPr>
      <w:r w:rsidRPr="00BB0D49">
        <w:rPr>
          <w:bCs/>
        </w:rPr>
        <w:t>1.</w:t>
      </w:r>
      <w:r w:rsidRPr="00BB0D49">
        <w:rPr>
          <w:b/>
        </w:rPr>
        <w:t xml:space="preserve"> Navrhovateľ zákona</w:t>
      </w:r>
      <w:r w:rsidRPr="00BB0D49">
        <w:t>: poslan</w:t>
      </w:r>
      <w:r w:rsidR="006A7522">
        <w:t>e</w:t>
      </w:r>
      <w:r w:rsidRPr="00BB0D49">
        <w:t xml:space="preserve">c Národnej rady Slovenskej republiky </w:t>
      </w:r>
    </w:p>
    <w:p w:rsidR="00501489" w:rsidRPr="00BB0D49" w:rsidP="00501489">
      <w:pPr>
        <w:bidi w:val="0"/>
        <w:spacing w:after="0" w:line="240" w:lineRule="auto"/>
        <w:jc w:val="both"/>
      </w:pPr>
    </w:p>
    <w:p w:rsidR="00501489" w:rsidRPr="00BB0D49" w:rsidP="00501489">
      <w:pPr>
        <w:bidi w:val="0"/>
        <w:spacing w:after="0" w:line="240" w:lineRule="auto"/>
        <w:jc w:val="both"/>
      </w:pPr>
      <w:r w:rsidRPr="00BB0D49">
        <w:t>2.</w:t>
      </w:r>
      <w:r w:rsidRPr="00BB0D49">
        <w:rPr>
          <w:b/>
        </w:rPr>
        <w:t xml:space="preserve"> Názov návrhu zákona</w:t>
      </w:r>
      <w:r w:rsidRPr="00BB0D49">
        <w:t>: Zákon, ktorým sa mení a dopĺňa zákon č. 514/2003 Z. z. o zodpovednosti za škodu spôsobenú pri výkone verejnej moci a o zmene niektorých zákonov</w:t>
      </w:r>
    </w:p>
    <w:p w:rsidR="00501489" w:rsidRPr="00BB0D49" w:rsidP="00501489">
      <w:pPr>
        <w:bidi w:val="0"/>
        <w:spacing w:after="0" w:line="240" w:lineRule="auto"/>
        <w:jc w:val="both"/>
        <w:rPr>
          <w:color w:val="000000"/>
        </w:rPr>
      </w:pPr>
      <w:r w:rsidRPr="00BB0D49">
        <w:rPr>
          <w:b/>
          <w:bCs/>
          <w:color w:val="000000"/>
        </w:rPr>
        <w:t> </w:t>
      </w:r>
    </w:p>
    <w:p w:rsidR="00501489" w:rsidRPr="00BB0D49" w:rsidP="00501489">
      <w:pPr>
        <w:bidi w:val="0"/>
        <w:spacing w:after="0" w:line="240" w:lineRule="auto"/>
        <w:ind w:left="425" w:hanging="425"/>
        <w:jc w:val="both"/>
        <w:rPr>
          <w:color w:val="000000"/>
        </w:rPr>
      </w:pPr>
      <w:r w:rsidRPr="00BB0D49">
        <w:rPr>
          <w:b/>
          <w:bCs/>
          <w:color w:val="000000"/>
        </w:rPr>
        <w:t>3.</w:t>
      </w:r>
      <w:r w:rsidRPr="00BB0D49">
        <w:rPr>
          <w:color w:val="000000"/>
        </w:rPr>
        <w:t>        </w:t>
      </w:r>
      <w:r w:rsidRPr="00BB0D49">
        <w:rPr>
          <w:b/>
          <w:bCs/>
          <w:color w:val="000000"/>
        </w:rPr>
        <w:t>Problematika návrhu zákona:</w:t>
      </w:r>
    </w:p>
    <w:p w:rsidR="00501489" w:rsidRPr="00BB0D49" w:rsidP="00501489">
      <w:pPr>
        <w:bidi w:val="0"/>
        <w:spacing w:after="0" w:line="240" w:lineRule="auto"/>
        <w:ind w:left="850" w:hanging="425"/>
        <w:rPr>
          <w:color w:val="000000"/>
        </w:rPr>
      </w:pPr>
      <w:r w:rsidRPr="00BB0D49">
        <w:rPr>
          <w:color w:val="000000"/>
        </w:rPr>
        <w:t>a) nie je upravená v práve Európskej únie:</w:t>
      </w:r>
    </w:p>
    <w:p w:rsidR="009C2CD1" w:rsidP="00501489">
      <w:pPr>
        <w:bidi w:val="0"/>
        <w:spacing w:after="0" w:line="240" w:lineRule="auto"/>
        <w:ind w:left="850" w:hanging="425"/>
        <w:rPr>
          <w:color w:val="000000"/>
        </w:rPr>
      </w:pPr>
      <w:r w:rsidRPr="00BB0D49" w:rsidR="00501489">
        <w:rPr>
          <w:color w:val="000000"/>
        </w:rPr>
        <w:t>b) je obsiahnutá v judikatúre Súdneho dvora Európskej únie:</w:t>
      </w:r>
      <w:r>
        <w:rPr>
          <w:color w:val="000000"/>
        </w:rPr>
        <w:t xml:space="preserve"> </w:t>
      </w:r>
    </w:p>
    <w:p w:rsidR="009C2CD1" w:rsidRPr="009C2CD1" w:rsidP="009C2CD1">
      <w:pPr>
        <w:bidi w:val="0"/>
        <w:spacing w:after="0" w:line="240" w:lineRule="auto"/>
        <w:ind w:left="426" w:hanging="1"/>
        <w:rPr>
          <w:color w:val="000000"/>
        </w:rPr>
      </w:pPr>
      <w:r w:rsidRPr="009C2CD1">
        <w:t>C-6 a 9/90 Francovich a Bonifaci v. Taliansko (1991) ECR I-5357</w:t>
      </w:r>
      <w:r>
        <w:rPr>
          <w:lang w:val="en-US"/>
        </w:rPr>
        <w:t xml:space="preserve">; </w:t>
      </w:r>
      <w:r w:rsidRPr="009C2CD1">
        <w:t xml:space="preserve">Spojené veci </w:t>
      </w:r>
      <w:r>
        <w:t xml:space="preserve"> </w:t>
      </w:r>
      <w:r w:rsidRPr="009C2CD1">
        <w:t>46/93 a 48/93 Brasserie du Pechêur a Factortame III. (1996) ECR I-1029</w:t>
      </w:r>
      <w:r>
        <w:rPr>
          <w:lang w:val="en-US"/>
        </w:rPr>
        <w:t>;</w:t>
      </w:r>
      <w:r w:rsidRPr="009C2CD1">
        <w:t xml:space="preserve"> C-392/93 R v HM Treasury ex parte British Telecommunications plc (1996) ECR I-1631</w:t>
      </w:r>
    </w:p>
    <w:p w:rsidR="00501489" w:rsidRPr="00BB0D49" w:rsidP="00501489">
      <w:pPr>
        <w:bidi w:val="0"/>
        <w:spacing w:after="0" w:line="240" w:lineRule="auto"/>
        <w:ind w:left="425"/>
        <w:rPr>
          <w:color w:val="000000"/>
        </w:rPr>
      </w:pPr>
    </w:p>
    <w:p w:rsidR="00501489" w:rsidRPr="00BB0D49" w:rsidP="00501489">
      <w:pPr>
        <w:bidi w:val="0"/>
        <w:spacing w:after="0" w:line="240" w:lineRule="auto"/>
        <w:ind w:left="425" w:hanging="425"/>
        <w:jc w:val="both"/>
        <w:rPr>
          <w:color w:val="000000"/>
        </w:rPr>
      </w:pPr>
      <w:r w:rsidRPr="00BB0D49">
        <w:rPr>
          <w:b/>
          <w:bCs/>
          <w:color w:val="000000"/>
        </w:rPr>
        <w:t>4.</w:t>
      </w:r>
      <w:r w:rsidRPr="00BB0D49">
        <w:rPr>
          <w:color w:val="000000"/>
        </w:rPr>
        <w:t>        </w:t>
      </w:r>
      <w:r w:rsidRPr="00BB0D49">
        <w:rPr>
          <w:b/>
          <w:bCs/>
          <w:color w:val="000000"/>
        </w:rPr>
        <w:t>Záväzky Slovenskej republiky vo vzťahu k Európskej únii:</w:t>
      </w:r>
    </w:p>
    <w:p w:rsidR="00501489" w:rsidRPr="00BB0D49" w:rsidP="00501489">
      <w:pPr>
        <w:bidi w:val="0"/>
        <w:spacing w:after="0" w:line="240" w:lineRule="auto"/>
        <w:ind w:left="425"/>
        <w:jc w:val="both"/>
        <w:rPr>
          <w:color w:val="000000"/>
        </w:rPr>
      </w:pPr>
      <w:r w:rsidRPr="00BB0D49">
        <w:rPr>
          <w:color w:val="000000"/>
        </w:rPr>
        <w:t>a) Lehota na prebratie smernice alebo lehota na implementáciu nariadenia alebo rozhodnutia: bezpredmetné.</w:t>
      </w:r>
    </w:p>
    <w:p w:rsidR="00501489" w:rsidRPr="00BB0D49" w:rsidP="00501489">
      <w:pPr>
        <w:bidi w:val="0"/>
        <w:spacing w:after="0" w:line="240" w:lineRule="auto"/>
        <w:ind w:left="425"/>
        <w:jc w:val="both"/>
        <w:rPr>
          <w:color w:val="000000"/>
        </w:rPr>
      </w:pPr>
      <w:r w:rsidRPr="00BB0D49">
        <w:rPr>
          <w:color w:val="000000"/>
        </w:rPr>
        <w:t>b) Lehota určená na predloženie návrhu právneho predpisu na rokovanie vlády podľa určenia gestorských ústredných orgánov štátnej správy zodpovedných za transpozíciu smerníc a vypracovanie tabuliek zhody k návrhom všeobecne záväzných právnych predpisov: bezpredmetné.</w:t>
      </w:r>
    </w:p>
    <w:p w:rsidR="00501489" w:rsidRPr="00BB0D49" w:rsidP="00501489">
      <w:pPr>
        <w:bidi w:val="0"/>
        <w:spacing w:after="0" w:line="240" w:lineRule="auto"/>
        <w:ind w:left="425"/>
        <w:jc w:val="both"/>
        <w:rPr>
          <w:color w:val="000000"/>
        </w:rPr>
      </w:pPr>
      <w:r w:rsidRPr="00BB0D49">
        <w:rPr>
          <w:color w:val="000000"/>
        </w:rPr>
        <w:t>c) Proti SR nebolo začaté konanie o porušení Zmluvy o fungovaní Európskej únie podľa čl. 258 až 260 Zmluvy o fungovaní Európskej únie.</w:t>
      </w:r>
    </w:p>
    <w:p w:rsidR="00501489" w:rsidRPr="00BB0D49" w:rsidP="00501489">
      <w:pPr>
        <w:bidi w:val="0"/>
        <w:spacing w:after="0" w:line="240" w:lineRule="auto"/>
        <w:ind w:left="425"/>
        <w:jc w:val="both"/>
        <w:rPr>
          <w:color w:val="000000"/>
        </w:rPr>
      </w:pPr>
      <w:r w:rsidRPr="00BB0D49">
        <w:rPr>
          <w:color w:val="000000"/>
        </w:rPr>
        <w:t>d) Bezpredmetné.</w:t>
      </w:r>
    </w:p>
    <w:p w:rsidR="00501489" w:rsidRPr="00BB0D49" w:rsidP="00501489">
      <w:pPr>
        <w:bidi w:val="0"/>
        <w:spacing w:after="0" w:line="240" w:lineRule="auto"/>
        <w:ind w:left="357" w:hanging="357"/>
        <w:jc w:val="both"/>
        <w:rPr>
          <w:color w:val="000000"/>
        </w:rPr>
      </w:pPr>
      <w:r w:rsidRPr="00BB0D49">
        <w:rPr>
          <w:color w:val="000000"/>
        </w:rPr>
        <w:t> </w:t>
      </w:r>
    </w:p>
    <w:p w:rsidR="00501489" w:rsidRPr="00BB0D49" w:rsidP="00501489">
      <w:pPr>
        <w:bidi w:val="0"/>
        <w:spacing w:after="0" w:line="240" w:lineRule="auto"/>
        <w:ind w:left="425" w:hanging="425"/>
        <w:jc w:val="both"/>
        <w:rPr>
          <w:color w:val="000000"/>
        </w:rPr>
      </w:pPr>
      <w:r w:rsidRPr="00BB0D49">
        <w:rPr>
          <w:b/>
          <w:bCs/>
          <w:color w:val="000000"/>
        </w:rPr>
        <w:t>5.</w:t>
      </w:r>
      <w:r w:rsidRPr="00BB0D49">
        <w:rPr>
          <w:color w:val="000000"/>
        </w:rPr>
        <w:t>        </w:t>
      </w:r>
      <w:r w:rsidRPr="00BB0D49">
        <w:rPr>
          <w:b/>
          <w:bCs/>
          <w:color w:val="000000"/>
        </w:rPr>
        <w:t>Stupeň zlučiteľnosti návrhu zákona s právom Európskej únie:</w:t>
      </w:r>
    </w:p>
    <w:p w:rsidR="00501489" w:rsidRPr="00BB0D49" w:rsidP="00501489">
      <w:pPr>
        <w:bidi w:val="0"/>
        <w:spacing w:after="0" w:line="240" w:lineRule="auto"/>
        <w:ind w:left="425" w:hanging="425"/>
        <w:jc w:val="both"/>
        <w:rPr>
          <w:color w:val="000000"/>
        </w:rPr>
      </w:pPr>
      <w:r w:rsidRPr="00BB0D49">
        <w:rPr>
          <w:color w:val="000000"/>
        </w:rPr>
        <w:t>           Úplný.</w:t>
      </w:r>
    </w:p>
    <w:p w:rsidR="00501489" w:rsidRPr="00BB0D49" w:rsidP="00501489">
      <w:pPr>
        <w:bidi w:val="0"/>
        <w:spacing w:after="0" w:line="240" w:lineRule="auto"/>
        <w:ind w:left="425" w:hanging="425"/>
        <w:jc w:val="both"/>
        <w:rPr>
          <w:color w:val="000000"/>
        </w:rPr>
      </w:pPr>
      <w:r w:rsidRPr="00BB0D49">
        <w:rPr>
          <w:color w:val="000000"/>
        </w:rPr>
        <w:t> </w:t>
      </w:r>
    </w:p>
    <w:p w:rsidR="00501489" w:rsidRPr="00BB0D49" w:rsidP="00501489">
      <w:pPr>
        <w:bidi w:val="0"/>
        <w:spacing w:after="0" w:line="240" w:lineRule="auto"/>
        <w:ind w:left="425" w:hanging="425"/>
        <w:jc w:val="both"/>
        <w:rPr>
          <w:color w:val="000000"/>
        </w:rPr>
      </w:pPr>
      <w:r w:rsidRPr="00BB0D49">
        <w:rPr>
          <w:b/>
          <w:bCs/>
          <w:color w:val="000000"/>
        </w:rPr>
        <w:t>6.</w:t>
      </w:r>
      <w:r w:rsidRPr="00BB0D49">
        <w:rPr>
          <w:color w:val="000000"/>
        </w:rPr>
        <w:t>        </w:t>
      </w:r>
      <w:r w:rsidRPr="00BB0D49">
        <w:rPr>
          <w:b/>
          <w:bCs/>
          <w:color w:val="000000"/>
        </w:rPr>
        <w:t>Gestor a spolupracujúce rezorty:</w:t>
      </w:r>
    </w:p>
    <w:p w:rsidR="00501489" w:rsidRPr="00BB0D49" w:rsidP="00501489">
      <w:pPr>
        <w:bidi w:val="0"/>
        <w:spacing w:after="0" w:line="240" w:lineRule="auto"/>
        <w:ind w:left="360" w:firstLine="65"/>
        <w:jc w:val="both"/>
        <w:rPr>
          <w:color w:val="000000"/>
        </w:rPr>
      </w:pPr>
      <w:r w:rsidRPr="00BB0D49">
        <w:rPr>
          <w:color w:val="000000"/>
        </w:rPr>
        <w:t xml:space="preserve">    Bezpredmetné.</w:t>
      </w:r>
    </w:p>
    <w:sectPr w:rsidSect="002F2241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A1AA5"/>
    <w:multiLevelType w:val="hybridMultilevel"/>
    <w:tmpl w:val="3B1E731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09FC4B21"/>
    <w:multiLevelType w:val="hybridMultilevel"/>
    <w:tmpl w:val="EB98B8FE"/>
    <w:lvl w:ilvl="0">
      <w:start w:val="29"/>
      <w:numFmt w:val="bullet"/>
      <w:lvlText w:val="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502ABC"/>
    <w:multiLevelType w:val="hybridMultilevel"/>
    <w:tmpl w:val="1DA0D3C2"/>
    <w:lvl w:ilvl="0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3">
    <w:nsid w:val="464633EE"/>
    <w:multiLevelType w:val="hybridMultilevel"/>
    <w:tmpl w:val="BDD407F6"/>
    <w:lvl w:ilvl="0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88A647B"/>
    <w:multiLevelType w:val="hybridMultilevel"/>
    <w:tmpl w:val="B8B2F390"/>
    <w:lvl w:ilvl="0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5">
    <w:nsid w:val="690D6B7C"/>
    <w:multiLevelType w:val="hybridMultilevel"/>
    <w:tmpl w:val="EB34CB46"/>
    <w:lvl w:ilvl="0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6">
    <w:nsid w:val="72364597"/>
    <w:multiLevelType w:val="hybridMultilevel"/>
    <w:tmpl w:val="CAF227FA"/>
    <w:lvl w:ilvl="0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7">
    <w:nsid w:val="740D689F"/>
    <w:multiLevelType w:val="hybridMultilevel"/>
    <w:tmpl w:val="0986CC3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rtl w:val="0"/>
        <w:cs w:val="0"/>
      </w:rPr>
    </w:lvl>
  </w:abstractNum>
  <w:abstractNum w:abstractNumId="8">
    <w:nsid w:val="7B8D3211"/>
    <w:multiLevelType w:val="hybridMultilevel"/>
    <w:tmpl w:val="6F0A647A"/>
    <w:lvl w:ilvl="0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2"/>
  </w:num>
  <w:num w:numId="5">
    <w:abstractNumId w:val="3"/>
  </w:num>
  <w:num w:numId="6">
    <w:abstractNumId w:val="4"/>
  </w:num>
  <w:num w:numId="7">
    <w:abstractNumId w:val="6"/>
  </w:num>
  <w:num w:numId="8">
    <w:abstractNumId w:val="1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EE2B1E"/>
    <w:rsid w:val="00037EA1"/>
    <w:rsid w:val="000A4351"/>
    <w:rsid w:val="000E2198"/>
    <w:rsid w:val="00117893"/>
    <w:rsid w:val="00125CAF"/>
    <w:rsid w:val="00173879"/>
    <w:rsid w:val="00181B9A"/>
    <w:rsid w:val="00184026"/>
    <w:rsid w:val="001A0DF1"/>
    <w:rsid w:val="001A339C"/>
    <w:rsid w:val="002600FE"/>
    <w:rsid w:val="00260E61"/>
    <w:rsid w:val="002F2241"/>
    <w:rsid w:val="003D19B7"/>
    <w:rsid w:val="003D6B23"/>
    <w:rsid w:val="00417BE3"/>
    <w:rsid w:val="00440C74"/>
    <w:rsid w:val="00487181"/>
    <w:rsid w:val="0049656F"/>
    <w:rsid w:val="004B6BBE"/>
    <w:rsid w:val="00501489"/>
    <w:rsid w:val="00572D1D"/>
    <w:rsid w:val="00632B6F"/>
    <w:rsid w:val="006A4FDB"/>
    <w:rsid w:val="006A7522"/>
    <w:rsid w:val="006F5793"/>
    <w:rsid w:val="00724406"/>
    <w:rsid w:val="007327B8"/>
    <w:rsid w:val="007361B2"/>
    <w:rsid w:val="007A7C0A"/>
    <w:rsid w:val="007C51E0"/>
    <w:rsid w:val="008353A6"/>
    <w:rsid w:val="0085300A"/>
    <w:rsid w:val="00876099"/>
    <w:rsid w:val="0088009F"/>
    <w:rsid w:val="008D710E"/>
    <w:rsid w:val="00910770"/>
    <w:rsid w:val="009439D0"/>
    <w:rsid w:val="009851E7"/>
    <w:rsid w:val="009A040D"/>
    <w:rsid w:val="009C2CD1"/>
    <w:rsid w:val="009D6A0D"/>
    <w:rsid w:val="00A049E8"/>
    <w:rsid w:val="00A07F44"/>
    <w:rsid w:val="00A208A1"/>
    <w:rsid w:val="00A523D6"/>
    <w:rsid w:val="00AA53B7"/>
    <w:rsid w:val="00AA5CFA"/>
    <w:rsid w:val="00AB31B4"/>
    <w:rsid w:val="00BB0D49"/>
    <w:rsid w:val="00BF7E79"/>
    <w:rsid w:val="00C774CF"/>
    <w:rsid w:val="00CF0214"/>
    <w:rsid w:val="00D47364"/>
    <w:rsid w:val="00D70051"/>
    <w:rsid w:val="00E74B16"/>
    <w:rsid w:val="00EE2B1E"/>
    <w:rsid w:val="00F00285"/>
    <w:rsid w:val="00F124F3"/>
    <w:rsid w:val="00FE3AB7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2B1E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A523D6"/>
    <w:pPr>
      <w:keepNext/>
      <w:keepLines/>
      <w:spacing w:before="480" w:after="0"/>
      <w:jc w:val="left"/>
      <w:outlineLvl w:val="0"/>
    </w:pPr>
    <w:rPr>
      <w:rFonts w:ascii="Cambria" w:hAnsi="Cambria"/>
      <w:b/>
      <w:bCs/>
      <w:color w:val="365F91"/>
      <w:sz w:val="28"/>
      <w:szCs w:val="28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23D6"/>
    <w:pPr>
      <w:keepNext/>
      <w:keepLines/>
      <w:spacing w:before="200" w:after="0"/>
      <w:jc w:val="left"/>
      <w:outlineLvl w:val="1"/>
    </w:pPr>
    <w:rPr>
      <w:rFonts w:ascii="Cambria" w:hAnsi="Cambria"/>
      <w:b/>
      <w:bCs/>
      <w:color w:val="4F81BD"/>
      <w:sz w:val="26"/>
      <w:szCs w:val="26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23D6"/>
    <w:pPr>
      <w:keepNext/>
      <w:keepLines/>
      <w:spacing w:before="200" w:after="0"/>
      <w:jc w:val="left"/>
      <w:outlineLvl w:val="2"/>
    </w:pPr>
    <w:rPr>
      <w:rFonts w:ascii="Cambria" w:hAnsi="Cambria"/>
      <w:b/>
      <w:bCs/>
      <w:color w:val="4F81BD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23D6"/>
    <w:pPr>
      <w:keepNext/>
      <w:keepLines/>
      <w:spacing w:before="200" w:after="0"/>
      <w:jc w:val="left"/>
      <w:outlineLvl w:val="3"/>
    </w:pPr>
    <w:rPr>
      <w:rFonts w:ascii="Cambria" w:hAnsi="Cambria"/>
      <w:b/>
      <w:bCs/>
      <w:i/>
      <w:iCs/>
      <w:color w:val="4F81BD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23D6"/>
    <w:pPr>
      <w:keepNext/>
      <w:keepLines/>
      <w:spacing w:before="200" w:after="0"/>
      <w:jc w:val="left"/>
      <w:outlineLvl w:val="4"/>
    </w:pPr>
    <w:rPr>
      <w:rFonts w:ascii="Cambria" w:hAnsi="Cambria"/>
      <w:color w:val="243F60"/>
      <w:lang w:val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23D6"/>
    <w:pPr>
      <w:keepNext/>
      <w:keepLines/>
      <w:spacing w:before="200" w:after="0"/>
      <w:jc w:val="left"/>
      <w:outlineLvl w:val="5"/>
    </w:pPr>
    <w:rPr>
      <w:rFonts w:ascii="Cambria" w:hAnsi="Cambria"/>
      <w:i/>
      <w:iCs/>
      <w:color w:val="243F60"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23D6"/>
    <w:pPr>
      <w:keepNext/>
      <w:keepLines/>
      <w:spacing w:before="200" w:after="0"/>
      <w:jc w:val="left"/>
      <w:outlineLvl w:val="6"/>
    </w:pPr>
    <w:rPr>
      <w:rFonts w:ascii="Cambria" w:hAnsi="Cambria"/>
      <w:i/>
      <w:iCs/>
      <w:color w:val="404040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23D6"/>
    <w:pPr>
      <w:keepNext/>
      <w:keepLines/>
      <w:spacing w:before="200" w:after="0"/>
      <w:jc w:val="left"/>
      <w:outlineLvl w:val="7"/>
    </w:pPr>
    <w:rPr>
      <w:rFonts w:ascii="Cambria" w:hAnsi="Cambria"/>
      <w:color w:val="4F81BD"/>
      <w:sz w:val="20"/>
      <w:szCs w:val="20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23D6"/>
    <w:pPr>
      <w:keepNext/>
      <w:keepLines/>
      <w:spacing w:before="200" w:after="0"/>
      <w:jc w:val="left"/>
      <w:outlineLvl w:val="8"/>
    </w:pPr>
    <w:rPr>
      <w:rFonts w:ascii="Cambria" w:hAnsi="Cambria"/>
      <w:i/>
      <w:iCs/>
      <w:color w:val="404040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locked/>
    <w:rsid w:val="00A523D6"/>
    <w:rPr>
      <w:rFonts w:ascii="Cambria" w:hAnsi="Cambria" w:cs="Times New Roman"/>
      <w:b/>
      <w:bCs/>
      <w:color w:val="365F91"/>
      <w:sz w:val="28"/>
      <w:szCs w:val="28"/>
      <w:rtl w:val="0"/>
      <w:cs w:val="0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A523D6"/>
    <w:rPr>
      <w:rFonts w:ascii="Cambria" w:hAnsi="Cambria" w:cs="Times New Roman"/>
      <w:b/>
      <w:bCs/>
      <w:color w:val="4F81BD"/>
      <w:sz w:val="26"/>
      <w:szCs w:val="26"/>
      <w:rtl w:val="0"/>
      <w:cs w:val="0"/>
    </w:rPr>
  </w:style>
  <w:style w:type="character" w:customStyle="1" w:styleId="Heading3Char">
    <w:name w:val="Heading 3 Char"/>
    <w:basedOn w:val="DefaultParagraphFont"/>
    <w:link w:val="Heading3"/>
    <w:uiPriority w:val="9"/>
    <w:locked/>
    <w:rsid w:val="00A523D6"/>
    <w:rPr>
      <w:rFonts w:ascii="Cambria" w:hAnsi="Cambria" w:cs="Times New Roman"/>
      <w:b/>
      <w:bCs/>
      <w:color w:val="4F81BD"/>
      <w:rtl w:val="0"/>
      <w:cs w:val="0"/>
    </w:rPr>
  </w:style>
  <w:style w:type="character" w:customStyle="1" w:styleId="Heading4Char">
    <w:name w:val="Heading 4 Char"/>
    <w:basedOn w:val="DefaultParagraphFont"/>
    <w:link w:val="Heading4"/>
    <w:uiPriority w:val="9"/>
    <w:locked/>
    <w:rsid w:val="00A523D6"/>
    <w:rPr>
      <w:rFonts w:ascii="Cambria" w:hAnsi="Cambria" w:cs="Times New Roman"/>
      <w:b/>
      <w:bCs/>
      <w:i/>
      <w:iCs/>
      <w:color w:val="4F81BD"/>
      <w:rtl w:val="0"/>
      <w:cs w:val="0"/>
    </w:rPr>
  </w:style>
  <w:style w:type="character" w:customStyle="1" w:styleId="Heading5Char">
    <w:name w:val="Heading 5 Char"/>
    <w:basedOn w:val="DefaultParagraphFont"/>
    <w:link w:val="Heading5"/>
    <w:uiPriority w:val="9"/>
    <w:locked/>
    <w:rsid w:val="00A523D6"/>
    <w:rPr>
      <w:rFonts w:ascii="Cambria" w:hAnsi="Cambria" w:cs="Times New Roman"/>
      <w:color w:val="243F60"/>
      <w:rtl w:val="0"/>
      <w:cs w:val="0"/>
    </w:rPr>
  </w:style>
  <w:style w:type="character" w:customStyle="1" w:styleId="Heading6Char">
    <w:name w:val="Heading 6 Char"/>
    <w:basedOn w:val="DefaultParagraphFont"/>
    <w:link w:val="Heading6"/>
    <w:uiPriority w:val="9"/>
    <w:locked/>
    <w:rsid w:val="00A523D6"/>
    <w:rPr>
      <w:rFonts w:ascii="Cambria" w:hAnsi="Cambria" w:cs="Times New Roman"/>
      <w:i/>
      <w:iCs/>
      <w:color w:val="243F60"/>
      <w:rtl w:val="0"/>
      <w:cs w:val="0"/>
    </w:rPr>
  </w:style>
  <w:style w:type="character" w:customStyle="1" w:styleId="Heading7Char">
    <w:name w:val="Heading 7 Char"/>
    <w:basedOn w:val="DefaultParagraphFont"/>
    <w:link w:val="Heading7"/>
    <w:uiPriority w:val="9"/>
    <w:locked/>
    <w:rsid w:val="00A523D6"/>
    <w:rPr>
      <w:rFonts w:ascii="Cambria" w:hAnsi="Cambria" w:cs="Times New Roman"/>
      <w:i/>
      <w:iCs/>
      <w:color w:val="404040"/>
      <w:rtl w:val="0"/>
      <w:cs w:val="0"/>
    </w:rPr>
  </w:style>
  <w:style w:type="character" w:customStyle="1" w:styleId="Heading8Char">
    <w:name w:val="Heading 8 Char"/>
    <w:basedOn w:val="DefaultParagraphFont"/>
    <w:link w:val="Heading8"/>
    <w:uiPriority w:val="9"/>
    <w:locked/>
    <w:rsid w:val="00A523D6"/>
    <w:rPr>
      <w:rFonts w:ascii="Cambria" w:hAnsi="Cambria" w:cs="Times New Roman"/>
      <w:color w:val="4F81BD"/>
      <w:sz w:val="20"/>
      <w:szCs w:val="20"/>
      <w:rtl w:val="0"/>
      <w:cs w:val="0"/>
    </w:rPr>
  </w:style>
  <w:style w:type="character" w:customStyle="1" w:styleId="Heading9Char">
    <w:name w:val="Heading 9 Char"/>
    <w:basedOn w:val="DefaultParagraphFont"/>
    <w:link w:val="Heading9"/>
    <w:uiPriority w:val="9"/>
    <w:locked/>
    <w:rsid w:val="00A523D6"/>
    <w:rPr>
      <w:rFonts w:ascii="Cambria" w:hAnsi="Cambria" w:cs="Times New Roman"/>
      <w:i/>
      <w:iCs/>
      <w:color w:val="404040"/>
      <w:sz w:val="20"/>
      <w:szCs w:val="20"/>
      <w:rtl w:val="0"/>
      <w:cs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523D6"/>
    <w:pPr>
      <w:spacing w:line="240" w:lineRule="auto"/>
      <w:jc w:val="left"/>
    </w:pPr>
    <w:rPr>
      <w:b/>
      <w:bCs/>
      <w:color w:val="4F81BD"/>
      <w:sz w:val="18"/>
      <w:szCs w:val="18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A523D6"/>
    <w:pPr>
      <w:pBdr>
        <w:bottom w:val="single" w:sz="8" w:space="4" w:color="4F81BD"/>
      </w:pBdr>
      <w:spacing w:after="300" w:line="240" w:lineRule="auto"/>
      <w:contextualSpacing/>
      <w:jc w:val="left"/>
    </w:pPr>
    <w:rPr>
      <w:rFonts w:ascii="Cambria" w:hAnsi="Cambria"/>
      <w:color w:val="17365D"/>
      <w:spacing w:val="5"/>
      <w:kern w:val="28"/>
      <w:sz w:val="52"/>
      <w:szCs w:val="52"/>
      <w:lang w:val="en-US"/>
    </w:rPr>
  </w:style>
  <w:style w:type="character" w:customStyle="1" w:styleId="TitleChar">
    <w:name w:val="Title Char"/>
    <w:basedOn w:val="DefaultParagraphFont"/>
    <w:link w:val="Title"/>
    <w:uiPriority w:val="10"/>
    <w:locked/>
    <w:rsid w:val="00A523D6"/>
    <w:rPr>
      <w:rFonts w:ascii="Cambria" w:hAnsi="Cambria" w:cs="Times New Roman"/>
      <w:color w:val="17365D"/>
      <w:spacing w:val="5"/>
      <w:kern w:val="28"/>
      <w:sz w:val="52"/>
      <w:szCs w:val="52"/>
      <w:rtl w:val="0"/>
      <w:cs w:val="0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23D6"/>
    <w:pPr>
      <w:numPr>
        <w:ilvl w:val="1"/>
      </w:numPr>
      <w:jc w:val="left"/>
    </w:pPr>
    <w:rPr>
      <w:rFonts w:ascii="Cambria" w:hAnsi="Cambria"/>
      <w:i/>
      <w:iCs/>
      <w:color w:val="4F81BD"/>
      <w:spacing w:val="15"/>
      <w:sz w:val="24"/>
      <w:szCs w:val="24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locked/>
    <w:rsid w:val="00A523D6"/>
    <w:rPr>
      <w:rFonts w:ascii="Cambria" w:hAnsi="Cambria" w:cs="Times New Roman"/>
      <w:i/>
      <w:iCs/>
      <w:color w:val="4F81BD"/>
      <w:spacing w:val="15"/>
      <w:sz w:val="24"/>
      <w:szCs w:val="24"/>
      <w:rtl w:val="0"/>
      <w:cs w:val="0"/>
    </w:rPr>
  </w:style>
  <w:style w:type="character" w:styleId="Strong">
    <w:name w:val="Strong"/>
    <w:basedOn w:val="DefaultParagraphFont"/>
    <w:uiPriority w:val="22"/>
    <w:qFormat/>
    <w:rsid w:val="00A523D6"/>
    <w:rPr>
      <w:rFonts w:cs="Times New Roman"/>
      <w:b/>
      <w:bCs/>
      <w:rtl w:val="0"/>
      <w:cs w:val="0"/>
    </w:rPr>
  </w:style>
  <w:style w:type="character" w:styleId="Emphasis">
    <w:name w:val="Emphasis"/>
    <w:basedOn w:val="DefaultParagraphFont"/>
    <w:uiPriority w:val="20"/>
    <w:qFormat/>
    <w:rsid w:val="00A523D6"/>
    <w:rPr>
      <w:rFonts w:cs="Times New Roman"/>
      <w:i/>
      <w:iCs/>
      <w:rtl w:val="0"/>
      <w:cs w:val="0"/>
    </w:rPr>
  </w:style>
  <w:style w:type="paragraph" w:styleId="NoSpacing">
    <w:name w:val="No Spacing"/>
    <w:uiPriority w:val="1"/>
    <w:qFormat/>
    <w:rsid w:val="00A523D6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A523D6"/>
    <w:pPr>
      <w:ind w:left="720"/>
      <w:contextualSpacing/>
      <w:jc w:val="left"/>
    </w:pPr>
    <w:rPr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A523D6"/>
    <w:pPr>
      <w:jc w:val="left"/>
    </w:pPr>
    <w:rPr>
      <w:i/>
      <w:iCs/>
      <w:color w:val="000000"/>
      <w:lang w:val="en-US"/>
    </w:rPr>
  </w:style>
  <w:style w:type="character" w:customStyle="1" w:styleId="QuoteChar">
    <w:name w:val="Quote Char"/>
    <w:basedOn w:val="DefaultParagraphFont"/>
    <w:link w:val="Quote"/>
    <w:uiPriority w:val="29"/>
    <w:locked/>
    <w:rsid w:val="00A523D6"/>
    <w:rPr>
      <w:rFonts w:cs="Times New Roman"/>
      <w:i/>
      <w:iCs/>
      <w:color w:val="000000"/>
      <w:rtl w:val="0"/>
      <w:cs w:val="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23D6"/>
    <w:pPr>
      <w:pBdr>
        <w:bottom w:val="single" w:sz="4" w:space="4" w:color="4F81BD"/>
      </w:pBdr>
      <w:spacing w:before="200" w:after="280"/>
      <w:ind w:left="936" w:right="936"/>
      <w:jc w:val="left"/>
    </w:pPr>
    <w:rPr>
      <w:b/>
      <w:bCs/>
      <w:i/>
      <w:iCs/>
      <w:color w:val="4F81BD"/>
      <w:lang w:val="en-US"/>
    </w:rPr>
  </w:style>
  <w:style w:type="character" w:customStyle="1" w:styleId="IntenseQuoteChar">
    <w:name w:val="Intense Quote Char"/>
    <w:basedOn w:val="DefaultParagraphFont"/>
    <w:link w:val="IntenseQuote"/>
    <w:uiPriority w:val="30"/>
    <w:locked/>
    <w:rsid w:val="00A523D6"/>
    <w:rPr>
      <w:rFonts w:cs="Times New Roman"/>
      <w:b/>
      <w:bCs/>
      <w:i/>
      <w:iCs/>
      <w:color w:val="4F81BD"/>
      <w:rtl w:val="0"/>
      <w:cs w:val="0"/>
    </w:rPr>
  </w:style>
  <w:style w:type="character" w:styleId="SubtleEmphasis">
    <w:name w:val="Subtle Emphasis"/>
    <w:basedOn w:val="DefaultParagraphFont"/>
    <w:uiPriority w:val="19"/>
    <w:qFormat/>
    <w:rsid w:val="00A523D6"/>
    <w:rPr>
      <w:rFonts w:cs="Times New Roman"/>
      <w:i/>
      <w:iCs/>
      <w:color w:val="808080"/>
      <w:rtl w:val="0"/>
      <w:cs w:val="0"/>
    </w:rPr>
  </w:style>
  <w:style w:type="character" w:styleId="IntenseEmphasis">
    <w:name w:val="Intense Emphasis"/>
    <w:basedOn w:val="DefaultParagraphFont"/>
    <w:uiPriority w:val="21"/>
    <w:qFormat/>
    <w:rsid w:val="00A523D6"/>
    <w:rPr>
      <w:rFonts w:cs="Times New Roman"/>
      <w:b/>
      <w:bCs/>
      <w:i/>
      <w:iCs/>
      <w:color w:val="4F81BD"/>
      <w:rtl w:val="0"/>
      <w:cs w:val="0"/>
    </w:rPr>
  </w:style>
  <w:style w:type="character" w:styleId="SubtleReference">
    <w:name w:val="Subtle Reference"/>
    <w:basedOn w:val="DefaultParagraphFont"/>
    <w:uiPriority w:val="31"/>
    <w:qFormat/>
    <w:rsid w:val="00A523D6"/>
    <w:rPr>
      <w:rFonts w:cs="Times New Roman"/>
      <w:smallCaps/>
      <w:color w:val="C0504D"/>
      <w:u w:val="single"/>
      <w:rtl w:val="0"/>
      <w:cs w:val="0"/>
    </w:rPr>
  </w:style>
  <w:style w:type="character" w:styleId="IntenseReference">
    <w:name w:val="Intense Reference"/>
    <w:basedOn w:val="DefaultParagraphFont"/>
    <w:uiPriority w:val="32"/>
    <w:qFormat/>
    <w:rsid w:val="00A523D6"/>
    <w:rPr>
      <w:rFonts w:cs="Times New Roman"/>
      <w:b/>
      <w:bCs/>
      <w:smallCaps/>
      <w:color w:val="C0504D"/>
      <w:spacing w:val="5"/>
      <w:u w:val="single"/>
      <w:rtl w:val="0"/>
      <w:cs w:val="0"/>
    </w:rPr>
  </w:style>
  <w:style w:type="character" w:styleId="BookTitle">
    <w:name w:val="Book Title"/>
    <w:basedOn w:val="DefaultParagraphFont"/>
    <w:uiPriority w:val="33"/>
    <w:qFormat/>
    <w:rsid w:val="00A523D6"/>
    <w:rPr>
      <w:rFonts w:cs="Times New Roman"/>
      <w:b/>
      <w:bCs/>
      <w:smallCaps/>
      <w:spacing w:val="5"/>
      <w:rtl w:val="0"/>
      <w:cs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523D6"/>
    <w:pPr>
      <w:spacing w:after="0"/>
      <w:jc w:val="left"/>
      <w:outlineLvl w:val="9"/>
    </w:pPr>
  </w:style>
  <w:style w:type="paragraph" w:styleId="NormalWeb">
    <w:name w:val="Normal (Web)"/>
    <w:basedOn w:val="Normal"/>
    <w:uiPriority w:val="99"/>
    <w:unhideWhenUsed/>
    <w:rsid w:val="00EE2B1E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sk-SK"/>
    </w:rPr>
  </w:style>
  <w:style w:type="character" w:styleId="CommentReference">
    <w:name w:val="annotation reference"/>
    <w:basedOn w:val="DefaultParagraphFont"/>
    <w:uiPriority w:val="99"/>
    <w:semiHidden/>
    <w:unhideWhenUsed/>
    <w:rsid w:val="007327B8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27B8"/>
    <w:pPr>
      <w:spacing w:line="240" w:lineRule="auto"/>
      <w:jc w:val="left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7327B8"/>
    <w:rPr>
      <w:rFonts w:ascii="Calibri" w:hAnsi="Calibri" w:cs="Times New Roman"/>
      <w:sz w:val="20"/>
      <w:szCs w:val="20"/>
      <w:rtl w:val="0"/>
      <w:cs w:val="0"/>
      <w:lang w:val="sk-SK" w:eastAsia="x-none"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27B8"/>
    <w:pPr>
      <w:spacing w:line="240" w:lineRule="auto"/>
      <w:jc w:val="left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7327B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7B8"/>
    <w:pPr>
      <w:spacing w:after="0"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327B8"/>
    <w:rPr>
      <w:rFonts w:ascii="Tahoma" w:hAnsi="Tahoma" w:cs="Tahoma"/>
      <w:sz w:val="16"/>
      <w:szCs w:val="16"/>
      <w:rtl w:val="0"/>
      <w:cs w:val="0"/>
      <w:lang w:val="sk-SK" w:eastAsia="x-none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212</Words>
  <Characters>1210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1420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Kalavsky</dc:creator>
  <cp:lastModifiedBy>Gašparíková, Jarmila</cp:lastModifiedBy>
  <cp:revision>2</cp:revision>
  <cp:lastPrinted>2011-08-12T12:08:00Z</cp:lastPrinted>
  <dcterms:created xsi:type="dcterms:W3CDTF">2011-08-19T15:32:00Z</dcterms:created>
  <dcterms:modified xsi:type="dcterms:W3CDTF">2011-08-19T15:32:00Z</dcterms:modified>
</cp:coreProperties>
</file>