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 xml:space="preserve">Návrh zákona, ktorým sa mení a dopĺňa zákon č. 24/2006 Z. z. o posudzovaní vplyvov na životné prostredie a o zmene a doplnení niektorých zákonov v znení neskorších predpisov a o zmene a doplnení niektorých zákonov </w:t>
        <w:br/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16.12.2010-21.12.2010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widowControl/>
        <w:bidi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MF SR - Sekcia informatizácie spoločnosti, ako gestor metodiky na posudzovanie vplyvov na informatizáciu spoločnosti, </w:t>
      </w:r>
      <w:r>
        <w:rPr>
          <w:rFonts w:ascii="Times New Roman" w:hAnsi="Times New Roman"/>
          <w:b/>
          <w:color w:val="000000"/>
          <w:sz w:val="24"/>
          <w:szCs w:val="24"/>
        </w:rPr>
        <w:t>nesúhlasí</w:t>
      </w:r>
      <w:r>
        <w:rPr>
          <w:rFonts w:ascii="Times New Roman" w:hAnsi="Times New Roman"/>
          <w:color w:val="000000"/>
          <w:sz w:val="24"/>
          <w:szCs w:val="24"/>
        </w:rPr>
        <w:t xml:space="preserve"> s tvrdením, že materiál nemá vplyv na informatizáciu, pretože v návrhu novely ustanovujeme úplne nové veci, týkajúce sa informatizácie, a to: </w:t>
      </w:r>
    </w:p>
    <w:p w:rsidR="00593F1E">
      <w:pPr>
        <w:widowControl/>
        <w:bidi w:val="0"/>
        <w:spacing w:after="0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/>
          <w:color w:val="1F497D"/>
          <w:sz w:val="24"/>
          <w:szCs w:val="24"/>
        </w:rPr>
        <w:t>-</w:t>
      </w:r>
      <w:r>
        <w:rPr>
          <w:rFonts w:ascii="Times New Roman" w:hAnsi="Times New Roman"/>
          <w:color w:val="1F497D"/>
          <w:sz w:val="14"/>
          <w:szCs w:val="24"/>
        </w:rPr>
        <w:t xml:space="preserve">         </w:t>
      </w:r>
      <w:r>
        <w:rPr>
          <w:rFonts w:ascii="Times New Roman" w:hAnsi="Times New Roman"/>
          <w:color w:val="000000"/>
          <w:sz w:val="24"/>
          <w:szCs w:val="24"/>
        </w:rPr>
        <w:t>Bod 17  (§ 7 ods. 6 – zverejnenie dôvodov neposudzovania strategického dokumentu na internetovej stránke ministerstva)</w:t>
      </w:r>
    </w:p>
    <w:p w:rsidR="00593F1E">
      <w:pPr>
        <w:widowControl/>
        <w:bidi w:val="0"/>
        <w:spacing w:after="0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/>
          <w:color w:val="1F497D"/>
          <w:sz w:val="24"/>
          <w:szCs w:val="24"/>
        </w:rPr>
        <w:t>-</w:t>
      </w:r>
      <w:r>
        <w:rPr>
          <w:rFonts w:ascii="Times New Roman" w:hAnsi="Times New Roman"/>
          <w:color w:val="1F497D"/>
          <w:sz w:val="14"/>
          <w:szCs w:val="24"/>
        </w:rPr>
        <w:t xml:space="preserve">         </w:t>
      </w:r>
      <w:r>
        <w:rPr>
          <w:rFonts w:ascii="Times New Roman" w:hAnsi="Times New Roman"/>
          <w:color w:val="000000"/>
          <w:sz w:val="24"/>
          <w:szCs w:val="24"/>
        </w:rPr>
        <w:t>Bod 20 ( § 10 ods. 3 – doručenie správy a návrhu strategického dokumentu v písomnej alebo elektronickej forme  aj štátnemu orgánu ochrany prírody)</w:t>
      </w:r>
    </w:p>
    <w:p w:rsidR="00593F1E">
      <w:pPr>
        <w:widowControl/>
        <w:bidi w:val="0"/>
        <w:spacing w:after="0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/>
          <w:color w:val="1F497D"/>
          <w:sz w:val="24"/>
          <w:szCs w:val="24"/>
        </w:rPr>
        <w:t>-</w:t>
      </w:r>
      <w:r>
        <w:rPr>
          <w:rFonts w:ascii="Times New Roman" w:hAnsi="Times New Roman"/>
          <w:color w:val="1F497D"/>
          <w:sz w:val="14"/>
          <w:szCs w:val="24"/>
        </w:rPr>
        <w:t xml:space="preserve">         </w:t>
      </w:r>
      <w:r>
        <w:rPr>
          <w:rFonts w:ascii="Times New Roman" w:hAnsi="Times New Roman"/>
          <w:color w:val="000000"/>
          <w:sz w:val="24"/>
          <w:szCs w:val="24"/>
        </w:rPr>
        <w:t>Bod 25 (§ 16 ods. 5 – zverejnenie informácií na internetovej stránke ministerstva)</w:t>
      </w:r>
    </w:p>
    <w:p w:rsidR="00593F1E">
      <w:pPr>
        <w:widowControl/>
        <w:bidi w:val="0"/>
        <w:spacing w:after="0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/>
          <w:color w:val="1F497D"/>
          <w:sz w:val="24"/>
          <w:szCs w:val="24"/>
        </w:rPr>
        <w:t>-</w:t>
      </w:r>
      <w:r>
        <w:rPr>
          <w:rFonts w:ascii="Times New Roman" w:hAnsi="Times New Roman"/>
          <w:color w:val="1F497D"/>
          <w:sz w:val="14"/>
          <w:szCs w:val="24"/>
        </w:rPr>
        <w:t xml:space="preserve">         </w:t>
      </w:r>
      <w:r>
        <w:rPr>
          <w:rFonts w:ascii="Times New Roman" w:hAnsi="Times New Roman"/>
          <w:color w:val="000000"/>
          <w:sz w:val="24"/>
          <w:szCs w:val="24"/>
        </w:rPr>
        <w:t>Bod 39 (§ 37 ods. 4 -  zverejnenie na internetovej stránke ministerstva)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Preto žiadame označiť v doložke vplyvov pozitívne vplyvy na informatizáciu spoločnosti a zároveň žiadame vypracovať analýzu vplyvov tak, že v prípade všetkých relevantných bodov 17, 20, 25, 39 návrhu novely sa vyplní v analýze vplyvov na informatizáciu spoločnosti bod 6.1., pretože v prípade bodov 17, 25 a 39 sa zavádza nová elektronická služba s úrovňou I (informatívna úroveň) a v prípade bodu 20 ide rozšírenie elektronickej služby   s úrovňou II (jednosmerná interakcia), prípadne úrovňou III (obojsmerná interakcia). Pripomienka je zásadná. MŽP SR materiál upravilo v zmysle pripomienky.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Ministerstvo životného prostredia SR súhlasí s predloženou doložkou vybraných vplyvov bez pripomienok.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Ministerstvo práce, sociálnych vecí a rodiny SR súhlasí s doložkou vybraných vplyvov predloženého návrhu v časti sociálne vplyvy bez pripomienok.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Ministerstvo hospodárstva SR nemá pripomienky a súhlasí s doložkou.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Vplyvy na rozpočet verejnej správy,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na zamestnanosť vo verejnej správe a financovanie návrhu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2.1. Zhrnutie vplyvov na rozpočet verejnej správy v návrhu</w:t>
      </w:r>
    </w:p>
    <w:p w:rsidR="00593F1E">
      <w:pPr>
        <w:widowControl/>
        <w:bidi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552"/>
        <w:gridCol w:w="1243"/>
        <w:gridCol w:w="1243"/>
        <w:gridCol w:w="1243"/>
        <w:gridCol w:w="1448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 xml:space="preserve">Vplyvy na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rozpočet verejnej správy</w:t>
            </w:r>
          </w:p>
        </w:tc>
        <w:tc>
          <w:tcPr>
            <w:tcW w:w="207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 xml:space="preserve">Vplyv na rozpočet verejnej správy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2014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Príjmy verejnej správy celkom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v tom: za každý subjekt verejnej správy zvlášť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z toho: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vplyv na ŠR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vplyv na územnú samosprávu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Výdavky verejnej správy celkom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MŽP SR / 07601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KÚŽP / 07605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SAŽP / 07604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27 359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269 593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27 359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269 593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27 359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269 593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27 359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269 593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z toho: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vplyv na ŠR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vplyv na územnú samosprávu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Celková zamestnanosť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23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z toho vplyv na ŠR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Financovanie zabezpečené v rozpočte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MŽP SR / 07601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KÚŽP / 07605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SAŽP / 07604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27 359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269 593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27 359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269 593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27 359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269 593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27 359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269 593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2.2. Financovanie návrhu</w:t>
      </w:r>
    </w:p>
    <w:p w:rsidR="00593F1E">
      <w:pPr>
        <w:widowControl/>
        <w:bidi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207"/>
        <w:gridCol w:w="1241"/>
        <w:gridCol w:w="1241"/>
        <w:gridCol w:w="1241"/>
        <w:gridCol w:w="1430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Financovanie</w:t>
            </w:r>
          </w:p>
        </w:tc>
        <w:tc>
          <w:tcPr>
            <w:tcW w:w="51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 xml:space="preserve">Vplyv na rozpočet verejnej správy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2014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Celkový vplyv na rozpočet verejnej správy (výdavky)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z toho vplyv na ŠR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financovanie zabezpečené v rozpočte MŽP SR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ostatné zdroje financovania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Rozpočtovo nekrytý vplyv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   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Tabuľka č. 5 </w:t>
      </w:r>
    </w:p>
    <w:tbl>
      <w:tblPr>
        <w:tblStyle w:val="TableNormal"/>
        <w:tblW w:w="5261" w:type="pct"/>
        <w:tblCellMar>
          <w:left w:w="0" w:type="dxa"/>
          <w:right w:w="0" w:type="dxa"/>
        </w:tblCellMar>
      </w:tblPr>
      <w:tblGrid>
        <w:gridCol w:w="5351"/>
        <w:gridCol w:w="959"/>
        <w:gridCol w:w="840"/>
        <w:gridCol w:w="806"/>
        <w:gridCol w:w="818"/>
        <w:gridCol w:w="1222"/>
      </w:tblGrid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Výdavky (v eurách)</w:t>
            </w:r>
          </w:p>
        </w:tc>
        <w:tc>
          <w:tcPr>
            <w:tcW w:w="171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Vplyv na rozpočet verejnej správy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poznámka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Bežné výdavky (600)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Mzdy, platy, služobné príjmy a ostatné osobné vyrovnania (610) spolu                                                                                         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z toho: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 07601 MŽP SR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07605 KÚŽP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187 604 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  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17 324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170 280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187 604 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  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17 324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170 280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187 604 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17 324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170 280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187 604 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  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17 324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170 280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Poistné a príspevok do poisťovní (620) spolu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z toho: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07601 MŽP SR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07605 KÚŽP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6 055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59 513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 6 055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59 513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6 055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59 513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6 055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59 513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Tovary a služby (630)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30"/>
                <w:szCs w:val="24"/>
                <w:vertAlign w:val="superscript"/>
              </w:rPr>
              <w:t xml:space="preserve"> s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z toho: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07601 MŽP SR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07605 KÚŽP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43 780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3 980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39 800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43 780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3 980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39 800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43 780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3 980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39 800 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43 780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3 980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39 800 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716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Bežné transfery (640)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z toho:</w:t>
            </w:r>
            <w:r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 spolu: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07604  SAŽP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7 990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7 990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7 990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7 990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7 990 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Splácanie úrokov a ostatné platby súvisiace s úvermi, pôžičkami a NFV (650)</w:t>
            </w:r>
            <w:r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Kapitálové výdavky (700)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Obstarávanie kapitálových aktív (710)</w:t>
            </w:r>
            <w:r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0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Kapitálové transfery (720)</w:t>
            </w:r>
            <w:r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Výdavky z transakcií s finančnými aktívami a finančnými pasívami (800)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Dopad na výdavky verejnej správy celkom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304 942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304 942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304 942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304 942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 z toho výdavky na ŠR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 Bežné výdavky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(600)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   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Mzdy, platy, služobné príjmy a ostatné osobné vyrovnania (610)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  Kapitálové výdavky (700)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  Výdavky z transakcií s finančnými aktívami a finančnými pasívami (800)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261" w:type="pct"/>
          <w:tblCellMar>
            <w:left w:w="0" w:type="dxa"/>
            <w:right w:w="0" w:type="dxa"/>
          </w:tblCellMar>
        </w:tblPrEx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2 –  výdavky rozpísať až do položiek platnej ekonomickej klasifikácie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>              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Tabuľka č. 6 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038"/>
        <w:gridCol w:w="1034"/>
        <w:gridCol w:w="1034"/>
        <w:gridCol w:w="1034"/>
        <w:gridCol w:w="1034"/>
        <w:gridCol w:w="1326"/>
      </w:tblGrid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1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Zamestnanosť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Vplyv na rozpočet verejnej správy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poznámka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2014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1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Počet zamestnancov celkom*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23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23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1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z toho: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1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 9. tr.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1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 7. tr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2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 VS- 7. tr.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 1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 1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2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z toho vplyv na ŠR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304 942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Priemerný mzdový výdavok (v eurách)*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710,62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710,62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710,62 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710,62 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2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z toho vplyv na ŠR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710,62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710,62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710,62 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710,62 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Osobné výdavky celkom  (610 620)(v eurách)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 253 172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253 172 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253 172 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253 172 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1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Mzdy, platy, služobné príjmy a ostatné osobné vyrovnania (610)*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187 604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z toho vplyv na ŠR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187 604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187 604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Poistné a príspevok do poisťovní (620)*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z toho vplyv na ŠR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65 568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Poznámky: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Priemerný mzdový výdavok je tvorený podielom mzdových výdavkov na jedného zamestnanca na jeden kalendárny mesiac bežného roka 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 Kategórie 610 a 620 sú z tejto prílohy automaticky prenášané do príslušných kategórií prílohy „výdavky“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 počet zamestnancov,  mzdy a poistné rozpísať podľa spôsobu odmeňovania (napr. policajti, colníci ...)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Vplyvy na podnikateľské prostredie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tbl>
      <w:tblPr>
        <w:tblStyle w:val="TableNormal"/>
        <w:tblW w:w="9195" w:type="dxa"/>
        <w:tblCellMar>
          <w:left w:w="0" w:type="dxa"/>
          <w:right w:w="0" w:type="dxa"/>
        </w:tblCellMar>
      </w:tblPr>
      <w:tblGrid>
        <w:gridCol w:w="4155"/>
        <w:gridCol w:w="5040"/>
      </w:tblGrid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3.1. Ktoré podnikateľské subjekty budú predkladaným návrhom ovplyvnené a aký je ich počet?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 S ohľadom na prierezový charakter  problematiky posudzovania vplyvov strategických dokumentov, nie je možné kvalitatívne a kvantitatívne vyjadriť, ktoré podnikateľské subjekty budú predkladaným návrhom ovplyvnené a aký je ich počet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3.2. Aký je predpokladaný charakter a rozsah nákladov a prínosov?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 Predpokladá sa nárast nákladov na vypracovanie environmentálnej dokumentácie potrebnej pre proces posudzovania vplyvov na stretegický dokument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3.3. Aká je predpokladaná výška administratívnych nákladov, ktoré podniky vynaložia v súvislosti s implementáciou návrhu?</w:t>
            </w:r>
          </w:p>
          <w:p w:rsidR="00593F1E">
            <w:pPr>
              <w:widowControl/>
              <w:bidi w:val="0"/>
              <w:spacing w:after="0"/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 S ohľadom na prierezový charakter  problematiky posudzovania vplyvov strategických dokumentov, nie je možné presnejšie stanoviť výšku administratívnych nákladov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3.4. Aké sú dôsledky pripravovaného návrhu pre fungovanie podnikateľských subjektov na slovenskom trhu (ako sa zmenia operácie na trhu?)</w:t>
            </w:r>
          </w:p>
          <w:p w:rsidR="00593F1E">
            <w:pPr>
              <w:widowControl/>
              <w:bidi w:val="0"/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  V súvislosti s prípravou strategického dokumentu je potrebné rátať s časovým harmonogramom v dostatočnom predstihu pred plánovaným schválením strategického dokumentu, cca 100 dní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3.5. Aké sú predpokladané spoločensko – ekonomické dôsledky pripravovaných regulácií?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 Proces posudzovania vplyvov strategického dokumentu prispieva k skvalitneniu prípravy a realizovateľnosti strategického dokumentu</w:t>
            </w:r>
          </w:p>
        </w:tc>
      </w:tr>
    </w:tbl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Sociálne vplyvy -  vplyvy na hospodárenie obyvateľstva, sociálnu exklúziu, rovnosť príležitostí a rodovú rovnosť  a na zamestnanosť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TableNormal"/>
        <w:tblW w:w="9015" w:type="dxa"/>
        <w:tblCellMar>
          <w:left w:w="0" w:type="dxa"/>
          <w:right w:w="0" w:type="dxa"/>
        </w:tblCellMar>
      </w:tblPr>
      <w:tblGrid>
        <w:gridCol w:w="4875"/>
        <w:gridCol w:w="4140"/>
      </w:tblGrid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C0C0C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Sociálne vplyvy predkladaného materiálu - 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53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Identifikujte vplyv na hospodárenie   domácností a špecifikujte ovplyvnené skupiny domácností, ktoré budú pozitívne/negatívne ovplyvnené. 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Žiadny vplyv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Žiadny vplyv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Rast alebo pokles príjmov/výdavkov           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Rast alebo pokles príjmov/výdavkov                  za jednotlivé ovplyvnené  skupiny domácností</w:t>
            </w:r>
          </w:p>
          <w:p w:rsidR="00593F1E">
            <w:pPr>
              <w:widowControl/>
              <w:bidi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608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Verejnosť má zabezpečené právo prístupu k spravodlivosti v rámci procesu posudzovania vplyvov strategických dokumentov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Zhodnoťte vplyv na rovnosť príležitostí: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Zhodnoťte vplyv na rodovú rovnosť.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Žiadny vplyv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25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Zhodnoťte vplyvy na zamestnanosť.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Aké sú  vplyvy na zamestnanosť 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Ktoré skupiny zamestnancov budú ohrozené schválením predkladaného materiálu 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Návrh ráta s nárastom zamestnanosti vo verejne správe, obsahuje požiadavku na vytvorenie 23 pracovných miest.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widowControl/>
        <w:bidi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Vplyvy na informatizáciu spoločnosti</w:t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TableNormal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235"/>
        <w:gridCol w:w="3780"/>
      </w:tblGrid>
      <w:tr>
        <w:tblPrEx>
          <w:tblW w:w="90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Obsah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Rozširujú alebo inovujú  sa existujúce alebo vytvárajú sa či zavádzajú  sa nové elektronické služby?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          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Keďže pre celý proces posudzovania vplyvov na životné prostredie je už zavedený elektronický informačný systém, novelou zákona dochádza k rozšíreniu elektronických služieb v bodoch: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 (§ 7 ods. 6 – zverejnenie dôvodov neposudzovania strategického dokumentu na internetovej stránke ministerstva)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( § 10 ods. 3 – doručenie správy a návrhu strategického dokumentu v písomnej alebo elektronickej forme  aj štátnemu orgánu ochrany prírody)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(§ 16 ods. 5 – zverejnenie informácií na internetovej stránke ministerstva)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(§ 37 ods. 4 -  zverejnenie na internetovej stránke ministerstva)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Vytvárajú sa podmienky pre sémantickú interoperabilitu?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(Popíšte spôsob jej zabezpečenia.)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Ľudia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Zabezpečuje sa vzdelávanie v oblasti počítačovej gramotnosti a rozširovanie vedomostí o IKT?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Zabezpečuje sa rozvoj elektronického vzdelávania?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Zabezpečuje sa podporná a propagačná aktivita zameraná na zvyšovanie povedomia o informatizácii a IKT?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Zabezpečuje/zohľadňuje/zlepšuje sa prístup znevýhodnených osôb k službám informačnej spoločnosti?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Infraštruktúra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Rozširuje, inovuje, vytvára alebo zavádza sa nový informačný systém?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(Uveďte jeho funkciu.)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Rozširuje sa prístupnosť k internetu?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Rozširuje sa prístupnosť k elektronickým službám?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Zabezpečuje sa technická interoperabilita?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(Uveďte spôsob jej zabezpečenia.)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Zvyšuje sa bezpečnosť IT?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Rozširuje sa technická infraštruktúra?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Uveďte stručný popis zavádzanej infraštruktúry.)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Riadenie procesu informatizácie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Predpokladajú sa zmeny v riadení procesu informatizácie?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(Uveďte popis zmien.)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Financovanie procesu informatizácie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Vyžaduje si proces informatizácie  finančné investície?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Predpokladá nelegislatívny materiál potrebu úpravy legislatívneho prostredia  procesu informatizácie?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51E34"/>
    <w:rsid w:val="002704AC"/>
    <w:rsid w:val="00593F1E"/>
    <w:rsid w:val="00B51E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</Pages>
  <Words>2018</Words>
  <Characters>11504</Characters>
  <Application>Microsoft Office Word</Application>
  <DocSecurity>0</DocSecurity>
  <Lines>0</Lines>
  <Paragraphs>0</Paragraphs>
  <ScaleCrop>false</ScaleCrop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cp:lastModifiedBy>Katrlik</cp:lastModifiedBy>
  <cp:revision>2</cp:revision>
  <dcterms:created xsi:type="dcterms:W3CDTF">2011-08-12T14:50:00Z</dcterms:created>
  <dcterms:modified xsi:type="dcterms:W3CDTF">2011-08-12T14:50:00Z</dcterms:modified>
</cp:coreProperties>
</file>