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61DDB" w:rsidRPr="00113283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</w:rPr>
      </w:pPr>
      <w:r w:rsidRPr="00113283">
        <w:rPr>
          <w:rFonts w:ascii="Times New Roman" w:hAnsi="Times New Roman"/>
          <w:b/>
          <w:bCs/>
          <w:caps/>
          <w:spacing w:val="30"/>
          <w:sz w:val="24"/>
          <w:szCs w:val="24"/>
        </w:rPr>
        <w:t>Doložka zlučiteľnosti</w:t>
      </w:r>
    </w:p>
    <w:p w:rsidR="00961DDB" w:rsidRPr="00113283">
      <w:pPr>
        <w:bidi w:val="0"/>
        <w:spacing w:after="0" w:line="240" w:lineRule="auto"/>
        <w:jc w:val="center"/>
        <w:rPr>
          <w:rFonts w:ascii="Times New Roman" w:hAnsi="Times New Roman" w:cs="Verdana"/>
          <w:b/>
          <w:bCs/>
          <w:sz w:val="24"/>
          <w:szCs w:val="24"/>
        </w:rPr>
      </w:pPr>
      <w:r w:rsidRPr="00113283" w:rsidR="00113283">
        <w:rPr>
          <w:rFonts w:ascii="Times New Roman" w:hAnsi="Times New Roman"/>
          <w:b/>
          <w:bCs/>
          <w:sz w:val="24"/>
          <w:szCs w:val="24"/>
          <w:lang w:val="sk-SK"/>
        </w:rPr>
        <w:t>právneho predpisu s právom Európskej únie</w:t>
      </w:r>
      <w:r w:rsidRPr="00113283">
        <w:rPr>
          <w:rFonts w:ascii="Times New Roman" w:hAnsi="Times New Roman" w:cs="Verdana"/>
          <w:b/>
          <w:bCs/>
          <w:sz w:val="24"/>
          <w:szCs w:val="24"/>
        </w:rPr>
        <w:t> 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1.</w:t>
        <w:tab/>
        <w:t>Predkladateľ právneho predpisu:</w:t>
      </w:r>
      <w:r w:rsidRPr="00113283">
        <w:rPr>
          <w:rFonts w:ascii="Times New Roman" w:hAnsi="Times New Roman"/>
          <w:sz w:val="24"/>
          <w:szCs w:val="24"/>
        </w:rPr>
        <w:t xml:space="preserve"> vláda Slovenskej republiky </w:t>
      </w:r>
    </w:p>
    <w:p w:rsidR="00961DDB" w:rsidRPr="00113283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 xml:space="preserve"> </w:t>
      </w:r>
    </w:p>
    <w:p w:rsidR="00961DDB" w:rsidRPr="00113283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2.</w:t>
        <w:tab/>
        <w:t>Názov návrhu právneho predpisu:</w:t>
      </w:r>
      <w:r w:rsidRPr="00113283">
        <w:rPr>
          <w:rFonts w:ascii="Times New Roman" w:hAnsi="Times New Roman"/>
          <w:sz w:val="24"/>
          <w:szCs w:val="24"/>
        </w:rPr>
        <w:t xml:space="preserve"> Návrh zákona o niektorých opatreniach na úseku environmentálnej záťaže a o zmene a doplnení niektorých zákonov 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3.</w:t>
        <w:tab/>
        <w:t>Problematika návrhu právneho predpisu:</w:t>
      </w:r>
    </w:p>
    <w:p w:rsidR="00961DDB" w:rsidRPr="00113283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a)</w:t>
        <w:tab/>
      </w:r>
      <w:r w:rsidRPr="00113283">
        <w:rPr>
          <w:rFonts w:ascii="Times New Roman" w:hAnsi="Times New Roman"/>
          <w:sz w:val="24"/>
          <w:szCs w:val="24"/>
          <w:lang w:val="sk-SK"/>
        </w:rPr>
        <w:t>je upravená v práve Európskej únie</w:t>
      </w:r>
    </w:p>
    <w:p w:rsidR="00961DDB" w:rsidRPr="00113283">
      <w:pPr>
        <w:bidi w:val="0"/>
        <w:spacing w:after="0" w:line="240" w:lineRule="auto"/>
        <w:ind w:left="360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tabs>
          <w:tab w:val="left" w:pos="1068"/>
        </w:tabs>
        <w:bidi w:val="0"/>
        <w:spacing w:after="0" w:line="240" w:lineRule="auto"/>
        <w:ind w:left="879" w:hanging="171"/>
        <w:rPr>
          <w:rFonts w:ascii="Times New Roman" w:hAnsi="Times New Roman"/>
          <w:i/>
          <w:iCs/>
          <w:sz w:val="24"/>
          <w:szCs w:val="24"/>
        </w:rPr>
      </w:pPr>
      <w:r w:rsidRPr="00113283">
        <w:rPr>
          <w:rFonts w:ascii="Times New Roman" w:hAnsi="Times New Roman" w:cs="Verdana"/>
          <w:sz w:val="24"/>
          <w:szCs w:val="24"/>
        </w:rPr>
        <w:t>-</w:t>
        <w:tab/>
      </w:r>
      <w:r w:rsidRPr="00113283">
        <w:rPr>
          <w:rFonts w:ascii="Times New Roman" w:hAnsi="Times New Roman"/>
          <w:i/>
          <w:iCs/>
          <w:sz w:val="24"/>
          <w:szCs w:val="24"/>
        </w:rPr>
        <w:t>primárnom</w:t>
      </w:r>
    </w:p>
    <w:p w:rsidR="00961DDB" w:rsidRPr="00113283">
      <w:pPr>
        <w:bidi w:val="0"/>
        <w:spacing w:after="0" w:line="240" w:lineRule="auto"/>
        <w:ind w:left="851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br/>
        <w:t>V čl. 191 až 193 Zmluvy o fungovaní Európskej únie; uvedené články upravujú oblasť životného prostredia a zároveň umožňujú prijímať na národnej úrovni prísnejšie ochranné opatrenia </w:t>
      </w:r>
    </w:p>
    <w:p w:rsidR="00961DDB" w:rsidRPr="00113283">
      <w:pPr>
        <w:bidi w:val="0"/>
        <w:spacing w:after="0" w:line="240" w:lineRule="auto"/>
        <w:ind w:firstLine="360"/>
        <w:rPr>
          <w:rFonts w:ascii="Times New Roman" w:hAnsi="Times New Roman" w:cs="Verdana"/>
          <w:sz w:val="24"/>
          <w:szCs w:val="24"/>
        </w:rPr>
      </w:pPr>
    </w:p>
    <w:p w:rsidR="00961DDB" w:rsidRPr="00113283" w:rsidP="00961DDB">
      <w:pPr>
        <w:numPr>
          <w:numId w:val="1"/>
        </w:numPr>
        <w:tabs>
          <w:tab w:val="left" w:pos="1068"/>
        </w:tabs>
        <w:bidi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val="sk-SK"/>
        </w:rPr>
      </w:pPr>
      <w:r w:rsidRPr="00113283">
        <w:rPr>
          <w:rFonts w:ascii="Times New Roman" w:hAnsi="Times New Roman"/>
          <w:i/>
          <w:iCs/>
          <w:sz w:val="24"/>
          <w:szCs w:val="24"/>
          <w:lang w:val="sk-SK"/>
        </w:rPr>
        <w:t>sekundárnom (prijatom po nadobudnutím platnosti Lisabonskej zmluvy, ktorou sa mení a dopĺňa Zmluva o Európskom spoločenstve a Zmluva o Európskej únii – po 30. novembri 2009)</w:t>
      </w:r>
    </w:p>
    <w:p w:rsidR="00961DDB" w:rsidRPr="00113283">
      <w:pPr>
        <w:tabs>
          <w:tab w:val="left" w:pos="1068"/>
        </w:tabs>
        <w:bidi w:val="0"/>
        <w:spacing w:after="0" w:line="240" w:lineRule="auto"/>
        <w:ind w:left="879" w:hanging="171"/>
        <w:rPr>
          <w:rFonts w:ascii="Times New Roman" w:hAnsi="Times New Roman" w:cs="Verdana"/>
          <w:i/>
          <w:iCs/>
          <w:sz w:val="24"/>
          <w:szCs w:val="24"/>
        </w:rPr>
      </w:pPr>
    </w:p>
    <w:p w:rsidR="00961DDB" w:rsidRPr="00113283" w:rsidP="00961DDB">
      <w:pPr>
        <w:numPr>
          <w:numId w:val="2"/>
        </w:numPr>
        <w:bidi w:val="0"/>
        <w:spacing w:after="0" w:line="240" w:lineRule="auto"/>
        <w:rPr>
          <w:rFonts w:ascii="Times New Roman" w:hAnsi="Times New Roman" w:cs="Verdana"/>
          <w:i/>
          <w:sz w:val="24"/>
          <w:szCs w:val="24"/>
          <w:lang w:val="sk-SK"/>
        </w:rPr>
      </w:pPr>
      <w:r w:rsidRPr="00113283">
        <w:rPr>
          <w:rFonts w:ascii="Times New Roman" w:hAnsi="Times New Roman"/>
          <w:sz w:val="24"/>
          <w:szCs w:val="24"/>
          <w:lang w:val="sk-SK"/>
        </w:rPr>
        <w:t xml:space="preserve">legislatívne akty </w:t>
      </w:r>
    </w:p>
    <w:p w:rsidR="00961DDB" w:rsidRPr="00113283">
      <w:pPr>
        <w:bidi w:val="0"/>
        <w:spacing w:after="0" w:line="240" w:lineRule="auto"/>
        <w:ind w:firstLine="360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br/>
        <w:t>nie je upravená </w:t>
      </w:r>
    </w:p>
    <w:p w:rsidR="00961DDB" w:rsidRPr="00113283">
      <w:pPr>
        <w:bidi w:val="0"/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</w:p>
    <w:p w:rsidR="00961DDB" w:rsidRPr="00113283" w:rsidP="00961DDB">
      <w:pPr>
        <w:widowControl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nelegislatívne akty</w:t>
      </w:r>
    </w:p>
    <w:p w:rsidR="00B47BCE" w:rsidRPr="00113283" w:rsidP="00BB44C3">
      <w:pPr>
        <w:widowControl/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3283" w:rsidR="00961DDB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Normal"/>
        <w:tblW w:w="0" w:type="auto"/>
        <w:tblInd w:w="918" w:type="dxa"/>
      </w:tblPr>
      <w:tblGrid>
        <w:gridCol w:w="8658"/>
      </w:tblGrid>
      <w:tr>
        <w:tblPrEx>
          <w:tblW w:w="0" w:type="auto"/>
          <w:tblInd w:w="918" w:type="dxa"/>
        </w:tblPrEx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B47BCE" w:rsidRPr="00113283" w:rsidP="00C60A22">
            <w:pPr>
              <w:widowControl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283">
              <w:rPr>
                <w:rFonts w:ascii="Times New Roman" w:hAnsi="Times New Roman"/>
                <w:sz w:val="24"/>
                <w:szCs w:val="24"/>
              </w:rPr>
              <w:br/>
              <w:t>nie je upravená </w:t>
            </w:r>
          </w:p>
        </w:tc>
      </w:tr>
    </w:tbl>
    <w:p w:rsidR="00961DDB" w:rsidRPr="00113283" w:rsidP="00961DDB">
      <w:pPr>
        <w:widowControl/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61DDB" w:rsidRPr="00113283" w:rsidP="00961DDB">
      <w:pPr>
        <w:widowControl/>
        <w:numPr>
          <w:numId w:val="1"/>
        </w:numPr>
        <w:tabs>
          <w:tab w:val="left" w:pos="1068"/>
        </w:tabs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k-SK"/>
        </w:rPr>
      </w:pPr>
      <w:r w:rsidRPr="00113283">
        <w:rPr>
          <w:rFonts w:ascii="Times New Roman" w:hAnsi="Times New Roman"/>
          <w:i/>
          <w:sz w:val="24"/>
          <w:szCs w:val="24"/>
          <w:lang w:val="sk-SK"/>
        </w:rPr>
        <w:t>sekundárnom (prijatom pred nadobudnutím platnosti Lisabonskej zmluvy, ktorou sa mení a dopĺňa Zmluva o Európskom spoločenstve a Zmluva o Európskej únii – do 30. novembra 2009)</w:t>
      </w:r>
    </w:p>
    <w:p w:rsidR="00961DDB" w:rsidRPr="00113283" w:rsidP="00961DDB">
      <w:pPr>
        <w:widowControl/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0" w:type="auto"/>
        <w:tblInd w:w="918" w:type="dxa"/>
      </w:tblPr>
      <w:tblGrid>
        <w:gridCol w:w="8658"/>
      </w:tblGrid>
      <w:tr>
        <w:tblPrEx>
          <w:tblW w:w="0" w:type="auto"/>
          <w:tblInd w:w="918" w:type="dxa"/>
        </w:tblPrEx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B47BCE" w:rsidRPr="00113283" w:rsidP="004C3411">
            <w:pPr>
              <w:widowControl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283">
              <w:rPr>
                <w:rFonts w:ascii="Times New Roman" w:hAnsi="Times New Roman"/>
                <w:sz w:val="24"/>
                <w:szCs w:val="24"/>
              </w:rPr>
              <w:br/>
              <w:t>nie je upravená </w:t>
            </w:r>
          </w:p>
        </w:tc>
      </w:tr>
    </w:tbl>
    <w:p w:rsidR="00961DDB" w:rsidRPr="00113283">
      <w:pPr>
        <w:bidi w:val="0"/>
        <w:spacing w:after="0" w:line="240" w:lineRule="auto"/>
        <w:ind w:left="851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b)</w:t>
        <w:tab/>
      </w:r>
      <w:r w:rsidRPr="00113283">
        <w:rPr>
          <w:rFonts w:ascii="Times New Roman" w:hAnsi="Times New Roman"/>
          <w:sz w:val="24"/>
          <w:szCs w:val="24"/>
          <w:lang w:val="sk-SK"/>
        </w:rPr>
        <w:t>nie je obsiahnutá v judikatúre Súdneho dvora Európskej únie.</w:t>
      </w:r>
    </w:p>
    <w:p w:rsidR="00961DDB" w:rsidRPr="00113283">
      <w:pPr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961DDB" w:rsidRPr="0011328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DDB" w:rsidRPr="00113283" w:rsidP="00961DDB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4.</w:t>
        <w:tab/>
      </w:r>
      <w:r w:rsidRPr="00113283">
        <w:rPr>
          <w:rFonts w:ascii="Times New Roman" w:hAnsi="Times New Roman"/>
          <w:b/>
          <w:bCs/>
          <w:sz w:val="24"/>
          <w:szCs w:val="24"/>
          <w:lang w:val="sk-SK"/>
        </w:rPr>
        <w:t xml:space="preserve">Záväzky Slovenskej republiky vo vzťahu k Európskej únii: 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a)</w:t>
        <w:tab/>
      </w:r>
      <w:r w:rsidRPr="00113283">
        <w:rPr>
          <w:rFonts w:ascii="Times New Roman" w:hAnsi="Times New Roman"/>
          <w:sz w:val="24"/>
          <w:szCs w:val="24"/>
          <w:lang w:val="sk-SK"/>
        </w:rPr>
        <w:t>lehota na prebratie smernice alebo lehota na implementáciu nariadenia alebo rozhodnutia</w:t>
      </w:r>
    </w:p>
    <w:p w:rsidR="00961DDB" w:rsidRPr="00113283">
      <w:pPr>
        <w:bidi w:val="0"/>
        <w:spacing w:after="0" w:line="240" w:lineRule="auto"/>
        <w:ind w:left="720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 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b)</w:t>
        <w:tab/>
      </w:r>
      <w:r w:rsidRPr="00113283">
        <w:rPr>
          <w:rFonts w:ascii="Times New Roman" w:hAnsi="Times New Roman"/>
          <w:sz w:val="24"/>
          <w:szCs w:val="24"/>
          <w:lang w:val="sk-SK"/>
        </w:rPr>
        <w:t>informácia o konaní začatom proti Slovenskej republike o porušení Zmluvy o fungovaní Európskej únie podľa čl. 258 až 260 tejto zmluvy</w:t>
      </w:r>
    </w:p>
    <w:p w:rsidR="00961DDB" w:rsidRPr="00113283">
      <w:pPr>
        <w:bidi w:val="0"/>
        <w:spacing w:after="0" w:line="240" w:lineRule="auto"/>
        <w:ind w:left="720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 </w:t>
      </w:r>
    </w:p>
    <w:p w:rsidR="00961DDB" w:rsidRPr="00113283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c)</w:t>
        <w:tab/>
      </w:r>
      <w:r w:rsidRPr="00113283">
        <w:rPr>
          <w:rFonts w:ascii="Times New Roman" w:hAnsi="Times New Roman"/>
          <w:sz w:val="24"/>
          <w:szCs w:val="24"/>
          <w:lang w:val="sk-SK"/>
        </w:rPr>
        <w:t>informácia o právnych predpisoch, v ktorých sú preberané smernice už prebraté spolu s uvedením rozsahu tohto prebratia</w:t>
      </w:r>
    </w:p>
    <w:p w:rsidR="00961DDB" w:rsidRPr="00113283">
      <w:pPr>
        <w:bidi w:val="0"/>
        <w:spacing w:after="0" w:line="240" w:lineRule="auto"/>
        <w:ind w:left="720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 </w:t>
      </w:r>
    </w:p>
    <w:p w:rsidR="00961DDB" w:rsidRPr="00113283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961DDB" w:rsidRPr="00113283" w:rsidP="00961DDB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5.</w:t>
        <w:tab/>
      </w:r>
      <w:r w:rsidRPr="00113283">
        <w:rPr>
          <w:rFonts w:ascii="Times New Roman" w:hAnsi="Times New Roman"/>
          <w:b/>
          <w:bCs/>
          <w:sz w:val="24"/>
          <w:szCs w:val="24"/>
          <w:lang w:val="sk-SK"/>
        </w:rPr>
        <w:t>Stupeň zlučiteľnosti návrhu právneho predpisu s právom Európskej únie: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Stupeň zlučiteľnosti - úplný 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6.</w:t>
        <w:tab/>
        <w:t xml:space="preserve">Gestor a spolupracujúce rezorty: </w:t>
      </w:r>
    </w:p>
    <w:p w:rsidR="00961DDB" w:rsidRPr="00113283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 </w:t>
      </w:r>
    </w:p>
    <w:p w:rsidR="00961DDB" w:rsidRPr="00113283">
      <w:pPr>
        <w:tabs>
          <w:tab w:val="left" w:pos="360"/>
        </w:tabs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DDB" w:rsidRPr="00113283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 w:cs="Verdana"/>
          <w:sz w:val="24"/>
          <w:szCs w:val="24"/>
        </w:rPr>
      </w:pP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1">
    <w:nsid w:val="56AF4A0C"/>
    <w:multiLevelType w:val="hybridMultilevel"/>
    <w:tmpl w:val="3486871A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2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08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F62C8"/>
    <w:rsid w:val="000F62C8"/>
    <w:rsid w:val="00113283"/>
    <w:rsid w:val="004C3411"/>
    <w:rsid w:val="00961DDB"/>
    <w:rsid w:val="00B47BCE"/>
    <w:rsid w:val="00BB44C3"/>
    <w:rsid w:val="00C60A2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uiPriority w:val="99"/>
    <w:semiHidden/>
    <w:pPr>
      <w:widowControl/>
      <w:adjustRightInd/>
      <w:spacing w:after="0" w:line="240" w:lineRule="auto"/>
      <w:jc w:val="left"/>
    </w:pPr>
    <w:rPr>
      <w:rFonts w:ascii="Tahoma" w:hAnsi="Tahoma" w:cs="Tahoma"/>
      <w:sz w:val="16"/>
      <w:szCs w:val="16"/>
      <w:lang w:val="sk-SK" w:eastAsia="sk-SK"/>
    </w:rPr>
  </w:style>
  <w:style w:type="table" w:styleId="TableGrid">
    <w:name w:val="Table Grid"/>
    <w:basedOn w:val="TableNormal"/>
    <w:uiPriority w:val="99"/>
    <w:rsid w:val="00B47BCE"/>
    <w:pPr>
      <w:widowControl w:val="0"/>
      <w:autoSpaceDE w:val="0"/>
      <w:autoSpaceDN w:val="0"/>
      <w:adjustRightInd w:val="0"/>
    </w:pPr>
    <w:rPr>
      <w:noProof w:val="0"/>
      <w:sz w:val="24"/>
      <w:szCs w:val="24"/>
      <w:lang w:val="sk-SK" w:eastAsia="sk-SK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246</Words>
  <Characters>1407</Characters>
  <Application>Microsoft Office Word</Application>
  <DocSecurity>0</DocSecurity>
  <Lines>0</Lines>
  <Paragraphs>0</Paragraphs>
  <ScaleCrop>false</ScaleCrop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cp:lastModifiedBy>Katrlik</cp:lastModifiedBy>
  <cp:revision>2</cp:revision>
  <cp:lastPrinted>2011-08-18T09:56:00Z</cp:lastPrinted>
  <dcterms:created xsi:type="dcterms:W3CDTF">2011-08-18T09:56:00Z</dcterms:created>
  <dcterms:modified xsi:type="dcterms:W3CDTF">2011-08-18T09:56:00Z</dcterms:modified>
</cp:coreProperties>
</file>