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402D" w:rsidRPr="00A64D2D" w:rsidP="0054402D">
      <w:pPr>
        <w:widowControl/>
        <w:bidi w:val="0"/>
        <w:jc w:val="center"/>
        <w:rPr>
          <w:rFonts w:ascii="Times New Roman" w:hAnsi="Times New Roman"/>
          <w:b/>
          <w:bCs/>
          <w:caps/>
          <w:color w:val="000000"/>
          <w:spacing w:val="30"/>
        </w:rPr>
      </w:pPr>
      <w:r w:rsidRPr="00A64D2D">
        <w:rPr>
          <w:rFonts w:ascii="Times New Roman" w:hAnsi="Times New Roman"/>
          <w:b/>
          <w:bCs/>
          <w:caps/>
          <w:color w:val="000000"/>
          <w:spacing w:val="30"/>
        </w:rPr>
        <w:t>Dôvodová správa</w:t>
      </w:r>
    </w:p>
    <w:p w:rsidR="0054402D" w:rsidRPr="00A64D2D" w:rsidP="0054402D">
      <w:pPr>
        <w:widowControl/>
        <w:bidi w:val="0"/>
        <w:jc w:val="both"/>
        <w:rPr>
          <w:rFonts w:ascii="Times New Roman" w:hAnsi="Times New Roman"/>
          <w:color w:val="000000"/>
        </w:rPr>
      </w:pPr>
    </w:p>
    <w:p w:rsidR="0054402D" w:rsidRPr="00A64D2D" w:rsidP="0054402D">
      <w:pPr>
        <w:widowControl/>
        <w:bidi w:val="0"/>
        <w:jc w:val="both"/>
        <w:rPr>
          <w:rFonts w:ascii="Times New Roman" w:hAnsi="Times New Roman"/>
          <w:color w:val="000000"/>
        </w:rPr>
      </w:pPr>
    </w:p>
    <w:p w:rsidR="0054402D" w:rsidRPr="00A64D2D" w:rsidP="0054402D">
      <w:pPr>
        <w:widowControl/>
        <w:bidi w:val="0"/>
        <w:jc w:val="both"/>
        <w:rPr>
          <w:rFonts w:ascii="Times New Roman" w:hAnsi="Times New Roman"/>
          <w:b/>
          <w:bCs/>
          <w:color w:val="000000"/>
        </w:rPr>
      </w:pPr>
      <w:r w:rsidRPr="00A64D2D">
        <w:rPr>
          <w:rFonts w:ascii="Times New Roman" w:hAnsi="Times New Roman"/>
          <w:b/>
          <w:bCs/>
          <w:color w:val="000000"/>
        </w:rPr>
        <w:t>A. Všeobecná časť</w:t>
      </w:r>
    </w:p>
    <w:p w:rsidR="0054402D" w:rsidRPr="00A64D2D" w:rsidP="0054402D">
      <w:pPr>
        <w:widowControl/>
        <w:bidi w:val="0"/>
        <w:jc w:val="both"/>
        <w:rPr>
          <w:rFonts w:ascii="Times New Roman" w:hAnsi="Times New Roman"/>
          <w:color w:val="000000"/>
        </w:rPr>
      </w:pPr>
    </w:p>
    <w:p w:rsidR="0054402D" w:rsidRPr="00A64D2D" w:rsidP="0054402D">
      <w:pPr>
        <w:widowControl/>
        <w:bidi w:val="0"/>
        <w:ind w:firstLine="720"/>
        <w:jc w:val="both"/>
        <w:rPr>
          <w:rFonts w:ascii="Times New Roman" w:hAnsi="Times New Roman"/>
          <w:color w:val="000000"/>
        </w:rPr>
      </w:pPr>
      <w:r>
        <w:rPr>
          <w:rStyle w:val="PlaceholderText"/>
          <w:color w:val="000000"/>
        </w:rPr>
        <w:t xml:space="preserve">Návrh zákona, ktorým sa mení a dopĺňa zákon o Rozhlase a televízii Slovenska a o zmene a doplnení niektorých zákonov a ktorým sa menia niektoré zákony sa predkladá na základe Plánu legislatívnych úloh vlády Slovenskej republiky na rok 2011, ktorý bol vypracovaný na základe Programového vyhlásenia vlády Slovenskej republiky na obdobie rokov 2010 – 2014, v ktorom sa vláda Slovenskej republiky zaviazala vytvoriť nový legislatívny rámec financovania, organizácie a fungovania verejnoprávnych médií s cieľom zvýšiť efektivitu ich činnosti a posilniť ich verejnoprávny charakter. </w:t>
      </w:r>
    </w:p>
    <w:p w:rsidR="0054402D" w:rsidP="0054402D">
      <w:pPr>
        <w:widowControl/>
        <w:bidi w:val="0"/>
        <w:ind w:firstLine="720"/>
        <w:jc w:val="both"/>
        <w:rPr>
          <w:rStyle w:val="PlaceholderText"/>
          <w:color w:val="000000"/>
        </w:rPr>
      </w:pPr>
      <w:r>
        <w:rPr>
          <w:rStyle w:val="PlaceholderText"/>
          <w:color w:val="000000"/>
        </w:rPr>
        <w:t> </w:t>
      </w:r>
    </w:p>
    <w:p w:rsidR="0054402D" w:rsidP="0054402D">
      <w:pPr>
        <w:widowControl/>
        <w:bidi w:val="0"/>
        <w:ind w:firstLine="720"/>
        <w:jc w:val="both"/>
        <w:rPr>
          <w:rStyle w:val="PlaceholderText"/>
          <w:color w:val="000000"/>
        </w:rPr>
      </w:pPr>
      <w:r>
        <w:rPr>
          <w:rStyle w:val="PlaceholderText"/>
          <w:color w:val="000000"/>
        </w:rPr>
        <w:t xml:space="preserve">Prvým z viacerých krokov procesu tvorby nového modelu verejnoprávneho vysielania v Slovenskej republike bolo zriadenie nového verejnoprávneho vysielateľa, ktorým je Rozhlas a televízia Slovenska. Rozhlas a televízia Slovenska bola ako verejnoprávna inštitúcia zriadená s účinnosťou od 1. januára 2011 zákonom č. 532/2010 Z. z. o Rozhlase a televízii Slovenska a o zmene a doplnení niektorých zákonov a vznikla spojením Slovenskej televízie a Slovenského rozhlasu. </w:t>
      </w:r>
    </w:p>
    <w:p w:rsidR="0054402D" w:rsidP="0054402D">
      <w:pPr>
        <w:widowControl/>
        <w:bidi w:val="0"/>
        <w:ind w:firstLine="720"/>
        <w:jc w:val="both"/>
        <w:rPr>
          <w:rStyle w:val="PlaceholderText"/>
          <w:color w:val="000000"/>
        </w:rPr>
      </w:pPr>
      <w:r>
        <w:rPr>
          <w:rStyle w:val="PlaceholderText"/>
          <w:color w:val="000000"/>
        </w:rPr>
        <w:t> </w:t>
      </w:r>
    </w:p>
    <w:p w:rsidR="0054402D" w:rsidP="0054402D">
      <w:pPr>
        <w:widowControl/>
        <w:bidi w:val="0"/>
        <w:ind w:firstLine="720"/>
        <w:jc w:val="both"/>
        <w:rPr>
          <w:rStyle w:val="PlaceholderText"/>
          <w:color w:val="000000"/>
        </w:rPr>
      </w:pPr>
      <w:r>
        <w:rPr>
          <w:rStyle w:val="PlaceholderText"/>
          <w:color w:val="000000"/>
        </w:rPr>
        <w:t>V rámci zmeny systému financovania verejnoprávneho vysielania na Slovensku je cieľom predkladaného návrhu zákona zrušenie dvoch súčasných príjmov Rozhlasu a televízie Slovenska a ich nahradenie novým príjmom, ktorým bude každoročne poskytovaný príspevok zo štátneho rozpočtu, ktorého výška  sa bude odvíjať v závislosti od výšky hrubého domáceho produktu Slovenskej republiky. Predkladaným návrhom zákona sa navrhuje zrušenie nasledujúcich príjmov Rozhlasu a televízie Slovenska:</w:t>
      </w:r>
    </w:p>
    <w:p w:rsidR="0054402D" w:rsidP="0054402D">
      <w:pPr>
        <w:widowControl/>
        <w:bidi w:val="0"/>
        <w:ind w:left="360" w:hanging="360"/>
        <w:jc w:val="both"/>
        <w:rPr>
          <w:rStyle w:val="PlaceholderText"/>
          <w:color w:val="000000"/>
        </w:rPr>
      </w:pPr>
      <w:r>
        <w:rPr>
          <w:rStyle w:val="PlaceholderText"/>
          <w:color w:val="000000"/>
        </w:rPr>
        <w:t>a)</w:t>
      </w:r>
      <w:r>
        <w:rPr>
          <w:rStyle w:val="PlaceholderText"/>
          <w:color w:val="000000"/>
          <w:sz w:val="14"/>
          <w:szCs w:val="14"/>
        </w:rPr>
        <w:t>     </w:t>
      </w:r>
      <w:r>
        <w:rPr>
          <w:rStyle w:val="PlaceholderText"/>
          <w:color w:val="000000"/>
        </w:rPr>
        <w:t>úhrada za služby verejnosti poskytované Rozhlasom a televíziou Slovenska v oblasti rozhlasového a televízneho vysielania, pričom úhradu za služby verejnosti poskytované Rozhlasom a televíziou Slovenska v oblasti rozhlasového a televízneho vysielania platia v zmysle zákona č. 68/2008 Z. z. o úhrade za služby verejnosti poskytované Slovenskou televíziou a Slovenským rozhlasom a o zmene a doplnení niektorých zákonov v znení zákona 532/2010 Z. z. fyzické osoby, ktoré sú koncovými odberateľom elektriny v odbernom mieste, z ktorého sa odoberá elektrina pre spotrebu v byte alebo v rodinnom dome a zamestnávatelia, ktorí v pracovnom pomere alebo v obdobnom pracovnom vzťahu zamestnávajú aspoň troch zamestnancov,</w:t>
      </w:r>
    </w:p>
    <w:p w:rsidR="0054402D" w:rsidP="0054402D">
      <w:pPr>
        <w:widowControl/>
        <w:bidi w:val="0"/>
        <w:ind w:left="360" w:hanging="360"/>
        <w:jc w:val="both"/>
        <w:rPr>
          <w:rStyle w:val="PlaceholderText"/>
          <w:color w:val="000000"/>
        </w:rPr>
      </w:pPr>
      <w:r>
        <w:rPr>
          <w:rStyle w:val="PlaceholderText"/>
          <w:color w:val="000000"/>
        </w:rPr>
        <w:t>b)</w:t>
      </w:r>
      <w:r>
        <w:rPr>
          <w:rStyle w:val="PlaceholderText"/>
          <w:color w:val="000000"/>
          <w:sz w:val="14"/>
          <w:szCs w:val="14"/>
        </w:rPr>
        <w:t>    </w:t>
      </w:r>
      <w:r>
        <w:rPr>
          <w:rStyle w:val="PlaceholderText"/>
          <w:color w:val="000000"/>
        </w:rPr>
        <w:t xml:space="preserve">príspevok zo štátneho rozpočtu podľa zákona o štátnom rozpočte na príslušný rozpočtový rok, ktorý sa poskytuje na základe zmluvy so štátom a je určený na uskutočňovanie programov vo verejnom záujme, na uskutočňovanie účelových investičných projektov alebo na úhradu výdavkov na zabezpečenie vysielania do zahraničia. </w:t>
      </w:r>
    </w:p>
    <w:p w:rsidR="0054402D" w:rsidP="0054402D">
      <w:pPr>
        <w:widowControl/>
        <w:bidi w:val="0"/>
        <w:jc w:val="both"/>
        <w:rPr>
          <w:rStyle w:val="PlaceholderText"/>
          <w:color w:val="000000"/>
        </w:rPr>
      </w:pPr>
      <w:r>
        <w:rPr>
          <w:rStyle w:val="PlaceholderText"/>
          <w:color w:val="000000"/>
        </w:rPr>
        <w:t> </w:t>
      </w:r>
    </w:p>
    <w:p w:rsidR="0054402D" w:rsidP="0054402D">
      <w:pPr>
        <w:widowControl/>
        <w:bidi w:val="0"/>
        <w:ind w:firstLine="708"/>
        <w:jc w:val="both"/>
        <w:rPr>
          <w:rStyle w:val="PlaceholderText"/>
          <w:color w:val="000000"/>
        </w:rPr>
      </w:pPr>
      <w:r>
        <w:rPr>
          <w:rStyle w:val="PlaceholderText"/>
          <w:color w:val="000000"/>
        </w:rPr>
        <w:t xml:space="preserve">Hlavným príjmom Rozhlasu a televízie Slovenska, ktorým sa v zmysle predkladaného návrhu zákona nahrádzajú dva vyššie uvedené príjmy, je príspevok zo štátneho rozpočtu, ktorý sa bude poskytovať každoročne podľa zákona o štátnom rozpočte na príslušný rozpočtový rok, na úhradu nákladov na zabezpečenie služby verejnosti v oblasti vysielania. Navrhuje sa, aby sa výška príspevku odvíjala od hrubého domáceho produktu Slovenskej republiky. Zároveň sa navrhuje, aby rozhodujúcim obdobím, od ktorého sa bude odvíjať výška príspevku, bol kalendárny rok, ktorý dva roky predchádza kalendárnemu roku, na ktorý sa príspevok poskytuje. Keďže suma príspevku štátu na financovanie Rozhlasu a televízie Slovenska má byť previazaná s výkonnosťou ekonomiky štátu, navrhuje sa, aby sa v prípade, že táto suma bude nižšia než 90 000 000 eur, poskytol príspevok zo štátneho rozpočtu v sume 90 000 000 eur, čím zákon garantuje minimálnu sumu, ktorú je štát povinný Rozhlasu a televízii Slovenska poskytnúť, pričom táto suma je minimálna suma potrebná na realizáciu hlavnej činnosti Rozhlasu a televízie Slovenska. </w:t>
      </w:r>
    </w:p>
    <w:p w:rsidR="0054402D" w:rsidP="0054402D">
      <w:pPr>
        <w:widowControl/>
        <w:bidi w:val="0"/>
        <w:ind w:firstLine="708"/>
        <w:jc w:val="both"/>
        <w:rPr>
          <w:rStyle w:val="PlaceholderText"/>
          <w:color w:val="000000"/>
        </w:rPr>
      </w:pPr>
    </w:p>
    <w:p w:rsidR="0054402D" w:rsidP="0054402D">
      <w:pPr>
        <w:widowControl/>
        <w:bidi w:val="0"/>
        <w:ind w:firstLine="708"/>
        <w:jc w:val="both"/>
        <w:rPr>
          <w:rStyle w:val="PlaceholderText"/>
          <w:color w:val="000000"/>
        </w:rPr>
      </w:pPr>
      <w:r>
        <w:rPr>
          <w:rStyle w:val="PlaceholderText"/>
          <w:color w:val="000000"/>
        </w:rPr>
        <w:t xml:space="preserve">Pri výpočte minimálnej výšky príspevku zo štátneho rozpočtu sa vychádzalo z údajov uvedených vo výročných správach Slovenskej televízie a Slovenského rozhlasu. V roku 2010 predstavovali úhrady za služby verejnosti poskytované Slovenskou televíziou a Slovenským rozhlasom v oblasti vysielania príjmy Slovenskej televízie vo výške približne 53 000 000 eur a príjmy Slovenského rozhlasu približne vo výške 23 000 000 eur, čo spolu predstavuje príjmy približne vo výške 76 000 000 eur. Minimálna suma, ktorú je štát povinný poskytnúť Slovenskej televízii na základe zmluvy so štátom je stanovená vo výške 10 000 000 eur a minimálna suma, ktorú je štát povinný poskytnúť Slovenskému rozhlasu je stanovená vo výške 4 000 000 eur. Všetky tieto príjmy spolu predstavujú približne sumu vo výške 90 000 000 eur, čo je minimálna suma, ktorú bude poskytovať štát Rozhlasu a televízii Slovenska na jej činnosť.  </w:t>
      </w:r>
    </w:p>
    <w:p w:rsidR="0054402D" w:rsidP="0054402D">
      <w:pPr>
        <w:widowControl/>
        <w:bidi w:val="0"/>
        <w:jc w:val="both"/>
        <w:rPr>
          <w:rStyle w:val="PlaceholderText"/>
          <w:color w:val="000000"/>
        </w:rPr>
      </w:pPr>
      <w:r>
        <w:rPr>
          <w:rStyle w:val="PlaceholderText"/>
          <w:color w:val="000000"/>
        </w:rPr>
        <w:t> </w:t>
      </w:r>
    </w:p>
    <w:p w:rsidR="0054402D" w:rsidP="0054402D">
      <w:pPr>
        <w:widowControl/>
        <w:bidi w:val="0"/>
        <w:ind w:firstLine="720"/>
        <w:jc w:val="both"/>
        <w:rPr>
          <w:rStyle w:val="PlaceholderText"/>
          <w:color w:val="000000"/>
        </w:rPr>
      </w:pPr>
      <w:r>
        <w:rPr>
          <w:rStyle w:val="PlaceholderText"/>
          <w:color w:val="000000"/>
        </w:rPr>
        <w:t xml:space="preserve">V súlade s Oznámením Komisie o uplatňovaní pravidiel štátnej pomoci na verejnoprávne vysielanie (2009/C 257/01) upravuje návrh zákona aj spôsob použitia príspevku zo štátneho rozpočtu. Príspevok zo štátneho rozpočtu bude Rozhlas a televízia Slovenska oprávnená použiť len na úhradu nákladov na zabezpečenie služby verejnosti v oblasti vysielania. Návrh zákona zároveň v súlade vyššie uvedeným oznámením stanovuje spôsob a podmienky použitia nevyčerpanej časti príspevku zo štátneho rozpočtu. </w:t>
      </w:r>
    </w:p>
    <w:p w:rsidR="0054402D" w:rsidP="0054402D">
      <w:pPr>
        <w:widowControl/>
        <w:bidi w:val="0"/>
        <w:jc w:val="both"/>
        <w:rPr>
          <w:rStyle w:val="PlaceholderText"/>
          <w:color w:val="000000"/>
        </w:rPr>
      </w:pPr>
      <w:r>
        <w:rPr>
          <w:rStyle w:val="PlaceholderText"/>
          <w:color w:val="000000"/>
        </w:rPr>
        <w:t> </w:t>
      </w:r>
    </w:p>
    <w:p w:rsidR="0054402D" w:rsidP="0054402D">
      <w:pPr>
        <w:widowControl/>
        <w:bidi w:val="0"/>
        <w:ind w:firstLine="720"/>
        <w:jc w:val="both"/>
        <w:rPr>
          <w:rStyle w:val="PlaceholderText"/>
          <w:color w:val="000000"/>
        </w:rPr>
      </w:pPr>
      <w:r>
        <w:rPr>
          <w:rStyle w:val="PlaceholderText"/>
          <w:color w:val="000000"/>
        </w:rPr>
        <w:t xml:space="preserve">Vzhľadom na to, že návrhom zákona sa zrušuje zákon č. 68/2008 Z. z. o úhrade za služby verejnosti poskytované Slovenskou televíziou a Slovenským rozhlasom a o zmene a doplnení niektorých zákonov v znení zákona č. 532/2010 Z. z., obsahuje návrh zákona taktiež príslušné prechodné ustanovenia, ktoré stanovujú, že Rozhlas a televízia Slovenska bude od 1. januára 2013 vykonávať výber a vymáhanie úhrad a iných pohľadávok, ktoré neboli zaplatené do 31. decembra 2012, pričom sa na výber, vymáhanie úhrad a na vymáhanie iných pohľadávok bude vzťahovať zákon č. 68/2008 Z. z. o úhrade za služby verejnosti poskytované Slovenskou televíziou a Slovenským rozhlasom a o zmene a doplnení niektorých zákonov v znení účinnom k 31. decembru 2012. </w:t>
      </w:r>
    </w:p>
    <w:p w:rsidR="0054402D" w:rsidP="0054402D">
      <w:pPr>
        <w:widowControl/>
        <w:bidi w:val="0"/>
        <w:jc w:val="both"/>
        <w:rPr>
          <w:rStyle w:val="PlaceholderText"/>
          <w:color w:val="000000"/>
        </w:rPr>
      </w:pPr>
      <w:r>
        <w:rPr>
          <w:rStyle w:val="PlaceholderText"/>
          <w:color w:val="000000"/>
        </w:rPr>
        <w:t> </w:t>
      </w:r>
    </w:p>
    <w:p w:rsidR="0054402D" w:rsidP="0054402D">
      <w:pPr>
        <w:widowControl/>
        <w:bidi w:val="0"/>
        <w:ind w:firstLine="720"/>
        <w:jc w:val="both"/>
        <w:rPr>
          <w:rStyle w:val="PlaceholderText"/>
          <w:color w:val="000000"/>
        </w:rPr>
      </w:pPr>
      <w:r>
        <w:rPr>
          <w:rStyle w:val="PlaceholderText"/>
          <w:color w:val="000000"/>
        </w:rPr>
        <w:t>Prijatie navrhovaného zákona bude mať negatívny dopad na rozpočet verejnej správy, tak ako je vyčíslený v doložke vybraných vplyvov, bude mať pozitívne sociálne vplyvy a pozitívne vplyvy na podnikateľské prostredie a nebude mať vplyv na životné prostredie, ani na informatizáciu spoločnosti.</w:t>
      </w:r>
    </w:p>
    <w:p w:rsidR="0054402D" w:rsidP="0054402D">
      <w:pPr>
        <w:widowControl/>
        <w:bidi w:val="0"/>
        <w:jc w:val="both"/>
        <w:rPr>
          <w:rStyle w:val="PlaceholderText"/>
          <w:color w:val="000000"/>
        </w:rPr>
      </w:pPr>
      <w:r>
        <w:rPr>
          <w:rStyle w:val="PlaceholderText"/>
          <w:color w:val="000000"/>
        </w:rPr>
        <w:t> </w:t>
      </w:r>
    </w:p>
    <w:p w:rsidR="0054402D" w:rsidP="0054402D">
      <w:pPr>
        <w:widowControl/>
        <w:bidi w:val="0"/>
        <w:ind w:firstLine="720"/>
        <w:jc w:val="both"/>
        <w:rPr>
          <w:rStyle w:val="PlaceholderText"/>
          <w:color w:val="000000"/>
        </w:rPr>
      </w:pPr>
      <w:r>
        <w:rPr>
          <w:rStyle w:val="PlaceholderText"/>
          <w:color w:val="000000"/>
        </w:rPr>
        <w:t>Návrh zákona je v súlade s Ústavou Slovenskej republiky, ústavnými zákonmi a ostatnými všeobecne záväznými právnymi predpismi, medzinárodnými zmluvami a inými medzinárodnými dokumentmi, ktorými je Slovenská republika viazaná a s právom Európskej únie.</w:t>
      </w:r>
    </w:p>
    <w:p w:rsidR="0054402D" w:rsidP="0054402D">
      <w:pPr>
        <w:widowControl/>
        <w:bidi w:val="0"/>
        <w:jc w:val="both"/>
        <w:rPr>
          <w:rStyle w:val="PlaceholderText"/>
          <w:color w:val="000000"/>
        </w:rPr>
      </w:pPr>
      <w:r>
        <w:rPr>
          <w:rStyle w:val="PlaceholderText"/>
          <w:color w:val="000000"/>
        </w:rPr>
        <w:t> </w:t>
      </w:r>
    </w:p>
    <w:p w:rsidR="0052011B" w:rsidP="0052011B">
      <w:pPr>
        <w:widowControl/>
        <w:bidi w:val="0"/>
        <w:jc w:val="both"/>
        <w:rPr>
          <w:rStyle w:val="Textzstupnhosymbolu"/>
          <w:color w:val="000000"/>
        </w:rPr>
      </w:pPr>
      <w:r>
        <w:rPr>
          <w:rStyle w:val="Textzstupnhosymbolu"/>
          <w:color w:val="000000"/>
        </w:rPr>
        <w:t> </w:t>
      </w:r>
    </w:p>
    <w:p w:rsidR="0052011B" w:rsidP="0052011B">
      <w:pPr>
        <w:widowControl/>
        <w:bidi w:val="0"/>
        <w:jc w:val="both"/>
        <w:rPr>
          <w:rStyle w:val="Textzstupnhosymbolu"/>
          <w:color w:val="000000"/>
        </w:rPr>
      </w:pPr>
      <w:r>
        <w:rPr>
          <w:rStyle w:val="Textzstupnhosymbolu"/>
          <w:color w:val="000000"/>
        </w:rPr>
        <w:t> </w:t>
      </w:r>
    </w:p>
    <w:p w:rsidR="0052011B" w:rsidP="00231EA7">
      <w:pPr>
        <w:widowControl/>
        <w:bidi w:val="0"/>
        <w:rPr>
          <w:rStyle w:val="Textzstupnhosymbolu"/>
          <w:color w:val="000000"/>
        </w:rPr>
      </w:pPr>
      <w:r>
        <w:rPr>
          <w:rStyle w:val="Textzstupnhosymbolu"/>
          <w:color w:val="000000"/>
        </w:rPr>
        <w:t> </w:t>
      </w:r>
    </w:p>
    <w:p w:rsidR="0052011B" w:rsidRPr="00E21B8F" w:rsidP="0052011B">
      <w:pPr>
        <w:bidi w:val="0"/>
        <w:jc w:val="center"/>
        <w:rPr>
          <w:rFonts w:ascii="Times New Roman" w:hAnsi="Times New Roman"/>
        </w:rPr>
      </w:pPr>
      <w:r w:rsidRPr="00E21B8F">
        <w:rPr>
          <w:rFonts w:ascii="Times New Roman" w:hAnsi="Times New Roman"/>
          <w:b/>
          <w:bCs/>
          <w:caps/>
          <w:color w:val="000000"/>
          <w:spacing w:val="30"/>
        </w:rPr>
        <w:t>Doložka</w:t>
      </w:r>
    </w:p>
    <w:p w:rsidR="0052011B" w:rsidRPr="00E21B8F" w:rsidP="0052011B">
      <w:pPr>
        <w:bidi w:val="0"/>
        <w:jc w:val="center"/>
        <w:rPr>
          <w:rFonts w:ascii="Times New Roman" w:hAnsi="Times New Roman"/>
        </w:rPr>
      </w:pPr>
      <w:r w:rsidRPr="00E21B8F">
        <w:rPr>
          <w:rFonts w:ascii="Times New Roman" w:hAnsi="Times New Roman"/>
          <w:b/>
          <w:bCs/>
          <w:color w:val="000000"/>
        </w:rPr>
        <w:t>vybraných vplyvov</w:t>
      </w:r>
    </w:p>
    <w:p w:rsidR="0052011B" w:rsidRPr="00E21B8F" w:rsidP="0052011B">
      <w:pPr>
        <w:bidi w:val="0"/>
        <w:rPr>
          <w:rFonts w:ascii="Times New Roman" w:hAnsi="Times New Roman"/>
        </w:rPr>
      </w:pPr>
      <w:r w:rsidRPr="00E21B8F">
        <w:rPr>
          <w:rFonts w:ascii="Times New Roman" w:hAnsi="Times New Roman"/>
          <w:color w:val="000000"/>
        </w:rPr>
        <w:t> </w:t>
      </w:r>
    </w:p>
    <w:p w:rsidR="0052011B" w:rsidRPr="00E21B8F" w:rsidP="0052011B">
      <w:pPr>
        <w:bidi w:val="0"/>
        <w:rPr>
          <w:rFonts w:ascii="Times New Roman" w:hAnsi="Times New Roman"/>
        </w:rPr>
      </w:pPr>
      <w:r w:rsidRPr="00E21B8F">
        <w:rPr>
          <w:rFonts w:ascii="Times New Roman" w:hAnsi="Times New Roman"/>
          <w:color w:val="000000"/>
        </w:rPr>
        <w:t> </w:t>
      </w:r>
    </w:p>
    <w:p w:rsidR="0052011B" w:rsidRPr="00BB01CE" w:rsidP="0052011B">
      <w:pPr>
        <w:bidi w:val="0"/>
        <w:jc w:val="both"/>
        <w:rPr>
          <w:rFonts w:ascii="Times New Roman" w:hAnsi="Times New Roman"/>
        </w:rPr>
      </w:pPr>
      <w:r w:rsidRPr="00E21B8F">
        <w:rPr>
          <w:rFonts w:ascii="Times New Roman" w:hAnsi="Times New Roman"/>
          <w:b/>
          <w:bCs/>
          <w:color w:val="000000"/>
        </w:rPr>
        <w:t xml:space="preserve">A.1. Názov materiálu: </w:t>
      </w:r>
      <w:r>
        <w:rPr>
          <w:rFonts w:ascii="Times New Roman" w:hAnsi="Times New Roman"/>
          <w:noProof/>
        </w:rPr>
        <w:t>Návrh zákona</w:t>
      </w:r>
      <w:r w:rsidR="00BC7755">
        <w:rPr>
          <w:rFonts w:ascii="Times New Roman" w:hAnsi="Times New Roman"/>
          <w:noProof/>
        </w:rPr>
        <w:t>,</w:t>
      </w:r>
      <w:r>
        <w:rPr>
          <w:rFonts w:ascii="Times New Roman" w:hAnsi="Times New Roman"/>
          <w:noProof/>
        </w:rPr>
        <w:t xml:space="preserve"> </w:t>
      </w:r>
      <w:r w:rsidRPr="00F74F18">
        <w:rPr>
          <w:rFonts w:ascii="Times New Roman" w:hAnsi="Times New Roman"/>
        </w:rPr>
        <w:t>ktorým sa mení a dopĺňa zákon č. 532/2010 Z. z. o Rozhlase a televízii Slovenska a o zmene a doplnení niektorých zákonov</w:t>
      </w:r>
      <w:r w:rsidRPr="00323F08">
        <w:rPr>
          <w:rFonts w:ascii="Times New Roman" w:hAnsi="Times New Roman"/>
        </w:rPr>
        <w:t xml:space="preserve"> </w:t>
      </w:r>
      <w:r>
        <w:rPr>
          <w:rFonts w:ascii="Times New Roman" w:hAnsi="Times New Roman"/>
        </w:rPr>
        <w:t>a ktorým sa menia niektoré zákony</w:t>
      </w:r>
    </w:p>
    <w:p w:rsidR="0052011B" w:rsidRPr="00E21B8F" w:rsidP="0052011B">
      <w:pPr>
        <w:bidi w:val="0"/>
        <w:jc w:val="both"/>
        <w:rPr>
          <w:rFonts w:ascii="Times New Roman" w:hAnsi="Times New Roman"/>
        </w:rPr>
      </w:pPr>
      <w:r w:rsidRPr="00E21B8F">
        <w:rPr>
          <w:rFonts w:ascii="Times New Roman" w:hAnsi="Times New Roman"/>
          <w:b/>
          <w:bCs/>
          <w:color w:val="000000"/>
        </w:rPr>
        <w:t xml:space="preserve">     </w:t>
      </w:r>
    </w:p>
    <w:p w:rsidR="0052011B" w:rsidRPr="00E21B8F" w:rsidP="0052011B">
      <w:pPr>
        <w:bidi w:val="0"/>
        <w:jc w:val="both"/>
        <w:rPr>
          <w:rFonts w:ascii="Times New Roman" w:hAnsi="Times New Roman"/>
          <w:b/>
          <w:bCs/>
          <w:color w:val="000000"/>
        </w:rPr>
      </w:pPr>
      <w:r w:rsidRPr="00E21B8F">
        <w:rPr>
          <w:rFonts w:ascii="Times New Roman" w:hAnsi="Times New Roman"/>
          <w:b/>
          <w:bCs/>
          <w:color w:val="000000"/>
        </w:rPr>
        <w:t xml:space="preserve">  </w:t>
      </w:r>
      <w:r>
        <w:rPr>
          <w:rFonts w:ascii="Times New Roman" w:hAnsi="Times New Roman"/>
          <w:b/>
          <w:bCs/>
          <w:color w:val="000000"/>
        </w:rPr>
        <w:t xml:space="preserve">      Termín začatia</w:t>
      </w:r>
      <w:r w:rsidRPr="00E21B8F">
        <w:rPr>
          <w:rFonts w:ascii="Times New Roman" w:hAnsi="Times New Roman"/>
          <w:b/>
          <w:bCs/>
          <w:color w:val="000000"/>
        </w:rPr>
        <w:t xml:space="preserve"> PPK:</w:t>
      </w:r>
      <w:r>
        <w:rPr>
          <w:rFonts w:ascii="Times New Roman" w:hAnsi="Times New Roman"/>
          <w:color w:val="000000"/>
        </w:rPr>
        <w:t xml:space="preserve"> 10. máj 2011 </w:t>
      </w:r>
    </w:p>
    <w:p w:rsidR="0052011B" w:rsidRPr="0006301B" w:rsidP="0052011B">
      <w:pPr>
        <w:bidi w:val="0"/>
        <w:jc w:val="both"/>
        <w:rPr>
          <w:rFonts w:ascii="Times New Roman" w:hAnsi="Times New Roman"/>
          <w:b/>
          <w:bCs/>
          <w:color w:val="000000"/>
        </w:rPr>
      </w:pPr>
      <w:r w:rsidRPr="00E21B8F">
        <w:rPr>
          <w:rFonts w:ascii="Times New Roman" w:hAnsi="Times New Roman"/>
          <w:b/>
          <w:bCs/>
          <w:color w:val="000000"/>
        </w:rPr>
        <w:t> </w:t>
      </w:r>
    </w:p>
    <w:p w:rsidR="0052011B" w:rsidRPr="00E21B8F" w:rsidP="0052011B">
      <w:pPr>
        <w:bidi w:val="0"/>
        <w:jc w:val="both"/>
        <w:rPr>
          <w:rFonts w:ascii="Times New Roman" w:hAnsi="Times New Roman"/>
        </w:rPr>
      </w:pPr>
      <w:r w:rsidRPr="00E21B8F">
        <w:rPr>
          <w:rFonts w:ascii="Times New Roman" w:hAnsi="Times New Roman"/>
          <w:b/>
          <w:bCs/>
          <w:color w:val="000000"/>
        </w:rPr>
        <w:t>A.2. Vplyvy:</w:t>
      </w:r>
    </w:p>
    <w:tbl>
      <w:tblPr>
        <w:tblStyle w:val="TableNormal"/>
        <w:tblW w:w="5000" w:type="pct"/>
        <w:tblCellMar>
          <w:left w:w="0" w:type="dxa"/>
          <w:right w:w="0" w:type="dxa"/>
        </w:tblCellMar>
      </w:tblPr>
      <w:tblGrid>
        <w:gridCol w:w="5758"/>
        <w:gridCol w:w="1206"/>
        <w:gridCol w:w="1206"/>
        <w:gridCol w:w="120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r>
              <w:rPr>
                <w:rFonts w:ascii="Times New Roman" w:hAnsi="Times New Roman"/>
                <w:color w:val="000000"/>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r>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3. Sociálne vplyvy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 vplyvy na hospodárenie obyvateľstva,</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Pr>
                <w:rFonts w:ascii="Times New Roman" w:hAnsi="Times New Roman"/>
                <w:color w:val="000000"/>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 xml:space="preserve">– </w:t>
            </w:r>
            <w:r w:rsidRPr="00E21B8F">
              <w:rPr>
                <w:rFonts w:ascii="Times New Roman" w:hAnsi="Times New Roman"/>
                <w:noProof/>
                <w:color w:val="000000"/>
              </w:rPr>
              <w:t>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rPr>
                <w:rFonts w:ascii="Times New Roman" w:hAnsi="Times New Roman"/>
              </w:rPr>
            </w:pPr>
            <w:r w:rsidRPr="00E21B8F">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2011B" w:rsidRPr="00E21B8F" w:rsidP="00403BEF">
            <w:pPr>
              <w:bidi w:val="0"/>
              <w:spacing w:after="200" w:line="276" w:lineRule="auto"/>
              <w:jc w:val="center"/>
              <w:rPr>
                <w:rFonts w:ascii="Times New Roman" w:hAnsi="Times New Roman"/>
              </w:rPr>
            </w:pPr>
            <w:r w:rsidRPr="00E21B8F">
              <w:rPr>
                <w:rFonts w:ascii="Times New Roman" w:hAnsi="Times New Roman"/>
                <w:color w:val="000000"/>
              </w:rPr>
              <w:t> </w:t>
            </w:r>
          </w:p>
        </w:tc>
      </w:tr>
    </w:tbl>
    <w:p w:rsidR="0052011B" w:rsidRPr="00E21B8F" w:rsidP="0052011B">
      <w:pPr>
        <w:bidi w:val="0"/>
        <w:rPr>
          <w:rFonts w:ascii="Times New Roman" w:hAnsi="Times New Roman"/>
        </w:rPr>
      </w:pPr>
      <w:r w:rsidRPr="00E21B8F">
        <w:rPr>
          <w:rFonts w:ascii="Times New Roman" w:hAnsi="Times New Roman"/>
          <w:color w:val="000000"/>
        </w:rPr>
        <w:t> </w:t>
      </w:r>
    </w:p>
    <w:p w:rsidR="0052011B" w:rsidP="0052011B">
      <w:pPr>
        <w:bidi w:val="0"/>
        <w:jc w:val="both"/>
        <w:rPr>
          <w:rFonts w:ascii="Times New Roman" w:hAnsi="Times New Roman"/>
          <w:b/>
          <w:bCs/>
          <w:color w:val="000000"/>
        </w:rPr>
      </w:pPr>
    </w:p>
    <w:p w:rsidR="0052011B" w:rsidRPr="00E21B8F" w:rsidP="0052011B">
      <w:pPr>
        <w:bidi w:val="0"/>
        <w:jc w:val="both"/>
        <w:rPr>
          <w:rFonts w:ascii="Times New Roman" w:hAnsi="Times New Roman"/>
          <w:b/>
          <w:bCs/>
          <w:color w:val="000000"/>
        </w:rPr>
      </w:pPr>
      <w:r w:rsidRPr="00E21B8F">
        <w:rPr>
          <w:rFonts w:ascii="Times New Roman" w:hAnsi="Times New Roman"/>
          <w:b/>
          <w:bCs/>
          <w:color w:val="000000"/>
        </w:rPr>
        <w:t>A.3. Poznámky</w:t>
      </w:r>
    </w:p>
    <w:p w:rsidR="0052011B" w:rsidRPr="0006301B" w:rsidP="0052011B">
      <w:pPr>
        <w:bidi w:val="0"/>
        <w:jc w:val="both"/>
        <w:rPr>
          <w:rFonts w:ascii="Times New Roman" w:hAnsi="Times New Roman"/>
        </w:rPr>
      </w:pPr>
    </w:p>
    <w:p w:rsidR="0052011B" w:rsidP="0052011B">
      <w:pPr>
        <w:bidi w:val="0"/>
        <w:ind w:firstLine="708"/>
        <w:jc w:val="both"/>
        <w:rPr>
          <w:rFonts w:ascii="Times New Roman" w:hAnsi="Times New Roman"/>
        </w:rPr>
      </w:pPr>
      <w:r w:rsidRPr="0006301B">
        <w:rPr>
          <w:rFonts w:ascii="Times New Roman" w:hAnsi="Times New Roman"/>
        </w:rPr>
        <w:t xml:space="preserve">V súvislosti s prijatím návrhu zákona sa predpokladá </w:t>
      </w:r>
      <w:r>
        <w:rPr>
          <w:rFonts w:ascii="Times New Roman" w:hAnsi="Times New Roman"/>
        </w:rPr>
        <w:t>v roku 2013</w:t>
      </w:r>
      <w:r w:rsidRPr="0006301B">
        <w:rPr>
          <w:rFonts w:ascii="Times New Roman" w:hAnsi="Times New Roman"/>
        </w:rPr>
        <w:t xml:space="preserve"> negatívny vplyv na verejné financie</w:t>
      </w:r>
      <w:r>
        <w:rPr>
          <w:rFonts w:ascii="Times New Roman" w:hAnsi="Times New Roman"/>
        </w:rPr>
        <w:t xml:space="preserve">, nakoľko príspevok zo štátneho rozpočtu  poskytovaný Rozhlasu a televízii Slovenska na základe zmluvy so štátom, ako aj úhrady za služby verejnosti, ktoré sú podľa platnej právnej úpravy zdrojom príjmov Rozhlasu a televízie Slovenska, budú nahradené príspevkom zo štátneho rozpočtu poskytovaným každoročne podľa zákona o štátnom rozpočte na príslušný rozpočtový rok, na úhradu nákladov na zabezpečenie služby verejnosti v oblasti vysielania v sume rovnajúcej sa 0,142 </w:t>
      </w:r>
      <w:r w:rsidRPr="00744671">
        <w:rPr>
          <w:rFonts w:ascii="Times New Roman" w:hAnsi="Times New Roman"/>
        </w:rPr>
        <w:t xml:space="preserve">% z hrubého domáceho </w:t>
      </w:r>
      <w:r>
        <w:rPr>
          <w:rFonts w:ascii="Times New Roman" w:hAnsi="Times New Roman"/>
        </w:rPr>
        <w:t xml:space="preserve">produktu Slovenskej republiky za kalendárny </w:t>
      </w:r>
      <w:r w:rsidRPr="00744671">
        <w:rPr>
          <w:rFonts w:ascii="Times New Roman" w:hAnsi="Times New Roman"/>
        </w:rPr>
        <w:t xml:space="preserve">rok, </w:t>
      </w:r>
      <w:r>
        <w:rPr>
          <w:rFonts w:ascii="Times New Roman" w:hAnsi="Times New Roman"/>
        </w:rPr>
        <w:t>predchádzajúci kalendárnemu roku, ktorý predchádza kalendárnemu roku, na ktorý sa príspevok poskytuje, najmenej však v sume 90.000.000,- eur</w:t>
      </w:r>
      <w:r w:rsidRPr="00744671">
        <w:rPr>
          <w:rFonts w:ascii="Times New Roman" w:hAnsi="Times New Roman"/>
        </w:rPr>
        <w:t xml:space="preserve"> n</w:t>
      </w:r>
      <w:r>
        <w:rPr>
          <w:rFonts w:ascii="Times New Roman" w:hAnsi="Times New Roman"/>
        </w:rPr>
        <w:t>a každý kalendárny</w:t>
      </w:r>
      <w:r w:rsidRPr="00744671">
        <w:rPr>
          <w:rFonts w:ascii="Times New Roman" w:hAnsi="Times New Roman"/>
        </w:rPr>
        <w:t xml:space="preserve"> rok</w:t>
      </w:r>
      <w:r>
        <w:rPr>
          <w:rFonts w:ascii="Times New Roman" w:hAnsi="Times New Roman"/>
        </w:rPr>
        <w:t xml:space="preserve">. </w:t>
      </w:r>
    </w:p>
    <w:p w:rsidR="0052011B" w:rsidRPr="00AB01E2" w:rsidP="0052011B">
      <w:pPr>
        <w:bidi w:val="0"/>
        <w:ind w:firstLine="708"/>
        <w:jc w:val="both"/>
        <w:rPr>
          <w:rFonts w:ascii="Times New Roman" w:hAnsi="Times New Roman"/>
        </w:rPr>
      </w:pPr>
      <w:r>
        <w:rPr>
          <w:rFonts w:ascii="Times New Roman" w:hAnsi="Times New Roman"/>
        </w:rPr>
        <w:t xml:space="preserve">Vzhľadom na skutočnosť, že návrh rozpočtu verejnej správy na roky 2012 až 2014 predpokladá výdavky pre Rozhlas a televíziu Slovenska vo výške 14 000 000,- eur, predpokladaný dopad na štátny rozpočet (76 000 000,- eur) </w:t>
      </w:r>
      <w:r w:rsidR="005D3A18">
        <w:rPr>
          <w:rFonts w:ascii="Times New Roman" w:hAnsi="Times New Roman"/>
        </w:rPr>
        <w:t xml:space="preserve">v rokoch 2013 a 2014 </w:t>
      </w:r>
      <w:r>
        <w:rPr>
          <w:rFonts w:ascii="Times New Roman" w:hAnsi="Times New Roman"/>
        </w:rPr>
        <w:t>je v tomto materiáli vyčíslený len ako  rozdiel medzi zákonom stanovenou minimálnou výškou príspevku zo štátneho rozpočtu v sume 90 000 000,- eur a 14 000 000,- eur (už alokované finančné prostriedky v návrhu rozpočtu verejnej správy na roky 2012 až 2014). Návrh predpokladá pozitívne sociálne vplyvy a pozitívne vplyvy na podnikateľské prostredie, keďže zrušením zákona č. 68/2008 Z.</w:t>
      </w:r>
      <w:r w:rsidR="005D3A18">
        <w:rPr>
          <w:rFonts w:ascii="Times New Roman" w:hAnsi="Times New Roman"/>
        </w:rPr>
        <w:t xml:space="preserve"> </w:t>
      </w:r>
      <w:r>
        <w:rPr>
          <w:rFonts w:ascii="Times New Roman" w:hAnsi="Times New Roman"/>
        </w:rPr>
        <w:t xml:space="preserve">z. </w:t>
      </w:r>
      <w:r w:rsidRPr="00AB01E2">
        <w:rPr>
          <w:rFonts w:ascii="Times New Roman" w:hAnsi="Times New Roman"/>
        </w:rPr>
        <w:t>o úhrade za služby verejnosti poskytované Slovenskou televíziou a Slovenským rozhlasom a o zmene a doplnení niektorých zákonov</w:t>
      </w:r>
      <w:r>
        <w:rPr>
          <w:rFonts w:ascii="Times New Roman" w:hAnsi="Times New Roman"/>
        </w:rPr>
        <w:t xml:space="preserve"> v znení zákona č. 532/2010 Z.</w:t>
      </w:r>
      <w:r w:rsidR="005D3A18">
        <w:rPr>
          <w:rFonts w:ascii="Times New Roman" w:hAnsi="Times New Roman"/>
        </w:rPr>
        <w:t xml:space="preserve"> </w:t>
      </w:r>
      <w:r>
        <w:rPr>
          <w:rFonts w:ascii="Times New Roman" w:hAnsi="Times New Roman"/>
        </w:rPr>
        <w:t>z. dôjde súčasne aj k zrušeniu úhrady, ktorej mesačná výška pre fyzické osoby je 4,64,-eur a pre zamestnávateľov sa pohybuje v rozmedzí od 4,64,-eur do 464,71,-eur, v závislosti od počtu ich zamestnancov.</w:t>
      </w:r>
    </w:p>
    <w:p w:rsidR="0052011B" w:rsidP="0052011B">
      <w:pPr>
        <w:bidi w:val="0"/>
        <w:ind w:firstLine="708"/>
        <w:jc w:val="both"/>
        <w:rPr>
          <w:rFonts w:ascii="Times New Roman" w:hAnsi="Times New Roman"/>
        </w:rPr>
      </w:pPr>
    </w:p>
    <w:p w:rsidR="0052011B" w:rsidP="0052011B">
      <w:pPr>
        <w:bidi w:val="0"/>
        <w:jc w:val="both"/>
        <w:rPr>
          <w:rFonts w:ascii="Times New Roman" w:hAnsi="Times New Roman"/>
          <w:b/>
          <w:bCs/>
        </w:rPr>
      </w:pPr>
    </w:p>
    <w:p w:rsidR="0052011B" w:rsidRPr="00E21B8F" w:rsidP="0052011B">
      <w:pPr>
        <w:bidi w:val="0"/>
        <w:jc w:val="both"/>
        <w:rPr>
          <w:rFonts w:ascii="Times New Roman" w:hAnsi="Times New Roman"/>
        </w:rPr>
      </w:pPr>
      <w:r w:rsidRPr="00E21B8F">
        <w:rPr>
          <w:rFonts w:ascii="Times New Roman" w:hAnsi="Times New Roman"/>
          <w:b/>
          <w:bCs/>
        </w:rPr>
        <w:t>A.4. Alternatívne riešenia</w:t>
      </w:r>
    </w:p>
    <w:p w:rsidR="0052011B" w:rsidRPr="0006301B" w:rsidP="0052011B">
      <w:pPr>
        <w:bidi w:val="0"/>
        <w:jc w:val="both"/>
        <w:rPr>
          <w:rFonts w:ascii="Times New Roman" w:hAnsi="Times New Roman"/>
        </w:rPr>
      </w:pPr>
      <w:r w:rsidRPr="0006301B">
        <w:rPr>
          <w:rFonts w:ascii="Times New Roman" w:hAnsi="Times New Roman"/>
        </w:rPr>
        <w:t>nenavrhujú sa</w:t>
      </w:r>
    </w:p>
    <w:p w:rsidR="0052011B" w:rsidRPr="00E21B8F" w:rsidP="0052011B">
      <w:pPr>
        <w:bidi w:val="0"/>
        <w:jc w:val="both"/>
        <w:rPr>
          <w:rFonts w:ascii="Times New Roman" w:hAnsi="Times New Roman"/>
          <w:b/>
          <w:bCs/>
        </w:rPr>
      </w:pPr>
      <w:r w:rsidRPr="00E21B8F">
        <w:rPr>
          <w:rFonts w:ascii="Times New Roman" w:hAnsi="Times New Roman"/>
          <w:b/>
          <w:bCs/>
        </w:rPr>
        <w:t> </w:t>
      </w:r>
    </w:p>
    <w:p w:rsidR="0052011B" w:rsidRPr="00E21B8F" w:rsidP="0052011B">
      <w:pPr>
        <w:bidi w:val="0"/>
        <w:jc w:val="both"/>
        <w:rPr>
          <w:rFonts w:ascii="Times New Roman" w:hAnsi="Times New Roman"/>
        </w:rPr>
      </w:pPr>
    </w:p>
    <w:p w:rsidR="0052011B" w:rsidRPr="00FD13FF" w:rsidP="0052011B">
      <w:pPr>
        <w:bidi w:val="0"/>
        <w:jc w:val="both"/>
        <w:rPr>
          <w:rFonts w:ascii="Times New Roman" w:hAnsi="Times New Roman"/>
          <w:b/>
          <w:bCs/>
        </w:rPr>
      </w:pPr>
      <w:r w:rsidRPr="00FD13FF">
        <w:rPr>
          <w:rFonts w:ascii="Times New Roman" w:hAnsi="Times New Roman"/>
          <w:b/>
          <w:bCs/>
        </w:rPr>
        <w:t>A.5. Stanovisko gestorov</w:t>
      </w:r>
    </w:p>
    <w:p w:rsidR="0052011B" w:rsidP="0052011B">
      <w:pPr>
        <w:bidi w:val="0"/>
        <w:jc w:val="both"/>
        <w:rPr>
          <w:rFonts w:ascii="Times New Roman" w:hAnsi="Times New Roman"/>
        </w:rPr>
      </w:pPr>
    </w:p>
    <w:p w:rsidR="0052011B" w:rsidP="0052011B">
      <w:pPr>
        <w:bidi w:val="0"/>
        <w:jc w:val="both"/>
        <w:rPr>
          <w:rFonts w:ascii="Times New Roman" w:hAnsi="Times New Roman"/>
          <w:b/>
          <w:bCs/>
          <w:color w:val="000000"/>
        </w:rPr>
      </w:pPr>
      <w:r>
        <w:rPr>
          <w:rFonts w:ascii="Times New Roman" w:hAnsi="Times New Roman"/>
          <w:color w:val="000000"/>
        </w:rPr>
        <w:t xml:space="preserve">Ministerstvo životného prostredia Slovenskej republiky súhlasí s doložkou vybraných vplyvov v časti vplyvy na životné prostredie bez pripomienok. </w:t>
      </w:r>
    </w:p>
    <w:p w:rsidR="0052011B" w:rsidP="0052011B">
      <w:pPr>
        <w:bidi w:val="0"/>
        <w:jc w:val="both"/>
        <w:rPr>
          <w:rFonts w:ascii="Times New Roman" w:hAnsi="Times New Roman"/>
          <w:color w:val="000000"/>
        </w:rPr>
      </w:pPr>
      <w:r>
        <w:rPr>
          <w:rFonts w:ascii="Times New Roman" w:hAnsi="Times New Roman"/>
          <w:color w:val="000000"/>
        </w:rPr>
        <w:t> </w:t>
      </w:r>
    </w:p>
    <w:p w:rsidR="0052011B" w:rsidP="0052011B">
      <w:pPr>
        <w:bidi w:val="0"/>
        <w:jc w:val="both"/>
        <w:rPr>
          <w:rFonts w:ascii="Times New Roman" w:hAnsi="Times New Roman"/>
          <w:color w:val="000000"/>
        </w:rPr>
      </w:pPr>
      <w:r>
        <w:rPr>
          <w:rFonts w:ascii="Times New Roman" w:hAnsi="Times New Roman"/>
          <w:color w:val="000000"/>
        </w:rPr>
        <w:t xml:space="preserve">Ministerstvo práce, sociálnych vecí a rodiny Slovenskej republiky súhlasí s doložkou vybraných vplyvov v časti sociálne vplyvy bez pripomienok. </w:t>
      </w:r>
    </w:p>
    <w:p w:rsidR="0052011B" w:rsidP="0052011B">
      <w:pPr>
        <w:bidi w:val="0"/>
        <w:jc w:val="both"/>
        <w:rPr>
          <w:rFonts w:ascii="Times New Roman" w:hAnsi="Times New Roman"/>
          <w:color w:val="000000"/>
        </w:rPr>
      </w:pPr>
      <w:r>
        <w:rPr>
          <w:rFonts w:ascii="Times New Roman" w:hAnsi="Times New Roman"/>
          <w:color w:val="000000"/>
        </w:rPr>
        <w:t> </w:t>
      </w:r>
    </w:p>
    <w:p w:rsidR="0052011B" w:rsidP="0052011B">
      <w:pPr>
        <w:bidi w:val="0"/>
        <w:jc w:val="both"/>
        <w:rPr>
          <w:rFonts w:ascii="Times New Roman" w:hAnsi="Times New Roman"/>
          <w:color w:val="000000"/>
        </w:rPr>
      </w:pPr>
      <w:r>
        <w:rPr>
          <w:rFonts w:ascii="Times New Roman" w:hAnsi="Times New Roman"/>
          <w:color w:val="000000"/>
        </w:rPr>
        <w:t xml:space="preserve">Ministerstvo financií Slovenskej republiky súhlasí s doložkou vybraných vplyvov v časti vplyvy na informatizáciu spoločnosti. </w:t>
      </w:r>
    </w:p>
    <w:p w:rsidR="0052011B" w:rsidP="0052011B">
      <w:pPr>
        <w:bidi w:val="0"/>
        <w:jc w:val="both"/>
        <w:rPr>
          <w:rFonts w:ascii="Times New Roman" w:hAnsi="Times New Roman"/>
          <w:color w:val="000000"/>
        </w:rPr>
      </w:pPr>
      <w:r>
        <w:rPr>
          <w:rFonts w:ascii="Times New Roman" w:hAnsi="Times New Roman"/>
          <w:color w:val="000000"/>
        </w:rPr>
        <w:t> </w:t>
      </w:r>
    </w:p>
    <w:p w:rsidR="0052011B" w:rsidP="0052011B">
      <w:pPr>
        <w:bidi w:val="0"/>
        <w:jc w:val="both"/>
        <w:rPr>
          <w:rFonts w:ascii="Times New Roman" w:hAnsi="Times New Roman"/>
          <w:color w:val="000000"/>
        </w:rPr>
      </w:pPr>
      <w:r>
        <w:rPr>
          <w:rFonts w:ascii="Times New Roman" w:hAnsi="Times New Roman"/>
          <w:color w:val="000000"/>
        </w:rPr>
        <w:t xml:space="preserve">Ministerstvo hospodárstva Slovenskej republiky súhlasí s doložkou vybraných vplyvov v časti vplyvy na podnikateľské prostredie bez pripomienok. </w:t>
      </w:r>
    </w:p>
    <w:p w:rsidR="0052011B" w:rsidP="0052011B">
      <w:pPr>
        <w:bidi w:val="0"/>
        <w:jc w:val="both"/>
        <w:rPr>
          <w:rFonts w:ascii="Times New Roman" w:hAnsi="Times New Roman"/>
          <w:color w:val="000000"/>
        </w:rPr>
      </w:pPr>
      <w:r>
        <w:rPr>
          <w:rFonts w:ascii="Times New Roman" w:hAnsi="Times New Roman"/>
          <w:color w:val="000000"/>
        </w:rPr>
        <w:t> </w:t>
      </w:r>
    </w:p>
    <w:p w:rsidR="0052011B" w:rsidP="0052011B">
      <w:pPr>
        <w:bidi w:val="0"/>
        <w:jc w:val="both"/>
        <w:rPr>
          <w:rFonts w:ascii="Times New Roman" w:hAnsi="Times New Roman"/>
          <w:color w:val="000000"/>
        </w:rPr>
      </w:pPr>
      <w:r>
        <w:rPr>
          <w:rFonts w:ascii="Times New Roman" w:hAnsi="Times New Roman"/>
          <w:color w:val="000000"/>
        </w:rPr>
        <w:t xml:space="preserve">Ministerstvo financií Slovenskej republiky žiadalo dopracovať doložku vybraných vplyvov tak, aby boli uvedené vplyvy osobitne podľa jednotlivých subjektov rozpočtu verejnej správy (MK SR, RTVS). Zároveň žiadalo uviesť aj program programovej štruktúry kapitoly MK SR, ktorého sa vplyv týka.  </w:t>
      </w:r>
    </w:p>
    <w:p w:rsidR="0052011B" w:rsidP="0052011B">
      <w:pPr>
        <w:bidi w:val="0"/>
        <w:jc w:val="both"/>
        <w:rPr>
          <w:rFonts w:ascii="Times New Roman" w:hAnsi="Times New Roman"/>
        </w:rPr>
      </w:pPr>
    </w:p>
    <w:p w:rsidR="0052011B" w:rsidP="0052011B">
      <w:pPr>
        <w:bidi w:val="0"/>
        <w:jc w:val="both"/>
        <w:rPr>
          <w:rFonts w:ascii="Times New Roman" w:hAnsi="Times New Roman"/>
        </w:rPr>
      </w:pPr>
    </w:p>
    <w:p w:rsidR="0052011B" w:rsidP="0052011B">
      <w:pPr>
        <w:bidi w:val="0"/>
        <w:jc w:val="both"/>
        <w:rPr>
          <w:rFonts w:ascii="Times New Roman" w:hAnsi="Times New Roman"/>
        </w:rPr>
      </w:pPr>
    </w:p>
    <w:p w:rsidR="0052011B" w:rsidP="0052011B">
      <w:pPr>
        <w:bidi w:val="0"/>
        <w:jc w:val="both"/>
        <w:rPr>
          <w:rFonts w:ascii="Times New Roman" w:hAnsi="Times New Roman"/>
        </w:rPr>
      </w:pPr>
    </w:p>
    <w:p w:rsidR="0052011B" w:rsidP="0052011B">
      <w:pPr>
        <w:bidi w:val="0"/>
        <w:jc w:val="both"/>
        <w:rPr>
          <w:rFonts w:ascii="Times New Roman" w:hAnsi="Times New Roman"/>
        </w:rPr>
      </w:pPr>
    </w:p>
    <w:p w:rsidR="0052011B" w:rsidP="0052011B">
      <w:pPr>
        <w:bidi w:val="0"/>
        <w:jc w:val="both"/>
        <w:rPr>
          <w:rFonts w:ascii="Times New Roman" w:hAnsi="Times New Roman"/>
        </w:rPr>
      </w:pPr>
    </w:p>
    <w:p w:rsidR="0052011B" w:rsidP="0052011B">
      <w:pPr>
        <w:bidi w:val="0"/>
        <w:jc w:val="both"/>
        <w:rPr>
          <w:rFonts w:ascii="Times New Roman" w:hAnsi="Times New Roman"/>
        </w:rPr>
      </w:pPr>
    </w:p>
    <w:p w:rsidR="0052011B" w:rsidP="0052011B">
      <w:pPr>
        <w:bidi w:val="0"/>
        <w:jc w:val="both"/>
        <w:rPr>
          <w:rFonts w:ascii="Times New Roman" w:hAnsi="Times New Roman"/>
        </w:rPr>
      </w:pPr>
    </w:p>
    <w:p w:rsidR="0052011B" w:rsidP="0052011B">
      <w:pPr>
        <w:bidi w:val="0"/>
        <w:jc w:val="both"/>
        <w:rPr>
          <w:rFonts w:ascii="Times New Roman" w:hAnsi="Times New Roman"/>
        </w:rPr>
      </w:pPr>
    </w:p>
    <w:p w:rsidR="0052011B" w:rsidP="0052011B">
      <w:pPr>
        <w:bidi w:val="0"/>
        <w:jc w:val="both"/>
        <w:rPr>
          <w:rFonts w:ascii="Times New Roman" w:hAnsi="Times New Roman"/>
        </w:rPr>
      </w:pPr>
    </w:p>
    <w:p w:rsidR="00231EA7" w:rsidP="0052011B">
      <w:pPr>
        <w:bidi w:val="0"/>
        <w:jc w:val="both"/>
        <w:rPr>
          <w:rFonts w:ascii="Times New Roman" w:hAnsi="Times New Roman"/>
        </w:rPr>
      </w:pPr>
    </w:p>
    <w:p w:rsidR="00231EA7" w:rsidP="0052011B">
      <w:pPr>
        <w:bidi w:val="0"/>
        <w:jc w:val="both"/>
        <w:rPr>
          <w:rFonts w:ascii="Times New Roman" w:hAnsi="Times New Roman"/>
        </w:rPr>
      </w:pPr>
    </w:p>
    <w:p w:rsidR="00231EA7" w:rsidP="0052011B">
      <w:pPr>
        <w:bidi w:val="0"/>
        <w:jc w:val="both"/>
        <w:rPr>
          <w:rFonts w:ascii="Times New Roman" w:hAnsi="Times New Roman"/>
        </w:rPr>
      </w:pPr>
    </w:p>
    <w:p w:rsidR="0052011B" w:rsidRPr="004A6A2B" w:rsidP="0052011B">
      <w:pPr>
        <w:bidi w:val="0"/>
        <w:jc w:val="both"/>
        <w:rPr>
          <w:rFonts w:ascii="Times New Roman" w:hAnsi="Times New Roman"/>
        </w:rPr>
      </w:pPr>
    </w:p>
    <w:p w:rsidR="0052011B" w:rsidP="0052011B">
      <w:pPr>
        <w:bidi w:val="0"/>
        <w:jc w:val="center"/>
        <w:outlineLvl w:val="0"/>
        <w:rPr>
          <w:rFonts w:ascii="Times New Roman" w:hAnsi="Times New Roman"/>
        </w:rPr>
      </w:pPr>
      <w:r w:rsidRPr="004161A1">
        <w:rPr>
          <w:rFonts w:ascii="Times New Roman" w:hAnsi="Times New Roman"/>
          <w:b/>
          <w:bCs/>
          <w:sz w:val="28"/>
          <w:szCs w:val="28"/>
        </w:rPr>
        <w:t>Vplyvy na rozpočet verejnej správy,</w:t>
      </w:r>
    </w:p>
    <w:p w:rsidR="0052011B" w:rsidP="0052011B">
      <w:pPr>
        <w:bidi w:val="0"/>
        <w:jc w:val="center"/>
        <w:outlineLvl w:val="0"/>
        <w:rPr>
          <w:rFonts w:ascii="Times New Roman" w:hAnsi="Times New Roman"/>
        </w:rPr>
      </w:pPr>
      <w:r w:rsidRPr="004161A1">
        <w:rPr>
          <w:rFonts w:ascii="Times New Roman" w:hAnsi="Times New Roman"/>
          <w:b/>
          <w:bCs/>
          <w:sz w:val="28"/>
          <w:szCs w:val="28"/>
        </w:rPr>
        <w:t>na zamestnanosť vo verejnej správe a financovanie návrhu</w:t>
      </w:r>
    </w:p>
    <w:p w:rsidR="0052011B" w:rsidP="0052011B">
      <w:pPr>
        <w:bidi w:val="0"/>
        <w:rPr>
          <w:rFonts w:ascii="Times New Roman" w:hAnsi="Times New Roman"/>
        </w:rPr>
      </w:pPr>
      <w:r>
        <w:rPr>
          <w:rFonts w:ascii="Times New Roman" w:hAnsi="Times New Roman"/>
        </w:rPr>
        <w:t> </w:t>
      </w:r>
    </w:p>
    <w:p w:rsidR="0052011B" w:rsidP="0052011B">
      <w:pPr>
        <w:bidi w:val="0"/>
        <w:outlineLvl w:val="0"/>
        <w:rPr>
          <w:rFonts w:ascii="Times New Roman" w:hAnsi="Times New Roman"/>
        </w:rPr>
      </w:pPr>
      <w:r w:rsidRPr="004161A1">
        <w:rPr>
          <w:rFonts w:ascii="Times New Roman" w:hAnsi="Times New Roman"/>
          <w:b/>
          <w:bCs/>
        </w:rPr>
        <w:t>2.1. Zhrnutie vplyvov na rozpočet verejnej správy v návrhu</w:t>
      </w:r>
    </w:p>
    <w:p w:rsidR="0052011B" w:rsidP="0052011B">
      <w:pPr>
        <w:bidi w:val="0"/>
        <w:jc w:val="right"/>
        <w:rPr>
          <w:rFonts w:ascii="Times New Roman" w:hAnsi="Times New Roman"/>
        </w:rPr>
      </w:pPr>
      <w:r w:rsidRPr="004161A1">
        <w:rPr>
          <w:rFonts w:ascii="Times New Roman" w:hAnsi="Times New Roman"/>
          <w:sz w:val="20"/>
          <w:szCs w:val="20"/>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194" w:lineRule="atLeast"/>
              <w:jc w:val="center"/>
              <w:rPr>
                <w:rFonts w:ascii="Times New Roman" w:hAnsi="Times New Roman"/>
              </w:rPr>
            </w:pPr>
            <w:bookmarkStart w:id="0" w:name="OLE_LINK1"/>
            <w:bookmarkEnd w:id="0"/>
            <w:r w:rsidRPr="004161A1">
              <w:rPr>
                <w:rFonts w:ascii="Times New Roman" w:hAnsi="Times New Roman"/>
                <w:b/>
                <w:bCs/>
                <w:color w:val="FFFFFF"/>
              </w:rPr>
              <w:t xml:space="preserve">Vplyvy na </w:t>
            </w:r>
            <w:r w:rsidRPr="004161A1">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194"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2011B" w:rsidRPr="004161A1" w:rsidP="00403BEF">
            <w:pPr>
              <w:bidi w:val="0"/>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 xml:space="preserve"> 2011</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2012</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2014</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sidRPr="004161A1">
              <w:rPr>
                <w:rFonts w:ascii="Times New Roman" w:hAnsi="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4161A1" w:rsidP="00403BEF">
            <w:pPr>
              <w:bidi w:val="0"/>
              <w:spacing w:line="70" w:lineRule="atLeast"/>
              <w:jc w:val="both"/>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52011B" w:rsidRPr="003B0F52" w:rsidP="00403BEF">
            <w:pPr>
              <w:bidi w:val="0"/>
              <w:spacing w:line="132" w:lineRule="atLeast"/>
              <w:jc w:val="right"/>
              <w:rPr>
                <w:rFonts w:ascii="Times New Roman" w:hAnsi="Times New Roman"/>
                <w:b/>
                <w:bCs/>
              </w:rPr>
            </w:pPr>
            <w:r w:rsidRPr="003B0F52" w:rsidR="003B0F52">
              <w:rPr>
                <w:rFonts w:ascii="Times New Roman" w:hAnsi="Times New Roman"/>
                <w:b/>
              </w:rPr>
              <w:t>14 000 000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52011B" w:rsidRPr="008D057F" w:rsidP="00403BEF">
            <w:pPr>
              <w:bidi w:val="0"/>
              <w:spacing w:line="132" w:lineRule="atLeast"/>
              <w:jc w:val="right"/>
              <w:rPr>
                <w:rFonts w:ascii="Times New Roman" w:hAnsi="Times New Roman"/>
                <w:b/>
                <w:bCs/>
              </w:rPr>
            </w:pPr>
            <w:r w:rsidRPr="008D057F">
              <w:rPr>
                <w:rFonts w:ascii="Times New Roman" w:hAnsi="Times New Roman"/>
                <w:b/>
                <w:bCs/>
              </w:rPr>
              <w:t>90 000 000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52011B" w:rsidRPr="008D057F" w:rsidP="00403BEF">
            <w:pPr>
              <w:bidi w:val="0"/>
              <w:spacing w:line="132" w:lineRule="atLeast"/>
              <w:jc w:val="right"/>
              <w:rPr>
                <w:rFonts w:ascii="Times New Roman" w:hAnsi="Times New Roman"/>
                <w:b/>
                <w:bCs/>
              </w:rPr>
            </w:pPr>
            <w:r w:rsidRPr="008D057F">
              <w:rPr>
                <w:rFonts w:ascii="Times New Roman" w:hAnsi="Times New Roman"/>
                <w:b/>
                <w:bCs/>
              </w:rPr>
              <w:t>90 000 000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P="00403BEF">
            <w:pPr>
              <w:bidi w:val="0"/>
              <w:spacing w:line="132" w:lineRule="atLeast"/>
              <w:rPr>
                <w:rFonts w:ascii="Times New Roman" w:hAnsi="Times New Roman"/>
              </w:rPr>
            </w:pPr>
            <w:r>
              <w:rPr>
                <w:rFonts w:ascii="Times New Roman" w:hAnsi="Times New Roman"/>
              </w:rPr>
              <w:t>v tom: za každý subjekt verejnej správy zvlášť</w:t>
            </w:r>
          </w:p>
          <w:p w:rsidR="0052011B" w:rsidRPr="004161A1" w:rsidP="00403BEF">
            <w:pPr>
              <w:bidi w:val="0"/>
              <w:spacing w:line="132" w:lineRule="atLeast"/>
              <w:rPr>
                <w:rFonts w:ascii="Times New Roman" w:hAnsi="Times New Roman"/>
              </w:rPr>
            </w:pPr>
            <w:r>
              <w:rPr>
                <w:rFonts w:ascii="Times New Roman" w:hAnsi="Times New Roman"/>
              </w:rPr>
              <w:t>(08S0301 a 08S0302)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32"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32" w:lineRule="atLeast"/>
              <w:jc w:val="right"/>
              <w:rPr>
                <w:rFonts w:ascii="Times New Roman" w:hAnsi="Times New Roman"/>
              </w:rPr>
            </w:pPr>
            <w:r w:rsidR="003B0F52">
              <w:rPr>
                <w:rFonts w:ascii="Times New Roman" w:hAnsi="Times New Roman"/>
              </w:rPr>
              <w:t>14 000 000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32" w:lineRule="atLeast"/>
              <w:jc w:val="right"/>
              <w:rPr>
                <w:rFonts w:ascii="Times New Roman" w:hAnsi="Times New Roman"/>
              </w:rPr>
            </w:pPr>
            <w:r>
              <w:rPr>
                <w:rFonts w:ascii="Times New Roman" w:hAnsi="Times New Roman"/>
              </w:rPr>
              <w:t>90 000 000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32" w:lineRule="atLeast"/>
              <w:jc w:val="right"/>
              <w:rPr>
                <w:rFonts w:ascii="Times New Roman" w:hAnsi="Times New Roman"/>
              </w:rPr>
            </w:pPr>
            <w:r>
              <w:rPr>
                <w:rFonts w:ascii="Times New Roman" w:hAnsi="Times New Roman"/>
              </w:rPr>
              <w:t>90 000 000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sidRPr="004161A1">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Pr="004161A1">
              <w:rPr>
                <w:rFonts w:ascii="Times New Roman" w:hAnsi="Times New Roman"/>
                <w:b/>
                <w:bCs/>
                <w:i/>
                <w:iCs/>
              </w:rPr>
              <w:t>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25" w:lineRule="atLeast"/>
              <w:rPr>
                <w:rFonts w:ascii="Times New Roman" w:hAnsi="Times New Roman"/>
              </w:rPr>
            </w:pPr>
            <w:r w:rsidRPr="004161A1">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r>
              <w:rPr>
                <w:rFonts w:ascii="Times New Roman" w:hAnsi="Times New Roman"/>
                <w:b/>
                <w:bCs/>
              </w:rPr>
              <w:t xml:space="preserve"> 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4161A1" w:rsidP="00403BEF">
            <w:pPr>
              <w:bidi w:val="0"/>
              <w:spacing w:line="125" w:lineRule="atLeast"/>
              <w:rPr>
                <w:rFonts w:ascii="Times New Roman" w:hAnsi="Times New Roman"/>
              </w:rPr>
            </w:pPr>
            <w:r w:rsidRPr="004161A1">
              <w:rPr>
                <w:rFonts w:ascii="Times New Roman" w:hAnsi="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52011B" w:rsidRPr="008D057F" w:rsidP="00403BEF">
            <w:pPr>
              <w:bidi w:val="0"/>
              <w:spacing w:line="132" w:lineRule="atLeast"/>
              <w:jc w:val="right"/>
              <w:rPr>
                <w:rFonts w:ascii="Times New Roman" w:hAnsi="Times New Roman"/>
                <w:b/>
                <w:bCs/>
              </w:rPr>
            </w:pPr>
            <w:r>
              <w:rPr>
                <w:rFonts w:ascii="Times New Roman" w:hAnsi="Times New Roman"/>
                <w:b/>
                <w:bCs/>
              </w:rPr>
              <w:t>14</w:t>
            </w:r>
            <w:r w:rsidRPr="008D057F">
              <w:rPr>
                <w:rFonts w:ascii="Times New Roman" w:hAnsi="Times New Roman"/>
                <w:b/>
                <w:bCs/>
              </w:rPr>
              <w:t> 000 000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52011B" w:rsidRPr="008D057F" w:rsidP="00403BEF">
            <w:pPr>
              <w:bidi w:val="0"/>
              <w:spacing w:line="132" w:lineRule="atLeast"/>
              <w:jc w:val="right"/>
              <w:rPr>
                <w:rFonts w:ascii="Times New Roman" w:hAnsi="Times New Roman"/>
                <w:b/>
                <w:bCs/>
              </w:rPr>
            </w:pPr>
            <w:r w:rsidRPr="008D057F">
              <w:rPr>
                <w:rFonts w:ascii="Times New Roman" w:hAnsi="Times New Roman"/>
                <w:b/>
                <w:bCs/>
              </w:rPr>
              <w:t>90 000 000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52011B" w:rsidRPr="008D057F" w:rsidP="00403BEF">
            <w:pPr>
              <w:bidi w:val="0"/>
              <w:spacing w:line="132" w:lineRule="atLeast"/>
              <w:jc w:val="right"/>
              <w:rPr>
                <w:rFonts w:ascii="Times New Roman" w:hAnsi="Times New Roman"/>
                <w:b/>
                <w:bCs/>
              </w:rPr>
            </w:pPr>
            <w:r w:rsidRPr="008D057F">
              <w:rPr>
                <w:rFonts w:ascii="Times New Roman" w:hAnsi="Times New Roman"/>
                <w:b/>
                <w:bCs/>
              </w:rPr>
              <w:t>90 000 000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Pr>
                <w:rFonts w:ascii="Times New Roman" w:hAnsi="Times New Roman"/>
              </w:rPr>
              <w:t xml:space="preserve">v tom: za každý subjekt verejnej správy / program zvlášť (08S0301 a 08S0302)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00BE1551">
              <w:rPr>
                <w:rFonts w:ascii="Times New Roman" w:hAnsi="Times New Roman"/>
              </w:rPr>
              <w:t>14 000 000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0007277A">
              <w:rPr>
                <w:rFonts w:ascii="Times New Roman" w:hAnsi="Times New Roman"/>
              </w:rPr>
              <w:t>90 000 000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0007277A">
              <w:rPr>
                <w:rFonts w:ascii="Times New Roman" w:hAnsi="Times New Roman"/>
              </w:rPr>
              <w:t>90 000 000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sidRPr="004161A1">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jc w:val="right"/>
              <w:rPr>
                <w:rFonts w:ascii="Times New Roman" w:hAnsi="Times New Roman"/>
              </w:rPr>
            </w:pPr>
            <w:r w:rsidRPr="004161A1">
              <w:rPr>
                <w:rFonts w:ascii="Times New Roman" w:hAnsi="Times New Roman"/>
                <w:b/>
                <w:bCs/>
                <w:i/>
                <w:iCs/>
              </w:rPr>
              <w:t>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sidRPr="004161A1">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1721CB" w:rsidP="00403BEF">
            <w:pPr>
              <w:bidi w:val="0"/>
              <w:spacing w:line="70" w:lineRule="atLeast"/>
              <w:jc w:val="right"/>
              <w:rPr>
                <w:rFonts w:ascii="Times New Roman" w:hAnsi="Times New Roman"/>
                <w:b/>
                <w:bCs/>
              </w:rPr>
            </w:pPr>
            <w:r w:rsidRPr="001721CB">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1721CB" w:rsidP="00403BEF">
            <w:pPr>
              <w:bidi w:val="0"/>
              <w:spacing w:line="70" w:lineRule="atLeast"/>
              <w:jc w:val="right"/>
              <w:rPr>
                <w:rFonts w:ascii="Times New Roman" w:hAnsi="Times New Roman"/>
                <w:b/>
                <w:bCs/>
              </w:rPr>
            </w:pPr>
            <w:r w:rsidR="0007277A">
              <w:rPr>
                <w:rFonts w:ascii="Times New Roman" w:hAnsi="Times New Roman"/>
                <w:b/>
                <w:bCs/>
              </w:rPr>
              <w:t>90 000 000</w:t>
            </w:r>
            <w:r w:rsidRPr="001721CB">
              <w:rPr>
                <w:rFonts w:ascii="Times New Roman" w:hAnsi="Times New Roman"/>
                <w:b/>
                <w:bCs/>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1721CB" w:rsidP="00403BEF">
            <w:pPr>
              <w:bidi w:val="0"/>
              <w:spacing w:line="70" w:lineRule="atLeast"/>
              <w:jc w:val="right"/>
              <w:rPr>
                <w:rFonts w:ascii="Times New Roman" w:hAnsi="Times New Roman"/>
                <w:b/>
                <w:bCs/>
              </w:rPr>
            </w:pPr>
            <w:r w:rsidR="0007277A">
              <w:rPr>
                <w:rFonts w:ascii="Times New Roman" w:hAnsi="Times New Roman"/>
                <w:b/>
                <w:bCs/>
              </w:rPr>
              <w:t>90 000 000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125"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sidRPr="004161A1">
              <w:rPr>
                <w:rFonts w:ascii="Times New Roman" w:hAnsi="Times New Roman"/>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684698" w:rsidP="00403BEF">
            <w:pPr>
              <w:bidi w:val="0"/>
              <w:spacing w:line="70" w:lineRule="atLeast"/>
              <w:jc w:val="right"/>
              <w:rPr>
                <w:rFonts w:ascii="Times New Roman" w:hAnsi="Times New Roman"/>
                <w:b/>
                <w:bCs/>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52011B" w:rsidRPr="005D05C4" w:rsidP="00403BEF">
            <w:pPr>
              <w:pStyle w:val="NormalWeb"/>
              <w:bidi w:val="0"/>
              <w:spacing w:before="0" w:beforeAutospacing="0" w:after="0" w:afterAutospacing="0"/>
              <w:jc w:val="right"/>
              <w:rPr>
                <w:rFonts w:ascii="Times New Roman" w:hAnsi="Times New Roman"/>
                <w:b/>
                <w:bCs/>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52011B" w:rsidRPr="005D05C4" w:rsidP="00403BEF">
            <w:pPr>
              <w:pStyle w:val="NormalWeb"/>
              <w:bidi w:val="0"/>
              <w:spacing w:before="0" w:beforeAutospacing="0" w:after="0" w:afterAutospacing="0"/>
              <w:jc w:val="right"/>
              <w:rPr>
                <w:rFonts w:ascii="Times New Roman" w:hAnsi="Times New Roman"/>
                <w:b/>
                <w:bCs/>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52011B" w:rsidRPr="005D05C4" w:rsidP="00403BEF">
            <w:pPr>
              <w:pStyle w:val="NormalWeb"/>
              <w:bidi w:val="0"/>
              <w:spacing w:before="0" w:beforeAutospacing="0" w:after="0" w:afterAutospacing="0"/>
              <w:jc w:val="right"/>
              <w:rPr>
                <w:rFonts w:ascii="Times New Roman" w:hAnsi="Times New Roman"/>
                <w:b/>
                <w:bCs/>
              </w:rPr>
            </w:pPr>
            <w:r>
              <w:rPr>
                <w:rFonts w:ascii="Times New Roman" w:hAnsi="Times New Roman"/>
                <w:b/>
                <w:b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sidRPr="004161A1">
              <w:rPr>
                <w:rFonts w:ascii="Times New Roman" w:hAnsi="Times New Roman"/>
                <w:b/>
                <w:bCs/>
                <w:i/>
                <w:iCs/>
              </w:rPr>
              <w:t>- z toho vplyv na ŠR</w:t>
            </w:r>
            <w:r>
              <w:rPr>
                <w:rFonts w:ascii="Times New Roman" w:hAnsi="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right"/>
              <w:rPr>
                <w:rFonts w:ascii="Times New Roman" w:hAnsi="Times New Roman"/>
              </w:rPr>
            </w:pPr>
            <w:r>
              <w:rPr>
                <w:rFonts w:ascii="Times New Roman" w:hAnsi="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sidRPr="004161A1">
              <w:rPr>
                <w:rFonts w:ascii="Times New Roman" w:hAnsi="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1721CB" w:rsidP="00403BEF">
            <w:pPr>
              <w:bidi w:val="0"/>
              <w:spacing w:line="70" w:lineRule="atLeast"/>
              <w:jc w:val="right"/>
              <w:rPr>
                <w:rFonts w:ascii="Times New Roman" w:hAnsi="Times New Roman"/>
                <w:b/>
                <w:bCs/>
              </w:rPr>
            </w:pPr>
            <w:r w:rsidRPr="001721CB">
              <w:rPr>
                <w:rFonts w:ascii="Times New Roman" w:hAnsi="Times New Roman"/>
                <w:b/>
                <w:bCs/>
              </w:rPr>
              <w:t>14 000 000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1721CB" w:rsidP="00403BEF">
            <w:pPr>
              <w:bidi w:val="0"/>
              <w:spacing w:line="70" w:lineRule="atLeast"/>
              <w:jc w:val="right"/>
              <w:rPr>
                <w:rFonts w:ascii="Times New Roman" w:hAnsi="Times New Roman"/>
                <w:b/>
                <w:bCs/>
              </w:rPr>
            </w:pPr>
            <w:r w:rsidRPr="001721CB">
              <w:rPr>
                <w:rFonts w:ascii="Times New Roman" w:hAnsi="Times New Roman"/>
                <w:b/>
                <w:bCs/>
              </w:rPr>
              <w:t>14 000 000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011B" w:rsidRPr="001721CB" w:rsidP="00403BEF">
            <w:pPr>
              <w:bidi w:val="0"/>
              <w:spacing w:line="70" w:lineRule="atLeast"/>
              <w:jc w:val="right"/>
              <w:rPr>
                <w:rFonts w:ascii="Times New Roman" w:hAnsi="Times New Roman"/>
                <w:b/>
                <w:bCs/>
              </w:rPr>
            </w:pPr>
            <w:r w:rsidRPr="001721CB">
              <w:rPr>
                <w:rFonts w:ascii="Times New Roman" w:hAnsi="Times New Roman"/>
                <w:b/>
                <w:bCs/>
              </w:rPr>
              <w:t>14 000 000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Pr>
                <w:rFonts w:ascii="Times New Roman" w:hAnsi="Times New Roman"/>
              </w:rPr>
              <w:t>v tom: za každý subjekt verejnej správy / program zvlášť (08S0301 a 08S0302)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14 000 000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14 000 000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14 000 000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267"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267"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267"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267"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r>
    </w:tbl>
    <w:p w:rsidR="0052011B" w:rsidP="0052011B">
      <w:pPr>
        <w:bidi w:val="0"/>
        <w:rPr>
          <w:rFonts w:ascii="Times New Roman" w:hAnsi="Times New Roman"/>
        </w:rPr>
      </w:pPr>
      <w:r>
        <w:rPr>
          <w:rFonts w:ascii="Times New Roman" w:hAnsi="Times New Roman"/>
        </w:rPr>
        <w:t> </w:t>
      </w:r>
    </w:p>
    <w:p w:rsidR="0052011B" w:rsidP="0052011B">
      <w:pPr>
        <w:bidi w:val="0"/>
        <w:rPr>
          <w:rFonts w:ascii="Times New Roman" w:hAnsi="Times New Roman"/>
        </w:rPr>
      </w:pPr>
      <w:r w:rsidRPr="00B47AE9">
        <w:rPr>
          <w:rFonts w:ascii="Times New Roman" w:hAnsi="Times New Roman"/>
          <w:b/>
          <w:bCs/>
        </w:rPr>
        <w:t>Poznámka:</w:t>
      </w:r>
      <w:r>
        <w:rPr>
          <w:rFonts w:ascii="Times New Roman" w:hAnsi="Times New Roman"/>
        </w:rPr>
        <w:t xml:space="preserve"> </w:t>
      </w:r>
    </w:p>
    <w:p w:rsidR="0052011B" w:rsidP="0007277A">
      <w:pPr>
        <w:widowControl/>
        <w:numPr>
          <w:numId w:val="1"/>
        </w:numPr>
        <w:bidi w:val="0"/>
        <w:adjustRightInd/>
        <w:ind w:left="360"/>
        <w:jc w:val="both"/>
        <w:rPr>
          <w:rFonts w:ascii="Times New Roman" w:hAnsi="Times New Roman"/>
        </w:rPr>
      </w:pPr>
      <w:r>
        <w:rPr>
          <w:rFonts w:ascii="Times New Roman" w:hAnsi="Times New Roman"/>
        </w:rPr>
        <w:t xml:space="preserve">Materiál predpokladá </w:t>
      </w:r>
      <w:r w:rsidR="003B0F52">
        <w:rPr>
          <w:rFonts w:ascii="Times New Roman" w:hAnsi="Times New Roman"/>
        </w:rPr>
        <w:t xml:space="preserve">v rokoch 2013 a 2014 </w:t>
      </w:r>
      <w:r>
        <w:rPr>
          <w:rFonts w:ascii="Times New Roman" w:hAnsi="Times New Roman"/>
        </w:rPr>
        <w:t xml:space="preserve">výpadok v príjmovej časti vo výške </w:t>
      </w:r>
      <w:r w:rsidR="0007277A">
        <w:rPr>
          <w:rFonts w:ascii="Times New Roman" w:hAnsi="Times New Roman"/>
        </w:rPr>
        <w:t>76</w:t>
      </w:r>
      <w:r>
        <w:rPr>
          <w:rFonts w:ascii="Times New Roman" w:hAnsi="Times New Roman"/>
        </w:rPr>
        <w:t xml:space="preserve"> 000 000,- eur, z dôvodu zrušenia úhrad za služby verejnosti a z dôvodu zníženia percentuálneho podielu reklamy na celkovom vysielacom čase, a zrušenie zmluvy so štátom.  </w:t>
      </w:r>
    </w:p>
    <w:p w:rsidR="00BE1551" w:rsidP="0007277A">
      <w:pPr>
        <w:bidi w:val="0"/>
        <w:jc w:val="both"/>
        <w:rPr>
          <w:rFonts w:ascii="Times New Roman" w:hAnsi="Times New Roman"/>
        </w:rPr>
      </w:pPr>
      <w:r w:rsidR="0052011B">
        <w:rPr>
          <w:rFonts w:ascii="Times New Roman" w:hAnsi="Times New Roman"/>
        </w:rPr>
        <w:t xml:space="preserve">2.   Návrh rozpočtu verejnej správy na roky 2012 až 2014 predpokladá výdavky pre </w:t>
      </w:r>
      <w:r>
        <w:rPr>
          <w:rFonts w:ascii="Times New Roman" w:hAnsi="Times New Roman"/>
        </w:rPr>
        <w:t xml:space="preserve"> </w:t>
      </w:r>
    </w:p>
    <w:p w:rsidR="00BE1551" w:rsidP="0007277A">
      <w:pPr>
        <w:bidi w:val="0"/>
        <w:jc w:val="both"/>
        <w:rPr>
          <w:rFonts w:ascii="Times New Roman" w:hAnsi="Times New Roman"/>
        </w:rPr>
      </w:pPr>
      <w:r>
        <w:rPr>
          <w:rFonts w:ascii="Times New Roman" w:hAnsi="Times New Roman"/>
        </w:rPr>
        <w:t xml:space="preserve">      </w:t>
      </w:r>
      <w:r w:rsidR="0052011B">
        <w:rPr>
          <w:rFonts w:ascii="Times New Roman" w:hAnsi="Times New Roman"/>
        </w:rPr>
        <w:t xml:space="preserve">Rozhlas a televíziu Slovenska vo výške 14 000 000,- eur. Predpokladaný dopad na štátny </w:t>
      </w:r>
      <w:r>
        <w:rPr>
          <w:rFonts w:ascii="Times New Roman" w:hAnsi="Times New Roman"/>
        </w:rPr>
        <w:t xml:space="preserve">   </w:t>
      </w:r>
    </w:p>
    <w:p w:rsidR="00BE1551" w:rsidP="0007277A">
      <w:pPr>
        <w:bidi w:val="0"/>
        <w:jc w:val="both"/>
        <w:rPr>
          <w:rFonts w:ascii="Times New Roman" w:hAnsi="Times New Roman"/>
        </w:rPr>
      </w:pPr>
      <w:r>
        <w:rPr>
          <w:rFonts w:ascii="Times New Roman" w:hAnsi="Times New Roman"/>
        </w:rPr>
        <w:t xml:space="preserve">      </w:t>
      </w:r>
      <w:r w:rsidR="0052011B">
        <w:rPr>
          <w:rFonts w:ascii="Times New Roman" w:hAnsi="Times New Roman"/>
        </w:rPr>
        <w:t xml:space="preserve">rozpočet (76 000 000,- eur) </w:t>
      </w:r>
      <w:r>
        <w:rPr>
          <w:rFonts w:ascii="Times New Roman" w:hAnsi="Times New Roman"/>
        </w:rPr>
        <w:t xml:space="preserve">v rokoch 2013 a 2014 </w:t>
      </w:r>
      <w:r w:rsidR="0052011B">
        <w:rPr>
          <w:rFonts w:ascii="Times New Roman" w:hAnsi="Times New Roman"/>
        </w:rPr>
        <w:t xml:space="preserve">je preto v tomto materiáli vyčíslený len </w:t>
      </w:r>
      <w:r>
        <w:rPr>
          <w:rFonts w:ascii="Times New Roman" w:hAnsi="Times New Roman"/>
        </w:rPr>
        <w:t xml:space="preserve">   </w:t>
      </w:r>
    </w:p>
    <w:p w:rsidR="00BE1551" w:rsidP="0007277A">
      <w:pPr>
        <w:bidi w:val="0"/>
        <w:jc w:val="both"/>
        <w:rPr>
          <w:rFonts w:ascii="Times New Roman" w:hAnsi="Times New Roman"/>
        </w:rPr>
      </w:pPr>
      <w:r>
        <w:rPr>
          <w:rFonts w:ascii="Times New Roman" w:hAnsi="Times New Roman"/>
        </w:rPr>
        <w:t xml:space="preserve">      </w:t>
      </w:r>
      <w:r w:rsidR="0052011B">
        <w:rPr>
          <w:rFonts w:ascii="Times New Roman" w:hAnsi="Times New Roman"/>
        </w:rPr>
        <w:t xml:space="preserve">ako rozdiel medzi zákonom stanovenou minimálnou výškou príspevku zo štátneho rozpočtu </w:t>
      </w:r>
      <w:r>
        <w:rPr>
          <w:rFonts w:ascii="Times New Roman" w:hAnsi="Times New Roman"/>
        </w:rPr>
        <w:t xml:space="preserve"> </w:t>
      </w:r>
    </w:p>
    <w:p w:rsidR="00BE1551" w:rsidP="0007277A">
      <w:pPr>
        <w:bidi w:val="0"/>
        <w:jc w:val="both"/>
        <w:rPr>
          <w:rFonts w:ascii="Times New Roman" w:hAnsi="Times New Roman"/>
        </w:rPr>
      </w:pPr>
      <w:r>
        <w:rPr>
          <w:rFonts w:ascii="Times New Roman" w:hAnsi="Times New Roman"/>
        </w:rPr>
        <w:t xml:space="preserve">      </w:t>
      </w:r>
      <w:r w:rsidR="0052011B">
        <w:rPr>
          <w:rFonts w:ascii="Times New Roman" w:hAnsi="Times New Roman"/>
        </w:rPr>
        <w:t xml:space="preserve">v sume 90 000 000,- eur a 14 000 000,- eur </w:t>
      </w:r>
      <w:r>
        <w:rPr>
          <w:rFonts w:ascii="Times New Roman" w:hAnsi="Times New Roman"/>
        </w:rPr>
        <w:t>(</w:t>
      </w:r>
      <w:r w:rsidR="0052011B">
        <w:rPr>
          <w:rFonts w:ascii="Times New Roman" w:hAnsi="Times New Roman"/>
        </w:rPr>
        <w:t xml:space="preserve">už alokované finančné prostriedky v </w:t>
      </w:r>
      <w:r>
        <w:rPr>
          <w:rFonts w:ascii="Times New Roman" w:hAnsi="Times New Roman"/>
        </w:rPr>
        <w:t xml:space="preserve">návrhu    </w:t>
      </w:r>
    </w:p>
    <w:p w:rsidR="0052011B" w:rsidP="0007277A">
      <w:pPr>
        <w:bidi w:val="0"/>
        <w:jc w:val="both"/>
        <w:rPr>
          <w:rFonts w:ascii="Times New Roman" w:hAnsi="Times New Roman"/>
        </w:rPr>
      </w:pPr>
      <w:r w:rsidR="00BE1551">
        <w:rPr>
          <w:rFonts w:ascii="Times New Roman" w:hAnsi="Times New Roman"/>
        </w:rPr>
        <w:t xml:space="preserve">      rozpočtu verejnej správy </w:t>
      </w:r>
      <w:r>
        <w:rPr>
          <w:rFonts w:ascii="Times New Roman" w:hAnsi="Times New Roman"/>
        </w:rPr>
        <w:t xml:space="preserve">na roky 2012 až 2014). </w:t>
      </w:r>
    </w:p>
    <w:p w:rsidR="00231EA7" w:rsidP="0007277A">
      <w:pPr>
        <w:widowControl/>
        <w:numPr>
          <w:numId w:val="2"/>
        </w:numPr>
        <w:bidi w:val="0"/>
        <w:adjustRightInd/>
        <w:ind w:left="284" w:hanging="284"/>
        <w:jc w:val="both"/>
        <w:rPr>
          <w:rFonts w:ascii="Times New Roman" w:hAnsi="Times New Roman"/>
        </w:rPr>
      </w:pPr>
      <w:r w:rsidR="0052011B">
        <w:rPr>
          <w:rFonts w:ascii="Times New Roman" w:hAnsi="Times New Roman"/>
        </w:rPr>
        <w:t xml:space="preserve">Rozhlas a televízia Slovenska vznikol k 1. 1. </w:t>
      </w:r>
      <w:smartTag w:uri="urn:schemas-microsoft-com:office:smarttags" w:element="metricconverter">
        <w:smartTagPr>
          <w:attr w:name="ProductID" w:val="2011, a"/>
        </w:smartTagPr>
        <w:r w:rsidR="0052011B">
          <w:rPr>
            <w:rFonts w:ascii="Times New Roman" w:hAnsi="Times New Roman"/>
          </w:rPr>
          <w:t>2011, a</w:t>
        </w:r>
      </w:smartTag>
      <w:r w:rsidR="0052011B">
        <w:rPr>
          <w:rFonts w:ascii="Times New Roman" w:hAnsi="Times New Roman"/>
        </w:rPr>
        <w:t xml:space="preserve"> to zlúčením dvoch do vtedy </w:t>
      </w:r>
      <w:r w:rsidR="00BE1551">
        <w:rPr>
          <w:rFonts w:ascii="Times New Roman" w:hAnsi="Times New Roman"/>
        </w:rPr>
        <w:t>s</w:t>
      </w:r>
      <w:r w:rsidR="0052011B">
        <w:rPr>
          <w:rFonts w:ascii="Times New Roman" w:hAnsi="Times New Roman"/>
        </w:rPr>
        <w:t xml:space="preserve">amostatných právnických osôb (Slovenská televízia a Slovenský rozhlas), ktoré sú v rámci programovej štruktúry MK SR vedené aj naďalej v dvoch prvkoch - 08S0301 a 08S0302. </w:t>
      </w:r>
    </w:p>
    <w:p w:rsidR="00231EA7" w:rsidP="00231EA7">
      <w:pPr>
        <w:widowControl/>
        <w:bidi w:val="0"/>
        <w:adjustRightInd/>
        <w:ind w:left="360"/>
        <w:rPr>
          <w:rFonts w:ascii="Times New Roman" w:hAnsi="Times New Roman"/>
        </w:rPr>
      </w:pPr>
    </w:p>
    <w:p w:rsidR="00231EA7" w:rsidP="00231EA7">
      <w:pPr>
        <w:widowControl/>
        <w:bidi w:val="0"/>
        <w:adjustRightInd/>
        <w:ind w:left="360"/>
        <w:rPr>
          <w:rFonts w:ascii="Times New Roman" w:hAnsi="Times New Roman"/>
        </w:rPr>
      </w:pPr>
    </w:p>
    <w:p w:rsidR="00231EA7" w:rsidP="00231EA7">
      <w:pPr>
        <w:widowControl/>
        <w:bidi w:val="0"/>
        <w:adjustRightInd/>
        <w:ind w:left="360"/>
        <w:rPr>
          <w:rFonts w:ascii="Times New Roman" w:hAnsi="Times New Roman"/>
        </w:rPr>
      </w:pPr>
    </w:p>
    <w:p w:rsidR="00BE1551" w:rsidP="00231EA7">
      <w:pPr>
        <w:widowControl/>
        <w:bidi w:val="0"/>
        <w:adjustRightInd/>
        <w:ind w:left="360"/>
        <w:rPr>
          <w:rFonts w:ascii="Times New Roman" w:hAnsi="Times New Roman"/>
        </w:rPr>
      </w:pPr>
    </w:p>
    <w:p w:rsidR="00BE1551" w:rsidP="00231EA7">
      <w:pPr>
        <w:widowControl/>
        <w:bidi w:val="0"/>
        <w:adjustRightInd/>
        <w:ind w:left="360"/>
        <w:rPr>
          <w:rFonts w:ascii="Times New Roman" w:hAnsi="Times New Roman"/>
        </w:rPr>
      </w:pPr>
    </w:p>
    <w:p w:rsidR="00BE1551" w:rsidP="00231EA7">
      <w:pPr>
        <w:widowControl/>
        <w:bidi w:val="0"/>
        <w:adjustRightInd/>
        <w:ind w:left="360"/>
        <w:rPr>
          <w:rFonts w:ascii="Times New Roman" w:hAnsi="Times New Roman"/>
        </w:rPr>
      </w:pPr>
    </w:p>
    <w:p w:rsidR="00BE1551" w:rsidP="00231EA7">
      <w:pPr>
        <w:widowControl/>
        <w:bidi w:val="0"/>
        <w:adjustRightInd/>
        <w:ind w:left="360"/>
        <w:rPr>
          <w:rFonts w:ascii="Times New Roman" w:hAnsi="Times New Roman"/>
        </w:rPr>
      </w:pPr>
    </w:p>
    <w:p w:rsidR="00231EA7" w:rsidP="00231EA7">
      <w:pPr>
        <w:widowControl/>
        <w:bidi w:val="0"/>
        <w:adjustRightInd/>
        <w:ind w:left="360"/>
        <w:rPr>
          <w:rFonts w:ascii="Times New Roman" w:hAnsi="Times New Roman"/>
        </w:rPr>
      </w:pPr>
    </w:p>
    <w:p w:rsidR="0052011B" w:rsidP="0052011B">
      <w:pPr>
        <w:bidi w:val="0"/>
        <w:outlineLvl w:val="0"/>
        <w:rPr>
          <w:rFonts w:ascii="Times New Roman" w:hAnsi="Times New Roman"/>
        </w:rPr>
      </w:pPr>
      <w:r w:rsidRPr="004161A1">
        <w:rPr>
          <w:rFonts w:ascii="Times New Roman" w:hAnsi="Times New Roman"/>
          <w:b/>
          <w:bCs/>
        </w:rPr>
        <w:t>2.2. Financovanie návrhu</w:t>
      </w:r>
    </w:p>
    <w:p w:rsidR="0052011B" w:rsidP="0052011B">
      <w:pPr>
        <w:bidi w:val="0"/>
        <w:jc w:val="right"/>
        <w:rPr>
          <w:rFonts w:ascii="Times New Roman" w:hAnsi="Times New Roman"/>
        </w:rPr>
      </w:pPr>
      <w:r w:rsidRPr="004161A1">
        <w:rPr>
          <w:rFonts w:ascii="Times New Roman" w:hAnsi="Times New Roman"/>
          <w:sz w:val="20"/>
          <w:szCs w:val="20"/>
        </w:rPr>
        <w:t>Tabuľka č. 2</w:t>
      </w:r>
    </w:p>
    <w:tbl>
      <w:tblPr>
        <w:tblStyle w:val="TableNormal"/>
        <w:tblW w:w="9360" w:type="dxa"/>
        <w:tblCellMar>
          <w:left w:w="0" w:type="dxa"/>
          <w:right w:w="0" w:type="dxa"/>
        </w:tblCellMar>
      </w:tblPr>
      <w:tblGrid>
        <w:gridCol w:w="4070"/>
        <w:gridCol w:w="1210"/>
        <w:gridCol w:w="1360"/>
        <w:gridCol w:w="1360"/>
        <w:gridCol w:w="1360"/>
      </w:tblGrid>
      <w:tr>
        <w:tblPrEx>
          <w:tblW w:w="9360" w:type="dxa"/>
          <w:tblCellMar>
            <w:left w:w="0" w:type="dxa"/>
            <w:right w:w="0" w:type="dxa"/>
          </w:tblCellMar>
        </w:tblPrEx>
        <w:trPr>
          <w:trHeight w:val="70"/>
        </w:trPr>
        <w:tc>
          <w:tcPr>
            <w:tcW w:w="4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70" w:lineRule="atLeast"/>
              <w:jc w:val="center"/>
              <w:rPr>
                <w:rFonts w:ascii="Times New Roman" w:hAnsi="Times New Roman"/>
              </w:rPr>
            </w:pPr>
            <w:r w:rsidRPr="004161A1">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70"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2011B" w:rsidRPr="004161A1" w:rsidP="00403BEF">
            <w:pPr>
              <w:bidi w:val="0"/>
              <w:rPr>
                <w:rFonts w:ascii="Times New Roman" w:hAnsi="Times New Roman"/>
              </w:rPr>
            </w:pPr>
          </w:p>
        </w:tc>
        <w:tc>
          <w:tcPr>
            <w:tcW w:w="121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E573F5" w:rsidP="00403BEF">
            <w:pPr>
              <w:bidi w:val="0"/>
              <w:spacing w:line="70" w:lineRule="atLeast"/>
              <w:jc w:val="center"/>
              <w:rPr>
                <w:rFonts w:ascii="Times New Roman" w:hAnsi="Times New Roman"/>
                <w:b/>
                <w:bCs/>
              </w:rPr>
            </w:pPr>
            <w:r w:rsidRPr="00E573F5">
              <w:rPr>
                <w:rFonts w:ascii="Times New Roman" w:hAnsi="Times New Roman"/>
                <w:b/>
                <w:bCs/>
              </w:rPr>
              <w:t>2011</w:t>
            </w:r>
          </w:p>
        </w:tc>
        <w:tc>
          <w:tcPr>
            <w:tcW w:w="13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2012</w:t>
            </w:r>
          </w:p>
        </w:tc>
        <w:tc>
          <w:tcPr>
            <w:tcW w:w="13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2013</w:t>
            </w:r>
          </w:p>
        </w:tc>
        <w:tc>
          <w:tcPr>
            <w:tcW w:w="13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2014</w:t>
            </w:r>
          </w:p>
        </w:tc>
      </w:tr>
      <w:tr>
        <w:tblPrEx>
          <w:tblW w:w="9360" w:type="dxa"/>
          <w:tblCellMar>
            <w:left w:w="0" w:type="dxa"/>
            <w:right w:w="0" w:type="dxa"/>
          </w:tblCellMar>
        </w:tblPrEx>
        <w:trPr>
          <w:trHeight w:val="70"/>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sidRPr="004161A1">
              <w:rPr>
                <w:rFonts w:ascii="Times New Roman" w:hAnsi="Times New Roman"/>
                <w:b/>
                <w:bCs/>
              </w:rPr>
              <w:t>Celkový vplyv na rozpočet verejnej správy ( - príjmy, + výdavky)</w:t>
            </w:r>
          </w:p>
        </w:tc>
        <w:tc>
          <w:tcPr>
            <w:tcW w:w="1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7277A" w:rsidP="00403BEF">
            <w:pPr>
              <w:bidi w:val="0"/>
              <w:spacing w:line="70" w:lineRule="atLeast"/>
              <w:jc w:val="right"/>
              <w:rPr>
                <w:rFonts w:ascii="Times New Roman" w:hAnsi="Times New Roman"/>
              </w:rPr>
            </w:pPr>
          </w:p>
          <w:p w:rsidR="0052011B" w:rsidRPr="006C121A" w:rsidP="00403BEF">
            <w:pPr>
              <w:bidi w:val="0"/>
              <w:spacing w:line="70" w:lineRule="atLeast"/>
              <w:jc w:val="right"/>
              <w:rPr>
                <w:rFonts w:ascii="Times New Roman" w:hAnsi="Times New Roman"/>
              </w:rPr>
            </w:pPr>
            <w:r w:rsidR="005D3A18">
              <w:rPr>
                <w:rFonts w:ascii="Times New Roman" w:hAnsi="Times New Roman"/>
              </w:rPr>
              <w:t>14 000 000</w:t>
            </w:r>
          </w:p>
        </w:tc>
        <w:tc>
          <w:tcPr>
            <w:tcW w:w="1360" w:type="dxa"/>
            <w:tcBorders>
              <w:top w:val="single" w:sz="4" w:space="0" w:color="000000"/>
              <w:left w:val="single" w:sz="4" w:space="0" w:color="000000"/>
              <w:bottom w:val="single" w:sz="4" w:space="0" w:color="000000"/>
              <w:right w:val="single" w:sz="4" w:space="0" w:color="000000"/>
            </w:tcBorders>
            <w:textDirection w:val="lrTb"/>
            <w:vAlign w:val="top"/>
          </w:tcPr>
          <w:p w:rsidR="0052011B" w:rsidP="00403BEF">
            <w:pPr>
              <w:bidi w:val="0"/>
              <w:jc w:val="right"/>
              <w:rPr>
                <w:rFonts w:ascii="Times New Roman" w:hAnsi="Times New Roman"/>
              </w:rPr>
            </w:pPr>
          </w:p>
          <w:p w:rsidR="0052011B" w:rsidRPr="00921CEC" w:rsidP="00403BEF">
            <w:pPr>
              <w:bidi w:val="0"/>
              <w:jc w:val="right"/>
              <w:rPr>
                <w:rFonts w:ascii="Times New Roman" w:hAnsi="Times New Roman"/>
              </w:rPr>
            </w:pPr>
            <w:r w:rsidRPr="00921CEC">
              <w:rPr>
                <w:rFonts w:ascii="Times New Roman" w:hAnsi="Times New Roman"/>
              </w:rPr>
              <w:t>90 000 000,</w:t>
            </w:r>
          </w:p>
        </w:tc>
        <w:tc>
          <w:tcPr>
            <w:tcW w:w="1360" w:type="dxa"/>
            <w:tcBorders>
              <w:top w:val="single" w:sz="4" w:space="0" w:color="000000"/>
              <w:left w:val="single" w:sz="4" w:space="0" w:color="000000"/>
              <w:bottom w:val="single" w:sz="4" w:space="0" w:color="000000"/>
              <w:right w:val="single" w:sz="4" w:space="0" w:color="000000"/>
            </w:tcBorders>
            <w:textDirection w:val="lrTb"/>
            <w:vAlign w:val="top"/>
          </w:tcPr>
          <w:p w:rsidR="0052011B" w:rsidP="00403BEF">
            <w:pPr>
              <w:bidi w:val="0"/>
              <w:jc w:val="right"/>
              <w:rPr>
                <w:rFonts w:ascii="Times New Roman" w:hAnsi="Times New Roman"/>
              </w:rPr>
            </w:pPr>
          </w:p>
          <w:p w:rsidR="0052011B" w:rsidP="00403BEF">
            <w:pPr>
              <w:bidi w:val="0"/>
              <w:jc w:val="right"/>
              <w:rPr>
                <w:rFonts w:ascii="Times New Roman" w:hAnsi="Times New Roman"/>
              </w:rPr>
            </w:pPr>
            <w:r>
              <w:rPr>
                <w:rFonts w:ascii="Times New Roman" w:hAnsi="Times New Roman"/>
              </w:rPr>
              <w:t>90 000 000,-</w:t>
            </w:r>
          </w:p>
        </w:tc>
      </w:tr>
      <w:tr>
        <w:tblPrEx>
          <w:tblW w:w="9360" w:type="dxa"/>
          <w:tblCellMar>
            <w:left w:w="0" w:type="dxa"/>
            <w:right w:w="0" w:type="dxa"/>
          </w:tblCellMar>
        </w:tblPrEx>
        <w:trPr>
          <w:trHeight w:val="70"/>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Pr>
                <w:rFonts w:ascii="Times New Roman" w:hAnsi="Times New Roman"/>
              </w:rPr>
              <w:t>  z toho vplyv na ŠR</w:t>
            </w:r>
          </w:p>
        </w:tc>
        <w:tc>
          <w:tcPr>
            <w:tcW w:w="1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76 000 000,-</w:t>
            </w: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76 000 000,-</w:t>
            </w:r>
          </w:p>
        </w:tc>
      </w:tr>
      <w:tr>
        <w:tblPrEx>
          <w:tblW w:w="9360" w:type="dxa"/>
          <w:tblCellMar>
            <w:left w:w="0" w:type="dxa"/>
            <w:right w:w="0" w:type="dxa"/>
          </w:tblCellMar>
        </w:tblPrEx>
        <w:trPr>
          <w:trHeight w:val="151"/>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51" w:lineRule="atLeast"/>
              <w:rPr>
                <w:rFonts w:ascii="Times New Roman" w:hAnsi="Times New Roman"/>
              </w:rPr>
            </w:pPr>
            <w:r>
              <w:rPr>
                <w:rFonts w:ascii="Times New Roman" w:hAnsi="Times New Roman"/>
              </w:rPr>
              <w:t>  financovanie zabezpečené v rozpočte</w:t>
            </w:r>
          </w:p>
        </w:tc>
        <w:tc>
          <w:tcPr>
            <w:tcW w:w="1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sidR="005D3A18">
              <w:rPr>
                <w:rFonts w:ascii="Times New Roman" w:hAnsi="Times New Roman"/>
              </w:rPr>
              <w:t>14 000 000</w:t>
            </w: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14 000 000,-</w:t>
            </w: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14 000 000,-</w:t>
            </w:r>
          </w:p>
        </w:tc>
      </w:tr>
      <w:tr>
        <w:tblPrEx>
          <w:tblW w:w="9360" w:type="dxa"/>
          <w:tblCellMar>
            <w:left w:w="0" w:type="dxa"/>
            <w:right w:w="0" w:type="dxa"/>
          </w:tblCellMar>
        </w:tblPrEx>
        <w:trPr>
          <w:trHeight w:val="135"/>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35" w:lineRule="atLeast"/>
              <w:rPr>
                <w:rFonts w:ascii="Times New Roman" w:hAnsi="Times New Roman"/>
              </w:rPr>
            </w:pPr>
            <w:r>
              <w:rPr>
                <w:rFonts w:ascii="Times New Roman" w:hAnsi="Times New Roman"/>
              </w:rPr>
              <w:t>  ostatné zdroje financovania</w:t>
            </w:r>
          </w:p>
        </w:tc>
        <w:tc>
          <w:tcPr>
            <w:tcW w:w="1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35" w:lineRule="atLeast"/>
              <w:jc w:val="right"/>
              <w:rPr>
                <w:rFonts w:ascii="Times New Roman" w:hAnsi="Times New Roman"/>
              </w:rPr>
            </w:pP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35" w:lineRule="atLeast"/>
              <w:jc w:val="right"/>
              <w:rPr>
                <w:rFonts w:ascii="Times New Roman" w:hAnsi="Times New Roman"/>
              </w:rPr>
            </w:pP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35" w:lineRule="atLeast"/>
              <w:jc w:val="right"/>
              <w:rPr>
                <w:rFonts w:ascii="Times New Roman" w:hAnsi="Times New Roman"/>
              </w:rPr>
            </w:pP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135" w:lineRule="atLeast"/>
              <w:jc w:val="right"/>
              <w:rPr>
                <w:rFonts w:ascii="Times New Roman" w:hAnsi="Times New Roman"/>
              </w:rPr>
            </w:pPr>
          </w:p>
        </w:tc>
      </w:tr>
      <w:tr>
        <w:tblPrEx>
          <w:tblW w:w="9360" w:type="dxa"/>
          <w:tblCellMar>
            <w:left w:w="0" w:type="dxa"/>
            <w:right w:w="0" w:type="dxa"/>
          </w:tblCellMar>
        </w:tblPrEx>
        <w:trPr>
          <w:trHeight w:val="70"/>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4161A1" w:rsidP="00403BEF">
            <w:pPr>
              <w:bidi w:val="0"/>
              <w:spacing w:line="70" w:lineRule="atLeast"/>
              <w:rPr>
                <w:rFonts w:ascii="Times New Roman" w:hAnsi="Times New Roman"/>
              </w:rPr>
            </w:pPr>
            <w:r w:rsidRPr="004161A1">
              <w:rPr>
                <w:rFonts w:ascii="Times New Roman" w:hAnsi="Times New Roman"/>
                <w:b/>
                <w:bCs/>
              </w:rPr>
              <w:t>Rozpočtovo nekrytý vplyv / úspora</w:t>
            </w:r>
          </w:p>
        </w:tc>
        <w:tc>
          <w:tcPr>
            <w:tcW w:w="1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RPr="00DD7CA2" w:rsidP="00403BEF">
            <w:pPr>
              <w:bidi w:val="0"/>
              <w:spacing w:line="70" w:lineRule="atLeast"/>
              <w:jc w:val="right"/>
              <w:rPr>
                <w:rFonts w:ascii="Times New Roman" w:hAnsi="Times New Roman"/>
              </w:rPr>
            </w:pPr>
            <w:r w:rsidR="005D3A18">
              <w:rPr>
                <w:rFonts w:ascii="Times New Roman" w:hAnsi="Times New Roman"/>
              </w:rPr>
              <w:t>0</w:t>
            </w: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RPr="004E5E13" w:rsidP="00403BEF">
            <w:pPr>
              <w:bidi w:val="0"/>
              <w:rPr>
                <w:rFonts w:ascii="Times New Roman" w:hAnsi="Times New Roman"/>
              </w:rPr>
            </w:pPr>
            <w:r w:rsidRPr="004E5E13">
              <w:rPr>
                <w:rFonts w:ascii="Times New Roman" w:hAnsi="Times New Roman"/>
              </w:rPr>
              <w:t>76 000 000,</w:t>
            </w:r>
          </w:p>
        </w:tc>
        <w:tc>
          <w:tcPr>
            <w:tcW w:w="13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rPr>
                <w:rFonts w:ascii="Times New Roman" w:hAnsi="Times New Roman"/>
              </w:rPr>
            </w:pPr>
            <w:r>
              <w:rPr>
                <w:rFonts w:ascii="Times New Roman" w:hAnsi="Times New Roman"/>
              </w:rPr>
              <w:t>76 000 000,-</w:t>
            </w:r>
          </w:p>
        </w:tc>
      </w:tr>
      <w:tr>
        <w:tblPrEx>
          <w:tblW w:w="9360" w:type="dxa"/>
          <w:tblCellMar>
            <w:left w:w="0" w:type="dxa"/>
            <w:right w:w="0" w:type="dxa"/>
          </w:tblCellMar>
        </w:tblPrEx>
        <w:tc>
          <w:tcPr>
            <w:tcW w:w="4070"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210"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360"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360"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360"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r>
    </w:tbl>
    <w:p w:rsidR="0052011B" w:rsidP="0052011B">
      <w:pPr>
        <w:bidi w:val="0"/>
        <w:rPr>
          <w:rFonts w:ascii="Times New Roman" w:hAnsi="Times New Roman"/>
        </w:rPr>
      </w:pPr>
      <w:r w:rsidRPr="004161A1">
        <w:rPr>
          <w:rFonts w:ascii="Times New Roman" w:hAnsi="Times New Roman"/>
          <w:b/>
          <w:bCs/>
        </w:rPr>
        <w:t> </w:t>
      </w:r>
    </w:p>
    <w:p w:rsidR="0052011B" w:rsidP="0052011B">
      <w:pPr>
        <w:bidi w:val="0"/>
        <w:rPr>
          <w:rFonts w:ascii="Times New Roman" w:hAnsi="Times New Roman"/>
        </w:rPr>
      </w:pPr>
    </w:p>
    <w:p w:rsidR="0052011B" w:rsidP="0052011B">
      <w:pPr>
        <w:bidi w:val="0"/>
        <w:rPr>
          <w:rFonts w:ascii="Times New Roman" w:hAnsi="Times New Roman"/>
          <w:b/>
          <w:bCs/>
        </w:rPr>
      </w:pPr>
      <w:r w:rsidRPr="004161A1">
        <w:rPr>
          <w:rFonts w:ascii="Times New Roman" w:hAnsi="Times New Roman"/>
          <w:b/>
          <w:bCs/>
        </w:rPr>
        <w:t>Návrh na riešenie úbytku príjmov alebo zvýšených výdavkov podľa § 33 ods. 1 zákona č. 523/2004 Z. z. o rozpočtových pravidlách verejnej správy:</w:t>
      </w:r>
    </w:p>
    <w:p w:rsidR="00231EA7" w:rsidP="0052011B">
      <w:pPr>
        <w:bidi w:val="0"/>
        <w:rPr>
          <w:rFonts w:ascii="Times New Roman" w:hAnsi="Times New Roman"/>
        </w:rPr>
      </w:pPr>
    </w:p>
    <w:p w:rsidR="0052011B" w:rsidP="0052011B">
      <w:pPr>
        <w:pBdr>
          <w:top w:val="single" w:sz="4" w:space="1" w:color="000000"/>
          <w:left w:val="single" w:sz="4" w:space="4" w:color="000000"/>
          <w:bottom w:val="single" w:sz="4" w:space="1" w:color="000000"/>
          <w:right w:val="single" w:sz="4" w:space="4" w:color="000000"/>
        </w:pBdr>
        <w:bidi w:val="0"/>
        <w:rPr>
          <w:rFonts w:ascii="Times New Roman" w:hAnsi="Times New Roman"/>
          <w:b/>
          <w:bCs/>
        </w:rPr>
      </w:pPr>
      <w:r w:rsidRPr="004161A1">
        <w:rPr>
          <w:rFonts w:ascii="Times New Roman" w:hAnsi="Times New Roman"/>
          <w:b/>
          <w:bCs/>
        </w:rPr>
        <w:t> </w:t>
      </w:r>
    </w:p>
    <w:p w:rsidR="0052011B" w:rsidP="0052011B">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rPr>
        <w:t>Z</w:t>
      </w:r>
      <w:r w:rsidRPr="00436651">
        <w:rPr>
          <w:rFonts w:ascii="Times New Roman" w:hAnsi="Times New Roman"/>
        </w:rPr>
        <w:t>výšenie výdavkov</w:t>
      </w:r>
      <w:r>
        <w:rPr>
          <w:rFonts w:ascii="Times New Roman" w:hAnsi="Times New Roman"/>
        </w:rPr>
        <w:t xml:space="preserve"> bude riešené z  prostriedkov štátneho rozpočtu.</w:t>
      </w:r>
    </w:p>
    <w:p w:rsidR="0052011B" w:rsidP="0052011B">
      <w:pPr>
        <w:pBdr>
          <w:top w:val="single" w:sz="4" w:space="1" w:color="000000"/>
          <w:left w:val="single" w:sz="4" w:space="4" w:color="000000"/>
          <w:bottom w:val="single" w:sz="4" w:space="1" w:color="000000"/>
          <w:right w:val="single" w:sz="4" w:space="4" w:color="000000"/>
        </w:pBdr>
        <w:bidi w:val="0"/>
        <w:rPr>
          <w:rFonts w:ascii="Times New Roman" w:hAnsi="Times New Roman"/>
        </w:rPr>
      </w:pPr>
    </w:p>
    <w:p w:rsidR="0052011B" w:rsidP="0052011B">
      <w:pPr>
        <w:bidi w:val="0"/>
        <w:rPr>
          <w:rFonts w:ascii="Times New Roman" w:hAnsi="Times New Roman"/>
          <w:b/>
          <w:bCs/>
        </w:rPr>
      </w:pPr>
    </w:p>
    <w:p w:rsidR="0052011B" w:rsidP="0052011B">
      <w:pPr>
        <w:bidi w:val="0"/>
        <w:outlineLvl w:val="0"/>
        <w:rPr>
          <w:rFonts w:ascii="Times New Roman" w:hAnsi="Times New Roman"/>
        </w:rPr>
      </w:pPr>
      <w:r w:rsidRPr="004161A1">
        <w:rPr>
          <w:rFonts w:ascii="Times New Roman" w:hAnsi="Times New Roman"/>
          <w:b/>
          <w:bCs/>
        </w:rPr>
        <w:t>2.3. Popis a charakteristika návrhu</w:t>
      </w:r>
    </w:p>
    <w:p w:rsidR="0052011B" w:rsidP="0052011B">
      <w:pPr>
        <w:bidi w:val="0"/>
        <w:rPr>
          <w:rFonts w:ascii="Times New Roman" w:hAnsi="Times New Roman"/>
        </w:rPr>
      </w:pPr>
      <w:r>
        <w:rPr>
          <w:rFonts w:ascii="Times New Roman" w:hAnsi="Times New Roman"/>
        </w:rPr>
        <w:t> </w:t>
      </w:r>
    </w:p>
    <w:p w:rsidR="0052011B" w:rsidP="0052011B">
      <w:pPr>
        <w:bidi w:val="0"/>
        <w:jc w:val="both"/>
        <w:outlineLvl w:val="0"/>
        <w:rPr>
          <w:rFonts w:ascii="Times New Roman" w:hAnsi="Times New Roman"/>
        </w:rPr>
      </w:pPr>
      <w:r w:rsidRPr="004161A1">
        <w:rPr>
          <w:rFonts w:ascii="Times New Roman" w:hAnsi="Times New Roman"/>
          <w:b/>
          <w:bCs/>
        </w:rPr>
        <w:t>2.3.1. Popis návrhu:</w:t>
      </w:r>
    </w:p>
    <w:p w:rsidR="0052011B" w:rsidP="0052011B">
      <w:pPr>
        <w:bidi w:val="0"/>
        <w:jc w:val="both"/>
        <w:rPr>
          <w:rFonts w:ascii="Times New Roman" w:hAnsi="Times New Roman"/>
        </w:rPr>
      </w:pPr>
      <w:r w:rsidRPr="004161A1">
        <w:rPr>
          <w:rFonts w:ascii="Times New Roman" w:hAnsi="Times New Roman"/>
          <w:b/>
          <w:bCs/>
        </w:rPr>
        <w:t> </w:t>
      </w:r>
    </w:p>
    <w:p w:rsidR="0052011B" w:rsidP="0052011B">
      <w:pPr>
        <w:bidi w:val="0"/>
        <w:ind w:firstLine="708"/>
        <w:jc w:val="both"/>
        <w:rPr>
          <w:rFonts w:ascii="Times New Roman" w:hAnsi="Times New Roman"/>
        </w:rPr>
      </w:pPr>
      <w:r>
        <w:rPr>
          <w:rFonts w:ascii="Times New Roman" w:hAnsi="Times New Roman"/>
        </w:rPr>
        <w:t xml:space="preserve">Návrh zákona rieši problematiku financovania verejnoprávneho vysielateľa Rozhlasu a televízie Slovenska. Navrhuje sa zrušenie dvoch </w:t>
      </w:r>
      <w:r w:rsidRPr="00DD7CA2">
        <w:rPr>
          <w:rFonts w:ascii="Times New Roman" w:hAnsi="Times New Roman"/>
        </w:rPr>
        <w:t>druhov</w:t>
      </w:r>
      <w:r>
        <w:rPr>
          <w:rFonts w:ascii="Times New Roman" w:hAnsi="Times New Roman"/>
          <w:color w:val="FF0000"/>
        </w:rPr>
        <w:t xml:space="preserve"> </w:t>
      </w:r>
      <w:r>
        <w:rPr>
          <w:rFonts w:ascii="Times New Roman" w:hAnsi="Times New Roman"/>
        </w:rPr>
        <w:t xml:space="preserve">z príjmov Rozhlasu a televízie Slovenska, a to úhrad za služby verejnosti, ktoré v súčasnej dobe platia fyzické osoby, ktoré sú koncovým odberateľom elektriny v odbernom mieste </w:t>
      </w:r>
      <w:r w:rsidRPr="00AC4295">
        <w:rPr>
          <w:rFonts w:ascii="Times New Roman" w:hAnsi="Times New Roman"/>
        </w:rPr>
        <w:t xml:space="preserve">z ktorého sa odoberá elektrina pre spotrebu v byte alebo v rodinnom dome </w:t>
      </w:r>
      <w:r>
        <w:rPr>
          <w:rFonts w:ascii="Times New Roman" w:hAnsi="Times New Roman"/>
        </w:rPr>
        <w:t>a zamestnávatelia, ktorí</w:t>
      </w:r>
      <w:r w:rsidRPr="00EA1CBA">
        <w:rPr>
          <w:rFonts w:ascii="Times New Roman" w:hAnsi="Times New Roman"/>
        </w:rPr>
        <w:t xml:space="preserve"> v pracovnom pomere alebo v obdobnom pracovnom vzťahu zamestnáva</w:t>
      </w:r>
      <w:r>
        <w:rPr>
          <w:rFonts w:ascii="Times New Roman" w:hAnsi="Times New Roman"/>
        </w:rPr>
        <w:t>jú</w:t>
      </w:r>
      <w:r w:rsidRPr="00EA1CBA">
        <w:rPr>
          <w:rFonts w:ascii="Times New Roman" w:hAnsi="Times New Roman"/>
        </w:rPr>
        <w:t xml:space="preserve"> aspoň troch zamestnancov</w:t>
      </w:r>
      <w:r>
        <w:rPr>
          <w:rFonts w:ascii="Times New Roman" w:hAnsi="Times New Roman"/>
        </w:rPr>
        <w:t xml:space="preserve"> a príspevku zo štátneho rozpočtu poskytovaného na základe zmluvy so štátom na uskutočnenie programov vo verejnom záujme a účelových investičných projektov alebo na úhradu nákladov na zabezpečenie rozhlasového vysielania do zahraničia. Navrhuje sa, aby hlavným príjmom Rozhlasu a televízie Slovenska bol príspevok zo štátneho rozpočtu poskytovaný každoročne podľa zákona o štátnom rozpočte na príslušný rozpočtový rok na úhradu nákladov na zabezpečenie služby verejnosti v oblasti vysielania. Navrhovaná výška ročného príspevku bude vo výške 0,142 </w:t>
      </w:r>
      <w:r w:rsidRPr="00744671">
        <w:rPr>
          <w:rFonts w:ascii="Times New Roman" w:hAnsi="Times New Roman"/>
        </w:rPr>
        <w:t xml:space="preserve">% z hrubého domáceho </w:t>
      </w:r>
      <w:r>
        <w:rPr>
          <w:rFonts w:ascii="Times New Roman" w:hAnsi="Times New Roman"/>
        </w:rPr>
        <w:t xml:space="preserve">produktu Slovenskej republiky za kalendárny </w:t>
      </w:r>
      <w:r w:rsidRPr="00744671">
        <w:rPr>
          <w:rFonts w:ascii="Times New Roman" w:hAnsi="Times New Roman"/>
        </w:rPr>
        <w:t xml:space="preserve">rok, </w:t>
      </w:r>
      <w:r>
        <w:rPr>
          <w:rFonts w:ascii="Times New Roman" w:hAnsi="Times New Roman"/>
        </w:rPr>
        <w:t>predchádzajúci kalendárnemu roku, ktorý predchádza kalendárnemu roku, na ktorý sa príspevok poskytuje, najmenej však v sume 90 000 000,- eur</w:t>
      </w:r>
      <w:r w:rsidRPr="00744671">
        <w:rPr>
          <w:rFonts w:ascii="Times New Roman" w:hAnsi="Times New Roman"/>
        </w:rPr>
        <w:t xml:space="preserve"> n</w:t>
      </w:r>
      <w:r>
        <w:rPr>
          <w:rFonts w:ascii="Times New Roman" w:hAnsi="Times New Roman"/>
        </w:rPr>
        <w:t>a každý kalendárny</w:t>
      </w:r>
      <w:r w:rsidRPr="00744671">
        <w:rPr>
          <w:rFonts w:ascii="Times New Roman" w:hAnsi="Times New Roman"/>
        </w:rPr>
        <w:t xml:space="preserve"> rok</w:t>
      </w:r>
      <w:r>
        <w:rPr>
          <w:rFonts w:ascii="Times New Roman" w:hAnsi="Times New Roman"/>
        </w:rPr>
        <w:t xml:space="preserve">, aby mal verejnoprávny vysielateľ garantovanú minimálnu ročnú výšku príspevku zo štátneho rozpočtu. Zákon upravuje aj postup, ako je Rozhlas a televízia Slovenska oprávnená nakladať s tzv. nadmernou náhradou, t.j. s výškou príspevku zo štátneho rozpočtu, ktorý bude prevyšovať sumu ročných nákladov na zabezpečenie služby verejnosti v oblasti vysielania. Návrh zákona bude implementovať Ministerstvo kultúry Slovenskej republiky, z ktorého rozpočtovej kapitoly sa budú finančné prostriedky poskytovať.  </w:t>
      </w:r>
    </w:p>
    <w:p w:rsidR="0052011B" w:rsidRPr="0007626D" w:rsidP="0052011B">
      <w:pPr>
        <w:autoSpaceDE w:val="0"/>
        <w:autoSpaceDN w:val="0"/>
        <w:bidi w:val="0"/>
        <w:jc w:val="both"/>
        <w:rPr>
          <w:rFonts w:ascii="Times New Roman" w:hAnsi="Times New Roman"/>
        </w:rPr>
      </w:pPr>
    </w:p>
    <w:p w:rsidR="0052011B" w:rsidP="0052011B">
      <w:pPr>
        <w:autoSpaceDE w:val="0"/>
        <w:autoSpaceDN w:val="0"/>
        <w:bidi w:val="0"/>
        <w:jc w:val="both"/>
        <w:rPr>
          <w:rFonts w:ascii="Times New Roman" w:hAnsi="Times New Roman"/>
        </w:rPr>
      </w:pPr>
      <w:r w:rsidRPr="005C6820">
        <w:rPr>
          <w:rFonts w:ascii="Times New Roman" w:hAnsi="Times New Roman"/>
        </w:rPr>
        <w:t xml:space="preserve">  </w:t>
      </w:r>
    </w:p>
    <w:p w:rsidR="00231EA7" w:rsidRPr="00272B3B" w:rsidP="0052011B">
      <w:pPr>
        <w:autoSpaceDE w:val="0"/>
        <w:autoSpaceDN w:val="0"/>
        <w:bidi w:val="0"/>
        <w:jc w:val="both"/>
        <w:rPr>
          <w:rFonts w:ascii="Times New Roman" w:hAnsi="Times New Roman"/>
        </w:rPr>
      </w:pPr>
    </w:p>
    <w:p w:rsidR="0052011B" w:rsidP="0052011B">
      <w:pPr>
        <w:bidi w:val="0"/>
        <w:outlineLvl w:val="0"/>
        <w:rPr>
          <w:rFonts w:ascii="Times New Roman" w:hAnsi="Times New Roman"/>
        </w:rPr>
      </w:pPr>
      <w:r w:rsidRPr="004161A1">
        <w:rPr>
          <w:rFonts w:ascii="Times New Roman" w:hAnsi="Times New Roman"/>
          <w:b/>
          <w:bCs/>
        </w:rPr>
        <w:t>2.3.2. Charakteristika návrhu podľa bodu  2.3.2. Metodiky :</w:t>
      </w:r>
    </w:p>
    <w:p w:rsidR="0052011B" w:rsidP="0052011B">
      <w:pPr>
        <w:bidi w:val="0"/>
        <w:rPr>
          <w:rFonts w:ascii="Times New Roman" w:hAnsi="Times New Roman"/>
        </w:rPr>
      </w:pPr>
      <w:r>
        <w:rPr>
          <w:rFonts w:ascii="Times New Roman" w:hAnsi="Times New Roman"/>
        </w:rPr>
        <w:t> </w:t>
      </w:r>
    </w:p>
    <w:p w:rsidR="0052011B" w:rsidP="0052011B">
      <w:pPr>
        <w:bidi w:val="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52011B" w:rsidP="0052011B">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52011B" w:rsidP="0052011B">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52011B" w:rsidP="0052011B">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52011B" w:rsidP="0052011B">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52011B" w:rsidP="0052011B">
      <w:pPr>
        <w:bidi w:val="0"/>
        <w:rPr>
          <w:rFonts w:ascii="Times New Roman" w:hAnsi="Times New Roman"/>
        </w:rPr>
      </w:pPr>
      <w:r>
        <w:rPr>
          <w:rFonts w:ascii="Times New Roman" w:hAnsi="Times New Roman"/>
        </w:rPr>
        <w:t> </w:t>
      </w:r>
    </w:p>
    <w:p w:rsidR="0052011B" w:rsidRPr="004161A1" w:rsidP="0052011B">
      <w:pPr>
        <w:bidi w:val="0"/>
        <w:spacing w:line="70" w:lineRule="atLeast"/>
        <w:jc w:val="both"/>
        <w:outlineLvl w:val="0"/>
        <w:rPr>
          <w:rFonts w:ascii="Times New Roman" w:hAnsi="Times New Roman"/>
        </w:rPr>
      </w:pPr>
      <w:r>
        <w:rPr>
          <w:rFonts w:ascii="Times New Roman" w:hAnsi="Times New Roman"/>
        </w:rPr>
        <w:t> </w:t>
      </w:r>
      <w:r>
        <w:rPr>
          <w:rFonts w:ascii="Times New Roman" w:hAnsi="Times New Roman"/>
          <w:color w:val="000000"/>
        </w:rPr>
        <w:t>Predloženým materiálom nedochádza k zmene aktivít.</w:t>
      </w:r>
      <w:r w:rsidRPr="004161A1">
        <w:rPr>
          <w:rFonts w:ascii="Times New Roman" w:hAnsi="Times New Roman"/>
          <w:color w:val="000000"/>
        </w:rPr>
        <w:t> </w:t>
      </w:r>
    </w:p>
    <w:p w:rsidR="0052011B" w:rsidP="0052011B">
      <w:pPr>
        <w:bidi w:val="0"/>
        <w:rPr>
          <w:rFonts w:ascii="Times New Roman" w:hAnsi="Times New Roman"/>
        </w:rPr>
      </w:pPr>
    </w:p>
    <w:p w:rsidR="0052011B" w:rsidP="0052011B">
      <w:pPr>
        <w:bidi w:val="0"/>
        <w:rPr>
          <w:rFonts w:ascii="Times New Roman" w:hAnsi="Times New Roman"/>
        </w:rPr>
      </w:pPr>
    </w:p>
    <w:p w:rsidR="0052011B" w:rsidP="0052011B">
      <w:pPr>
        <w:bidi w:val="0"/>
        <w:outlineLvl w:val="0"/>
        <w:rPr>
          <w:rFonts w:ascii="Times New Roman" w:hAnsi="Times New Roman"/>
        </w:rPr>
      </w:pPr>
      <w:r w:rsidRPr="004161A1">
        <w:rPr>
          <w:rFonts w:ascii="Times New Roman" w:hAnsi="Times New Roman"/>
          <w:b/>
          <w:bCs/>
        </w:rPr>
        <w:t>2.3.3. Predpoklady vývoja objemu aktivít:</w:t>
      </w:r>
    </w:p>
    <w:p w:rsidR="0052011B" w:rsidP="0052011B">
      <w:pPr>
        <w:bidi w:val="0"/>
        <w:rPr>
          <w:rFonts w:ascii="Times New Roman" w:hAnsi="Times New Roman"/>
        </w:rPr>
      </w:pPr>
      <w:r>
        <w:rPr>
          <w:rFonts w:ascii="Times New Roman" w:hAnsi="Times New Roman"/>
        </w:rPr>
        <w:t> </w:t>
      </w:r>
    </w:p>
    <w:p w:rsidR="0052011B" w:rsidP="0052011B">
      <w:pPr>
        <w:bidi w:val="0"/>
        <w:ind w:firstLine="708"/>
        <w:jc w:val="both"/>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52011B" w:rsidP="0052011B">
      <w:pPr>
        <w:bidi w:val="0"/>
        <w:jc w:val="right"/>
        <w:rPr>
          <w:rFonts w:ascii="Times New Roman" w:hAnsi="Times New Roman"/>
        </w:rPr>
      </w:pPr>
      <w:r w:rsidRPr="004161A1">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2011B" w:rsidRPr="004161A1" w:rsidP="00403BEF">
            <w:pPr>
              <w:bidi w:val="0"/>
              <w:spacing w:line="70" w:lineRule="atLeast"/>
              <w:jc w:val="center"/>
              <w:rPr>
                <w:rFonts w:ascii="Times New Roman" w:hAnsi="Times New Roman"/>
              </w:rPr>
            </w:pPr>
            <w:r w:rsidRPr="004161A1">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2011B" w:rsidRPr="004161A1" w:rsidP="00403BEF">
            <w:pPr>
              <w:bidi w:val="0"/>
              <w:spacing w:line="70" w:lineRule="atLeast"/>
              <w:jc w:val="center"/>
              <w:rPr>
                <w:rFonts w:ascii="Times New Roman" w:hAnsi="Times New Roman"/>
              </w:rPr>
            </w:pPr>
            <w:r w:rsidRPr="004161A1">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2011B" w:rsidRPr="004161A1" w:rsidP="00403BEF">
            <w:pPr>
              <w:bidi w:val="0"/>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2011</w:t>
            </w:r>
          </w:p>
        </w:tc>
        <w:tc>
          <w:tcPr>
            <w:tcW w:w="1134"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2012</w:t>
            </w:r>
          </w:p>
        </w:tc>
        <w:tc>
          <w:tcPr>
            <w:tcW w:w="1134"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2013</w:t>
            </w:r>
          </w:p>
        </w:tc>
        <w:tc>
          <w:tcPr>
            <w:tcW w:w="1134"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extDirection w:val="lrTb"/>
            <w:vAlign w:val="center"/>
          </w:tcPr>
          <w:p w:rsidR="0052011B" w:rsidRPr="004161A1" w:rsidP="00403BEF">
            <w:pPr>
              <w:bidi w:val="0"/>
              <w:spacing w:line="70" w:lineRule="atLeast"/>
              <w:jc w:val="center"/>
              <w:rPr>
                <w:rFonts w:ascii="Times New Roman" w:hAnsi="Times New Roman"/>
              </w:rPr>
            </w:pPr>
            <w:r>
              <w:rPr>
                <w:rFonts w:ascii="Times New Roman" w:hAnsi="Times New Roman"/>
                <w:b/>
                <w:bCs/>
                <w:color w:val="FFFFFF"/>
              </w:rPr>
              <w:t>2014</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extDirection w:val="lrTb"/>
            <w:vAlign w:val="top"/>
          </w:tcPr>
          <w:p w:rsidR="0052011B" w:rsidRPr="004161A1" w:rsidP="00403BEF">
            <w:pPr>
              <w:bidi w:val="0"/>
              <w:spacing w:line="70" w:lineRule="atLeast"/>
              <w:rPr>
                <w:rFonts w:ascii="Times New Roman" w:hAnsi="Times New Roman"/>
              </w:rPr>
            </w:pPr>
            <w:r w:rsidRPr="004161A1">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52011B" w:rsidRPr="004161A1" w:rsidP="00403BEF">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2011B" w:rsidRPr="004161A1" w:rsidP="00403BEF">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2011B" w:rsidRPr="004161A1" w:rsidP="00403BEF">
            <w:pPr>
              <w:bidi w:val="0"/>
              <w:spacing w:line="70" w:lineRule="atLeast"/>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2011B" w:rsidRPr="004161A1" w:rsidP="00403BEF">
            <w:pPr>
              <w:bidi w:val="0"/>
              <w:spacing w:line="70" w:lineRule="atLeast"/>
              <w:jc w:val="right"/>
              <w:rPr>
                <w:rFonts w:ascii="Times New Roman" w:hAnsi="Times New Roman"/>
              </w:rPr>
            </w:pP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extDirection w:val="lrTb"/>
            <w:vAlign w:val="top"/>
          </w:tcPr>
          <w:p w:rsidR="0052011B" w:rsidRPr="004161A1" w:rsidP="00403BEF">
            <w:pPr>
              <w:bidi w:val="0"/>
              <w:spacing w:line="70" w:lineRule="atLeast"/>
              <w:rPr>
                <w:rFonts w:ascii="Times New Roman" w:hAnsi="Times New Roman"/>
              </w:rPr>
            </w:pPr>
            <w:r w:rsidRPr="004161A1">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52011B" w:rsidRPr="004161A1" w:rsidP="00403BEF">
            <w:pPr>
              <w:bidi w:val="0"/>
              <w:spacing w:line="70" w:lineRule="atLeast"/>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2011B" w:rsidRPr="004161A1" w:rsidP="00403BEF">
            <w:pPr>
              <w:bidi w:val="0"/>
              <w:spacing w:line="70" w:lineRule="atLeast"/>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2011B" w:rsidRPr="004161A1" w:rsidP="00403BEF">
            <w:pPr>
              <w:bidi w:val="0"/>
              <w:spacing w:line="70" w:lineRule="atLeast"/>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2011B" w:rsidRPr="004161A1" w:rsidP="00403BEF">
            <w:pPr>
              <w:bidi w:val="0"/>
              <w:spacing w:line="70" w:lineRule="atLeast"/>
              <w:jc w:val="right"/>
              <w:rPr>
                <w:rFonts w:ascii="Times New Roman" w:hAnsi="Times New Roman"/>
              </w:rPr>
            </w:pP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extDirection w:val="lrTb"/>
            <w:vAlign w:val="top"/>
          </w:tcPr>
          <w:p w:rsidR="0052011B" w:rsidRPr="004161A1" w:rsidP="00403BEF">
            <w:pPr>
              <w:bidi w:val="0"/>
              <w:spacing w:line="70" w:lineRule="atLeast"/>
              <w:rPr>
                <w:rFonts w:ascii="Times New Roman" w:hAnsi="Times New Roman"/>
              </w:rPr>
            </w:pPr>
            <w:r w:rsidRPr="004161A1">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52011B" w:rsidRPr="004161A1" w:rsidP="00403BEF">
            <w:pPr>
              <w:bidi w:val="0"/>
              <w:spacing w:line="70" w:lineRule="atLeast"/>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2011B" w:rsidRPr="004161A1" w:rsidP="00403BEF">
            <w:pPr>
              <w:bidi w:val="0"/>
              <w:spacing w:line="70" w:lineRule="atLeast"/>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2011B" w:rsidRPr="004161A1" w:rsidP="00403BEF">
            <w:pPr>
              <w:bidi w:val="0"/>
              <w:spacing w:line="70" w:lineRule="atLeast"/>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2011B" w:rsidRPr="004161A1" w:rsidP="00403BEF">
            <w:pPr>
              <w:bidi w:val="0"/>
              <w:spacing w:line="70" w:lineRule="atLeast"/>
              <w:jc w:val="right"/>
              <w:rPr>
                <w:rFonts w:ascii="Times New Roman" w:hAnsi="Times New Roman"/>
              </w:rPr>
            </w:pP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134" w:type="dxa"/>
            <w:tcBorders>
              <w:top w:val="single" w:sz="4" w:space="0" w:color="auto"/>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134" w:type="dxa"/>
            <w:tcBorders>
              <w:top w:val="single" w:sz="4" w:space="0" w:color="auto"/>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134" w:type="dxa"/>
            <w:tcBorders>
              <w:top w:val="single" w:sz="4" w:space="0" w:color="auto"/>
              <w:left w:val="nil"/>
              <w:bottom w:val="nil"/>
              <w:right w:val="nil"/>
            </w:tcBorders>
            <w:textDirection w:val="lrTb"/>
            <w:vAlign w:val="center"/>
          </w:tcPr>
          <w:p w:rsidR="0052011B" w:rsidRPr="004161A1" w:rsidP="00403BEF">
            <w:pPr>
              <w:bidi w:val="0"/>
              <w:rPr>
                <w:rFonts w:ascii="Times New Roman" w:hAnsi="Times New Roman"/>
                <w:sz w:val="2"/>
                <w:szCs w:val="2"/>
              </w:rPr>
            </w:pPr>
          </w:p>
        </w:tc>
        <w:tc>
          <w:tcPr>
            <w:tcW w:w="1134" w:type="dxa"/>
            <w:tcBorders>
              <w:top w:val="single" w:sz="4" w:space="0" w:color="auto"/>
              <w:left w:val="nil"/>
              <w:bottom w:val="nil"/>
              <w:right w:val="nil"/>
            </w:tcBorders>
            <w:textDirection w:val="lrTb"/>
            <w:vAlign w:val="center"/>
          </w:tcPr>
          <w:p w:rsidR="0052011B" w:rsidRPr="004161A1" w:rsidP="00403BEF">
            <w:pPr>
              <w:bidi w:val="0"/>
              <w:rPr>
                <w:rFonts w:ascii="Times New Roman" w:hAnsi="Times New Roman"/>
                <w:sz w:val="2"/>
                <w:szCs w:val="2"/>
              </w:rPr>
            </w:pPr>
          </w:p>
        </w:tc>
      </w:tr>
    </w:tbl>
    <w:p w:rsidR="0052011B" w:rsidP="0052011B">
      <w:pPr>
        <w:bidi w:val="0"/>
        <w:spacing w:line="70" w:lineRule="atLeast"/>
        <w:jc w:val="both"/>
        <w:rPr>
          <w:rFonts w:ascii="Times New Roman" w:hAnsi="Times New Roman"/>
        </w:rPr>
      </w:pPr>
    </w:p>
    <w:p w:rsidR="0052011B" w:rsidRPr="00DD7CA2" w:rsidP="0052011B">
      <w:pPr>
        <w:bidi w:val="0"/>
        <w:spacing w:line="70" w:lineRule="atLeast"/>
        <w:jc w:val="both"/>
        <w:outlineLvl w:val="0"/>
        <w:rPr>
          <w:rFonts w:ascii="Times New Roman" w:hAnsi="Times New Roman"/>
        </w:rPr>
      </w:pPr>
      <w:r w:rsidRPr="00DD7CA2">
        <w:rPr>
          <w:rFonts w:ascii="Times New Roman" w:hAnsi="Times New Roman"/>
        </w:rPr>
        <w:t>Predloženým materiálom nedochádza k zmene vývoja objemu aktivít. </w:t>
      </w:r>
    </w:p>
    <w:p w:rsidR="0052011B" w:rsidP="0052011B">
      <w:pPr>
        <w:bidi w:val="0"/>
        <w:rPr>
          <w:rFonts w:ascii="Times New Roman" w:hAnsi="Times New Roman"/>
        </w:rPr>
      </w:pPr>
    </w:p>
    <w:p w:rsidR="0052011B" w:rsidP="0052011B">
      <w:pPr>
        <w:bidi w:val="0"/>
        <w:rPr>
          <w:rFonts w:ascii="Times New Roman" w:hAnsi="Times New Roman"/>
        </w:rPr>
      </w:pPr>
      <w:r>
        <w:rPr>
          <w:rFonts w:ascii="Times New Roman" w:hAnsi="Times New Roman"/>
        </w:rPr>
        <w:t> </w:t>
      </w:r>
    </w:p>
    <w:p w:rsidR="00403BEF" w:rsidP="00403BEF">
      <w:pPr>
        <w:bidi w:val="0"/>
        <w:outlineLvl w:val="0"/>
        <w:rPr>
          <w:rFonts w:ascii="Times New Roman" w:hAnsi="Times New Roman"/>
          <w:b/>
          <w:bCs/>
        </w:rPr>
        <w:sectPr>
          <w:footerReference w:type="even" r:id="rId4"/>
          <w:footerReference w:type="default" r:id="rId5"/>
          <w:pgSz w:w="12240" w:h="15840"/>
          <w:pgMar w:top="1417" w:right="1440" w:bottom="1417" w:left="1440" w:header="708" w:footer="708" w:gutter="0"/>
          <w:lnNumType w:distance="0"/>
          <w:cols w:space="708"/>
          <w:noEndnote w:val="0"/>
          <w:bidi w:val="0"/>
          <w:rtlGutter/>
          <w:docGrid w:linePitch="360"/>
        </w:sectPr>
      </w:pPr>
    </w:p>
    <w:p w:rsidR="00403BEF" w:rsidRPr="004923B9" w:rsidP="0052011B">
      <w:pPr>
        <w:bidi w:val="0"/>
        <w:rPr>
          <w:rFonts w:ascii="Times New Roman" w:hAnsi="Times New Roman"/>
          <w:b/>
        </w:rPr>
      </w:pPr>
      <w:r w:rsidRPr="004923B9" w:rsidR="004923B9">
        <w:rPr>
          <w:rFonts w:ascii="Times New Roman" w:hAnsi="Times New Roman"/>
          <w:b/>
        </w:rPr>
        <w:t>2.3.4. Výpočty vplyvov na verejné financie</w:t>
      </w:r>
    </w:p>
    <w:p w:rsidR="00403BEF" w:rsidP="0052011B">
      <w:pPr>
        <w:bidi w:val="0"/>
        <w:outlineLvl w:val="0"/>
        <w:rPr>
          <w:rFonts w:ascii="Times New Roman" w:hAnsi="Times New Roman"/>
        </w:rPr>
      </w:pPr>
    </w:p>
    <w:p w:rsidR="0052011B" w:rsidP="0052011B">
      <w:pPr>
        <w:bidi w:val="0"/>
        <w:rPr>
          <w:rFonts w:ascii="Times New Roman" w:hAnsi="Times New Roman"/>
        </w:rPr>
      </w:pPr>
      <w:r>
        <w:rPr>
          <w:rFonts w:ascii="Times New Roman" w:hAnsi="Times New Roman"/>
        </w:rPr>
        <w:t> </w:t>
      </w:r>
    </w:p>
    <w:p w:rsidR="0052011B" w:rsidP="0052011B">
      <w:pPr>
        <w:bidi w:val="0"/>
        <w:jc w:val="both"/>
        <w:rPr>
          <w:rFonts w:ascii="Times New Roman" w:hAnsi="Times New Roman"/>
        </w:rPr>
      </w:pPr>
      <w:r>
        <w:rPr>
          <w:rFonts w:ascii="Times New Roman" w:hAnsi="Times New Roman"/>
        </w:rPr>
        <w:t xml:space="preserve">Dopad na štátny rozpočet je kvantifikovaný  na základe predpokladaných príjmov a výdavkov Rozhlasu a televízie Slovenska v nasledujúcich rozpočtových rokoch  pri zohľadnení zrušenia inštitútu - </w:t>
      </w:r>
      <w:r w:rsidRPr="002972D1">
        <w:rPr>
          <w:rFonts w:ascii="Times New Roman" w:hAnsi="Times New Roman"/>
        </w:rPr>
        <w:t>úhrad za služby verejnosti</w:t>
      </w:r>
      <w:r>
        <w:rPr>
          <w:rFonts w:ascii="Times New Roman" w:hAnsi="Times New Roman"/>
        </w:rPr>
        <w:t>.</w:t>
      </w:r>
    </w:p>
    <w:p w:rsidR="0052011B" w:rsidP="0052011B">
      <w:pPr>
        <w:pStyle w:val="NormalWeb"/>
        <w:bidi w:val="0"/>
        <w:spacing w:before="0" w:beforeAutospacing="0" w:after="0" w:afterAutospacing="0"/>
        <w:jc w:val="right"/>
        <w:outlineLvl w:val="0"/>
        <w:rPr>
          <w:rFonts w:ascii="Times New Roman" w:hAnsi="Times New Roman"/>
        </w:rPr>
      </w:pPr>
      <w:r>
        <w:rPr>
          <w:rFonts w:ascii="Times New Roman" w:hAnsi="Times New Roman"/>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2011B" w:rsidP="00403BEF">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2011</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2012</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2011B" w:rsidP="00403BEF">
            <w:pPr>
              <w:bidi w:val="0"/>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rPr>
              <w:t>Daňové príjmy (100)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rPr>
              <w:t>Nedaňové príjmy (200)</w:t>
            </w:r>
            <w:r>
              <w:rPr>
                <w:rFonts w:ascii="Times New Roman" w:hAnsi="Times New Roman"/>
                <w:b/>
                <w:bCs/>
                <w:sz w:val="16"/>
                <w:szCs w:val="16"/>
                <w:vertAlign w:val="superscript"/>
              </w:rPr>
              <w:t xml:space="preserve">1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RPr="00F97083" w:rsidP="00403BEF">
            <w:pPr>
              <w:pStyle w:val="NormalWeb"/>
              <w:bidi w:val="0"/>
              <w:spacing w:before="0" w:beforeAutospacing="0" w:after="0" w:afterAutospacing="0"/>
              <w:rPr>
                <w:rFonts w:ascii="Times New Roman" w:hAnsi="Times New Roman"/>
                <w:b/>
              </w:rPr>
            </w:pPr>
            <w:r w:rsidRPr="00F97083" w:rsidR="005408F1">
              <w:rPr>
                <w:rFonts w:ascii="Times New Roman" w:hAnsi="Times New Roman"/>
                <w:b/>
              </w:rPr>
              <w:t>14 000 000,-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r>
              <w:rPr>
                <w:rFonts w:ascii="Times New Roman" w:hAnsi="Times New Roman"/>
                <w:b/>
                <w:bCs/>
              </w:rPr>
              <w:t> </w:t>
            </w:r>
            <w:r w:rsidR="005408F1">
              <w:rPr>
                <w:rFonts w:ascii="Times New Roman" w:hAnsi="Times New Roman"/>
                <w:b/>
                <w:bCs/>
              </w:rPr>
              <w:t>90 000 000,-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sidR="005408F1">
              <w:rPr>
                <w:rFonts w:ascii="Times New Roman" w:hAnsi="Times New Roman"/>
                <w:b/>
                <w:bCs/>
              </w:rPr>
              <w:t>90 000 000,-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rPr>
              <w:t>Granty a transfery (300)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408F1" w:rsidP="00403BEF">
            <w:pPr>
              <w:pStyle w:val="NormalWeb"/>
              <w:bidi w:val="0"/>
              <w:spacing w:before="0" w:beforeAutospacing="0" w:after="0" w:afterAutospacing="0"/>
              <w:rPr>
                <w:rFonts w:ascii="Times New Roman" w:hAnsi="Times New Roman"/>
              </w:rPr>
            </w:pPr>
            <w:r>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408F1"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408F1" w:rsidRPr="0007277A" w:rsidP="00403BEF">
            <w:pPr>
              <w:pStyle w:val="NormalWeb"/>
              <w:bidi w:val="0"/>
              <w:spacing w:before="0" w:beforeAutospacing="0" w:after="0" w:afterAutospacing="0"/>
              <w:jc w:val="center"/>
              <w:rPr>
                <w:rFonts w:ascii="Times New Roman" w:hAnsi="Times New Roman"/>
                <w:b/>
              </w:rPr>
            </w:pPr>
            <w:r w:rsidRPr="0007277A">
              <w:rPr>
                <w:rFonts w:ascii="Times New Roman" w:hAnsi="Times New Roman"/>
                <w:b/>
              </w:rPr>
              <w:t>14 000 000,-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408F1" w:rsidP="00403BEF">
            <w:pPr>
              <w:pStyle w:val="NormalWeb"/>
              <w:bidi w:val="0"/>
              <w:spacing w:before="0" w:beforeAutospacing="0" w:after="0" w:afterAutospacing="0"/>
              <w:jc w:val="center"/>
              <w:rPr>
                <w:rFonts w:ascii="Times New Roman" w:hAnsi="Times New Roman"/>
              </w:rPr>
            </w:pPr>
            <w:r w:rsidRPr="00E6484E">
              <w:rPr>
                <w:rFonts w:ascii="Times New Roman" w:hAnsi="Times New Roman"/>
                <w:b/>
                <w:bCs/>
              </w:rPr>
              <w:t>90 000</w:t>
            </w:r>
            <w:r>
              <w:rPr>
                <w:rFonts w:ascii="Times New Roman" w:hAnsi="Times New Roman"/>
                <w:b/>
                <w:bCs/>
              </w:rPr>
              <w:t> </w:t>
            </w:r>
            <w:r w:rsidRPr="00E6484E">
              <w:rPr>
                <w:rFonts w:ascii="Times New Roman" w:hAnsi="Times New Roman"/>
                <w:b/>
                <w:bCs/>
              </w:rPr>
              <w:t>000</w:t>
            </w:r>
            <w:r>
              <w:rPr>
                <w:rFonts w:ascii="Times New Roman" w:hAnsi="Times New Roman"/>
                <w:b/>
                <w:bCs/>
              </w:rPr>
              <w:t>,-</w:t>
            </w:r>
            <w:r w:rsidRPr="00E6484E">
              <w:rPr>
                <w:rFonts w:ascii="Times New Roman" w:hAnsi="Times New Roman"/>
                <w:b/>
                <w:bCs/>
              </w:rPr>
              <w:t>,</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408F1"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90 000 000,-</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5408F1" w:rsidP="00403BEF">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300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r>
    </w:tbl>
    <w:p w:rsidR="0052011B" w:rsidP="0052011B">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1 –  príjmy rozpísať až do položiek platnej ekonomickej klasifikácie    </w:t>
      </w:r>
    </w:p>
    <w:p w:rsidR="0052011B" w:rsidP="0052011B">
      <w:pPr>
        <w:pStyle w:val="NormalWeb"/>
        <w:bidi w:val="0"/>
        <w:spacing w:before="0" w:beforeAutospacing="0" w:after="0" w:afterAutospacing="0"/>
        <w:jc w:val="both"/>
        <w:rPr>
          <w:rFonts w:ascii="Times New Roman" w:hAnsi="Times New Roman"/>
          <w:sz w:val="20"/>
          <w:szCs w:val="20"/>
        </w:rPr>
      </w:pPr>
    </w:p>
    <w:p w:rsidR="0052011B" w:rsidP="0052011B">
      <w:pPr>
        <w:pStyle w:val="NormalWeb"/>
        <w:bidi w:val="0"/>
        <w:spacing w:before="0" w:beforeAutospacing="0" w:after="0" w:afterAutospacing="0"/>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2011B" w:rsidP="00403BEF">
            <w:pPr>
              <w:bidi w:val="0"/>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2011</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RPr="00BC7BEB" w:rsidP="00403BEF">
            <w:pPr>
              <w:pStyle w:val="NormalWeb"/>
              <w:bidi w:val="0"/>
              <w:spacing w:before="0" w:beforeAutospacing="0" w:after="0" w:afterAutospacing="0"/>
              <w:jc w:val="center"/>
              <w:rPr>
                <w:rFonts w:ascii="Times New Roman" w:hAnsi="Times New Roman"/>
                <w:color w:val="FFFFFF"/>
              </w:rPr>
            </w:pPr>
            <w:r w:rsidRPr="00BC7BEB">
              <w:rPr>
                <w:rFonts w:ascii="Times New Roman" w:hAnsi="Times New Roman"/>
                <w:b/>
                <w:bCs/>
                <w:color w:val="FFFFFF"/>
                <w:sz w:val="20"/>
                <w:szCs w:val="20"/>
              </w:rPr>
              <w:t>2012</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RPr="00BC7BEB" w:rsidP="00403BEF">
            <w:pPr>
              <w:pStyle w:val="NormalWeb"/>
              <w:bidi w:val="0"/>
              <w:spacing w:before="0" w:beforeAutospacing="0" w:after="0" w:afterAutospacing="0"/>
              <w:jc w:val="center"/>
              <w:rPr>
                <w:rFonts w:ascii="Times New Roman" w:hAnsi="Times New Roman"/>
                <w:color w:val="FFFFFF"/>
              </w:rPr>
            </w:pPr>
            <w:r w:rsidRPr="00BC7BEB">
              <w:rPr>
                <w:rFonts w:ascii="Times New Roman" w:hAnsi="Times New Roman"/>
                <w:b/>
                <w:bCs/>
                <w:color w:val="FFFFFF"/>
                <w:sz w:val="20"/>
                <w:szCs w:val="20"/>
              </w:rPr>
              <w:t>2013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RPr="00BC7BEB" w:rsidP="00403BEF">
            <w:pPr>
              <w:pStyle w:val="NormalWeb"/>
              <w:bidi w:val="0"/>
              <w:spacing w:before="0" w:beforeAutospacing="0" w:after="0" w:afterAutospacing="0"/>
              <w:jc w:val="center"/>
              <w:rPr>
                <w:rFonts w:ascii="Times New Roman" w:hAnsi="Times New Roman"/>
                <w:color w:val="FFFFFF"/>
              </w:rPr>
            </w:pPr>
            <w:r w:rsidRPr="00BC7BEB">
              <w:rPr>
                <w:rFonts w:ascii="Times New Roman" w:hAnsi="Times New Roman"/>
                <w:b/>
                <w:bCs/>
                <w:color w:val="FFFFFF"/>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2011B" w:rsidP="00403BEF">
            <w:pPr>
              <w:bidi w:val="0"/>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sidR="005408F1">
              <w:rPr>
                <w:rFonts w:ascii="Times New Roman" w:hAnsi="Times New Roman"/>
              </w:rPr>
              <w:t>14 000 000,-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sidR="005408F1">
              <w:rPr>
                <w:rFonts w:ascii="Times New Roman" w:hAnsi="Times New Roman"/>
              </w:rPr>
              <w:t>90 </w:t>
            </w:r>
            <w:r>
              <w:rPr>
                <w:rFonts w:ascii="Times New Roman" w:hAnsi="Times New Roman"/>
              </w:rPr>
              <w:t>000 000,-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5408F1">
            <w:pPr>
              <w:bidi w:val="0"/>
              <w:spacing w:line="70" w:lineRule="atLeast"/>
              <w:jc w:val="right"/>
              <w:rPr>
                <w:rFonts w:ascii="Times New Roman" w:hAnsi="Times New Roman"/>
              </w:rPr>
            </w:pPr>
            <w:r w:rsidR="005408F1">
              <w:rPr>
                <w:rFonts w:ascii="Times New Roman" w:hAnsi="Times New Roman"/>
              </w:rPr>
              <w:t>90</w:t>
            </w:r>
            <w:r>
              <w:rPr>
                <w:rFonts w:ascii="Times New Roman" w:hAnsi="Times New Roman"/>
              </w:rPr>
              <w:t> 000 000,-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222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p w:rsidR="0052011B" w:rsidP="00403BEF">
            <w:pPr>
              <w:pStyle w:val="NormalWeb"/>
              <w:bidi w:val="0"/>
              <w:spacing w:before="0" w:beforeAutospacing="0" w:after="0" w:afterAutospacing="0"/>
              <w:jc w:val="both"/>
              <w:rPr>
                <w:rFonts w:ascii="Times New Roman" w:hAnsi="Times New Roman"/>
              </w:rPr>
            </w:pPr>
            <w:r>
              <w:rPr>
                <w:rFonts w:ascii="Times New Roman" w:hAnsi="Times New Roman"/>
              </w:rPr>
              <w:t xml:space="preserve"> </w:t>
            </w:r>
          </w:p>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auto"/>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22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tcPr>
          <w:p w:rsidR="0052011B" w:rsidP="00403BEF">
            <w:pPr>
              <w:pStyle w:val="NormalWeb"/>
              <w:bidi w:val="0"/>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right"/>
              <w:rPr>
                <w:rFonts w:ascii="Times New Roman" w:hAnsi="Times New Roman"/>
              </w:rPr>
            </w:pPr>
          </w:p>
        </w:tc>
        <w:tc>
          <w:tcPr>
            <w:tcW w:w="2220"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54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sidR="005408F1">
              <w:rPr>
                <w:rFonts w:ascii="Times New Roman" w:hAnsi="Times New Roman"/>
              </w:rPr>
              <w:t>14 000 000,-</w:t>
            </w:r>
          </w:p>
        </w:tc>
        <w:tc>
          <w:tcPr>
            <w:tcW w:w="154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center"/>
          </w:tcPr>
          <w:p w:rsidR="0052011B" w:rsidRPr="006C121A" w:rsidP="005408F1">
            <w:pPr>
              <w:bidi w:val="0"/>
              <w:spacing w:line="70" w:lineRule="atLeast"/>
              <w:jc w:val="right"/>
              <w:rPr>
                <w:rFonts w:ascii="Times New Roman" w:hAnsi="Times New Roman"/>
              </w:rPr>
            </w:pPr>
            <w:r w:rsidR="005408F1">
              <w:rPr>
                <w:rFonts w:ascii="Times New Roman" w:hAnsi="Times New Roman"/>
              </w:rPr>
              <w:t>90</w:t>
            </w:r>
            <w:r>
              <w:rPr>
                <w:rFonts w:ascii="Times New Roman" w:hAnsi="Times New Roman"/>
              </w:rPr>
              <w:t> 000 000,-</w:t>
            </w:r>
          </w:p>
        </w:tc>
        <w:tc>
          <w:tcPr>
            <w:tcW w:w="154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center"/>
          </w:tcPr>
          <w:p w:rsidR="0052011B" w:rsidRPr="006C121A" w:rsidP="005408F1">
            <w:pPr>
              <w:bidi w:val="0"/>
              <w:spacing w:line="70" w:lineRule="atLeast"/>
              <w:jc w:val="right"/>
              <w:rPr>
                <w:rFonts w:ascii="Times New Roman" w:hAnsi="Times New Roman"/>
              </w:rPr>
            </w:pPr>
            <w:r w:rsidR="005408F1">
              <w:rPr>
                <w:rFonts w:ascii="Times New Roman" w:hAnsi="Times New Roman"/>
              </w:rPr>
              <w:t>90</w:t>
            </w:r>
            <w:r>
              <w:rPr>
                <w:rFonts w:ascii="Times New Roman" w:hAnsi="Times New Roman"/>
              </w:rPr>
              <w:t> 000 000,-</w:t>
            </w:r>
          </w:p>
        </w:tc>
        <w:tc>
          <w:tcPr>
            <w:tcW w:w="222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2220"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222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1540" w:type="dxa"/>
            <w:tcBorders>
              <w:top w:val="single" w:sz="4"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single" w:sz="4"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single" w:sz="4"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single" w:sz="4"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2220" w:type="dxa"/>
            <w:tcBorders>
              <w:top w:val="single" w:sz="4" w:space="0" w:color="auto"/>
              <w:left w:val="none" w:sz="0" w:space="0" w:color="auto"/>
              <w:bottom w:val="single" w:sz="4" w:space="0" w:color="auto"/>
              <w:right w:val="single" w:sz="4" w:space="0" w:color="auto"/>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single" w:sz="4"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single" w:sz="4"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single" w:sz="4"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single" w:sz="4"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single" w:sz="4"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single" w:sz="4" w:space="0" w:color="auto"/>
              <w:left w:val="single" w:sz="4" w:space="0" w:color="auto"/>
              <w:bottom w:val="single" w:sz="4" w:space="0" w:color="auto"/>
              <w:right w:val="single" w:sz="4" w:space="0" w:color="auto"/>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FFFF99"/>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single" w:sz="4"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w:t>
            </w:r>
          </w:p>
        </w:tc>
        <w:tc>
          <w:tcPr>
            <w:tcW w:w="1540" w:type="dxa"/>
            <w:tcBorders>
              <w:top w:val="single" w:sz="4"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540" w:type="dxa"/>
            <w:tcBorders>
              <w:top w:val="single" w:sz="4"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76 000 000,-</w:t>
            </w:r>
          </w:p>
        </w:tc>
        <w:tc>
          <w:tcPr>
            <w:tcW w:w="1540" w:type="dxa"/>
            <w:tcBorders>
              <w:top w:val="single" w:sz="4"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76 000 000,-</w:t>
            </w:r>
          </w:p>
        </w:tc>
        <w:tc>
          <w:tcPr>
            <w:tcW w:w="2220" w:type="dxa"/>
            <w:tcBorders>
              <w:top w:val="single" w:sz="4"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76 000 000,-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76 000 000,-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76 000 000,-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2011B" w:rsidRPr="006C121A" w:rsidP="00403BEF">
            <w:pPr>
              <w:bidi w:val="0"/>
              <w:spacing w:line="70" w:lineRule="atLeast"/>
              <w:jc w:val="right"/>
              <w:rPr>
                <w:rFonts w:ascii="Times New Roman" w:hAnsi="Times New Roman"/>
              </w:rPr>
            </w:pPr>
            <w:r>
              <w:rPr>
                <w:rFonts w:ascii="Times New Roman" w:hAnsi="Times New Roman"/>
              </w:rPr>
              <w:t>76 000 000,-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bidi w:val="0"/>
              <w:spacing w:line="70" w:lineRule="atLeast"/>
              <w:jc w:val="right"/>
              <w:rPr>
                <w:rFonts w:ascii="Times New Roman" w:hAnsi="Times New Roman"/>
              </w:rPr>
            </w:pP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403BEF">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403BEF">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154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154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154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154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c>
          <w:tcPr>
            <w:tcW w:w="2220" w:type="dxa"/>
            <w:tcBorders>
              <w:top w:val="nil"/>
              <w:left w:val="nil"/>
              <w:bottom w:val="nil"/>
              <w:right w:val="nil"/>
            </w:tcBorders>
            <w:textDirection w:val="lrTb"/>
            <w:vAlign w:val="center"/>
          </w:tcPr>
          <w:p w:rsidR="0052011B" w:rsidP="00403BEF">
            <w:pPr>
              <w:bidi w:val="0"/>
              <w:rPr>
                <w:rFonts w:ascii="Times New Roman" w:hAnsi="Times New Roman"/>
                <w:sz w:val="2"/>
                <w:szCs w:val="2"/>
              </w:rPr>
            </w:pPr>
          </w:p>
        </w:tc>
      </w:tr>
    </w:tbl>
    <w:p w:rsidR="0052011B" w:rsidP="0052011B">
      <w:pPr>
        <w:pStyle w:val="NormalWeb"/>
        <w:bidi w:val="0"/>
        <w:spacing w:before="0" w:beforeAutospacing="0" w:after="0" w:afterAutospacing="0"/>
        <w:jc w:val="both"/>
        <w:rPr>
          <w:rFonts w:ascii="Times New Roman" w:hAnsi="Times New Roman"/>
        </w:rPr>
      </w:pPr>
      <w:r>
        <w:rPr>
          <w:rFonts w:ascii="Times New Roman" w:hAnsi="Times New Roman"/>
          <w:sz w:val="20"/>
          <w:szCs w:val="20"/>
        </w:rPr>
        <w:t>2 –  výdavky rozpísať až do položiek platnej ekonomickej klasifikácie</w:t>
      </w:r>
    </w:p>
    <w:p w:rsidR="0052011B" w:rsidP="0052011B">
      <w:pPr>
        <w:pStyle w:val="NormalWeb"/>
        <w:bidi w:val="0"/>
        <w:spacing w:before="0" w:beforeAutospacing="0" w:after="0" w:afterAutospacing="0"/>
        <w:ind w:hanging="1276"/>
        <w:rPr>
          <w:rFonts w:ascii="Times New Roman" w:hAnsi="Times New Roman"/>
          <w:sz w:val="20"/>
          <w:szCs w:val="20"/>
        </w:rPr>
      </w:pPr>
      <w:r>
        <w:rPr>
          <w:rFonts w:ascii="Times New Roman" w:hAnsi="Times New Roman"/>
          <w:sz w:val="20"/>
          <w:szCs w:val="20"/>
        </w:rPr>
        <w:t>Poznámka:</w:t>
      </w:r>
    </w:p>
    <w:p w:rsidR="0052011B" w:rsidP="0052011B">
      <w:pPr>
        <w:pStyle w:val="NormalWeb"/>
        <w:bidi w:val="0"/>
        <w:spacing w:before="0" w:beforeAutospacing="0" w:after="0" w:afterAutospacing="0"/>
        <w:ind w:left="-1276"/>
        <w:rPr>
          <w:rFonts w:ascii="Times New Roman" w:hAnsi="Times New Roman"/>
          <w:sz w:val="20"/>
          <w:szCs w:val="20"/>
        </w:rPr>
      </w:pPr>
      <w:r>
        <w:rPr>
          <w:rFonts w:ascii="Times New Roman" w:hAnsi="Times New Roman"/>
          <w:sz w:val="20"/>
          <w:szCs w:val="20"/>
        </w:rPr>
        <w:t>Príspevok zo ŠR pre RTVS je v rámci programovej štruktúry MK SR rozpočtovaný v kategórii 640 – Bežné transfery platnej ekonomickej klasifikácie. Zvýšenie mesačnej mzdy generálneho riaditeľa RTVS je rozpočtované v rámci bežného transferu . Toto zvýšenie sa v rozpočte RTVS prejaví nasledovne:  kategória  610 – 62 664,- eur; kategória 620- 21 902,- eur.</w:t>
      </w:r>
    </w:p>
    <w:p w:rsidR="0052011B" w:rsidP="0052011B">
      <w:pPr>
        <w:pStyle w:val="NormalWeb"/>
        <w:bidi w:val="0"/>
        <w:spacing w:before="0" w:beforeAutospacing="0" w:after="0" w:afterAutospacing="0"/>
        <w:rPr>
          <w:rFonts w:ascii="Times New Roman" w:hAnsi="Times New Roman"/>
        </w:rPr>
      </w:pPr>
      <w:r>
        <w:rPr>
          <w:rFonts w:ascii="Times New Roman" w:hAnsi="Times New Roman"/>
          <w:sz w:val="20"/>
          <w:szCs w:val="20"/>
        </w:rPr>
        <w:t xml:space="preserve">                                                                                                                                                                                            </w:t>
      </w:r>
      <w:r>
        <w:rPr>
          <w:rFonts w:ascii="Times New Roman" w:hAnsi="Times New Roman"/>
        </w:rPr>
        <w:t xml:space="preserve">                 </w:t>
      </w: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3A5AE3"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408F1" w:rsidP="0052011B">
      <w:pPr>
        <w:pStyle w:val="NormalWeb"/>
        <w:bidi w:val="0"/>
        <w:spacing w:before="0" w:beforeAutospacing="0" w:after="0" w:afterAutospacing="0"/>
        <w:rPr>
          <w:rFonts w:ascii="Times New Roman" w:hAnsi="Times New Roman"/>
        </w:rPr>
      </w:pPr>
    </w:p>
    <w:p w:rsidR="0052011B" w:rsidP="0052011B">
      <w:pPr>
        <w:pStyle w:val="NormalWeb"/>
        <w:bidi w:val="0"/>
        <w:spacing w:before="0" w:beforeAutospacing="0" w:after="0" w:afterAutospacing="0"/>
        <w:rPr>
          <w:rFonts w:ascii="Times New Roman" w:hAnsi="Times New Roman"/>
        </w:rPr>
      </w:pPr>
      <w:r>
        <w:rPr>
          <w:rFonts w:ascii="Times New Roman" w:hAnsi="Times New Roman"/>
        </w:rPr>
        <w:t xml:space="preserve">Tabuľka č. 6 </w:t>
      </w:r>
    </w:p>
    <w:p w:rsidR="005D3A18" w:rsidP="0052011B">
      <w:pPr>
        <w:pStyle w:val="NormalWeb"/>
        <w:bidi w:val="0"/>
        <w:spacing w:before="0" w:beforeAutospacing="0" w:after="0" w:afterAutospacing="0"/>
        <w:rPr>
          <w:rFonts w:ascii="Times New Roman" w:hAnsi="Times New Roman"/>
        </w:rPr>
      </w:pPr>
    </w:p>
    <w:tbl>
      <w:tblPr>
        <w:tblStyle w:val="TableNormal"/>
        <w:tblpPr w:leftFromText="141" w:rightFromText="141" w:vertAnchor="text" w:horzAnchor="margin" w:tblpXSpec="center" w:tblpY="-13"/>
        <w:tblW w:w="15114" w:type="dxa"/>
        <w:tblCellMar>
          <w:left w:w="0" w:type="dxa"/>
          <w:right w:w="0" w:type="dxa"/>
        </w:tblCellMar>
      </w:tblPr>
      <w:tblGrid>
        <w:gridCol w:w="5932"/>
        <w:gridCol w:w="1500"/>
        <w:gridCol w:w="1598"/>
        <w:gridCol w:w="564"/>
        <w:gridCol w:w="1491"/>
        <w:gridCol w:w="1550"/>
        <w:gridCol w:w="933"/>
        <w:gridCol w:w="1546"/>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P="005408F1">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2011B" w:rsidP="005408F1">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52011B" w:rsidP="005408F1">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2011</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2012</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2013</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2014</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52011B" w:rsidP="005408F1">
            <w:pPr>
              <w:bidi w:val="0"/>
              <w:rPr>
                <w:rFonts w:ascii="Times New Roman" w:hAnsi="Times New Roman"/>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2011B" w:rsidRPr="000E70BA"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2011B" w:rsidP="005408F1">
            <w:pPr>
              <w:bidi w:val="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5408F1">
            <w:pPr>
              <w:bidi w:val="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9"/>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color w:val="FFFFFF"/>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color w:val="FFFFFF"/>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2011B" w:rsidRPr="00CC62BA" w:rsidP="005408F1">
            <w:pPr>
              <w:pStyle w:val="NormalWeb"/>
              <w:bidi w:val="0"/>
              <w:spacing w:before="0" w:beforeAutospacing="0" w:after="0" w:afterAutospacing="0"/>
              <w:jc w:val="center"/>
              <w:rPr>
                <w:rFonts w:ascii="Times New Roman" w:hAnsi="Times New Roman"/>
              </w:rPr>
            </w:pP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2011B" w:rsidRPr="00CC62BA"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2011B" w:rsidRPr="00CC62BA" w:rsidP="005408F1">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RPr="00CC62BA"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2011B" w:rsidP="005408F1">
            <w:pPr>
              <w:pStyle w:val="NormalWeb"/>
              <w:bidi w:val="0"/>
              <w:spacing w:before="0" w:beforeAutospacing="0" w:after="0" w:afterAutospacing="0"/>
              <w:jc w:val="center"/>
              <w:rPr>
                <w:rFonts w:ascii="Times New Roman" w:hAnsi="Times New Roman"/>
              </w:rPr>
            </w:pP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b/>
                <w:bCs/>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52011B" w:rsidP="005408F1">
            <w:pPr>
              <w:pStyle w:val="NormalWeb"/>
              <w:bidi w:val="0"/>
              <w:spacing w:before="0" w:beforeAutospacing="0" w:after="0" w:afterAutospacing="0"/>
              <w:rPr>
                <w:rFonts w:ascii="Times New Roman" w:hAnsi="Times New Roman"/>
              </w:rPr>
            </w:pPr>
            <w:r>
              <w:rPr>
                <w:rFonts w:ascii="Times New Roman" w:hAnsi="Times New Roman"/>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Kategórie 610 a 620 sú z tejto prílohy automaticky prenášané do príslušných kategórií prílohy „výdavky“</w:t>
            </w: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2011B" w:rsidP="005408F1">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c>
          <w:tcPr>
            <w:tcW w:w="5932" w:type="dxa"/>
            <w:tcBorders>
              <w:top w:val="nil"/>
              <w:left w:val="nil"/>
              <w:bottom w:val="nil"/>
              <w:right w:val="nil"/>
            </w:tcBorders>
            <w:textDirection w:val="lrTb"/>
            <w:vAlign w:val="center"/>
          </w:tcPr>
          <w:p w:rsidR="0052011B" w:rsidP="005408F1">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52011B" w:rsidP="005408F1">
            <w:pPr>
              <w:bidi w:val="0"/>
              <w:rPr>
                <w:rFonts w:ascii="Times New Roman" w:hAnsi="Times New Roman"/>
                <w:sz w:val="2"/>
                <w:szCs w:val="2"/>
              </w:rPr>
            </w:pPr>
          </w:p>
        </w:tc>
        <w:tc>
          <w:tcPr>
            <w:tcW w:w="1598" w:type="dxa"/>
            <w:tcBorders>
              <w:top w:val="nil"/>
              <w:left w:val="nil"/>
              <w:bottom w:val="nil"/>
              <w:right w:val="nil"/>
            </w:tcBorders>
            <w:textDirection w:val="lrTb"/>
            <w:vAlign w:val="center"/>
          </w:tcPr>
          <w:p w:rsidR="0052011B" w:rsidP="005408F1">
            <w:pPr>
              <w:bidi w:val="0"/>
              <w:rPr>
                <w:rFonts w:ascii="Times New Roman" w:hAnsi="Times New Roman"/>
                <w:sz w:val="2"/>
                <w:szCs w:val="2"/>
              </w:rPr>
            </w:pPr>
          </w:p>
        </w:tc>
        <w:tc>
          <w:tcPr>
            <w:tcW w:w="564" w:type="dxa"/>
            <w:tcBorders>
              <w:top w:val="nil"/>
              <w:left w:val="nil"/>
              <w:bottom w:val="nil"/>
              <w:right w:val="nil"/>
            </w:tcBorders>
            <w:textDirection w:val="lrTb"/>
            <w:vAlign w:val="center"/>
          </w:tcPr>
          <w:p w:rsidR="0052011B" w:rsidP="005408F1">
            <w:pPr>
              <w:bidi w:val="0"/>
              <w:rPr>
                <w:rFonts w:ascii="Times New Roman" w:hAnsi="Times New Roman"/>
                <w:sz w:val="2"/>
                <w:szCs w:val="2"/>
              </w:rPr>
            </w:pPr>
          </w:p>
        </w:tc>
        <w:tc>
          <w:tcPr>
            <w:tcW w:w="1491" w:type="dxa"/>
            <w:tcBorders>
              <w:top w:val="nil"/>
              <w:left w:val="nil"/>
              <w:bottom w:val="nil"/>
              <w:right w:val="nil"/>
            </w:tcBorders>
            <w:textDirection w:val="lrTb"/>
            <w:vAlign w:val="center"/>
          </w:tcPr>
          <w:p w:rsidR="0052011B" w:rsidP="005408F1">
            <w:pPr>
              <w:bidi w:val="0"/>
              <w:rPr>
                <w:rFonts w:ascii="Times New Roman" w:hAnsi="Times New Roman"/>
                <w:sz w:val="2"/>
                <w:szCs w:val="2"/>
              </w:rPr>
            </w:pPr>
          </w:p>
        </w:tc>
        <w:tc>
          <w:tcPr>
            <w:tcW w:w="1550" w:type="dxa"/>
            <w:tcBorders>
              <w:top w:val="nil"/>
              <w:left w:val="nil"/>
              <w:bottom w:val="nil"/>
              <w:right w:val="nil"/>
            </w:tcBorders>
            <w:textDirection w:val="lrTb"/>
            <w:vAlign w:val="center"/>
          </w:tcPr>
          <w:p w:rsidR="0052011B" w:rsidP="005408F1">
            <w:pPr>
              <w:bidi w:val="0"/>
              <w:rPr>
                <w:rFonts w:ascii="Times New Roman" w:hAnsi="Times New Roman"/>
                <w:sz w:val="2"/>
                <w:szCs w:val="2"/>
              </w:rPr>
            </w:pPr>
          </w:p>
        </w:tc>
        <w:tc>
          <w:tcPr>
            <w:tcW w:w="933" w:type="dxa"/>
            <w:tcBorders>
              <w:top w:val="nil"/>
              <w:left w:val="nil"/>
              <w:bottom w:val="nil"/>
              <w:right w:val="nil"/>
            </w:tcBorders>
            <w:textDirection w:val="lrTb"/>
            <w:vAlign w:val="center"/>
          </w:tcPr>
          <w:p w:rsidR="0052011B" w:rsidP="005408F1">
            <w:pPr>
              <w:bidi w:val="0"/>
              <w:rPr>
                <w:rFonts w:ascii="Times New Roman" w:hAnsi="Times New Roman"/>
                <w:sz w:val="2"/>
                <w:szCs w:val="2"/>
              </w:rPr>
            </w:pPr>
          </w:p>
        </w:tc>
        <w:tc>
          <w:tcPr>
            <w:tcW w:w="1546" w:type="dxa"/>
            <w:tcBorders>
              <w:top w:val="nil"/>
              <w:left w:val="nil"/>
              <w:bottom w:val="nil"/>
              <w:right w:val="nil"/>
            </w:tcBorders>
            <w:textDirection w:val="lrTb"/>
            <w:vAlign w:val="center"/>
          </w:tcPr>
          <w:p w:rsidR="0052011B" w:rsidP="005408F1">
            <w:pPr>
              <w:bidi w:val="0"/>
              <w:rPr>
                <w:rFonts w:ascii="Times New Roman" w:hAnsi="Times New Roman"/>
                <w:sz w:val="2"/>
                <w:szCs w:val="2"/>
              </w:rPr>
            </w:pPr>
          </w:p>
        </w:tc>
      </w:tr>
    </w:tbl>
    <w:p w:rsidR="0052011B" w:rsidP="0052011B">
      <w:pPr>
        <w:pStyle w:val="NormalWeb"/>
        <w:bidi w:val="0"/>
        <w:spacing w:before="0" w:beforeAutospacing="0" w:after="0" w:afterAutospacing="0"/>
        <w:jc w:val="both"/>
        <w:rPr>
          <w:rFonts w:ascii="Times New Roman" w:hAnsi="Times New Roman"/>
        </w:rPr>
      </w:pPr>
      <w:r>
        <w:rPr>
          <w:rFonts w:ascii="Times New Roman" w:hAnsi="Times New Roman"/>
        </w:rPr>
        <w:t> </w:t>
      </w:r>
    </w:p>
    <w:p w:rsidR="0052011B" w:rsidP="0052011B">
      <w:pPr>
        <w:pStyle w:val="NormalWeb"/>
        <w:bidi w:val="0"/>
        <w:spacing w:before="0" w:beforeAutospacing="0" w:after="0" w:afterAutospacing="0"/>
        <w:rPr>
          <w:rFonts w:ascii="Times New Roman" w:hAnsi="Times New Roman"/>
        </w:rPr>
      </w:pPr>
      <w:r>
        <w:rPr>
          <w:rFonts w:ascii="Times New Roman" w:hAnsi="Times New Roman"/>
          <w:b/>
          <w:bCs/>
        </w:rPr>
        <w:t>* počet zamestnancov,  mzdy a poistné rozpísať podľa spôsobu odmeňovania (napr. policajti, colníci ...)</w:t>
      </w:r>
    </w:p>
    <w:p w:rsidR="005F4610" w:rsidP="0052011B">
      <w:pPr>
        <w:bidi w:val="0"/>
        <w:rPr>
          <w:rFonts w:ascii="Times New Roman" w:hAnsi="Times New Roman"/>
        </w:rPr>
      </w:pPr>
    </w:p>
    <w:p w:rsidR="0052011B" w:rsidP="0052011B">
      <w:pPr>
        <w:bidi w:val="0"/>
        <w:rPr>
          <w:rFonts w:ascii="Times New Roman" w:hAnsi="Times New Roman"/>
        </w:rPr>
      </w:pPr>
    </w:p>
    <w:p w:rsidR="0052011B" w:rsidP="0052011B">
      <w:pPr>
        <w:bidi w:val="0"/>
        <w:rPr>
          <w:rFonts w:ascii="Times New Roman" w:hAnsi="Times New Roman"/>
        </w:rPr>
      </w:pPr>
    </w:p>
    <w:p w:rsidR="0052011B" w:rsidP="0052011B">
      <w:pPr>
        <w:bidi w:val="0"/>
        <w:rPr>
          <w:rFonts w:ascii="Times New Roman" w:hAnsi="Times New Roman"/>
        </w:rPr>
      </w:pPr>
    </w:p>
    <w:p w:rsidR="0052011B" w:rsidP="0052011B">
      <w:pPr>
        <w:bidi w:val="0"/>
        <w:rPr>
          <w:rFonts w:ascii="Times New Roman" w:hAnsi="Times New Roman"/>
        </w:rPr>
      </w:pPr>
    </w:p>
    <w:p w:rsidR="0052011B" w:rsidP="0052011B">
      <w:pPr>
        <w:bidi w:val="0"/>
        <w:rPr>
          <w:rFonts w:ascii="Times New Roman" w:hAnsi="Times New Roman"/>
        </w:rPr>
      </w:pPr>
    </w:p>
    <w:p w:rsidR="0052011B" w:rsidP="0052011B">
      <w:pPr>
        <w:bidi w:val="0"/>
        <w:rPr>
          <w:rFonts w:ascii="Times New Roman" w:hAnsi="Times New Roman"/>
        </w:rPr>
        <w:sectPr w:rsidSect="006447A7">
          <w:footerReference w:type="default" r:id="rId6"/>
          <w:pgSz w:w="15840" w:h="12240" w:orient="landscape"/>
          <w:pgMar w:top="1440" w:right="1418" w:bottom="1440" w:left="1418" w:header="709" w:footer="709" w:gutter="0"/>
          <w:lnNumType w:distance="0"/>
          <w:cols w:space="708"/>
          <w:noEndnote w:val="0"/>
          <w:titlePg/>
          <w:bidi w:val="0"/>
          <w:docGrid w:linePitch="360"/>
        </w:sectPr>
      </w:pPr>
    </w:p>
    <w:p w:rsidR="004923B9" w:rsidP="004923B9">
      <w:pPr>
        <w:bidi w:val="0"/>
        <w:jc w:val="center"/>
        <w:rPr>
          <w:rFonts w:ascii="Times New Roman" w:hAnsi="Times New Roman"/>
          <w:b/>
          <w:bCs/>
          <w:sz w:val="28"/>
          <w:szCs w:val="28"/>
        </w:rPr>
      </w:pPr>
      <w:r>
        <w:rPr>
          <w:rFonts w:ascii="Times New Roman" w:hAnsi="Times New Roman"/>
          <w:b/>
          <w:bCs/>
          <w:sz w:val="28"/>
          <w:szCs w:val="28"/>
        </w:rPr>
        <w:t>Vplyvy na podnikateľské prostredie</w:t>
      </w:r>
    </w:p>
    <w:p w:rsidR="004923B9" w:rsidP="004923B9">
      <w:pPr>
        <w:bidi w:val="0"/>
        <w:rPr>
          <w:rFonts w:ascii="Times New Roman" w:hAnsi="Times New Roman"/>
          <w:b/>
          <w:bCs/>
          <w:sz w:val="28"/>
          <w:szCs w:val="28"/>
        </w:rPr>
      </w:pPr>
    </w:p>
    <w:p w:rsidR="004923B9" w:rsidP="004923B9">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4923B9" w:rsidP="00EE7DF7">
            <w:pPr>
              <w:bidi w:val="0"/>
              <w:jc w:val="center"/>
              <w:rPr>
                <w:rFonts w:ascii="Times New Roman" w:hAnsi="Times New Roman"/>
                <w:b/>
                <w:bCs/>
                <w:color w:val="FFFFFF"/>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923B9" w:rsidP="00EE7DF7">
            <w:pPr>
              <w:bidi w:val="0"/>
              <w:jc w:val="both"/>
              <w:rPr>
                <w:rFonts w:ascii="Times New Roman" w:hAnsi="Times New Roman"/>
              </w:rPr>
            </w:pPr>
          </w:p>
          <w:p w:rsidR="004923B9" w:rsidP="00EE7DF7">
            <w:pPr>
              <w:bidi w:val="0"/>
              <w:jc w:val="both"/>
              <w:rPr>
                <w:rFonts w:ascii="Times New Roman" w:hAnsi="Times New Roman"/>
              </w:rPr>
            </w:pPr>
            <w:r>
              <w:rPr>
                <w:rFonts w:ascii="Times New Roman" w:hAnsi="Times New Roman"/>
                <w:b/>
                <w:bCs/>
              </w:rPr>
              <w:t>3.1</w:t>
            </w:r>
            <w:r>
              <w:rPr>
                <w:rFonts w:ascii="Times New Roman" w:hAnsi="Times New Roman"/>
              </w:rPr>
              <w:t>. Ktoré podnikateľské subjekty budú predkladaným návrhom ovplyvnené a aký je ich počet?</w:t>
            </w:r>
          </w:p>
          <w:p w:rsidR="004923B9" w:rsidP="00EE7DF7">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4923B9" w:rsidRPr="00E37602" w:rsidP="00EE7DF7">
            <w:pPr>
              <w:bidi w:val="0"/>
              <w:rPr>
                <w:rFonts w:ascii="Times New Roman" w:hAnsi="Times New Roman"/>
              </w:rPr>
            </w:pPr>
            <w:r w:rsidRPr="00E37602">
              <w:rPr>
                <w:rFonts w:ascii="Times New Roman" w:hAnsi="Times New Roman"/>
              </w:rPr>
              <w:t>Predkladaným návrhom zákona budú ovplyvnení všetci zamestnávatelia, ktorí v pracovnom pomere alebo v obdobnom pracovnom vzťahu zamestnávajú aspoň troch zamestnancov</w:t>
            </w:r>
            <w:r>
              <w:rPr>
                <w:rFonts w:ascii="Times New Roman" w:hAnsi="Times New Roman"/>
              </w:rPr>
              <w:t>, s výnimkou zamestnávateľov, ktorí sú aj v súčasnej dobe oslobodení od povinnosti platiť úhrady (vyberateľ úhrady, Telekomunikačný úrad Slovenskej republiky, Rada pre vysielanie a retransmisiu,  Rozhlas a televízia Slovenska, zariadenia Zboru väzenskej a justičnej stráže, predškolské zariadenia , školy, nemocnice, liečebne, zariadenia sociálnych služieb, zariadenia sociálnoprávnej ochrany detí a sociálnej kurately a osoby, ktoré požívajú diplomatické výsady a imunity podľa medzinárodného práva, ak je zaručená vzájomnosť)</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923B9" w:rsidP="00EE7DF7">
            <w:pPr>
              <w:bidi w:val="0"/>
              <w:jc w:val="both"/>
              <w:rPr>
                <w:rFonts w:ascii="Times New Roman" w:hAnsi="Times New Roman"/>
              </w:rPr>
            </w:pPr>
          </w:p>
          <w:p w:rsidR="004923B9" w:rsidP="00EE7DF7">
            <w:pPr>
              <w:bidi w:val="0"/>
              <w:jc w:val="both"/>
              <w:rPr>
                <w:rFonts w:ascii="Times New Roman" w:hAnsi="Times New Roman"/>
              </w:rPr>
            </w:pPr>
            <w:r>
              <w:rPr>
                <w:rFonts w:ascii="Times New Roman" w:hAnsi="Times New Roman"/>
                <w:b/>
                <w:bCs/>
              </w:rPr>
              <w:t>3.2</w:t>
            </w:r>
            <w:r>
              <w:rPr>
                <w:rFonts w:ascii="Times New Roman" w:hAnsi="Times New Roman"/>
              </w:rPr>
              <w:t>. Aký je predpokladaný charakter a rozsah nákladov a prínosov?</w:t>
            </w:r>
          </w:p>
          <w:p w:rsidR="004923B9" w:rsidP="00EE7DF7">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4923B9" w:rsidP="00EE7DF7">
            <w:pPr>
              <w:bidi w:val="0"/>
              <w:jc w:val="both"/>
              <w:rPr>
                <w:rFonts w:ascii="Times New Roman" w:hAnsi="Times New Roman"/>
              </w:rPr>
            </w:pPr>
            <w:r w:rsidRPr="00E37602">
              <w:rPr>
                <w:rFonts w:ascii="Times New Roman" w:hAnsi="Times New Roman"/>
                <w:lang w:val="pt-BR"/>
              </w:rPr>
              <w:t>Zamestnávateľom</w:t>
            </w:r>
            <w:r>
              <w:rPr>
                <w:rFonts w:ascii="Arial" w:hAnsi="Arial" w:cs="Arial"/>
                <w:sz w:val="20"/>
                <w:szCs w:val="20"/>
                <w:lang w:val="pt-BR"/>
              </w:rPr>
              <w:t xml:space="preserve"> </w:t>
            </w:r>
            <w:r>
              <w:rPr>
                <w:rFonts w:ascii="Times New Roman" w:hAnsi="Times New Roman"/>
              </w:rPr>
              <w:t>sa znížia výdavky v závislosti od počtu ich zamestnancov nasledovne:</w:t>
            </w:r>
          </w:p>
          <w:p w:rsidR="004923B9" w:rsidP="00EE7DF7">
            <w:pPr>
              <w:bidi w:val="0"/>
              <w:rPr>
                <w:rFonts w:ascii="Times New Roman" w:hAnsi="Times New Roman"/>
              </w:rPr>
            </w:pPr>
            <w:r w:rsidRPr="00577AE6">
              <w:rPr>
                <w:rFonts w:ascii="Times New Roman" w:hAnsi="Times New Roman"/>
                <w:b/>
                <w:bCs/>
              </w:rPr>
              <w:t>4,64</w:t>
            </w:r>
            <w:r>
              <w:rPr>
                <w:rFonts w:ascii="Times New Roman" w:hAnsi="Times New Roman"/>
              </w:rPr>
              <w:t xml:space="preserve"> eura, ak zamestnáva od 3 do 9 zamestnancov, </w:t>
            </w:r>
            <w:r w:rsidRPr="00577AE6">
              <w:rPr>
                <w:rFonts w:ascii="Times New Roman" w:hAnsi="Times New Roman"/>
                <w:b/>
                <w:bCs/>
              </w:rPr>
              <w:t>18,58</w:t>
            </w:r>
            <w:r>
              <w:rPr>
                <w:rFonts w:ascii="Times New Roman" w:hAnsi="Times New Roman"/>
              </w:rPr>
              <w:t xml:space="preserve"> eura, ak zamestnáva od 10 do 49 zamestnancov, </w:t>
            </w:r>
          </w:p>
          <w:p w:rsidR="004923B9" w:rsidP="00EE7DF7">
            <w:pPr>
              <w:bidi w:val="0"/>
              <w:rPr>
                <w:rFonts w:ascii="Times New Roman" w:hAnsi="Times New Roman"/>
              </w:rPr>
            </w:pPr>
            <w:r w:rsidRPr="00577AE6">
              <w:rPr>
                <w:rFonts w:ascii="Times New Roman" w:hAnsi="Times New Roman"/>
                <w:b/>
                <w:bCs/>
              </w:rPr>
              <w:t>79,66</w:t>
            </w:r>
            <w:r>
              <w:rPr>
                <w:rFonts w:ascii="Times New Roman" w:hAnsi="Times New Roman"/>
              </w:rPr>
              <w:t xml:space="preserve"> eura, ak zamestnáva od 50 do 249 zamestnancov, </w:t>
            </w:r>
          </w:p>
          <w:p w:rsidR="004923B9" w:rsidP="00EE7DF7">
            <w:pPr>
              <w:bidi w:val="0"/>
              <w:rPr>
                <w:rFonts w:ascii="Times New Roman" w:hAnsi="Times New Roman"/>
              </w:rPr>
            </w:pPr>
            <w:r w:rsidRPr="00577AE6">
              <w:rPr>
                <w:rFonts w:ascii="Times New Roman" w:hAnsi="Times New Roman"/>
                <w:b/>
                <w:bCs/>
              </w:rPr>
              <w:t>199,16</w:t>
            </w:r>
            <w:r>
              <w:rPr>
                <w:rFonts w:ascii="Times New Roman" w:hAnsi="Times New Roman"/>
              </w:rPr>
              <w:t xml:space="preserve"> eura, ak zamestnáva od 250 do 999 zamestnancov, </w:t>
            </w:r>
          </w:p>
          <w:p w:rsidR="004923B9" w:rsidP="00EE7DF7">
            <w:pPr>
              <w:bidi w:val="0"/>
              <w:rPr>
                <w:rFonts w:ascii="Arial" w:hAnsi="Arial" w:cs="Arial"/>
                <w:sz w:val="20"/>
                <w:szCs w:val="20"/>
                <w:lang w:val="pt-BR"/>
              </w:rPr>
            </w:pPr>
            <w:r w:rsidRPr="00577AE6">
              <w:rPr>
                <w:rFonts w:ascii="Times New Roman" w:hAnsi="Times New Roman"/>
                <w:b/>
                <w:bCs/>
              </w:rPr>
              <w:t>464,71</w:t>
            </w:r>
            <w:r>
              <w:rPr>
                <w:rFonts w:ascii="Times New Roman" w:hAnsi="Times New Roman"/>
              </w:rPr>
              <w:t xml:space="preserve"> eura, ak zamestnáva </w:t>
            </w:r>
            <w:smartTag w:uri="urn:schemas-microsoft-com:office:smarttags" w:element="metricconverter">
              <w:smartTagPr>
                <w:attr w:name="ProductID" w:val="1 000 a"/>
              </w:smartTagPr>
              <w:r>
                <w:rPr>
                  <w:rFonts w:ascii="Times New Roman" w:hAnsi="Times New Roman"/>
                </w:rPr>
                <w:t>1 000 a</w:t>
              </w:r>
            </w:smartTag>
            <w:r>
              <w:rPr>
                <w:rFonts w:ascii="Times New Roman" w:hAnsi="Times New Roman"/>
              </w:rPr>
              <w:t xml:space="preserve"> viac zamestnancov.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923B9" w:rsidP="00EE7DF7">
            <w:pPr>
              <w:bidi w:val="0"/>
              <w:jc w:val="both"/>
              <w:rPr>
                <w:rFonts w:ascii="Times New Roman" w:hAnsi="Times New Roman"/>
              </w:rPr>
            </w:pPr>
          </w:p>
          <w:p w:rsidR="004923B9" w:rsidP="00EE7DF7">
            <w:pPr>
              <w:bidi w:val="0"/>
              <w:jc w:val="both"/>
              <w:rPr>
                <w:rFonts w:ascii="Times New Roman" w:hAnsi="Times New Roman"/>
              </w:rPr>
            </w:pPr>
            <w:r>
              <w:rPr>
                <w:rFonts w:ascii="Times New Roman" w:hAnsi="Times New Roman"/>
                <w:b/>
                <w:bCs/>
              </w:rPr>
              <w:t>3.3</w:t>
            </w:r>
            <w:r>
              <w:rPr>
                <w:rFonts w:ascii="Times New Roman" w:hAnsi="Times New Roman"/>
              </w:rPr>
              <w:t>. Aká je predpokladaná výška administratívnych nákladov, ktoré podniky vynaložia v súvislosti s implementáciou návrhu?</w:t>
            </w:r>
          </w:p>
          <w:p w:rsidR="004923B9" w:rsidP="00EE7DF7">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4923B9" w:rsidRPr="00E37602" w:rsidP="00EE7DF7">
            <w:pPr>
              <w:bidi w:val="0"/>
              <w:rPr>
                <w:rFonts w:ascii="Times New Roman" w:hAnsi="Times New Roman"/>
              </w:rPr>
            </w:pPr>
            <w:r w:rsidRPr="00E37602">
              <w:rPr>
                <w:rFonts w:ascii="Times New Roman" w:hAnsi="Times New Roman"/>
              </w:rPr>
              <w:t> Nepredpokladajú sa žiadne náklady podnikov.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4923B9" w:rsidP="00EE7DF7">
            <w:pPr>
              <w:bidi w:val="0"/>
              <w:jc w:val="both"/>
              <w:rPr>
                <w:rFonts w:ascii="Times New Roman" w:hAnsi="Times New Roman"/>
              </w:rPr>
            </w:pPr>
          </w:p>
          <w:p w:rsidR="004923B9" w:rsidP="00EE7DF7">
            <w:pPr>
              <w:bidi w:val="0"/>
              <w:jc w:val="both"/>
              <w:rPr>
                <w:rFonts w:ascii="Times New Roman" w:hAnsi="Times New Roman"/>
              </w:rPr>
            </w:pPr>
            <w:r>
              <w:rPr>
                <w:rFonts w:ascii="Times New Roman" w:hAnsi="Times New Roman"/>
                <w:b/>
                <w:bCs/>
              </w:rPr>
              <w:t>3.4</w:t>
            </w:r>
            <w:r>
              <w:rPr>
                <w:rFonts w:ascii="Times New Roman" w:hAnsi="Times New Roman"/>
              </w:rPr>
              <w:t>. Aké sú dôsledky pripravovaného návrhu pre fungovanie podnikateľských subjektov na slovenskom trhu (ako sa zmenia operácie na trhu?)</w:t>
            </w:r>
          </w:p>
          <w:p w:rsidR="004923B9" w:rsidP="00EE7DF7">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4923B9" w:rsidRPr="00E37602" w:rsidP="00EE7DF7">
            <w:pPr>
              <w:bidi w:val="0"/>
              <w:rPr>
                <w:rFonts w:ascii="Times New Roman" w:hAnsi="Times New Roman"/>
              </w:rPr>
            </w:pPr>
            <w:r>
              <w:rPr>
                <w:rFonts w:ascii="Arial" w:hAnsi="Arial" w:cs="Arial"/>
                <w:sz w:val="20"/>
                <w:szCs w:val="20"/>
              </w:rPr>
              <w:t> </w:t>
            </w:r>
            <w:r w:rsidRPr="00E37602">
              <w:rPr>
                <w:rFonts w:ascii="Times New Roman" w:hAnsi="Times New Roman"/>
              </w:rPr>
              <w:t>Nepredpokladajú sa žiadne</w:t>
            </w:r>
            <w:r>
              <w:rPr>
                <w:rFonts w:ascii="Times New Roman" w:hAnsi="Times New Roman"/>
              </w:rPr>
              <w:t xml:space="preserve"> dôsledky.</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923B9" w:rsidP="00EE7DF7">
            <w:pPr>
              <w:bidi w:val="0"/>
              <w:jc w:val="both"/>
              <w:rPr>
                <w:rFonts w:ascii="Times New Roman" w:hAnsi="Times New Roman"/>
              </w:rPr>
            </w:pPr>
          </w:p>
          <w:p w:rsidR="004923B9" w:rsidP="00EE7DF7">
            <w:pPr>
              <w:bidi w:val="0"/>
              <w:jc w:val="both"/>
              <w:rPr>
                <w:rFonts w:ascii="Times New Roman" w:hAnsi="Times New Roman"/>
              </w:rPr>
            </w:pPr>
            <w:r>
              <w:rPr>
                <w:rFonts w:ascii="Times New Roman" w:hAnsi="Times New Roman"/>
                <w:b/>
                <w:bCs/>
              </w:rPr>
              <w:t>3.5</w:t>
            </w:r>
            <w:r>
              <w:rPr>
                <w:rFonts w:ascii="Times New Roman" w:hAnsi="Times New Roman"/>
              </w:rPr>
              <w:t>. Aké sú predpokladané spoločensko – ekonomické dôsledky pripravovaných regulácií?</w:t>
            </w:r>
          </w:p>
          <w:p w:rsidR="004923B9" w:rsidP="00EE7DF7">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4923B9" w:rsidP="00EE7DF7">
            <w:pPr>
              <w:bidi w:val="0"/>
              <w:rPr>
                <w:rFonts w:ascii="Arial" w:hAnsi="Arial" w:cs="Arial"/>
                <w:sz w:val="20"/>
                <w:szCs w:val="20"/>
              </w:rPr>
            </w:pPr>
            <w:r w:rsidRPr="00E37602">
              <w:rPr>
                <w:rFonts w:ascii="Times New Roman" w:hAnsi="Times New Roman"/>
              </w:rPr>
              <w:t>Predpokladajú sa pozitívne dôsledky, keďže navrhovaná úprava by znamena</w:t>
            </w:r>
            <w:r>
              <w:rPr>
                <w:rFonts w:ascii="Times New Roman" w:hAnsi="Times New Roman"/>
              </w:rPr>
              <w:t>la zníženie nákladov</w:t>
            </w:r>
            <w:r w:rsidRPr="00E37602">
              <w:rPr>
                <w:rFonts w:ascii="Times New Roman" w:hAnsi="Times New Roman"/>
              </w:rPr>
              <w:t xml:space="preserve"> pre všetkých zamestnávateľov.</w:t>
            </w:r>
          </w:p>
        </w:tc>
      </w:tr>
    </w:tbl>
    <w:p w:rsidR="004923B9" w:rsidP="004923B9">
      <w:pPr>
        <w:pStyle w:val="NormalWeb"/>
        <w:tabs>
          <w:tab w:val="num" w:pos="1080"/>
        </w:tabs>
        <w:bidi w:val="0"/>
        <w:jc w:val="both"/>
        <w:rPr>
          <w:rFonts w:ascii="Times New Roman" w:hAnsi="Times New Roman"/>
        </w:rPr>
      </w:pPr>
    </w:p>
    <w:p w:rsidR="004923B9" w:rsidP="004923B9">
      <w:pPr>
        <w:bidi w:val="0"/>
        <w:rPr>
          <w:rFonts w:ascii="Times New Roman" w:hAnsi="Times New Roman"/>
          <w:b/>
          <w:bCs/>
          <w:sz w:val="28"/>
          <w:szCs w:val="28"/>
        </w:rPr>
      </w:pPr>
      <w:r>
        <w:rPr>
          <w:rFonts w:ascii="Times New Roman" w:hAnsi="Times New Roman"/>
          <w:b/>
          <w:bCs/>
          <w:sz w:val="28"/>
          <w:szCs w:val="28"/>
        </w:rPr>
        <w:t>Sociálne vplyvy -  vplyvy na hospodárenie obyvateľstva, sociálnu exklúziu, rovnosť príležitostí a rodovú rovnosť  a na zamestnanosť</w:t>
      </w:r>
    </w:p>
    <w:p w:rsidR="004923B9" w:rsidP="004923B9">
      <w:pPr>
        <w:bidi w:val="0"/>
        <w:rPr>
          <w:rFonts w:ascii="Times New Roman" w:hAnsi="Times New Roman"/>
          <w:b/>
          <w:bCs/>
        </w:rPr>
      </w:pPr>
    </w:p>
    <w:p w:rsidR="004923B9" w:rsidP="004923B9">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4923B9" w:rsidP="00EE7DF7">
            <w:pPr>
              <w:bidi w:val="0"/>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4923B9" w:rsidP="00EE7DF7">
            <w:pPr>
              <w:bidi w:val="0"/>
              <w:jc w:val="both"/>
              <w:rPr>
                <w:rFonts w:ascii="Times New Roman" w:hAnsi="Times New Roman"/>
              </w:rPr>
            </w:pPr>
            <w:r>
              <w:rPr>
                <w:rFonts w:ascii="Times New Roman" w:hAnsi="Times New Roman"/>
                <w:b/>
                <w:bCs/>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4923B9" w:rsidRPr="00393F65" w:rsidP="00EE7DF7">
            <w:pPr>
              <w:bidi w:val="0"/>
              <w:jc w:val="both"/>
              <w:rPr>
                <w:rFonts w:ascii="Times New Roman" w:hAnsi="Times New Roman"/>
                <w:b/>
                <w:bCs/>
              </w:rPr>
            </w:pPr>
            <w:r>
              <w:rPr>
                <w:rFonts w:ascii="Times New Roman" w:hAnsi="Times New Roman"/>
                <w:noProof/>
              </w:rPr>
              <w:t>Návrh zákona</w:t>
            </w:r>
            <w:r w:rsidR="00FF00D2">
              <w:rPr>
                <w:rFonts w:ascii="Times New Roman" w:hAnsi="Times New Roman"/>
                <w:noProof/>
              </w:rPr>
              <w:t>,</w:t>
            </w:r>
            <w:r>
              <w:rPr>
                <w:rFonts w:ascii="Times New Roman" w:hAnsi="Times New Roman"/>
                <w:noProof/>
              </w:rPr>
              <w:t xml:space="preserve"> </w:t>
            </w:r>
            <w:r w:rsidRPr="00F74F18">
              <w:rPr>
                <w:rFonts w:ascii="Times New Roman" w:hAnsi="Times New Roman"/>
              </w:rPr>
              <w:t>ktorým sa mení a dopĺňa zákon č. 532/2010 Z. z. o Rozhlase a televízii Slovenska a o zmene a doplnení niektorých zákonov</w:t>
            </w:r>
            <w:r>
              <w:rPr>
                <w:rFonts w:ascii="Times New Roman" w:hAnsi="Times New Roman"/>
              </w:rPr>
              <w:t xml:space="preserve"> a ktorým sa </w:t>
            </w:r>
            <w:r w:rsidRPr="00837CBC">
              <w:rPr>
                <w:rFonts w:ascii="Times New Roman" w:hAnsi="Times New Roman"/>
              </w:rPr>
              <w:t>men</w:t>
            </w:r>
            <w:r>
              <w:rPr>
                <w:rFonts w:ascii="Times New Roman" w:hAnsi="Times New Roman"/>
              </w:rPr>
              <w:t xml:space="preserve">ia niektoré zákony </w:t>
            </w:r>
            <w:r>
              <w:rPr>
                <w:rFonts w:ascii="Times New Roman" w:hAnsi="Times New Roman"/>
                <w:b/>
                <w:bCs/>
              </w:rPr>
              <w:t xml:space="preserve">bude mať pozitívny vplyv na </w:t>
            </w:r>
            <w:r w:rsidRPr="000C3D5D">
              <w:rPr>
                <w:rFonts w:ascii="Times New Roman" w:hAnsi="Times New Roman"/>
                <w:b/>
                <w:bCs/>
              </w:rPr>
              <w:t>domácnosti</w:t>
            </w:r>
            <w:r>
              <w:rPr>
                <w:rFonts w:ascii="Times New Roman" w:hAnsi="Times New Roman"/>
                <w:b/>
                <w:bCs/>
              </w:rPr>
              <w:t xml:space="preserve">. </w:t>
            </w:r>
            <w:r w:rsidRPr="00393F65">
              <w:rPr>
                <w:rFonts w:ascii="Times New Roman" w:hAnsi="Times New Roman"/>
              </w:rPr>
              <w:t>Ruší sa povinnosť platiť úhradu pre fyzické osoby, ktoré sú koncovým odberateľom elektriny v odbernom mieste, z ktorého sa odoberá elektrina pre spotrebu v byte alebo v rodinnom dome</w:t>
            </w:r>
            <w:r>
              <w:rPr>
                <w:rFonts w:ascii="Times New Roman" w:hAnsi="Times New Roman"/>
              </w:rPr>
              <w:t>.</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4923B9" w:rsidP="00A00D7F">
            <w:pPr>
              <w:bidi w:val="0"/>
              <w:ind w:firstLine="480" w:firstLineChars="200"/>
              <w:jc w:val="both"/>
              <w:rPr>
                <w:rFonts w:ascii="Times New Roman" w:hAnsi="Times New Roman"/>
              </w:rPr>
            </w:pPr>
            <w:r>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4923B9" w:rsidP="00EE7DF7">
            <w:pPr>
              <w:bidi w:val="0"/>
              <w:jc w:val="both"/>
              <w:rPr>
                <w:rFonts w:ascii="Times New Roman" w:hAnsi="Times New Roman"/>
              </w:rPr>
            </w:pPr>
            <w:r>
              <w:rPr>
                <w:rFonts w:ascii="Times New Roman" w:hAnsi="Times New Roman"/>
              </w:rPr>
              <w:t xml:space="preserve">Každá fyzická osoba, </w:t>
            </w:r>
            <w:r w:rsidRPr="00393F65">
              <w:rPr>
                <w:rFonts w:ascii="Times New Roman" w:hAnsi="Times New Roman"/>
              </w:rPr>
              <w:t xml:space="preserve">ktoré </w:t>
            </w:r>
            <w:r>
              <w:rPr>
                <w:rFonts w:ascii="Times New Roman" w:hAnsi="Times New Roman"/>
              </w:rPr>
              <w:t xml:space="preserve">je </w:t>
            </w:r>
            <w:r w:rsidRPr="00393F65">
              <w:rPr>
                <w:rFonts w:ascii="Times New Roman" w:hAnsi="Times New Roman"/>
              </w:rPr>
              <w:t>koncovým odberateľom elektriny v odbernom mieste, z ktorého sa odoberá elektrina pre spotrebu v byte alebo v rodinnom dome</w:t>
            </w:r>
            <w:r>
              <w:rPr>
                <w:rFonts w:ascii="Times New Roman" w:hAnsi="Times New Roman"/>
              </w:rPr>
              <w:t xml:space="preserve"> bude mať mesačne nižšie výdavky o </w:t>
            </w:r>
            <w:r w:rsidRPr="00393F65">
              <w:rPr>
                <w:rFonts w:ascii="Times New Roman" w:hAnsi="Times New Roman"/>
                <w:b/>
                <w:bCs/>
              </w:rPr>
              <w:t>4,64 eura</w:t>
            </w:r>
            <w:r>
              <w:rPr>
                <w:rFonts w:ascii="Times New Roman" w:hAnsi="Times New Roman"/>
              </w:rPr>
              <w:t>.</w:t>
            </w:r>
          </w:p>
          <w:p w:rsidR="004923B9" w:rsidRPr="00393F65" w:rsidP="00EE7DF7">
            <w:pPr>
              <w:bidi w:val="0"/>
              <w:jc w:val="both"/>
              <w:rPr>
                <w:rFonts w:ascii="Times New Roman" w:hAnsi="Times New Roman"/>
              </w:rPr>
            </w:pPr>
            <w:r>
              <w:rPr>
                <w:rFonts w:ascii="Times New Roman" w:hAnsi="Times New Roman"/>
              </w:rPr>
              <w:t>Fyzické osoby, ktoré sú poberateľom dôchodku a nežijú</w:t>
            </w:r>
            <w:r w:rsidRPr="00393F65">
              <w:rPr>
                <w:rFonts w:ascii="Times New Roman" w:hAnsi="Times New Roman"/>
              </w:rPr>
              <w:t xml:space="preserve"> v domácnosti s inou osobou s pravidelným </w:t>
            </w:r>
            <w:r>
              <w:rPr>
                <w:rFonts w:ascii="Times New Roman" w:hAnsi="Times New Roman"/>
              </w:rPr>
              <w:t xml:space="preserve">príjmom zo zárobkovej činnosti </w:t>
            </w:r>
            <w:r w:rsidRPr="00393F65">
              <w:rPr>
                <w:rFonts w:ascii="Times New Roman" w:hAnsi="Times New Roman"/>
              </w:rPr>
              <w:t xml:space="preserve">alebo </w:t>
            </w:r>
            <w:r>
              <w:rPr>
                <w:rFonts w:ascii="Times New Roman" w:hAnsi="Times New Roman"/>
              </w:rPr>
              <w:t xml:space="preserve">ktoré sú </w:t>
            </w:r>
            <w:r w:rsidRPr="00393F65">
              <w:rPr>
                <w:rFonts w:ascii="Times New Roman" w:hAnsi="Times New Roman"/>
              </w:rPr>
              <w:t>poberateľom dávky v hmotnej núdzi alebo osobou spoločne posudzovanou s poberateľom dávky v hmotnej núdzi,</w:t>
            </w:r>
            <w:r>
              <w:rPr>
                <w:rFonts w:ascii="Times New Roman" w:hAnsi="Times New Roman"/>
              </w:rPr>
              <w:t xml:space="preserve"> budú mať mesačne nižšie výdavky o </w:t>
            </w:r>
            <w:r>
              <w:rPr>
                <w:rFonts w:ascii="Times New Roman" w:hAnsi="Times New Roman"/>
                <w:b/>
                <w:bCs/>
              </w:rPr>
              <w:t>2</w:t>
            </w:r>
            <w:r w:rsidRPr="00393F65">
              <w:rPr>
                <w:rFonts w:ascii="Times New Roman" w:hAnsi="Times New Roman"/>
                <w:b/>
                <w:bCs/>
              </w:rPr>
              <w:t>,</w:t>
            </w:r>
            <w:r>
              <w:rPr>
                <w:rFonts w:ascii="Times New Roman" w:hAnsi="Times New Roman"/>
                <w:b/>
                <w:bCs/>
              </w:rPr>
              <w:t>32</w:t>
            </w:r>
            <w:r w:rsidRPr="00393F65">
              <w:rPr>
                <w:rFonts w:ascii="Times New Roman" w:hAnsi="Times New Roman"/>
                <w:b/>
                <w:bCs/>
              </w:rPr>
              <w:t xml:space="preserve"> eura</w:t>
            </w:r>
            <w:r>
              <w:rPr>
                <w:rFonts w:ascii="Times New Roman" w:hAnsi="Times New Roman"/>
              </w:rPr>
              <w:t>.</w:t>
            </w:r>
            <w:r w:rsidRPr="00393F65">
              <w:rPr>
                <w:rFonts w:ascii="Times New Roman" w:hAnsi="Times New Roman"/>
              </w:rPr>
              <w:t xml:space="preserve"> </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4923B9" w:rsidP="00A00D7F">
            <w:pPr>
              <w:bidi w:val="0"/>
              <w:ind w:firstLine="720" w:firstLineChars="300"/>
              <w:jc w:val="both"/>
              <w:rPr>
                <w:rFonts w:ascii="Times New Roman" w:hAnsi="Times New Roman"/>
              </w:rPr>
            </w:pPr>
            <w:r>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4923B9" w:rsidP="00EE7DF7">
            <w:pPr>
              <w:bidi w:val="0"/>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4923B9" w:rsidP="00A00D7F">
            <w:pPr>
              <w:bidi w:val="0"/>
              <w:ind w:firstLine="720" w:firstLineChars="300"/>
              <w:jc w:val="both"/>
              <w:rPr>
                <w:rFonts w:ascii="Times New Roman" w:hAnsi="Times New Roman"/>
              </w:rPr>
            </w:pPr>
            <w:r>
              <w:rPr>
                <w:rFonts w:ascii="Times New Roman" w:hAnsi="Times New Roman"/>
              </w:rPr>
              <w:t>- Rast alebo pokles príjmov/výdavkov                  za jednotlivé ovplyvnené  skupiny domácností</w:t>
            </w:r>
          </w:p>
          <w:p w:rsidR="004923B9" w:rsidP="00A00D7F">
            <w:pPr>
              <w:bidi w:val="0"/>
              <w:ind w:firstLine="720" w:firstLineChars="300"/>
              <w:jc w:val="both"/>
              <w:rPr>
                <w:rFonts w:ascii="Times New Roman" w:hAnsi="Times New Roman"/>
              </w:rPr>
            </w:pPr>
            <w:r>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4923B9" w:rsidP="00EE7DF7">
            <w:pPr>
              <w:bidi w:val="0"/>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4923B9" w:rsidP="00A00D7F">
            <w:pPr>
              <w:bidi w:val="0"/>
              <w:ind w:firstLine="360" w:firstLineChars="300"/>
              <w:jc w:val="both"/>
              <w:rPr>
                <w:rFonts w:ascii="Times New Roman" w:hAnsi="Times New Roman"/>
                <w:sz w:val="12"/>
                <w:szCs w:val="12"/>
              </w:rPr>
            </w:pPr>
          </w:p>
        </w:tc>
        <w:tc>
          <w:tcPr>
            <w:tcW w:w="0" w:type="auto"/>
            <w:vMerge/>
            <w:tcBorders>
              <w:top w:val="nil"/>
              <w:left w:val="nil"/>
              <w:bottom w:val="single" w:sz="4" w:space="0" w:color="auto"/>
              <w:right w:val="single" w:sz="4" w:space="0" w:color="auto"/>
            </w:tcBorders>
            <w:textDirection w:val="lrTb"/>
            <w:vAlign w:val="center"/>
          </w:tcPr>
          <w:p w:rsidR="004923B9" w:rsidP="00EE7DF7">
            <w:pPr>
              <w:bidi w:val="0"/>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4923B9" w:rsidP="00EE7DF7">
            <w:pPr>
              <w:bidi w:val="0"/>
              <w:jc w:val="both"/>
              <w:rPr>
                <w:rFonts w:ascii="Times New Roman" w:hAnsi="Times New Roman"/>
              </w:rPr>
            </w:pPr>
            <w:r>
              <w:rPr>
                <w:rFonts w:ascii="Times New Roman" w:hAnsi="Times New Roman"/>
                <w:b/>
                <w:bCs/>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4923B9" w:rsidP="00EE7DF7">
            <w:pPr>
              <w:bidi w:val="0"/>
              <w:jc w:val="both"/>
              <w:rPr>
                <w:rFonts w:ascii="Times New Roman" w:hAnsi="Times New Roman"/>
              </w:rPr>
            </w:pPr>
            <w:r>
              <w:rPr>
                <w:rFonts w:ascii="Times New Roman" w:hAnsi="Times New Roman"/>
              </w:rPr>
              <w:t> </w:t>
            </w:r>
            <w:r w:rsidRPr="00D06149">
              <w:rPr>
                <w:rFonts w:ascii="Times New Roman" w:hAnsi="Times New Roman"/>
                <w:b/>
                <w:bCs/>
              </w:rPr>
              <w:t>Návrh zákona</w:t>
            </w:r>
            <w:r>
              <w:rPr>
                <w:rFonts w:ascii="Times New Roman" w:hAnsi="Times New Roman"/>
              </w:rPr>
              <w:t xml:space="preserve"> </w:t>
            </w:r>
            <w:r w:rsidRPr="000C3D5D">
              <w:rPr>
                <w:rFonts w:ascii="Times New Roman" w:hAnsi="Times New Roman"/>
                <w:b/>
                <w:bCs/>
              </w:rPr>
              <w:t>nemá</w:t>
            </w:r>
            <w:r>
              <w:rPr>
                <w:rFonts w:ascii="Times New Roman" w:hAnsi="Times New Roman"/>
              </w:rPr>
              <w:t xml:space="preserve"> v tejto oblasti </w:t>
            </w:r>
            <w:r w:rsidRPr="000C3D5D">
              <w:rPr>
                <w:rFonts w:ascii="Times New Roman" w:hAnsi="Times New Roman"/>
                <w:b/>
                <w:bCs/>
              </w:rPr>
              <w:t>žiadne kvalitatívne ani kvantitatívne dopady</w:t>
            </w:r>
            <w:r>
              <w:rPr>
                <w:rFonts w:ascii="Times New Roman" w:hAnsi="Times New Roman"/>
              </w:rPr>
              <w:t xml:space="preserve">. </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4923B9" w:rsidP="00EE7DF7">
            <w:pPr>
              <w:bidi w:val="0"/>
              <w:jc w:val="both"/>
              <w:rPr>
                <w:rFonts w:ascii="Times New Roman" w:hAnsi="Times New Roman"/>
              </w:rPr>
            </w:pPr>
          </w:p>
          <w:p w:rsidR="004923B9" w:rsidP="00EE7DF7">
            <w:pPr>
              <w:bidi w:val="0"/>
              <w:jc w:val="both"/>
              <w:rPr>
                <w:rFonts w:ascii="Times New Roman" w:hAnsi="Times New Roman"/>
              </w:rPr>
            </w:pPr>
            <w:r>
              <w:rPr>
                <w:rFonts w:ascii="Times New Roman" w:hAnsi="Times New Roman"/>
                <w:b/>
                <w:bCs/>
              </w:rPr>
              <w:t>4.3.</w:t>
            </w:r>
            <w:r>
              <w:rPr>
                <w:rFonts w:ascii="Times New Roman" w:hAnsi="Times New Roman"/>
                <w:sz w:val="22"/>
                <w:szCs w:val="22"/>
              </w:rPr>
              <w:t xml:space="preserve">  </w:t>
            </w:r>
            <w:r>
              <w:rPr>
                <w:rFonts w:ascii="Times New Roman" w:hAnsi="Times New Roman"/>
              </w:rPr>
              <w:t>Zhodnoťte vplyv na rovnosť príležitostí:</w:t>
            </w:r>
          </w:p>
          <w:p w:rsidR="004923B9" w:rsidP="00EE7DF7">
            <w:pPr>
              <w:bidi w:val="0"/>
              <w:jc w:val="both"/>
              <w:rPr>
                <w:rFonts w:ascii="Times New Roman" w:hAnsi="Times New Roman"/>
              </w:rPr>
            </w:pPr>
          </w:p>
          <w:p w:rsidR="004923B9" w:rsidP="00EE7DF7">
            <w:pPr>
              <w:bidi w:val="0"/>
              <w:jc w:val="both"/>
              <w:rPr>
                <w:rFonts w:ascii="Times New Roman" w:hAnsi="Times New Roman"/>
              </w:rPr>
            </w:pPr>
            <w:r>
              <w:rPr>
                <w:rFonts w:ascii="Times New Roman" w:hAnsi="Times New Roman"/>
              </w:rPr>
              <w:t>Zhodnoťte vplyv na rodovú rovnosť.</w:t>
            </w:r>
          </w:p>
          <w:p w:rsidR="004923B9" w:rsidP="00EE7DF7">
            <w:pPr>
              <w:bidi w:val="0"/>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4923B9" w:rsidRPr="000C3D5D" w:rsidP="00EE7DF7">
            <w:pPr>
              <w:bidi w:val="0"/>
              <w:jc w:val="both"/>
              <w:rPr>
                <w:rFonts w:ascii="Times New Roman" w:hAnsi="Times New Roman"/>
                <w:b/>
                <w:bCs/>
              </w:rPr>
            </w:pPr>
            <w:r>
              <w:rPr>
                <w:rFonts w:ascii="Times New Roman" w:hAnsi="Times New Roman"/>
              </w:rPr>
              <w:t> </w:t>
            </w:r>
            <w:r w:rsidRPr="000C3D5D">
              <w:rPr>
                <w:rFonts w:ascii="Times New Roman" w:hAnsi="Times New Roman"/>
                <w:b/>
                <w:bCs/>
              </w:rPr>
              <w:t>Návrh zákona nemá vplyv na rovnosť príležitostí</w:t>
            </w:r>
            <w:r>
              <w:rPr>
                <w:rFonts w:ascii="Times New Roman" w:hAnsi="Times New Roman"/>
                <w:b/>
                <w:bCs/>
              </w:rPr>
              <w:t>.</w:t>
            </w:r>
          </w:p>
        </w:tc>
      </w:tr>
    </w:tbl>
    <w:p w:rsidR="0052011B" w:rsidP="0052011B">
      <w:pPr>
        <w:bidi w:val="0"/>
        <w:rPr>
          <w:rFonts w:ascii="Times New Roman" w:hAnsi="Times New Roman"/>
        </w:rPr>
      </w:pPr>
    </w:p>
    <w:p w:rsidR="004923B9" w:rsidP="0052011B">
      <w:pPr>
        <w:bidi w:val="0"/>
        <w:rPr>
          <w:rFonts w:ascii="Times New Roman" w:hAnsi="Times New Roman"/>
        </w:rPr>
      </w:pPr>
    </w:p>
    <w:p w:rsidR="004923B9" w:rsidP="0052011B">
      <w:pPr>
        <w:bidi w:val="0"/>
        <w:rPr>
          <w:rFonts w:ascii="Times New Roman" w:hAnsi="Times New Roman"/>
        </w:rPr>
      </w:pPr>
    </w:p>
    <w:p w:rsidR="004923B9" w:rsidP="0052011B">
      <w:pPr>
        <w:bidi w:val="0"/>
        <w:rPr>
          <w:rFonts w:ascii="Times New Roman" w:hAnsi="Times New Roman"/>
        </w:rPr>
      </w:pPr>
    </w:p>
    <w:p w:rsidR="0054402D" w:rsidRPr="00755F58" w:rsidP="0054402D">
      <w:pPr>
        <w:bidi w:val="0"/>
        <w:jc w:val="center"/>
        <w:rPr>
          <w:rFonts w:ascii="Times New Roman" w:hAnsi="Times New Roman"/>
          <w:b/>
          <w:bCs/>
          <w:caps/>
          <w:spacing w:val="30"/>
        </w:rPr>
      </w:pPr>
      <w:r w:rsidRPr="00755F58">
        <w:rPr>
          <w:rFonts w:ascii="Times New Roman" w:hAnsi="Times New Roman"/>
          <w:b/>
          <w:bCs/>
          <w:caps/>
          <w:spacing w:val="30"/>
        </w:rPr>
        <w:t>Doložka zlučiteľnosti</w:t>
      </w:r>
    </w:p>
    <w:p w:rsidR="0054402D" w:rsidRPr="00755F58" w:rsidP="0054402D">
      <w:pPr>
        <w:bidi w:val="0"/>
        <w:jc w:val="center"/>
        <w:rPr>
          <w:rFonts w:ascii="Times New Roman" w:hAnsi="Times New Roman"/>
          <w:b/>
          <w:bCs/>
        </w:rPr>
      </w:pPr>
      <w:r w:rsidRPr="00755F58">
        <w:rPr>
          <w:rFonts w:ascii="Times New Roman" w:hAnsi="Times New Roman"/>
          <w:b/>
          <w:bCs/>
        </w:rPr>
        <w:t>právneho predpisu s právom Európskej únie </w:t>
      </w:r>
    </w:p>
    <w:p w:rsidR="0054402D" w:rsidRPr="00755F58" w:rsidP="0054402D">
      <w:pPr>
        <w:bidi w:val="0"/>
        <w:rPr>
          <w:rFonts w:ascii="Times New Roman" w:hAnsi="Times New Roman"/>
        </w:rPr>
      </w:pPr>
    </w:p>
    <w:p w:rsidR="0054402D" w:rsidRPr="00755F58" w:rsidP="0054402D">
      <w:pPr>
        <w:bidi w:val="0"/>
        <w:rPr>
          <w:rFonts w:ascii="Times New Roman" w:hAnsi="Times New Roman"/>
        </w:rPr>
      </w:pPr>
    </w:p>
    <w:p w:rsidR="0054402D" w:rsidRPr="00755F58" w:rsidP="0054402D">
      <w:pPr>
        <w:bidi w:val="0"/>
        <w:ind w:left="360" w:hanging="360"/>
        <w:rPr>
          <w:rFonts w:ascii="Times New Roman" w:hAnsi="Times New Roman"/>
          <w:b/>
          <w:bCs/>
        </w:rPr>
      </w:pPr>
      <w:r w:rsidRPr="00755F58">
        <w:rPr>
          <w:rFonts w:ascii="Times New Roman" w:hAnsi="Times New Roman"/>
          <w:b/>
          <w:bCs/>
        </w:rPr>
        <w:t>1.</w:t>
        <w:tab/>
        <w:t>Predkladateľ právneho predpisu:</w:t>
      </w:r>
      <w:r w:rsidRPr="00755F58">
        <w:rPr>
          <w:rFonts w:ascii="Times New Roman" w:hAnsi="Times New Roman"/>
        </w:rPr>
        <w:t xml:space="preserve"> vláda Slovenskej republiky </w:t>
      </w:r>
    </w:p>
    <w:p w:rsidR="0054402D" w:rsidRPr="00755F58" w:rsidP="0054402D">
      <w:pPr>
        <w:tabs>
          <w:tab w:val="left" w:pos="360"/>
        </w:tabs>
        <w:bidi w:val="0"/>
        <w:ind w:left="360"/>
        <w:rPr>
          <w:rFonts w:ascii="Times New Roman" w:hAnsi="Times New Roman"/>
        </w:rPr>
      </w:pPr>
      <w:r w:rsidRPr="00755F58">
        <w:rPr>
          <w:rFonts w:ascii="Times New Roman" w:hAnsi="Times New Roman"/>
        </w:rPr>
        <w:t xml:space="preserve"> </w:t>
      </w:r>
    </w:p>
    <w:p w:rsidR="0054402D" w:rsidRPr="00755F58" w:rsidP="0054402D">
      <w:pPr>
        <w:bidi w:val="0"/>
        <w:ind w:left="360" w:hanging="360"/>
        <w:jc w:val="both"/>
        <w:rPr>
          <w:rFonts w:ascii="Times New Roman" w:hAnsi="Times New Roman"/>
          <w:b/>
          <w:bCs/>
        </w:rPr>
      </w:pPr>
      <w:r w:rsidRPr="00755F58">
        <w:rPr>
          <w:rFonts w:ascii="Times New Roman" w:hAnsi="Times New Roman"/>
          <w:b/>
          <w:bCs/>
        </w:rPr>
        <w:t>2.</w:t>
        <w:tab/>
        <w:t>Názov návrhu právneho predpisu:</w:t>
      </w:r>
      <w:r w:rsidRPr="00755F58">
        <w:rPr>
          <w:rFonts w:ascii="Times New Roman" w:hAnsi="Times New Roman"/>
        </w:rPr>
        <w:t xml:space="preserve"> Návrh zákona, ktorým sa mení a dopĺňa zákon č. 532/2010 Z. z. o Rozhlase a televízii Slovenska a o zmene a doplnení niektorých zákonov a ktorým sa </w:t>
      </w:r>
      <w:r>
        <w:rPr>
          <w:rFonts w:ascii="Times New Roman" w:hAnsi="Times New Roman"/>
        </w:rPr>
        <w:t>menia niektoré zákony</w:t>
      </w:r>
    </w:p>
    <w:p w:rsidR="0054402D" w:rsidRPr="00755F58" w:rsidP="0054402D">
      <w:pPr>
        <w:bidi w:val="0"/>
        <w:jc w:val="both"/>
        <w:rPr>
          <w:rFonts w:ascii="Times New Roman" w:hAnsi="Times New Roman"/>
        </w:rPr>
      </w:pPr>
    </w:p>
    <w:p w:rsidR="0054402D" w:rsidRPr="00755F58" w:rsidP="0054402D">
      <w:pPr>
        <w:bidi w:val="0"/>
        <w:ind w:left="360" w:hanging="360"/>
        <w:rPr>
          <w:rFonts w:ascii="Times New Roman" w:hAnsi="Times New Roman"/>
          <w:b/>
          <w:bCs/>
        </w:rPr>
      </w:pPr>
      <w:r w:rsidRPr="00755F58">
        <w:rPr>
          <w:rFonts w:ascii="Times New Roman" w:hAnsi="Times New Roman"/>
          <w:b/>
          <w:bCs/>
        </w:rPr>
        <w:t>3.</w:t>
        <w:tab/>
        <w:t>Problematika návrhu právneho predpisu:</w:t>
      </w:r>
    </w:p>
    <w:p w:rsidR="0054402D" w:rsidRPr="00755F58" w:rsidP="0054402D">
      <w:pPr>
        <w:bidi w:val="0"/>
        <w:ind w:firstLine="360"/>
        <w:rPr>
          <w:rFonts w:ascii="Times New Roman" w:hAnsi="Times New Roman"/>
        </w:rPr>
      </w:pPr>
    </w:p>
    <w:p w:rsidR="0054402D" w:rsidRPr="00755F58" w:rsidP="0054402D">
      <w:pPr>
        <w:bidi w:val="0"/>
        <w:ind w:left="709" w:hanging="349"/>
        <w:rPr>
          <w:rFonts w:ascii="Times New Roman" w:hAnsi="Times New Roman"/>
        </w:rPr>
      </w:pPr>
      <w:r w:rsidRPr="00755F58">
        <w:rPr>
          <w:rFonts w:ascii="Times New Roman" w:hAnsi="Times New Roman"/>
        </w:rPr>
        <w:t>a)</w:t>
        <w:tab/>
        <w:t>je upravená v práve Európskej únie</w:t>
      </w:r>
    </w:p>
    <w:p w:rsidR="0054402D" w:rsidRPr="00755F58" w:rsidP="0054402D">
      <w:pPr>
        <w:bidi w:val="0"/>
        <w:ind w:left="360"/>
        <w:rPr>
          <w:rFonts w:ascii="Times New Roman" w:hAnsi="Times New Roman"/>
        </w:rPr>
      </w:pPr>
    </w:p>
    <w:p w:rsidR="0054402D" w:rsidRPr="00755F58" w:rsidP="0054402D">
      <w:pPr>
        <w:tabs>
          <w:tab w:val="left" w:pos="1068"/>
        </w:tabs>
        <w:bidi w:val="0"/>
        <w:ind w:left="879" w:hanging="171"/>
        <w:rPr>
          <w:rFonts w:ascii="Times New Roman" w:hAnsi="Times New Roman"/>
          <w:i/>
          <w:iCs/>
        </w:rPr>
      </w:pPr>
      <w:r w:rsidRPr="00755F58">
        <w:rPr>
          <w:rFonts w:ascii="Times New Roman" w:hAnsi="Times New Roman"/>
        </w:rPr>
        <w:t>-</w:t>
        <w:tab/>
      </w:r>
      <w:r w:rsidRPr="00755F58">
        <w:rPr>
          <w:rFonts w:ascii="Times New Roman" w:hAnsi="Times New Roman"/>
          <w:i/>
          <w:iCs/>
        </w:rPr>
        <w:t>primárnom</w:t>
      </w:r>
    </w:p>
    <w:p w:rsidR="0054402D" w:rsidRPr="00755F58" w:rsidP="0054402D">
      <w:pPr>
        <w:bidi w:val="0"/>
        <w:ind w:left="851"/>
        <w:rPr>
          <w:rFonts w:ascii="Times New Roman" w:hAnsi="Times New Roman"/>
        </w:rPr>
      </w:pPr>
    </w:p>
    <w:p w:rsidR="0054402D" w:rsidRPr="00755F58" w:rsidP="0054402D">
      <w:pPr>
        <w:bidi w:val="0"/>
        <w:ind w:left="851"/>
        <w:rPr>
          <w:rFonts w:ascii="Times New Roman" w:hAnsi="Times New Roman"/>
        </w:rPr>
      </w:pPr>
      <w:r w:rsidRPr="00755F58">
        <w:rPr>
          <w:rFonts w:ascii="Times New Roman" w:hAnsi="Times New Roman"/>
        </w:rPr>
        <w:t>Čl. 106 až 109 Zmluvy o fungovaní Európskej únie a Protokol č. 29 o systéme verejnoprávneho vysielania v členských štátoch, </w:t>
      </w:r>
    </w:p>
    <w:p w:rsidR="0054402D" w:rsidRPr="00755F58" w:rsidP="0054402D">
      <w:pPr>
        <w:widowControl/>
        <w:bidi w:val="0"/>
        <w:ind w:firstLine="708"/>
        <w:jc w:val="both"/>
        <w:rPr>
          <w:rFonts w:ascii="Times New Roman" w:hAnsi="Times New Roman"/>
        </w:rPr>
      </w:pPr>
    </w:p>
    <w:p w:rsidR="0054402D" w:rsidRPr="00755F58" w:rsidP="0054402D">
      <w:pPr>
        <w:widowControl/>
        <w:numPr>
          <w:numId w:val="3"/>
        </w:numPr>
        <w:tabs>
          <w:tab w:val="left" w:pos="1068"/>
        </w:tabs>
        <w:bidi w:val="0"/>
        <w:jc w:val="both"/>
        <w:rPr>
          <w:rFonts w:ascii="Times New Roman" w:hAnsi="Times New Roman"/>
          <w:i/>
          <w:iCs/>
        </w:rPr>
      </w:pPr>
      <w:r w:rsidRPr="00755F58">
        <w:rPr>
          <w:rFonts w:ascii="Times New Roman" w:hAnsi="Times New Roman"/>
          <w:i/>
          <w:iCs/>
        </w:rPr>
        <w:t>sekundárnom (prijatom pred nadobudnutím platnosti Lisabonskej zmluvy, ktorou sa mení a dopĺňa Zmluva o Európskom spoločenstve a Zmluva o Európskej únii – do 30. novembra 2009)</w:t>
      </w:r>
    </w:p>
    <w:p w:rsidR="0054402D" w:rsidRPr="00755F58" w:rsidP="0054402D">
      <w:pPr>
        <w:widowControl/>
        <w:bidi w:val="0"/>
        <w:jc w:val="both"/>
        <w:rPr>
          <w:rFonts w:ascii="Times New Roman" w:hAnsi="Times New Roman"/>
          <w:i/>
          <w:iCs/>
        </w:rPr>
      </w:pPr>
    </w:p>
    <w:p w:rsidR="0054402D" w:rsidRPr="00755F58" w:rsidP="0054402D">
      <w:pPr>
        <w:bidi w:val="0"/>
        <w:ind w:left="851"/>
        <w:rPr>
          <w:rFonts w:ascii="Times New Roman" w:hAnsi="Times New Roman"/>
        </w:rPr>
      </w:pPr>
      <w:r w:rsidRPr="00755F58">
        <w:rPr>
          <w:rFonts w:ascii="Times New Roman" w:hAnsi="Times New Roman"/>
        </w:rPr>
        <w:t>Rozhodnutie Komisie z 28. novembra 2005 o uplatňovaní článku 86 ods. 2 Zmluvy o ES na štátnu pomoc vo forme náhrady za služby vo verejnom záujme udeľovanej niektorým podnikom povereným poskytovaním služieb všeobecného hospodárskeho záujmu (2005/842/ES) (Ú. v. EÚ L 312, 29.11.2005), </w:t>
      </w:r>
    </w:p>
    <w:p w:rsidR="0054402D" w:rsidRPr="00755F58" w:rsidP="0054402D">
      <w:pPr>
        <w:bidi w:val="0"/>
        <w:rPr>
          <w:rFonts w:ascii="Times New Roman" w:hAnsi="Times New Roman"/>
        </w:rPr>
      </w:pPr>
    </w:p>
    <w:p w:rsidR="0054402D" w:rsidRPr="00755F58" w:rsidP="0054402D">
      <w:pPr>
        <w:bidi w:val="0"/>
        <w:ind w:firstLine="360"/>
        <w:rPr>
          <w:rFonts w:ascii="Times New Roman" w:hAnsi="Times New Roman"/>
        </w:rPr>
      </w:pPr>
    </w:p>
    <w:p w:rsidR="0054402D" w:rsidP="0054402D">
      <w:pPr>
        <w:numPr>
          <w:numId w:val="4"/>
        </w:numPr>
        <w:bidi w:val="0"/>
        <w:rPr>
          <w:rFonts w:ascii="Times New Roman" w:hAnsi="Times New Roman"/>
        </w:rPr>
      </w:pPr>
      <w:r w:rsidRPr="00755F58">
        <w:rPr>
          <w:rFonts w:ascii="Times New Roman" w:hAnsi="Times New Roman"/>
        </w:rPr>
        <w:t>je obsiahnutá v judikatúre Súdneho dvora Európskej únie</w:t>
      </w:r>
    </w:p>
    <w:p w:rsidR="0054402D" w:rsidP="0054402D">
      <w:pPr>
        <w:numPr>
          <w:numId w:val="3"/>
        </w:numPr>
        <w:bidi w:val="0"/>
        <w:rPr>
          <w:rFonts w:ascii="Times New Roman" w:hAnsi="Times New Roman"/>
        </w:rPr>
      </w:pPr>
      <w:r>
        <w:rPr>
          <w:rFonts w:ascii="Times New Roman" w:hAnsi="Times New Roman"/>
        </w:rPr>
        <w:t>rozsudok Všeobecného súdu (prvá rozšírená komora) zo 16. decembra 2010 v spojených veciach T-231/06 a T-237/06,</w:t>
      </w:r>
    </w:p>
    <w:p w:rsidR="0054402D" w:rsidP="0054402D">
      <w:pPr>
        <w:numPr>
          <w:numId w:val="3"/>
        </w:numPr>
        <w:bidi w:val="0"/>
        <w:rPr>
          <w:rFonts w:ascii="Times New Roman" w:hAnsi="Times New Roman"/>
        </w:rPr>
      </w:pPr>
      <w:r>
        <w:rPr>
          <w:rFonts w:ascii="Times New Roman" w:hAnsi="Times New Roman"/>
        </w:rPr>
        <w:t>rozsudok Súdneho dvora EÚ vo veci C-280/00, Altmark Trans Gmbh,</w:t>
      </w:r>
    </w:p>
    <w:p w:rsidR="0054402D" w:rsidP="0054402D">
      <w:pPr>
        <w:numPr>
          <w:numId w:val="3"/>
        </w:numPr>
        <w:bidi w:val="0"/>
        <w:rPr>
          <w:rFonts w:ascii="Times New Roman" w:hAnsi="Times New Roman"/>
        </w:rPr>
      </w:pPr>
      <w:r>
        <w:rPr>
          <w:rFonts w:ascii="Times New Roman" w:hAnsi="Times New Roman"/>
        </w:rPr>
        <w:t xml:space="preserve">rozsudok Súdu prvého stupňa (piata komora) z 11. marca 2009, </w:t>
      </w:r>
      <w:r w:rsidRPr="006F3804">
        <w:rPr>
          <w:rFonts w:ascii="Times New Roman" w:hAnsi="Times New Roman"/>
        </w:rPr>
        <w:t>Télévision française 1 SA (TF1) proti Komisii Európskych spoločenstiev</w:t>
      </w:r>
      <w:r>
        <w:rPr>
          <w:rFonts w:ascii="Times New Roman" w:hAnsi="Times New Roman"/>
        </w:rPr>
        <w:t xml:space="preserve">, vec T-354/05, </w:t>
      </w:r>
    </w:p>
    <w:p w:rsidR="0054402D" w:rsidP="0054402D">
      <w:pPr>
        <w:numPr>
          <w:numId w:val="3"/>
        </w:numPr>
        <w:bidi w:val="0"/>
        <w:rPr>
          <w:rFonts w:ascii="Times New Roman" w:hAnsi="Times New Roman"/>
        </w:rPr>
      </w:pPr>
      <w:r>
        <w:rPr>
          <w:rFonts w:ascii="Times New Roman" w:hAnsi="Times New Roman"/>
        </w:rPr>
        <w:t xml:space="preserve">rozsudok Súdu prvého stupňa (piata komora) z 22. októbra 2008, </w:t>
      </w:r>
      <w:r w:rsidRPr="006F3804">
        <w:rPr>
          <w:rFonts w:ascii="Times New Roman" w:hAnsi="Times New Roman"/>
        </w:rPr>
        <w:t>TV 2/Danmark A/S a iní proti Komisii Európskych spoločenstiev</w:t>
      </w:r>
      <w:r>
        <w:rPr>
          <w:rFonts w:ascii="Times New Roman" w:hAnsi="Times New Roman"/>
        </w:rPr>
        <w:t xml:space="preserve">, spojené veci </w:t>
      </w:r>
      <w:r w:rsidRPr="006F3804">
        <w:rPr>
          <w:rFonts w:ascii="Times New Roman" w:hAnsi="Times New Roman"/>
        </w:rPr>
        <w:t>T-309/04, T-317/04, T-329/04 a T-336/04</w:t>
      </w:r>
      <w:r>
        <w:rPr>
          <w:rFonts w:ascii="Times New Roman" w:hAnsi="Times New Roman"/>
        </w:rPr>
        <w:t>,</w:t>
      </w:r>
    </w:p>
    <w:p w:rsidR="0054402D" w:rsidRPr="00755F58" w:rsidP="0054402D">
      <w:pPr>
        <w:numPr>
          <w:numId w:val="3"/>
        </w:numPr>
        <w:bidi w:val="0"/>
        <w:rPr>
          <w:rFonts w:ascii="Times New Roman" w:hAnsi="Times New Roman"/>
        </w:rPr>
      </w:pPr>
      <w:r>
        <w:rPr>
          <w:rFonts w:ascii="Times New Roman" w:hAnsi="Times New Roman"/>
        </w:rPr>
        <w:t xml:space="preserve">rozsudok Súdu prvého stupňa (piata komora) z 1. júla 2008, </w:t>
      </w:r>
      <w:r w:rsidRPr="006F3804">
        <w:rPr>
          <w:rFonts w:ascii="Times New Roman" w:hAnsi="Times New Roman"/>
        </w:rPr>
        <w:t>Deutsche Post AG proti Komisii Európskych spoločenstiev</w:t>
      </w:r>
      <w:r>
        <w:rPr>
          <w:rFonts w:ascii="Times New Roman" w:hAnsi="Times New Roman"/>
        </w:rPr>
        <w:t>, v</w:t>
      </w:r>
      <w:r w:rsidRPr="006F3804">
        <w:rPr>
          <w:rFonts w:ascii="Times New Roman" w:hAnsi="Times New Roman"/>
        </w:rPr>
        <w:t>ec T-266/02</w:t>
      </w:r>
    </w:p>
    <w:p w:rsidR="0054402D" w:rsidRPr="00755F58" w:rsidP="0054402D">
      <w:pPr>
        <w:bidi w:val="0"/>
        <w:ind w:left="709" w:hanging="349"/>
        <w:rPr>
          <w:rFonts w:ascii="Times New Roman" w:hAnsi="Times New Roman"/>
        </w:rPr>
      </w:pPr>
    </w:p>
    <w:p w:rsidR="0054402D" w:rsidRPr="00755F58" w:rsidP="0054402D">
      <w:pPr>
        <w:bidi w:val="0"/>
        <w:ind w:left="720"/>
        <w:rPr>
          <w:rFonts w:ascii="Times New Roman" w:hAnsi="Times New Roman"/>
        </w:rPr>
      </w:pPr>
    </w:p>
    <w:p w:rsidR="0054402D" w:rsidRPr="00755F58" w:rsidP="0054402D">
      <w:pPr>
        <w:bidi w:val="0"/>
        <w:ind w:left="360" w:hanging="360"/>
        <w:rPr>
          <w:rFonts w:ascii="Times New Roman" w:hAnsi="Times New Roman"/>
          <w:b/>
          <w:bCs/>
        </w:rPr>
      </w:pPr>
      <w:r w:rsidRPr="00755F58">
        <w:rPr>
          <w:rFonts w:ascii="Times New Roman" w:hAnsi="Times New Roman"/>
          <w:b/>
          <w:bCs/>
        </w:rPr>
        <w:t>4.</w:t>
        <w:tab/>
        <w:t xml:space="preserve">Záväzky Slovenskej republiky vo vzťahu k Európskej únii: </w:t>
      </w:r>
    </w:p>
    <w:p w:rsidR="0054402D" w:rsidRPr="00755F58" w:rsidP="0054402D">
      <w:pPr>
        <w:bidi w:val="0"/>
        <w:rPr>
          <w:rFonts w:ascii="Times New Roman" w:hAnsi="Times New Roman"/>
        </w:rPr>
      </w:pPr>
    </w:p>
    <w:p w:rsidR="0054402D" w:rsidRPr="00755F58" w:rsidP="0054402D">
      <w:pPr>
        <w:bidi w:val="0"/>
        <w:ind w:left="709" w:hanging="349"/>
        <w:rPr>
          <w:rFonts w:ascii="Times New Roman" w:hAnsi="Times New Roman"/>
        </w:rPr>
      </w:pPr>
      <w:r w:rsidRPr="00755F58">
        <w:rPr>
          <w:rFonts w:ascii="Times New Roman" w:hAnsi="Times New Roman"/>
        </w:rPr>
        <w:t>a)</w:t>
        <w:tab/>
        <w:t>lehota na prebratie smernice alebo lehota na implementáciu nariadenia alebo rozhodnutia</w:t>
      </w:r>
    </w:p>
    <w:p w:rsidR="0054402D" w:rsidRPr="00755F58" w:rsidP="0054402D">
      <w:pPr>
        <w:bidi w:val="0"/>
        <w:ind w:left="720"/>
        <w:rPr>
          <w:rFonts w:ascii="Times New Roman" w:hAnsi="Times New Roman"/>
        </w:rPr>
      </w:pPr>
    </w:p>
    <w:p w:rsidR="0054402D" w:rsidRPr="00755F58" w:rsidP="0054402D">
      <w:pPr>
        <w:bidi w:val="0"/>
        <w:ind w:left="720"/>
        <w:rPr>
          <w:rFonts w:ascii="Times New Roman" w:hAnsi="Times New Roman"/>
        </w:rPr>
      </w:pPr>
      <w:r w:rsidRPr="00755F58">
        <w:rPr>
          <w:rFonts w:ascii="Times New Roman" w:hAnsi="Times New Roman"/>
        </w:rPr>
        <w:t>bezpredmetné </w:t>
      </w:r>
    </w:p>
    <w:p w:rsidR="0054402D" w:rsidRPr="00755F58" w:rsidP="0054402D">
      <w:pPr>
        <w:bidi w:val="0"/>
        <w:rPr>
          <w:rFonts w:ascii="Times New Roman" w:hAnsi="Times New Roman"/>
        </w:rPr>
      </w:pPr>
    </w:p>
    <w:p w:rsidR="0054402D" w:rsidRPr="00755F58" w:rsidP="0054402D">
      <w:pPr>
        <w:bidi w:val="0"/>
        <w:ind w:left="709" w:hanging="349"/>
        <w:rPr>
          <w:rFonts w:ascii="Times New Roman" w:hAnsi="Times New Roman"/>
        </w:rPr>
      </w:pPr>
      <w:r w:rsidRPr="00755F58">
        <w:rPr>
          <w:rFonts w:ascii="Times New Roman" w:hAnsi="Times New Roman"/>
        </w:rPr>
        <w:t>b)</w:t>
        <w:tab/>
        <w:t>informácia o konaní začatom proti Slovenskej republike o porušení Zmluvy o fungovaní Európskej únie podľa čl. 258 až 260 tejto zmluvy</w:t>
      </w:r>
    </w:p>
    <w:p w:rsidR="0054402D" w:rsidRPr="00755F58" w:rsidP="0054402D">
      <w:pPr>
        <w:bidi w:val="0"/>
        <w:ind w:left="720"/>
        <w:rPr>
          <w:rFonts w:ascii="Times New Roman" w:hAnsi="Times New Roman"/>
        </w:rPr>
      </w:pPr>
    </w:p>
    <w:p w:rsidR="0054402D" w:rsidRPr="00755F58" w:rsidP="0054402D">
      <w:pPr>
        <w:bidi w:val="0"/>
        <w:ind w:firstLine="708"/>
        <w:rPr>
          <w:rFonts w:ascii="Times New Roman" w:hAnsi="Times New Roman"/>
        </w:rPr>
      </w:pPr>
      <w:r w:rsidRPr="00755F58">
        <w:rPr>
          <w:rFonts w:ascii="Times New Roman" w:hAnsi="Times New Roman"/>
        </w:rPr>
        <w:t>bezpremetné </w:t>
      </w:r>
    </w:p>
    <w:p w:rsidR="0054402D" w:rsidRPr="00755F58" w:rsidP="0054402D">
      <w:pPr>
        <w:bidi w:val="0"/>
        <w:ind w:firstLine="708"/>
        <w:rPr>
          <w:rFonts w:ascii="Times New Roman" w:hAnsi="Times New Roman"/>
        </w:rPr>
      </w:pPr>
    </w:p>
    <w:p w:rsidR="0054402D" w:rsidRPr="00755F58" w:rsidP="0054402D">
      <w:pPr>
        <w:bidi w:val="0"/>
        <w:ind w:left="709" w:hanging="349"/>
        <w:rPr>
          <w:rFonts w:ascii="Times New Roman" w:hAnsi="Times New Roman"/>
        </w:rPr>
      </w:pPr>
      <w:r w:rsidRPr="00755F58">
        <w:rPr>
          <w:rFonts w:ascii="Times New Roman" w:hAnsi="Times New Roman"/>
        </w:rPr>
        <w:t>c)</w:t>
        <w:tab/>
        <w:t>informácia o právnych predpisoch, v ktorých sú preberané smernice už prebraté spolu s uvedením rozsahu tohto prebratia</w:t>
      </w:r>
    </w:p>
    <w:p w:rsidR="0054402D" w:rsidRPr="00755F58" w:rsidP="0054402D">
      <w:pPr>
        <w:bidi w:val="0"/>
        <w:rPr>
          <w:rFonts w:ascii="Times New Roman" w:hAnsi="Times New Roman"/>
        </w:rPr>
      </w:pPr>
    </w:p>
    <w:p w:rsidR="0054402D" w:rsidRPr="00755F58" w:rsidP="0054402D">
      <w:pPr>
        <w:bidi w:val="0"/>
        <w:ind w:firstLine="708"/>
        <w:rPr>
          <w:rFonts w:ascii="Times New Roman" w:hAnsi="Times New Roman"/>
        </w:rPr>
      </w:pPr>
    </w:p>
    <w:p w:rsidR="0054402D" w:rsidRPr="00755F58" w:rsidP="0054402D">
      <w:pPr>
        <w:bidi w:val="0"/>
        <w:ind w:left="360" w:hanging="360"/>
        <w:rPr>
          <w:rFonts w:ascii="Times New Roman" w:hAnsi="Times New Roman"/>
          <w:b/>
          <w:bCs/>
        </w:rPr>
      </w:pPr>
      <w:r w:rsidRPr="00755F58">
        <w:rPr>
          <w:rFonts w:ascii="Times New Roman" w:hAnsi="Times New Roman"/>
          <w:b/>
          <w:bCs/>
        </w:rPr>
        <w:t>5.</w:t>
        <w:tab/>
        <w:t>Stupeň zlučiteľnosti návrhu právneho predpisu s právom Európskej únie:</w:t>
      </w:r>
    </w:p>
    <w:p w:rsidR="0054402D" w:rsidRPr="00755F58" w:rsidP="0054402D">
      <w:pPr>
        <w:bidi w:val="0"/>
        <w:rPr>
          <w:rFonts w:ascii="Times New Roman" w:hAnsi="Times New Roman"/>
        </w:rPr>
      </w:pPr>
    </w:p>
    <w:p w:rsidR="0054402D" w:rsidRPr="00755F58" w:rsidP="0054402D">
      <w:pPr>
        <w:bidi w:val="0"/>
        <w:ind w:firstLine="360"/>
        <w:rPr>
          <w:rFonts w:ascii="Times New Roman" w:hAnsi="Times New Roman"/>
        </w:rPr>
      </w:pPr>
      <w:r w:rsidRPr="00755F58">
        <w:rPr>
          <w:rFonts w:ascii="Times New Roman" w:hAnsi="Times New Roman"/>
        </w:rPr>
        <w:t>Stupeň zlučiteľnosti - úplný </w:t>
      </w:r>
    </w:p>
    <w:p w:rsidR="0054402D" w:rsidRPr="00755F58" w:rsidP="0054402D">
      <w:pPr>
        <w:bidi w:val="0"/>
        <w:rPr>
          <w:rFonts w:ascii="Times New Roman" w:hAnsi="Times New Roman"/>
        </w:rPr>
      </w:pPr>
    </w:p>
    <w:p w:rsidR="0054402D" w:rsidRPr="00755F58" w:rsidP="0054402D">
      <w:pPr>
        <w:bidi w:val="0"/>
        <w:ind w:left="360" w:hanging="360"/>
        <w:rPr>
          <w:rFonts w:ascii="Times New Roman" w:hAnsi="Times New Roman"/>
          <w:b/>
          <w:bCs/>
        </w:rPr>
      </w:pPr>
      <w:r w:rsidRPr="00755F58">
        <w:rPr>
          <w:rFonts w:ascii="Times New Roman" w:hAnsi="Times New Roman"/>
          <w:b/>
          <w:bCs/>
        </w:rPr>
        <w:t>6.</w:t>
        <w:tab/>
        <w:t xml:space="preserve">Gestor a spolupracujúce rezorty: </w:t>
      </w:r>
    </w:p>
    <w:p w:rsidR="0054402D" w:rsidRPr="00755F58" w:rsidP="0054402D">
      <w:pPr>
        <w:tabs>
          <w:tab w:val="left" w:pos="360"/>
        </w:tabs>
        <w:bidi w:val="0"/>
        <w:ind w:left="360"/>
        <w:rPr>
          <w:rFonts w:ascii="Times New Roman" w:hAnsi="Times New Roman"/>
        </w:rPr>
      </w:pPr>
    </w:p>
    <w:p w:rsidR="0054402D" w:rsidRPr="00755F58" w:rsidP="0054402D">
      <w:pPr>
        <w:tabs>
          <w:tab w:val="left" w:pos="360"/>
        </w:tabs>
        <w:bidi w:val="0"/>
        <w:ind w:left="360"/>
        <w:rPr>
          <w:rFonts w:ascii="Times New Roman" w:hAnsi="Times New Roman"/>
        </w:rPr>
      </w:pPr>
      <w:r w:rsidRPr="00755F58">
        <w:rPr>
          <w:rFonts w:ascii="Times New Roman" w:hAnsi="Times New Roman"/>
        </w:rPr>
        <w:t>Ministerstvo kultúry Slovenskej republiky</w:t>
        <w:br/>
        <w:t> </w:t>
      </w:r>
    </w:p>
    <w:p w:rsidR="0054402D" w:rsidRPr="00755F58" w:rsidP="0054402D">
      <w:pPr>
        <w:tabs>
          <w:tab w:val="left" w:pos="360"/>
        </w:tabs>
        <w:bidi w:val="0"/>
        <w:rPr>
          <w:rFonts w:ascii="Times New Roman" w:hAnsi="Times New Roman"/>
        </w:rPr>
      </w:pPr>
    </w:p>
    <w:p w:rsidR="0054402D" w:rsidRPr="00755F58" w:rsidP="0054402D">
      <w:pPr>
        <w:bidi w:val="0"/>
        <w:rPr>
          <w:rFonts w:ascii="Times New Roman" w:hAnsi="Times New Roman"/>
        </w:rPr>
      </w:pPr>
    </w:p>
    <w:p w:rsidR="0054402D" w:rsidRPr="00755F58" w:rsidP="0054402D">
      <w:pPr>
        <w:tabs>
          <w:tab w:val="left" w:pos="360"/>
        </w:tabs>
        <w:bidi w:val="0"/>
        <w:ind w:left="360"/>
        <w:rPr>
          <w:rFonts w:ascii="Times New Roman" w:hAnsi="Times New Roman"/>
        </w:rPr>
      </w:pPr>
      <w:r>
        <w:rPr>
          <w:rFonts w:ascii="Times New Roman" w:hAnsi="Times New Roman"/>
        </w:rPr>
        <w:br w:type="page"/>
      </w:r>
    </w:p>
    <w:p w:rsidR="0054402D" w:rsidRPr="008C36EF" w:rsidP="0054402D">
      <w:pPr>
        <w:widowControl/>
        <w:bidi w:val="0"/>
        <w:jc w:val="both"/>
        <w:rPr>
          <w:rFonts w:ascii="Times New Roman" w:hAnsi="Times New Roman"/>
          <w:b/>
          <w:bCs/>
          <w:color w:val="000000"/>
        </w:rPr>
      </w:pPr>
      <w:r w:rsidRPr="008C36EF">
        <w:rPr>
          <w:rFonts w:ascii="Times New Roman" w:hAnsi="Times New Roman"/>
          <w:b/>
          <w:bCs/>
          <w:color w:val="000000"/>
        </w:rPr>
        <w:t>B. Osobitná časť</w:t>
      </w:r>
    </w:p>
    <w:p w:rsidR="0054402D" w:rsidRPr="008C36EF" w:rsidP="0054402D">
      <w:pPr>
        <w:widowControl/>
        <w:bidi w:val="0"/>
        <w:jc w:val="both"/>
        <w:rPr>
          <w:rFonts w:ascii="Times New Roman" w:hAnsi="Times New Roman"/>
          <w:color w:val="000000"/>
        </w:rPr>
      </w:pPr>
    </w:p>
    <w:p w:rsidR="0054402D" w:rsidRPr="008C36EF" w:rsidP="0054402D">
      <w:pPr>
        <w:widowControl/>
        <w:bidi w:val="0"/>
        <w:jc w:val="both"/>
        <w:rPr>
          <w:rFonts w:ascii="Times New Roman" w:hAnsi="Times New Roman"/>
          <w:color w:val="000000"/>
        </w:rPr>
      </w:pPr>
    </w:p>
    <w:p w:rsidR="0054402D" w:rsidRPr="008C36EF" w:rsidP="0054402D">
      <w:pPr>
        <w:widowControl/>
        <w:bidi w:val="0"/>
        <w:jc w:val="both"/>
        <w:rPr>
          <w:rFonts w:ascii="Times New Roman" w:hAnsi="Times New Roman"/>
          <w:color w:val="000000"/>
        </w:rPr>
      </w:pPr>
      <w:r w:rsidRPr="008C36EF">
        <w:rPr>
          <w:rStyle w:val="PlaceholderText"/>
          <w:b/>
          <w:bCs/>
          <w:color w:val="000000"/>
          <w:u w:val="single"/>
        </w:rPr>
        <w:t>Čl. I:</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K bodu 1</w:t>
      </w:r>
      <w:r w:rsidRPr="008C36EF">
        <w:rPr>
          <w:rStyle w:val="PlaceholderText"/>
          <w:b/>
          <w:bCs/>
          <w:color w:val="000000"/>
        </w:rPr>
        <w:t xml:space="preserve">: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Navrhuje sa, aby poslaním Rozhlasu a televízie Slovenska bolo poskytovanie programovej služby, ktorú tvoria programy, ktoré </w:t>
      </w:r>
      <w:r>
        <w:rPr>
          <w:rStyle w:val="PlaceholderText"/>
          <w:color w:val="000000"/>
        </w:rPr>
        <w:t xml:space="preserve">rozvíjajú národné povedomie a </w:t>
      </w:r>
      <w:r w:rsidRPr="008C36EF">
        <w:rPr>
          <w:rStyle w:val="PlaceholderText"/>
          <w:color w:val="000000"/>
        </w:rPr>
        <w:t>podporujú aj rozvoj celej občianskej spoločnosti a nie len vedomostnej spoločnosti, ktorá je jej súčasťou.</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K bodu 2</w:t>
      </w:r>
      <w:r w:rsidRPr="008C36EF">
        <w:rPr>
          <w:rStyle w:val="PlaceholderText"/>
          <w:b/>
          <w:bCs/>
          <w:color w:val="000000"/>
        </w:rPr>
        <w:t xml:space="preserve">: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V súvislosti so zrušením príspevku zo štátneho rozpočtu podľa zákona o štátnom rozpočte na príslušný rozpočtový rok, ktorý sa poskytuje na základe zmluvy so štátom, ako jedného z príjmov Rozhlasu a televízie Slovenska, a teda aj inštitútu zmluvy so štátom, sa z ustanovenia § 8 ods. 1 vypúšťa písm. i).</w:t>
      </w:r>
    </w:p>
    <w:p w:rsidR="0054402D" w:rsidRPr="008C36EF" w:rsidP="0054402D">
      <w:pPr>
        <w:widowControl/>
        <w:bidi w:val="0"/>
        <w:ind w:firstLine="708"/>
        <w:jc w:val="both"/>
        <w:rPr>
          <w:rStyle w:val="PlaceholderText"/>
          <w:color w:val="000000"/>
        </w:rPr>
      </w:pPr>
      <w:r w:rsidRPr="008C36EF">
        <w:rPr>
          <w:rStyle w:val="PlaceholderText"/>
          <w:color w:val="000000"/>
        </w:rPr>
        <w:t> Legislatívno –technická úprava.</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K bodu 3</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Legislatívno – technická úprava súvisiaca s navrhovanými zmenami v § 15.</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K bodu 4</w:t>
      </w:r>
      <w:r w:rsidRPr="008C36EF">
        <w:rPr>
          <w:rStyle w:val="PlaceholderText"/>
          <w:b/>
          <w:bCs/>
          <w:color w:val="000000"/>
        </w:rPr>
        <w:t>:</w:t>
      </w:r>
      <w:r w:rsidRPr="008C36EF">
        <w:rPr>
          <w:rStyle w:val="PlaceholderText"/>
          <w:color w:val="000000"/>
        </w:rPr>
        <w:t xml:space="preserve">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V súvislosti so zrušením zákona č. 68/2008 Z. z. o úhrade za služby verejnosti poskytované Slovenskou televíziou a Slovenským rozhlasom a o zmene a doplnení niektorých zákonov v znení zákona č. 532/2010 Z. z. sa upravuje znenie ustanovenia zákona, podľa ktorého rada Rozhlasu a televízie Slovenska navrhovala kandidátov na členov dozornej rady obchodnej spoločnosti, ktorá bola vyberateľom úhrady za služby verejnosti v oblasti vysielania poskytované Rozhlasom a televíziou Slovenska. </w:t>
      </w:r>
    </w:p>
    <w:p w:rsidR="0054402D" w:rsidRPr="008C36EF" w:rsidP="0054402D">
      <w:pPr>
        <w:widowControl/>
        <w:bidi w:val="0"/>
        <w:ind w:firstLine="708"/>
        <w:jc w:val="both"/>
        <w:rPr>
          <w:rStyle w:val="PlaceholderText"/>
          <w:color w:val="000000"/>
        </w:rPr>
      </w:pPr>
      <w:r w:rsidRPr="008C36EF">
        <w:rPr>
          <w:rStyle w:val="PlaceholderText"/>
          <w:color w:val="000000"/>
        </w:rPr>
        <w:t>Návrhom zákona sa u</w:t>
      </w:r>
      <w:r>
        <w:rPr>
          <w:rStyle w:val="PlaceholderText"/>
          <w:color w:val="000000"/>
        </w:rPr>
        <w:t>stanovuje, že od 1. januára 2013</w:t>
      </w:r>
      <w:r w:rsidRPr="008C36EF">
        <w:rPr>
          <w:rStyle w:val="PlaceholderText"/>
          <w:color w:val="000000"/>
        </w:rPr>
        <w:t xml:space="preserve"> bude výber a vymáhanie úhrad ako aj vymáhanie pohľadávok, ktoré bol platiteľ povin</w:t>
      </w:r>
      <w:r>
        <w:rPr>
          <w:rStyle w:val="PlaceholderText"/>
          <w:color w:val="000000"/>
        </w:rPr>
        <w:t>ný zaplatiť do 31. decembra 2012</w:t>
      </w:r>
      <w:r w:rsidRPr="008C36EF">
        <w:rPr>
          <w:rStyle w:val="PlaceholderText"/>
          <w:color w:val="000000"/>
        </w:rPr>
        <w:t xml:space="preserve"> vykonávať Rozhlas a televízia Slovenska. </w:t>
      </w:r>
    </w:p>
    <w:p w:rsidR="0054402D" w:rsidRPr="008C36EF" w:rsidP="0054402D">
      <w:pPr>
        <w:widowControl/>
        <w:bidi w:val="0"/>
        <w:jc w:val="both"/>
        <w:rPr>
          <w:rStyle w:val="PlaceholderText"/>
          <w:color w:val="000000"/>
        </w:rPr>
      </w:pPr>
      <w:r w:rsidRPr="008C36EF">
        <w:rPr>
          <w:rStyle w:val="PlaceholderText"/>
          <w:color w:val="000000"/>
        </w:rPr>
        <w:t xml:space="preserve">Z dôvodu zrušenia zákona č. 68/2008 Z. z. sa vypúšťa poznámka pod čiarou k odkazu č. 23.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A428B3">
        <w:rPr>
          <w:rStyle w:val="PlaceholderText"/>
          <w:b/>
          <w:bCs/>
          <w:color w:val="000000"/>
          <w:u w:val="single"/>
        </w:rPr>
        <w:t>K</w:t>
      </w:r>
      <w:r w:rsidRPr="008C36EF">
        <w:rPr>
          <w:rStyle w:val="PlaceholderText"/>
          <w:b/>
          <w:bCs/>
          <w:color w:val="000000"/>
          <w:u w:val="single"/>
        </w:rPr>
        <w:t> bodu 5</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Keďže v zmysle návrhu zákona sa už nebude uzatvárať zmluva so štátom, vypúšťajú sa kompetencie generálneho riaditeľa, ktoré súvisia s uzatváraním tejto zmluvy. </w:t>
      </w:r>
    </w:p>
    <w:p w:rsidR="0054402D" w:rsidP="0054402D">
      <w:pPr>
        <w:widowControl/>
        <w:bidi w:val="0"/>
        <w:jc w:val="both"/>
        <w:rPr>
          <w:rStyle w:val="PlaceholderText"/>
          <w:color w:val="000000"/>
        </w:rPr>
      </w:pPr>
      <w:r w:rsidRPr="008C36EF">
        <w:rPr>
          <w:rStyle w:val="PlaceholderText"/>
          <w:color w:val="000000"/>
        </w:rPr>
        <w:t> </w:t>
      </w:r>
    </w:p>
    <w:p w:rsidR="0054402D" w:rsidRPr="003F5AF9" w:rsidP="0054402D">
      <w:pPr>
        <w:widowControl/>
        <w:bidi w:val="0"/>
        <w:jc w:val="both"/>
        <w:rPr>
          <w:rStyle w:val="PlaceholderText"/>
          <w:b/>
          <w:bCs/>
          <w:color w:val="000000"/>
          <w:u w:val="single"/>
        </w:rPr>
      </w:pPr>
      <w:r w:rsidRPr="003F5AF9">
        <w:rPr>
          <w:rStyle w:val="PlaceholderText"/>
          <w:b/>
          <w:bCs/>
          <w:color w:val="000000"/>
          <w:u w:val="single"/>
        </w:rPr>
        <w:t>K bodu 6:</w:t>
      </w:r>
    </w:p>
    <w:p w:rsidR="0054402D" w:rsidP="0054402D">
      <w:pPr>
        <w:widowControl/>
        <w:bidi w:val="0"/>
        <w:jc w:val="both"/>
        <w:rPr>
          <w:rStyle w:val="PlaceholderText"/>
          <w:color w:val="000000"/>
        </w:rPr>
      </w:pPr>
    </w:p>
    <w:p w:rsidR="0054402D" w:rsidP="0054402D">
      <w:pPr>
        <w:widowControl/>
        <w:bidi w:val="0"/>
        <w:ind w:firstLine="720"/>
        <w:jc w:val="both"/>
        <w:rPr>
          <w:rStyle w:val="PlaceholderText"/>
          <w:color w:val="000000"/>
        </w:rPr>
      </w:pPr>
      <w:r>
        <w:rPr>
          <w:rStyle w:val="PlaceholderText"/>
          <w:color w:val="000000"/>
        </w:rPr>
        <w:t>Do § 15 ods. 3 písm. b) sa dopĺňa nový bod, v zmysle ktorého bude programový koncept vysielania Rozhlasu a televízie Slovenska na príslušný rozpočtový rok obsahovať aj návrh podielu vysielacieho času vyhradeného programom v jazykoch národnostných menšín a etnických skupín žijúcich na území Slovenskej republiky na celkovom vysielacom čase jednotlivých televíznych programových služieb.</w:t>
      </w:r>
    </w:p>
    <w:p w:rsidR="0054402D" w:rsidRPr="008C36EF" w:rsidP="0054402D">
      <w:pPr>
        <w:widowControl/>
        <w:bidi w:val="0"/>
        <w:jc w:val="both"/>
        <w:rPr>
          <w:rStyle w:val="PlaceholderText"/>
          <w:color w:val="000000"/>
        </w:rPr>
      </w:pPr>
    </w:p>
    <w:p w:rsidR="0054402D" w:rsidRPr="008C36EF" w:rsidP="0054402D">
      <w:pPr>
        <w:widowControl/>
        <w:bidi w:val="0"/>
        <w:jc w:val="both"/>
        <w:rPr>
          <w:rStyle w:val="PlaceholderText"/>
          <w:color w:val="000000"/>
        </w:rPr>
      </w:pPr>
      <w:r w:rsidRPr="008C36EF">
        <w:rPr>
          <w:rStyle w:val="PlaceholderText"/>
          <w:b/>
          <w:bCs/>
          <w:color w:val="000000"/>
          <w:u w:val="single"/>
        </w:rPr>
        <w:t xml:space="preserve">K bodu </w:t>
      </w:r>
      <w:r>
        <w:rPr>
          <w:rStyle w:val="PlaceholderText"/>
          <w:b/>
          <w:bCs/>
          <w:color w:val="000000"/>
          <w:u w:val="single"/>
        </w:rPr>
        <w:t>7</w:t>
      </w:r>
      <w:r w:rsidRPr="008C36EF">
        <w:rPr>
          <w:rStyle w:val="PlaceholderText"/>
          <w:b/>
          <w:bCs/>
          <w:color w:val="000000"/>
        </w:rPr>
        <w:t xml:space="preserve">: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9"/>
        <w:jc w:val="both"/>
        <w:rPr>
          <w:rStyle w:val="PlaceholderText"/>
          <w:color w:val="000000"/>
        </w:rPr>
      </w:pPr>
      <w:r w:rsidRPr="008C36EF">
        <w:rPr>
          <w:rStyle w:val="PlaceholderText"/>
          <w:color w:val="000000"/>
        </w:rPr>
        <w:t xml:space="preserve">V § 15 ods. 3 písm. e) sa navrhuje vypustiť povinnosť generálneho riaditeľa písomne informovať radu o zámere vstúpiť do zmluvného záväzku, ktorého trvanie presahuje obdobie dvoch rokov. Povinnosť generálneho riaditeľa písomne informovať radu o zámere vstúpiť do zmluvného záväzku sa bude vzťahovať iba na zmluvný záväzok, predmetom ktorého je plnenie presahujúce sumu 100 000 </w:t>
      </w:r>
      <w:r>
        <w:rPr>
          <w:rStyle w:val="PlaceholderText"/>
          <w:color w:val="000000"/>
        </w:rPr>
        <w:t>eur</w:t>
      </w:r>
      <w:r w:rsidRPr="008C36EF">
        <w:rPr>
          <w:rStyle w:val="PlaceholderText"/>
          <w:color w:val="000000"/>
        </w:rPr>
        <w:t xml:space="preserve">.  Dôvodom tejto úpravy je snaha predchádzať neprimeranej administratívnej záťaži pre orgány Rozhlasu a televízie Slovenska.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 xml:space="preserve">K bodu </w:t>
      </w:r>
      <w:r>
        <w:rPr>
          <w:rStyle w:val="PlaceholderText"/>
          <w:b/>
          <w:bCs/>
          <w:color w:val="000000"/>
          <w:u w:val="single"/>
        </w:rPr>
        <w:t>8</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Legislatívno – technická úprava v súvislosti s navrhovanými zmenami v § 8.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 xml:space="preserve">K bodu </w:t>
      </w:r>
      <w:r>
        <w:rPr>
          <w:rStyle w:val="PlaceholderText"/>
          <w:b/>
          <w:bCs/>
          <w:color w:val="000000"/>
          <w:u w:val="single"/>
        </w:rPr>
        <w:t>9</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Predkladaným návrhom zákona sa navrhuje zvýšiť mesačnú mzdu generálneho riaditeľa Rozhlasu a televízie Slovenska zo štvornásobku priemernej mesačnej mzdy na sedemnásobok priemernej mesačnej mzdy. Mzda generálneho riaditeľa stanovená platným zákonom č. 532/2010 Z. z. o Rozhlase a televízii Slovenska a o zmene a doplnení niektorých zákonov vo výške štvornásobku priemernej mesačnej mzdy, nie je vo vzťahu k rozsahu úloh, za plnenie ktorých je táto osoba zodpovedná, primeraná. Hlavnou úlohou generálneho riaditeľa je predísť ďalšiemu zadlžovaniu verejnoprávneho vysielateľa, zabezpečiť jeho postupnú konsolidáciu  a zvýšiť kvalitu jeho vysielania. Uvedené však nie je možné očakávať bez toho, aby bol generálny riaditeľ  za výkon všetkých činností s tým súvisiacich adekvátne ohodnotený. </w:t>
      </w:r>
    </w:p>
    <w:p w:rsidR="0054402D" w:rsidRPr="008C36EF" w:rsidP="0054402D">
      <w:pPr>
        <w:widowControl/>
        <w:bidi w:val="0"/>
        <w:ind w:firstLine="708"/>
        <w:jc w:val="both"/>
        <w:rPr>
          <w:rStyle w:val="PlaceholderText"/>
          <w:color w:val="000000"/>
        </w:rPr>
      </w:pPr>
      <w:r w:rsidRPr="008C36EF">
        <w:rPr>
          <w:rStyle w:val="PlaceholderText"/>
          <w:color w:val="000000"/>
        </w:rPr>
        <w:t>Pre porovnanie uvádzame, že generálny riaditeľ Slovenského rozhlasu a generálny riaditeľ Slovenskej televízie, mali podľa predchádzajúcej právnej úpravy nárok na mzdu vo výške dvojnásobku platu poslanca Národnej rady SR, čo je šesťnásobok priemernej mesačnej mzdy. Nie je žiaden dôvod na to, aby generálny riaditeľ, ktorý riadi a je zodpovedný za činnosť verejnoprávnej inštitúcie, ktorá vznikla spojením Slovenského rozhlasu a Slovenskej televízie, mal podľa zákona nárok na mzdu o jednu tretinu nižšiu ako generálni riaditelia spojených inštitúcií.</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 xml:space="preserve">K bodu </w:t>
      </w:r>
      <w:r>
        <w:rPr>
          <w:rStyle w:val="PlaceholderText"/>
          <w:b/>
          <w:bCs/>
          <w:color w:val="000000"/>
          <w:u w:val="single"/>
        </w:rPr>
        <w:t>10</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P="0054402D">
      <w:pPr>
        <w:widowControl/>
        <w:bidi w:val="0"/>
        <w:ind w:firstLine="720"/>
        <w:jc w:val="both"/>
        <w:rPr>
          <w:rStyle w:val="PlaceholderText"/>
          <w:color w:val="000000"/>
        </w:rPr>
      </w:pPr>
      <w:r>
        <w:rPr>
          <w:rStyle w:val="PlaceholderText"/>
          <w:color w:val="000000"/>
        </w:rPr>
        <w:t xml:space="preserve">Z ustanovenia § 16 zákona sa vypúšťa odsek 8. Povinnosť generálneho riaditeľa preukázať majetkové pomery do 30 dní od zvolenia do funkcie a následne do 31. marca každého kalendárneho roka vyplýva z § 10 zákona č. 552/2003 Z. z. o výkone práce vo verejnom záujme v znení neskorších predpisov.  </w:t>
      </w:r>
      <w:r w:rsidRPr="008C36EF">
        <w:rPr>
          <w:rStyle w:val="PlaceholderText"/>
          <w:color w:val="000000"/>
        </w:rPr>
        <w:t> </w:t>
      </w:r>
    </w:p>
    <w:p w:rsidR="0054402D" w:rsidRPr="008C36EF" w:rsidP="0054402D">
      <w:pPr>
        <w:widowControl/>
        <w:bidi w:val="0"/>
        <w:jc w:val="both"/>
        <w:rPr>
          <w:rStyle w:val="PlaceholderText"/>
          <w:color w:val="000000"/>
        </w:rPr>
      </w:pPr>
    </w:p>
    <w:p w:rsidR="0054402D" w:rsidRPr="008C36EF" w:rsidP="0054402D">
      <w:pPr>
        <w:widowControl/>
        <w:bidi w:val="0"/>
        <w:jc w:val="both"/>
        <w:rPr>
          <w:rStyle w:val="PlaceholderText"/>
          <w:color w:val="000000"/>
        </w:rPr>
      </w:pPr>
      <w:r w:rsidRPr="008C36EF">
        <w:rPr>
          <w:rStyle w:val="PlaceholderText"/>
          <w:b/>
          <w:bCs/>
          <w:color w:val="000000"/>
          <w:u w:val="single"/>
        </w:rPr>
        <w:t>K bodom 1</w:t>
      </w:r>
      <w:r>
        <w:rPr>
          <w:rStyle w:val="PlaceholderText"/>
          <w:b/>
          <w:bCs/>
          <w:color w:val="000000"/>
          <w:u w:val="single"/>
        </w:rPr>
        <w:t>1</w:t>
      </w:r>
      <w:r w:rsidRPr="008C36EF">
        <w:rPr>
          <w:rStyle w:val="PlaceholderText"/>
          <w:b/>
          <w:bCs/>
          <w:color w:val="000000"/>
          <w:u w:val="single"/>
        </w:rPr>
        <w:t xml:space="preserve"> až 1</w:t>
      </w:r>
      <w:r>
        <w:rPr>
          <w:rStyle w:val="PlaceholderText"/>
          <w:b/>
          <w:bCs/>
          <w:color w:val="000000"/>
          <w:u w:val="single"/>
        </w:rPr>
        <w:t>3</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Legislatívno – technické úpravy súvisiace s navrhovanými zmenami v § 15.</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K bodu 1</w:t>
      </w:r>
      <w:r>
        <w:rPr>
          <w:rStyle w:val="PlaceholderText"/>
          <w:b/>
          <w:bCs/>
          <w:color w:val="000000"/>
          <w:u w:val="single"/>
        </w:rPr>
        <w:t>4</w:t>
      </w:r>
      <w:r w:rsidRPr="008C36EF">
        <w:rPr>
          <w:rStyle w:val="PlaceholderText"/>
          <w:b/>
          <w:bCs/>
          <w:color w:val="000000"/>
          <w:u w:val="single"/>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Znenie zákona sa zosúlaďuje s terminológiou zákona č. 176/2004 Z. z. o nakladaní s majetkom verejnoprávnych inštitúcií a o zmene zákona Národnej rady Slovenskej republiky č. 259/1993 Z. z. o Slovenskej lesníckej komore v znení zákona č. 464/2002 Z. z. v znení neskorších predpisov, ktorý v § 2 ods. 1 definuje majetok verejnoprávnej inštitúcie ako hnuteľné veci, nehnuteľné veci, pohľadávky a iné majetkové práva.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K bodu 1</w:t>
      </w:r>
      <w:r>
        <w:rPr>
          <w:rStyle w:val="PlaceholderText"/>
          <w:b/>
          <w:bCs/>
          <w:color w:val="000000"/>
          <w:u w:val="single"/>
        </w:rPr>
        <w:t>5</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Legislatívno – technická úprava súvisiaca s navrhovanými zmenami v § 20.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K bodu 1</w:t>
      </w:r>
      <w:r>
        <w:rPr>
          <w:rStyle w:val="PlaceholderText"/>
          <w:b/>
          <w:bCs/>
          <w:color w:val="000000"/>
          <w:u w:val="single"/>
        </w:rPr>
        <w:t>6</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Z dôvodu zmeny spôsobu financovania Rozhlasu a televízie Slovenska sa upravuje ustanovenie § 19 ods. 13 písm. c), podľa ktorého má výročná správa o činnosti Rozhlasu a televízie Slovenska okrem iných náležitostí obsahovať aj stanovisko rady Rozhlasu a televízie Slovenska k výsledku hospodárenia Rozhlasu a televízie Slovenska s osobitnou pozornosťou venovanou hospodáreniu Rozhlasu a televízie Slovenska s finančnými prostriedkami poskytnutými na základe zmluvy so štátom. </w:t>
      </w:r>
    </w:p>
    <w:p w:rsidR="0054402D" w:rsidRPr="008C36EF" w:rsidP="0054402D">
      <w:pPr>
        <w:widowControl/>
        <w:bidi w:val="0"/>
        <w:ind w:firstLine="708"/>
        <w:jc w:val="both"/>
        <w:rPr>
          <w:rStyle w:val="PlaceholderText"/>
          <w:color w:val="000000"/>
        </w:rPr>
      </w:pPr>
      <w:r w:rsidRPr="008C36EF">
        <w:rPr>
          <w:rStyle w:val="PlaceholderText"/>
          <w:color w:val="000000"/>
        </w:rPr>
        <w:t>Návrhom zákona sa ako zdroj príjmov Rozhlasu a televízie Slovenska ruší príspevok zo štátneho rozpočtu podľa zákona o štátnom rozpočte na príslušný rozpočtový rok poskytovaný na základe zmluvy so štátom a určený na uskutočnenie programov vo verejnom záujme, na uskutočnenie účelových investičných projektov alebo na úhradu výdavk</w:t>
      </w:r>
      <w:r>
        <w:rPr>
          <w:rStyle w:val="PlaceholderText"/>
          <w:color w:val="000000"/>
        </w:rPr>
        <w:t>ov na zabezpečenie vysielania do</w:t>
      </w:r>
      <w:r w:rsidRPr="008C36EF">
        <w:rPr>
          <w:rStyle w:val="PlaceholderText"/>
          <w:color w:val="000000"/>
        </w:rPr>
        <w:t xml:space="preserve"> zahraničia.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K bodu 1</w:t>
      </w:r>
      <w:r>
        <w:rPr>
          <w:rStyle w:val="PlaceholderText"/>
          <w:b/>
          <w:bCs/>
          <w:color w:val="000000"/>
          <w:u w:val="single"/>
        </w:rPr>
        <w:t>7</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Z dôvodu zmeny spôsobu financovania Rozhlasu a televízie Slovenska a vzhľadom na zrušenie inštitútu zmluvy so štátom, sa vypúšťa v § 19 ods. 13 znenie písm. d), v zmysle ktorého je súčasťou výročnej správy Rozhlasu a televízie Slovenska taktiež vyhodnotenie plnenia záväzku vyplývajúceho zo zmluvy so štátom.</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 xml:space="preserve">K bodu </w:t>
      </w:r>
      <w:smartTag w:uri="urn:schemas-microsoft-com:office:smarttags" w:element="metricconverter">
        <w:smartTagPr>
          <w:attr w:name="ProductID" w:val="18 a"/>
        </w:smartTagPr>
        <w:r w:rsidRPr="008C36EF">
          <w:rPr>
            <w:rStyle w:val="PlaceholderText"/>
            <w:b/>
            <w:bCs/>
            <w:color w:val="000000"/>
            <w:u w:val="single"/>
          </w:rPr>
          <w:t>1</w:t>
        </w:r>
        <w:r>
          <w:rPr>
            <w:rStyle w:val="PlaceholderText"/>
            <w:b/>
            <w:bCs/>
            <w:color w:val="000000"/>
            <w:u w:val="single"/>
          </w:rPr>
          <w:t>8</w:t>
        </w:r>
        <w:r w:rsidRPr="008C36EF">
          <w:rPr>
            <w:rStyle w:val="PlaceholderText"/>
            <w:b/>
            <w:bCs/>
            <w:color w:val="000000"/>
            <w:u w:val="single"/>
          </w:rPr>
          <w:t xml:space="preserve"> a</w:t>
        </w:r>
      </w:smartTag>
      <w:r w:rsidRPr="008C36EF">
        <w:rPr>
          <w:rStyle w:val="PlaceholderText"/>
          <w:b/>
          <w:bCs/>
          <w:color w:val="000000"/>
          <w:u w:val="single"/>
        </w:rPr>
        <w:t xml:space="preserve"> 1</w:t>
      </w:r>
      <w:r>
        <w:rPr>
          <w:rStyle w:val="PlaceholderText"/>
          <w:b/>
          <w:bCs/>
          <w:color w:val="000000"/>
          <w:u w:val="single"/>
        </w:rPr>
        <w:t>9</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Navrhovaným ustanovením sa upravuje nový spôsob financovania verejnoprávneho vysielania. Ako zdroj príjmov Rozhlasu a televízie Slovenska sa navrhuje zrušiť úhrady za služby verejnosti v oblasti vysielania poskytované Rozhlasom a televíziou Slovenska podľa zákona č. 68/2008 Z. z. o úhrade za služby verejnosti poskytované Slovenskou televíziou a Slovenským rozhlasom a o zmene a doplnení niektorých zákonov v znení zákona č. 532/2010 Z. z. a príspevok zo štátneho rozpočtu podľa zákona o štátnom rozpočte na príslušný rozpočtový rok poskytnutý na základe zmluvy so štátom určený na uskutočnenie programov vo verejnom záujme, na uskutočnenie účelových investičných projektov alebo na úhradu výdavkov na zabezpečenie vysielania do zahraničia. </w:t>
      </w:r>
    </w:p>
    <w:p w:rsidR="0054402D" w:rsidRPr="008C36EF" w:rsidP="0054402D">
      <w:pPr>
        <w:widowControl/>
        <w:bidi w:val="0"/>
        <w:ind w:firstLine="708"/>
        <w:jc w:val="both"/>
        <w:rPr>
          <w:rStyle w:val="PlaceholderText"/>
          <w:color w:val="000000"/>
        </w:rPr>
      </w:pPr>
      <w:r w:rsidRPr="008C36EF">
        <w:rPr>
          <w:rStyle w:val="PlaceholderText"/>
          <w:color w:val="000000"/>
        </w:rPr>
        <w:t xml:space="preserve">Navrhuje sa, aby hlavným príjmom Rozhlasu a televízie Slovenska bol príspevok zo štátneho rozpočtu poskytovaný každoročne podľa zákona o štátnom rozpočte na príslušný rozpočtový rok na úhradu nákladov na zabezpečenie služby verejnosti v oblasti vysielania. Navrhovaná výška ročného príspevku bude vo výške 0,142 % z hrubého domáceho produktu Slovenskej republiky za kalendárny rok, predchádzajúci kalendárnemu roku, ktorý predchádza kalendárnemu roku, na ktorý sa príspevok poskytuje, </w:t>
      </w:r>
      <w:r>
        <w:rPr>
          <w:rStyle w:val="PlaceholderText"/>
          <w:color w:val="000000"/>
        </w:rPr>
        <w:t>pričom ak je táto suma nižšia ako 90 000 000,- eur, príspevok zo štátneho rozpočtu sa poskytuje v sume 90 000 000,- eur</w:t>
      </w:r>
      <w:r w:rsidRPr="008C36EF">
        <w:rPr>
          <w:rStyle w:val="PlaceholderText"/>
          <w:color w:val="000000"/>
        </w:rPr>
        <w:t>, aby mal verejnoprávny vysielateľ garantovanú minimálnu ročnú výšku príspevku zo štátneho rozpočtu.</w:t>
      </w:r>
    </w:p>
    <w:p w:rsidR="0054402D"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p>
    <w:p w:rsidR="0054402D" w:rsidRPr="008C36EF" w:rsidP="0054402D">
      <w:pPr>
        <w:widowControl/>
        <w:bidi w:val="0"/>
        <w:jc w:val="both"/>
        <w:rPr>
          <w:rStyle w:val="PlaceholderText"/>
          <w:color w:val="000000"/>
        </w:rPr>
      </w:pPr>
      <w:r w:rsidRPr="008C36EF">
        <w:rPr>
          <w:rStyle w:val="PlaceholderText"/>
          <w:b/>
          <w:bCs/>
          <w:color w:val="000000"/>
          <w:u w:val="single"/>
        </w:rPr>
        <w:t>K bod</w:t>
      </w:r>
      <w:r w:rsidRPr="00672CC4">
        <w:rPr>
          <w:rStyle w:val="PlaceholderText"/>
          <w:b/>
          <w:bCs/>
          <w:color w:val="000000"/>
          <w:u w:val="single"/>
        </w:rPr>
        <w:t>om 20 až 22:</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Legislatívno – technická úprava.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 xml:space="preserve">K bodu </w:t>
      </w:r>
      <w:r>
        <w:rPr>
          <w:rStyle w:val="PlaceholderText"/>
          <w:b/>
          <w:bCs/>
          <w:color w:val="000000"/>
          <w:u w:val="single"/>
        </w:rPr>
        <w:t>23</w:t>
      </w:r>
      <w:r w:rsidRPr="008C36EF">
        <w:rPr>
          <w:rStyle w:val="PlaceholderText"/>
          <w:b/>
          <w:bCs/>
          <w:color w:val="000000"/>
          <w:u w:val="single"/>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Ustanovujú sa podmienky poskytnutia a použitia príspevku zo štátneho rozpočtu a podmienky použitia nevyčerpanej časti príspevku. Príspevok zo štátneho rozpočtu sa bude poskytovať Rozhlasu a televízii Slov</w:t>
      </w:r>
      <w:r>
        <w:rPr>
          <w:rStyle w:val="PlaceholderText"/>
          <w:color w:val="000000"/>
        </w:rPr>
        <w:t>enska</w:t>
      </w:r>
      <w:r w:rsidRPr="008C36EF">
        <w:rPr>
          <w:rStyle w:val="PlaceholderText"/>
          <w:color w:val="000000"/>
        </w:rPr>
        <w:t xml:space="preserve"> do 30. januára kalendárneho roka, na ktorý sa príspevok poskytuje, a to v celej sume  a bezhotovostne na účet Rozhlasu a televízie Slovenska.</w:t>
      </w:r>
    </w:p>
    <w:p w:rsidR="0054402D" w:rsidRPr="008C36EF" w:rsidP="0054402D">
      <w:pPr>
        <w:widowControl/>
        <w:bidi w:val="0"/>
        <w:ind w:firstLine="708"/>
        <w:jc w:val="both"/>
        <w:rPr>
          <w:rStyle w:val="PlaceholderText"/>
          <w:color w:val="000000"/>
        </w:rPr>
      </w:pPr>
      <w:r w:rsidRPr="008C36EF">
        <w:rPr>
          <w:rStyle w:val="PlaceholderText"/>
          <w:color w:val="000000"/>
        </w:rPr>
        <w:t xml:space="preserve">Podmienky požitia príspevku zo štátneho rozpočtu a použitia jeho nevyčerpanej časti sa stanovujú v súlade s Oznámením Komisie o uplatňovaní pravidiel štátnej pomoci na verejnoprávne vysielanie (2009/C 257/01)(ďalej len „oznámenie Komisie“). V súlade s oznámením Komisie bude Rozhlas a televízia Slovenska oprávnená použiť príspevok zo štátneho rozpočtu len na úhradu nákladov na zabezpečenie služby verejnosti v oblasti vysielania. </w:t>
      </w:r>
    </w:p>
    <w:p w:rsidR="0054402D" w:rsidRPr="008C36EF" w:rsidP="0054402D">
      <w:pPr>
        <w:widowControl/>
        <w:bidi w:val="0"/>
        <w:ind w:firstLine="708"/>
        <w:jc w:val="both"/>
        <w:rPr>
          <w:rStyle w:val="PlaceholderText"/>
          <w:color w:val="000000"/>
        </w:rPr>
      </w:pPr>
      <w:r w:rsidRPr="008C36EF">
        <w:rPr>
          <w:rStyle w:val="PlaceholderText"/>
          <w:color w:val="000000"/>
        </w:rPr>
        <w:t xml:space="preserve">Pokiaľ ide o nevyčerpanú časť príspevku zo štátneho rozpočtu navrhuje sa, aby Rozhlas a televízia Slovenska bola oprávnená </w:t>
      </w:r>
      <w:r>
        <w:rPr>
          <w:rStyle w:val="PlaceholderText"/>
          <w:color w:val="000000"/>
        </w:rPr>
        <w:t xml:space="preserve">použiť </w:t>
      </w:r>
      <w:r w:rsidRPr="008C36EF">
        <w:rPr>
          <w:rStyle w:val="PlaceholderText"/>
          <w:color w:val="000000"/>
        </w:rPr>
        <w:t>nevyčerpanú časť príspevku vo výške nepresahujúcej 10 % sumy ročných rozpočtových výdavkov na zabezpečenie služby verejnosti v oblasti vysielania na príslušný rozpočtový rok a zároveň sa stanovuje jej použitie</w:t>
      </w:r>
      <w:r>
        <w:rPr>
          <w:rStyle w:val="PlaceholderText"/>
          <w:color w:val="000000"/>
        </w:rPr>
        <w:t xml:space="preserve"> len</w:t>
      </w:r>
      <w:r w:rsidRPr="008C36EF">
        <w:rPr>
          <w:rStyle w:val="PlaceholderText"/>
          <w:color w:val="000000"/>
        </w:rPr>
        <w:t xml:space="preserve"> na preklenutie časového nesúladu medzi príjmami a výdavkami do konca nasledujúceho rozpoč</w:t>
      </w:r>
      <w:r>
        <w:rPr>
          <w:rStyle w:val="PlaceholderText"/>
          <w:color w:val="000000"/>
        </w:rPr>
        <w:t>tového roka a</w:t>
      </w:r>
      <w:r w:rsidRPr="008C36EF">
        <w:rPr>
          <w:rStyle w:val="PlaceholderText"/>
          <w:color w:val="000000"/>
        </w:rPr>
        <w:t xml:space="preserve"> na úhradu nákladov na zabezpečenie služby verejnosti v oblasti vysielania. Takéto použitie nevyčerpanej časti príspevku je v súlade s oznámením Komisie, v ktorom sa uvádza, že verejnoprávni vysielatelia si môžu ponechať ročnú nadmernú náhradu presahujúcu čisté náklady na verejnoprávne služby v rozsahu, v akom je to potrebné na zabezpečenie financovania ich ostatných záväzkov verejnoprávnej služby. V oznámení sa uvádza, že vo všeobecnosti je Komisia toho názoru, že suma vo výške do 10 % ročných rozpočtových výdavkov na plnenie poslania verejnoprávneho vysielania sa môže považovať za potrebnú na vyrovnanie výkyvov v nákladoch a príjmoch.</w:t>
      </w:r>
    </w:p>
    <w:p w:rsidR="0054402D" w:rsidRPr="008C36EF" w:rsidP="0054402D">
      <w:pPr>
        <w:widowControl/>
        <w:bidi w:val="0"/>
        <w:ind w:firstLine="708"/>
        <w:jc w:val="both"/>
        <w:rPr>
          <w:rStyle w:val="PlaceholderText"/>
          <w:color w:val="000000"/>
        </w:rPr>
      </w:pPr>
      <w:r w:rsidRPr="008C36EF">
        <w:rPr>
          <w:rStyle w:val="PlaceholderText"/>
          <w:color w:val="000000"/>
        </w:rPr>
        <w:t>V súlade s oznámením Komisie sa v odseku 4 stanovujú podmienky použitia nevyčerpanej časti príspevku zo štátneho rozpočtu vo výške presahujúcej 10 % sumy ročných rozpočtových výdavkov na zabezpečenie služby verejnosti v oblasti vysielania na príslušný rozpočtový rok. Nevyčerpanú časť príspevku zo štátneho rozpočtu vo výške presahujúcej 10 % sumy ročných rozpočtových výdavkov na zabezpečenie služby verejnosti v oblasti vysielania na príslušný rozpočtový rok môže Rozhlas a televízia</w:t>
      </w:r>
      <w:r>
        <w:rPr>
          <w:rStyle w:val="PlaceholderText"/>
          <w:color w:val="000000"/>
        </w:rPr>
        <w:t xml:space="preserve"> Slovenska použiť iba v</w:t>
      </w:r>
      <w:r w:rsidRPr="008C36EF">
        <w:rPr>
          <w:rStyle w:val="PlaceholderText"/>
          <w:color w:val="000000"/>
        </w:rPr>
        <w:t xml:space="preserve"> odôvodnenom prípade a na základe písomného súhlasu Ministerstva kultúry Slovenskej republiky, a to na úhradu jednorazových výdavkov potrebných na zabezpečenie služby verejnosti v oblasti vysielania, a to do konca nasledujúceho rozpočtového roka, p</w:t>
      </w:r>
      <w:r>
        <w:rPr>
          <w:rStyle w:val="PlaceholderText"/>
          <w:color w:val="000000"/>
        </w:rPr>
        <w:t>ričom odôvodnenosť</w:t>
      </w:r>
      <w:r w:rsidRPr="008C36EF">
        <w:rPr>
          <w:rStyle w:val="PlaceholderText"/>
          <w:color w:val="000000"/>
        </w:rPr>
        <w:t xml:space="preserve"> prípadu bude posudzovať Ministerstvo kultúry Slovenskej republiky. Takéto podmienky použitia nevyčerpanej časti príspevku zo štátneho rozpočtu vo výške presahujúcej 10 % sumy ročných rozpočtových výdavkov na zabezpečenie služby verejnosti v oblasti vysielania na príslušný rozpočtový rok sú v súlade s oznámením Komisie, v ktorom sa uvádza, že výnimočne sa verejnoprávnym vysielateľom môže povoliť, aby si v riadne odôvodnených prípadoch ponechali sumu vyššiu ako 10 % ročných rozpočtových výdavkov na plnenie poslania verejnoprávneho vysielania, pričom toto je v zmysle oznámenia Komisie prípustné iba za predpokladu, že táto nadmerná náhrada sa vopred konkrétne a záväzným spôsobom vyhradí na účely jednorazových veľkých výdavkov potrebných na plnenie verejnoprávneho poslania. Podľa oznámenia Komisie by sa využívanie tejto jasne vyhradenej nadmernej náhrady malo časovo obmedziť v závislosti od jej účelu.  </w:t>
      </w:r>
    </w:p>
    <w:p w:rsidR="0054402D" w:rsidRPr="008C36EF" w:rsidP="0054402D">
      <w:pPr>
        <w:widowControl/>
        <w:bidi w:val="0"/>
        <w:ind w:firstLine="708"/>
        <w:jc w:val="both"/>
        <w:rPr>
          <w:rStyle w:val="PlaceholderText"/>
          <w:color w:val="000000"/>
        </w:rPr>
      </w:pPr>
      <w:r>
        <w:rPr>
          <w:rStyle w:val="PlaceholderText"/>
          <w:color w:val="000000"/>
        </w:rPr>
        <w:t>V prípade, že</w:t>
      </w:r>
      <w:r w:rsidRPr="008C36EF">
        <w:rPr>
          <w:rStyle w:val="PlaceholderText"/>
          <w:color w:val="000000"/>
        </w:rPr>
        <w:t xml:space="preserve"> Rozhlas a televízi</w:t>
      </w:r>
      <w:r>
        <w:rPr>
          <w:rStyle w:val="PlaceholderText"/>
          <w:color w:val="000000"/>
        </w:rPr>
        <w:t>a Slovenska bude chcieť použiť</w:t>
      </w:r>
      <w:r w:rsidRPr="008C36EF">
        <w:rPr>
          <w:rStyle w:val="PlaceholderText"/>
          <w:color w:val="000000"/>
        </w:rPr>
        <w:t xml:space="preserve"> nevyčerpanú časť príspevku zo štátneho rozpočtu vo výške presahujúcej 10 % sumy ročných rozpočtových výdavkov na zabezpečenie služby verejnosti v oblasti vysielania na príslušný rozpočtový rok, je povinná písomne požiadať Ministerstvo kultúry Slovensk</w:t>
      </w:r>
      <w:r>
        <w:rPr>
          <w:rStyle w:val="PlaceholderText"/>
          <w:color w:val="000000"/>
        </w:rPr>
        <w:t>ej republiky o súhlas, a to do 30. septembra kalendárneho</w:t>
      </w:r>
      <w:r w:rsidRPr="008C36EF">
        <w:rPr>
          <w:rStyle w:val="PlaceholderText"/>
          <w:color w:val="000000"/>
        </w:rPr>
        <w:t xml:space="preserve"> roka, v ktorom bol príspevok zo štátneho rozpočtu poskytnutý. V písomnej žiadosti sa uvedie suma nevyčerpanej časti príspevku zo štátneho rozpočtu, dôvod jej nevyčerpania, účel jej použitia v nasledujúcom rozpočtovom roku a špecifikácia jednorazového výdavku potrebného na zabezpečenie služby verejnosti v oblasti vysielania. Zároveň sa Ministerstvu kultúry Slovenskej republiky stanovuje povinnosť písomne udeliť súhlas alebo písomne oznámiť Rozhlasu a televízii Slovenska, že súhlas neudeľuje, a to v lehote do 30 dní odo dňa doručenia žiadosti. </w:t>
      </w:r>
    </w:p>
    <w:p w:rsidR="0054402D" w:rsidP="0054402D">
      <w:pPr>
        <w:widowControl/>
        <w:bidi w:val="0"/>
        <w:ind w:firstLine="708"/>
        <w:jc w:val="both"/>
        <w:rPr>
          <w:rStyle w:val="PlaceholderText"/>
          <w:color w:val="000000"/>
        </w:rPr>
      </w:pPr>
      <w:r w:rsidRPr="008C36EF">
        <w:rPr>
          <w:rStyle w:val="PlaceholderText"/>
          <w:color w:val="000000"/>
        </w:rPr>
        <w:t>Návrh zákona zároveň garantuje to, že ponechanie nevyčerpanej časti príspevku zo štátneho rozpočtu nebude mať vplyv na sumu príspevku zo š</w:t>
      </w:r>
      <w:r>
        <w:rPr>
          <w:rStyle w:val="PlaceholderText"/>
          <w:color w:val="000000"/>
        </w:rPr>
        <w:t>tátneho rozpočtu v nasledujúcom kalendárnom roku</w:t>
      </w:r>
      <w:r w:rsidRPr="008C36EF">
        <w:rPr>
          <w:rStyle w:val="PlaceholderText"/>
          <w:color w:val="000000"/>
        </w:rPr>
        <w:t xml:space="preserve">. </w:t>
      </w:r>
    </w:p>
    <w:p w:rsidR="0054402D" w:rsidP="0054402D">
      <w:pPr>
        <w:widowControl/>
        <w:bidi w:val="0"/>
        <w:ind w:firstLine="708"/>
        <w:jc w:val="both"/>
        <w:rPr>
          <w:rStyle w:val="PlaceholderText"/>
          <w:color w:val="000000"/>
        </w:rPr>
      </w:pPr>
    </w:p>
    <w:p w:rsidR="0054402D" w:rsidRPr="00672CC4" w:rsidP="0054402D">
      <w:pPr>
        <w:widowControl/>
        <w:bidi w:val="0"/>
        <w:jc w:val="both"/>
        <w:rPr>
          <w:rStyle w:val="PlaceholderText"/>
          <w:b/>
          <w:bCs/>
          <w:color w:val="000000"/>
          <w:u w:val="single"/>
        </w:rPr>
      </w:pPr>
      <w:r w:rsidRPr="00672CC4">
        <w:rPr>
          <w:rStyle w:val="PlaceholderText"/>
          <w:b/>
          <w:bCs/>
          <w:color w:val="000000"/>
          <w:u w:val="single"/>
        </w:rPr>
        <w:t xml:space="preserve">K bodu 24: </w:t>
      </w:r>
    </w:p>
    <w:p w:rsidR="0054402D" w:rsidRPr="000F7427" w:rsidP="0054402D">
      <w:pPr>
        <w:widowControl/>
        <w:bidi w:val="0"/>
        <w:jc w:val="both"/>
        <w:rPr>
          <w:rStyle w:val="PlaceholderText"/>
          <w:b/>
          <w:bCs/>
          <w:color w:val="000000"/>
        </w:rPr>
      </w:pPr>
    </w:p>
    <w:p w:rsidR="0054402D" w:rsidRPr="000F7427" w:rsidP="0054402D">
      <w:pPr>
        <w:widowControl/>
        <w:bidi w:val="0"/>
        <w:ind w:firstLine="720"/>
        <w:jc w:val="both"/>
        <w:rPr>
          <w:rStyle w:val="PlaceholderText"/>
          <w:color w:val="000000"/>
        </w:rPr>
      </w:pPr>
      <w:r w:rsidRPr="000F7427">
        <w:rPr>
          <w:rStyle w:val="PlaceholderText"/>
          <w:color w:val="000000"/>
        </w:rPr>
        <w:t xml:space="preserve">Z ustanovenia § 22 ods. 3 sa vypúšťa písmeno c). Ustanovenie § 22 ods. 3 zákona ustanovuje poradie, v akom možno použiť rezervný fond. Podľa súčasnej právnej úpravy možno rezervný fond použiť aj na preklenutie časového </w:t>
      </w:r>
      <w:r>
        <w:rPr>
          <w:rStyle w:val="PlaceholderText"/>
          <w:color w:val="000000"/>
        </w:rPr>
        <w:t>ne</w:t>
      </w:r>
      <w:r w:rsidRPr="000F7427">
        <w:rPr>
          <w:rStyle w:val="PlaceholderText"/>
          <w:color w:val="000000"/>
        </w:rPr>
        <w:t>súladu medzi príjmami a výdavkami počas rozpočtového roka. Návrhom zákona sa v súlade s oznámením Komisie ustanovuje, že Rozhlas a televízia Sl</w:t>
      </w:r>
      <w:r>
        <w:rPr>
          <w:rStyle w:val="PlaceholderText"/>
          <w:color w:val="000000"/>
        </w:rPr>
        <w:t>ovenska môže použiť</w:t>
      </w:r>
      <w:r w:rsidRPr="000F7427">
        <w:rPr>
          <w:rStyle w:val="PlaceholderText"/>
          <w:color w:val="000000"/>
        </w:rPr>
        <w:t xml:space="preserve"> nevyčerpanú časť príspevku zo štátneho rozpočtu vo výške nepresahujúcej 10 % sumy ročných rozpočtových výdavkov na zabezpečenie služby verejnosti v oblasti vysielania na príslušný rozpočtový rok na preklenutie časového nesúladu medzi príjmami a výdavkami do konca nasledujúceho rozpočtového roka. Z dôvodu, aby sa predišlo nejasnostiam, z ktorého zdroja sa majú použiť prostriedky na preklenutie časového nesúladu medzi príjmami a výdavkami, vypúšťa sa z § 22 ods. 3 písmeno c).  </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r w:rsidRPr="008C36EF">
        <w:rPr>
          <w:rStyle w:val="PlaceholderText"/>
          <w:b/>
          <w:bCs/>
          <w:color w:val="000000"/>
          <w:u w:val="single"/>
        </w:rPr>
        <w:t xml:space="preserve">K bodu </w:t>
      </w:r>
      <w:r>
        <w:rPr>
          <w:rStyle w:val="PlaceholderText"/>
          <w:b/>
          <w:bCs/>
          <w:color w:val="000000"/>
          <w:u w:val="single"/>
        </w:rPr>
        <w:t>25</w:t>
      </w:r>
      <w:r w:rsidRPr="008C36EF">
        <w:rPr>
          <w:rStyle w:val="PlaceholderText"/>
          <w:b/>
          <w:bCs/>
          <w:color w:val="000000"/>
          <w:u w:val="single"/>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Vzhľadom na to, že návrhom zákona sa zrušuje zákon č. 68/2008 Z. z. o úhrade za služby verejnosti poskytované Slovenskou televíziou a Slovenským rozhlasom a o zmene a doplnení niektorých zákonov v znení zákona č. 532/2010 Z. z., upravuje sa v prechodných ustanoveniach návrhu zákona ako sa bude postupovať pri výbere a vymáhaní úhrad za služby verejnosti poskytované Rozhlasom a televíziou Slovenska, ktoré bol platiteľ povinný zaplatiť do 31. decembra </w:t>
      </w:r>
      <w:smartTag w:uri="urn:schemas-microsoft-com:office:smarttags" w:element="metricconverter">
        <w:smartTagPr>
          <w:attr w:name="ProductID" w:val="2012 a"/>
        </w:smartTagPr>
        <w:r>
          <w:rPr>
            <w:rStyle w:val="PlaceholderText"/>
            <w:color w:val="000000"/>
          </w:rPr>
          <w:t>2012</w:t>
        </w:r>
        <w:r w:rsidRPr="008C36EF">
          <w:rPr>
            <w:rStyle w:val="PlaceholderText"/>
            <w:color w:val="000000"/>
          </w:rPr>
          <w:t xml:space="preserve"> a</w:t>
        </w:r>
      </w:smartTag>
      <w:r w:rsidRPr="008C36EF">
        <w:rPr>
          <w:rStyle w:val="PlaceholderText"/>
          <w:color w:val="000000"/>
        </w:rPr>
        <w:t xml:space="preserve"> pri vymáhaní pohľadávok, ktoré vznikli na základe nezaplatenia </w:t>
      </w:r>
      <w:r>
        <w:rPr>
          <w:rStyle w:val="PlaceholderText"/>
          <w:color w:val="000000"/>
        </w:rPr>
        <w:t>týchto úhrad. Od 1. januára 2013</w:t>
      </w:r>
      <w:r w:rsidRPr="008C36EF">
        <w:rPr>
          <w:rStyle w:val="PlaceholderText"/>
          <w:color w:val="000000"/>
        </w:rPr>
        <w:t xml:space="preserve"> bude výber a vymáhanie týchto úhrad a pohľadávok vykonávať Rozhlas a televízia Slovenska. Na výber a vymáhanie týchto úhrad a pohľadávok sa bude vzťahovať zákon č. 68/2008 Z. z. o úhrade za služby verejnosti poskytované Slovenskou televíziou a Slovenským rozhlasom a o zmene a doplnení niektorých zákonov v znení účin</w:t>
      </w:r>
      <w:r>
        <w:rPr>
          <w:rStyle w:val="PlaceholderText"/>
          <w:color w:val="000000"/>
        </w:rPr>
        <w:t>nom k 31. decembru 2012</w:t>
      </w:r>
      <w:r w:rsidRPr="008C36EF">
        <w:rPr>
          <w:rStyle w:val="PlaceholderText"/>
          <w:color w:val="000000"/>
        </w:rPr>
        <w:t xml:space="preserve">, pričom za vyberateľa úhrady sa bude považovať Rozhlas a televízia Slovenska. </w:t>
      </w:r>
    </w:p>
    <w:p w:rsidR="0054402D" w:rsidRPr="008C36EF" w:rsidP="0054402D">
      <w:pPr>
        <w:widowControl/>
        <w:bidi w:val="0"/>
        <w:ind w:firstLine="708"/>
        <w:jc w:val="both"/>
        <w:rPr>
          <w:rStyle w:val="PlaceholderText"/>
          <w:color w:val="000000"/>
        </w:rPr>
      </w:pPr>
      <w:r w:rsidRPr="008C36EF">
        <w:rPr>
          <w:rStyle w:val="PlaceholderText"/>
          <w:color w:val="000000"/>
        </w:rPr>
        <w:t>V súvislosti s ustanovením § 11 ods. 5 zákona č. 68/2008 Z. z. o úhrade za služby verejnosti poskytované Slovenskou televíziou a Slovenským rozhlasom a o zmene a doplnení niektorých zákonov v znení zákona č. 532/2010 Z. z., podľa ktorého nárok na zaplatenie úhrady, s ktorou je platiteľ v omeškaní a pokuty je vyberateľ úhrady povinný uplatniť na súde, ustanovuje sa povinnosť Rozhlasu a televízie Slovenska vo všetkých súdnych konaniach podľa tohto ustanovenia, ktoré neb</w:t>
      </w:r>
      <w:r>
        <w:rPr>
          <w:rStyle w:val="PlaceholderText"/>
          <w:color w:val="000000"/>
        </w:rPr>
        <w:t>oli ukončené k 31. decembru 2012</w:t>
      </w:r>
      <w:r w:rsidRPr="008C36EF">
        <w:rPr>
          <w:rStyle w:val="PlaceholderText"/>
          <w:color w:val="000000"/>
        </w:rPr>
        <w:t xml:space="preserve">, podať návrh podľa § 92 ods. 2 Občianskeho súdneho poriadku, aby vstúpila do konania ako účastník konania namiesto vyberateľa úhrady.    </w:t>
      </w:r>
    </w:p>
    <w:p w:rsidR="0054402D" w:rsidRPr="008C36EF" w:rsidP="0054402D">
      <w:pPr>
        <w:widowControl/>
        <w:bidi w:val="0"/>
        <w:jc w:val="both"/>
        <w:rPr>
          <w:rStyle w:val="PlaceholderText"/>
          <w:color w:val="000000"/>
        </w:rPr>
      </w:pPr>
      <w:r w:rsidRPr="008C36EF">
        <w:rPr>
          <w:rStyle w:val="PlaceholderText"/>
          <w:color w:val="000000"/>
        </w:rPr>
        <w:t xml:space="preserve">  </w:t>
      </w:r>
    </w:p>
    <w:p w:rsidR="0054402D" w:rsidRPr="008C36EF" w:rsidP="0054402D">
      <w:pPr>
        <w:widowControl/>
        <w:bidi w:val="0"/>
        <w:jc w:val="both"/>
        <w:rPr>
          <w:rStyle w:val="PlaceholderText"/>
          <w:color w:val="000000"/>
        </w:rPr>
      </w:pPr>
      <w:r w:rsidRPr="008C36EF">
        <w:rPr>
          <w:rStyle w:val="PlaceholderText"/>
          <w:b/>
          <w:bCs/>
          <w:color w:val="000000"/>
          <w:u w:val="single"/>
        </w:rPr>
        <w:t xml:space="preserve">K bodu </w:t>
      </w:r>
      <w:r>
        <w:rPr>
          <w:rStyle w:val="PlaceholderText"/>
          <w:b/>
          <w:bCs/>
          <w:color w:val="000000"/>
          <w:u w:val="single"/>
        </w:rPr>
        <w:t>26</w:t>
      </w:r>
      <w:r w:rsidRPr="008C36EF">
        <w:rPr>
          <w:rStyle w:val="PlaceholderText"/>
          <w:b/>
          <w:bCs/>
          <w:color w:val="000000"/>
          <w:u w:val="single"/>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ind w:firstLine="708"/>
        <w:jc w:val="both"/>
        <w:rPr>
          <w:rStyle w:val="PlaceholderText"/>
          <w:color w:val="000000"/>
        </w:rPr>
      </w:pPr>
      <w:r w:rsidRPr="008C36EF">
        <w:rPr>
          <w:rStyle w:val="PlaceholderText"/>
          <w:color w:val="000000"/>
        </w:rPr>
        <w:t xml:space="preserve">Z dôvodu zmeny spôsobu financovania Rozhlasu a televízie Slovenska sa návrhom zákona zrušuje </w:t>
      </w:r>
      <w:r>
        <w:rPr>
          <w:rStyle w:val="PlaceholderText"/>
          <w:color w:val="000000"/>
        </w:rPr>
        <w:t xml:space="preserve">čl. I </w:t>
      </w:r>
      <w:r w:rsidRPr="008C36EF">
        <w:rPr>
          <w:rStyle w:val="PlaceholderText"/>
          <w:color w:val="000000"/>
        </w:rPr>
        <w:t>zákon</w:t>
      </w:r>
      <w:r>
        <w:rPr>
          <w:rStyle w:val="PlaceholderText"/>
          <w:color w:val="000000"/>
        </w:rPr>
        <w:t>a</w:t>
      </w:r>
      <w:r w:rsidRPr="008C36EF">
        <w:rPr>
          <w:rStyle w:val="PlaceholderText"/>
          <w:color w:val="000000"/>
        </w:rPr>
        <w:t xml:space="preserve"> č. 68/2008 Z. z. o úhrade za služby verejnosti poskytované Slovenskou televíziou a Slovenským rozhlasom a o zmene a doplnení niektorých zákonov v znení </w:t>
      </w:r>
      <w:r>
        <w:rPr>
          <w:rStyle w:val="PlaceholderText"/>
          <w:color w:val="000000"/>
        </w:rPr>
        <w:t xml:space="preserve">čl. V </w:t>
      </w:r>
      <w:r w:rsidRPr="008C36EF">
        <w:rPr>
          <w:rStyle w:val="PlaceholderText"/>
          <w:color w:val="000000"/>
        </w:rPr>
        <w:t xml:space="preserve">zákona č. 532/2010 Z. z. </w:t>
      </w:r>
    </w:p>
    <w:p w:rsidR="0054402D"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p>
    <w:p w:rsidR="0054402D" w:rsidP="0054402D">
      <w:pPr>
        <w:widowControl/>
        <w:bidi w:val="0"/>
        <w:jc w:val="both"/>
        <w:rPr>
          <w:rStyle w:val="PlaceholderText"/>
          <w:b/>
          <w:bCs/>
          <w:color w:val="000000"/>
        </w:rPr>
      </w:pPr>
      <w:r>
        <w:rPr>
          <w:rStyle w:val="PlaceholderText"/>
          <w:b/>
          <w:bCs/>
          <w:color w:val="000000"/>
          <w:u w:val="single"/>
        </w:rPr>
        <w:t xml:space="preserve">K čl. </w:t>
      </w:r>
      <w:r w:rsidRPr="008C36EF">
        <w:rPr>
          <w:rStyle w:val="PlaceholderText"/>
          <w:b/>
          <w:bCs/>
          <w:color w:val="000000"/>
          <w:u w:val="single"/>
        </w:rPr>
        <w:t>II</w:t>
      </w:r>
      <w:r w:rsidRPr="008C36EF">
        <w:rPr>
          <w:rStyle w:val="PlaceholderText"/>
          <w:b/>
          <w:bCs/>
          <w:color w:val="000000"/>
        </w:rPr>
        <w:t>:</w:t>
      </w:r>
    </w:p>
    <w:p w:rsidR="0054402D" w:rsidP="0054402D">
      <w:pPr>
        <w:widowControl/>
        <w:bidi w:val="0"/>
        <w:jc w:val="both"/>
        <w:rPr>
          <w:rStyle w:val="PlaceholderText"/>
          <w:b/>
          <w:bCs/>
          <w:color w:val="000000"/>
        </w:rPr>
      </w:pPr>
    </w:p>
    <w:p w:rsidR="0054402D" w:rsidRPr="00A428B3" w:rsidP="0054402D">
      <w:pPr>
        <w:widowControl/>
        <w:bidi w:val="0"/>
        <w:ind w:firstLine="720"/>
        <w:jc w:val="both"/>
        <w:rPr>
          <w:rStyle w:val="PlaceholderText"/>
          <w:color w:val="000000"/>
        </w:rPr>
      </w:pPr>
      <w:r w:rsidRPr="00A428B3">
        <w:rPr>
          <w:rStyle w:val="PlaceholderText"/>
          <w:color w:val="000000"/>
        </w:rPr>
        <w:t xml:space="preserve">Toto ustanovenie súvisí </w:t>
      </w:r>
      <w:r>
        <w:rPr>
          <w:rStyle w:val="PlaceholderText"/>
          <w:color w:val="000000"/>
        </w:rPr>
        <w:t>so skutočnosťou</w:t>
      </w:r>
      <w:r w:rsidRPr="00A428B3">
        <w:rPr>
          <w:rStyle w:val="PlaceholderText"/>
          <w:color w:val="000000"/>
        </w:rPr>
        <w:t>,</w:t>
      </w:r>
      <w:r>
        <w:rPr>
          <w:rStyle w:val="PlaceholderText"/>
          <w:color w:val="000000"/>
        </w:rPr>
        <w:t xml:space="preserve"> že účinnosť ustanovení,</w:t>
      </w:r>
      <w:r w:rsidRPr="00A428B3">
        <w:rPr>
          <w:rStyle w:val="PlaceholderText"/>
          <w:color w:val="000000"/>
        </w:rPr>
        <w:t xml:space="preserve"> ktoré upravujú zmenu spôsobu financovania RTVS</w:t>
      </w:r>
      <w:r>
        <w:rPr>
          <w:rStyle w:val="PlaceholderText"/>
          <w:color w:val="000000"/>
        </w:rPr>
        <w:t>, sa navrhuje od 1. januára 2013</w:t>
      </w:r>
      <w:r w:rsidRPr="00A428B3">
        <w:rPr>
          <w:rStyle w:val="PlaceholderText"/>
          <w:color w:val="000000"/>
        </w:rPr>
        <w:t>. Vzhľadom na skutočnosť, že v priebehu roka 2012 budú naďalej hlavným zdrojom príjmov RTVS úhrady za služby verejnosti, pričom ich výber má klesajúcu tendenciu (rok 2009 – 77 348 238,- eur, rok 2010 – 76 101</w:t>
      </w:r>
      <w:r>
        <w:rPr>
          <w:rStyle w:val="PlaceholderText"/>
          <w:color w:val="000000"/>
        </w:rPr>
        <w:t> </w:t>
      </w:r>
      <w:r w:rsidRPr="00A428B3">
        <w:rPr>
          <w:rStyle w:val="PlaceholderText"/>
          <w:color w:val="000000"/>
        </w:rPr>
        <w:t>380</w:t>
      </w:r>
      <w:r>
        <w:rPr>
          <w:rStyle w:val="PlaceholderText"/>
          <w:color w:val="000000"/>
        </w:rPr>
        <w:t>,- eur</w:t>
      </w:r>
      <w:r w:rsidRPr="00A428B3">
        <w:rPr>
          <w:rStyle w:val="PlaceholderText"/>
          <w:color w:val="000000"/>
        </w:rPr>
        <w:t>), navrhuje sa, aby až do zmeny</w:t>
      </w:r>
      <w:r>
        <w:rPr>
          <w:rStyle w:val="PlaceholderText"/>
          <w:color w:val="000000"/>
        </w:rPr>
        <w:t xml:space="preserve"> spôsobu financovania RTVS, </w:t>
      </w:r>
      <w:r w:rsidRPr="00A428B3">
        <w:rPr>
          <w:rStyle w:val="PlaceholderText"/>
          <w:color w:val="000000"/>
        </w:rPr>
        <w:t xml:space="preserve">bol časový limit vysielanej reklamy vo vysielaní televíznej programovej služby vysielateľa na základe zákona ponechaný na súčasnej úrovni (aby sa neznižoval), a teda aby bol povolený do výšky 1% denného vysielacieho času. Tento časový rozsah sa môže zvýšiť až na 5% denného vysielacieho času, a to o čas vyhradený telenákupným šotom. Takýmto krokom sa RTVS ponechá možnosť zvýšiť si vlastné príjmy predajom reklamného času v rovnakom objeme ako v roku </w:t>
      </w:r>
      <w:smartTag w:uri="urn:schemas-microsoft-com:office:smarttags" w:element="metricconverter">
        <w:smartTagPr>
          <w:attr w:name="ProductID" w:val="2011, a"/>
        </w:smartTagPr>
        <w:r w:rsidRPr="00A428B3">
          <w:rPr>
            <w:rStyle w:val="PlaceholderText"/>
            <w:color w:val="000000"/>
          </w:rPr>
          <w:t>2011, a</w:t>
        </w:r>
      </w:smartTag>
      <w:r w:rsidRPr="00A428B3">
        <w:rPr>
          <w:rStyle w:val="PlaceholderText"/>
          <w:color w:val="000000"/>
        </w:rPr>
        <w:t xml:space="preserve"> to až do nadobudnutia účinnosti nového systému financovania RTVS. V prípade neprijatia tohto návrhu by sa v zmysle zákona č. 308/2000 Z. z. (zákon o vysi</w:t>
      </w:r>
      <w:r>
        <w:rPr>
          <w:rStyle w:val="PlaceholderText"/>
          <w:color w:val="000000"/>
        </w:rPr>
        <w:t>elaní a retransmisii) znížil od</w:t>
      </w:r>
      <w:r w:rsidRPr="00A428B3">
        <w:rPr>
          <w:rStyle w:val="PlaceholderText"/>
          <w:color w:val="000000"/>
        </w:rPr>
        <w:t xml:space="preserve"> 1. januára 2012 povolený podiel reklamy vo vysielaní televíznej programovej služby RTVS z 1% na 0,5% denného vysielacieho času.</w:t>
      </w:r>
    </w:p>
    <w:p w:rsidR="0054402D" w:rsidP="0054402D">
      <w:pPr>
        <w:widowControl/>
        <w:bidi w:val="0"/>
        <w:jc w:val="both"/>
        <w:rPr>
          <w:rStyle w:val="PlaceholderText"/>
          <w:b/>
          <w:bCs/>
          <w:color w:val="000000"/>
        </w:rPr>
      </w:pPr>
    </w:p>
    <w:p w:rsidR="0054402D" w:rsidP="0054402D">
      <w:pPr>
        <w:widowControl/>
        <w:bidi w:val="0"/>
        <w:jc w:val="both"/>
        <w:rPr>
          <w:rStyle w:val="PlaceholderText"/>
          <w:b/>
          <w:bCs/>
          <w:color w:val="000000"/>
        </w:rPr>
      </w:pPr>
    </w:p>
    <w:p w:rsidR="0054402D" w:rsidP="0054402D">
      <w:pPr>
        <w:widowControl/>
        <w:bidi w:val="0"/>
        <w:jc w:val="both"/>
        <w:rPr>
          <w:rStyle w:val="PlaceholderText"/>
          <w:b/>
          <w:bCs/>
          <w:color w:val="000000"/>
        </w:rPr>
      </w:pPr>
      <w:r>
        <w:rPr>
          <w:rStyle w:val="PlaceholderText"/>
          <w:b/>
          <w:bCs/>
          <w:color w:val="000000"/>
          <w:u w:val="single"/>
        </w:rPr>
        <w:t>K čl. I</w:t>
      </w:r>
      <w:r w:rsidRPr="008C36EF">
        <w:rPr>
          <w:rStyle w:val="PlaceholderText"/>
          <w:b/>
          <w:bCs/>
          <w:color w:val="000000"/>
          <w:u w:val="single"/>
        </w:rPr>
        <w:t>II</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P="0054402D">
      <w:pPr>
        <w:widowControl/>
        <w:bidi w:val="0"/>
        <w:jc w:val="both"/>
        <w:rPr>
          <w:rStyle w:val="PlaceholderText"/>
          <w:b/>
          <w:bCs/>
          <w:color w:val="000000"/>
          <w:u w:val="single"/>
        </w:rPr>
      </w:pPr>
      <w:r w:rsidRPr="005B68F9">
        <w:rPr>
          <w:rStyle w:val="PlaceholderText"/>
          <w:b/>
          <w:bCs/>
          <w:color w:val="000000"/>
          <w:u w:val="single"/>
        </w:rPr>
        <w:t>K bodu 1:</w:t>
      </w:r>
    </w:p>
    <w:p w:rsidR="0054402D" w:rsidRPr="005B68F9" w:rsidP="0054402D">
      <w:pPr>
        <w:widowControl/>
        <w:bidi w:val="0"/>
        <w:ind w:firstLine="708"/>
        <w:jc w:val="both"/>
        <w:rPr>
          <w:rStyle w:val="PlaceholderText"/>
          <w:b/>
          <w:bCs/>
          <w:color w:val="000000"/>
          <w:u w:val="single"/>
        </w:rPr>
      </w:pPr>
    </w:p>
    <w:p w:rsidR="0054402D" w:rsidP="0054402D">
      <w:pPr>
        <w:widowControl/>
        <w:bidi w:val="0"/>
        <w:ind w:firstLine="708"/>
        <w:jc w:val="both"/>
        <w:rPr>
          <w:rStyle w:val="PlaceholderText"/>
          <w:color w:val="000000"/>
        </w:rPr>
      </w:pPr>
      <w:r w:rsidRPr="008C36EF">
        <w:rPr>
          <w:rStyle w:val="PlaceholderText"/>
          <w:color w:val="000000"/>
        </w:rPr>
        <w:t xml:space="preserve">Zo zákona sa vypúšťa povinnosť dodávateľa elektriny viesť evidenciu koncových odberateľov elektriny, pretože ide o povinnosť, ktorú v súvislosti s výberom úhrad zaviedol zákon č. 68/2008 Z. z. o úhrade za služby verejnosti poskytované Slovenskou televíziou a Slovenským rozhlasom a o zmene a doplnení niektorých zákonov, ktorý sa návrhom zákona zrušuje. </w:t>
      </w:r>
    </w:p>
    <w:p w:rsidR="0054402D" w:rsidP="0054402D">
      <w:pPr>
        <w:widowControl/>
        <w:bidi w:val="0"/>
        <w:ind w:firstLine="708"/>
        <w:jc w:val="both"/>
        <w:rPr>
          <w:rStyle w:val="PlaceholderText"/>
          <w:color w:val="000000"/>
        </w:rPr>
      </w:pPr>
    </w:p>
    <w:p w:rsidR="0054402D" w:rsidP="0054402D">
      <w:pPr>
        <w:widowControl/>
        <w:bidi w:val="0"/>
        <w:jc w:val="both"/>
        <w:rPr>
          <w:rStyle w:val="PlaceholderText"/>
          <w:b/>
          <w:bCs/>
          <w:color w:val="000000"/>
          <w:u w:val="single"/>
        </w:rPr>
      </w:pPr>
      <w:r w:rsidRPr="005B68F9">
        <w:rPr>
          <w:rStyle w:val="PlaceholderText"/>
          <w:b/>
          <w:bCs/>
          <w:color w:val="000000"/>
          <w:u w:val="single"/>
        </w:rPr>
        <w:t>K bodom 2 a 3:</w:t>
      </w:r>
    </w:p>
    <w:p w:rsidR="0054402D" w:rsidP="0054402D">
      <w:pPr>
        <w:widowControl/>
        <w:bidi w:val="0"/>
        <w:ind w:firstLine="708"/>
        <w:jc w:val="both"/>
        <w:rPr>
          <w:rStyle w:val="PlaceholderText"/>
          <w:b/>
          <w:bCs/>
          <w:color w:val="000000"/>
          <w:u w:val="single"/>
        </w:rPr>
      </w:pPr>
    </w:p>
    <w:p w:rsidR="0054402D" w:rsidRPr="005B68F9" w:rsidP="0054402D">
      <w:pPr>
        <w:widowControl/>
        <w:bidi w:val="0"/>
        <w:ind w:firstLine="708"/>
        <w:jc w:val="both"/>
        <w:rPr>
          <w:rStyle w:val="PlaceholderText"/>
          <w:color w:val="000000"/>
        </w:rPr>
      </w:pPr>
      <w:r>
        <w:rPr>
          <w:rStyle w:val="PlaceholderText"/>
          <w:color w:val="000000"/>
        </w:rPr>
        <w:t xml:space="preserve">Legislatívno - technická úprava súvisiaca s bodom 1. </w:t>
      </w:r>
    </w:p>
    <w:p w:rsidR="0054402D" w:rsidP="0054402D">
      <w:pPr>
        <w:widowControl/>
        <w:bidi w:val="0"/>
        <w:jc w:val="both"/>
        <w:rPr>
          <w:rStyle w:val="PlaceholderText"/>
          <w:color w:val="000000"/>
        </w:rPr>
      </w:pPr>
      <w:r w:rsidRPr="008C36EF">
        <w:rPr>
          <w:rStyle w:val="PlaceholderText"/>
          <w:color w:val="000000"/>
        </w:rPr>
        <w:t> </w:t>
      </w:r>
    </w:p>
    <w:p w:rsidR="0054402D" w:rsidRPr="008C36EF" w:rsidP="0054402D">
      <w:pPr>
        <w:widowControl/>
        <w:bidi w:val="0"/>
        <w:jc w:val="both"/>
        <w:rPr>
          <w:rStyle w:val="PlaceholderText"/>
          <w:color w:val="000000"/>
        </w:rPr>
      </w:pPr>
    </w:p>
    <w:p w:rsidR="0054402D" w:rsidRPr="008C36EF" w:rsidP="0054402D">
      <w:pPr>
        <w:widowControl/>
        <w:bidi w:val="0"/>
        <w:jc w:val="both"/>
        <w:rPr>
          <w:rStyle w:val="PlaceholderText"/>
          <w:color w:val="000000"/>
        </w:rPr>
      </w:pPr>
      <w:r w:rsidRPr="008C36EF">
        <w:rPr>
          <w:rStyle w:val="PlaceholderText"/>
          <w:b/>
          <w:bCs/>
          <w:color w:val="000000"/>
          <w:u w:val="single"/>
        </w:rPr>
        <w:t>K čl. I</w:t>
      </w:r>
      <w:r>
        <w:rPr>
          <w:rStyle w:val="PlaceholderText"/>
          <w:b/>
          <w:bCs/>
          <w:color w:val="000000"/>
          <w:u w:val="single"/>
        </w:rPr>
        <w:t>V</w:t>
      </w:r>
      <w:r w:rsidRPr="008C36EF">
        <w:rPr>
          <w:rStyle w:val="PlaceholderText"/>
          <w:b/>
          <w:bCs/>
          <w:color w:val="000000"/>
        </w:rPr>
        <w:t>:</w:t>
      </w:r>
    </w:p>
    <w:p w:rsidR="0054402D" w:rsidRPr="008C36EF" w:rsidP="0054402D">
      <w:pPr>
        <w:widowControl/>
        <w:bidi w:val="0"/>
        <w:jc w:val="both"/>
        <w:rPr>
          <w:rStyle w:val="PlaceholderText"/>
          <w:color w:val="000000"/>
        </w:rPr>
      </w:pPr>
      <w:r w:rsidRPr="008C36EF">
        <w:rPr>
          <w:rStyle w:val="PlaceholderText"/>
          <w:color w:val="000000"/>
        </w:rPr>
        <w:t> </w:t>
      </w:r>
    </w:p>
    <w:p w:rsidR="0054402D" w:rsidRPr="0046221C" w:rsidP="0054402D">
      <w:pPr>
        <w:bidi w:val="0"/>
        <w:ind w:firstLine="708"/>
        <w:jc w:val="both"/>
        <w:rPr>
          <w:rFonts w:ascii="Times New Roman" w:hAnsi="Times New Roman"/>
        </w:rPr>
      </w:pPr>
      <w:r w:rsidRPr="0046221C">
        <w:rPr>
          <w:rFonts w:ascii="Times New Roman" w:hAnsi="Times New Roman"/>
        </w:rPr>
        <w:t>Vzhľadom na súčasný stav verejných financií sa navrhuje, aby ustanovenia zákona týkajúce sa zmeny financovania RTVS, podľa ktorých hlavným príjmom RTVS bude príspevok zo štátneho rozpočtu poskytovaný každoročne podľa zákona o štátnom rozpočte na pr</w:t>
      </w:r>
      <w:r>
        <w:rPr>
          <w:rFonts w:ascii="Times New Roman" w:hAnsi="Times New Roman"/>
        </w:rPr>
        <w:t xml:space="preserve">íslušný rozpočtový rok </w:t>
      </w:r>
      <w:r w:rsidRPr="0046221C">
        <w:rPr>
          <w:rFonts w:ascii="Times New Roman" w:hAnsi="Times New Roman"/>
        </w:rPr>
        <w:t xml:space="preserve">na úhradu nákladov na zabezpečenie služby verejnosti v oblasti vysielania, nadobudli účinnosť 1. januára 2013. Ostatné ustanovenia zákona nadobudnú účinnosť </w:t>
      </w:r>
      <w:r>
        <w:rPr>
          <w:rFonts w:ascii="Times New Roman" w:hAnsi="Times New Roman"/>
        </w:rPr>
        <w:t>3</w:t>
      </w:r>
      <w:r w:rsidRPr="0046221C">
        <w:rPr>
          <w:rFonts w:ascii="Times New Roman" w:hAnsi="Times New Roman"/>
        </w:rPr>
        <w:t xml:space="preserve">1. </w:t>
      </w:r>
      <w:r>
        <w:rPr>
          <w:rFonts w:ascii="Times New Roman" w:hAnsi="Times New Roman"/>
        </w:rPr>
        <w:t>decembra 2011</w:t>
      </w:r>
      <w:r w:rsidRPr="0046221C">
        <w:rPr>
          <w:rFonts w:ascii="Times New Roman" w:hAnsi="Times New Roman"/>
        </w:rPr>
        <w:t xml:space="preserve">. </w:t>
      </w:r>
    </w:p>
    <w:p w:rsidR="0054402D" w:rsidRPr="008C36EF" w:rsidP="0054402D">
      <w:pPr>
        <w:widowControl/>
        <w:bidi w:val="0"/>
        <w:rPr>
          <w:rStyle w:val="PlaceholderText"/>
          <w:color w:val="000000"/>
        </w:rPr>
      </w:pPr>
      <w:r w:rsidRPr="008C36EF">
        <w:rPr>
          <w:rStyle w:val="PlaceholderText"/>
          <w:color w:val="000000"/>
        </w:rPr>
        <w:t> </w:t>
      </w:r>
    </w:p>
    <w:p w:rsidR="0054402D" w:rsidP="0054402D">
      <w:pPr>
        <w:widowControl/>
        <w:bidi w:val="0"/>
        <w:spacing w:after="280" w:afterAutospacing="1"/>
        <w:rPr>
          <w:rStyle w:val="PlaceholderText"/>
          <w:color w:val="000000"/>
        </w:rPr>
      </w:pPr>
      <w:r w:rsidRPr="008C36EF">
        <w:rPr>
          <w:rStyle w:val="PlaceholderText"/>
          <w:color w:val="000000"/>
        </w:rPr>
        <w:t> </w:t>
      </w:r>
    </w:p>
    <w:p w:rsidR="0054402D" w:rsidRPr="008C36EF" w:rsidP="0054402D">
      <w:pPr>
        <w:widowControl/>
        <w:bidi w:val="0"/>
        <w:spacing w:after="280" w:afterAutospacing="1"/>
        <w:rPr>
          <w:rStyle w:val="PlaceholderText"/>
          <w:color w:val="000000"/>
        </w:rPr>
      </w:pPr>
    </w:p>
    <w:p w:rsidR="0054402D" w:rsidRPr="005D52EE" w:rsidP="0054402D">
      <w:pPr>
        <w:bidi w:val="0"/>
        <w:rPr>
          <w:rFonts w:ascii="Times New Roman" w:hAnsi="Times New Roman"/>
        </w:rPr>
      </w:pPr>
      <w:r w:rsidRPr="00DC7E2D">
        <w:rPr>
          <w:rFonts w:ascii="Times New Roman" w:hAnsi="Times New Roman"/>
        </w:rPr>
        <w:t>Bratislava 17. augusta 2011</w:t>
      </w:r>
    </w:p>
    <w:p w:rsidR="0054402D" w:rsidRPr="005D52EE" w:rsidP="0054402D">
      <w:pPr>
        <w:autoSpaceDE w:val="0"/>
        <w:autoSpaceDN w:val="0"/>
        <w:bidi w:val="0"/>
        <w:ind w:right="-288"/>
        <w:jc w:val="both"/>
        <w:rPr>
          <w:rFonts w:ascii="Times New Roman" w:hAnsi="Times New Roman"/>
        </w:rPr>
      </w:pPr>
    </w:p>
    <w:p w:rsidR="0054402D" w:rsidRPr="005D52EE" w:rsidP="0054402D">
      <w:pPr>
        <w:autoSpaceDE w:val="0"/>
        <w:autoSpaceDN w:val="0"/>
        <w:bidi w:val="0"/>
        <w:ind w:right="-288"/>
        <w:jc w:val="both"/>
        <w:rPr>
          <w:rFonts w:ascii="Times New Roman" w:hAnsi="Times New Roman"/>
        </w:rPr>
      </w:pPr>
    </w:p>
    <w:p w:rsidR="0054402D" w:rsidRPr="005D52EE" w:rsidP="0054402D">
      <w:pPr>
        <w:autoSpaceDE w:val="0"/>
        <w:autoSpaceDN w:val="0"/>
        <w:bidi w:val="0"/>
        <w:ind w:right="-288"/>
        <w:jc w:val="both"/>
        <w:rPr>
          <w:rFonts w:ascii="Times New Roman" w:hAnsi="Times New Roman"/>
        </w:rPr>
      </w:pPr>
    </w:p>
    <w:p w:rsidR="0054402D" w:rsidRPr="005D52EE" w:rsidP="0054402D">
      <w:pPr>
        <w:autoSpaceDE w:val="0"/>
        <w:autoSpaceDN w:val="0"/>
        <w:bidi w:val="0"/>
        <w:ind w:right="-288"/>
        <w:jc w:val="both"/>
        <w:rPr>
          <w:rFonts w:ascii="Times New Roman" w:hAnsi="Times New Roman"/>
        </w:rPr>
      </w:pPr>
      <w:r w:rsidRPr="005D52EE">
        <w:rPr>
          <w:rFonts w:ascii="Times New Roman" w:hAnsi="Times New Roman"/>
        </w:rPr>
        <w:t xml:space="preserve">                                                                        </w:t>
      </w:r>
    </w:p>
    <w:p w:rsidR="00270A67" w:rsidP="00270A67">
      <w:pPr>
        <w:bidi w:val="0"/>
        <w:jc w:val="center"/>
        <w:rPr>
          <w:rFonts w:ascii="Times New Roman" w:hAnsi="Times New Roman"/>
        </w:rPr>
      </w:pPr>
      <w:r>
        <w:rPr>
          <w:rFonts w:ascii="Times New Roman" w:hAnsi="Times New Roman"/>
        </w:rPr>
        <w:t>Iveta Radičová, v. r.</w:t>
      </w:r>
    </w:p>
    <w:p w:rsidR="00270A67" w:rsidP="00270A67">
      <w:pPr>
        <w:bidi w:val="0"/>
        <w:jc w:val="center"/>
        <w:rPr>
          <w:rFonts w:ascii="Times New Roman" w:hAnsi="Times New Roman"/>
        </w:rPr>
      </w:pPr>
      <w:r>
        <w:rPr>
          <w:rFonts w:ascii="Times New Roman" w:hAnsi="Times New Roman"/>
        </w:rPr>
        <w:t>predsedníčka vlády</w:t>
      </w:r>
    </w:p>
    <w:p w:rsidR="00270A67" w:rsidP="00270A67">
      <w:pPr>
        <w:bidi w:val="0"/>
        <w:jc w:val="center"/>
        <w:rPr>
          <w:rFonts w:ascii="Times New Roman" w:hAnsi="Times New Roman"/>
        </w:rPr>
      </w:pPr>
      <w:r>
        <w:rPr>
          <w:rFonts w:ascii="Times New Roman" w:hAnsi="Times New Roman"/>
        </w:rPr>
        <w:t>Slovenskej republiky</w:t>
      </w:r>
    </w:p>
    <w:p w:rsidR="00270A67" w:rsidP="00270A67">
      <w:pPr>
        <w:bidi w:val="0"/>
        <w:jc w:val="center"/>
        <w:rPr>
          <w:rFonts w:ascii="Times New Roman" w:hAnsi="Times New Roman"/>
        </w:rPr>
      </w:pPr>
    </w:p>
    <w:p w:rsidR="00270A67" w:rsidP="00270A67">
      <w:pPr>
        <w:bidi w:val="0"/>
        <w:jc w:val="center"/>
        <w:rPr>
          <w:rFonts w:ascii="Times New Roman" w:hAnsi="Times New Roman"/>
        </w:rPr>
      </w:pPr>
    </w:p>
    <w:p w:rsidR="00270A67" w:rsidP="00270A67">
      <w:pPr>
        <w:bidi w:val="0"/>
        <w:jc w:val="center"/>
        <w:rPr>
          <w:rFonts w:ascii="Times New Roman" w:hAnsi="Times New Roman"/>
        </w:rPr>
      </w:pPr>
    </w:p>
    <w:p w:rsidR="00270A67" w:rsidP="00270A67">
      <w:pPr>
        <w:bidi w:val="0"/>
        <w:ind w:left="2832" w:firstLine="708"/>
        <w:rPr>
          <w:rFonts w:ascii="Times New Roman" w:hAnsi="Times New Roman"/>
        </w:rPr>
      </w:pPr>
      <w:r>
        <w:rPr>
          <w:rFonts w:ascii="Times New Roman" w:hAnsi="Times New Roman"/>
        </w:rPr>
        <w:t>Daniel Krajcer, v. r.</w:t>
      </w:r>
    </w:p>
    <w:p w:rsidR="00270A67" w:rsidP="00270A67">
      <w:pPr>
        <w:bidi w:val="0"/>
        <w:jc w:val="center"/>
        <w:rPr>
          <w:rFonts w:ascii="Times New Roman" w:hAnsi="Times New Roman"/>
        </w:rPr>
      </w:pPr>
      <w:r>
        <w:rPr>
          <w:rFonts w:ascii="Times New Roman" w:hAnsi="Times New Roman"/>
        </w:rPr>
        <w:t>minister kultúry</w:t>
      </w:r>
    </w:p>
    <w:p w:rsidR="00270A67" w:rsidP="00270A67">
      <w:pPr>
        <w:bidi w:val="0"/>
        <w:jc w:val="center"/>
        <w:rPr>
          <w:rFonts w:ascii="Times New Roman" w:hAnsi="Times New Roman"/>
        </w:rPr>
      </w:pPr>
      <w:r>
        <w:rPr>
          <w:rFonts w:ascii="Times New Roman" w:hAnsi="Times New Roman"/>
        </w:rPr>
        <w:t>Slovenskej republiky</w:t>
      </w:r>
    </w:p>
    <w:p w:rsidR="0054402D" w:rsidRPr="005D52EE" w:rsidP="0054402D">
      <w:pPr>
        <w:bidi w:val="0"/>
        <w:rPr>
          <w:rFonts w:ascii="Times New Roman" w:hAnsi="Times New Roman"/>
        </w:rPr>
      </w:pPr>
    </w:p>
    <w:p w:rsidR="0054402D" w:rsidP="0054402D">
      <w:pPr>
        <w:bidi w:val="0"/>
        <w:jc w:val="both"/>
        <w:rPr>
          <w:rFonts w:ascii="Times New Roman" w:hAnsi="Times New Roman"/>
        </w:rPr>
      </w:pPr>
    </w:p>
    <w:p w:rsidR="0054402D" w:rsidRPr="0052011B" w:rsidP="0054402D">
      <w:pPr>
        <w:bidi w:val="0"/>
        <w:rPr>
          <w:rFonts w:ascii="Times New Roman" w:hAnsi="Times New Roman"/>
        </w:rPr>
      </w:pPr>
    </w:p>
    <w:p w:rsidR="004923B9" w:rsidRPr="0052011B" w:rsidP="0054402D">
      <w:pPr>
        <w:bidi w:val="0"/>
        <w:jc w:val="center"/>
        <w:rPr>
          <w:rFonts w:ascii="Times New Roman" w:hAnsi="Times New Roman"/>
        </w:rPr>
      </w:pPr>
    </w:p>
    <w:sectPr w:rsidSect="006447A7">
      <w:pgSz w:w="11906" w:h="16838"/>
      <w:pgMar w:top="1418" w:right="1418" w:bottom="1418" w:left="1418" w:header="709" w:footer="709" w:gutter="0"/>
      <w:lnNumType w:distance="0"/>
      <w:pgNumType w:start="11"/>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7A7" w:rsidP="00F85A3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447A7" w:rsidP="006447A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BF" w:rsidP="00403BEF">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00D7F">
      <w:rPr>
        <w:rStyle w:val="PageNumber"/>
        <w:rFonts w:ascii="Times New Roman" w:hAnsi="Times New Roman"/>
        <w:noProof/>
      </w:rPr>
      <w:t>1</w:t>
    </w:r>
    <w:r>
      <w:rPr>
        <w:rStyle w:val="PageNumber"/>
        <w:rFonts w:ascii="Times New Roman" w:hAnsi="Times New Roman"/>
      </w:rPr>
      <w:fldChar w:fldCharType="end"/>
    </w:r>
  </w:p>
  <w:p w:rsidR="00091FBF" w:rsidP="00403BEF">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BF" w:rsidP="006447A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00D7F">
      <w:rPr>
        <w:rStyle w:val="PageNumber"/>
        <w:rFonts w:ascii="Times New Roman" w:hAnsi="Times New Roman"/>
        <w:noProof/>
      </w:rPr>
      <w:t>21</w:t>
    </w:r>
    <w:r>
      <w:rPr>
        <w:rStyle w:val="PageNumber"/>
        <w:rFonts w:ascii="Times New Roman" w:hAnsi="Times New Roman"/>
      </w:rPr>
      <w:fldChar w:fldCharType="end"/>
    </w:r>
  </w:p>
  <w:p w:rsidR="00091FBF" w:rsidP="00403BEF">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1D02"/>
    <w:multiLevelType w:val="hybridMultilevel"/>
    <w:tmpl w:val="1328514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5A90729"/>
    <w:multiLevelType w:val="hybridMultilevel"/>
    <w:tmpl w:val="C60AEF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9E53538"/>
    <w:multiLevelType w:val="hybridMultilevel"/>
    <w:tmpl w:val="C02C0FC0"/>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E52020"/>
    <w:rsid w:val="00046197"/>
    <w:rsid w:val="0006301B"/>
    <w:rsid w:val="0007277A"/>
    <w:rsid w:val="0007626D"/>
    <w:rsid w:val="00091FBF"/>
    <w:rsid w:val="000C3D5D"/>
    <w:rsid w:val="000E70BA"/>
    <w:rsid w:val="000F7427"/>
    <w:rsid w:val="001721CB"/>
    <w:rsid w:val="00172C73"/>
    <w:rsid w:val="002026EE"/>
    <w:rsid w:val="00231EA7"/>
    <w:rsid w:val="00270A67"/>
    <w:rsid w:val="00272B3B"/>
    <w:rsid w:val="00287F62"/>
    <w:rsid w:val="002972D1"/>
    <w:rsid w:val="002F5BA7"/>
    <w:rsid w:val="00323F08"/>
    <w:rsid w:val="00393F65"/>
    <w:rsid w:val="003A5AE3"/>
    <w:rsid w:val="003B0F52"/>
    <w:rsid w:val="003F5AF9"/>
    <w:rsid w:val="00403BEF"/>
    <w:rsid w:val="004161A1"/>
    <w:rsid w:val="00436651"/>
    <w:rsid w:val="0046221C"/>
    <w:rsid w:val="004923B9"/>
    <w:rsid w:val="004A6A2B"/>
    <w:rsid w:val="004E5E13"/>
    <w:rsid w:val="0052011B"/>
    <w:rsid w:val="005408F1"/>
    <w:rsid w:val="0054402D"/>
    <w:rsid w:val="00577AE6"/>
    <w:rsid w:val="005B68F9"/>
    <w:rsid w:val="005C6820"/>
    <w:rsid w:val="005D05C4"/>
    <w:rsid w:val="005D3A18"/>
    <w:rsid w:val="005D52EE"/>
    <w:rsid w:val="005E34E4"/>
    <w:rsid w:val="005F4610"/>
    <w:rsid w:val="006447A7"/>
    <w:rsid w:val="00665781"/>
    <w:rsid w:val="00672CC4"/>
    <w:rsid w:val="00684698"/>
    <w:rsid w:val="006C121A"/>
    <w:rsid w:val="006F3804"/>
    <w:rsid w:val="00744671"/>
    <w:rsid w:val="00755F58"/>
    <w:rsid w:val="00837CBC"/>
    <w:rsid w:val="008C36EF"/>
    <w:rsid w:val="008D057F"/>
    <w:rsid w:val="00921CEC"/>
    <w:rsid w:val="00A00D7F"/>
    <w:rsid w:val="00A428B3"/>
    <w:rsid w:val="00A64D2D"/>
    <w:rsid w:val="00AB01E2"/>
    <w:rsid w:val="00AC4295"/>
    <w:rsid w:val="00B47AE9"/>
    <w:rsid w:val="00BB01CE"/>
    <w:rsid w:val="00BC7755"/>
    <w:rsid w:val="00BC7BEB"/>
    <w:rsid w:val="00BE1551"/>
    <w:rsid w:val="00CC62BA"/>
    <w:rsid w:val="00CD3113"/>
    <w:rsid w:val="00D06149"/>
    <w:rsid w:val="00D93933"/>
    <w:rsid w:val="00DC7E2D"/>
    <w:rsid w:val="00DD7CA2"/>
    <w:rsid w:val="00DE0A56"/>
    <w:rsid w:val="00E21B8F"/>
    <w:rsid w:val="00E37602"/>
    <w:rsid w:val="00E440F0"/>
    <w:rsid w:val="00E52020"/>
    <w:rsid w:val="00E573F5"/>
    <w:rsid w:val="00E6484E"/>
    <w:rsid w:val="00EA1CBA"/>
    <w:rsid w:val="00ED450D"/>
    <w:rsid w:val="00EE7DF7"/>
    <w:rsid w:val="00F74F18"/>
    <w:rsid w:val="00F75C53"/>
    <w:rsid w:val="00F85A3E"/>
    <w:rsid w:val="00F97083"/>
    <w:rsid w:val="00FD13FF"/>
    <w:rsid w:val="00FF00D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1B"/>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Textzstupnhosymbolu">
    <w:name w:val="Text zástupného symbolu"/>
    <w:basedOn w:val="DefaultParagraphFont"/>
    <w:uiPriority w:val="99"/>
    <w:semiHidden/>
    <w:rsid w:val="0052011B"/>
    <w:rPr>
      <w:rFonts w:ascii="Times New Roman" w:hAnsi="Times New Roman" w:cs="Times New Roman"/>
      <w:color w:val="808080"/>
      <w:rtl w:val="0"/>
      <w:cs w:val="0"/>
    </w:rPr>
  </w:style>
  <w:style w:type="paragraph" w:styleId="Footer">
    <w:name w:val="footer"/>
    <w:basedOn w:val="Normal"/>
    <w:link w:val="FooterChar"/>
    <w:uiPriority w:val="99"/>
    <w:rsid w:val="0052011B"/>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52011B"/>
    <w:rPr>
      <w:rFonts w:cs="Times New Roman"/>
      <w:rtl w:val="0"/>
      <w:cs w:val="0"/>
    </w:rPr>
  </w:style>
  <w:style w:type="paragraph" w:customStyle="1" w:styleId="CarCharCharCharCharChar1">
    <w:name w:val="Car Char Char Char Char Char1"/>
    <w:basedOn w:val="Normal"/>
    <w:uiPriority w:val="99"/>
    <w:rsid w:val="0052011B"/>
    <w:pPr>
      <w:widowControl/>
      <w:adjustRightInd/>
      <w:spacing w:after="160" w:line="240" w:lineRule="exact"/>
      <w:jc w:val="left"/>
    </w:pPr>
    <w:rPr>
      <w:rFonts w:ascii="Tahoma" w:hAnsi="Tahoma" w:cs="Tahoma"/>
      <w:sz w:val="20"/>
      <w:szCs w:val="20"/>
      <w:lang w:val="en-US" w:eastAsia="en-US"/>
    </w:rPr>
  </w:style>
  <w:style w:type="paragraph" w:styleId="NormalWeb">
    <w:name w:val="Normal (Web)"/>
    <w:aliases w:val="webb"/>
    <w:basedOn w:val="Normal"/>
    <w:uiPriority w:val="99"/>
    <w:rsid w:val="0052011B"/>
    <w:pPr>
      <w:widowControl/>
      <w:adjustRightInd/>
      <w:spacing w:before="100" w:beforeAutospacing="1" w:after="100" w:afterAutospacing="1"/>
      <w:jc w:val="left"/>
    </w:pPr>
  </w:style>
  <w:style w:type="paragraph" w:customStyle="1" w:styleId="CharChar">
    <w:name w:val="Char Char"/>
    <w:basedOn w:val="Normal"/>
    <w:uiPriority w:val="99"/>
    <w:rsid w:val="004923B9"/>
    <w:pPr>
      <w:spacing w:after="160" w:line="240" w:lineRule="exact"/>
      <w:jc w:val="both"/>
      <w:textAlignment w:val="baseline"/>
    </w:pPr>
    <w:rPr>
      <w:rFonts w:ascii="Tahoma" w:hAnsi="Tahoma" w:cs="Tahoma"/>
      <w:sz w:val="20"/>
      <w:szCs w:val="20"/>
      <w:lang w:eastAsia="en-US"/>
    </w:rPr>
  </w:style>
  <w:style w:type="paragraph" w:styleId="BalloonText">
    <w:name w:val="Balloon Text"/>
    <w:basedOn w:val="Normal"/>
    <w:link w:val="BalloonTextChar"/>
    <w:uiPriority w:val="99"/>
    <w:semiHidden/>
    <w:unhideWhenUsed/>
    <w:rsid w:val="00BE1551"/>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1551"/>
    <w:rPr>
      <w:rFonts w:ascii="Tahoma" w:hAnsi="Tahoma" w:cs="Tahoma"/>
      <w:sz w:val="16"/>
      <w:szCs w:val="16"/>
      <w:rtl w:val="0"/>
      <w:cs w:val="0"/>
    </w:rPr>
  </w:style>
  <w:style w:type="character" w:styleId="PlaceholderText">
    <w:name w:val="Placeholder Text"/>
    <w:basedOn w:val="DefaultParagraphFont"/>
    <w:semiHidden/>
    <w:rsid w:val="0054402D"/>
    <w:rPr>
      <w:rFonts w:ascii="Times New Roman" w:hAnsi="Times New Roman" w:cs="Times New Roman"/>
      <w:color w:val="808080"/>
      <w:rtl w:val="0"/>
      <w:cs w:val="0"/>
    </w:rPr>
  </w:style>
  <w:style w:type="paragraph" w:styleId="Header">
    <w:name w:val="header"/>
    <w:basedOn w:val="Normal"/>
    <w:rsid w:val="006447A7"/>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6423</Words>
  <Characters>36615</Characters>
  <Application>Microsoft Office Word</Application>
  <DocSecurity>0</DocSecurity>
  <Lines>0</Lines>
  <Paragraphs>0</Paragraphs>
  <ScaleCrop>false</ScaleCrop>
  <Company>Slovenskej Republiky</Company>
  <LinksUpToDate>false</LinksUpToDate>
  <CharactersWithSpaces>42953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fedorova</dc:creator>
  <cp:lastModifiedBy>Gašparíková, Jarmila</cp:lastModifiedBy>
  <cp:revision>2</cp:revision>
  <dcterms:created xsi:type="dcterms:W3CDTF">2011-08-19T14:20:00Z</dcterms:created>
  <dcterms:modified xsi:type="dcterms:W3CDTF">2011-08-19T14:20:00Z</dcterms:modified>
</cp:coreProperties>
</file>