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12 -->
  <w:body>
    <w:p w:rsidR="00023860" w:rsidP="00023860">
      <w:pPr>
        <w:ind w:left="3540"/>
        <w:jc w:val="both"/>
        <w:rPr>
          <w:rFonts w:ascii="Times New Roman" w:hAnsi="Times New Roman" w:cs="Times New Roman"/>
          <w:b/>
          <w:szCs w:val="24"/>
        </w:rPr>
      </w:pPr>
      <w:r>
        <w:rPr>
          <w:rFonts w:ascii="Times New Roman" w:hAnsi="Times New Roman" w:cs="Times New Roman"/>
          <w:b/>
          <w:szCs w:val="24"/>
        </w:rPr>
        <w:t>Dôvodová správa</w:t>
      </w:r>
    </w:p>
    <w:p w:rsidR="00023860" w:rsidP="00023860">
      <w:pPr>
        <w:jc w:val="both"/>
        <w:rPr>
          <w:rFonts w:ascii="Times New Roman" w:hAnsi="Times New Roman" w:cs="Times New Roman"/>
          <w:b/>
          <w:szCs w:val="24"/>
        </w:rPr>
      </w:pPr>
    </w:p>
    <w:p w:rsidR="00023860" w:rsidRPr="0069463F" w:rsidP="00023860">
      <w:pPr>
        <w:jc w:val="both"/>
        <w:rPr>
          <w:rFonts w:ascii="Times New Roman" w:hAnsi="Times New Roman" w:cs="Times New Roman"/>
          <w:b/>
          <w:szCs w:val="24"/>
        </w:rPr>
      </w:pPr>
      <w:r>
        <w:rPr>
          <w:rFonts w:ascii="Times New Roman" w:hAnsi="Times New Roman" w:cs="Times New Roman"/>
          <w:b/>
          <w:szCs w:val="24"/>
        </w:rPr>
        <w:t>A</w:t>
      </w:r>
      <w:r w:rsidRPr="0069463F">
        <w:rPr>
          <w:rFonts w:ascii="Times New Roman" w:hAnsi="Times New Roman" w:cs="Times New Roman"/>
          <w:b/>
          <w:szCs w:val="24"/>
        </w:rPr>
        <w:t>. Všeobecná časť</w:t>
      </w:r>
    </w:p>
    <w:p w:rsidR="00023860" w:rsidP="00023860">
      <w:pPr>
        <w:jc w:val="both"/>
        <w:rPr>
          <w:rFonts w:ascii="Times New Roman" w:hAnsi="Times New Roman" w:cs="Times New Roman"/>
          <w:b/>
          <w:szCs w:val="24"/>
          <w:u w:val="single"/>
        </w:rPr>
      </w:pPr>
    </w:p>
    <w:p w:rsidR="00023860" w:rsidP="00023860">
      <w:pPr>
        <w:pStyle w:val="BodyText"/>
        <w:ind w:firstLine="708"/>
        <w:rPr>
          <w:rFonts w:ascii="Times New Roman" w:hAnsi="Times New Roman" w:cs="Times New Roman"/>
          <w:sz w:val="24"/>
          <w:szCs w:val="24"/>
        </w:rPr>
      </w:pPr>
      <w:r w:rsidRPr="002B22B3">
        <w:rPr>
          <w:rFonts w:ascii="Times New Roman" w:hAnsi="Times New Roman" w:cs="Times New Roman"/>
          <w:sz w:val="24"/>
          <w:szCs w:val="24"/>
        </w:rPr>
        <w:t xml:space="preserve">Návrh zákona úrad predkladá z vlastnej iniciatívy vzhľadom na nevyhnutnosť </w:t>
      </w:r>
      <w:r w:rsidRPr="002B22B3">
        <w:rPr>
          <w:rFonts w:ascii="Times New Roman" w:hAnsi="Times New Roman" w:cs="Times New Roman"/>
          <w:color w:val="000000"/>
          <w:sz w:val="24"/>
          <w:szCs w:val="24"/>
        </w:rPr>
        <w:t>vykonania legislatívnych úprav urč</w:t>
      </w:r>
      <w:r w:rsidRPr="002B22B3">
        <w:rPr>
          <w:rFonts w:ascii="Times New Roman" w:hAnsi="Times New Roman" w:cs="Times New Roman"/>
          <w:color w:val="000000"/>
          <w:sz w:val="24"/>
          <w:szCs w:val="24"/>
        </w:rPr>
        <w:t>itých problémových okruhov</w:t>
      </w:r>
      <w:r w:rsidRPr="002B22B3">
        <w:rPr>
          <w:rFonts w:ascii="Times New Roman" w:hAnsi="Times New Roman" w:cs="Times New Roman"/>
          <w:sz w:val="24"/>
          <w:szCs w:val="24"/>
        </w:rPr>
        <w:t xml:space="preserve">, ktoré vyplynuli z uplatňovania zákona v praxi. </w:t>
      </w:r>
    </w:p>
    <w:p w:rsidR="00023860" w:rsidP="00023860">
      <w:pPr>
        <w:pStyle w:val="BodyText"/>
        <w:ind w:firstLine="708"/>
        <w:rPr>
          <w:rFonts w:ascii="Times New Roman" w:hAnsi="Times New Roman" w:cs="Times New Roman"/>
          <w:sz w:val="24"/>
          <w:szCs w:val="24"/>
        </w:rPr>
      </w:pPr>
    </w:p>
    <w:p w:rsidR="00023860" w:rsidP="00023860">
      <w:pPr>
        <w:pStyle w:val="BodyText"/>
        <w:ind w:firstLine="708"/>
        <w:rPr>
          <w:rFonts w:ascii="Times New Roman" w:hAnsi="Times New Roman" w:cs="Times New Roman"/>
          <w:sz w:val="24"/>
          <w:szCs w:val="24"/>
        </w:rPr>
      </w:pPr>
      <w:r w:rsidRPr="002B22B3">
        <w:rPr>
          <w:rFonts w:ascii="Times New Roman" w:hAnsi="Times New Roman" w:cs="Times New Roman"/>
          <w:sz w:val="24"/>
          <w:szCs w:val="24"/>
        </w:rPr>
        <w:t xml:space="preserve">Predovšetkým ide o zmeny v oblasti koncentrácií podnikateľov, kde sa </w:t>
      </w:r>
      <w:r>
        <w:rPr>
          <w:rFonts w:ascii="Times New Roman" w:hAnsi="Times New Roman" w:cs="Times New Roman"/>
          <w:sz w:val="24"/>
          <w:szCs w:val="24"/>
        </w:rPr>
        <w:t>navrhujú</w:t>
      </w:r>
      <w:r w:rsidRPr="002B22B3">
        <w:rPr>
          <w:rFonts w:ascii="Times New Roman" w:hAnsi="Times New Roman" w:cs="Times New Roman"/>
          <w:sz w:val="24"/>
          <w:szCs w:val="24"/>
        </w:rPr>
        <w:t xml:space="preserve"> upraviť novým spôsobom kritériá určujúce</w:t>
      </w:r>
      <w:r>
        <w:rPr>
          <w:rFonts w:ascii="Times New Roman" w:hAnsi="Times New Roman" w:cs="Times New Roman"/>
          <w:sz w:val="24"/>
          <w:szCs w:val="24"/>
        </w:rPr>
        <w:t>,</w:t>
      </w:r>
      <w:r w:rsidRPr="002B22B3">
        <w:rPr>
          <w:rFonts w:ascii="Times New Roman" w:hAnsi="Times New Roman" w:cs="Times New Roman"/>
          <w:sz w:val="24"/>
          <w:szCs w:val="24"/>
        </w:rPr>
        <w:t xml:space="preserve"> či koncentrácia podlieha kontrole úradu. </w:t>
      </w:r>
      <w:r w:rsidRPr="005E527E">
        <w:rPr>
          <w:rFonts w:ascii="Times New Roman" w:hAnsi="Times New Roman" w:cs="Times New Roman"/>
          <w:sz w:val="24"/>
          <w:szCs w:val="24"/>
        </w:rPr>
        <w:t xml:space="preserve">Výrazným spôsobom sa </w:t>
      </w:r>
      <w:r>
        <w:rPr>
          <w:rFonts w:ascii="Times New Roman" w:hAnsi="Times New Roman" w:cs="Times New Roman"/>
          <w:sz w:val="24"/>
          <w:szCs w:val="24"/>
        </w:rPr>
        <w:t xml:space="preserve">tak </w:t>
      </w:r>
      <w:r w:rsidRPr="005E527E">
        <w:rPr>
          <w:rFonts w:ascii="Times New Roman" w:hAnsi="Times New Roman" w:cs="Times New Roman"/>
          <w:sz w:val="24"/>
          <w:szCs w:val="24"/>
        </w:rPr>
        <w:t xml:space="preserve">mení posudzovanie </w:t>
      </w:r>
      <w:r>
        <w:rPr>
          <w:rFonts w:ascii="Times New Roman" w:hAnsi="Times New Roman" w:cs="Times New Roman"/>
          <w:sz w:val="24"/>
          <w:szCs w:val="24"/>
        </w:rPr>
        <w:t>koncentrácií</w:t>
      </w:r>
      <w:r w:rsidRPr="005E527E">
        <w:rPr>
          <w:rFonts w:ascii="Times New Roman" w:hAnsi="Times New Roman" w:cs="Times New Roman"/>
          <w:sz w:val="24"/>
          <w:szCs w:val="24"/>
        </w:rPr>
        <w:t xml:space="preserve">, kde podľa nového znenia musí obrat v Slovenskej republike dosiahnuť nadobúdaná spoločnosť. Dochádza tak k eliminácii povinného oznamovania prípadov, v ktorých spĺňala nadobúdaná spoločnosť iba kritérium celosvetového obratu, a teda nemala významnú účasť na hospodárskej súťaži na tuzemskom trhu. </w:t>
      </w:r>
    </w:p>
    <w:p w:rsidR="00023860" w:rsidP="00023860">
      <w:pPr>
        <w:pStyle w:val="BodyText"/>
        <w:ind w:firstLine="708"/>
        <w:rPr>
          <w:rFonts w:ascii="Times New Roman" w:hAnsi="Times New Roman" w:cs="Times New Roman"/>
          <w:sz w:val="24"/>
          <w:szCs w:val="24"/>
        </w:rPr>
      </w:pPr>
    </w:p>
    <w:p w:rsidR="00023860" w:rsidP="00023860">
      <w:pPr>
        <w:pStyle w:val="BodyText"/>
        <w:ind w:firstLine="708"/>
        <w:rPr>
          <w:rFonts w:ascii="Times New Roman" w:hAnsi="Times New Roman" w:cs="Times New Roman"/>
          <w:sz w:val="24"/>
          <w:szCs w:val="24"/>
        </w:rPr>
      </w:pPr>
      <w:r>
        <w:rPr>
          <w:rFonts w:ascii="Times New Roman" w:hAnsi="Times New Roman" w:cs="Times New Roman"/>
          <w:sz w:val="24"/>
          <w:szCs w:val="24"/>
        </w:rPr>
        <w:t>Zavádza sa nový, tzv. dvojfázový proces pre posudzovanie koncentrácií. Konkrétne 25 pracovných dní pre bežné koncentrácie a 90 pracovných dní pre obzvlášť náročne koncentrá</w:t>
      </w:r>
      <w:r>
        <w:rPr>
          <w:rFonts w:ascii="Times New Roman" w:hAnsi="Times New Roman" w:cs="Times New Roman"/>
          <w:sz w:val="24"/>
          <w:szCs w:val="24"/>
        </w:rPr>
        <w:t xml:space="preserve">cie. </w:t>
      </w:r>
    </w:p>
    <w:p w:rsidR="00023860" w:rsidP="00023860">
      <w:pPr>
        <w:pStyle w:val="BodyText"/>
        <w:ind w:firstLine="708"/>
        <w:rPr>
          <w:rFonts w:ascii="Times New Roman" w:hAnsi="Times New Roman" w:cs="Times New Roman"/>
          <w:sz w:val="24"/>
          <w:szCs w:val="24"/>
        </w:rPr>
      </w:pPr>
    </w:p>
    <w:p w:rsidR="00023860" w:rsidP="00023860">
      <w:pPr>
        <w:pStyle w:val="BodyText"/>
        <w:ind w:firstLine="708"/>
        <w:rPr>
          <w:rFonts w:ascii="Times New Roman" w:hAnsi="Times New Roman" w:cs="Times New Roman"/>
          <w:sz w:val="24"/>
          <w:szCs w:val="24"/>
        </w:rPr>
      </w:pPr>
      <w:r>
        <w:rPr>
          <w:rFonts w:ascii="Times New Roman" w:hAnsi="Times New Roman" w:cs="Times New Roman"/>
          <w:sz w:val="24"/>
          <w:szCs w:val="24"/>
        </w:rPr>
        <w:t>Pri posudzovaní koncentrácií v zmysle platného znenia sa doteraz aplikoval tzv. test dominancie. Tento sa navrhuje nahradiť novým testom, ktorý aplikujú ostatné národné súťažné inštitúcie a tiež samotná Európska komisia.</w:t>
      </w:r>
    </w:p>
    <w:p w:rsidR="00023860" w:rsidP="00023860">
      <w:pPr>
        <w:pStyle w:val="BodyText"/>
        <w:ind w:firstLine="708"/>
        <w:rPr>
          <w:rFonts w:ascii="Times New Roman" w:hAnsi="Times New Roman" w:cs="Times New Roman"/>
          <w:sz w:val="24"/>
          <w:szCs w:val="24"/>
        </w:rPr>
      </w:pPr>
    </w:p>
    <w:p w:rsidR="00023860" w:rsidP="00023860">
      <w:pPr>
        <w:ind w:firstLine="708"/>
        <w:jc w:val="both"/>
        <w:rPr>
          <w:rFonts w:ascii="Times New Roman" w:hAnsi="Times New Roman" w:cs="Times New Roman"/>
          <w:szCs w:val="24"/>
        </w:rPr>
      </w:pPr>
      <w:r>
        <w:rPr>
          <w:rFonts w:ascii="Times New Roman" w:hAnsi="Times New Roman" w:cs="Times New Roman"/>
          <w:szCs w:val="24"/>
        </w:rPr>
        <w:t>Návrhom zákona sa vypúšťa povinnosť pre podnikateľa zaplatiť penále za oneskorené zaplatenie pokuty.</w:t>
      </w:r>
      <w:r w:rsidRPr="00F72E85">
        <w:rPr>
          <w:rFonts w:ascii="Times New Roman" w:hAnsi="Times New Roman" w:cs="Times New Roman"/>
          <w:szCs w:val="24"/>
        </w:rPr>
        <w:t xml:space="preserve"> </w:t>
      </w:r>
    </w:p>
    <w:p w:rsidR="00023860" w:rsidRPr="002B22B3" w:rsidP="00023860">
      <w:pPr>
        <w:autoSpaceDE w:val="0"/>
        <w:autoSpaceDN w:val="0"/>
        <w:adjustRightInd w:val="0"/>
        <w:jc w:val="both"/>
        <w:rPr>
          <w:rFonts w:ascii="Times New Roman" w:hAnsi="Times New Roman" w:cs="Times New Roman"/>
          <w:szCs w:val="24"/>
        </w:rPr>
      </w:pPr>
    </w:p>
    <w:p w:rsidR="00023860" w:rsidP="00023860">
      <w:pPr>
        <w:autoSpaceDE w:val="0"/>
        <w:autoSpaceDN w:val="0"/>
        <w:adjustRightInd w:val="0"/>
        <w:ind w:firstLine="709"/>
        <w:jc w:val="both"/>
        <w:rPr>
          <w:rFonts w:ascii="Times New Roman" w:hAnsi="Times New Roman" w:cs="Times New Roman"/>
          <w:szCs w:val="24"/>
        </w:rPr>
      </w:pPr>
      <w:r>
        <w:rPr>
          <w:rFonts w:ascii="Times New Roman" w:hAnsi="Times New Roman" w:cs="Times New Roman"/>
          <w:szCs w:val="24"/>
        </w:rPr>
        <w:t>Pretože predkladaný návrh zákona sa netýka hospodárskych, sociálnych, pracovných a mzdových podmienok, ani iných dôležitých záujmov zamestnancov a zamestnávateľov, nebolo potrebné ho prerokovať v Hospodárskej a sociálnej rade vlády</w:t>
      </w:r>
      <w:r w:rsidRPr="0000194B">
        <w:rPr>
          <w:rFonts w:ascii="Times New Roman" w:hAnsi="Times New Roman" w:cs="Times New Roman"/>
          <w:szCs w:val="24"/>
        </w:rPr>
        <w:t xml:space="preserve"> </w:t>
      </w:r>
      <w:r>
        <w:rPr>
          <w:rFonts w:ascii="Times New Roman" w:hAnsi="Times New Roman" w:cs="Times New Roman"/>
          <w:szCs w:val="24"/>
        </w:rPr>
        <w:t>Slovenskej republiky.</w:t>
      </w:r>
    </w:p>
    <w:p w:rsidR="00023860" w:rsidP="00023860">
      <w:pPr>
        <w:autoSpaceDE w:val="0"/>
        <w:autoSpaceDN w:val="0"/>
        <w:adjustRightInd w:val="0"/>
        <w:ind w:firstLine="709"/>
        <w:jc w:val="both"/>
        <w:rPr>
          <w:rFonts w:ascii="Times New Roman" w:hAnsi="Times New Roman" w:cs="Times New Roman"/>
          <w:szCs w:val="24"/>
        </w:rPr>
      </w:pPr>
    </w:p>
    <w:p w:rsidR="00023860" w:rsidP="00023860">
      <w:pPr>
        <w:autoSpaceDE w:val="0"/>
        <w:autoSpaceDN w:val="0"/>
        <w:adjustRightInd w:val="0"/>
        <w:ind w:firstLine="709"/>
        <w:jc w:val="both"/>
        <w:rPr>
          <w:rFonts w:ascii="Times New Roman" w:hAnsi="Times New Roman" w:cs="Times New Roman"/>
          <w:color w:val="000000"/>
          <w:szCs w:val="24"/>
          <w:lang w:eastAsia="sk-SK"/>
        </w:rPr>
      </w:pPr>
      <w:r w:rsidRPr="00BC726D">
        <w:rPr>
          <w:rFonts w:ascii="Times New Roman" w:hAnsi="Times New Roman" w:cs="Times New Roman"/>
          <w:szCs w:val="24"/>
        </w:rPr>
        <w:t>Predkladaný návrh zákona je v súlade s Ústavou Slovenskej republiky, s medzinárodnými zmluvami a inými medzinárodnými dokumentmi, ktorými je Slovenská republika viazaná</w:t>
      </w:r>
      <w:r>
        <w:rPr>
          <w:rFonts w:ascii="Times New Roman" w:hAnsi="Times New Roman" w:cs="Times New Roman"/>
          <w:szCs w:val="24"/>
        </w:rPr>
        <w:t>,</w:t>
      </w:r>
      <w:r w:rsidRPr="00BC726D">
        <w:rPr>
          <w:rFonts w:ascii="Times New Roman" w:hAnsi="Times New Roman" w:cs="Times New Roman"/>
          <w:szCs w:val="24"/>
        </w:rPr>
        <w:t xml:space="preserve"> </w:t>
      </w:r>
      <w:r>
        <w:rPr>
          <w:rFonts w:ascii="Times New Roman" w:hAnsi="Times New Roman" w:cs="Times New Roman"/>
          <w:szCs w:val="24"/>
        </w:rPr>
        <w:t>so zákonmi Slovenskej republiky,</w:t>
      </w:r>
      <w:r w:rsidRPr="00BC726D">
        <w:rPr>
          <w:rFonts w:ascii="Times New Roman" w:hAnsi="Times New Roman" w:cs="Times New Roman"/>
          <w:szCs w:val="24"/>
        </w:rPr>
        <w:t xml:space="preserve"> ako aj </w:t>
      </w:r>
      <w:r>
        <w:rPr>
          <w:rFonts w:ascii="Times New Roman" w:hAnsi="Times New Roman" w:cs="Times New Roman"/>
          <w:szCs w:val="24"/>
        </w:rPr>
        <w:t>s právom</w:t>
      </w:r>
      <w:r w:rsidRPr="00BC726D">
        <w:rPr>
          <w:rFonts w:ascii="Times New Roman" w:hAnsi="Times New Roman" w:cs="Times New Roman"/>
          <w:szCs w:val="24"/>
        </w:rPr>
        <w:t> Európskej únie.</w:t>
      </w:r>
    </w:p>
    <w:p w:rsidR="00023860" w:rsidP="00023860">
      <w:pPr>
        <w:autoSpaceDE w:val="0"/>
        <w:autoSpaceDN w:val="0"/>
        <w:adjustRightInd w:val="0"/>
        <w:ind w:firstLine="709"/>
        <w:jc w:val="both"/>
        <w:rPr>
          <w:rFonts w:ascii="Times New Roman" w:hAnsi="Times New Roman" w:cs="Times New Roman"/>
          <w:color w:val="000000"/>
          <w:szCs w:val="24"/>
          <w:lang w:eastAsia="sk-SK"/>
        </w:rPr>
      </w:pPr>
    </w:p>
    <w:p w:rsidR="00023860" w:rsidRPr="0000194B" w:rsidP="00023860">
      <w:pPr>
        <w:jc w:val="both"/>
        <w:rPr>
          <w:rFonts w:ascii="Times New Roman" w:hAnsi="Times New Roman" w:cs="Times New Roman"/>
          <w:szCs w:val="24"/>
        </w:rPr>
      </w:pPr>
      <w:r>
        <w:rPr>
          <w:rFonts w:ascii="Times New Roman" w:hAnsi="Times New Roman" w:cs="Times New Roman"/>
          <w:color w:val="000000"/>
          <w:szCs w:val="24"/>
        </w:rPr>
        <w:tab/>
        <w:t>Nakoľko navrhovaná právna úprava bude mať pozitívny vplyv na podnikateľské prostredie a negatívny vplyv na rozpočet verejnej správy</w:t>
      </w:r>
      <w:r w:rsidRPr="00B40AD6">
        <w:rPr>
          <w:rFonts w:ascii="Times New Roman" w:hAnsi="Times New Roman" w:cs="Times New Roman"/>
          <w:color w:val="000000"/>
          <w:szCs w:val="24"/>
        </w:rPr>
        <w:t xml:space="preserve"> </w:t>
      </w:r>
      <w:r>
        <w:rPr>
          <w:rFonts w:ascii="Times New Roman" w:hAnsi="Times New Roman" w:cs="Times New Roman"/>
          <w:color w:val="000000"/>
          <w:szCs w:val="24"/>
        </w:rPr>
        <w:t>v časti týkajúcej sa vypustenia povinnosti platiť penále, bol materiál dňa 11. 7. 2011 predložený dotknutým subujektom na predbežné pripomienkové konanie. Ministerstvo financií SR malo technickú pripomienku k prílohe č. 2, ktorá bola zapracovaná. Stanovisko ostatných gestorov – bez pripomienok.</w:t>
      </w:r>
    </w:p>
    <w:p w:rsidR="00023860" w:rsidRPr="002B22B3" w:rsidP="00023860">
      <w:pPr>
        <w:jc w:val="both"/>
        <w:rPr>
          <w:rFonts w:ascii="Times New Roman" w:hAnsi="Times New Roman" w:cs="Times New Roman"/>
          <w:b/>
          <w:szCs w:val="24"/>
          <w:u w:val="single"/>
        </w:rPr>
      </w:pPr>
    </w:p>
    <w:p w:rsidR="00023860" w:rsidRPr="002B22B3" w:rsidP="00023860">
      <w:pPr>
        <w:jc w:val="both"/>
        <w:rPr>
          <w:rFonts w:ascii="Times New Roman" w:hAnsi="Times New Roman" w:cs="Times New Roman"/>
          <w:b/>
          <w:szCs w:val="24"/>
          <w:u w:val="single"/>
        </w:rPr>
      </w:pPr>
    </w:p>
    <w:p w:rsidR="00023860" w:rsidP="00023860">
      <w:pPr>
        <w:jc w:val="both"/>
        <w:rPr>
          <w:rFonts w:ascii="Times New Roman" w:hAnsi="Times New Roman" w:cs="Times New Roman"/>
          <w:b/>
          <w:szCs w:val="24"/>
          <w:u w:val="single"/>
        </w:rPr>
      </w:pPr>
    </w:p>
    <w:p w:rsidR="00023860" w:rsidP="00023860">
      <w:pPr>
        <w:jc w:val="both"/>
        <w:rPr>
          <w:rFonts w:ascii="Times New Roman" w:hAnsi="Times New Roman" w:cs="Times New Roman"/>
          <w:b/>
          <w:szCs w:val="24"/>
          <w:u w:val="single"/>
        </w:rPr>
      </w:pPr>
    </w:p>
    <w:p w:rsidR="00023860" w:rsidP="00023860">
      <w:pPr>
        <w:jc w:val="both"/>
        <w:rPr>
          <w:rFonts w:ascii="Times New Roman" w:hAnsi="Times New Roman" w:cs="Times New Roman"/>
          <w:b/>
          <w:szCs w:val="24"/>
          <w:u w:val="single"/>
        </w:rPr>
      </w:pPr>
    </w:p>
    <w:p w:rsidR="00023860" w:rsidP="00023860">
      <w:pPr>
        <w:jc w:val="both"/>
        <w:rPr>
          <w:rFonts w:ascii="Times New Roman" w:hAnsi="Times New Roman" w:cs="Times New Roman"/>
          <w:szCs w:val="24"/>
        </w:rPr>
      </w:pPr>
    </w:p>
    <w:p w:rsidR="00023860" w:rsidRPr="008549ED" w:rsidP="00023860">
      <w:pPr>
        <w:rPr>
          <w:rFonts w:ascii="Times New Roman" w:hAnsi="Times New Roman" w:cs="Times New Roman"/>
          <w:szCs w:val="24"/>
        </w:rPr>
      </w:pPr>
    </w:p>
    <w:p w:rsidR="00023860" w:rsidRPr="008549ED" w:rsidP="00023860">
      <w:pPr>
        <w:tabs>
          <w:tab w:val="num" w:pos="360"/>
        </w:tabs>
        <w:jc w:val="both"/>
        <w:rPr>
          <w:rFonts w:ascii="Times New Roman" w:hAnsi="Times New Roman" w:cs="Times New Roman"/>
          <w:szCs w:val="24"/>
        </w:rPr>
      </w:pPr>
    </w:p>
    <w:p w:rsidR="00023860" w:rsidRPr="008549ED" w:rsidP="00023860">
      <w:pPr>
        <w:tabs>
          <w:tab w:val="num" w:pos="360"/>
        </w:tabs>
        <w:jc w:val="both"/>
        <w:rPr>
          <w:rFonts w:ascii="Times New Roman" w:hAnsi="Times New Roman" w:cs="Times New Roman"/>
          <w:szCs w:val="24"/>
        </w:rPr>
      </w:pPr>
    </w:p>
    <w:p w:rsidR="00023860" w:rsidRPr="008549ED" w:rsidP="00023860">
      <w:pPr>
        <w:rPr>
          <w:rFonts w:ascii="Times New Roman" w:hAnsi="Times New Roman" w:cs="Times New Roman"/>
          <w:szCs w:val="24"/>
        </w:rPr>
      </w:pPr>
    </w:p>
    <w:p w:rsidR="00023860" w:rsidRPr="001A4A9C" w:rsidP="00023860">
      <w:pPr>
        <w:jc w:val="center"/>
        <w:rPr>
          <w:rFonts w:ascii="Times New Roman" w:hAnsi="Times New Roman" w:cs="Times New Roman"/>
          <w:b/>
          <w:caps/>
          <w:color w:val="000000"/>
          <w:spacing w:val="30"/>
          <w:szCs w:val="24"/>
        </w:rPr>
      </w:pPr>
      <w:r w:rsidRPr="001A4A9C">
        <w:rPr>
          <w:rFonts w:ascii="Times New Roman" w:hAnsi="Times New Roman" w:cs="Times New Roman"/>
          <w:b/>
          <w:caps/>
          <w:color w:val="000000"/>
          <w:spacing w:val="30"/>
          <w:szCs w:val="24"/>
        </w:rPr>
        <w:t>Doložka</w:t>
      </w:r>
    </w:p>
    <w:p w:rsidR="00023860" w:rsidRPr="001A4A9C" w:rsidP="00023860">
      <w:pPr>
        <w:jc w:val="center"/>
        <w:rPr>
          <w:rFonts w:ascii="Times New Roman" w:hAnsi="Times New Roman" w:cs="Times New Roman"/>
          <w:b/>
          <w:color w:val="000000"/>
          <w:szCs w:val="24"/>
        </w:rPr>
      </w:pPr>
      <w:r w:rsidRPr="001A4A9C">
        <w:rPr>
          <w:rFonts w:ascii="Times New Roman" w:hAnsi="Times New Roman" w:cs="Times New Roman"/>
          <w:b/>
          <w:color w:val="000000"/>
          <w:szCs w:val="24"/>
        </w:rPr>
        <w:t>vybraných vplyvov</w:t>
      </w:r>
    </w:p>
    <w:p w:rsidR="00023860" w:rsidRPr="001A4A9C" w:rsidP="00023860">
      <w:pPr>
        <w:rPr>
          <w:rFonts w:ascii="Times New Roman" w:hAnsi="Times New Roman" w:cs="Times New Roman"/>
          <w:color w:val="000000"/>
          <w:szCs w:val="24"/>
        </w:rPr>
      </w:pPr>
    </w:p>
    <w:p w:rsidR="00023860" w:rsidRPr="001A4A9C" w:rsidP="00023860">
      <w:pPr>
        <w:rPr>
          <w:rFonts w:ascii="Times New Roman" w:hAnsi="Times New Roman" w:cs="Times New Roman"/>
          <w:color w:val="000000"/>
          <w:szCs w:val="24"/>
        </w:rPr>
      </w:pPr>
    </w:p>
    <w:p w:rsidR="00023860" w:rsidRPr="001A4A9C" w:rsidP="00023860">
      <w:pPr>
        <w:jc w:val="both"/>
        <w:rPr>
          <w:rFonts w:ascii="Times New Roman" w:hAnsi="Times New Roman" w:cs="Times New Roman"/>
          <w:color w:val="000000"/>
          <w:szCs w:val="24"/>
        </w:rPr>
      </w:pPr>
      <w:r w:rsidRPr="001A4A9C">
        <w:rPr>
          <w:rFonts w:ascii="Times New Roman" w:hAnsi="Times New Roman" w:cs="Times New Roman"/>
          <w:b/>
          <w:color w:val="000000"/>
          <w:szCs w:val="24"/>
        </w:rPr>
        <w:t xml:space="preserve">A.1. Názov materiálu: </w:t>
      </w:r>
      <w:r w:rsidRPr="001A4A9C">
        <w:rPr>
          <w:rFonts w:ascii="Times New Roman" w:hAnsi="Times New Roman" w:cs="Times New Roman"/>
          <w:color w:val="000000"/>
          <w:szCs w:val="24"/>
        </w:rPr>
        <w:t>Návrh zákona</w:t>
      </w:r>
      <w:r w:rsidRPr="001A4A9C">
        <w:rPr>
          <w:rFonts w:ascii="Times New Roman" w:hAnsi="Times New Roman" w:cs="Times New Roman"/>
          <w:b/>
          <w:color w:val="000000"/>
          <w:szCs w:val="24"/>
        </w:rPr>
        <w:t xml:space="preserve">, </w:t>
      </w:r>
      <w:r w:rsidRPr="001A4A9C">
        <w:rPr>
          <w:rFonts w:ascii="Times New Roman" w:hAnsi="Times New Roman" w:cs="Times New Roman"/>
          <w:color w:val="000000"/>
          <w:szCs w:val="24"/>
        </w:rPr>
        <w:t>ktorým sa mení a dopĺňa zákon č. 136/2001 Z. z. o ochrane hospodárskej súťaže a o zmene a doplnení zákona Slovenskej národnej rady č. 347/1990 Zb. o organizácii ministerstiev a ostatných ústredných orgánov š</w:t>
      </w:r>
      <w:r w:rsidRPr="001A4A9C">
        <w:rPr>
          <w:rFonts w:ascii="Times New Roman" w:hAnsi="Times New Roman" w:cs="Times New Roman"/>
          <w:color w:val="000000"/>
          <w:szCs w:val="24"/>
        </w:rPr>
        <w:t>tátnej správy Slovenskej republiky v znení neskorších predpisov v znení neskorších predpisov</w:t>
      </w:r>
    </w:p>
    <w:p w:rsidR="00023860" w:rsidRPr="001A4A9C" w:rsidP="00023860">
      <w:pPr>
        <w:jc w:val="both"/>
        <w:rPr>
          <w:rFonts w:ascii="Times New Roman" w:hAnsi="Times New Roman" w:cs="Times New Roman"/>
          <w:b/>
          <w:color w:val="000000"/>
          <w:szCs w:val="24"/>
        </w:rPr>
      </w:pPr>
      <w:r w:rsidRPr="001A4A9C">
        <w:rPr>
          <w:rFonts w:ascii="Times New Roman" w:hAnsi="Times New Roman" w:cs="Times New Roman"/>
          <w:b/>
          <w:color w:val="000000"/>
          <w:szCs w:val="24"/>
        </w:rPr>
        <w:t xml:space="preserve">        Termín začatia a ukončenia PPK:</w:t>
      </w:r>
      <w:r w:rsidRPr="001A4A9C">
        <w:rPr>
          <w:rFonts w:ascii="Times New Roman" w:hAnsi="Times New Roman" w:cs="Times New Roman"/>
          <w:color w:val="000000"/>
          <w:szCs w:val="24"/>
        </w:rPr>
        <w:t xml:space="preserve"> </w:t>
      </w:r>
      <w:r>
        <w:rPr>
          <w:rFonts w:ascii="Times New Roman" w:hAnsi="Times New Roman" w:cs="Times New Roman"/>
          <w:color w:val="000000"/>
          <w:szCs w:val="24"/>
        </w:rPr>
        <w:t>11</w:t>
      </w:r>
      <w:r w:rsidRPr="00525CD0">
        <w:rPr>
          <w:rFonts w:ascii="Times New Roman" w:hAnsi="Times New Roman" w:cs="Times New Roman"/>
          <w:color w:val="000000"/>
          <w:szCs w:val="24"/>
        </w:rPr>
        <w:t>.7.2011-</w:t>
      </w:r>
      <w:r>
        <w:rPr>
          <w:rFonts w:ascii="Times New Roman" w:hAnsi="Times New Roman" w:cs="Times New Roman"/>
          <w:color w:val="000000"/>
          <w:szCs w:val="24"/>
        </w:rPr>
        <w:t>25</w:t>
      </w:r>
      <w:r w:rsidRPr="00525CD0">
        <w:rPr>
          <w:rFonts w:ascii="Times New Roman" w:hAnsi="Times New Roman" w:cs="Times New Roman"/>
          <w:color w:val="000000"/>
          <w:szCs w:val="24"/>
        </w:rPr>
        <w:t>.7.2011</w:t>
      </w:r>
      <w:r w:rsidRPr="001A4A9C">
        <w:rPr>
          <w:rFonts w:ascii="Times New Roman" w:hAnsi="Times New Roman" w:cs="Times New Roman"/>
          <w:color w:val="000000"/>
          <w:szCs w:val="24"/>
        </w:rPr>
        <w:t xml:space="preserve">  </w:t>
      </w:r>
    </w:p>
    <w:p w:rsidR="00023860" w:rsidRPr="001A4A9C" w:rsidP="00023860">
      <w:pPr>
        <w:jc w:val="both"/>
        <w:rPr>
          <w:rFonts w:ascii="Times New Roman" w:hAnsi="Times New Roman" w:cs="Times New Roman"/>
          <w:b/>
          <w:color w:val="000000"/>
          <w:szCs w:val="24"/>
        </w:rPr>
      </w:pPr>
    </w:p>
    <w:p w:rsidR="00023860" w:rsidRPr="001A4A9C" w:rsidP="00023860">
      <w:pPr>
        <w:jc w:val="both"/>
        <w:rPr>
          <w:rFonts w:ascii="Times New Roman" w:hAnsi="Times New Roman" w:cs="Times New Roman"/>
          <w:b/>
          <w:color w:val="000000"/>
          <w:szCs w:val="24"/>
        </w:rPr>
      </w:pPr>
      <w:r w:rsidRPr="001A4A9C">
        <w:rPr>
          <w:rFonts w:ascii="Times New Roman" w:hAnsi="Times New Roman" w:cs="Times New Roman"/>
          <w:b/>
          <w:color w:val="000000"/>
          <w:szCs w:val="24"/>
        </w:rPr>
        <w:t>A.2. Vplyvy:</w:t>
      </w:r>
    </w:p>
    <w:tbl>
      <w:tblPr>
        <w:tblStyle w:val="TableNormal"/>
        <w:tblW w:w="5000" w:type="pct"/>
        <w:tblInd w:w="0" w:type="dxa"/>
        <w:tblBorders>
          <w:top w:val="outset" w:sz="6" w:space="0" w:color="auto"/>
          <w:left w:val="outset" w:sz="6" w:space="0" w:color="auto"/>
          <w:bottom w:val="outset" w:sz="6" w:space="0" w:color="auto"/>
          <w:right w:val="outset" w:sz="6" w:space="0" w:color="auto"/>
        </w:tblBorders>
        <w:tblCellMar>
          <w:left w:w="0" w:type="dxa"/>
          <w:right w:w="0" w:type="dxa"/>
        </w:tblCellMar>
      </w:tblPr>
      <w:tblGrid>
        <w:gridCol w:w="5519"/>
        <w:gridCol w:w="1192"/>
        <w:gridCol w:w="1181"/>
        <w:gridCol w:w="1196"/>
      </w:tblGrid>
      <w:tr>
        <w:tblPrEx>
          <w:tblW w:w="5000" w:type="pct"/>
          <w:tblInd w:w="0" w:type="dxa"/>
          <w:tblBorders>
            <w:top w:val="outset" w:sz="6" w:space="0" w:color="auto"/>
            <w:left w:val="outset" w:sz="6" w:space="0" w:color="auto"/>
            <w:bottom w:val="outset" w:sz="6" w:space="0" w:color="auto"/>
            <w:right w:val="outset" w:sz="6" w:space="0" w:color="auto"/>
          </w:tblBorders>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 Pozitívne </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 Žiadne </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 Negatívne </w:t>
            </w: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1. Vplyvy na rozpočet verejnej správy</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x</w:t>
            </w: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2. Vplyvy na podnikateľské prostredie – dochádza k zvýšeniu regulačného zaťaženia?</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x</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3. Sociálne vplyvy</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x</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 vplyvy na hospodárenie obyvateľstva,</w:t>
            </w:r>
          </w:p>
        </w:tc>
        <w:tc>
          <w:tcPr>
            <w:tcW w:w="0" w:type="auto"/>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p>
        </w:tc>
        <w:tc>
          <w:tcPr>
            <w:tcW w:w="0" w:type="auto"/>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p>
        </w:tc>
        <w:tc>
          <w:tcPr>
            <w:tcW w:w="0" w:type="auto"/>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 sociálnu exklúziu,</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 rovnosť príležitostí a rodovú rovnosť a vplyvy na zamestnanosť</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4. Vplyvy na životné prostredie</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x</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r>
      <w:tr>
        <w:tblPrEx>
          <w:tblW w:w="5000" w:type="pct"/>
          <w:tblInd w:w="0" w:type="dxa"/>
          <w:tblCellMar>
            <w:left w:w="0" w:type="dxa"/>
            <w:right w:w="0" w:type="dxa"/>
          </w:tblCellMar>
        </w:tblPrEx>
        <w:tc>
          <w:tcPr>
            <w:tcW w:w="573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rPr>
                <w:rFonts w:ascii="Times New Roman" w:hAnsi="Times New Roman" w:cs="Times New Roman"/>
                <w:color w:val="000000"/>
                <w:szCs w:val="24"/>
              </w:rPr>
            </w:pPr>
            <w:r w:rsidRPr="001A4A9C">
              <w:rPr>
                <w:rFonts w:ascii="Times New Roman" w:hAnsi="Times New Roman" w:cs="Times New Roman"/>
                <w:color w:val="000000"/>
                <w:szCs w:val="24"/>
              </w:rPr>
              <w:t>5. Vplyvy na informatizáciu spoločnosti</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r w:rsidRPr="001A4A9C">
              <w:rPr>
                <w:rFonts w:ascii="Times New Roman" w:hAnsi="Times New Roman" w:cs="Times New Roman"/>
                <w:color w:val="000000"/>
                <w:szCs w:val="24"/>
              </w:rPr>
              <w:t>x</w:t>
            </w:r>
          </w:p>
        </w:tc>
        <w:tc>
          <w:tcPr>
            <w:tcW w:w="1200" w:type="dxa"/>
            <w:tcBorders>
              <w:top w:val="outset" w:sz="6" w:space="0" w:color="auto"/>
              <w:left w:val="outset" w:sz="6" w:space="0" w:color="auto"/>
              <w:bottom w:val="outset" w:sz="6" w:space="0" w:color="auto"/>
              <w:right w:val="outset" w:sz="6" w:space="0" w:color="auto"/>
            </w:tcBorders>
            <w:textDirection w:val="lrTb"/>
            <w:vAlign w:val="center"/>
          </w:tcPr>
          <w:p w:rsidR="00023860" w:rsidRPr="001A4A9C" w:rsidP="00942CDF">
            <w:pPr>
              <w:jc w:val="center"/>
              <w:rPr>
                <w:rFonts w:ascii="Times New Roman" w:hAnsi="Times New Roman" w:cs="Times New Roman"/>
                <w:color w:val="000000"/>
                <w:szCs w:val="24"/>
              </w:rPr>
            </w:pPr>
          </w:p>
        </w:tc>
      </w:tr>
    </w:tbl>
    <w:p w:rsidR="00023860" w:rsidRPr="001A4A9C" w:rsidP="00023860">
      <w:pPr>
        <w:rPr>
          <w:rFonts w:ascii="Times New Roman" w:hAnsi="Times New Roman" w:cs="Times New Roman"/>
          <w:color w:val="000000"/>
          <w:szCs w:val="24"/>
        </w:rPr>
      </w:pPr>
      <w:r w:rsidRPr="001A4A9C">
        <w:rPr>
          <w:rFonts w:ascii="Times New Roman" w:hAnsi="Times New Roman" w:cs="Times New Roman"/>
          <w:color w:val="000000"/>
          <w:szCs w:val="24"/>
        </w:rPr>
        <w:t> </w:t>
      </w:r>
    </w:p>
    <w:p w:rsidR="00023860" w:rsidRPr="001A4A9C" w:rsidP="00023860">
      <w:pPr>
        <w:jc w:val="both"/>
        <w:rPr>
          <w:rFonts w:ascii="Times New Roman" w:hAnsi="Times New Roman" w:cs="Times New Roman"/>
          <w:b/>
          <w:color w:val="000000"/>
          <w:szCs w:val="24"/>
        </w:rPr>
      </w:pPr>
      <w:r w:rsidRPr="001A4A9C">
        <w:rPr>
          <w:rFonts w:ascii="Times New Roman" w:hAnsi="Times New Roman" w:cs="Times New Roman"/>
          <w:b/>
          <w:color w:val="000000"/>
          <w:szCs w:val="24"/>
        </w:rPr>
        <w:t>A.3. Poznámky</w:t>
      </w:r>
    </w:p>
    <w:p w:rsidR="00023860" w:rsidRPr="00C61578" w:rsidP="00023860">
      <w:pPr>
        <w:ind w:firstLine="720"/>
        <w:jc w:val="both"/>
        <w:rPr>
          <w:rFonts w:ascii="Times New Roman" w:hAnsi="Times New Roman" w:cs="Times New Roman"/>
          <w:szCs w:val="24"/>
        </w:rPr>
      </w:pPr>
      <w:r w:rsidRPr="00C61578">
        <w:rPr>
          <w:rFonts w:ascii="Times New Roman" w:hAnsi="Times New Roman" w:cs="Times New Roman"/>
          <w:color w:val="000000"/>
          <w:szCs w:val="24"/>
        </w:rPr>
        <w:t>Pokiaľ ide o negatívny vplyv na rozpočet verejnej správy, tento sa týka jedného  z ustanovení predkladaného návrhu – vypustenia povinnosti zaplatiť penále v prípade nezaplatenia pokuty v určenej lehote. Ostatné ustanovenia predkladaného návrhu nemajú vplyv na rozpočet verejnej správy.</w:t>
      </w:r>
      <w:r w:rsidRPr="00C61578">
        <w:rPr>
          <w:rFonts w:ascii="Times New Roman" w:hAnsi="Times New Roman" w:cs="Times New Roman"/>
          <w:szCs w:val="24"/>
        </w:rPr>
        <w:t xml:space="preserve"> </w:t>
      </w:r>
    </w:p>
    <w:p w:rsidR="00023860" w:rsidRPr="00C61578" w:rsidP="00023860">
      <w:pPr>
        <w:ind w:firstLine="720"/>
        <w:jc w:val="both"/>
        <w:rPr>
          <w:rFonts w:ascii="Times New Roman" w:hAnsi="Times New Roman" w:cs="Times New Roman"/>
          <w:color w:val="000000"/>
          <w:szCs w:val="24"/>
        </w:rPr>
      </w:pPr>
      <w:r w:rsidRPr="00C61578">
        <w:rPr>
          <w:rFonts w:ascii="Times New Roman" w:hAnsi="Times New Roman" w:cs="Times New Roman"/>
          <w:szCs w:val="24"/>
        </w:rPr>
        <w:t xml:space="preserve">Nie je pritom možné </w:t>
      </w:r>
      <w:r>
        <w:rPr>
          <w:rFonts w:ascii="Times New Roman" w:hAnsi="Times New Roman" w:cs="Times New Roman"/>
          <w:szCs w:val="24"/>
        </w:rPr>
        <w:t>predvídať</w:t>
      </w:r>
      <w:r w:rsidRPr="00C61578">
        <w:rPr>
          <w:rFonts w:ascii="Times New Roman" w:hAnsi="Times New Roman" w:cs="Times New Roman"/>
          <w:szCs w:val="24"/>
        </w:rPr>
        <w:t xml:space="preserve"> zníženie príjmov, ktoré spôsobí vypustenie povinnosti podnikateľa zaplatiť penále v prípade oneskoreného zaplatenia pokuty. Ide viac menej o „náhodnú“ položku, ktorej objem každoročne závisí od počtu a výšky uložených pokút i od toho, či si podnikateľ splní svoju povinnosť zaplatiť uloženú pokutu a v akom časovom horizonte od dátumu vykonateľnosti rozhodnutia. Môže sa tiež stať, že v určitom roku nevznikne žiadne penále. Vplyvy na rozpočet verejnej správy v jednotlivých rokoch teda nie je možné vyčísliť. Vo vzťahu k uvedenému teda nie je potrebné predkladať ďalšie prílohy a tabuľky. </w:t>
      </w:r>
    </w:p>
    <w:p w:rsidR="00023860" w:rsidRPr="00C61578" w:rsidP="00023860">
      <w:pPr>
        <w:ind w:firstLine="720"/>
        <w:jc w:val="both"/>
        <w:rPr>
          <w:rFonts w:ascii="Times New Roman" w:hAnsi="Times New Roman" w:cs="Times New Roman"/>
          <w:color w:val="000000"/>
          <w:szCs w:val="24"/>
        </w:rPr>
      </w:pPr>
      <w:r w:rsidRPr="00C61578">
        <w:rPr>
          <w:rFonts w:ascii="Times New Roman" w:hAnsi="Times New Roman" w:cs="Times New Roman"/>
          <w:color w:val="000000"/>
          <w:szCs w:val="24"/>
        </w:rPr>
        <w:t>Vplyv na podnikat</w:t>
      </w:r>
      <w:r w:rsidRPr="00C61578">
        <w:rPr>
          <w:rFonts w:ascii="Times New Roman" w:hAnsi="Times New Roman" w:cs="Times New Roman"/>
          <w:color w:val="000000"/>
          <w:szCs w:val="24"/>
        </w:rPr>
        <w:t>eľské prostredie bol vyhodnotený vo vzťahu k základným okruhom predkladaného návrhu - úprave obratových kritérií, od ktorých koncentrácia spadá pod kontrolu úradu a úprave (skráteniu) lehôt pre posúdenie koncentrácie</w:t>
      </w:r>
      <w:r>
        <w:rPr>
          <w:rFonts w:ascii="Times New Roman" w:hAnsi="Times New Roman" w:cs="Times New Roman"/>
          <w:color w:val="000000"/>
          <w:szCs w:val="24"/>
        </w:rPr>
        <w:t xml:space="preserve"> </w:t>
      </w:r>
      <w:r w:rsidRPr="00C61578">
        <w:rPr>
          <w:rFonts w:ascii="Times New Roman" w:hAnsi="Times New Roman" w:cs="Times New Roman"/>
          <w:color w:val="000000"/>
          <w:szCs w:val="24"/>
        </w:rPr>
        <w:t>a tiež vo vzťahu k vypusteniu povinnosti platiť penále. Výsledný vplyv je pozitívny, keďže nedochádza k zvýšeniu regulačného zaťaženia.</w:t>
      </w:r>
    </w:p>
    <w:p w:rsidR="00023860" w:rsidRPr="001A4A9C" w:rsidP="00023860">
      <w:pPr>
        <w:jc w:val="both"/>
        <w:rPr>
          <w:rFonts w:ascii="Times New Roman" w:hAnsi="Times New Roman" w:cs="Times New Roman"/>
          <w:i/>
          <w:color w:val="000000"/>
          <w:szCs w:val="24"/>
        </w:rPr>
      </w:pPr>
      <w:r w:rsidRPr="001A4A9C">
        <w:rPr>
          <w:rFonts w:ascii="Times New Roman" w:hAnsi="Times New Roman" w:cs="Times New Roman"/>
          <w:i/>
          <w:color w:val="000000"/>
          <w:szCs w:val="24"/>
        </w:rPr>
        <w:t xml:space="preserve">   </w:t>
      </w:r>
    </w:p>
    <w:p w:rsidR="00023860" w:rsidRPr="001A4A9C" w:rsidP="00023860">
      <w:pPr>
        <w:jc w:val="both"/>
        <w:rPr>
          <w:rFonts w:ascii="Times New Roman" w:hAnsi="Times New Roman" w:cs="Times New Roman"/>
          <w:b/>
          <w:color w:val="000000"/>
          <w:szCs w:val="24"/>
        </w:rPr>
      </w:pPr>
      <w:r w:rsidRPr="001A4A9C">
        <w:rPr>
          <w:rFonts w:ascii="Times New Roman" w:hAnsi="Times New Roman" w:cs="Times New Roman"/>
          <w:b/>
          <w:color w:val="000000"/>
          <w:szCs w:val="24"/>
        </w:rPr>
        <w:t>A.4. Alternatívne riešenia</w:t>
      </w:r>
    </w:p>
    <w:p w:rsidR="00023860" w:rsidRPr="007535EB" w:rsidP="00023860">
      <w:pPr>
        <w:jc w:val="both"/>
        <w:rPr>
          <w:rFonts w:ascii="Times New Roman" w:hAnsi="Times New Roman" w:cs="Times New Roman"/>
          <w:b/>
          <w:color w:val="000000"/>
          <w:szCs w:val="24"/>
        </w:rPr>
      </w:pPr>
      <w:r w:rsidRPr="007535EB">
        <w:rPr>
          <w:rFonts w:ascii="Times New Roman" w:hAnsi="Times New Roman" w:cs="Times New Roman"/>
          <w:szCs w:val="24"/>
        </w:rPr>
        <w:t xml:space="preserve">Bezpredmetné. </w:t>
      </w:r>
    </w:p>
    <w:p w:rsidR="00023860" w:rsidP="00023860">
      <w:pPr>
        <w:jc w:val="both"/>
        <w:rPr>
          <w:rFonts w:ascii="Times New Roman" w:hAnsi="Times New Roman" w:cs="Times New Roman"/>
          <w:b/>
          <w:color w:val="000000"/>
          <w:szCs w:val="24"/>
        </w:rPr>
      </w:pPr>
      <w:r w:rsidRPr="001A4A9C">
        <w:rPr>
          <w:rFonts w:ascii="Times New Roman" w:hAnsi="Times New Roman" w:cs="Times New Roman"/>
          <w:b/>
          <w:color w:val="000000"/>
          <w:szCs w:val="24"/>
        </w:rPr>
        <w:t>A.5. Stanovisko gestorov</w:t>
      </w:r>
    </w:p>
    <w:p w:rsidR="00023860" w:rsidP="00023860">
      <w:pPr>
        <w:jc w:val="both"/>
        <w:rPr>
          <w:rFonts w:ascii="Times New Roman" w:hAnsi="Times New Roman" w:cs="Times New Roman"/>
          <w:b/>
          <w:color w:val="000000"/>
          <w:szCs w:val="24"/>
        </w:rPr>
      </w:pPr>
    </w:p>
    <w:p w:rsidR="00023860" w:rsidRPr="00313012" w:rsidP="00023860">
      <w:pPr>
        <w:jc w:val="both"/>
        <w:rPr>
          <w:rFonts w:ascii="Times New Roman" w:hAnsi="Times New Roman" w:cs="Times New Roman"/>
          <w:color w:val="000000"/>
          <w:szCs w:val="24"/>
          <w:u w:val="single"/>
        </w:rPr>
      </w:pPr>
      <w:r w:rsidRPr="00313012">
        <w:rPr>
          <w:rFonts w:ascii="Times New Roman" w:hAnsi="Times New Roman" w:cs="Times New Roman"/>
          <w:color w:val="000000"/>
          <w:szCs w:val="24"/>
          <w:u w:val="single"/>
        </w:rPr>
        <w:t>Ministerstvo hospodárstva SR:</w:t>
      </w:r>
    </w:p>
    <w:p w:rsidR="00023860" w:rsidRPr="003D43BA" w:rsidP="00023860">
      <w:pPr>
        <w:rPr>
          <w:rFonts w:ascii="Arial" w:hAnsi="Arial" w:cs="Arial"/>
          <w:color w:val="000000"/>
          <w:sz w:val="18"/>
          <w:szCs w:val="24"/>
        </w:rPr>
      </w:pPr>
      <w:r>
        <w:rPr>
          <w:rFonts w:ascii="Times New Roman" w:hAnsi="Times New Roman" w:cs="Times New Roman"/>
          <w:b/>
          <w:color w:val="000000"/>
          <w:szCs w:val="24"/>
        </w:rPr>
        <w:t>N</w:t>
      </w:r>
      <w:r w:rsidRPr="00A605C5">
        <w:rPr>
          <w:rFonts w:ascii="Times New Roman" w:hAnsi="Times New Roman" w:cs="Times New Roman"/>
          <w:b/>
          <w:color w:val="000000"/>
          <w:szCs w:val="24"/>
        </w:rPr>
        <w:t>euplatňuje pripomienky</w:t>
      </w:r>
      <w:r w:rsidRPr="00A605C5">
        <w:rPr>
          <w:rFonts w:ascii="Times New Roman" w:hAnsi="Times New Roman" w:cs="Times New Roman"/>
          <w:color w:val="000000"/>
          <w:szCs w:val="24"/>
        </w:rPr>
        <w:t xml:space="preserve"> k materiálu a súhlasí s doložkou </w:t>
      </w:r>
      <w:r w:rsidRPr="00A605C5">
        <w:rPr>
          <w:rFonts w:ascii="Times New Roman" w:hAnsi="Times New Roman" w:cs="Times New Roman"/>
          <w:color w:val="000000"/>
          <w:szCs w:val="24"/>
        </w:rPr>
        <w:t>vplyvov na podnikateľské prostredie</w:t>
      </w:r>
      <w:r>
        <w:rPr>
          <w:rFonts w:ascii="Arial" w:hAnsi="Arial" w:cs="Arial"/>
          <w:color w:val="000000"/>
          <w:sz w:val="18"/>
          <w:szCs w:val="24"/>
        </w:rPr>
        <w:t>.</w:t>
      </w:r>
    </w:p>
    <w:p w:rsidR="00023860" w:rsidP="00023860">
      <w:pPr>
        <w:jc w:val="both"/>
        <w:rPr>
          <w:rFonts w:ascii="Times New Roman" w:hAnsi="Times New Roman" w:cs="Times New Roman"/>
          <w:color w:val="000000"/>
          <w:szCs w:val="24"/>
          <w:u w:val="single"/>
        </w:rPr>
      </w:pPr>
      <w:r w:rsidRPr="00313012">
        <w:rPr>
          <w:rFonts w:ascii="Times New Roman" w:hAnsi="Times New Roman" w:cs="Times New Roman"/>
          <w:color w:val="000000"/>
          <w:szCs w:val="24"/>
          <w:u w:val="single"/>
        </w:rPr>
        <w:t>Ministerstvo životného prostredia SR:</w:t>
      </w:r>
    </w:p>
    <w:p w:rsidR="00023860" w:rsidRPr="00313012" w:rsidP="00023860">
      <w:pPr>
        <w:pStyle w:val="PlainText"/>
        <w:rPr>
          <w:rFonts w:ascii="Times New Roman" w:hAnsi="Times New Roman" w:cs="Times New Roman"/>
          <w:sz w:val="24"/>
          <w:szCs w:val="24"/>
        </w:rPr>
      </w:pPr>
      <w:r>
        <w:rPr>
          <w:rFonts w:ascii="Times New Roman" w:hAnsi="Times New Roman" w:cs="Times New Roman"/>
          <w:sz w:val="24"/>
          <w:szCs w:val="24"/>
        </w:rPr>
        <w:t>Súhlasí s predloženou</w:t>
      </w:r>
      <w:r w:rsidRPr="00313012">
        <w:rPr>
          <w:rFonts w:ascii="Times New Roman" w:hAnsi="Times New Roman" w:cs="Times New Roman"/>
          <w:sz w:val="24"/>
          <w:szCs w:val="24"/>
        </w:rPr>
        <w:t xml:space="preserve"> doložk</w:t>
      </w:r>
      <w:r>
        <w:rPr>
          <w:rFonts w:ascii="Times New Roman" w:hAnsi="Times New Roman" w:cs="Times New Roman"/>
          <w:sz w:val="24"/>
          <w:szCs w:val="24"/>
        </w:rPr>
        <w:t>ou</w:t>
      </w:r>
      <w:r w:rsidRPr="00313012">
        <w:rPr>
          <w:rFonts w:ascii="Times New Roman" w:hAnsi="Times New Roman" w:cs="Times New Roman"/>
          <w:sz w:val="24"/>
          <w:szCs w:val="24"/>
        </w:rPr>
        <w:t xml:space="preserve"> vybraných vplyvov </w:t>
      </w:r>
      <w:r w:rsidRPr="00313012">
        <w:rPr>
          <w:rFonts w:ascii="Times New Roman" w:hAnsi="Times New Roman" w:cs="Times New Roman"/>
          <w:b/>
          <w:sz w:val="24"/>
          <w:szCs w:val="24"/>
        </w:rPr>
        <w:t>bez pripomienok</w:t>
      </w:r>
      <w:r w:rsidRPr="00313012">
        <w:rPr>
          <w:rFonts w:ascii="Times New Roman" w:hAnsi="Times New Roman" w:cs="Times New Roman"/>
          <w:sz w:val="24"/>
          <w:szCs w:val="24"/>
        </w:rPr>
        <w:t>.</w:t>
      </w:r>
    </w:p>
    <w:p w:rsidR="00023860" w:rsidRPr="00313012" w:rsidP="00023860">
      <w:pPr>
        <w:jc w:val="both"/>
        <w:rPr>
          <w:rFonts w:ascii="Times New Roman" w:hAnsi="Times New Roman" w:cs="Times New Roman"/>
          <w:color w:val="000000"/>
          <w:szCs w:val="24"/>
          <w:u w:val="single"/>
        </w:rPr>
      </w:pPr>
    </w:p>
    <w:p w:rsidR="00023860" w:rsidRPr="00313012" w:rsidP="00023860">
      <w:pPr>
        <w:jc w:val="both"/>
        <w:rPr>
          <w:rFonts w:ascii="Times New Roman" w:hAnsi="Times New Roman" w:cs="Times New Roman"/>
          <w:color w:val="000000"/>
          <w:szCs w:val="24"/>
          <w:u w:val="single"/>
        </w:rPr>
      </w:pPr>
      <w:r w:rsidRPr="00313012">
        <w:rPr>
          <w:rFonts w:ascii="Times New Roman" w:hAnsi="Times New Roman" w:cs="Times New Roman"/>
          <w:color w:val="000000"/>
          <w:szCs w:val="24"/>
          <w:u w:val="single"/>
        </w:rPr>
        <w:t xml:space="preserve">Ministerstvo financií SR: </w:t>
      </w:r>
    </w:p>
    <w:p w:rsidR="00023860" w:rsidRPr="00313012" w:rsidP="00023860">
      <w:pPr>
        <w:pStyle w:val="PlainText"/>
        <w:rPr>
          <w:rFonts w:ascii="Times New Roman" w:hAnsi="Times New Roman" w:cs="Times New Roman"/>
          <w:sz w:val="24"/>
          <w:szCs w:val="24"/>
        </w:rPr>
      </w:pPr>
      <w:r w:rsidRPr="00313012">
        <w:rPr>
          <w:rFonts w:ascii="Times New Roman" w:hAnsi="Times New Roman" w:cs="Times New Roman"/>
          <w:color w:val="000000"/>
          <w:sz w:val="24"/>
          <w:szCs w:val="24"/>
        </w:rPr>
        <w:t xml:space="preserve">- </w:t>
      </w:r>
      <w:r w:rsidRPr="00313012">
        <w:rPr>
          <w:rFonts w:ascii="Times New Roman" w:hAnsi="Times New Roman" w:cs="Times New Roman"/>
          <w:i/>
          <w:sz w:val="24"/>
          <w:szCs w:val="24"/>
        </w:rPr>
        <w:t>Odbor legislatívy, štandardov a bezpečnosti informačných systémov</w:t>
      </w:r>
      <w:r w:rsidRPr="00313012">
        <w:rPr>
          <w:rFonts w:ascii="Times New Roman" w:hAnsi="Times New Roman" w:cs="Times New Roman"/>
          <w:sz w:val="24"/>
          <w:szCs w:val="24"/>
        </w:rPr>
        <w:t xml:space="preserve">: </w:t>
      </w:r>
      <w:r>
        <w:rPr>
          <w:rFonts w:ascii="Times New Roman" w:hAnsi="Times New Roman" w:cs="Times New Roman"/>
          <w:b/>
          <w:sz w:val="24"/>
          <w:szCs w:val="24"/>
        </w:rPr>
        <w:t xml:space="preserve">Bez </w:t>
      </w:r>
      <w:r w:rsidRPr="00313012">
        <w:rPr>
          <w:rFonts w:ascii="Times New Roman" w:hAnsi="Times New Roman" w:cs="Times New Roman"/>
          <w:b/>
          <w:sz w:val="24"/>
          <w:szCs w:val="24"/>
        </w:rPr>
        <w:t>pripomien</w:t>
      </w:r>
      <w:r>
        <w:rPr>
          <w:rFonts w:ascii="Times New Roman" w:hAnsi="Times New Roman" w:cs="Times New Roman"/>
          <w:b/>
          <w:sz w:val="24"/>
          <w:szCs w:val="24"/>
        </w:rPr>
        <w:t>o</w:t>
      </w:r>
      <w:r w:rsidRPr="00313012">
        <w:rPr>
          <w:rFonts w:ascii="Times New Roman" w:hAnsi="Times New Roman" w:cs="Times New Roman"/>
          <w:b/>
          <w:sz w:val="24"/>
          <w:szCs w:val="24"/>
        </w:rPr>
        <w:t>k</w:t>
      </w:r>
      <w:r w:rsidRPr="00313012">
        <w:rPr>
          <w:rFonts w:ascii="Times New Roman" w:hAnsi="Times New Roman" w:cs="Times New Roman"/>
          <w:sz w:val="24"/>
          <w:szCs w:val="24"/>
        </w:rPr>
        <w:t xml:space="preserve"> k </w:t>
      </w:r>
      <w:r w:rsidRPr="00313012">
        <w:rPr>
          <w:rFonts w:ascii="Times New Roman" w:hAnsi="Times New Roman" w:cs="Times New Roman"/>
          <w:sz w:val="24"/>
          <w:szCs w:val="24"/>
        </w:rPr>
        <w:t>doložke vybraných vplyvov z hľadiska vplyvov na informatizáciu spoločnosti.</w:t>
      </w:r>
    </w:p>
    <w:p w:rsidR="00023860" w:rsidP="00023860">
      <w:pPr>
        <w:jc w:val="both"/>
        <w:rPr>
          <w:rFonts w:ascii="Times New Roman" w:hAnsi="Times New Roman" w:cs="Times New Roman"/>
          <w:szCs w:val="24"/>
        </w:rPr>
      </w:pPr>
      <w:r>
        <w:rPr>
          <w:rFonts w:ascii="Times New Roman" w:hAnsi="Times New Roman" w:cs="Times New Roman"/>
          <w:szCs w:val="24"/>
        </w:rPr>
        <w:t xml:space="preserve">- </w:t>
      </w:r>
      <w:r w:rsidRPr="00313012">
        <w:rPr>
          <w:rFonts w:ascii="Times New Roman" w:hAnsi="Times New Roman" w:cs="Times New Roman"/>
          <w:i/>
          <w:szCs w:val="24"/>
        </w:rPr>
        <w:t>Sekcia rozpočtovej politiky</w:t>
      </w:r>
      <w:r w:rsidRPr="00313012">
        <w:rPr>
          <w:rFonts w:ascii="Times New Roman" w:hAnsi="Times New Roman" w:cs="Times New Roman"/>
          <w:szCs w:val="24"/>
        </w:rPr>
        <w:t>:</w:t>
      </w:r>
      <w:r>
        <w:rPr>
          <w:rFonts w:ascii="Arial Narrow" w:hAnsi="Arial Narrow" w:cs="Arial Narrow"/>
          <w:szCs w:val="24"/>
        </w:rPr>
        <w:t xml:space="preserve"> </w:t>
      </w:r>
      <w:r w:rsidRPr="00313012">
        <w:rPr>
          <w:rFonts w:ascii="Times New Roman" w:hAnsi="Times New Roman" w:cs="Times New Roman"/>
          <w:b/>
          <w:szCs w:val="24"/>
        </w:rPr>
        <w:t xml:space="preserve">Pripomienka </w:t>
      </w:r>
      <w:r w:rsidRPr="00313012">
        <w:rPr>
          <w:rFonts w:ascii="Times New Roman" w:hAnsi="Times New Roman" w:cs="Times New Roman"/>
          <w:szCs w:val="24"/>
        </w:rPr>
        <w:t>-</w:t>
      </w:r>
      <w:r>
        <w:rPr>
          <w:rFonts w:ascii="Arial Narrow" w:hAnsi="Arial Narrow" w:cs="Arial Narrow"/>
          <w:szCs w:val="24"/>
        </w:rPr>
        <w:t xml:space="preserve"> o</w:t>
      </w:r>
      <w:r w:rsidRPr="00A87C49">
        <w:rPr>
          <w:rFonts w:ascii="Times New Roman" w:hAnsi="Times New Roman" w:cs="Times New Roman"/>
          <w:szCs w:val="24"/>
        </w:rPr>
        <w:t>dôvodnenie v rámčeku pod tabuľkou 2.2. prílohy č. 2 uviesť do poznámky prílohy č. 1 s tým, že už nie je potrebné predkladať ďalšie prílohy a tabuľky</w:t>
      </w:r>
      <w:r>
        <w:rPr>
          <w:rFonts w:ascii="Times New Roman" w:hAnsi="Times New Roman" w:cs="Times New Roman"/>
          <w:szCs w:val="24"/>
        </w:rPr>
        <w:t>. (</w:t>
      </w:r>
      <w:r w:rsidRPr="00313012">
        <w:rPr>
          <w:rFonts w:ascii="Times New Roman" w:hAnsi="Times New Roman" w:cs="Times New Roman"/>
          <w:szCs w:val="24"/>
        </w:rPr>
        <w:t>Upravené</w:t>
      </w:r>
      <w:r>
        <w:rPr>
          <w:rFonts w:ascii="Times New Roman" w:hAnsi="Times New Roman" w:cs="Times New Roman"/>
          <w:szCs w:val="24"/>
        </w:rPr>
        <w:t>)</w:t>
      </w:r>
      <w:r w:rsidRPr="00A87C49">
        <w:rPr>
          <w:rFonts w:ascii="Times New Roman" w:hAnsi="Times New Roman" w:cs="Times New Roman"/>
          <w:szCs w:val="24"/>
        </w:rPr>
        <w:t xml:space="preserve"> </w:t>
      </w:r>
    </w:p>
    <w:p w:rsidR="00023860" w:rsidP="00023860">
      <w:pPr>
        <w:jc w:val="both"/>
        <w:rPr>
          <w:rFonts w:ascii="Times New Roman" w:hAnsi="Times New Roman" w:cs="Times New Roman"/>
          <w:b/>
          <w:color w:val="000000"/>
          <w:szCs w:val="24"/>
        </w:rPr>
      </w:pPr>
    </w:p>
    <w:p w:rsidR="00023860" w:rsidRPr="00313012" w:rsidP="00023860">
      <w:pPr>
        <w:jc w:val="both"/>
        <w:rPr>
          <w:rFonts w:ascii="Times New Roman" w:hAnsi="Times New Roman" w:cs="Times New Roman"/>
          <w:color w:val="000000"/>
          <w:szCs w:val="24"/>
          <w:u w:val="single"/>
        </w:rPr>
      </w:pPr>
      <w:r w:rsidRPr="00313012">
        <w:rPr>
          <w:rFonts w:ascii="Times New Roman" w:hAnsi="Times New Roman" w:cs="Times New Roman"/>
          <w:color w:val="000000"/>
          <w:szCs w:val="24"/>
          <w:u w:val="single"/>
        </w:rPr>
        <w:t>Ministerstvo práce, sociálnych vecí a rodiny SR:</w:t>
      </w:r>
    </w:p>
    <w:p w:rsidR="00023860" w:rsidRPr="00313012" w:rsidP="00023860">
      <w:pPr>
        <w:jc w:val="both"/>
        <w:rPr>
          <w:rFonts w:ascii="Times New Roman" w:hAnsi="Times New Roman" w:cs="Times New Roman"/>
          <w:color w:val="000000"/>
          <w:szCs w:val="24"/>
        </w:rPr>
      </w:pPr>
      <w:r>
        <w:rPr>
          <w:rFonts w:ascii="Times New Roman" w:hAnsi="Times New Roman" w:cs="Times New Roman"/>
          <w:szCs w:val="24"/>
        </w:rPr>
        <w:t>S</w:t>
      </w:r>
      <w:r w:rsidRPr="00313012">
        <w:rPr>
          <w:rFonts w:ascii="Times New Roman" w:hAnsi="Times New Roman" w:cs="Times New Roman"/>
          <w:szCs w:val="24"/>
        </w:rPr>
        <w:t xml:space="preserve">úhlasí s doložkou vybraných vplyvov v časti sociálne vplyvy </w:t>
      </w:r>
      <w:r w:rsidRPr="00313012">
        <w:rPr>
          <w:rFonts w:ascii="Times New Roman" w:hAnsi="Times New Roman" w:cs="Times New Roman"/>
          <w:b/>
          <w:szCs w:val="24"/>
        </w:rPr>
        <w:t>bez pripomienok</w:t>
      </w:r>
      <w:r>
        <w:rPr>
          <w:rFonts w:ascii="Times New Roman" w:hAnsi="Times New Roman" w:cs="Times New Roman"/>
          <w:szCs w:val="24"/>
        </w:rPr>
        <w:t>.</w:t>
      </w:r>
    </w:p>
    <w:p w:rsidR="00023860" w:rsidP="00023860">
      <w:pPr>
        <w:rPr>
          <w:rFonts w:ascii="Times New Roman" w:hAnsi="Times New Roman" w:cs="Times New Roman"/>
          <w:b/>
          <w:sz w:val="28"/>
          <w:szCs w:val="24"/>
        </w:rPr>
      </w:pPr>
    </w:p>
    <w:p w:rsidR="00023860" w:rsidP="00023860">
      <w:pPr>
        <w:jc w:val="center"/>
        <w:rPr>
          <w:rFonts w:ascii="Times New Roman" w:hAnsi="Times New Roman" w:cs="Times New Roman"/>
          <w:b/>
          <w:sz w:val="28"/>
          <w:szCs w:val="24"/>
        </w:rPr>
      </w:pPr>
      <w:r>
        <w:rPr>
          <w:rFonts w:ascii="Times New Roman" w:hAnsi="Times New Roman" w:cs="Times New Roman"/>
          <w:b/>
          <w:sz w:val="28"/>
          <w:szCs w:val="24"/>
        </w:rPr>
        <w:br w:type="page"/>
        <w:t>Vplyvy na podnikateľské prostredie</w:t>
      </w:r>
    </w:p>
    <w:p w:rsidR="00023860" w:rsidP="00023860">
      <w:pPr>
        <w:rPr>
          <w:rFonts w:ascii="Times New Roman" w:hAnsi="Times New Roman" w:cs="Times New Roman"/>
          <w:b/>
          <w:sz w:val="28"/>
          <w:szCs w:val="24"/>
        </w:rPr>
      </w:pPr>
    </w:p>
    <w:p w:rsidR="00023860" w:rsidP="00023860">
      <w:pPr>
        <w:rPr>
          <w:rFonts w:ascii="Times New Roman" w:hAnsi="Times New Roman" w:cs="Times New Roman"/>
          <w:b/>
          <w:szCs w:val="24"/>
        </w:rPr>
      </w:pPr>
    </w:p>
    <w:tbl>
      <w:tblPr>
        <w:tblStyle w:val="TableNormal"/>
        <w:tblW w:w="9195" w:type="dxa"/>
        <w:tblInd w:w="55" w:type="dxa"/>
        <w:tblCellMar>
          <w:left w:w="70" w:type="dxa"/>
          <w:right w:w="70" w:type="dxa"/>
        </w:tblCellMar>
      </w:tblPr>
      <w:tblGrid>
        <w:gridCol w:w="4155"/>
        <w:gridCol w:w="5040"/>
      </w:tblGrid>
      <w:tr>
        <w:tblPrEx>
          <w:tblW w:w="9195" w:type="dxa"/>
          <w:tblInd w:w="55" w:type="dxa"/>
          <w:tblCellMar>
            <w:left w:w="70" w:type="dxa"/>
            <w:right w:w="70" w:type="dxa"/>
          </w:tblCellMar>
        </w:tblPrEx>
        <w:trPr>
          <w:trHeight w:val="850"/>
        </w:trPr>
        <w:tc>
          <w:tcPr>
            <w:tcW w:w="9195" w:type="dxa"/>
            <w:gridSpan w:val="2"/>
            <w:tcBorders>
              <w:top w:val="single" w:sz="8" w:space="0" w:color="auto"/>
              <w:left w:val="single" w:sz="8" w:space="0" w:color="auto"/>
              <w:bottom w:val="single" w:sz="8" w:space="0" w:color="auto"/>
              <w:right w:val="single" w:sz="8" w:space="0" w:color="000000"/>
            </w:tcBorders>
            <w:shd w:val="clear" w:color="auto" w:fill="000000"/>
            <w:noWrap/>
            <w:textDirection w:val="lrTb"/>
            <w:vAlign w:val="center"/>
          </w:tcPr>
          <w:p w:rsidR="00023860" w:rsidP="00942CDF">
            <w:pPr>
              <w:jc w:val="center"/>
              <w:rPr>
                <w:rFonts w:ascii="Times New Roman" w:hAnsi="Times New Roman" w:cs="Times New Roman"/>
                <w:b/>
                <w:color w:val="FFFFFF"/>
                <w:szCs w:val="24"/>
              </w:rPr>
            </w:pPr>
            <w:r>
              <w:rPr>
                <w:rFonts w:ascii="Times New Roman" w:hAnsi="Times New Roman" w:cs="Times New Roman"/>
                <w:b/>
                <w:color w:val="FFFFFF"/>
                <w:szCs w:val="24"/>
              </w:rPr>
              <w:t>Vplyvy na podnikateľské prostredie</w:t>
            </w:r>
          </w:p>
        </w:tc>
      </w:tr>
      <w:tr>
        <w:tblPrEx>
          <w:tblW w:w="9195" w:type="dxa"/>
          <w:tblInd w:w="55" w:type="dxa"/>
          <w:tblCellMar>
            <w:left w:w="70" w:type="dxa"/>
            <w:right w:w="70" w:type="dxa"/>
          </w:tblCellMar>
        </w:tblPrEx>
        <w:trPr>
          <w:trHeight w:val="600"/>
        </w:trPr>
        <w:tc>
          <w:tcPr>
            <w:tcW w:w="4155" w:type="dxa"/>
            <w:tcBorders>
              <w:top w:val="nil"/>
              <w:left w:val="single" w:sz="8" w:space="0" w:color="auto"/>
              <w:bottom w:val="single" w:sz="4" w:space="0" w:color="auto"/>
              <w:right w:val="single" w:sz="4" w:space="0" w:color="auto"/>
            </w:tcBorders>
            <w:noWrap/>
            <w:textDirection w:val="lrTb"/>
            <w:vAlign w:val="center"/>
          </w:tcPr>
          <w:p w:rsidR="00023860" w:rsidP="00942CDF">
            <w:pPr>
              <w:jc w:val="both"/>
              <w:rPr>
                <w:rFonts w:ascii="Times New Roman" w:hAnsi="Times New Roman" w:cs="Times New Roman"/>
                <w:szCs w:val="24"/>
              </w:rPr>
            </w:pPr>
          </w:p>
          <w:p w:rsidR="00023860" w:rsidP="00942CDF">
            <w:pPr>
              <w:jc w:val="both"/>
              <w:rPr>
                <w:rFonts w:ascii="Times New Roman" w:hAnsi="Times New Roman" w:cs="Times New Roman"/>
                <w:szCs w:val="24"/>
              </w:rPr>
            </w:pPr>
            <w:r>
              <w:rPr>
                <w:rFonts w:ascii="Times New Roman" w:hAnsi="Times New Roman" w:cs="Times New Roman"/>
                <w:b/>
                <w:szCs w:val="24"/>
              </w:rPr>
              <w:t>3.1</w:t>
            </w:r>
            <w:r>
              <w:rPr>
                <w:rFonts w:ascii="Times New Roman" w:hAnsi="Times New Roman" w:cs="Times New Roman"/>
                <w:szCs w:val="24"/>
              </w:rPr>
              <w:t>. Ktoré podnikateľské subjekty budú predkladaným návrhom ovplyvnené a aký je ich počet?</w:t>
            </w:r>
          </w:p>
          <w:p w:rsidR="00023860" w:rsidP="00942CDF">
            <w:pPr>
              <w:jc w:val="both"/>
              <w:rPr>
                <w:rFonts w:ascii="Times New Roman" w:hAnsi="Times New Roman" w:cs="Times New Roman"/>
                <w:szCs w:val="24"/>
              </w:rPr>
            </w:pPr>
          </w:p>
        </w:tc>
        <w:tc>
          <w:tcPr>
            <w:tcW w:w="5040" w:type="dxa"/>
            <w:tcBorders>
              <w:top w:val="nil"/>
              <w:left w:val="nil"/>
              <w:bottom w:val="single" w:sz="4" w:space="0" w:color="auto"/>
              <w:right w:val="single" w:sz="8" w:space="0" w:color="auto"/>
            </w:tcBorders>
            <w:noWrap/>
            <w:textDirection w:val="lrTb"/>
            <w:vAlign w:val="center"/>
          </w:tcPr>
          <w:p w:rsidR="00023860" w:rsidRPr="00DC2A9C" w:rsidP="00942CDF">
            <w:pPr>
              <w:jc w:val="both"/>
              <w:rPr>
                <w:rFonts w:ascii="Times New Roman" w:hAnsi="Times New Roman" w:cs="Times New Roman"/>
                <w:color w:val="00FF00"/>
                <w:szCs w:val="24"/>
              </w:rPr>
            </w:pPr>
            <w:r>
              <w:rPr>
                <w:rFonts w:ascii="Arial" w:hAnsi="Arial" w:cs="Arial"/>
                <w:sz w:val="20"/>
                <w:szCs w:val="24"/>
              </w:rPr>
              <w:t> </w:t>
            </w:r>
            <w:r w:rsidRPr="00DA349E">
              <w:rPr>
                <w:rFonts w:ascii="Times New Roman" w:hAnsi="Times New Roman" w:cs="Times New Roman"/>
                <w:szCs w:val="24"/>
              </w:rPr>
              <w:t xml:space="preserve">Subjekty, </w:t>
            </w:r>
            <w:r>
              <w:rPr>
                <w:rFonts w:ascii="Times New Roman" w:hAnsi="Times New Roman" w:cs="Times New Roman"/>
                <w:szCs w:val="24"/>
              </w:rPr>
              <w:t xml:space="preserve">ktorých celkový obrat dosahuje obraty stanovené v § 10 ods. 1 zákona o ochrane hospodárskej súťaže. Nakoľko nemusí ísť len o podnikateľské subjekty pôsobiace/so sídlom na území Slovenskej republiky vzhľadom na cezhraničné koncentrácie, počet ani presný okruh subjektov sa nedá určiť. </w:t>
            </w:r>
            <w:r w:rsidRPr="00B35FD6">
              <w:rPr>
                <w:rFonts w:ascii="Times New Roman" w:hAnsi="Times New Roman" w:cs="Times New Roman"/>
                <w:szCs w:val="24"/>
              </w:rPr>
              <w:t>Počet ovplyvnených subjektov, resp. transakcií, je mo</w:t>
            </w:r>
            <w:r w:rsidRPr="00CB60C5">
              <w:rPr>
                <w:rFonts w:ascii="Times New Roman" w:hAnsi="Times New Roman" w:cs="Times New Roman"/>
                <w:szCs w:val="24"/>
              </w:rPr>
              <w:t>žné vymedziť nasledovnými kritériami – a to, že dôjde ku transakcii, ktorá bude koncentráciou v zmysle § 9 ods. 1 zákona a zároveň budú naplnené obratové kritériá vymedzené v § 10 ods. 1</w:t>
            </w:r>
            <w:r>
              <w:rPr>
                <w:rFonts w:ascii="Times New Roman" w:hAnsi="Times New Roman" w:cs="Times New Roman"/>
                <w:szCs w:val="24"/>
              </w:rPr>
              <w:t>.</w:t>
            </w:r>
          </w:p>
        </w:tc>
      </w:tr>
      <w:tr>
        <w:tblPrEx>
          <w:tblW w:w="9195" w:type="dxa"/>
          <w:tblInd w:w="55" w:type="dxa"/>
          <w:tblCellMar>
            <w:left w:w="70" w:type="dxa"/>
            <w:right w:w="70" w:type="dxa"/>
          </w:tblCellMar>
        </w:tblPrEx>
        <w:trPr>
          <w:trHeight w:val="600"/>
        </w:trPr>
        <w:tc>
          <w:tcPr>
            <w:tcW w:w="4155" w:type="dxa"/>
            <w:tcBorders>
              <w:top w:val="nil"/>
              <w:left w:val="single" w:sz="8" w:space="0" w:color="auto"/>
              <w:bottom w:val="single" w:sz="4" w:space="0" w:color="auto"/>
              <w:right w:val="single" w:sz="4" w:space="0" w:color="auto"/>
            </w:tcBorders>
            <w:noWrap/>
            <w:textDirection w:val="lrTb"/>
            <w:vAlign w:val="center"/>
          </w:tcPr>
          <w:p w:rsidR="00023860" w:rsidP="00942CDF">
            <w:pPr>
              <w:jc w:val="both"/>
              <w:rPr>
                <w:rFonts w:ascii="Times New Roman" w:hAnsi="Times New Roman" w:cs="Times New Roman"/>
                <w:szCs w:val="24"/>
              </w:rPr>
            </w:pPr>
          </w:p>
          <w:p w:rsidR="00023860" w:rsidP="00942CDF">
            <w:pPr>
              <w:jc w:val="both"/>
              <w:rPr>
                <w:rFonts w:ascii="Times New Roman" w:hAnsi="Times New Roman" w:cs="Times New Roman"/>
                <w:szCs w:val="24"/>
              </w:rPr>
            </w:pPr>
            <w:r>
              <w:rPr>
                <w:rFonts w:ascii="Times New Roman" w:hAnsi="Times New Roman" w:cs="Times New Roman"/>
                <w:b/>
                <w:szCs w:val="24"/>
              </w:rPr>
              <w:t>3.2</w:t>
            </w:r>
            <w:r>
              <w:rPr>
                <w:rFonts w:ascii="Times New Roman" w:hAnsi="Times New Roman" w:cs="Times New Roman"/>
                <w:szCs w:val="24"/>
              </w:rPr>
              <w:t>. Aký je predpokladaný charakter a rozsah nákladov a prínosov?</w:t>
            </w:r>
          </w:p>
          <w:p w:rsidR="00023860" w:rsidP="00942CDF">
            <w:pPr>
              <w:jc w:val="both"/>
              <w:rPr>
                <w:rFonts w:ascii="Times New Roman" w:hAnsi="Times New Roman" w:cs="Times New Roman"/>
                <w:szCs w:val="24"/>
              </w:rPr>
            </w:pPr>
          </w:p>
        </w:tc>
        <w:tc>
          <w:tcPr>
            <w:tcW w:w="5040" w:type="dxa"/>
            <w:tcBorders>
              <w:top w:val="nil"/>
              <w:left w:val="nil"/>
              <w:bottom w:val="single" w:sz="4" w:space="0" w:color="auto"/>
              <w:right w:val="single" w:sz="8" w:space="0" w:color="auto"/>
            </w:tcBorders>
            <w:noWrap/>
            <w:textDirection w:val="lrTb"/>
            <w:vAlign w:val="center"/>
          </w:tcPr>
          <w:p w:rsidR="00023860" w:rsidRPr="007768F5" w:rsidP="00942CDF">
            <w:pPr>
              <w:jc w:val="both"/>
              <w:rPr>
                <w:rFonts w:ascii="Arial" w:hAnsi="Arial" w:cs="Arial"/>
                <w:sz w:val="20"/>
                <w:szCs w:val="24"/>
              </w:rPr>
            </w:pPr>
            <w:r w:rsidRPr="00DA349E">
              <w:rPr>
                <w:rFonts w:ascii="Arial" w:hAnsi="Arial" w:cs="Arial"/>
                <w:sz w:val="20"/>
                <w:szCs w:val="24"/>
              </w:rPr>
              <w:t> </w:t>
            </w:r>
            <w:r w:rsidRPr="00DA349E">
              <w:rPr>
                <w:rFonts w:ascii="Times New Roman" w:hAnsi="Times New Roman" w:cs="Times New Roman"/>
                <w:szCs w:val="24"/>
              </w:rPr>
              <w:t>Náklady</w:t>
            </w:r>
            <w:r>
              <w:rPr>
                <w:rFonts w:ascii="Times New Roman" w:hAnsi="Times New Roman" w:cs="Times New Roman"/>
                <w:szCs w:val="24"/>
              </w:rPr>
              <w:t xml:space="preserve"> sa predkladaným návrhom nemenia. Prínosy sú dané znížením počtu subjektov, ktorí budú oznamovať koncentráciu a skrátením lehôt. Vzhľadom na zmenu notifikačných kritérií predpokladá sa zníženie počtu subjektov, ktoré budú povinné oznamovať koncentráciu, nakoľko d</w:t>
            </w:r>
            <w:r w:rsidRPr="007768F5">
              <w:rPr>
                <w:rFonts w:ascii="Times New Roman" w:hAnsi="Times New Roman" w:cs="Times New Roman"/>
                <w:szCs w:val="24"/>
              </w:rPr>
              <w:t xml:space="preserve">ochádza k eliminácii povinného oznamovania prípadov, v ktorých spĺňala nadobúdaná spoločnosť iba kritérium celosvetového obratu, a  nemala významnú účasť na hospodárskej súťaži na tuzemskom trhu.  Cieľom nového nastavenia notifikačných kritérií je </w:t>
            </w:r>
            <w:r>
              <w:rPr>
                <w:rFonts w:ascii="Times New Roman" w:hAnsi="Times New Roman" w:cs="Times New Roman"/>
                <w:szCs w:val="24"/>
              </w:rPr>
              <w:t xml:space="preserve">zníženie administratívneho zaťaženia podnikateľov a sústredenie kapacít úradu </w:t>
            </w:r>
            <w:r w:rsidRPr="007768F5">
              <w:rPr>
                <w:rFonts w:ascii="Times New Roman" w:hAnsi="Times New Roman" w:cs="Times New Roman"/>
                <w:szCs w:val="24"/>
              </w:rPr>
              <w:t>iba na na</w:t>
            </w:r>
            <w:r w:rsidRPr="007768F5">
              <w:rPr>
                <w:rFonts w:ascii="Times New Roman" w:hAnsi="Times New Roman" w:cs="Times New Roman"/>
                <w:szCs w:val="24"/>
              </w:rPr>
              <w:t>jzávažnejšie ekonomické spojenia podnikateľov</w:t>
            </w:r>
            <w:r>
              <w:rPr>
                <w:rFonts w:ascii="Times New Roman" w:hAnsi="Times New Roman" w:cs="Times New Roman"/>
                <w:szCs w:val="24"/>
              </w:rPr>
              <w:t>.</w:t>
            </w:r>
          </w:p>
        </w:tc>
      </w:tr>
      <w:tr>
        <w:tblPrEx>
          <w:tblW w:w="9195" w:type="dxa"/>
          <w:tblInd w:w="55" w:type="dxa"/>
          <w:tblCellMar>
            <w:left w:w="70" w:type="dxa"/>
            <w:right w:w="70" w:type="dxa"/>
          </w:tblCellMar>
        </w:tblPrEx>
        <w:trPr>
          <w:trHeight w:val="600"/>
        </w:trPr>
        <w:tc>
          <w:tcPr>
            <w:tcW w:w="4155" w:type="dxa"/>
            <w:tcBorders>
              <w:top w:val="nil"/>
              <w:left w:val="single" w:sz="8" w:space="0" w:color="auto"/>
              <w:bottom w:val="single" w:sz="4" w:space="0" w:color="auto"/>
              <w:right w:val="single" w:sz="4" w:space="0" w:color="auto"/>
            </w:tcBorders>
            <w:noWrap/>
            <w:textDirection w:val="lrTb"/>
            <w:vAlign w:val="center"/>
          </w:tcPr>
          <w:p w:rsidR="00023860" w:rsidP="00942CDF">
            <w:pPr>
              <w:jc w:val="both"/>
              <w:rPr>
                <w:rFonts w:ascii="Times New Roman" w:hAnsi="Times New Roman" w:cs="Times New Roman"/>
                <w:szCs w:val="24"/>
              </w:rPr>
            </w:pPr>
          </w:p>
          <w:p w:rsidR="00023860" w:rsidP="00942CDF">
            <w:pPr>
              <w:jc w:val="both"/>
              <w:rPr>
                <w:rFonts w:ascii="Times New Roman" w:hAnsi="Times New Roman" w:cs="Times New Roman"/>
                <w:szCs w:val="24"/>
              </w:rPr>
            </w:pPr>
            <w:r>
              <w:rPr>
                <w:rFonts w:ascii="Times New Roman" w:hAnsi="Times New Roman" w:cs="Times New Roman"/>
                <w:b/>
                <w:szCs w:val="24"/>
              </w:rPr>
              <w:t>3.3</w:t>
            </w:r>
            <w:r>
              <w:rPr>
                <w:rFonts w:ascii="Times New Roman" w:hAnsi="Times New Roman" w:cs="Times New Roman"/>
                <w:szCs w:val="24"/>
              </w:rPr>
              <w:t>. Aká je predpokladaná výška administratívnych nákladov, ktoré podniky vynaložia v súvislosti s implementáciou návrhu?</w:t>
            </w:r>
          </w:p>
          <w:p w:rsidR="00023860" w:rsidP="00942CDF">
            <w:pPr>
              <w:ind w:left="360" w:hanging="360"/>
              <w:jc w:val="both"/>
              <w:rPr>
                <w:rFonts w:ascii="Times New Roman" w:hAnsi="Times New Roman" w:cs="Times New Roman"/>
                <w:szCs w:val="24"/>
              </w:rPr>
            </w:pPr>
          </w:p>
        </w:tc>
        <w:tc>
          <w:tcPr>
            <w:tcW w:w="5040" w:type="dxa"/>
            <w:tcBorders>
              <w:top w:val="nil"/>
              <w:left w:val="nil"/>
              <w:bottom w:val="single" w:sz="4" w:space="0" w:color="auto"/>
              <w:right w:val="single" w:sz="8" w:space="0" w:color="auto"/>
            </w:tcBorders>
            <w:noWrap/>
            <w:textDirection w:val="lrTb"/>
            <w:vAlign w:val="center"/>
          </w:tcPr>
          <w:p w:rsidR="00023860" w:rsidRPr="009A0524" w:rsidP="00942CDF">
            <w:pPr>
              <w:jc w:val="both"/>
              <w:rPr>
                <w:rFonts w:ascii="Times New Roman" w:hAnsi="Times New Roman" w:cs="Times New Roman"/>
                <w:szCs w:val="24"/>
              </w:rPr>
            </w:pPr>
            <w:r w:rsidRPr="009A0524">
              <w:rPr>
                <w:rFonts w:ascii="Times New Roman" w:hAnsi="Times New Roman" w:cs="Times New Roman"/>
                <w:szCs w:val="24"/>
              </w:rPr>
              <w:t xml:space="preserve">V súvislosti s implementáciou návrhu </w:t>
            </w:r>
            <w:r>
              <w:rPr>
                <w:rFonts w:ascii="Times New Roman" w:hAnsi="Times New Roman" w:cs="Times New Roman"/>
                <w:szCs w:val="24"/>
              </w:rPr>
              <w:t xml:space="preserve">je predpoklad, že </w:t>
            </w:r>
            <w:r w:rsidRPr="009A0524">
              <w:rPr>
                <w:rFonts w:ascii="Times New Roman" w:hAnsi="Times New Roman" w:cs="Times New Roman"/>
                <w:szCs w:val="24"/>
              </w:rPr>
              <w:t>sa administratívne náklady</w:t>
            </w:r>
            <w:r>
              <w:rPr>
                <w:rFonts w:ascii="Times New Roman" w:hAnsi="Times New Roman" w:cs="Times New Roman"/>
                <w:szCs w:val="24"/>
              </w:rPr>
              <w:t xml:space="preserve"> znížia, resp. nezmenia.</w:t>
            </w:r>
            <w:r w:rsidRPr="009A0524">
              <w:rPr>
                <w:rFonts w:ascii="Times New Roman" w:hAnsi="Times New Roman" w:cs="Times New Roman"/>
                <w:szCs w:val="24"/>
              </w:rPr>
              <w:t xml:space="preserve"> </w:t>
            </w:r>
            <w:r>
              <w:rPr>
                <w:rFonts w:ascii="Times New Roman" w:hAnsi="Times New Roman" w:cs="Times New Roman"/>
                <w:szCs w:val="24"/>
              </w:rPr>
              <w:t xml:space="preserve">Predpokladá sa zníženie počtu subjektov, ktoré budú mať administratívne náklady súvisiace s posudzovaním koncentrácie úradom.  </w:t>
            </w:r>
          </w:p>
        </w:tc>
      </w:tr>
      <w:tr>
        <w:tblPrEx>
          <w:tblW w:w="9195" w:type="dxa"/>
          <w:tblInd w:w="55" w:type="dxa"/>
          <w:tblCellMar>
            <w:left w:w="70" w:type="dxa"/>
            <w:right w:w="70" w:type="dxa"/>
          </w:tblCellMar>
        </w:tblPrEx>
        <w:trPr>
          <w:trHeight w:val="600"/>
        </w:trPr>
        <w:tc>
          <w:tcPr>
            <w:tcW w:w="4155" w:type="dxa"/>
            <w:tcBorders>
              <w:top w:val="nil"/>
              <w:left w:val="single" w:sz="8" w:space="0" w:color="auto"/>
              <w:bottom w:val="single" w:sz="4" w:space="0" w:color="auto"/>
              <w:right w:val="single" w:sz="4" w:space="0" w:color="auto"/>
            </w:tcBorders>
            <w:textDirection w:val="lrTb"/>
            <w:vAlign w:val="center"/>
          </w:tcPr>
          <w:p w:rsidR="00023860" w:rsidRPr="00B71AB2" w:rsidP="00942CDF">
            <w:pPr>
              <w:jc w:val="both"/>
              <w:rPr>
                <w:rFonts w:ascii="Times New Roman" w:hAnsi="Times New Roman" w:cs="Times New Roman"/>
                <w:szCs w:val="24"/>
              </w:rPr>
            </w:pPr>
          </w:p>
          <w:p w:rsidR="00023860" w:rsidRPr="00B71AB2" w:rsidP="00942CDF">
            <w:pPr>
              <w:jc w:val="both"/>
              <w:rPr>
                <w:rFonts w:ascii="Times New Roman" w:hAnsi="Times New Roman" w:cs="Times New Roman"/>
                <w:szCs w:val="24"/>
              </w:rPr>
            </w:pPr>
            <w:r w:rsidRPr="00B71AB2">
              <w:rPr>
                <w:rFonts w:ascii="Times New Roman" w:hAnsi="Times New Roman" w:cs="Times New Roman"/>
                <w:b/>
                <w:szCs w:val="24"/>
              </w:rPr>
              <w:t>3.4</w:t>
            </w:r>
            <w:r w:rsidRPr="00B71AB2">
              <w:rPr>
                <w:rFonts w:ascii="Times New Roman" w:hAnsi="Times New Roman" w:cs="Times New Roman"/>
                <w:szCs w:val="24"/>
              </w:rPr>
              <w:t>. Aké sú dôsledky pripravovaného návrhu pre fungovanie podnikateľských subjektov na slovenskom tr</w:t>
            </w:r>
            <w:r w:rsidRPr="00B71AB2">
              <w:rPr>
                <w:rFonts w:ascii="Times New Roman" w:hAnsi="Times New Roman" w:cs="Times New Roman"/>
                <w:szCs w:val="24"/>
              </w:rPr>
              <w:t>hu (ako sa zmenia operácie na trhu?)</w:t>
            </w:r>
          </w:p>
          <w:p w:rsidR="00023860" w:rsidRPr="00B71AB2" w:rsidP="00942CDF">
            <w:pPr>
              <w:ind w:left="360"/>
              <w:jc w:val="both"/>
              <w:rPr>
                <w:rFonts w:ascii="Times New Roman" w:hAnsi="Times New Roman" w:cs="Times New Roman"/>
                <w:szCs w:val="24"/>
              </w:rPr>
            </w:pPr>
          </w:p>
        </w:tc>
        <w:tc>
          <w:tcPr>
            <w:tcW w:w="5040" w:type="dxa"/>
            <w:tcBorders>
              <w:top w:val="nil"/>
              <w:left w:val="nil"/>
              <w:bottom w:val="single" w:sz="4" w:space="0" w:color="auto"/>
              <w:right w:val="single" w:sz="8" w:space="0" w:color="auto"/>
            </w:tcBorders>
            <w:noWrap/>
            <w:textDirection w:val="lrTb"/>
            <w:vAlign w:val="center"/>
          </w:tcPr>
          <w:p w:rsidR="00023860" w:rsidRPr="00B71AB2" w:rsidP="00942CDF">
            <w:pPr>
              <w:rPr>
                <w:rFonts w:ascii="Times New Roman" w:hAnsi="Times New Roman" w:cs="Times New Roman"/>
                <w:szCs w:val="24"/>
              </w:rPr>
            </w:pPr>
            <w:r w:rsidRPr="00B71AB2">
              <w:rPr>
                <w:rFonts w:ascii="Times New Roman" w:hAnsi="Times New Roman" w:cs="Times New Roman"/>
                <w:szCs w:val="24"/>
              </w:rPr>
              <w:t>Pripravovaný návrh nemá vplyv na vstup a správanie podnikateľov na trhu ani  na štruktúru trhu. Dôsledky pre podnikateľov sú pozitívne v tom smere, že sa skracujú lehoty na posúdenie ich transakcií a zužuje sa okruh subjektov, ktoré budú povinné koncentráciu oznámiť.</w:t>
            </w:r>
          </w:p>
          <w:p w:rsidR="00023860" w:rsidRPr="00B71AB2" w:rsidP="00942CDF">
            <w:pPr>
              <w:rPr>
                <w:rFonts w:ascii="Times New Roman" w:hAnsi="Times New Roman" w:cs="Times New Roman"/>
                <w:szCs w:val="24"/>
              </w:rPr>
            </w:pPr>
          </w:p>
        </w:tc>
      </w:tr>
      <w:tr>
        <w:tblPrEx>
          <w:tblW w:w="9195" w:type="dxa"/>
          <w:tblInd w:w="55" w:type="dxa"/>
          <w:tblCellMar>
            <w:left w:w="70" w:type="dxa"/>
            <w:right w:w="70" w:type="dxa"/>
          </w:tblCellMar>
        </w:tblPrEx>
        <w:trPr>
          <w:trHeight w:val="600"/>
        </w:trPr>
        <w:tc>
          <w:tcPr>
            <w:tcW w:w="4155" w:type="dxa"/>
            <w:tcBorders>
              <w:top w:val="nil"/>
              <w:left w:val="single" w:sz="8" w:space="0" w:color="auto"/>
              <w:bottom w:val="single" w:sz="4" w:space="0" w:color="auto"/>
              <w:right w:val="single" w:sz="4" w:space="0" w:color="auto"/>
            </w:tcBorders>
            <w:noWrap/>
            <w:textDirection w:val="lrTb"/>
            <w:vAlign w:val="center"/>
          </w:tcPr>
          <w:p w:rsidR="00023860" w:rsidRPr="00B71AB2" w:rsidP="00942CDF">
            <w:pPr>
              <w:jc w:val="both"/>
              <w:rPr>
                <w:rFonts w:ascii="Times New Roman" w:hAnsi="Times New Roman" w:cs="Times New Roman"/>
                <w:szCs w:val="24"/>
              </w:rPr>
            </w:pPr>
          </w:p>
          <w:p w:rsidR="00023860" w:rsidRPr="00B71AB2" w:rsidP="00942CDF">
            <w:pPr>
              <w:jc w:val="both"/>
              <w:rPr>
                <w:rFonts w:ascii="Times New Roman" w:hAnsi="Times New Roman" w:cs="Times New Roman"/>
                <w:szCs w:val="24"/>
              </w:rPr>
            </w:pPr>
            <w:r w:rsidRPr="00B71AB2">
              <w:rPr>
                <w:rFonts w:ascii="Times New Roman" w:hAnsi="Times New Roman" w:cs="Times New Roman"/>
                <w:b/>
                <w:szCs w:val="24"/>
              </w:rPr>
              <w:t>3.5</w:t>
            </w:r>
            <w:r w:rsidRPr="00B71AB2">
              <w:rPr>
                <w:rFonts w:ascii="Times New Roman" w:hAnsi="Times New Roman" w:cs="Times New Roman"/>
                <w:szCs w:val="24"/>
              </w:rPr>
              <w:t>. Aké sú predpokladané spoločensko – ekonomické dôsledky pripravovaných regulácií?</w:t>
            </w:r>
          </w:p>
          <w:p w:rsidR="00023860" w:rsidRPr="00B71AB2" w:rsidP="00942CDF">
            <w:pPr>
              <w:jc w:val="both"/>
              <w:rPr>
                <w:rFonts w:ascii="Times New Roman" w:hAnsi="Times New Roman" w:cs="Times New Roman"/>
                <w:szCs w:val="24"/>
              </w:rPr>
            </w:pPr>
          </w:p>
        </w:tc>
        <w:tc>
          <w:tcPr>
            <w:tcW w:w="5040" w:type="dxa"/>
            <w:tcBorders>
              <w:top w:val="nil"/>
              <w:left w:val="nil"/>
              <w:bottom w:val="single" w:sz="4" w:space="0" w:color="auto"/>
              <w:right w:val="single" w:sz="8" w:space="0" w:color="auto"/>
            </w:tcBorders>
            <w:noWrap/>
            <w:textDirection w:val="lrTb"/>
            <w:vAlign w:val="center"/>
          </w:tcPr>
          <w:p w:rsidR="00023860" w:rsidRPr="00B71AB2" w:rsidP="00942CDF">
            <w:pPr>
              <w:rPr>
                <w:rFonts w:ascii="Times New Roman" w:hAnsi="Times New Roman" w:cs="Times New Roman"/>
                <w:szCs w:val="24"/>
              </w:rPr>
            </w:pPr>
            <w:r w:rsidRPr="00B71AB2">
              <w:rPr>
                <w:rFonts w:ascii="Times New Roman" w:hAnsi="Times New Roman" w:cs="Times New Roman"/>
                <w:szCs w:val="24"/>
              </w:rPr>
              <w:t>Efektívny systém posudzovania koncentrácií umožní preventívnu kontrolu štruktúry trhov a pôsobenie konkurenčných tlakov, ktoré sa prejavia v prospechu spotrebiteľa.</w:t>
            </w:r>
          </w:p>
        </w:tc>
      </w:tr>
    </w:tbl>
    <w:p w:rsidR="00023860" w:rsidRPr="00B71AB2" w:rsidP="00023860">
      <w:pPr>
        <w:pStyle w:val="BodyText"/>
        <w:tabs>
          <w:tab w:val="num" w:pos="1080"/>
        </w:tabs>
        <w:rPr>
          <w:szCs w:val="24"/>
        </w:rPr>
      </w:pPr>
    </w:p>
    <w:p w:rsidR="00023860" w:rsidP="00023860">
      <w:pPr>
        <w:rPr>
          <w:rFonts w:ascii="Times New Roman" w:hAnsi="Times New Roman" w:cs="Times New Roman"/>
          <w:szCs w:val="24"/>
        </w:rPr>
      </w:pPr>
    </w:p>
    <w:p w:rsidR="00023860" w:rsidRPr="008549ED" w:rsidP="00023860">
      <w:pPr>
        <w:jc w:val="center"/>
        <w:rPr>
          <w:rFonts w:ascii="Times New Roman" w:hAnsi="Times New Roman" w:cs="Times New Roman"/>
          <w:b/>
          <w:szCs w:val="24"/>
        </w:rPr>
      </w:pPr>
      <w:r w:rsidRPr="008549ED">
        <w:rPr>
          <w:rFonts w:ascii="Times New Roman" w:hAnsi="Times New Roman" w:cs="Times New Roman"/>
          <w:b/>
          <w:szCs w:val="24"/>
        </w:rPr>
        <w:t>DOLOŽKA  ZLUČITEĽNOSTI</w:t>
      </w:r>
    </w:p>
    <w:p w:rsidR="00023860" w:rsidRPr="008549ED" w:rsidP="00023860">
      <w:pPr>
        <w:jc w:val="center"/>
        <w:rPr>
          <w:rFonts w:ascii="Times New Roman" w:hAnsi="Times New Roman" w:cs="Times New Roman"/>
          <w:b/>
          <w:szCs w:val="24"/>
        </w:rPr>
      </w:pPr>
      <w:r w:rsidRPr="008549ED">
        <w:rPr>
          <w:rFonts w:ascii="Times New Roman" w:hAnsi="Times New Roman" w:cs="Times New Roman"/>
          <w:b/>
          <w:szCs w:val="24"/>
        </w:rPr>
        <w:t>právneho predpisu s právom Európskej únie</w:t>
      </w:r>
    </w:p>
    <w:p w:rsidR="00023860" w:rsidRPr="008549ED" w:rsidP="00023860">
      <w:pPr>
        <w:jc w:val="both"/>
        <w:rPr>
          <w:rFonts w:ascii="Times New Roman" w:hAnsi="Times New Roman" w:cs="Times New Roman"/>
          <w:szCs w:val="24"/>
        </w:rPr>
      </w:pPr>
    </w:p>
    <w:p w:rsidR="00023860" w:rsidRPr="008549ED" w:rsidP="00023860">
      <w:pPr>
        <w:jc w:val="both"/>
        <w:rPr>
          <w:rFonts w:ascii="Times New Roman" w:hAnsi="Times New Roman" w:cs="Times New Roman"/>
          <w:szCs w:val="24"/>
        </w:rPr>
      </w:pPr>
      <w:r w:rsidRPr="008549ED">
        <w:rPr>
          <w:rFonts w:ascii="Times New Roman" w:hAnsi="Times New Roman" w:cs="Times New Roman"/>
          <w:b/>
          <w:szCs w:val="24"/>
        </w:rPr>
        <w:t>1. Predkladateľ právneho predpisu:</w:t>
      </w:r>
      <w:r w:rsidRPr="008549ED">
        <w:rPr>
          <w:rFonts w:ascii="Times New Roman" w:hAnsi="Times New Roman" w:cs="Times New Roman"/>
          <w:szCs w:val="24"/>
        </w:rPr>
        <w:t xml:space="preserve"> Protimonopolný úrad Slovenskej republiky.</w:t>
      </w:r>
    </w:p>
    <w:p w:rsidR="00023860" w:rsidRPr="008549ED" w:rsidP="00023860">
      <w:pPr>
        <w:tabs>
          <w:tab w:val="num" w:pos="0"/>
          <w:tab w:val="num" w:pos="360"/>
        </w:tabs>
        <w:jc w:val="both"/>
        <w:rPr>
          <w:rFonts w:ascii="Times New Roman" w:hAnsi="Times New Roman" w:cs="Times New Roman"/>
          <w:szCs w:val="24"/>
        </w:rPr>
      </w:pPr>
    </w:p>
    <w:p w:rsidR="00023860" w:rsidRPr="008549ED" w:rsidP="00023860">
      <w:pPr>
        <w:jc w:val="both"/>
        <w:rPr>
          <w:rFonts w:ascii="Times New Roman" w:hAnsi="Times New Roman" w:cs="Times New Roman"/>
          <w:b/>
          <w:szCs w:val="24"/>
        </w:rPr>
      </w:pPr>
      <w:r w:rsidRPr="008549ED">
        <w:rPr>
          <w:rFonts w:ascii="Times New Roman" w:hAnsi="Times New Roman" w:cs="Times New Roman"/>
          <w:b/>
          <w:szCs w:val="24"/>
        </w:rPr>
        <w:t>2. Názov návrhu právneho predpisu:</w:t>
      </w:r>
    </w:p>
    <w:p w:rsidR="00023860" w:rsidRPr="008549ED" w:rsidP="00023860">
      <w:pPr>
        <w:autoSpaceDE w:val="0"/>
        <w:autoSpaceDN w:val="0"/>
        <w:adjustRightInd w:val="0"/>
        <w:ind w:left="425"/>
        <w:jc w:val="both"/>
        <w:rPr>
          <w:rFonts w:ascii="Times New Roman" w:hAnsi="Times New Roman" w:cs="Times New Roman"/>
          <w:szCs w:val="24"/>
        </w:rPr>
      </w:pPr>
      <w:r w:rsidRPr="008549ED">
        <w:rPr>
          <w:rFonts w:ascii="Times New Roman" w:hAnsi="Times New Roman" w:cs="Times New Roman"/>
          <w:szCs w:val="24"/>
        </w:rPr>
        <w:t>Návrh zákona, ktorý</w:t>
      </w:r>
      <w:r w:rsidRPr="008549ED">
        <w:rPr>
          <w:rFonts w:ascii="Times New Roman" w:hAnsi="Times New Roman" w:cs="Times New Roman"/>
          <w:szCs w:val="24"/>
        </w:rPr>
        <w:t>m sa mení a dopĺňa zákon č. 136/2001 Z. z. o ochrane hospodárskej súťaže a o zmene a doplnení zákona Slovenskej národnej rady č. 347/1990 Zb. o organizácii ministerstiev  a ostatných ústredných orgánov štátnej správy Slovenskej republiky v znení neskorších</w:t>
      </w:r>
      <w:r w:rsidRPr="008549ED">
        <w:rPr>
          <w:rFonts w:ascii="Times New Roman" w:hAnsi="Times New Roman" w:cs="Times New Roman"/>
          <w:szCs w:val="24"/>
        </w:rPr>
        <w:t xml:space="preserve"> predpisov v znení neskorších predpisov</w:t>
      </w:r>
    </w:p>
    <w:p w:rsidR="00023860" w:rsidRPr="008549ED" w:rsidP="00023860">
      <w:pPr>
        <w:tabs>
          <w:tab w:val="num" w:pos="0"/>
        </w:tabs>
        <w:jc w:val="both"/>
        <w:rPr>
          <w:rFonts w:ascii="Times New Roman" w:hAnsi="Times New Roman" w:cs="Times New Roman"/>
          <w:szCs w:val="24"/>
        </w:rPr>
      </w:pPr>
    </w:p>
    <w:p w:rsidR="00023860" w:rsidRPr="008549ED" w:rsidP="00023860">
      <w:pPr>
        <w:tabs>
          <w:tab w:val="num" w:pos="0"/>
        </w:tabs>
        <w:autoSpaceDE w:val="0"/>
        <w:autoSpaceDN w:val="0"/>
        <w:adjustRightInd w:val="0"/>
        <w:jc w:val="both"/>
        <w:rPr>
          <w:rFonts w:ascii="Times New Roman" w:hAnsi="Times New Roman" w:cs="Times New Roman"/>
          <w:b/>
          <w:szCs w:val="24"/>
        </w:rPr>
      </w:pPr>
      <w:r w:rsidRPr="008549ED">
        <w:rPr>
          <w:rFonts w:ascii="Times New Roman" w:hAnsi="Times New Roman" w:cs="Times New Roman"/>
          <w:b/>
          <w:szCs w:val="24"/>
        </w:rPr>
        <w:t>3. Problematika návrhu právneho predpisu:</w:t>
      </w:r>
    </w:p>
    <w:p w:rsidR="00023860" w:rsidP="00023860">
      <w:pPr>
        <w:pStyle w:val="ListParagraph"/>
        <w:numPr>
          <w:ilvl w:val="1"/>
          <w:numId w:val="1"/>
        </w:numPr>
        <w:tabs>
          <w:tab w:val="num" w:pos="360"/>
          <w:tab w:val="num" w:pos="720"/>
          <w:tab w:val="clear" w:pos="900"/>
        </w:tabs>
        <w:autoSpaceDE w:val="0"/>
        <w:autoSpaceDN w:val="0"/>
        <w:adjustRightInd w:val="0"/>
        <w:ind w:left="360" w:firstLine="0"/>
        <w:jc w:val="both"/>
        <w:rPr>
          <w:rFonts w:ascii="Times New Roman" w:hAnsi="Times New Roman" w:cs="Times New Roman"/>
          <w:szCs w:val="24"/>
          <w:lang w:val="sk-SK"/>
        </w:rPr>
      </w:pPr>
      <w:r w:rsidRPr="008549ED">
        <w:rPr>
          <w:rFonts w:ascii="Times New Roman" w:hAnsi="Times New Roman" w:cs="Times New Roman"/>
          <w:szCs w:val="24"/>
          <w:lang w:val="sk-SK"/>
        </w:rPr>
        <w:t>je upravená v práve Európskej únie:</w:t>
      </w:r>
    </w:p>
    <w:p w:rsidR="00023860" w:rsidRPr="008549ED" w:rsidP="00023860">
      <w:pPr>
        <w:pStyle w:val="ListParagraph"/>
        <w:autoSpaceDE w:val="0"/>
        <w:autoSpaceDN w:val="0"/>
        <w:adjustRightInd w:val="0"/>
        <w:ind w:left="360"/>
        <w:jc w:val="both"/>
        <w:rPr>
          <w:rFonts w:ascii="Times New Roman" w:hAnsi="Times New Roman" w:cs="Times New Roman"/>
          <w:szCs w:val="24"/>
          <w:lang w:val="sk-SK"/>
        </w:rPr>
      </w:pP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i/>
          <w:szCs w:val="24"/>
          <w:lang w:val="sk-SK"/>
        </w:rPr>
        <w:t>-  primárnom</w:t>
      </w:r>
    </w:p>
    <w:p w:rsidR="00023860" w:rsidRPr="00113283" w:rsidP="00023860">
      <w:pPr>
        <w:ind w:left="851"/>
        <w:rPr>
          <w:rFonts w:ascii="Times New Roman" w:hAnsi="Times New Roman" w:cs="Times New Roman"/>
          <w:szCs w:val="24"/>
        </w:rPr>
      </w:pPr>
      <w:r>
        <w:rPr>
          <w:rFonts w:ascii="Times New Roman" w:hAnsi="Times New Roman" w:cs="Times New Roman"/>
          <w:szCs w:val="24"/>
        </w:rPr>
        <w:t>Rámcovo čl. 3 ods. 1 Zmluvy o fungovaní Európskej únie a čl. 101 až 106 Zmluvy o fungovaní Európskej únie</w:t>
      </w:r>
    </w:p>
    <w:p w:rsidR="00023860" w:rsidP="00023860">
      <w:pPr>
        <w:pStyle w:val="ListParagraph"/>
        <w:autoSpaceDE w:val="0"/>
        <w:autoSpaceDN w:val="0"/>
        <w:adjustRightInd w:val="0"/>
        <w:jc w:val="both"/>
        <w:rPr>
          <w:rFonts w:ascii="Times New Roman" w:hAnsi="Times New Roman" w:cs="Times New Roman"/>
          <w:szCs w:val="24"/>
          <w:lang w:val="sk-SK"/>
        </w:rPr>
      </w:pPr>
    </w:p>
    <w:p w:rsidR="00023860" w:rsidRPr="008549ED" w:rsidP="00023860">
      <w:pPr>
        <w:pStyle w:val="ListParagraph"/>
        <w:autoSpaceDE w:val="0"/>
        <w:autoSpaceDN w:val="0"/>
        <w:adjustRightInd w:val="0"/>
        <w:jc w:val="both"/>
        <w:rPr>
          <w:rFonts w:ascii="Times New Roman" w:hAnsi="Times New Roman" w:cs="Times New Roman"/>
          <w:szCs w:val="24"/>
          <w:lang w:val="sk-SK"/>
        </w:rPr>
      </w:pP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szCs w:val="24"/>
          <w:lang w:val="sk-SK"/>
        </w:rPr>
        <w:t xml:space="preserve">-  </w:t>
      </w:r>
      <w:r w:rsidRPr="008549ED">
        <w:rPr>
          <w:rFonts w:ascii="Times New Roman" w:hAnsi="Times New Roman" w:cs="Times New Roman"/>
          <w:i/>
          <w:szCs w:val="24"/>
          <w:lang w:val="sk-SK"/>
        </w:rPr>
        <w:t>sekundárnom (prijatom po nadobudnutí platnosti Lisabonskej zmluvy,</w:t>
      </w: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i/>
          <w:szCs w:val="24"/>
          <w:lang w:val="sk-SK"/>
        </w:rPr>
        <w:t xml:space="preserve">   ktorou sa mení a dopĺňa Zmluva o Európskom spoločenstve a Zmluva </w:t>
      </w: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i/>
          <w:szCs w:val="24"/>
          <w:lang w:val="sk-SK"/>
        </w:rPr>
        <w:t xml:space="preserve">   o  Európskej únii - po 30. novembri 2009)</w:t>
      </w:r>
    </w:p>
    <w:p w:rsidR="00023860" w:rsidRPr="008549ED" w:rsidP="00023860">
      <w:pPr>
        <w:pStyle w:val="ListParagraph"/>
        <w:numPr>
          <w:ilvl w:val="3"/>
          <w:numId w:val="1"/>
        </w:numPr>
        <w:tabs>
          <w:tab w:val="num" w:pos="1080"/>
          <w:tab w:val="clear" w:pos="2880"/>
        </w:tabs>
        <w:autoSpaceDE w:val="0"/>
        <w:autoSpaceDN w:val="0"/>
        <w:adjustRightInd w:val="0"/>
        <w:ind w:left="1080" w:firstLine="0"/>
        <w:jc w:val="both"/>
        <w:rPr>
          <w:rFonts w:ascii="Times New Roman" w:hAnsi="Times New Roman" w:cs="Times New Roman"/>
          <w:i/>
          <w:szCs w:val="24"/>
          <w:lang w:val="sk-SK"/>
        </w:rPr>
      </w:pPr>
      <w:r w:rsidRPr="008549ED">
        <w:rPr>
          <w:rFonts w:ascii="Times New Roman" w:hAnsi="Times New Roman" w:cs="Times New Roman"/>
          <w:i/>
          <w:szCs w:val="24"/>
          <w:lang w:val="sk-SK"/>
        </w:rPr>
        <w:t>legislatívne akty,</w:t>
      </w:r>
    </w:p>
    <w:p w:rsidR="00023860" w:rsidRPr="008549ED" w:rsidP="00023860">
      <w:pPr>
        <w:pStyle w:val="ListParagraph"/>
        <w:numPr>
          <w:ilvl w:val="3"/>
          <w:numId w:val="1"/>
        </w:numPr>
        <w:tabs>
          <w:tab w:val="num" w:pos="1080"/>
          <w:tab w:val="clear" w:pos="2880"/>
        </w:tabs>
        <w:autoSpaceDE w:val="0"/>
        <w:autoSpaceDN w:val="0"/>
        <w:adjustRightInd w:val="0"/>
        <w:ind w:left="1080" w:firstLine="0"/>
        <w:jc w:val="both"/>
        <w:rPr>
          <w:rFonts w:ascii="Times New Roman" w:hAnsi="Times New Roman" w:cs="Times New Roman"/>
          <w:i/>
          <w:szCs w:val="24"/>
          <w:lang w:val="sk-SK"/>
        </w:rPr>
      </w:pPr>
      <w:r w:rsidRPr="008549ED">
        <w:rPr>
          <w:rFonts w:ascii="Times New Roman" w:hAnsi="Times New Roman" w:cs="Times New Roman"/>
          <w:i/>
          <w:szCs w:val="24"/>
          <w:lang w:val="sk-SK"/>
        </w:rPr>
        <w:t>nelegislatívne akty,</w:t>
      </w:r>
    </w:p>
    <w:p w:rsidR="00023860" w:rsidRPr="008549ED" w:rsidP="00023860">
      <w:pPr>
        <w:pStyle w:val="ListParagraph"/>
        <w:tabs>
          <w:tab w:val="num" w:pos="1080"/>
        </w:tabs>
        <w:autoSpaceDE w:val="0"/>
        <w:autoSpaceDN w:val="0"/>
        <w:adjustRightInd w:val="0"/>
        <w:jc w:val="both"/>
        <w:rPr>
          <w:rFonts w:ascii="Times New Roman" w:hAnsi="Times New Roman" w:cs="Times New Roman"/>
          <w:szCs w:val="24"/>
          <w:lang w:val="sk-SK"/>
        </w:rPr>
      </w:pP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szCs w:val="24"/>
          <w:lang w:val="sk-SK"/>
        </w:rPr>
        <w:t xml:space="preserve">- </w:t>
      </w:r>
      <w:r w:rsidRPr="008549ED">
        <w:rPr>
          <w:rFonts w:ascii="Times New Roman" w:hAnsi="Times New Roman" w:cs="Times New Roman"/>
          <w:i/>
          <w:szCs w:val="24"/>
          <w:lang w:val="sk-SK"/>
        </w:rPr>
        <w:t xml:space="preserve">sekundárnom (prijatom pred nadobudnutím platnosti Lisabonskej </w:t>
      </w: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i/>
          <w:szCs w:val="24"/>
          <w:lang w:val="sk-SK"/>
        </w:rPr>
        <w:t xml:space="preserve">   zmluvy, ktorou sa mení a dopĺňa Zmluva o Európskom spoločenstve </w:t>
      </w:r>
    </w:p>
    <w:p w:rsidR="00023860" w:rsidRPr="008549ED" w:rsidP="00023860">
      <w:pPr>
        <w:pStyle w:val="ListParagraph"/>
        <w:autoSpaceDE w:val="0"/>
        <w:autoSpaceDN w:val="0"/>
        <w:adjustRightInd w:val="0"/>
        <w:jc w:val="both"/>
        <w:rPr>
          <w:rFonts w:ascii="Times New Roman" w:hAnsi="Times New Roman" w:cs="Times New Roman"/>
          <w:i/>
          <w:szCs w:val="24"/>
          <w:lang w:val="sk-SK"/>
        </w:rPr>
      </w:pPr>
      <w:r w:rsidRPr="008549ED">
        <w:rPr>
          <w:rFonts w:ascii="Times New Roman" w:hAnsi="Times New Roman" w:cs="Times New Roman"/>
          <w:i/>
          <w:szCs w:val="24"/>
          <w:lang w:val="sk-SK"/>
        </w:rPr>
        <w:t xml:space="preserve">   a Zmluva o Európskej únii - do 30. novembra 2009)</w:t>
      </w:r>
    </w:p>
    <w:p w:rsidR="00023860" w:rsidRPr="006B7FFB" w:rsidP="00023860">
      <w:pPr>
        <w:spacing w:after="60"/>
        <w:ind w:left="708"/>
        <w:jc w:val="both"/>
        <w:rPr>
          <w:rStyle w:val="Emphasis"/>
          <w:rFonts w:ascii="Times New Roman" w:hAnsi="Times New Roman" w:cs="Times New Roman"/>
          <w:i w:val="0"/>
          <w:szCs w:val="24"/>
        </w:rPr>
      </w:pPr>
      <w:r>
        <w:rPr>
          <w:rFonts w:ascii="Times New Roman" w:hAnsi="Times New Roman" w:cs="Times New Roman"/>
          <w:szCs w:val="24"/>
        </w:rPr>
        <w:t>Nariadenie Rady (ES) č. 139/2004 z 20. januára 2004 o kontrole koncentrácií med</w:t>
      </w:r>
      <w:r>
        <w:rPr>
          <w:rFonts w:ascii="Times New Roman" w:hAnsi="Times New Roman" w:cs="Times New Roman"/>
          <w:szCs w:val="24"/>
        </w:rPr>
        <w:t xml:space="preserve">zi podnikmi </w:t>
      </w:r>
      <w:r w:rsidRPr="00524787">
        <w:rPr>
          <w:rFonts w:ascii="Times New Roman" w:hAnsi="Times New Roman" w:cs="Times New Roman"/>
          <w:szCs w:val="24"/>
        </w:rPr>
        <w:t>(Mimoriadne vydanie Ú. v. EÚ, kap. 08 zv. 03), </w:t>
      </w:r>
    </w:p>
    <w:p w:rsidR="00023860" w:rsidRPr="008549ED" w:rsidP="00023860">
      <w:pPr>
        <w:pStyle w:val="ListParagraph"/>
        <w:autoSpaceDE w:val="0"/>
        <w:autoSpaceDN w:val="0"/>
        <w:adjustRightInd w:val="0"/>
        <w:jc w:val="both"/>
        <w:rPr>
          <w:rFonts w:ascii="Times New Roman" w:hAnsi="Times New Roman" w:cs="Times New Roman"/>
          <w:szCs w:val="24"/>
          <w:lang w:val="sk-SK"/>
        </w:rPr>
      </w:pPr>
    </w:p>
    <w:p w:rsidR="00023860" w:rsidRPr="008549ED" w:rsidP="00023860">
      <w:pPr>
        <w:pStyle w:val="ListParagraph"/>
        <w:numPr>
          <w:ilvl w:val="1"/>
          <w:numId w:val="1"/>
        </w:numPr>
        <w:tabs>
          <w:tab w:val="num" w:pos="360"/>
          <w:tab w:val="num" w:pos="720"/>
          <w:tab w:val="clear" w:pos="900"/>
        </w:tabs>
        <w:autoSpaceDE w:val="0"/>
        <w:autoSpaceDN w:val="0"/>
        <w:adjustRightInd w:val="0"/>
        <w:ind w:left="360" w:firstLine="0"/>
        <w:jc w:val="both"/>
        <w:rPr>
          <w:rFonts w:ascii="Times New Roman" w:hAnsi="Times New Roman" w:cs="Times New Roman"/>
          <w:szCs w:val="24"/>
          <w:lang w:val="sk-SK"/>
        </w:rPr>
      </w:pPr>
      <w:r w:rsidRPr="008549ED">
        <w:rPr>
          <w:rFonts w:ascii="Times New Roman" w:hAnsi="Times New Roman" w:cs="Times New Roman"/>
          <w:szCs w:val="24"/>
          <w:lang w:val="sk-SK"/>
        </w:rPr>
        <w:t>nie je obsiahnutá v judikatúre Súdneho dvora Európskej únie.</w:t>
      </w:r>
    </w:p>
    <w:p w:rsidR="00023860" w:rsidRPr="008549ED" w:rsidP="00023860">
      <w:pPr>
        <w:autoSpaceDE w:val="0"/>
        <w:autoSpaceDN w:val="0"/>
        <w:adjustRightInd w:val="0"/>
        <w:jc w:val="both"/>
        <w:rPr>
          <w:rFonts w:ascii="Times New Roman" w:hAnsi="Times New Roman" w:cs="Times New Roman"/>
          <w:szCs w:val="24"/>
        </w:rPr>
      </w:pPr>
    </w:p>
    <w:p w:rsidR="00023860" w:rsidRPr="008549ED" w:rsidP="00023860">
      <w:pPr>
        <w:autoSpaceDE w:val="0"/>
        <w:autoSpaceDN w:val="0"/>
        <w:adjustRightInd w:val="0"/>
        <w:jc w:val="both"/>
        <w:rPr>
          <w:rFonts w:ascii="Times New Roman" w:hAnsi="Times New Roman" w:cs="Times New Roman"/>
          <w:b/>
          <w:szCs w:val="24"/>
        </w:rPr>
      </w:pPr>
      <w:r w:rsidRPr="008549ED">
        <w:rPr>
          <w:rFonts w:ascii="Times New Roman" w:hAnsi="Times New Roman" w:cs="Times New Roman"/>
          <w:b/>
          <w:szCs w:val="24"/>
        </w:rPr>
        <w:t>4. Záväzky Slovenskej republiky vo vzťahu k Európskej únii:</w:t>
      </w:r>
    </w:p>
    <w:p w:rsidR="00023860" w:rsidP="00023860">
      <w:pPr>
        <w:pStyle w:val="ListParagraph"/>
        <w:numPr>
          <w:numId w:val="2"/>
        </w:numPr>
        <w:autoSpaceDE w:val="0"/>
        <w:autoSpaceDN w:val="0"/>
        <w:adjustRightInd w:val="0"/>
        <w:jc w:val="both"/>
        <w:rPr>
          <w:rFonts w:ascii="Times New Roman" w:hAnsi="Times New Roman" w:cs="Times New Roman"/>
          <w:szCs w:val="24"/>
          <w:lang w:val="sk-SK"/>
        </w:rPr>
      </w:pPr>
      <w:r w:rsidRPr="008549ED">
        <w:rPr>
          <w:rFonts w:ascii="Times New Roman" w:hAnsi="Times New Roman" w:cs="Times New Roman"/>
          <w:szCs w:val="24"/>
          <w:lang w:val="sk-SK"/>
        </w:rPr>
        <w:t>lehota na prebratie smernice alebo leho</w:t>
      </w:r>
      <w:r>
        <w:rPr>
          <w:rFonts w:ascii="Times New Roman" w:hAnsi="Times New Roman" w:cs="Times New Roman"/>
          <w:szCs w:val="24"/>
          <w:lang w:val="sk-SK"/>
        </w:rPr>
        <w:t>ta na implementáciu nariadenia alebo rozhodnutia,</w:t>
      </w:r>
    </w:p>
    <w:p w:rsidR="00023860" w:rsidP="00023860">
      <w:pPr>
        <w:pStyle w:val="ListParagraph"/>
        <w:autoSpaceDE w:val="0"/>
        <w:autoSpaceDN w:val="0"/>
        <w:adjustRightInd w:val="0"/>
        <w:ind w:left="360"/>
        <w:jc w:val="both"/>
        <w:rPr>
          <w:rFonts w:ascii="Times New Roman" w:hAnsi="Times New Roman" w:cs="Times New Roman"/>
          <w:szCs w:val="24"/>
          <w:lang w:val="sk-SK"/>
        </w:rPr>
      </w:pPr>
    </w:p>
    <w:p w:rsidR="00023860" w:rsidP="00023860">
      <w:pPr>
        <w:pStyle w:val="ListParagraph"/>
        <w:autoSpaceDE w:val="0"/>
        <w:autoSpaceDN w:val="0"/>
        <w:adjustRightInd w:val="0"/>
        <w:ind w:left="360" w:firstLine="348"/>
        <w:jc w:val="both"/>
        <w:rPr>
          <w:rFonts w:ascii="Times New Roman" w:hAnsi="Times New Roman" w:cs="Times New Roman"/>
          <w:szCs w:val="24"/>
          <w:lang w:val="sk-SK"/>
        </w:rPr>
      </w:pPr>
      <w:r>
        <w:rPr>
          <w:rFonts w:ascii="Times New Roman" w:hAnsi="Times New Roman" w:cs="Times New Roman"/>
          <w:szCs w:val="24"/>
          <w:lang w:val="sk-SK"/>
        </w:rPr>
        <w:t>bezpredmetné</w:t>
      </w:r>
    </w:p>
    <w:p w:rsidR="00023860" w:rsidRPr="008549ED" w:rsidP="00023860">
      <w:pPr>
        <w:pStyle w:val="ListParagraph"/>
        <w:autoSpaceDE w:val="0"/>
        <w:autoSpaceDN w:val="0"/>
        <w:adjustRightInd w:val="0"/>
        <w:ind w:left="360"/>
        <w:jc w:val="both"/>
        <w:rPr>
          <w:rFonts w:ascii="Times New Roman" w:hAnsi="Times New Roman" w:cs="Times New Roman"/>
          <w:szCs w:val="24"/>
          <w:lang w:val="sk-SK"/>
        </w:rPr>
      </w:pPr>
    </w:p>
    <w:p w:rsidR="00023860" w:rsidP="00023860">
      <w:pPr>
        <w:pStyle w:val="ListParagraph"/>
        <w:numPr>
          <w:numId w:val="2"/>
        </w:numPr>
        <w:autoSpaceDE w:val="0"/>
        <w:autoSpaceDN w:val="0"/>
        <w:adjustRightInd w:val="0"/>
        <w:jc w:val="both"/>
        <w:rPr>
          <w:rFonts w:ascii="Times New Roman" w:hAnsi="Times New Roman" w:cs="Times New Roman"/>
          <w:szCs w:val="24"/>
          <w:lang w:val="sk-SK"/>
        </w:rPr>
      </w:pPr>
      <w:r w:rsidRPr="008549ED">
        <w:rPr>
          <w:rFonts w:ascii="Times New Roman" w:hAnsi="Times New Roman" w:cs="Times New Roman"/>
          <w:szCs w:val="24"/>
          <w:lang w:val="sk-SK"/>
        </w:rPr>
        <w:t xml:space="preserve">lehota určená na predloženie návrhu právneho predpisu na rokovanie vlády podľa určenia gestorských ústredných orgánov štátnej správy zodpovedných za transpozíciu smerníc a vypracovanie tabuliek zhody </w:t>
      </w:r>
      <w:r w:rsidRPr="008549ED">
        <w:rPr>
          <w:rFonts w:ascii="Times New Roman" w:hAnsi="Times New Roman" w:cs="Times New Roman"/>
          <w:szCs w:val="24"/>
        </w:rPr>
        <w:t>k návrhom všeobecne záväzných právnych predpisov</w:t>
      </w:r>
      <w:r>
        <w:rPr>
          <w:rFonts w:ascii="Times New Roman" w:hAnsi="Times New Roman" w:cs="Times New Roman"/>
          <w:szCs w:val="24"/>
        </w:rPr>
        <w:t>,</w:t>
      </w:r>
    </w:p>
    <w:p w:rsidR="00023860" w:rsidP="00023860">
      <w:pPr>
        <w:pStyle w:val="ListParagraph"/>
        <w:autoSpaceDE w:val="0"/>
        <w:autoSpaceDN w:val="0"/>
        <w:adjustRightInd w:val="0"/>
        <w:ind w:left="360"/>
        <w:jc w:val="both"/>
        <w:rPr>
          <w:rFonts w:ascii="Times New Roman" w:hAnsi="Times New Roman" w:cs="Times New Roman"/>
          <w:szCs w:val="24"/>
          <w:lang w:val="sk-SK"/>
        </w:rPr>
      </w:pPr>
    </w:p>
    <w:p w:rsidR="00023860" w:rsidP="00023860">
      <w:pPr>
        <w:pStyle w:val="ListParagraph"/>
        <w:autoSpaceDE w:val="0"/>
        <w:autoSpaceDN w:val="0"/>
        <w:adjustRightInd w:val="0"/>
        <w:ind w:left="708"/>
        <w:jc w:val="both"/>
        <w:rPr>
          <w:rFonts w:ascii="Times New Roman" w:hAnsi="Times New Roman" w:cs="Times New Roman"/>
          <w:szCs w:val="24"/>
          <w:lang w:val="sk-SK"/>
        </w:rPr>
      </w:pPr>
      <w:r>
        <w:rPr>
          <w:rFonts w:ascii="Times New Roman" w:hAnsi="Times New Roman" w:cs="Times New Roman"/>
          <w:szCs w:val="24"/>
          <w:lang w:val="sk-SK"/>
        </w:rPr>
        <w:t xml:space="preserve">bezpredmetné </w:t>
      </w:r>
    </w:p>
    <w:p w:rsidR="00023860" w:rsidRPr="008549ED" w:rsidP="00023860">
      <w:pPr>
        <w:pStyle w:val="ListParagraph"/>
        <w:autoSpaceDE w:val="0"/>
        <w:autoSpaceDN w:val="0"/>
        <w:adjustRightInd w:val="0"/>
        <w:ind w:left="708"/>
        <w:jc w:val="both"/>
        <w:rPr>
          <w:rFonts w:ascii="Times New Roman" w:hAnsi="Times New Roman" w:cs="Times New Roman"/>
          <w:szCs w:val="24"/>
          <w:lang w:val="sk-SK"/>
        </w:rPr>
      </w:pPr>
    </w:p>
    <w:p w:rsidR="00023860" w:rsidP="00023860">
      <w:pPr>
        <w:pStyle w:val="ListParagraph"/>
        <w:numPr>
          <w:numId w:val="2"/>
        </w:numPr>
        <w:autoSpaceDE w:val="0"/>
        <w:autoSpaceDN w:val="0"/>
        <w:adjustRightInd w:val="0"/>
        <w:jc w:val="both"/>
        <w:rPr>
          <w:rFonts w:ascii="Times New Roman" w:hAnsi="Times New Roman" w:cs="Times New Roman"/>
          <w:szCs w:val="24"/>
          <w:lang w:val="sk-SK"/>
        </w:rPr>
      </w:pPr>
      <w:r w:rsidRPr="008549ED">
        <w:rPr>
          <w:rFonts w:ascii="Times New Roman" w:hAnsi="Times New Roman" w:cs="Times New Roman"/>
          <w:szCs w:val="24"/>
          <w:lang w:val="sk-SK"/>
        </w:rPr>
        <w:t>informácia o konaní začatom proti Slovenskej republike o porušení podľa čl. 258 až 260 Zmluvy o fungovaní Európskej únie,</w:t>
      </w:r>
    </w:p>
    <w:p w:rsidR="00023860" w:rsidP="00023860">
      <w:pPr>
        <w:pStyle w:val="ListParagraph"/>
        <w:autoSpaceDE w:val="0"/>
        <w:autoSpaceDN w:val="0"/>
        <w:adjustRightInd w:val="0"/>
        <w:ind w:left="0"/>
        <w:jc w:val="both"/>
        <w:rPr>
          <w:rFonts w:ascii="Times New Roman" w:hAnsi="Times New Roman" w:cs="Times New Roman"/>
          <w:szCs w:val="24"/>
          <w:lang w:val="sk-SK"/>
        </w:rPr>
      </w:pPr>
    </w:p>
    <w:p w:rsidR="00023860" w:rsidRPr="00113283" w:rsidP="00023860">
      <w:pPr>
        <w:ind w:left="708" w:firstLine="1"/>
        <w:rPr>
          <w:rFonts w:ascii="Times New Roman" w:hAnsi="Times New Roman" w:cs="Times New Roman"/>
          <w:szCs w:val="24"/>
        </w:rPr>
      </w:pPr>
      <w:r>
        <w:rPr>
          <w:rFonts w:ascii="Times New Roman" w:hAnsi="Times New Roman" w:cs="Times New Roman"/>
          <w:szCs w:val="24"/>
        </w:rPr>
        <w:t>Proti Slovenskej republike nebolo začaté konanie o porušení Zmluvy o fungovaní</w:t>
      </w:r>
      <w:r>
        <w:rPr>
          <w:rFonts w:ascii="Times New Roman" w:hAnsi="Times New Roman" w:cs="Times New Roman"/>
          <w:szCs w:val="24"/>
        </w:rPr>
        <w:t xml:space="preserve"> Európskej únie </w:t>
      </w:r>
    </w:p>
    <w:p w:rsidR="00023860" w:rsidRPr="008549ED" w:rsidP="00023860">
      <w:pPr>
        <w:pStyle w:val="ListParagraph"/>
        <w:autoSpaceDE w:val="0"/>
        <w:autoSpaceDN w:val="0"/>
        <w:adjustRightInd w:val="0"/>
        <w:ind w:left="360"/>
        <w:jc w:val="both"/>
        <w:rPr>
          <w:rFonts w:ascii="Times New Roman" w:hAnsi="Times New Roman" w:cs="Times New Roman"/>
          <w:szCs w:val="24"/>
          <w:lang w:val="sk-SK"/>
        </w:rPr>
      </w:pPr>
    </w:p>
    <w:p w:rsidR="00023860" w:rsidRPr="008549ED" w:rsidP="00023860">
      <w:pPr>
        <w:pStyle w:val="ListParagraph"/>
        <w:numPr>
          <w:numId w:val="2"/>
        </w:numPr>
        <w:autoSpaceDE w:val="0"/>
        <w:autoSpaceDN w:val="0"/>
        <w:adjustRightInd w:val="0"/>
        <w:jc w:val="both"/>
        <w:rPr>
          <w:rFonts w:ascii="Times New Roman" w:hAnsi="Times New Roman" w:cs="Times New Roman"/>
          <w:szCs w:val="24"/>
          <w:lang w:val="sk-SK"/>
        </w:rPr>
      </w:pPr>
      <w:r w:rsidRPr="008549ED">
        <w:rPr>
          <w:rFonts w:ascii="Times New Roman" w:hAnsi="Times New Roman" w:cs="Times New Roman"/>
          <w:szCs w:val="24"/>
          <w:lang w:val="sk-SK"/>
        </w:rPr>
        <w:t>informácia o právnych predpisoch, v ktorých sú preberané smernice už prebraté spolu s uvedením rozsahu tohto prebratia.</w:t>
      </w:r>
    </w:p>
    <w:p w:rsidR="00023860" w:rsidP="00023860">
      <w:pPr>
        <w:autoSpaceDE w:val="0"/>
        <w:autoSpaceDN w:val="0"/>
        <w:adjustRightInd w:val="0"/>
        <w:jc w:val="both"/>
        <w:rPr>
          <w:rFonts w:ascii="Times New Roman" w:hAnsi="Times New Roman" w:cs="Times New Roman"/>
          <w:szCs w:val="24"/>
        </w:rPr>
      </w:pPr>
    </w:p>
    <w:p w:rsidR="00023860" w:rsidP="00023860">
      <w:pPr>
        <w:autoSpaceDE w:val="0"/>
        <w:autoSpaceDN w:val="0"/>
        <w:adjustRightInd w:val="0"/>
        <w:ind w:left="708"/>
        <w:jc w:val="both"/>
        <w:rPr>
          <w:rFonts w:ascii="Times New Roman" w:hAnsi="Times New Roman" w:cs="Times New Roman"/>
          <w:szCs w:val="24"/>
        </w:rPr>
      </w:pPr>
      <w:r>
        <w:rPr>
          <w:rFonts w:ascii="Times New Roman" w:hAnsi="Times New Roman" w:cs="Times New Roman"/>
          <w:szCs w:val="24"/>
        </w:rPr>
        <w:t xml:space="preserve">bezpredmetné </w:t>
      </w:r>
    </w:p>
    <w:p w:rsidR="00023860" w:rsidRPr="008549ED" w:rsidP="00023860">
      <w:pPr>
        <w:autoSpaceDE w:val="0"/>
        <w:autoSpaceDN w:val="0"/>
        <w:adjustRightInd w:val="0"/>
        <w:ind w:left="708"/>
        <w:jc w:val="both"/>
        <w:rPr>
          <w:rFonts w:ascii="Times New Roman" w:hAnsi="Times New Roman" w:cs="Times New Roman"/>
          <w:szCs w:val="24"/>
        </w:rPr>
      </w:pPr>
    </w:p>
    <w:p w:rsidR="00023860" w:rsidRPr="008549ED" w:rsidP="00023860">
      <w:pPr>
        <w:autoSpaceDE w:val="0"/>
        <w:autoSpaceDN w:val="0"/>
        <w:adjustRightInd w:val="0"/>
        <w:jc w:val="both"/>
        <w:rPr>
          <w:rFonts w:ascii="Times New Roman" w:hAnsi="Times New Roman" w:cs="Times New Roman"/>
          <w:b/>
          <w:szCs w:val="24"/>
        </w:rPr>
      </w:pPr>
      <w:r w:rsidRPr="008549ED">
        <w:rPr>
          <w:rFonts w:ascii="Times New Roman" w:hAnsi="Times New Roman" w:cs="Times New Roman"/>
          <w:b/>
          <w:szCs w:val="24"/>
        </w:rPr>
        <w:t>5. Stupeň zlučiteľnosti návrhu právneho predpisu alebo návrhu legislatívneho zámeru s právom Európs</w:t>
      </w:r>
      <w:r w:rsidRPr="008549ED">
        <w:rPr>
          <w:rFonts w:ascii="Times New Roman" w:hAnsi="Times New Roman" w:cs="Times New Roman"/>
          <w:b/>
          <w:szCs w:val="24"/>
        </w:rPr>
        <w:t>kej únie:</w:t>
      </w:r>
    </w:p>
    <w:p w:rsidR="00023860" w:rsidRPr="008549ED" w:rsidP="00023860">
      <w:pPr>
        <w:pStyle w:val="ListParagraph"/>
        <w:numPr>
          <w:numId w:val="3"/>
        </w:numPr>
        <w:autoSpaceDE w:val="0"/>
        <w:autoSpaceDN w:val="0"/>
        <w:adjustRightInd w:val="0"/>
        <w:jc w:val="both"/>
        <w:rPr>
          <w:rFonts w:ascii="Times New Roman" w:hAnsi="Times New Roman" w:cs="Times New Roman"/>
          <w:szCs w:val="24"/>
          <w:lang w:val="sk-SK"/>
        </w:rPr>
      </w:pPr>
      <w:r w:rsidRPr="008549ED">
        <w:rPr>
          <w:rFonts w:ascii="Times New Roman" w:hAnsi="Times New Roman" w:cs="Times New Roman"/>
          <w:szCs w:val="24"/>
          <w:lang w:val="sk-SK"/>
        </w:rPr>
        <w:t xml:space="preserve">úplný </w:t>
      </w:r>
    </w:p>
    <w:p w:rsidR="00023860" w:rsidRPr="008549ED" w:rsidP="00023860">
      <w:pPr>
        <w:tabs>
          <w:tab w:val="num" w:pos="360"/>
          <w:tab w:val="left" w:pos="1980"/>
        </w:tabs>
        <w:jc w:val="both"/>
        <w:rPr>
          <w:rFonts w:ascii="Times New Roman" w:hAnsi="Times New Roman" w:cs="Times New Roman"/>
          <w:szCs w:val="24"/>
        </w:rPr>
      </w:pPr>
    </w:p>
    <w:p w:rsidR="00023860" w:rsidRPr="008549ED" w:rsidP="00023860">
      <w:pPr>
        <w:tabs>
          <w:tab w:val="num" w:pos="360"/>
        </w:tabs>
        <w:jc w:val="both"/>
        <w:rPr>
          <w:rFonts w:ascii="Times New Roman" w:hAnsi="Times New Roman" w:cs="Times New Roman"/>
          <w:b/>
          <w:szCs w:val="24"/>
        </w:rPr>
      </w:pPr>
      <w:r w:rsidRPr="008549ED">
        <w:rPr>
          <w:rFonts w:ascii="Times New Roman" w:hAnsi="Times New Roman" w:cs="Times New Roman"/>
          <w:b/>
          <w:szCs w:val="24"/>
        </w:rPr>
        <w:t>6. Gestor a spolupracujúce rezorty:</w:t>
      </w:r>
    </w:p>
    <w:p w:rsidR="00023860" w:rsidRPr="00CE05B3" w:rsidP="00023860">
      <w:pPr>
        <w:spacing w:after="120"/>
        <w:ind w:left="360" w:firstLine="65"/>
        <w:jc w:val="both"/>
        <w:rPr>
          <w:rFonts w:ascii="Times New Roman" w:hAnsi="Times New Roman" w:cs="Times New Roman"/>
          <w:szCs w:val="24"/>
        </w:rPr>
      </w:pPr>
      <w:r w:rsidRPr="00CE05B3">
        <w:rPr>
          <w:rFonts w:ascii="Times New Roman" w:hAnsi="Times New Roman" w:cs="Times New Roman"/>
          <w:szCs w:val="24"/>
        </w:rPr>
        <w:t>Protimonopolný úrad Slovenskej republiky.</w:t>
      </w:r>
    </w:p>
    <w:p w:rsidR="00023860" w:rsidP="00023860">
      <w:pPr>
        <w:rPr>
          <w:rFonts w:ascii="Times New Roman" w:hAnsi="Times New Roman" w:cs="Times New Roman"/>
          <w:szCs w:val="24"/>
        </w:rPr>
      </w:pPr>
    </w:p>
    <w:p w:rsidR="00023860" w:rsidP="00023860">
      <w:pPr>
        <w:rPr>
          <w:rFonts w:ascii="Times New Roman" w:hAnsi="Times New Roman" w:cs="Times New Roman"/>
          <w:szCs w:val="24"/>
        </w:rPr>
      </w:pPr>
    </w:p>
    <w:p w:rsidR="00023860" w:rsidRPr="005E527E" w:rsidP="00023860">
      <w:pPr>
        <w:rPr>
          <w:rFonts w:ascii="Times New Roman" w:hAnsi="Times New Roman" w:cs="Times New Roman"/>
          <w:b/>
          <w:szCs w:val="24"/>
        </w:rPr>
      </w:pPr>
      <w:r w:rsidRPr="005E527E">
        <w:rPr>
          <w:rFonts w:ascii="Times New Roman" w:hAnsi="Times New Roman" w:cs="Times New Roman"/>
          <w:b/>
          <w:szCs w:val="24"/>
        </w:rPr>
        <w:t>B. Osobitná časť</w:t>
      </w:r>
    </w:p>
    <w:p w:rsidR="00023860" w:rsidRPr="005E527E" w:rsidP="00023860">
      <w:pPr>
        <w:rPr>
          <w:rFonts w:ascii="Times New Roman" w:hAnsi="Times New Roman" w:cs="Times New Roman"/>
          <w:b/>
          <w:szCs w:val="24"/>
        </w:rPr>
      </w:pPr>
    </w:p>
    <w:p w:rsidR="00023860" w:rsidRPr="005E527E" w:rsidP="00023860">
      <w:pPr>
        <w:rPr>
          <w:rFonts w:ascii="Times New Roman" w:hAnsi="Times New Roman" w:cs="Times New Roman"/>
          <w:b/>
          <w:szCs w:val="24"/>
          <w:u w:val="single"/>
        </w:rPr>
      </w:pPr>
      <w:r w:rsidRPr="005E527E">
        <w:rPr>
          <w:rFonts w:ascii="Times New Roman" w:hAnsi="Times New Roman" w:cs="Times New Roman"/>
          <w:b/>
          <w:szCs w:val="24"/>
          <w:u w:val="single"/>
        </w:rPr>
        <w:t>K článku I</w:t>
      </w:r>
    </w:p>
    <w:p w:rsidR="00023860" w:rsidRPr="005E527E" w:rsidP="00023860">
      <w:pPr>
        <w:rPr>
          <w:rFonts w:ascii="Times New Roman" w:hAnsi="Times New Roman" w:cs="Times New Roman"/>
          <w:b/>
          <w:szCs w:val="24"/>
        </w:rPr>
      </w:pPr>
    </w:p>
    <w:p w:rsidR="00023860" w:rsidRPr="005E527E" w:rsidP="00023860">
      <w:pPr>
        <w:rPr>
          <w:rFonts w:ascii="Times New Roman" w:hAnsi="Times New Roman" w:cs="Times New Roman"/>
          <w:b/>
          <w:szCs w:val="24"/>
        </w:rPr>
      </w:pPr>
      <w:r w:rsidRPr="005E527E">
        <w:rPr>
          <w:rFonts w:ascii="Times New Roman" w:hAnsi="Times New Roman" w:cs="Times New Roman"/>
          <w:b/>
          <w:szCs w:val="24"/>
        </w:rPr>
        <w:t>K bodu 1</w:t>
      </w:r>
    </w:p>
    <w:p w:rsidR="00023860" w:rsidRPr="005E527E" w:rsidP="00023860">
      <w:pPr>
        <w:ind w:firstLine="708"/>
        <w:rPr>
          <w:rFonts w:ascii="Times New Roman" w:hAnsi="Times New Roman" w:cs="Times New Roman"/>
          <w:szCs w:val="24"/>
        </w:rPr>
      </w:pPr>
      <w:r w:rsidRPr="005E527E">
        <w:rPr>
          <w:rFonts w:ascii="Times New Roman" w:hAnsi="Times New Roman" w:cs="Times New Roman"/>
          <w:szCs w:val="24"/>
        </w:rPr>
        <w:t>Spresňuje sa účel zákona.</w:t>
      </w:r>
    </w:p>
    <w:p w:rsidR="00023860" w:rsidRPr="005E527E" w:rsidP="00023860">
      <w:pPr>
        <w:rPr>
          <w:rFonts w:ascii="Times New Roman" w:hAnsi="Times New Roman" w:cs="Times New Roman"/>
          <w:szCs w:val="24"/>
        </w:rPr>
      </w:pPr>
    </w:p>
    <w:p w:rsidR="00023860" w:rsidRPr="005E527E" w:rsidP="00023860">
      <w:pPr>
        <w:rPr>
          <w:rFonts w:ascii="Times New Roman" w:hAnsi="Times New Roman" w:cs="Times New Roman"/>
          <w:b/>
          <w:szCs w:val="24"/>
        </w:rPr>
      </w:pPr>
      <w:r w:rsidRPr="005E527E">
        <w:rPr>
          <w:rFonts w:ascii="Times New Roman" w:hAnsi="Times New Roman" w:cs="Times New Roman"/>
          <w:b/>
          <w:szCs w:val="24"/>
        </w:rPr>
        <w:t>K bodu 2</w:t>
      </w:r>
    </w:p>
    <w:p w:rsidR="00023860" w:rsidRPr="005E527E" w:rsidP="00023860">
      <w:pPr>
        <w:ind w:firstLine="708"/>
        <w:jc w:val="both"/>
        <w:rPr>
          <w:rFonts w:ascii="Times New Roman" w:hAnsi="Times New Roman" w:cs="Times New Roman"/>
          <w:szCs w:val="24"/>
        </w:rPr>
      </w:pPr>
      <w:r>
        <w:rPr>
          <w:rFonts w:ascii="Times New Roman" w:hAnsi="Times New Roman" w:cs="Times New Roman"/>
          <w:szCs w:val="24"/>
        </w:rPr>
        <w:t>Zavádza sa legislatívna skratka vzhľadom na zmenu definície účelu zákona</w:t>
      </w:r>
      <w:r w:rsidRPr="005E527E">
        <w:rPr>
          <w:rFonts w:ascii="Times New Roman" w:hAnsi="Times New Roman" w:cs="Times New Roman"/>
          <w:szCs w:val="24"/>
        </w:rPr>
        <w:t>.</w:t>
      </w:r>
    </w:p>
    <w:p w:rsidR="00023860" w:rsidRPr="005E527E" w:rsidP="00023860">
      <w:pPr>
        <w:jc w:val="both"/>
        <w:rPr>
          <w:rFonts w:ascii="Times New Roman" w:hAnsi="Times New Roman" w:cs="Times New Roman"/>
          <w:szCs w:val="24"/>
        </w:rPr>
      </w:pPr>
    </w:p>
    <w:p w:rsidR="00023860" w:rsidRPr="005E527E" w:rsidP="00023860">
      <w:pPr>
        <w:jc w:val="both"/>
        <w:rPr>
          <w:rFonts w:ascii="Times New Roman" w:hAnsi="Times New Roman" w:cs="Times New Roman"/>
          <w:b/>
          <w:szCs w:val="24"/>
        </w:rPr>
      </w:pPr>
      <w:r>
        <w:rPr>
          <w:rFonts w:ascii="Times New Roman" w:hAnsi="Times New Roman" w:cs="Times New Roman"/>
          <w:b/>
          <w:szCs w:val="24"/>
        </w:rPr>
        <w:t xml:space="preserve">K bodu 3 </w:t>
      </w:r>
    </w:p>
    <w:p w:rsidR="00023860" w:rsidRPr="005E527E" w:rsidP="00023860">
      <w:pPr>
        <w:pStyle w:val="BodyText"/>
        <w:ind w:firstLine="708"/>
        <w:rPr>
          <w:rFonts w:ascii="Times New Roman" w:hAnsi="Times New Roman" w:cs="Times New Roman"/>
          <w:sz w:val="24"/>
          <w:szCs w:val="24"/>
        </w:rPr>
      </w:pPr>
      <w:r w:rsidRPr="005E527E">
        <w:rPr>
          <w:rFonts w:ascii="Times New Roman" w:hAnsi="Times New Roman" w:cs="Times New Roman"/>
          <w:sz w:val="24"/>
          <w:szCs w:val="24"/>
        </w:rPr>
        <w:t>Upravujú sa novým spôsobom kritériá určujúce</w:t>
      </w:r>
      <w:r>
        <w:rPr>
          <w:rFonts w:ascii="Times New Roman" w:hAnsi="Times New Roman" w:cs="Times New Roman"/>
          <w:sz w:val="24"/>
          <w:szCs w:val="24"/>
        </w:rPr>
        <w:t>,</w:t>
      </w:r>
      <w:r w:rsidRPr="005E527E">
        <w:rPr>
          <w:rFonts w:ascii="Times New Roman" w:hAnsi="Times New Roman" w:cs="Times New Roman"/>
          <w:sz w:val="24"/>
          <w:szCs w:val="24"/>
        </w:rPr>
        <w:t xml:space="preserve"> či koncentrácia podlieha kontrole úradu. </w:t>
      </w:r>
    </w:p>
    <w:p w:rsidR="00023860" w:rsidRPr="005E527E" w:rsidP="00023860">
      <w:pPr>
        <w:pStyle w:val="BodyText"/>
        <w:ind w:firstLine="708"/>
        <w:rPr>
          <w:rFonts w:ascii="Times New Roman" w:hAnsi="Times New Roman" w:cs="Times New Roman"/>
          <w:sz w:val="24"/>
          <w:szCs w:val="24"/>
        </w:rPr>
      </w:pPr>
      <w:r w:rsidRPr="005E527E">
        <w:rPr>
          <w:rFonts w:ascii="Times New Roman" w:hAnsi="Times New Roman" w:cs="Times New Roman"/>
          <w:sz w:val="24"/>
          <w:szCs w:val="24"/>
        </w:rPr>
        <w:t xml:space="preserve">Novo nastavené notifikačné kritériá zohľadňujú novým spôsobom vzťah k domácemu trhu  tzv. local nexus. Podľa § 10 ods. 1 písm. a)  sa aj spoločný celkový obrat účastníkov koncentrácie aj celkový obrat aspoň dvoch účastníkov koncentrácie viaže na obrat dosiahnutý v Slovenskej republike a podľa § 10 ods. 1 písm. b) sa v závislosti od typu koncentrácie určuje subjekt, ktorý musí dosiahnuť celkový obrat v Slovenskej republike, pričom druhý účastník koncentrácie musí dosiahnuť celkový celosvetový obrat v stanovenej výške. Výrazným spôsobom sa mení posudzovanie akvizícií, kde podľa nového znenia musí obrat v Slovenskej republike dosiahnuť nadobúdaná spoločnosť. Dochádza tak k eliminácii povinného oznamovania prípadov, v ktorých spĺňala nadobúdaná spoločnosť iba kritérium celosvetového obratu, a teda nemala významnú účasť na hospodárskej súťaži na tuzemskom trhu.  </w:t>
      </w:r>
    </w:p>
    <w:p w:rsidR="00023860" w:rsidRPr="005E527E" w:rsidP="00023860">
      <w:pPr>
        <w:pStyle w:val="BodyText"/>
        <w:ind w:firstLine="708"/>
        <w:rPr>
          <w:rFonts w:ascii="Times New Roman" w:hAnsi="Times New Roman" w:cs="Times New Roman"/>
          <w:sz w:val="24"/>
          <w:szCs w:val="24"/>
        </w:rPr>
      </w:pPr>
      <w:r w:rsidRPr="005E527E">
        <w:rPr>
          <w:rFonts w:ascii="Times New Roman" w:hAnsi="Times New Roman" w:cs="Times New Roman"/>
          <w:sz w:val="24"/>
          <w:szCs w:val="24"/>
        </w:rPr>
        <w:t>Cieľom nového nastavenia notifikačných kritérií je umožniť úradu, aby sa sústredil iba na tie najzávažnejšie ekonomické spojenia podnikateľov a aby sa znížil počet povinne oznamovaných koncentrácií, u ktorých ani potenciálne nehrozí, že by viedli k narušeniu hospodárskej súťaže v Slovenskej republike.</w:t>
      </w:r>
    </w:p>
    <w:p w:rsidR="00023860" w:rsidRPr="005E527E" w:rsidP="00023860">
      <w:pPr>
        <w:pStyle w:val="BodyText"/>
        <w:ind w:firstLine="708"/>
        <w:rPr>
          <w:rFonts w:ascii="Times New Roman" w:hAnsi="Times New Roman" w:cs="Times New Roman"/>
          <w:sz w:val="24"/>
          <w:szCs w:val="24"/>
        </w:rPr>
      </w:pPr>
      <w:r w:rsidRPr="005E527E">
        <w:rPr>
          <w:rFonts w:ascii="Times New Roman" w:hAnsi="Times New Roman" w:cs="Times New Roman"/>
          <w:sz w:val="24"/>
          <w:szCs w:val="24"/>
        </w:rPr>
        <w:t>Pri nastav</w:t>
      </w:r>
      <w:r w:rsidRPr="005E527E">
        <w:rPr>
          <w:rFonts w:ascii="Times New Roman" w:hAnsi="Times New Roman" w:cs="Times New Roman"/>
          <w:sz w:val="24"/>
          <w:szCs w:val="24"/>
        </w:rPr>
        <w:t>ovaní notifikačných kritérií úrad zohľadňoval princípy ICN, veľkosť jednotlivých odvetví, výšku tržieb, ktorú dosiahli spoločnosti v týchto odvetviach, minulé skúsenosti ako aj porovnanie s notifikačnými kritériami v krajinách, ktoré majú výšku HDP podobnú</w:t>
      </w:r>
      <w:r w:rsidRPr="005E527E">
        <w:rPr>
          <w:rFonts w:ascii="Times New Roman" w:hAnsi="Times New Roman" w:cs="Times New Roman"/>
          <w:sz w:val="24"/>
          <w:szCs w:val="24"/>
        </w:rPr>
        <w:t xml:space="preserve"> ako Slovenská republika.</w:t>
      </w:r>
    </w:p>
    <w:p w:rsidR="00023860" w:rsidRPr="005E527E" w:rsidP="00023860">
      <w:pPr>
        <w:rPr>
          <w:rFonts w:ascii="Times New Roman" w:hAnsi="Times New Roman" w:cs="Times New Roman"/>
          <w:szCs w:val="24"/>
        </w:rPr>
      </w:pPr>
    </w:p>
    <w:p w:rsidR="00023860" w:rsidRPr="005E527E" w:rsidP="00023860">
      <w:pPr>
        <w:rPr>
          <w:rFonts w:ascii="Times New Roman" w:hAnsi="Times New Roman" w:cs="Times New Roman"/>
          <w:b/>
          <w:szCs w:val="24"/>
        </w:rPr>
      </w:pPr>
      <w:r>
        <w:rPr>
          <w:rFonts w:ascii="Times New Roman" w:hAnsi="Times New Roman" w:cs="Times New Roman"/>
          <w:b/>
          <w:szCs w:val="24"/>
        </w:rPr>
        <w:t>K bodu</w:t>
      </w:r>
      <w:r w:rsidRPr="005E527E">
        <w:rPr>
          <w:rFonts w:ascii="Times New Roman" w:hAnsi="Times New Roman" w:cs="Times New Roman"/>
          <w:b/>
          <w:szCs w:val="24"/>
        </w:rPr>
        <w:t xml:space="preserve"> </w:t>
      </w:r>
      <w:r>
        <w:rPr>
          <w:rFonts w:ascii="Times New Roman" w:hAnsi="Times New Roman" w:cs="Times New Roman"/>
          <w:b/>
          <w:szCs w:val="24"/>
        </w:rPr>
        <w:t>4</w:t>
      </w:r>
    </w:p>
    <w:p w:rsidR="00023860" w:rsidRPr="005E527E" w:rsidP="00023860">
      <w:pPr>
        <w:ind w:firstLine="708"/>
        <w:rPr>
          <w:rFonts w:ascii="Times New Roman" w:hAnsi="Times New Roman" w:cs="Times New Roman"/>
          <w:szCs w:val="24"/>
        </w:rPr>
      </w:pPr>
      <w:r w:rsidRPr="005E527E">
        <w:rPr>
          <w:rFonts w:ascii="Times New Roman" w:hAnsi="Times New Roman" w:cs="Times New Roman"/>
          <w:szCs w:val="24"/>
        </w:rPr>
        <w:t>Legislatívno-technická úprava vzhľadom na zmenu v § 1</w:t>
      </w:r>
      <w:r>
        <w:rPr>
          <w:rFonts w:ascii="Times New Roman" w:hAnsi="Times New Roman" w:cs="Times New Roman"/>
          <w:szCs w:val="24"/>
        </w:rPr>
        <w:t>1</w:t>
      </w:r>
      <w:r w:rsidRPr="005E527E">
        <w:rPr>
          <w:rFonts w:ascii="Times New Roman" w:hAnsi="Times New Roman" w:cs="Times New Roman"/>
          <w:szCs w:val="24"/>
        </w:rPr>
        <w:t>.</w:t>
      </w:r>
    </w:p>
    <w:p w:rsidR="00023860" w:rsidRPr="005E527E" w:rsidP="00023860">
      <w:pPr>
        <w:rPr>
          <w:rFonts w:ascii="Times New Roman" w:hAnsi="Times New Roman" w:cs="Times New Roman"/>
          <w:szCs w:val="24"/>
        </w:rPr>
      </w:pPr>
    </w:p>
    <w:p w:rsidR="00023860" w:rsidP="00023860">
      <w:pPr>
        <w:rPr>
          <w:rFonts w:ascii="Times New Roman" w:hAnsi="Times New Roman" w:cs="Times New Roman"/>
          <w:b/>
          <w:szCs w:val="24"/>
        </w:rPr>
      </w:pPr>
      <w:r>
        <w:rPr>
          <w:rFonts w:ascii="Times New Roman" w:hAnsi="Times New Roman" w:cs="Times New Roman"/>
          <w:b/>
          <w:szCs w:val="24"/>
        </w:rPr>
        <w:t>K bodu</w:t>
      </w:r>
      <w:r w:rsidRPr="005E527E">
        <w:rPr>
          <w:rFonts w:ascii="Times New Roman" w:hAnsi="Times New Roman" w:cs="Times New Roman"/>
          <w:b/>
          <w:szCs w:val="24"/>
        </w:rPr>
        <w:t xml:space="preserve"> </w:t>
      </w:r>
      <w:r>
        <w:rPr>
          <w:rFonts w:ascii="Times New Roman" w:hAnsi="Times New Roman" w:cs="Times New Roman"/>
          <w:b/>
          <w:szCs w:val="24"/>
        </w:rPr>
        <w:t>5</w:t>
      </w:r>
    </w:p>
    <w:p w:rsidR="00023860" w:rsidRPr="006E5259" w:rsidP="00023860">
      <w:pPr>
        <w:rPr>
          <w:rFonts w:ascii="Times New Roman" w:hAnsi="Times New Roman" w:cs="Times New Roman"/>
          <w:szCs w:val="24"/>
        </w:rPr>
      </w:pPr>
      <w:r>
        <w:rPr>
          <w:rFonts w:ascii="Times New Roman" w:hAnsi="Times New Roman" w:cs="Times New Roman"/>
          <w:szCs w:val="24"/>
        </w:rPr>
        <w:tab/>
        <w:t>N</w:t>
      </w:r>
      <w:r w:rsidRPr="007438B9">
        <w:rPr>
          <w:rFonts w:ascii="Times New Roman" w:hAnsi="Times New Roman" w:cs="Times New Roman"/>
          <w:szCs w:val="24"/>
        </w:rPr>
        <w:t xml:space="preserve">avrhuje </w:t>
      </w:r>
      <w:r>
        <w:rPr>
          <w:rFonts w:ascii="Times New Roman" w:hAnsi="Times New Roman" w:cs="Times New Roman"/>
          <w:szCs w:val="24"/>
        </w:rPr>
        <w:t xml:space="preserve">sa </w:t>
      </w:r>
      <w:r w:rsidRPr="007438B9">
        <w:rPr>
          <w:rFonts w:ascii="Times New Roman" w:hAnsi="Times New Roman" w:cs="Times New Roman"/>
          <w:szCs w:val="24"/>
        </w:rPr>
        <w:t>skrátenie le</w:t>
      </w:r>
      <w:r>
        <w:rPr>
          <w:rFonts w:ascii="Times New Roman" w:hAnsi="Times New Roman" w:cs="Times New Roman"/>
          <w:szCs w:val="24"/>
        </w:rPr>
        <w:t xml:space="preserve">hoty v porovnaní s platným znením pre </w:t>
      </w:r>
      <w:r w:rsidRPr="007438B9">
        <w:rPr>
          <w:rFonts w:ascii="Times New Roman" w:hAnsi="Times New Roman" w:cs="Times New Roman"/>
          <w:szCs w:val="24"/>
        </w:rPr>
        <w:t>vyd</w:t>
      </w:r>
      <w:r>
        <w:rPr>
          <w:rFonts w:ascii="Times New Roman" w:hAnsi="Times New Roman" w:cs="Times New Roman"/>
          <w:szCs w:val="24"/>
        </w:rPr>
        <w:t>anie rozhodnutia</w:t>
      </w:r>
      <w:r w:rsidRPr="007438B9">
        <w:rPr>
          <w:rFonts w:ascii="Times New Roman" w:hAnsi="Times New Roman" w:cs="Times New Roman"/>
          <w:szCs w:val="24"/>
        </w:rPr>
        <w:t xml:space="preserve"> o výnimke zo zákazu </w:t>
      </w:r>
      <w:r>
        <w:rPr>
          <w:rFonts w:ascii="Times New Roman" w:hAnsi="Times New Roman" w:cs="Times New Roman"/>
          <w:szCs w:val="24"/>
        </w:rPr>
        <w:t>a to na maximálne</w:t>
      </w:r>
      <w:r w:rsidRPr="007438B9">
        <w:rPr>
          <w:rFonts w:ascii="Times New Roman" w:hAnsi="Times New Roman" w:cs="Times New Roman"/>
          <w:szCs w:val="24"/>
        </w:rPr>
        <w:t xml:space="preserve"> 25 pracovných dní odo dňa doruč</w:t>
      </w:r>
      <w:r w:rsidRPr="007438B9">
        <w:rPr>
          <w:rFonts w:ascii="Times New Roman" w:hAnsi="Times New Roman" w:cs="Times New Roman"/>
          <w:szCs w:val="24"/>
        </w:rPr>
        <w:t>enia návrhu</w:t>
      </w:r>
    </w:p>
    <w:p w:rsidR="00023860" w:rsidP="00023860">
      <w:pPr>
        <w:rPr>
          <w:rFonts w:ascii="Times New Roman" w:hAnsi="Times New Roman" w:cs="Times New Roman"/>
          <w:b/>
          <w:szCs w:val="24"/>
        </w:rPr>
      </w:pPr>
    </w:p>
    <w:p w:rsidR="00023860" w:rsidP="00023860">
      <w:pPr>
        <w:rPr>
          <w:rFonts w:ascii="Times New Roman" w:hAnsi="Times New Roman" w:cs="Times New Roman"/>
          <w:b/>
          <w:szCs w:val="24"/>
        </w:rPr>
      </w:pPr>
      <w:r>
        <w:rPr>
          <w:rFonts w:ascii="Times New Roman" w:hAnsi="Times New Roman" w:cs="Times New Roman"/>
          <w:b/>
          <w:szCs w:val="24"/>
        </w:rPr>
        <w:t>K bodu</w:t>
      </w:r>
      <w:r w:rsidRPr="005E527E">
        <w:rPr>
          <w:rFonts w:ascii="Times New Roman" w:hAnsi="Times New Roman" w:cs="Times New Roman"/>
          <w:b/>
          <w:szCs w:val="24"/>
        </w:rPr>
        <w:t xml:space="preserve"> </w:t>
      </w:r>
      <w:r>
        <w:rPr>
          <w:rFonts w:ascii="Times New Roman" w:hAnsi="Times New Roman" w:cs="Times New Roman"/>
          <w:b/>
          <w:szCs w:val="24"/>
        </w:rPr>
        <w:t>6</w:t>
      </w:r>
    </w:p>
    <w:p w:rsidR="00023860" w:rsidP="00023860">
      <w:pPr>
        <w:rPr>
          <w:rFonts w:ascii="Times New Roman" w:hAnsi="Times New Roman" w:cs="Times New Roman"/>
          <w:b/>
          <w:szCs w:val="24"/>
        </w:rPr>
      </w:pPr>
    </w:p>
    <w:p w:rsidR="00023860" w:rsidRPr="005E527E" w:rsidP="00023860">
      <w:pPr>
        <w:jc w:val="both"/>
        <w:rPr>
          <w:rFonts w:ascii="Times New Roman" w:hAnsi="Times New Roman" w:cs="Times New Roman"/>
          <w:szCs w:val="24"/>
        </w:rPr>
      </w:pPr>
      <w:r w:rsidRPr="005E527E">
        <w:rPr>
          <w:rFonts w:ascii="Times New Roman" w:hAnsi="Times New Roman" w:cs="Times New Roman"/>
          <w:szCs w:val="24"/>
        </w:rPr>
        <w:tab/>
        <w:t xml:space="preserve">V  § 11 zákona je obsiahnutý návrh zavedenia dvojfázového procesu posudzovania koncentrácií. Tento princíp je v súlade s právnou úpravou Európskej únie, ako aj väčšiny súťažných autorít. </w:t>
      </w:r>
    </w:p>
    <w:p w:rsidR="00023860" w:rsidRPr="005E527E" w:rsidP="00023860">
      <w:pPr>
        <w:jc w:val="both"/>
        <w:rPr>
          <w:rFonts w:ascii="Times New Roman" w:hAnsi="Times New Roman" w:cs="Times New Roman"/>
          <w:szCs w:val="24"/>
          <w:u w:val="single"/>
        </w:rPr>
      </w:pPr>
      <w:r>
        <w:rPr>
          <w:rFonts w:ascii="Times New Roman" w:hAnsi="Times New Roman" w:cs="Times New Roman"/>
          <w:szCs w:val="24"/>
          <w:u w:val="single"/>
        </w:rPr>
        <w:t xml:space="preserve">Ods. 1 </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 xml:space="preserve">V rámci prvej fázy úrad navrhuje výrazné skrátenie lehoty oproti existujúcemu stavu, úrad vydá </w:t>
      </w:r>
      <w:r>
        <w:rPr>
          <w:rFonts w:ascii="Times New Roman" w:hAnsi="Times New Roman" w:cs="Times New Roman"/>
          <w:szCs w:val="24"/>
        </w:rPr>
        <w:t>rozhodnutie o koncentrácii do 25</w:t>
      </w:r>
      <w:r w:rsidRPr="005E527E">
        <w:rPr>
          <w:rFonts w:ascii="Times New Roman" w:hAnsi="Times New Roman" w:cs="Times New Roman"/>
          <w:szCs w:val="24"/>
        </w:rPr>
        <w:t xml:space="preserve"> pracovných dní odo dňa doručenia úplného oznámenia koncentrácie.  </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V prvej fáze budú vydávané rozhodnutia v zjednodušenej forme, rozhodnutie bude obsahovať zjednodušené odôvodnenie (údaje o účastníkoch koncentrácie, sektore, prípadne relevantnom trhu, na ktorom účastníci koncentrácie pôsobia), v takomto prípade nebude zasielaná výzva pred vydaním rozhodnutia podľa § 33 zákona.</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Úrad predpokladá vydávanie rozhodnutí ob</w:t>
      </w:r>
      <w:r w:rsidRPr="005E527E">
        <w:rPr>
          <w:rFonts w:ascii="Times New Roman" w:hAnsi="Times New Roman" w:cs="Times New Roman"/>
          <w:szCs w:val="24"/>
        </w:rPr>
        <w:t>sahujúcich zjednodušené odôvodnenie spravidla v každom prípade, kedy zistí, že koncentrácia nebude vyžadovať ďalšie, hĺbkovejšie posúdenie v druhej fáze (v menej komplikovaných prípadoch z vecného alebo procesného hľadiska)</w:t>
      </w:r>
      <w:r>
        <w:rPr>
          <w:rFonts w:ascii="Times New Roman" w:hAnsi="Times New Roman" w:cs="Times New Roman"/>
          <w:szCs w:val="24"/>
        </w:rPr>
        <w:t>. Z</w:t>
      </w:r>
      <w:r w:rsidRPr="005E527E">
        <w:rPr>
          <w:rFonts w:ascii="Times New Roman" w:hAnsi="Times New Roman" w:cs="Times New Roman"/>
          <w:szCs w:val="24"/>
        </w:rPr>
        <w:t xml:space="preserve"> uvedeného dôvodu na uplatnenie tohto inštitútu nie sú žiadne špecifické kritériá, ani kritérium trhových podielov. </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Vo výnimočných prípadoch úrad môže upustiť od zjednodušenia odôvodnenia. Pôjde o prípady, kedy to bude potrebné z procesného, alebo vecného hľadiska -  objasnenie nových</w:t>
      </w:r>
      <w:r w:rsidRPr="005E527E">
        <w:rPr>
          <w:rFonts w:ascii="Times New Roman" w:hAnsi="Times New Roman" w:cs="Times New Roman"/>
          <w:szCs w:val="24"/>
        </w:rPr>
        <w:t xml:space="preserve"> procesných postupov, vyjadrenie sa úradu k posúdeniu kvality kontroly a pod. </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Táto fáza bude končiť vydaním rozhodnutia o koncentrácii (spravidla v zjednodušenej forme), rozhodnutia o zastavení konania z dôvodu, že nejde o koncentráciu, alebo koncentrácia nepodlieha kontrole úradu, alebo zaslaním oznámenia účastníkovi správneho konania o posudzovaní koncentrácie v druhej fáze.</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 xml:space="preserve">Napriek skutočnosti, že v oboch fázach sú úradu k dispozícii rovnaké procesné prostriedky k zisťovaniu skutkového stavu veci, v jednotlivých fázach sa bude líšiť intenzita použitia jednotlivých nástrojov. V prvej fáze </w:t>
      </w:r>
      <w:r>
        <w:rPr>
          <w:rFonts w:ascii="Times New Roman" w:hAnsi="Times New Roman" w:cs="Times New Roman"/>
          <w:szCs w:val="24"/>
        </w:rPr>
        <w:t xml:space="preserve">sa </w:t>
      </w:r>
      <w:r w:rsidRPr="005E527E">
        <w:rPr>
          <w:rFonts w:ascii="Times New Roman" w:hAnsi="Times New Roman" w:cs="Times New Roman"/>
          <w:szCs w:val="24"/>
        </w:rPr>
        <w:t>predpokladá rozhodovanie vo väčšine prípadov na základe poskytnutých podkladov a informácií účastníkmi koncentrácie v oznámení koncentrácie, informácií získaných úradom v rámci jeho predchádzajúcej úradnej činnosti, bez uskutočnenia prieskumu na trhu.</w:t>
      </w:r>
    </w:p>
    <w:p w:rsidR="00023860" w:rsidRPr="009F7A9E" w:rsidP="00023860">
      <w:pPr>
        <w:ind w:firstLine="708"/>
        <w:jc w:val="both"/>
        <w:rPr>
          <w:rFonts w:ascii="Times New Roman" w:hAnsi="Times New Roman" w:cs="Times New Roman"/>
          <w:szCs w:val="24"/>
        </w:rPr>
      </w:pPr>
      <w:r w:rsidRPr="005E527E">
        <w:rPr>
          <w:rFonts w:ascii="Times New Roman" w:hAnsi="Times New Roman" w:cs="Times New Roman"/>
          <w:szCs w:val="24"/>
        </w:rPr>
        <w:t>Kombinácia selektovania posudzovania koncentrácií do dvoch fáz a vydávania zjednodušenej formy rozhodnutia umožní úradu v ešte väčšom rozsahu rozlišovať rozsah</w:t>
      </w:r>
      <w:r w:rsidRPr="005E527E">
        <w:rPr>
          <w:rFonts w:ascii="Times New Roman" w:hAnsi="Times New Roman" w:cs="Times New Roman"/>
          <w:i/>
          <w:szCs w:val="24"/>
        </w:rPr>
        <w:t xml:space="preserve"> </w:t>
      </w:r>
      <w:r w:rsidRPr="005E527E">
        <w:rPr>
          <w:rFonts w:ascii="Times New Roman" w:hAnsi="Times New Roman" w:cs="Times New Roman"/>
          <w:szCs w:val="24"/>
        </w:rPr>
        <w:t>oznamovaný</w:t>
      </w:r>
      <w:r w:rsidRPr="005E527E">
        <w:rPr>
          <w:rFonts w:ascii="Times New Roman" w:hAnsi="Times New Roman" w:cs="Times New Roman"/>
          <w:szCs w:val="24"/>
        </w:rPr>
        <w:t xml:space="preserve">ch informácií a podkladov v závislosti od stupňa závažnosti koncentrácie pri súčasnom využití už existujúcich inštitútov. </w:t>
      </w:r>
      <w:r>
        <w:rPr>
          <w:rFonts w:ascii="Times New Roman" w:hAnsi="Times New Roman" w:cs="Times New Roman"/>
          <w:szCs w:val="24"/>
        </w:rPr>
        <w:t xml:space="preserve">V súlade s </w:t>
      </w:r>
      <w:r w:rsidRPr="007438B9">
        <w:rPr>
          <w:rFonts w:ascii="Times New Roman" w:hAnsi="Times New Roman" w:cs="Times New Roman"/>
          <w:szCs w:val="24"/>
        </w:rPr>
        <w:t>§ 5, § 6, § 7, § 8 vyhlášky o náležitostiach oznámenia koncentrácie, oznamovateľ koncentrácie nepredkladá úradu informácie požadované v týchto ustanoveniach, pokiaľ v posudzovanej transakcii nie sú identifikované ovplyvnené trhy. V súvislosti s </w:t>
      </w:r>
      <w:r>
        <w:rPr>
          <w:rFonts w:ascii="Times New Roman" w:hAnsi="Times New Roman" w:cs="Times New Roman"/>
          <w:szCs w:val="24"/>
        </w:rPr>
        <w:t>definíciou ovplyvnených trhov bude navrhnutá</w:t>
      </w:r>
      <w:r w:rsidRPr="007438B9">
        <w:rPr>
          <w:rFonts w:ascii="Times New Roman" w:hAnsi="Times New Roman" w:cs="Times New Roman"/>
          <w:szCs w:val="24"/>
        </w:rPr>
        <w:t xml:space="preserve"> zmena ustanovení vyhlášky o náležitostiach oznámenia koncentrácie upr</w:t>
      </w:r>
      <w:r>
        <w:rPr>
          <w:rFonts w:ascii="Times New Roman" w:hAnsi="Times New Roman" w:cs="Times New Roman"/>
          <w:szCs w:val="24"/>
        </w:rPr>
        <w:t>avujúceho ovplyvnené trhy,  kde</w:t>
      </w:r>
      <w:r w:rsidRPr="007438B9">
        <w:rPr>
          <w:rFonts w:ascii="Times New Roman" w:hAnsi="Times New Roman" w:cs="Times New Roman"/>
          <w:szCs w:val="24"/>
        </w:rPr>
        <w:t xml:space="preserve"> je stanovené, že pri horizontálnych a vertikálnych koncentráciách pri danom podiele na trhu je daný trh identifikovaný ako ovplyvnený. V zmysle nového ustanovenia medzi ovplyvnené trhy budú zaradené ďalšie prípady, pri ktorých môže dôjsť k negatívnym účinkom koncentrácií.</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Významný vplyv na rozsah predkladaných podkladov a informácií má aj žiadosť o zúžený rozsah podkladov a informácií a aplikačná prax úradu zohľadňujúca závažnosť posudzovanej koncentrácie vo vzťahu k stupňu formálnosti pri požad</w:t>
      </w:r>
      <w:r w:rsidRPr="005E527E">
        <w:rPr>
          <w:rFonts w:ascii="Times New Roman" w:hAnsi="Times New Roman" w:cs="Times New Roman"/>
          <w:szCs w:val="24"/>
        </w:rPr>
        <w:t xml:space="preserve">ovaní podkladov a informácií. V súvislosti s uvedeným </w:t>
      </w:r>
      <w:r>
        <w:rPr>
          <w:rFonts w:ascii="Times New Roman" w:hAnsi="Times New Roman" w:cs="Times New Roman"/>
          <w:szCs w:val="24"/>
        </w:rPr>
        <w:t>bude</w:t>
      </w:r>
      <w:r w:rsidRPr="005E527E">
        <w:rPr>
          <w:rFonts w:ascii="Times New Roman" w:hAnsi="Times New Roman" w:cs="Times New Roman"/>
          <w:szCs w:val="24"/>
        </w:rPr>
        <w:t xml:space="preserve"> v zmysle nového ustanovenia vyhlášky upravujúcej podrobnosti o náležitostiach oznámenia koncentrácie možné písomne požiadať úrad o zúženie rozsahu podkladov podľa § 10 ods. 13 zákona aj z dôvodu, že niektoré z informácií a podkladov v zmysle vyhlášky nie sú potrebné pre posúdenie koncentrácie úradom. Takáto žiadosť musí obsahovať dostatočné dôvody, prečo tieto informácie nie sú relevantné a potrebné pre posúdenie oznamovanej koncentrácie</w:t>
      </w:r>
      <w:r w:rsidRPr="005E527E">
        <w:rPr>
          <w:rFonts w:ascii="Times New Roman" w:hAnsi="Times New Roman" w:cs="Times New Roman"/>
          <w:color w:val="000000"/>
          <w:szCs w:val="24"/>
        </w:rPr>
        <w:t xml:space="preserve">. </w:t>
      </w:r>
    </w:p>
    <w:p w:rsidR="00023860" w:rsidRPr="005E527E" w:rsidP="00023860">
      <w:pPr>
        <w:pStyle w:val="Title"/>
        <w:ind w:firstLine="709"/>
        <w:jc w:val="both"/>
        <w:rPr>
          <w:rFonts w:ascii="Times New Roman" w:hAnsi="Times New Roman" w:cs="Times New Roman"/>
          <w:b w:val="0"/>
          <w:szCs w:val="24"/>
        </w:rPr>
      </w:pPr>
      <w:r w:rsidRPr="005E527E">
        <w:rPr>
          <w:rFonts w:ascii="Times New Roman" w:hAnsi="Times New Roman" w:cs="Times New Roman"/>
          <w:b w:val="0"/>
          <w:szCs w:val="24"/>
        </w:rPr>
        <w:t>Vyššie uv</w:t>
      </w:r>
      <w:r w:rsidRPr="005E527E">
        <w:rPr>
          <w:rFonts w:ascii="Times New Roman" w:hAnsi="Times New Roman" w:cs="Times New Roman"/>
          <w:b w:val="0"/>
          <w:szCs w:val="24"/>
        </w:rPr>
        <w:t>edené inštitúty umožňujú úradu selektovať rozsah oznamovaných informácií a podkladov v závislosti od stupňa závažnosti koncentrácie, zároveň však dostatok informácií v oznámení koncentrácie umožní rýchlejšie a </w:t>
      </w:r>
      <w:r>
        <w:rPr>
          <w:rFonts w:ascii="Times New Roman" w:hAnsi="Times New Roman" w:cs="Times New Roman"/>
          <w:b w:val="0"/>
          <w:szCs w:val="24"/>
        </w:rPr>
        <w:t>kvalitnejšie</w:t>
      </w:r>
      <w:r w:rsidRPr="005E527E">
        <w:rPr>
          <w:rFonts w:ascii="Times New Roman" w:hAnsi="Times New Roman" w:cs="Times New Roman"/>
          <w:b w:val="0"/>
          <w:szCs w:val="24"/>
        </w:rPr>
        <w:t xml:space="preserve"> posúdenie, či je v danom prípade možné ukončiť správne konanie vydaním zjednodušenej formy rozhodnutia. </w:t>
      </w:r>
    </w:p>
    <w:p w:rsidR="00023860" w:rsidRPr="005E527E" w:rsidP="00023860">
      <w:pPr>
        <w:pStyle w:val="Title"/>
        <w:ind w:firstLine="709"/>
        <w:jc w:val="both"/>
        <w:rPr>
          <w:rFonts w:ascii="Times New Roman" w:hAnsi="Times New Roman" w:cs="Times New Roman"/>
          <w:b w:val="0"/>
          <w:szCs w:val="24"/>
          <w:lang w:eastAsia="en-US"/>
        </w:rPr>
      </w:pPr>
      <w:r w:rsidRPr="005E527E">
        <w:rPr>
          <w:rFonts w:ascii="Times New Roman" w:hAnsi="Times New Roman" w:cs="Times New Roman"/>
          <w:b w:val="0"/>
          <w:szCs w:val="24"/>
          <w:lang w:eastAsia="en-US"/>
        </w:rPr>
        <w:t>V súvislosti s uvedeným, kontakty, ktoré predchádzajú oznámeniu koncentrácie medzi účastníkmi koncentrácie a úradom (tzv. prednotifikačné kontakty) sú významným nástrojom umožňujúcim stanoviť množstvo informácií požadovaných v oznámení koncentrácie vo väčšine prípadov, pričom umožňujú eliminovať množstvo požadovaných informácií. Pri prednotifikačných kontaktoch je vhodné vychádzať z Usmernenia úradu o prednotifikačných kontaktoch v</w:t>
      </w:r>
      <w:r w:rsidRPr="005E527E">
        <w:rPr>
          <w:rFonts w:ascii="Times New Roman" w:hAnsi="Times New Roman" w:cs="Times New Roman"/>
          <w:b w:val="0"/>
          <w:szCs w:val="24"/>
          <w:lang w:eastAsia="en-US"/>
        </w:rPr>
        <w:t> procese posudzovania koncentrácií</w:t>
      </w:r>
      <w:r>
        <w:rPr>
          <w:rStyle w:val="FootnoteReference"/>
          <w:rFonts w:ascii="Times New Roman" w:hAnsi="Times New Roman" w:cs="Times New Roman"/>
          <w:b w:val="0"/>
          <w:szCs w:val="24"/>
          <w:lang w:eastAsia="en-US"/>
        </w:rPr>
        <w:footnoteReference w:id="2"/>
      </w:r>
      <w:r w:rsidRPr="005E527E">
        <w:rPr>
          <w:rFonts w:ascii="Times New Roman" w:hAnsi="Times New Roman" w:cs="Times New Roman"/>
          <w:b w:val="0"/>
          <w:szCs w:val="24"/>
          <w:lang w:eastAsia="en-US"/>
        </w:rPr>
        <w:t>.</w:t>
      </w:r>
    </w:p>
    <w:p w:rsidR="00023860" w:rsidRPr="005E527E" w:rsidP="00023860">
      <w:pPr>
        <w:jc w:val="both"/>
        <w:rPr>
          <w:rFonts w:ascii="Times New Roman" w:hAnsi="Times New Roman" w:cs="Times New Roman"/>
          <w:szCs w:val="24"/>
          <w:u w:val="single"/>
        </w:rPr>
      </w:pPr>
      <w:r>
        <w:rPr>
          <w:rFonts w:ascii="Times New Roman" w:hAnsi="Times New Roman" w:cs="Times New Roman"/>
          <w:szCs w:val="24"/>
          <w:u w:val="single"/>
        </w:rPr>
        <w:t>Ods. 2</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Pokiaľ úrad v prvej fáze identifikuje problémy, zašle účastníkom konania oznámenie, že koncentrácia vyžaduje ďalšie, hĺbkové posúdenie, spolu s odôvodnením, prečo úrad považuje za potrebné posudzovať koncentráciu v tzv. druhej fáze. Pôjde o prípady, kedy koncentrácia bude vzbudzovať súťažné obavy, ale aj prípady, kedy bude v predmetnom správnom konaní z</w:t>
      </w:r>
      <w:r>
        <w:rPr>
          <w:rFonts w:ascii="Times New Roman" w:hAnsi="Times New Roman" w:cs="Times New Roman"/>
          <w:szCs w:val="24"/>
        </w:rPr>
        <w:t>ložité vymedziť relevantn</w:t>
      </w:r>
      <w:r>
        <w:rPr>
          <w:rFonts w:ascii="Times New Roman" w:hAnsi="Times New Roman" w:cs="Times New Roman"/>
          <w:szCs w:val="24"/>
        </w:rPr>
        <w:t>é trhy</w:t>
      </w:r>
      <w:r w:rsidRPr="005E527E">
        <w:rPr>
          <w:rFonts w:ascii="Times New Roman" w:hAnsi="Times New Roman" w:cs="Times New Roman"/>
          <w:szCs w:val="24"/>
        </w:rPr>
        <w:t>.</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Z navrhovaného znenia zákona vyplýva, že ak koncentrácia vyžaduje ďalšiu analýzu, úrad túto skutočnosť písomne oznámi úč</w:t>
      </w:r>
      <w:r>
        <w:rPr>
          <w:rFonts w:ascii="Times New Roman" w:hAnsi="Times New Roman" w:cs="Times New Roman"/>
          <w:szCs w:val="24"/>
        </w:rPr>
        <w:t>astníkovi konania v lehote do 25</w:t>
      </w:r>
      <w:r w:rsidRPr="005E527E">
        <w:rPr>
          <w:rFonts w:ascii="Times New Roman" w:hAnsi="Times New Roman" w:cs="Times New Roman"/>
          <w:szCs w:val="24"/>
        </w:rPr>
        <w:t xml:space="preserve"> pracovných dní odo dňa doručenia úplného oznámenia koncentrácie. V takomto prípade úrad vydá rozhodnutie do 90 pracovných dní odo dňa doručenia písomného oznámenia účastníkovi konania.</w:t>
      </w:r>
    </w:p>
    <w:p w:rsidR="00023860" w:rsidP="00023860">
      <w:pPr>
        <w:ind w:firstLine="708"/>
        <w:jc w:val="both"/>
        <w:rPr>
          <w:rFonts w:ascii="Times New Roman" w:hAnsi="Times New Roman" w:cs="Times New Roman"/>
          <w:szCs w:val="24"/>
        </w:rPr>
      </w:pPr>
      <w:r w:rsidRPr="005E527E">
        <w:rPr>
          <w:rFonts w:ascii="Times New Roman" w:hAnsi="Times New Roman" w:cs="Times New Roman"/>
          <w:szCs w:val="24"/>
        </w:rPr>
        <w:t>Vzhľadom na charakter koncentrácií, ktoré budú posudzované v druhej fáze, bude potrebné zo strany úradu požadovať väčší rozsah podkladov a informácií ako pri konaniach končiacich v prvej fáze s väčším dôrazom na formálne náležitosti predkl</w:t>
      </w:r>
      <w:r>
        <w:rPr>
          <w:rFonts w:ascii="Times New Roman" w:hAnsi="Times New Roman" w:cs="Times New Roman"/>
          <w:szCs w:val="24"/>
        </w:rPr>
        <w:t>adaných podkladov a informácií. V</w:t>
      </w:r>
      <w:r w:rsidRPr="005E527E">
        <w:rPr>
          <w:rFonts w:ascii="Times New Roman" w:hAnsi="Times New Roman" w:cs="Times New Roman"/>
          <w:szCs w:val="24"/>
        </w:rPr>
        <w:t> tejto fáze úrad predpokladá intenzívnejšie využívanie procesných prostriedkov na zistenie skutkového stavu v porovnaní s prvou fázou, okrem podkladov</w:t>
      </w:r>
      <w:r w:rsidRPr="005E527E">
        <w:rPr>
          <w:rFonts w:ascii="Times New Roman" w:hAnsi="Times New Roman" w:cs="Times New Roman"/>
          <w:szCs w:val="24"/>
        </w:rPr>
        <w:t xml:space="preserve"> a informácií predložených účastníkmi koncentrácie v oznámení koncentrácie bude úrad vo väčšej miere uskutočňovať ústne prejednania, výsluchy svedkov, uskutočňovať prieskum na relevantných trhoch získavaním informácií od konkurentov, dodávateľov, odberateľov účastníkov koncentrácií, preverovanie predložených podkladov a informácií napríklad aj formou inšpekcií a pod.</w:t>
      </w:r>
    </w:p>
    <w:p w:rsidR="00023860" w:rsidRPr="0036570E" w:rsidP="00023860">
      <w:pPr>
        <w:jc w:val="both"/>
        <w:rPr>
          <w:rFonts w:ascii="Times New Roman" w:hAnsi="Times New Roman" w:cs="Times New Roman"/>
          <w:szCs w:val="24"/>
          <w:u w:val="single"/>
        </w:rPr>
      </w:pPr>
      <w:r w:rsidRPr="0036570E">
        <w:rPr>
          <w:rFonts w:ascii="Times New Roman" w:hAnsi="Times New Roman" w:cs="Times New Roman"/>
          <w:szCs w:val="24"/>
          <w:u w:val="single"/>
        </w:rPr>
        <w:t>Ods. 3</w:t>
      </w:r>
    </w:p>
    <w:p w:rsidR="00023860" w:rsidRPr="005F6EA1" w:rsidP="00023860">
      <w:pPr>
        <w:ind w:firstLine="708"/>
        <w:jc w:val="both"/>
        <w:rPr>
          <w:rFonts w:ascii="Times New Roman" w:hAnsi="Times New Roman" w:cs="Times New Roman"/>
          <w:szCs w:val="24"/>
        </w:rPr>
      </w:pPr>
      <w:r w:rsidRPr="005F6EA1">
        <w:rPr>
          <w:rFonts w:ascii="Times New Roman" w:hAnsi="Times New Roman" w:cs="Times New Roman"/>
          <w:szCs w:val="24"/>
        </w:rPr>
        <w:t>Uvedené ustanovenie sa vzťahuje na situácie, kedy v priebehu správneho konania, v ktorom už začala plynúť lehota na vydanie rozhodnutia, úrad zistí, že účastníkom správneho konania neboli poskytnuté podklady a informácie týkajúce sa ovplyvnených trhov, ktoré je potrebné v rámci konania posúdiť. V takomto prípade je úrad povinný si tieto podklady a informácie vyžiadať v zmysle ustanovení v</w:t>
      </w:r>
      <w:r w:rsidRPr="005F6EA1">
        <w:rPr>
          <w:rFonts w:ascii="Times New Roman" w:hAnsi="Times New Roman" w:cs="Times New Roman"/>
          <w:szCs w:val="24"/>
        </w:rPr>
        <w:t>yhlášky o náležitostiach oznámenia koncentrácie, oznámenie koncentrácie teda bolo neúplné</w:t>
      </w:r>
      <w:r w:rsidRPr="009D2485">
        <w:rPr>
          <w:rFonts w:ascii="Times New Roman" w:hAnsi="Times New Roman" w:cs="Times New Roman"/>
          <w:szCs w:val="24"/>
        </w:rPr>
        <w:t>. Nová úprava presnejšie vystihuje vecnú podstatu predmetného inštitútu v zákone.  Posúdenie vplyvu koncentrácie na ovplyvnené trhy je podstata posudzovania koncentrác</w:t>
      </w:r>
      <w:r w:rsidRPr="009D2485">
        <w:rPr>
          <w:rFonts w:ascii="Times New Roman" w:hAnsi="Times New Roman" w:cs="Times New Roman"/>
          <w:szCs w:val="24"/>
        </w:rPr>
        <w:t>ií. Uvedené  ustanovenie zákona úradu umožní po obdržaní podkladov a informácií od účastníkov konania týkajúcich sa ovplyvnených trhov, o ktorých nemal zo zavinenia účastníkov konania vedomosť preskúmať dopady posudzovanej koncentrácie na hospodársku súťaž na predmetné ovplyvnené trhy v časovom rámci umožňujúcom preukázanie potenciálnych závažných súťažných dopadov.</w:t>
      </w:r>
      <w:r w:rsidRPr="009E09CD">
        <w:rPr>
          <w:rFonts w:ascii="Times New Roman" w:hAnsi="Times New Roman" w:cs="Times New Roman"/>
          <w:szCs w:val="24"/>
        </w:rPr>
        <w:t xml:space="preserve"> </w:t>
      </w:r>
      <w:r w:rsidRPr="005F6EA1">
        <w:rPr>
          <w:rFonts w:ascii="Times New Roman" w:hAnsi="Times New Roman" w:cs="Times New Roman"/>
          <w:szCs w:val="24"/>
        </w:rPr>
        <w:t xml:space="preserve"> </w:t>
      </w:r>
    </w:p>
    <w:p w:rsidR="00023860" w:rsidRPr="005E527E" w:rsidP="00023860">
      <w:pPr>
        <w:jc w:val="both"/>
        <w:rPr>
          <w:rFonts w:ascii="Times New Roman" w:hAnsi="Times New Roman" w:cs="Times New Roman"/>
          <w:szCs w:val="24"/>
          <w:u w:val="single"/>
        </w:rPr>
      </w:pPr>
      <w:r>
        <w:rPr>
          <w:rFonts w:ascii="Times New Roman" w:hAnsi="Times New Roman" w:cs="Times New Roman"/>
          <w:szCs w:val="24"/>
          <w:u w:val="single"/>
        </w:rPr>
        <w:t>Ods. 4</w:t>
      </w:r>
    </w:p>
    <w:p w:rsidR="00023860" w:rsidRPr="005E527E" w:rsidP="00023860">
      <w:pPr>
        <w:ind w:firstLine="708"/>
        <w:jc w:val="both"/>
        <w:rPr>
          <w:rFonts w:ascii="Times New Roman" w:hAnsi="Times New Roman" w:cs="Times New Roman"/>
          <w:szCs w:val="24"/>
        </w:rPr>
      </w:pPr>
      <w:r>
        <w:rPr>
          <w:rFonts w:ascii="Times New Roman" w:hAnsi="Times New Roman" w:cs="Times New Roman"/>
          <w:szCs w:val="24"/>
        </w:rPr>
        <w:t>Zavádza sa suspenzia</w:t>
      </w:r>
      <w:r w:rsidRPr="005E527E">
        <w:rPr>
          <w:rFonts w:ascii="Times New Roman" w:hAnsi="Times New Roman" w:cs="Times New Roman"/>
          <w:szCs w:val="24"/>
        </w:rPr>
        <w:t xml:space="preserve"> plynutia lehoty na vydanie rozhodnutia o koncentrácii. V zmysle navrhovaného znenia zákona, ak úrad žiada účastníka konania o predloženie ďalších informácií a podkladov, ktoré môžu mať podstatný vplyv na rozhodnutie o koncentrácii, lehota na vydanie rozhodnutia vo veci koncentrácie nebude plynúť odo dňa doručenia žiadosti účastníkovi konania až do ich predloženia. O tejto skutočnosti úrad účastníka konania písomne upovedomí. Využitie tohto inštitútu úrad predpokladá v prípadoch, kedy pôjde o  informácie a podklady nevyhnutne dôležité pre rozhodnutie</w:t>
      </w:r>
      <w:r w:rsidRPr="00454068">
        <w:rPr>
          <w:rFonts w:ascii="Times New Roman" w:hAnsi="Times New Roman" w:cs="Times New Roman"/>
          <w:szCs w:val="24"/>
        </w:rPr>
        <w:t>.</w:t>
      </w:r>
      <w:r w:rsidRPr="005E527E">
        <w:rPr>
          <w:rFonts w:ascii="Times New Roman" w:hAnsi="Times New Roman" w:cs="Times New Roman"/>
          <w:szCs w:val="24"/>
        </w:rPr>
        <w:t xml:space="preserve"> </w:t>
      </w:r>
      <w:r>
        <w:rPr>
          <w:rFonts w:ascii="Times New Roman" w:hAnsi="Times New Roman" w:cs="Times New Roman"/>
          <w:szCs w:val="24"/>
        </w:rPr>
        <w:t>K</w:t>
      </w:r>
      <w:r w:rsidRPr="005E527E">
        <w:rPr>
          <w:rFonts w:ascii="Times New Roman" w:hAnsi="Times New Roman" w:cs="Times New Roman"/>
          <w:szCs w:val="24"/>
        </w:rPr>
        <w:t xml:space="preserve"> suspenzii plynutia lehoty nedôjde pri akejkoľvek žiadosti o doplne</w:t>
      </w:r>
      <w:r w:rsidRPr="005E527E">
        <w:rPr>
          <w:rFonts w:ascii="Times New Roman" w:hAnsi="Times New Roman" w:cs="Times New Roman"/>
          <w:szCs w:val="24"/>
        </w:rPr>
        <w:t>nie podkladov a informácií.</w:t>
      </w:r>
    </w:p>
    <w:p w:rsidR="00023860" w:rsidRPr="005E527E" w:rsidP="00023860">
      <w:pPr>
        <w:jc w:val="both"/>
        <w:rPr>
          <w:rFonts w:ascii="Times New Roman" w:hAnsi="Times New Roman" w:cs="Times New Roman"/>
          <w:szCs w:val="24"/>
          <w:u w:val="single"/>
        </w:rPr>
      </w:pPr>
      <w:r w:rsidRPr="005E527E">
        <w:rPr>
          <w:rFonts w:ascii="Times New Roman" w:hAnsi="Times New Roman" w:cs="Times New Roman"/>
          <w:szCs w:val="24"/>
          <w:u w:val="single"/>
        </w:rPr>
        <w:t xml:space="preserve">Ods. </w:t>
      </w:r>
      <w:r>
        <w:rPr>
          <w:rFonts w:ascii="Times New Roman" w:hAnsi="Times New Roman" w:cs="Times New Roman"/>
          <w:szCs w:val="24"/>
          <w:u w:val="single"/>
        </w:rPr>
        <w:t>5</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Podľa tohto ustanovenia na základe odôvodnenej žiadosti účastníka konania, alebo s jeho súhlasom úrad môže lehotu na vydanie rozhodnutia o koncentrácii v 1, aj 2. fáze pred jej uplynutím primerane predĺžiť a to aj opakovane. Možnosť predĺženia uvedených lehôt na základe odôvodnenej žiadosti účastníka konania alebo s jeho súhlasom nahradila inštitút predĺženia lehoty na vydanie rozhodnutia o koncentrácii z iniciatívy a rozhodnutia úradu odstránený zo zákona v záujme ďalšieho skrátenia lehôt. Predpokladáme, že tento inštitút bude využívaný účastníkmi konaní najmä v prípade predkladania záväzkov.</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V záujme eliminácie postupov účastníkov koncentrácie, kde by sa nadobúdateľovi javilo účelné predlžovať správne konanie obštrukciami pri predkladaní podkladov a informácií so zámerom zníženia hodnoty nadobúdaného subjektu je zavedené časové ohraničen</w:t>
      </w:r>
      <w:r>
        <w:rPr>
          <w:rFonts w:ascii="Times New Roman" w:hAnsi="Times New Roman" w:cs="Times New Roman"/>
          <w:szCs w:val="24"/>
        </w:rPr>
        <w:t>ie takéhoto predĺženia lehoty</w:t>
      </w:r>
      <w:r w:rsidRPr="005E527E">
        <w:rPr>
          <w:rFonts w:ascii="Times New Roman" w:hAnsi="Times New Roman" w:cs="Times New Roman"/>
          <w:szCs w:val="24"/>
        </w:rPr>
        <w:t xml:space="preserve"> maximálne </w:t>
      </w:r>
      <w:r>
        <w:rPr>
          <w:rFonts w:ascii="Times New Roman" w:hAnsi="Times New Roman" w:cs="Times New Roman"/>
          <w:szCs w:val="24"/>
        </w:rPr>
        <w:t xml:space="preserve">na </w:t>
      </w:r>
      <w:r w:rsidRPr="005E527E">
        <w:rPr>
          <w:rFonts w:ascii="Times New Roman" w:hAnsi="Times New Roman" w:cs="Times New Roman"/>
          <w:szCs w:val="24"/>
        </w:rPr>
        <w:t xml:space="preserve">30 pracovných dní. </w:t>
      </w:r>
    </w:p>
    <w:p w:rsidR="00023860" w:rsidRPr="005E527E" w:rsidP="00023860">
      <w:pPr>
        <w:jc w:val="both"/>
        <w:rPr>
          <w:rFonts w:ascii="Times New Roman" w:hAnsi="Times New Roman" w:cs="Times New Roman"/>
          <w:szCs w:val="24"/>
          <w:u w:val="single"/>
        </w:rPr>
      </w:pPr>
      <w:r w:rsidRPr="00824994">
        <w:rPr>
          <w:rFonts w:ascii="Times New Roman" w:hAnsi="Times New Roman" w:cs="Times New Roman"/>
          <w:szCs w:val="24"/>
          <w:u w:val="single"/>
        </w:rPr>
        <w:t>Ods. 6</w:t>
      </w:r>
    </w:p>
    <w:p w:rsidR="00023860" w:rsidRPr="005E527E" w:rsidP="00023860">
      <w:pPr>
        <w:pStyle w:val="BodyText"/>
        <w:ind w:firstLine="708"/>
        <w:rPr>
          <w:rFonts w:ascii="Times New Roman" w:hAnsi="Times New Roman" w:cs="Times New Roman"/>
          <w:sz w:val="24"/>
          <w:szCs w:val="24"/>
        </w:rPr>
      </w:pPr>
      <w:r w:rsidRPr="005E527E">
        <w:rPr>
          <w:rFonts w:ascii="Times New Roman" w:hAnsi="Times New Roman" w:cs="Times New Roman"/>
          <w:sz w:val="24"/>
          <w:szCs w:val="24"/>
        </w:rPr>
        <w:t>V prípade, že súd alebo úrad zruší rozhodnutie o koncentrácii a tá</w:t>
      </w:r>
      <w:r w:rsidRPr="005E527E">
        <w:rPr>
          <w:rFonts w:ascii="Times New Roman" w:hAnsi="Times New Roman" w:cs="Times New Roman"/>
          <w:sz w:val="24"/>
          <w:szCs w:val="24"/>
        </w:rPr>
        <w:t xml:space="preserve">to bude úradom znova posudzovaná, úrad ju posudzuje znova s ohľadom na aktuálne trhové podmienky. V takomto prípade, ak sa pôvodné </w:t>
      </w:r>
      <w:r>
        <w:rPr>
          <w:rFonts w:ascii="Times New Roman" w:hAnsi="Times New Roman" w:cs="Times New Roman"/>
          <w:sz w:val="24"/>
          <w:szCs w:val="24"/>
        </w:rPr>
        <w:t>oznámenie podľa § 10 ods. 12</w:t>
      </w:r>
      <w:r w:rsidRPr="005E527E">
        <w:rPr>
          <w:rFonts w:ascii="Times New Roman" w:hAnsi="Times New Roman" w:cs="Times New Roman"/>
          <w:sz w:val="24"/>
          <w:szCs w:val="24"/>
        </w:rPr>
        <w:t xml:space="preserve"> stane neúplné z dôvodov zmien trhových podmienok alebo poskytnutých údajov, ktoré medzitým nasta</w:t>
      </w:r>
      <w:r w:rsidRPr="005E527E">
        <w:rPr>
          <w:rFonts w:ascii="Times New Roman" w:hAnsi="Times New Roman" w:cs="Times New Roman"/>
          <w:sz w:val="24"/>
          <w:szCs w:val="24"/>
        </w:rPr>
        <w:t xml:space="preserve">li, účastník konania bezodkladne doplní pôvodné oznámenie. Ak takéto zmeny nenastali, oznamovateľ túto skutočnosť bezodkladne potvrdí úradu. Lehoty ustanovené v odseku 1 a </w:t>
      </w:r>
      <w:r>
        <w:rPr>
          <w:rFonts w:ascii="Times New Roman" w:hAnsi="Times New Roman" w:cs="Times New Roman"/>
          <w:sz w:val="24"/>
          <w:szCs w:val="24"/>
        </w:rPr>
        <w:t>2</w:t>
      </w:r>
      <w:r w:rsidRPr="005E527E">
        <w:rPr>
          <w:rFonts w:ascii="Times New Roman" w:hAnsi="Times New Roman" w:cs="Times New Roman"/>
          <w:sz w:val="24"/>
          <w:szCs w:val="24"/>
        </w:rPr>
        <w:t xml:space="preserve"> začnú plynúť v pracovný deň nasledujúci po dni doručenia úplných informácií v novo</w:t>
      </w:r>
      <w:r w:rsidRPr="005E527E">
        <w:rPr>
          <w:rFonts w:ascii="Times New Roman" w:hAnsi="Times New Roman" w:cs="Times New Roman"/>
          <w:sz w:val="24"/>
          <w:szCs w:val="24"/>
        </w:rPr>
        <w:t>m oznámení, doplnenom oznámení alebo potvrdení o tom, že žiadne zmeny oproti pôvodnému oznámeniu nenastali.</w:t>
      </w:r>
    </w:p>
    <w:p w:rsidR="00023860" w:rsidRPr="005E527E" w:rsidP="00023860">
      <w:pPr>
        <w:rPr>
          <w:rFonts w:ascii="Times New Roman" w:hAnsi="Times New Roman" w:cs="Times New Roman"/>
          <w:szCs w:val="24"/>
        </w:rPr>
      </w:pPr>
    </w:p>
    <w:p w:rsidR="00023860" w:rsidRPr="005E527E" w:rsidP="00023860">
      <w:pPr>
        <w:rPr>
          <w:rFonts w:ascii="Times New Roman" w:hAnsi="Times New Roman" w:cs="Times New Roman"/>
          <w:b/>
          <w:szCs w:val="24"/>
        </w:rPr>
      </w:pPr>
      <w:r>
        <w:rPr>
          <w:rFonts w:ascii="Times New Roman" w:hAnsi="Times New Roman" w:cs="Times New Roman"/>
          <w:b/>
          <w:szCs w:val="24"/>
        </w:rPr>
        <w:t xml:space="preserve">K bodom </w:t>
      </w:r>
      <w:r w:rsidRPr="005E527E">
        <w:rPr>
          <w:rFonts w:ascii="Times New Roman" w:hAnsi="Times New Roman" w:cs="Times New Roman"/>
          <w:b/>
          <w:szCs w:val="24"/>
        </w:rPr>
        <w:t>7</w:t>
      </w:r>
      <w:r>
        <w:rPr>
          <w:rFonts w:ascii="Times New Roman" w:hAnsi="Times New Roman" w:cs="Times New Roman"/>
          <w:b/>
          <w:szCs w:val="24"/>
        </w:rPr>
        <w:t>, 9 a 10</w:t>
      </w:r>
    </w:p>
    <w:p w:rsidR="00023860" w:rsidRPr="005E527E" w:rsidP="00023860">
      <w:pPr>
        <w:jc w:val="both"/>
        <w:rPr>
          <w:rFonts w:ascii="Times New Roman" w:hAnsi="Times New Roman" w:cs="Times New Roman"/>
          <w:szCs w:val="24"/>
        </w:rPr>
      </w:pPr>
      <w:r w:rsidRPr="005E527E">
        <w:rPr>
          <w:rFonts w:ascii="Times New Roman" w:hAnsi="Times New Roman" w:cs="Times New Roman"/>
          <w:szCs w:val="24"/>
        </w:rPr>
        <w:tab/>
        <w:t xml:space="preserve">Ustanovenia § 12 ods. 1 a ods. 6 vyjadrujú test, na základe ktorého sa posudzujú dôsledky koncentrácie, ktorá podlieha kontrole </w:t>
      </w:r>
      <w:r w:rsidRPr="005E527E">
        <w:rPr>
          <w:rFonts w:ascii="Times New Roman" w:hAnsi="Times New Roman" w:cs="Times New Roman"/>
          <w:szCs w:val="24"/>
        </w:rPr>
        <w:t>úradu, a to z hľadiska jej vplyvu na hospodársku súťaž.</w:t>
      </w:r>
    </w:p>
    <w:p w:rsidR="00023860" w:rsidP="00023860">
      <w:pPr>
        <w:ind w:firstLine="708"/>
        <w:jc w:val="both"/>
        <w:rPr>
          <w:rFonts w:ascii="Times New Roman" w:hAnsi="Times New Roman" w:cs="Times New Roman"/>
          <w:szCs w:val="24"/>
        </w:rPr>
      </w:pPr>
      <w:r w:rsidRPr="005E527E">
        <w:rPr>
          <w:rFonts w:ascii="Times New Roman" w:hAnsi="Times New Roman" w:cs="Times New Roman"/>
          <w:szCs w:val="24"/>
        </w:rPr>
        <w:t xml:space="preserve">V súčasnom znení zákona testom na posudzovanie koncentrácií je test dominancie, na základe ktorého úrad zakáže koncentráciu, ktorá vytvára alebo posilňuje dominantné postavenie, ktorého dôsledkom sú významné prekážky efektívnej hospodárskej súťaže na relevantnom trhu. </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 xml:space="preserve">Na základe aplikačnej praxe úradu v oblasti kontroly koncentrácií a berúc do úvahy skúsenosti Európskej komisie ako aj </w:t>
      </w:r>
      <w:r>
        <w:rPr>
          <w:rFonts w:ascii="Times New Roman" w:hAnsi="Times New Roman" w:cs="Times New Roman"/>
          <w:szCs w:val="24"/>
        </w:rPr>
        <w:t>iných</w:t>
      </w:r>
      <w:r w:rsidRPr="005E527E">
        <w:rPr>
          <w:rFonts w:ascii="Times New Roman" w:hAnsi="Times New Roman" w:cs="Times New Roman"/>
          <w:szCs w:val="24"/>
        </w:rPr>
        <w:t xml:space="preserve"> národných súťažných autorít v predmetnej oblasti v záujme jednoznačnejšieho výkladu testu posudzovania koncentrácií úrad navrhuje jeho nové znenie.  </w:t>
      </w:r>
    </w:p>
    <w:p w:rsidR="00023860" w:rsidRPr="00BF0FEB" w:rsidP="00023860">
      <w:pPr>
        <w:ind w:firstLine="708"/>
        <w:jc w:val="both"/>
        <w:rPr>
          <w:rFonts w:ascii="Times New Roman" w:hAnsi="Times New Roman" w:cs="Times New Roman"/>
          <w:strike/>
          <w:szCs w:val="24"/>
          <w:highlight w:val="yellow"/>
        </w:rPr>
      </w:pPr>
      <w:r w:rsidRPr="005E527E">
        <w:rPr>
          <w:rFonts w:ascii="Times New Roman" w:hAnsi="Times New Roman" w:cs="Times New Roman"/>
          <w:szCs w:val="24"/>
        </w:rPr>
        <w:t xml:space="preserve">Nové znenie testu je navrhované vzhľadom na to, že významné prekážky efektívnej hospodárskej súťaže môžu byť spôsobené nielen vytvorením alebo posilnením dominantného postavenia podnikateľa na relevantnom trhu, ale za určitých okolností na oligopolných trhoch aj elimináciou dôležitých konkurenčných tlakov medzi účastníkmi koncentrácie, ako aj znižovaním konkurenčných tlakov medzi ostatnými súťažiteľmi, a to aj bez možnej koordinácie medzi členmi oligopolu. </w:t>
      </w:r>
    </w:p>
    <w:p w:rsidR="00023860" w:rsidRPr="005E527E" w:rsidP="00023860">
      <w:pPr>
        <w:ind w:firstLine="708"/>
        <w:jc w:val="both"/>
        <w:rPr>
          <w:rFonts w:ascii="Times New Roman" w:hAnsi="Times New Roman" w:cs="Times New Roman"/>
          <w:szCs w:val="24"/>
        </w:rPr>
      </w:pPr>
      <w:r w:rsidRPr="005E527E">
        <w:rPr>
          <w:rFonts w:ascii="Times New Roman" w:hAnsi="Times New Roman" w:cs="Times New Roman"/>
          <w:szCs w:val="24"/>
        </w:rPr>
        <w:t xml:space="preserve">Znenie ods. 7 </w:t>
      </w:r>
      <w:r>
        <w:rPr>
          <w:rFonts w:ascii="Times New Roman" w:hAnsi="Times New Roman" w:cs="Times New Roman"/>
          <w:szCs w:val="24"/>
        </w:rPr>
        <w:t>je zosúladené</w:t>
      </w:r>
      <w:r w:rsidRPr="005E527E">
        <w:rPr>
          <w:rFonts w:ascii="Times New Roman" w:hAnsi="Times New Roman" w:cs="Times New Roman"/>
          <w:szCs w:val="24"/>
        </w:rPr>
        <w:t xml:space="preserve"> so znením nového testu kontroly koncentrácií. </w:t>
      </w:r>
      <w:r>
        <w:rPr>
          <w:rFonts w:ascii="Times New Roman" w:hAnsi="Times New Roman" w:cs="Times New Roman"/>
          <w:szCs w:val="24"/>
        </w:rPr>
        <w:t>Navrhované znenie testu posudzovania koncentrácií korešponduje s testom používaným Európskou komisiou v zmysle Nariadenia rady (ES) č. 139/2004</w:t>
      </w:r>
      <w:r>
        <w:rPr>
          <w:rFonts w:ascii="Times New Roman" w:hAnsi="Times New Roman" w:cs="Times New Roman"/>
          <w:szCs w:val="24"/>
        </w:rPr>
        <w:t xml:space="preserve"> z 20. januára 2004 o kontrole koncentrácie medzi podnikmi.</w:t>
      </w:r>
    </w:p>
    <w:p w:rsidR="00023860" w:rsidRPr="005E527E" w:rsidP="00023860">
      <w:pPr>
        <w:rPr>
          <w:rFonts w:ascii="Times New Roman" w:hAnsi="Times New Roman" w:cs="Times New Roman"/>
          <w:szCs w:val="24"/>
        </w:rPr>
      </w:pPr>
    </w:p>
    <w:p w:rsidR="00023860" w:rsidRPr="005E527E" w:rsidP="00023860">
      <w:pPr>
        <w:pStyle w:val="BodyText"/>
        <w:rPr>
          <w:rFonts w:ascii="Times New Roman" w:hAnsi="Times New Roman" w:cs="Times New Roman"/>
          <w:b/>
          <w:sz w:val="24"/>
          <w:szCs w:val="24"/>
        </w:rPr>
      </w:pPr>
      <w:r>
        <w:rPr>
          <w:rFonts w:ascii="Times New Roman" w:hAnsi="Times New Roman" w:cs="Times New Roman"/>
          <w:b/>
          <w:sz w:val="24"/>
          <w:szCs w:val="24"/>
        </w:rPr>
        <w:t xml:space="preserve">K bodu </w:t>
      </w:r>
      <w:r w:rsidRPr="005E527E">
        <w:rPr>
          <w:rFonts w:ascii="Times New Roman" w:hAnsi="Times New Roman" w:cs="Times New Roman"/>
          <w:b/>
          <w:sz w:val="24"/>
          <w:szCs w:val="24"/>
        </w:rPr>
        <w:t>8</w:t>
      </w:r>
    </w:p>
    <w:p w:rsidR="00023860" w:rsidRPr="005E527E" w:rsidP="00023860">
      <w:pPr>
        <w:ind w:firstLine="708"/>
        <w:rPr>
          <w:rFonts w:ascii="Times New Roman" w:hAnsi="Times New Roman" w:cs="Times New Roman"/>
          <w:szCs w:val="24"/>
        </w:rPr>
      </w:pPr>
      <w:r w:rsidRPr="005E527E">
        <w:rPr>
          <w:rFonts w:ascii="Times New Roman" w:hAnsi="Times New Roman" w:cs="Times New Roman"/>
          <w:szCs w:val="24"/>
        </w:rPr>
        <w:t>Legislatívno-technická úprava vzhľadom na nové znenie § 11.</w:t>
      </w:r>
    </w:p>
    <w:p w:rsidR="00023860" w:rsidRPr="005E527E" w:rsidP="00023860">
      <w:pPr>
        <w:rPr>
          <w:rFonts w:ascii="Times New Roman" w:hAnsi="Times New Roman" w:cs="Times New Roman"/>
          <w:szCs w:val="24"/>
        </w:rPr>
      </w:pPr>
    </w:p>
    <w:p w:rsidR="00023860" w:rsidRPr="005E527E" w:rsidP="00023860">
      <w:pPr>
        <w:rPr>
          <w:rFonts w:ascii="Times New Roman" w:hAnsi="Times New Roman" w:cs="Times New Roman"/>
          <w:b/>
          <w:szCs w:val="24"/>
        </w:rPr>
      </w:pPr>
      <w:r>
        <w:rPr>
          <w:rFonts w:ascii="Times New Roman" w:hAnsi="Times New Roman" w:cs="Times New Roman"/>
          <w:b/>
          <w:szCs w:val="24"/>
        </w:rPr>
        <w:t>K bodu 11</w:t>
      </w:r>
    </w:p>
    <w:p w:rsidR="00023860" w:rsidRPr="005E527E" w:rsidP="00023860">
      <w:pPr>
        <w:rPr>
          <w:rFonts w:ascii="Times New Roman" w:hAnsi="Times New Roman" w:cs="Times New Roman"/>
          <w:szCs w:val="24"/>
        </w:rPr>
      </w:pPr>
      <w:r w:rsidRPr="005E527E">
        <w:rPr>
          <w:rFonts w:ascii="Times New Roman" w:hAnsi="Times New Roman" w:cs="Times New Roman"/>
          <w:szCs w:val="24"/>
        </w:rPr>
        <w:tab/>
      </w:r>
      <w:r>
        <w:rPr>
          <w:rFonts w:ascii="Times New Roman" w:hAnsi="Times New Roman" w:cs="Times New Roman"/>
          <w:szCs w:val="24"/>
        </w:rPr>
        <w:t>Vypúšťa sa povinnosť účastníka konania predkladať úradne overené podpisy na písomnom plnomocenstve.</w:t>
      </w:r>
    </w:p>
    <w:p w:rsidR="00023860" w:rsidP="00023860">
      <w:pPr>
        <w:rPr>
          <w:rFonts w:ascii="Times New Roman" w:hAnsi="Times New Roman" w:cs="Times New Roman"/>
          <w:b/>
          <w:szCs w:val="24"/>
        </w:rPr>
      </w:pPr>
    </w:p>
    <w:p w:rsidR="00023860" w:rsidRPr="005E527E" w:rsidP="00023860">
      <w:pPr>
        <w:rPr>
          <w:rFonts w:ascii="Times New Roman" w:hAnsi="Times New Roman" w:cs="Times New Roman"/>
          <w:b/>
          <w:szCs w:val="24"/>
        </w:rPr>
      </w:pPr>
      <w:r>
        <w:rPr>
          <w:rFonts w:ascii="Times New Roman" w:hAnsi="Times New Roman" w:cs="Times New Roman"/>
          <w:b/>
          <w:szCs w:val="24"/>
        </w:rPr>
        <w:t>K bodom 12 až 14</w:t>
      </w:r>
    </w:p>
    <w:p w:rsidR="00023860" w:rsidRPr="005E527E" w:rsidP="00023860">
      <w:pPr>
        <w:ind w:firstLine="708"/>
        <w:rPr>
          <w:rFonts w:ascii="Times New Roman" w:hAnsi="Times New Roman" w:cs="Times New Roman"/>
          <w:szCs w:val="24"/>
        </w:rPr>
      </w:pPr>
      <w:r w:rsidRPr="005E527E">
        <w:rPr>
          <w:rFonts w:ascii="Times New Roman" w:hAnsi="Times New Roman" w:cs="Times New Roman"/>
          <w:szCs w:val="24"/>
        </w:rPr>
        <w:t>Legislatívno-technická úpra</w:t>
      </w:r>
      <w:r>
        <w:rPr>
          <w:rFonts w:ascii="Times New Roman" w:hAnsi="Times New Roman" w:cs="Times New Roman"/>
          <w:szCs w:val="24"/>
        </w:rPr>
        <w:t>va vzhľadom na nové znenie § 11 a zmenu v § 25 ods. 4.</w:t>
      </w:r>
    </w:p>
    <w:p w:rsidR="00023860" w:rsidRPr="005E527E" w:rsidP="00023860">
      <w:pPr>
        <w:rPr>
          <w:rFonts w:ascii="Times New Roman" w:hAnsi="Times New Roman" w:cs="Times New Roman"/>
          <w:szCs w:val="24"/>
        </w:rPr>
      </w:pPr>
    </w:p>
    <w:p w:rsidR="00023860" w:rsidP="00023860">
      <w:pPr>
        <w:rPr>
          <w:rFonts w:ascii="Times New Roman" w:hAnsi="Times New Roman" w:cs="Times New Roman"/>
          <w:b/>
          <w:szCs w:val="24"/>
        </w:rPr>
      </w:pPr>
      <w:r>
        <w:rPr>
          <w:rFonts w:ascii="Times New Roman" w:hAnsi="Times New Roman" w:cs="Times New Roman"/>
          <w:b/>
          <w:szCs w:val="24"/>
        </w:rPr>
        <w:t>K bodu 15</w:t>
      </w:r>
    </w:p>
    <w:p w:rsidR="00023860" w:rsidRPr="005E527E" w:rsidP="00023860">
      <w:pPr>
        <w:rPr>
          <w:rFonts w:ascii="Times New Roman" w:hAnsi="Times New Roman" w:cs="Times New Roman"/>
          <w:szCs w:val="24"/>
        </w:rPr>
      </w:pPr>
      <w:r w:rsidRPr="005E527E">
        <w:rPr>
          <w:rFonts w:ascii="Times New Roman" w:hAnsi="Times New Roman" w:cs="Times New Roman"/>
          <w:szCs w:val="24"/>
        </w:rPr>
        <w:tab/>
        <w:t>Platné znenie stanovuje prekluzívnu lehotu, po skončení ktorej už nie je možné začatý výkon rozhodnutia dokončiť. Preto je potrebné zmeniť a zosúladiť toto ustanovenie so Správnym poriadkom tak, že v predmetnej lehote stačí nariadiť výkon rozhodnutia.</w:t>
      </w:r>
    </w:p>
    <w:p w:rsidR="00023860" w:rsidRPr="005E527E" w:rsidP="00023860">
      <w:pPr>
        <w:pStyle w:val="BodyText"/>
        <w:rPr>
          <w:rFonts w:ascii="Times New Roman" w:hAnsi="Times New Roman" w:cs="Times New Roman"/>
          <w:sz w:val="24"/>
          <w:szCs w:val="24"/>
        </w:rPr>
      </w:pPr>
    </w:p>
    <w:p w:rsidR="00023860" w:rsidRPr="005E527E" w:rsidP="00023860">
      <w:pPr>
        <w:pStyle w:val="BodyText"/>
        <w:rPr>
          <w:rFonts w:ascii="Times New Roman" w:hAnsi="Times New Roman" w:cs="Times New Roman"/>
          <w:b/>
          <w:sz w:val="24"/>
          <w:szCs w:val="24"/>
        </w:rPr>
      </w:pPr>
      <w:r>
        <w:rPr>
          <w:rFonts w:ascii="Times New Roman" w:hAnsi="Times New Roman" w:cs="Times New Roman"/>
          <w:b/>
          <w:sz w:val="24"/>
          <w:szCs w:val="24"/>
        </w:rPr>
        <w:t>K bodu 16</w:t>
      </w:r>
    </w:p>
    <w:p w:rsidR="00023860" w:rsidRPr="005E527E" w:rsidP="00023860">
      <w:pPr>
        <w:pStyle w:val="BodyText"/>
        <w:rPr>
          <w:rFonts w:ascii="Times New Roman" w:hAnsi="Times New Roman" w:cs="Times New Roman"/>
          <w:sz w:val="24"/>
          <w:szCs w:val="24"/>
        </w:rPr>
      </w:pPr>
      <w:r w:rsidRPr="005E527E">
        <w:rPr>
          <w:rFonts w:ascii="Times New Roman" w:hAnsi="Times New Roman" w:cs="Times New Roman"/>
          <w:sz w:val="24"/>
          <w:szCs w:val="24"/>
        </w:rPr>
        <w:tab/>
        <w:t>Ustanovenie odseku 5 umožňuje uložiť sankciu z dosiahnutého obratu tak podnikateľovi ako aj každej právnickej osobe. Platné znenie zároveň stanovuje výšku sankcie pre podnikateľa v prípade, ak dosiahne obrat do 330 eur, nedosiahne žiadny obrat, alebo ho nie je možné vyčísliť. Navrhované znenie jednoznačne určuje výpočet sankcie v takýchto prípadoch aj pre každú právnickú osobu (nielen podnikateľa), čo v</w:t>
      </w:r>
      <w:r w:rsidRPr="005E527E">
        <w:rPr>
          <w:rFonts w:ascii="Times New Roman" w:hAnsi="Times New Roman" w:cs="Times New Roman"/>
          <w:sz w:val="24"/>
          <w:szCs w:val="24"/>
        </w:rPr>
        <w:t> doterajšej úprave absentovalo.</w:t>
      </w:r>
    </w:p>
    <w:p w:rsidR="00023860" w:rsidRPr="005E527E" w:rsidP="00023860">
      <w:pPr>
        <w:rPr>
          <w:rFonts w:ascii="Times New Roman" w:hAnsi="Times New Roman" w:cs="Times New Roman"/>
          <w:szCs w:val="24"/>
        </w:rPr>
      </w:pPr>
    </w:p>
    <w:p w:rsidR="00023860" w:rsidRPr="005E527E" w:rsidP="00023860">
      <w:pPr>
        <w:pStyle w:val="BodyText"/>
        <w:rPr>
          <w:rFonts w:ascii="Times New Roman" w:hAnsi="Times New Roman" w:cs="Times New Roman"/>
          <w:b/>
          <w:sz w:val="24"/>
          <w:szCs w:val="24"/>
        </w:rPr>
      </w:pPr>
      <w:r>
        <w:rPr>
          <w:rFonts w:ascii="Times New Roman" w:hAnsi="Times New Roman" w:cs="Times New Roman"/>
          <w:b/>
          <w:sz w:val="24"/>
          <w:szCs w:val="24"/>
        </w:rPr>
        <w:t>K bodu 17</w:t>
      </w:r>
    </w:p>
    <w:p w:rsidR="00023860" w:rsidP="00023860">
      <w:pPr>
        <w:pStyle w:val="BodyText"/>
        <w:rPr>
          <w:rFonts w:ascii="Times New Roman" w:hAnsi="Times New Roman" w:cs="Times New Roman"/>
          <w:sz w:val="24"/>
          <w:szCs w:val="24"/>
        </w:rPr>
      </w:pPr>
      <w:r w:rsidRPr="005E527E">
        <w:rPr>
          <w:rFonts w:ascii="Times New Roman" w:hAnsi="Times New Roman" w:cs="Times New Roman"/>
          <w:sz w:val="24"/>
          <w:szCs w:val="24"/>
        </w:rPr>
        <w:tab/>
        <w:t>V prípade, že podnikateľ nezaplatí uloženú sankciu v lehote určenej v rozhodnutí úradu (a to aj v prípade, ak spolu so žalobou o prieskum zákonnosti rozhodnutia úradu podal na súd žiadosť o odklad vykonateľnosti rozhodnutia úradu – ide totiž len o žiadosť, ktorej súd nemusí vyhovieť)</w:t>
      </w:r>
      <w:r>
        <w:rPr>
          <w:rFonts w:ascii="Times New Roman" w:hAnsi="Times New Roman" w:cs="Times New Roman"/>
          <w:sz w:val="24"/>
          <w:szCs w:val="24"/>
        </w:rPr>
        <w:t>,</w:t>
      </w:r>
      <w:r w:rsidRPr="005E527E">
        <w:rPr>
          <w:rFonts w:ascii="Times New Roman" w:hAnsi="Times New Roman" w:cs="Times New Roman"/>
          <w:sz w:val="24"/>
          <w:szCs w:val="24"/>
        </w:rPr>
        <w:t xml:space="preserve"> hrozí podnikateľovi penále vo výške 0,1 % z dlžnej sumy uloženej pokuty za každý deň omeškania. Tento nástroj v praxi nepôsobí preventívne – výchovne. Naopak, vzhľadom na výšku uklad</w:t>
      </w:r>
      <w:r w:rsidRPr="005E527E">
        <w:rPr>
          <w:rFonts w:ascii="Times New Roman" w:hAnsi="Times New Roman" w:cs="Times New Roman"/>
          <w:sz w:val="24"/>
          <w:szCs w:val="24"/>
        </w:rPr>
        <w:t xml:space="preserve">aných sankcií v praxi predstavuje tzv. sekundárnu sankciu, ktorá </w:t>
      </w:r>
      <w:r>
        <w:rPr>
          <w:rFonts w:ascii="Times New Roman" w:hAnsi="Times New Roman" w:cs="Times New Roman"/>
          <w:sz w:val="24"/>
          <w:szCs w:val="24"/>
        </w:rPr>
        <w:t>môže byť</w:t>
      </w:r>
      <w:r w:rsidRPr="005E527E">
        <w:rPr>
          <w:rFonts w:ascii="Times New Roman" w:hAnsi="Times New Roman" w:cs="Times New Roman"/>
          <w:sz w:val="24"/>
          <w:szCs w:val="24"/>
        </w:rPr>
        <w:t xml:space="preserve"> navyše neúmerne vysoká.</w:t>
      </w:r>
    </w:p>
    <w:p w:rsidR="00023860" w:rsidRPr="005E527E" w:rsidP="00023860">
      <w:pPr>
        <w:pStyle w:val="BodyText"/>
        <w:rPr>
          <w:rFonts w:ascii="Times New Roman" w:hAnsi="Times New Roman" w:cs="Times New Roman"/>
          <w:sz w:val="24"/>
          <w:szCs w:val="24"/>
        </w:rPr>
      </w:pPr>
    </w:p>
    <w:p w:rsidR="00023860" w:rsidRPr="005E527E" w:rsidP="00023860">
      <w:pPr>
        <w:pStyle w:val="BodyText"/>
        <w:rPr>
          <w:rFonts w:ascii="Times New Roman" w:hAnsi="Times New Roman" w:cs="Times New Roman"/>
          <w:b/>
          <w:sz w:val="24"/>
          <w:szCs w:val="24"/>
        </w:rPr>
      </w:pPr>
      <w:r>
        <w:rPr>
          <w:rFonts w:ascii="Times New Roman" w:hAnsi="Times New Roman" w:cs="Times New Roman"/>
          <w:b/>
          <w:sz w:val="24"/>
          <w:szCs w:val="24"/>
        </w:rPr>
        <w:t>K bodu 18</w:t>
      </w:r>
      <w:r w:rsidRPr="005E527E">
        <w:rPr>
          <w:rFonts w:ascii="Times New Roman" w:hAnsi="Times New Roman" w:cs="Times New Roman"/>
          <w:b/>
          <w:sz w:val="24"/>
          <w:szCs w:val="24"/>
        </w:rPr>
        <w:tab/>
      </w:r>
    </w:p>
    <w:p w:rsidR="00023860" w:rsidRPr="005E527E" w:rsidP="00023860">
      <w:pPr>
        <w:pStyle w:val="BodyText"/>
        <w:rPr>
          <w:rFonts w:ascii="Times New Roman" w:hAnsi="Times New Roman" w:cs="Times New Roman"/>
          <w:sz w:val="24"/>
          <w:szCs w:val="24"/>
        </w:rPr>
      </w:pPr>
      <w:r w:rsidRPr="005E527E">
        <w:rPr>
          <w:rFonts w:ascii="Times New Roman" w:hAnsi="Times New Roman" w:cs="Times New Roman"/>
          <w:b/>
          <w:sz w:val="24"/>
          <w:szCs w:val="24"/>
        </w:rPr>
        <w:tab/>
      </w:r>
      <w:r>
        <w:rPr>
          <w:rFonts w:ascii="Times New Roman" w:hAnsi="Times New Roman" w:cs="Times New Roman"/>
          <w:sz w:val="24"/>
          <w:szCs w:val="24"/>
        </w:rPr>
        <w:t>Upravené vzhľadom na zmenu v bode 17 (§ 38 ods. 9)</w:t>
      </w:r>
      <w:r w:rsidRPr="005E527E">
        <w:rPr>
          <w:rFonts w:ascii="Times New Roman" w:hAnsi="Times New Roman" w:cs="Times New Roman"/>
          <w:sz w:val="24"/>
          <w:szCs w:val="24"/>
        </w:rPr>
        <w:t>.</w:t>
      </w:r>
    </w:p>
    <w:p w:rsidR="00023860" w:rsidRPr="005E527E" w:rsidP="00023860">
      <w:pPr>
        <w:jc w:val="both"/>
        <w:rPr>
          <w:rFonts w:ascii="Times New Roman" w:hAnsi="Times New Roman" w:cs="Times New Roman"/>
          <w:szCs w:val="24"/>
        </w:rPr>
      </w:pPr>
    </w:p>
    <w:p w:rsidR="00023860" w:rsidRPr="005E527E" w:rsidP="00023860">
      <w:pPr>
        <w:jc w:val="both"/>
        <w:rPr>
          <w:rFonts w:ascii="Times New Roman" w:hAnsi="Times New Roman" w:cs="Times New Roman"/>
          <w:b/>
          <w:szCs w:val="24"/>
        </w:rPr>
      </w:pPr>
      <w:r>
        <w:rPr>
          <w:rFonts w:ascii="Times New Roman" w:hAnsi="Times New Roman" w:cs="Times New Roman"/>
          <w:b/>
          <w:szCs w:val="24"/>
        </w:rPr>
        <w:t>K bodu 19</w:t>
      </w:r>
    </w:p>
    <w:p w:rsidR="00023860" w:rsidRPr="005E527E" w:rsidP="00023860">
      <w:pPr>
        <w:jc w:val="both"/>
        <w:rPr>
          <w:rFonts w:ascii="Times New Roman" w:hAnsi="Times New Roman" w:cs="Times New Roman"/>
          <w:szCs w:val="24"/>
        </w:rPr>
      </w:pPr>
      <w:r w:rsidRPr="005E527E">
        <w:rPr>
          <w:rFonts w:ascii="Times New Roman" w:hAnsi="Times New Roman" w:cs="Times New Roman"/>
          <w:szCs w:val="24"/>
        </w:rPr>
        <w:tab/>
        <w:t>Navrhujú sa prechodné ustanovenia k návrhu zákona.</w:t>
      </w:r>
    </w:p>
    <w:p w:rsidR="00023860" w:rsidRPr="005E527E" w:rsidP="00023860">
      <w:pPr>
        <w:jc w:val="both"/>
        <w:rPr>
          <w:rFonts w:ascii="Times New Roman" w:hAnsi="Times New Roman" w:cs="Times New Roman"/>
          <w:szCs w:val="24"/>
        </w:rPr>
      </w:pPr>
    </w:p>
    <w:p w:rsidR="00023860" w:rsidRPr="005E527E" w:rsidP="00023860">
      <w:pPr>
        <w:jc w:val="both"/>
        <w:rPr>
          <w:rFonts w:ascii="Times New Roman" w:hAnsi="Times New Roman" w:cs="Times New Roman"/>
          <w:szCs w:val="24"/>
        </w:rPr>
      </w:pPr>
    </w:p>
    <w:p w:rsidR="00023860" w:rsidRPr="005E527E" w:rsidP="00023860">
      <w:pPr>
        <w:jc w:val="both"/>
        <w:rPr>
          <w:rFonts w:ascii="Times New Roman" w:hAnsi="Times New Roman" w:cs="Times New Roman"/>
          <w:b/>
          <w:szCs w:val="24"/>
          <w:u w:val="single"/>
        </w:rPr>
      </w:pPr>
      <w:r w:rsidRPr="005E527E">
        <w:rPr>
          <w:rFonts w:ascii="Times New Roman" w:hAnsi="Times New Roman" w:cs="Times New Roman"/>
          <w:b/>
          <w:szCs w:val="24"/>
          <w:u w:val="single"/>
        </w:rPr>
        <w:t>K článku II</w:t>
      </w:r>
    </w:p>
    <w:p w:rsidR="00023860" w:rsidRPr="005E527E" w:rsidP="00023860">
      <w:pPr>
        <w:ind w:firstLine="720"/>
        <w:jc w:val="both"/>
        <w:rPr>
          <w:rFonts w:ascii="Times New Roman" w:hAnsi="Times New Roman" w:cs="Times New Roman"/>
          <w:szCs w:val="24"/>
        </w:rPr>
      </w:pPr>
      <w:r w:rsidRPr="005E527E">
        <w:rPr>
          <w:rFonts w:ascii="Times New Roman" w:hAnsi="Times New Roman" w:cs="Times New Roman"/>
          <w:szCs w:val="24"/>
        </w:rPr>
        <w:t>Účinnosť zá</w:t>
      </w:r>
      <w:r w:rsidRPr="005E527E">
        <w:rPr>
          <w:rFonts w:ascii="Times New Roman" w:hAnsi="Times New Roman" w:cs="Times New Roman"/>
          <w:szCs w:val="24"/>
        </w:rPr>
        <w:t>kona sa navrhuje 1. januára 2012.</w:t>
      </w:r>
    </w:p>
    <w:p w:rsidR="00023860" w:rsidRPr="005E527E" w:rsidP="00023860">
      <w:pPr>
        <w:rPr>
          <w:rFonts w:ascii="Times New Roman" w:hAnsi="Times New Roman" w:cs="Times New Roman"/>
          <w:szCs w:val="24"/>
        </w:rPr>
      </w:pPr>
    </w:p>
    <w:p w:rsidR="00023860" w:rsidP="00023860">
      <w:pPr>
        <w:jc w:val="both"/>
        <w:rPr>
          <w:rFonts w:ascii="Times New Roman" w:hAnsi="Times New Roman" w:cs="Times New Roman"/>
          <w:szCs w:val="24"/>
        </w:rPr>
      </w:pPr>
      <w:r w:rsidR="00D4510C">
        <w:rPr>
          <w:rFonts w:ascii="Times New Roman" w:hAnsi="Times New Roman" w:cs="Times New Roman"/>
          <w:szCs w:val="24"/>
        </w:rPr>
        <w:t>V Bratislave 17</w:t>
      </w:r>
      <w:r>
        <w:rPr>
          <w:rFonts w:ascii="Times New Roman" w:hAnsi="Times New Roman" w:cs="Times New Roman"/>
          <w:szCs w:val="24"/>
        </w:rPr>
        <w:t xml:space="preserve">. augusta 2011 </w:t>
      </w:r>
    </w:p>
    <w:p w:rsidR="00023860" w:rsidP="00023860">
      <w:pPr>
        <w:jc w:val="both"/>
        <w:rPr>
          <w:rFonts w:ascii="Times New Roman" w:hAnsi="Times New Roman" w:cs="Times New Roman"/>
          <w:szCs w:val="24"/>
        </w:rPr>
      </w:pPr>
    </w:p>
    <w:p w:rsidR="00023860" w:rsidP="00023860">
      <w:pPr>
        <w:jc w:val="both"/>
        <w:rPr>
          <w:rFonts w:ascii="Times New Roman" w:hAnsi="Times New Roman" w:cs="Times New Roman"/>
          <w:szCs w:val="24"/>
        </w:rPr>
      </w:pPr>
    </w:p>
    <w:p w:rsidR="00023860" w:rsidP="00023860">
      <w:pPr>
        <w:jc w:val="both"/>
        <w:rPr>
          <w:rFonts w:ascii="Times New Roman" w:hAnsi="Times New Roman" w:cs="Times New Roman"/>
          <w:szCs w:val="24"/>
        </w:rPr>
      </w:pPr>
    </w:p>
    <w:p w:rsidR="00023860" w:rsidP="00023860">
      <w:pPr>
        <w:jc w:val="both"/>
        <w:rPr>
          <w:rFonts w:ascii="Times New Roman" w:hAnsi="Times New Roman" w:cs="Times New Roman"/>
          <w:szCs w:val="24"/>
        </w:rPr>
      </w:pPr>
    </w:p>
    <w:p w:rsidR="00023860" w:rsidP="00023860">
      <w:pPr>
        <w:jc w:val="both"/>
        <w:rPr>
          <w:rFonts w:ascii="Times New Roman" w:hAnsi="Times New Roman" w:cs="Times New Roman"/>
          <w:szCs w:val="24"/>
        </w:rPr>
      </w:pPr>
    </w:p>
    <w:p w:rsidR="00023860" w:rsidP="00023860">
      <w:pPr>
        <w:jc w:val="both"/>
        <w:rPr>
          <w:rFonts w:ascii="Times New Roman" w:hAnsi="Times New Roman" w:cs="Times New Roman"/>
          <w:szCs w:val="24"/>
        </w:rPr>
      </w:pPr>
    </w:p>
    <w:p w:rsidR="00023860" w:rsidP="00023860">
      <w:pPr>
        <w:jc w:val="both"/>
        <w:rPr>
          <w:rFonts w:ascii="Times New Roman" w:hAnsi="Times New Roman" w:cs="Times New Roman"/>
          <w:szCs w:val="24"/>
        </w:rPr>
      </w:pPr>
    </w:p>
    <w:p w:rsidR="00023860" w:rsidRPr="004A006E" w:rsidP="00023860">
      <w:pPr>
        <w:jc w:val="center"/>
        <w:rPr>
          <w:rFonts w:ascii="Times New Roman" w:hAnsi="Times New Roman" w:cs="Times New Roman"/>
          <w:b/>
          <w:szCs w:val="24"/>
        </w:rPr>
      </w:pPr>
      <w:r w:rsidRPr="004A006E">
        <w:rPr>
          <w:rFonts w:ascii="Times New Roman" w:hAnsi="Times New Roman" w:cs="Times New Roman"/>
          <w:b/>
          <w:szCs w:val="24"/>
        </w:rPr>
        <w:t>Iveta Radičová</w:t>
      </w:r>
      <w:r>
        <w:rPr>
          <w:rFonts w:ascii="Times New Roman" w:hAnsi="Times New Roman" w:cs="Times New Roman"/>
          <w:b/>
          <w:szCs w:val="24"/>
        </w:rPr>
        <w:t>, v.r.</w:t>
      </w:r>
    </w:p>
    <w:p w:rsidR="00023860" w:rsidP="00023860">
      <w:pPr>
        <w:jc w:val="center"/>
        <w:rPr>
          <w:rFonts w:ascii="Times New Roman" w:hAnsi="Times New Roman" w:cs="Times New Roman"/>
          <w:szCs w:val="24"/>
        </w:rPr>
      </w:pPr>
      <w:r>
        <w:rPr>
          <w:rFonts w:ascii="Times New Roman" w:hAnsi="Times New Roman" w:cs="Times New Roman"/>
          <w:szCs w:val="24"/>
        </w:rPr>
        <w:t>predsedníčka vlády Slovenskej republiky</w:t>
      </w:r>
    </w:p>
    <w:p w:rsidR="00023860" w:rsidP="00023860">
      <w:pPr>
        <w:jc w:val="center"/>
        <w:rPr>
          <w:rFonts w:ascii="Times New Roman" w:hAnsi="Times New Roman" w:cs="Times New Roman"/>
          <w:szCs w:val="24"/>
        </w:rPr>
      </w:pPr>
    </w:p>
    <w:p w:rsidR="00023860" w:rsidP="00023860">
      <w:pPr>
        <w:jc w:val="center"/>
        <w:rPr>
          <w:rFonts w:ascii="Times New Roman" w:hAnsi="Times New Roman" w:cs="Times New Roman"/>
          <w:szCs w:val="24"/>
        </w:rPr>
      </w:pPr>
    </w:p>
    <w:p w:rsidR="00023860" w:rsidP="00023860">
      <w:pPr>
        <w:jc w:val="center"/>
        <w:rPr>
          <w:rFonts w:ascii="Times New Roman" w:hAnsi="Times New Roman" w:cs="Times New Roman"/>
          <w:szCs w:val="24"/>
        </w:rPr>
      </w:pPr>
    </w:p>
    <w:p w:rsidR="00023860" w:rsidP="00023860">
      <w:pPr>
        <w:jc w:val="center"/>
        <w:rPr>
          <w:rFonts w:ascii="Times New Roman" w:hAnsi="Times New Roman" w:cs="Times New Roman"/>
          <w:szCs w:val="24"/>
        </w:rPr>
      </w:pPr>
    </w:p>
    <w:p w:rsidR="00023860" w:rsidP="00023860">
      <w:pPr>
        <w:jc w:val="center"/>
        <w:rPr>
          <w:rFonts w:ascii="Times New Roman" w:hAnsi="Times New Roman" w:cs="Times New Roman"/>
          <w:szCs w:val="24"/>
        </w:rPr>
      </w:pPr>
    </w:p>
    <w:p w:rsidR="00023860" w:rsidP="00023860">
      <w:pPr>
        <w:jc w:val="center"/>
        <w:rPr>
          <w:rFonts w:ascii="Times New Roman" w:hAnsi="Times New Roman" w:cs="Times New Roman"/>
          <w:szCs w:val="24"/>
        </w:rPr>
      </w:pPr>
    </w:p>
    <w:p w:rsidR="00023860" w:rsidRPr="00E46F1B" w:rsidP="00023860">
      <w:pPr>
        <w:jc w:val="center"/>
        <w:rPr>
          <w:rFonts w:ascii="Times New Roman" w:hAnsi="Times New Roman" w:cs="Times New Roman"/>
          <w:b/>
          <w:szCs w:val="24"/>
        </w:rPr>
      </w:pPr>
    </w:p>
    <w:p w:rsidR="00023860" w:rsidRPr="00E46F1B" w:rsidP="00023860">
      <w:pPr>
        <w:jc w:val="center"/>
        <w:rPr>
          <w:rFonts w:ascii="Times New Roman" w:hAnsi="Times New Roman" w:cs="Times New Roman"/>
          <w:b/>
          <w:szCs w:val="24"/>
        </w:rPr>
      </w:pPr>
      <w:r>
        <w:rPr>
          <w:rFonts w:ascii="Times New Roman" w:hAnsi="Times New Roman" w:cs="Times New Roman"/>
          <w:b/>
          <w:szCs w:val="24"/>
        </w:rPr>
        <w:t>Danica Paroulko</w:t>
      </w:r>
      <w:r w:rsidRPr="00E46F1B">
        <w:rPr>
          <w:rFonts w:ascii="Times New Roman" w:hAnsi="Times New Roman" w:cs="Times New Roman"/>
          <w:b/>
          <w:szCs w:val="24"/>
        </w:rPr>
        <w:t>vá, v. r.</w:t>
      </w:r>
    </w:p>
    <w:p w:rsidR="00023860" w:rsidRPr="00E46F1B" w:rsidP="00023860">
      <w:pPr>
        <w:jc w:val="center"/>
        <w:rPr>
          <w:rFonts w:ascii="Times New Roman" w:hAnsi="Times New Roman" w:cs="Times New Roman"/>
          <w:szCs w:val="24"/>
        </w:rPr>
      </w:pPr>
      <w:r w:rsidRPr="00E46F1B">
        <w:rPr>
          <w:rFonts w:ascii="Times New Roman" w:hAnsi="Times New Roman" w:cs="Times New Roman"/>
          <w:szCs w:val="24"/>
        </w:rPr>
        <w:t>predsedníčka Protimonopolného úradu</w:t>
      </w:r>
    </w:p>
    <w:p w:rsidR="00023860" w:rsidRPr="00E46F1B" w:rsidP="00023860">
      <w:pPr>
        <w:jc w:val="center"/>
        <w:rPr>
          <w:rFonts w:ascii="Times New Roman" w:hAnsi="Times New Roman" w:cs="Times New Roman"/>
          <w:szCs w:val="24"/>
        </w:rPr>
      </w:pPr>
      <w:r w:rsidRPr="00E46F1B">
        <w:rPr>
          <w:rFonts w:ascii="Times New Roman" w:hAnsi="Times New Roman" w:cs="Times New Roman"/>
          <w:szCs w:val="24"/>
        </w:rPr>
        <w:t>Slovenskej republiky</w:t>
      </w:r>
    </w:p>
    <w:p w:rsidR="00023860" w:rsidRPr="00E46F1B" w:rsidP="00023860">
      <w:pPr>
        <w:jc w:val="center"/>
        <w:rPr>
          <w:rFonts w:ascii="Times New Roman" w:hAnsi="Times New Roman" w:cs="Times New Roman"/>
          <w:szCs w:val="24"/>
        </w:rPr>
      </w:pPr>
    </w:p>
    <w:p w:rsidR="00454068" w:rsidRPr="00023860" w:rsidP="00023860">
      <w:pPr>
        <w:rPr>
          <w:rFonts w:ascii="Times New Roman" w:hAnsi="Times New Roman" w:cs="Times New Roman"/>
          <w:szCs w:val="24"/>
        </w:rPr>
      </w:pPr>
    </w:p>
    <w:sectPr w:rsidSect="00060D83">
      <w:headerReference w:type="default" r:id="rId5"/>
      <w:footerReference w:type="default" r:id="rId6"/>
      <w:pgSz w:w="11906" w:h="16838"/>
      <w:pgMar w:top="1417" w:right="1417" w:bottom="1417" w:left="1417" w:header="708" w:footer="708"/>
      <w:lnNumType w:distance="0"/>
      <w:cols w:space="708"/>
      <w:noEndnote w:val="0"/>
      <w:titlePg/>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00000000" w:usb1="00000000" w:usb2="00000000" w:usb3="00000000" w:csb0="000001FF" w:csb1="00000000"/>
  </w:font>
  <w:font w:name="Arial">
    <w:altName w:val="Times New Roman"/>
    <w:panose1 w:val="020B0604020202020204"/>
    <w:charset w:val="EE"/>
    <w:family w:val="swiss"/>
    <w:pitch w:val="variable"/>
    <w:sig w:usb0="00000000" w:usb1="00000000" w:usb2="00000000" w:usb3="00000000" w:csb0="000001FF" w:csb1="00000000"/>
  </w:font>
  <w:font w:name="Tahoma">
    <w:altName w:val="Tahoma"/>
    <w:panose1 w:val="020B0604030504040204"/>
    <w:charset w:val="EE"/>
    <w:family w:val="swiss"/>
    <w:pitch w:val="variable"/>
    <w:sig w:usb0="00000000" w:usb1="00000000" w:usb2="00000000" w:usb3="00000000" w:csb0="000101FF" w:csb1="00000000"/>
  </w:font>
  <w:font w:name="Arial Narrow">
    <w:panose1 w:val="020B0506020202030204"/>
    <w:charset w:val="EE"/>
    <w:family w:val="swiss"/>
    <w:pitch w:val="variable"/>
    <w:sig w:usb0="00000000" w:usb1="00000000" w:usb2="00000000" w:usb3="00000000" w:csb0="0000009F" w:csb1="00000000"/>
  </w:font>
  <w:font w:name="Calibri">
    <w:altName w:val="Century Gothic"/>
    <w:panose1 w:val="020F0502020204030204"/>
    <w:charset w:val="EE"/>
    <w:family w:val="swiss"/>
    <w:pitch w:val="variable"/>
    <w:sig w:usb0="00000000" w:usb1="00000000" w:usb2="00000000" w:usb3="00000000" w:csb0="0000009F" w:csb1="00000000"/>
  </w:font>
  <w:font w:name="MS Sans Serif">
    <w:altName w:val="Arial"/>
    <w:panose1 w:val="00000000000000000000"/>
    <w:charset w:val="00"/>
    <w:family w:val="swiss"/>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11B" w:rsidP="00060D83">
    <w:pPr>
      <w:pStyle w:val="Footer"/>
      <w:framePr w:vAnchor="text" w:hAnchor="margin" w:xAlign="center"/>
      <w:rPr>
        <w:rStyle w:val="PageNumber"/>
        <w:rFonts w:ascii="Times New Roman" w:hAnsi="Times New Roman" w:cs="Times New Roman"/>
        <w:szCs w:val="24"/>
      </w:rPr>
    </w:pPr>
    <w:r>
      <w:rPr>
        <w:rStyle w:val="PageNumber"/>
        <w:rFonts w:ascii="Times New Roman" w:hAnsi="Times New Roman" w:cs="Times New Roman"/>
        <w:szCs w:val="24"/>
      </w:rPr>
      <w:fldChar w:fldCharType="begin"/>
    </w:r>
    <w:r>
      <w:rPr>
        <w:rStyle w:val="PageNumber"/>
        <w:rFonts w:ascii="Times New Roman" w:hAnsi="Times New Roman" w:cs="Times New Roman"/>
        <w:szCs w:val="24"/>
      </w:rPr>
      <w:instrText xml:space="preserve">PAGE  </w:instrText>
    </w:r>
    <w:r>
      <w:rPr>
        <w:rStyle w:val="PageNumber"/>
        <w:rFonts w:ascii="Times New Roman" w:hAnsi="Times New Roman" w:cs="Times New Roman"/>
        <w:szCs w:val="24"/>
      </w:rPr>
      <w:fldChar w:fldCharType="separate"/>
    </w:r>
    <w:r w:rsidR="00D4510C">
      <w:rPr>
        <w:rStyle w:val="PageNumber"/>
        <w:rFonts w:ascii="Times New Roman" w:hAnsi="Times New Roman" w:cs="Times New Roman"/>
        <w:noProof/>
        <w:szCs w:val="24"/>
      </w:rPr>
      <w:t>11</w:t>
    </w:r>
    <w:r>
      <w:rPr>
        <w:rStyle w:val="PageNumber"/>
        <w:rFonts w:ascii="Times New Roman" w:hAnsi="Times New Roman" w:cs="Times New Roman"/>
        <w:szCs w:val="24"/>
      </w:rPr>
      <w:fldChar w:fldCharType="end"/>
    </w:r>
  </w:p>
  <w:p w:rsidR="0029711B">
    <w:pPr>
      <w:pStyle w:val="Footer"/>
      <w:rPr>
        <w:rFonts w:ascii="Times New Roman" w:hAnsi="Times New Roman" w:cs="Times New Roman"/>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0D83">
      <w:pPr>
        <w:rPr>
          <w:rFonts w:ascii="Times New Roman" w:hAnsi="Times New Roman" w:cs="Times New Roman"/>
          <w:szCs w:val="24"/>
        </w:rPr>
      </w:pPr>
      <w:r>
        <w:rPr>
          <w:rFonts w:ascii="Times New Roman" w:hAnsi="Times New Roman" w:cs="Times New Roman"/>
          <w:szCs w:val="24"/>
        </w:rPr>
        <w:separator/>
      </w:r>
    </w:p>
  </w:footnote>
  <w:footnote w:type="continuationSeparator" w:id="1">
    <w:p w:rsidR="00060D83">
      <w:pPr>
        <w:rPr>
          <w:rFonts w:ascii="Times New Roman" w:hAnsi="Times New Roman" w:cs="Times New Roman"/>
          <w:szCs w:val="24"/>
        </w:rPr>
      </w:pPr>
      <w:r>
        <w:rPr>
          <w:rFonts w:ascii="Times New Roman" w:hAnsi="Times New Roman" w:cs="Times New Roman"/>
          <w:szCs w:val="24"/>
        </w:rPr>
        <w:continuationSeparator/>
      </w:r>
    </w:p>
  </w:footnote>
  <w:footnote w:id="2">
    <w:p w:rsidP="00023860">
      <w:pPr>
        <w:pStyle w:val="FootnoteText"/>
        <w:rPr>
          <w:szCs w:val="24"/>
        </w:rPr>
      </w:pPr>
      <w:r w:rsidR="00023860">
        <w:rPr>
          <w:rStyle w:val="FootnoteReference"/>
          <w:szCs w:val="24"/>
        </w:rPr>
        <w:footnoteRef/>
      </w:r>
      <w:r w:rsidR="00023860">
        <w:rPr>
          <w:szCs w:val="24"/>
        </w:rPr>
        <w:t xml:space="preserve"> </w:t>
      </w:r>
      <w:r w:rsidRPr="00B116E2" w:rsidR="00023860">
        <w:rPr>
          <w:rFonts w:ascii="MS Sans Serif" w:hAnsi="MS Sans Serif" w:cs="MS Sans Serif"/>
          <w:color w:val="000000"/>
          <w:szCs w:val="24"/>
        </w:rPr>
        <w:t>http://www.antimon.gov.sk/files/33/2010/Usmernenie%20prednotifika</w:t>
      </w:r>
      <w:r w:rsidRPr="00B116E2" w:rsidR="00023860">
        <w:rPr>
          <w:rFonts w:ascii="MS Sans Serif" w:hAnsi="MS Sans Serif" w:cs="MS Sans Serif"/>
          <w:color w:val="000000"/>
          <w:szCs w:val="24"/>
        </w:rPr>
        <w:t>čné%20kontakty.rtf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11B">
    <w:pPr>
      <w:pStyle w:val="Header"/>
      <w:rPr>
        <w:rFonts w:ascii="Times New Roman" w:hAnsi="Times New Roman" w:cs="Times New Roman"/>
        <w:szCs w:val="24"/>
      </w:rPr>
    </w:pPr>
    <w:r>
      <w:rPr>
        <w:rFonts w:ascii="Times New Roman" w:hAnsi="Times New Roman" w:cs="Times New Roman"/>
        <w:szCs w:val="24"/>
      </w:rPr>
      <w:tab/>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B66E01"/>
    <w:multiLevelType w:val="hybridMultilevel"/>
    <w:tmpl w:val="D3D063D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4164FC9"/>
    <w:multiLevelType w:val="hybridMultilevel"/>
    <w:tmpl w:val="7BECA5E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C645C37"/>
    <w:multiLevelType w:val="hybridMultilevel"/>
    <w:tmpl w:val="35F080D8"/>
    <w:lvl w:ilvl="0">
      <w:start w:val="36"/>
      <w:numFmt w:val="decimal"/>
      <w:lvlText w:val="%1."/>
      <w:lvlJc w:val="left"/>
      <w:pPr>
        <w:tabs>
          <w:tab w:val="num" w:pos="720"/>
        </w:tabs>
        <w:ind w:left="720" w:hanging="360"/>
      </w:pPr>
      <w:rPr>
        <w:rFonts w:hint="default"/>
      </w:rPr>
    </w:lvl>
    <w:lvl w:ilvl="1">
      <w:start w:val="1"/>
      <w:numFmt w:val="lowerLetter"/>
      <w:lvlText w:val="%2)"/>
      <w:lvlJc w:val="left"/>
      <w:pPr>
        <w:tabs>
          <w:tab w:val="num" w:pos="900"/>
        </w:tabs>
        <w:ind w:left="900" w:hanging="360"/>
      </w:pPr>
      <w:rPr>
        <w:rFonts w:ascii="Times New Roman" w:eastAsia="Times New Roman" w:hAnsi="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oNotHyphenateCaps/>
  <w:characterSpacingControl w:val="doNotCompress"/>
  <w:footnotePr>
    <w:footnote w:id="0"/>
    <w:footnote w:id="1"/>
  </w:footnotePr>
  <w:compat>
    <w:useWord2002TableStyleRules/>
    <w:growAutofit/>
    <w:doNotUseIndentAsNumberingTabStop/>
    <w:allowSpaceOfSameStyleInTable/>
    <w:splitPgBreakAndParaMark/>
    <w:useAnsiKerningPairs/>
  </w:compat>
  <w:rsids>
    <w:rsidRoot w:val="000F28E2"/>
    <w:rsid w:val="0000194B"/>
    <w:rsid w:val="00023860"/>
    <w:rsid w:val="00051103"/>
    <w:rsid w:val="00060D83"/>
    <w:rsid w:val="000F28E2"/>
    <w:rsid w:val="00113283"/>
    <w:rsid w:val="001A4A9C"/>
    <w:rsid w:val="00217DDB"/>
    <w:rsid w:val="0029711B"/>
    <w:rsid w:val="002B22B3"/>
    <w:rsid w:val="00313012"/>
    <w:rsid w:val="0036570E"/>
    <w:rsid w:val="003D43BA"/>
    <w:rsid w:val="00454068"/>
    <w:rsid w:val="00454496"/>
    <w:rsid w:val="00485160"/>
    <w:rsid w:val="004A006E"/>
    <w:rsid w:val="00524787"/>
    <w:rsid w:val="00525CD0"/>
    <w:rsid w:val="005E527E"/>
    <w:rsid w:val="005F6EA1"/>
    <w:rsid w:val="00646198"/>
    <w:rsid w:val="00660BE8"/>
    <w:rsid w:val="00693478"/>
    <w:rsid w:val="0069463F"/>
    <w:rsid w:val="006B7FFB"/>
    <w:rsid w:val="006E5259"/>
    <w:rsid w:val="007438B9"/>
    <w:rsid w:val="007535EB"/>
    <w:rsid w:val="007768F5"/>
    <w:rsid w:val="00824994"/>
    <w:rsid w:val="008549ED"/>
    <w:rsid w:val="008869E8"/>
    <w:rsid w:val="00942CDF"/>
    <w:rsid w:val="009A0524"/>
    <w:rsid w:val="009B6B88"/>
    <w:rsid w:val="009D2485"/>
    <w:rsid w:val="009E09CD"/>
    <w:rsid w:val="009F7A9E"/>
    <w:rsid w:val="00A605C5"/>
    <w:rsid w:val="00A87C49"/>
    <w:rsid w:val="00AB4138"/>
    <w:rsid w:val="00AD02E3"/>
    <w:rsid w:val="00AD2AF3"/>
    <w:rsid w:val="00B116E2"/>
    <w:rsid w:val="00B35FD6"/>
    <w:rsid w:val="00B40AD6"/>
    <w:rsid w:val="00B71AB2"/>
    <w:rsid w:val="00BC726D"/>
    <w:rsid w:val="00BF0FEB"/>
    <w:rsid w:val="00C61578"/>
    <w:rsid w:val="00CB60C5"/>
    <w:rsid w:val="00CE05B3"/>
    <w:rsid w:val="00D4510C"/>
    <w:rsid w:val="00D569EE"/>
    <w:rsid w:val="00DA349E"/>
    <w:rsid w:val="00DC2A9C"/>
    <w:rsid w:val="00E46F1B"/>
    <w:rsid w:val="00EA7286"/>
    <w:rsid w:val="00F72E8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rsid w:val="000F28E2"/>
    <w:pPr>
      <w:widowControl/>
      <w:autoSpaceDE/>
      <w:autoSpaceDN/>
      <w:adjustRightInd/>
      <w:ind w:left="0" w:right="0"/>
      <w:jc w:val="left"/>
      <w:textAlignment w:val="auto"/>
    </w:pPr>
    <w:rPr>
      <w:sz w:val="24"/>
      <w:lang w:val="sk-SK" w:eastAsia="en-US"/>
    </w:rPr>
  </w:style>
  <w:style w:type="character" w:default="1" w:styleId="DefaultParagraphFont">
    <w:name w:val="Default Paragraph Font"/>
    <w:link w:val="CharCharChar"/>
    <w:uiPriority w:val="99"/>
    <w:semiHidden/>
  </w:style>
  <w:style w:type="table" w:default="1" w:styleId="TableNormal">
    <w:name w:val="Normal Table"/>
    <w:uiPriority w:val="99"/>
    <w:semiHidden/>
    <w:tblPr>
      <w:tblCellMar>
        <w:top w:w="0" w:type="dxa"/>
        <w:left w:w="108" w:type="dxa"/>
        <w:bottom w:w="0" w:type="dxa"/>
        <w:right w:w="108" w:type="dxa"/>
      </w:tblCellMar>
    </w:tblPr>
  </w:style>
  <w:style w:type="paragraph" w:styleId="Footer">
    <w:name w:val="footer"/>
    <w:basedOn w:val="Normal"/>
    <w:uiPriority w:val="99"/>
    <w:rsid w:val="000F28E2"/>
    <w:pPr>
      <w:tabs>
        <w:tab w:val="center" w:pos="4536"/>
        <w:tab w:val="right" w:pos="9072"/>
      </w:tabs>
      <w:jc w:val="left"/>
    </w:pPr>
  </w:style>
  <w:style w:type="character" w:styleId="PageNumber">
    <w:name w:val="page number"/>
    <w:basedOn w:val="DefaultParagraphFont"/>
    <w:uiPriority w:val="99"/>
    <w:rsid w:val="000F28E2"/>
  </w:style>
  <w:style w:type="paragraph" w:styleId="BodyText">
    <w:name w:val="Body Text"/>
    <w:basedOn w:val="Normal"/>
    <w:link w:val="BodyTextChar"/>
    <w:uiPriority w:val="99"/>
    <w:rsid w:val="000F28E2"/>
    <w:pPr>
      <w:jc w:val="both"/>
    </w:pPr>
    <w:rPr>
      <w:rFonts w:ascii="Calibri" w:hAnsi="Calibri" w:cs="Calibri"/>
      <w:sz w:val="28"/>
      <w:lang w:eastAsia="sk-SK"/>
    </w:rPr>
  </w:style>
  <w:style w:type="character" w:customStyle="1" w:styleId="BodyTextChar">
    <w:name w:val="Body Text Char"/>
    <w:basedOn w:val="DefaultParagraphFont"/>
    <w:link w:val="BodyText"/>
    <w:uiPriority w:val="99"/>
    <w:rsid w:val="000F28E2"/>
    <w:rPr>
      <w:rFonts w:ascii="Calibri" w:hAnsi="Calibri" w:cs="Calibri"/>
      <w:sz w:val="28"/>
      <w:lang w:val="sk-SK" w:eastAsia="sk-SK"/>
    </w:rPr>
  </w:style>
  <w:style w:type="character" w:styleId="Emphasis">
    <w:name w:val="Emphasis"/>
    <w:basedOn w:val="DefaultParagraphFont"/>
    <w:uiPriority w:val="99"/>
    <w:rsid w:val="000F28E2"/>
    <w:rPr>
      <w:i/>
    </w:rPr>
  </w:style>
  <w:style w:type="paragraph" w:styleId="ListParagraph">
    <w:name w:val="List Paragraph"/>
    <w:basedOn w:val="Normal"/>
    <w:uiPriority w:val="99"/>
    <w:rsid w:val="000F28E2"/>
    <w:pPr>
      <w:ind w:left="720"/>
      <w:jc w:val="left"/>
    </w:pPr>
    <w:rPr>
      <w:lang w:val="cs-CZ" w:eastAsia="cs-CZ"/>
    </w:rPr>
  </w:style>
  <w:style w:type="paragraph" w:styleId="PlainText">
    <w:name w:val="Plain Text"/>
    <w:basedOn w:val="Normal"/>
    <w:uiPriority w:val="99"/>
    <w:rsid w:val="000F28E2"/>
    <w:pPr>
      <w:jc w:val="left"/>
    </w:pPr>
    <w:rPr>
      <w:rFonts w:ascii="Arial Narrow" w:hAnsi="Arial Narrow" w:cs="Arial Narrow"/>
      <w:sz w:val="22"/>
      <w:lang w:eastAsia="sk-SK"/>
    </w:rPr>
  </w:style>
  <w:style w:type="paragraph" w:styleId="Header">
    <w:name w:val="header"/>
    <w:basedOn w:val="Normal"/>
    <w:uiPriority w:val="99"/>
    <w:rsid w:val="00454068"/>
    <w:pPr>
      <w:tabs>
        <w:tab w:val="center" w:pos="4320"/>
        <w:tab w:val="right" w:pos="8640"/>
      </w:tabs>
      <w:jc w:val="left"/>
    </w:pPr>
  </w:style>
  <w:style w:type="paragraph" w:styleId="Title">
    <w:name w:val="Title"/>
    <w:basedOn w:val="Normal"/>
    <w:link w:val="TitleChar"/>
    <w:uiPriority w:val="99"/>
    <w:rsid w:val="00454068"/>
    <w:pPr>
      <w:jc w:val="center"/>
    </w:pPr>
    <w:rPr>
      <w:rFonts w:ascii="Calibri" w:hAnsi="Calibri" w:cs="Calibri"/>
      <w:b/>
      <w:lang w:eastAsia="sk-SK"/>
    </w:rPr>
  </w:style>
  <w:style w:type="character" w:customStyle="1" w:styleId="TitleChar">
    <w:name w:val="Title Char"/>
    <w:basedOn w:val="DefaultParagraphFont"/>
    <w:link w:val="Title"/>
    <w:uiPriority w:val="99"/>
    <w:rsid w:val="00454068"/>
    <w:rPr>
      <w:rFonts w:ascii="Calibri" w:hAnsi="Calibri" w:cs="Calibri"/>
      <w:b/>
      <w:sz w:val="24"/>
      <w:lang w:val="sk-SK" w:eastAsia="sk-SK"/>
    </w:rPr>
  </w:style>
  <w:style w:type="paragraph" w:styleId="FootnoteText">
    <w:name w:val="footnote text"/>
    <w:basedOn w:val="Normal"/>
    <w:link w:val="FootnoteTextChar"/>
    <w:uiPriority w:val="99"/>
    <w:semiHidden/>
    <w:rsid w:val="00454068"/>
    <w:pPr>
      <w:jc w:val="left"/>
    </w:pPr>
    <w:rPr>
      <w:rFonts w:ascii="Calibri" w:hAnsi="Calibri" w:cs="Calibri"/>
      <w:sz w:val="20"/>
    </w:rPr>
  </w:style>
  <w:style w:type="character" w:customStyle="1" w:styleId="FootnoteTextChar">
    <w:name w:val="Footnote Text Char"/>
    <w:basedOn w:val="DefaultParagraphFont"/>
    <w:link w:val="FootnoteText"/>
    <w:uiPriority w:val="99"/>
    <w:semiHidden/>
    <w:rsid w:val="00454068"/>
    <w:rPr>
      <w:rFonts w:ascii="Calibri" w:eastAsia="Times New Roman" w:hAnsi="Calibri"/>
      <w:lang w:val="sk-SK" w:eastAsia="en-US"/>
    </w:rPr>
  </w:style>
  <w:style w:type="character" w:styleId="FootnoteReference">
    <w:name w:val="footnote reference"/>
    <w:basedOn w:val="DefaultParagraphFont"/>
    <w:uiPriority w:val="99"/>
    <w:semiHidden/>
    <w:rsid w:val="00454068"/>
    <w:rPr>
      <w:vertAlign w:val="superscript"/>
    </w:rPr>
  </w:style>
  <w:style w:type="paragraph" w:customStyle="1" w:styleId="CharCharChar">
    <w:name w:val="Char Char Char"/>
    <w:basedOn w:val="Normal"/>
    <w:link w:val="DefaultParagraphFont"/>
    <w:uiPriority w:val="99"/>
    <w:rsid w:val="00E46F1B"/>
    <w:pPr>
      <w:spacing w:after="160" w:line="240" w:lineRule="exact"/>
      <w:jc w:val="left"/>
    </w:pPr>
    <w:rPr>
      <w:rFonts w:ascii="Tahoma" w:hAnsi="Tahoma" w:cs="Tahoma"/>
      <w:sz w:val="20"/>
      <w:lang w:val="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TotalTime>
  <Pages>11</Pages>
  <Words>3694</Words>
  <Characters>21056</Characters>
  <Application>Microsoft Office Word</Application>
  <DocSecurity>0</DocSecurity>
  <Lines>0</Lines>
  <Paragraphs>0</Paragraphs>
  <ScaleCrop>false</ScaleCrop>
  <Company>PMU SR</Company>
  <LinksUpToDate>false</LinksUpToDate>
  <CharactersWithSpaces>24701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Dôvodová správa</dc:title>
  <dc:creator>Nosa Michaela</dc:creator>
  <cp:lastModifiedBy>sramelova</cp:lastModifiedBy>
  <cp:revision>4</cp:revision>
  <dcterms:created xsi:type="dcterms:W3CDTF">2011-08-18T11:31:00Z</dcterms:created>
  <dcterms:modified xsi:type="dcterms:W3CDTF">2011-08-18T14:02:00Z</dcterms:modified>
</cp:coreProperties>
</file>