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0B5C" w:rsidP="00AC0B5C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AC0B5C" w:rsidP="00AC0B5C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AC0B5C" w:rsidP="00AC0B5C">
      <w:pPr>
        <w:bidi w:val="0"/>
        <w:rPr>
          <w:rFonts w:ascii="Times New Roman" w:hAnsi="Times New Roman"/>
          <w:color w:val="000000"/>
        </w:rPr>
      </w:pPr>
    </w:p>
    <w:p w:rsidR="00AC0B5C" w:rsidP="00AC0B5C">
      <w:pPr>
        <w:bidi w:val="0"/>
        <w:rPr>
          <w:rFonts w:ascii="Times New Roman" w:hAnsi="Times New Roman"/>
          <w:color w:val="000000"/>
        </w:rPr>
      </w:pPr>
    </w:p>
    <w:p w:rsidR="00AC0B5C" w:rsidP="00AC0B5C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A.1.     Názov materiálu: </w:t>
      </w:r>
    </w:p>
    <w:p w:rsidR="00AC0B5C" w:rsidP="00AC0B5C">
      <w:pPr>
        <w:bidi w:val="0"/>
        <w:ind w:left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Návrh zákona návrh zákona, ktorým sa mení a dopĺňa zákon č. 315/2001 Z. z. o Hasičskom a záchrannom zbore v znení neskorších predpisov a o zmene a doplnení zákona č. 314/2001 Z. z. o ochrane pred požiarmi v znení neskorších predpisov </w:t>
        <w:br/>
        <w:br/>
        <w:t> </w:t>
      </w:r>
    </w:p>
    <w:p w:rsidR="00AC0B5C" w:rsidP="00AC0B5C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2704AC">
        <w:rPr>
          <w:rFonts w:ascii="Times New Roman" w:hAnsi="Times New Roman"/>
          <w:color w:val="000000"/>
        </w:rPr>
        <w:t xml:space="preserve"> 15.6.2011-20.6.2011  </w:t>
      </w:r>
    </w:p>
    <w:p w:rsidR="00AC0B5C" w:rsidP="00AC0B5C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C0B5C" w:rsidP="00AC0B5C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86"/>
        <w:gridCol w:w="1212"/>
        <w:gridCol w:w="1212"/>
        <w:gridCol w:w="121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0B5C" w:rsidP="00390F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AC0B5C" w:rsidP="00AC0B5C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C0B5C" w:rsidP="00AC0B5C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C0B5C" w:rsidP="00AC0B5C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AC0B5C" w:rsidP="00AC0B5C">
      <w:pPr>
        <w:bidi w:val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Návrh ustanovení, ktoré upravujú problematiku vysielania príslušníkov Hasičského a záchranného zboru na  vykonávanie štátnej služby v zahraničí na plnenie úloh v misii bude mať vplyv iba na rozpočet Hasičského a záchranného zboru v dôsledku úhrady nárokov na zahraničný príplatok a náhradu výdavkov v zahraničí. Ročný objem finančných prostriedkov na predpokladané vyslanie dvoch príslušníkov predstavuje sumu 130 765 €, z toho v kategórii 610 - mzdy, platy, služobné príjmy a ostatné osobné vyrovnania v sume 26 400 €, v kategórii 620 - poistné a príspevok do poisťovní v sume 8 765 € a v kategórii 630 tovary a služby (podpoložka 631002) v sume 95 600 € na náhradu výdavkov spojených s dopravou do miesta vykonávania štátnej služby v zahraničí, sťahovanie osobných vecí a výdavky spojené s pobytom manželky a dieťaťa. </w:t>
      </w:r>
    </w:p>
    <w:p w:rsidR="00AC0B5C" w:rsidP="00AC0B5C">
      <w:pPr>
        <w:bidi w:val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Zvýšené výdavky na vykonávanie štátnej služby v zahraničí na plnenie úloh v misii budú kryté v rámci kapitoly Ministerstva vnútra Slovenskej republiky z rozpočtu Hasičského a záchranného zboru.</w:t>
      </w:r>
    </w:p>
    <w:p w:rsidR="00AC0B5C" w:rsidP="00AC0B5C">
      <w:pPr>
        <w:bidi w:val="0"/>
        <w:spacing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C0B5C" w:rsidP="00AC0B5C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AC0B5C" w:rsidP="00AC0B5C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C0B5C" w:rsidP="00AC0B5C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C0B5C" w:rsidP="00AC0B5C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C0B5C" w:rsidP="00AC0B5C">
      <w:pPr>
        <w:bidi w:val="0"/>
        <w:spacing w:before="12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AC0B5C" w:rsidRPr="00D25AF7" w:rsidP="00AC0B5C">
      <w:pPr>
        <w:bidi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Ministerstvo financií Slovenskej republiky v časti vplyvov na rozpočet verejnej správy uplatnilo pripomienky, ktoré boli akceptované v prílohe č. 1. </w:t>
      </w:r>
    </w:p>
    <w:p w:rsidR="00AC0B5C" w:rsidP="00AC0B5C">
      <w:pPr>
        <w:bidi w:val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Ministerstvo hospodárstva Slovenskej republiky v časti vplyvov na podnikateľské prostredie bez pripomienok.</w:t>
      </w:r>
    </w:p>
    <w:p w:rsidR="00AC0B5C" w:rsidP="00AC0B5C">
      <w:pPr>
        <w:bidi w:val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Ministerstvo práce, sociálnych vecí a rodiny Slovenskej republiky v časti sociálne vplyvy bez pripomienok.</w:t>
      </w:r>
    </w:p>
    <w:p w:rsidR="00AC0B5C" w:rsidP="00AC0B5C">
      <w:pPr>
        <w:bidi w:val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Ministerstvo životného prostredia Slovenskej republiky v časti vplyvov na životné prostredie bez pripomienok.</w:t>
      </w:r>
    </w:p>
    <w:p w:rsidR="00AC0B5C" w:rsidP="00AC0B5C">
      <w:pPr>
        <w:bidi w:val="0"/>
        <w:spacing w:after="28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C0B5C" w:rsidP="00416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61A1" w:rsidP="004161A1">
      <w:pPr>
        <w:bidi w:val="0"/>
        <w:jc w:val="center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4161A1" w:rsidP="004161A1">
      <w:pPr>
        <w:bidi w:val="0"/>
        <w:jc w:val="center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2.1. Zhrnutie vplyvov na rozpočet verejnej správy v návrhu</w:t>
      </w:r>
    </w:p>
    <w:p w:rsidR="004161A1" w:rsidP="004161A1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29" w:type="dxa"/>
        <w:tblCellMar>
          <w:left w:w="0" w:type="dxa"/>
          <w:right w:w="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4161A1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4161A1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130 765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DF602B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 tom: </w:t>
            </w:r>
            <w:r w:rsidR="004B33ED">
              <w:rPr>
                <w:rFonts w:ascii="Times New Roman" w:hAnsi="Times New Roman"/>
              </w:rPr>
              <w:t>MV SR</w:t>
            </w:r>
            <w:r>
              <w:rPr>
                <w:rFonts w:ascii="Times New Roman" w:hAnsi="Times New Roman"/>
              </w:rPr>
              <w:t xml:space="preserve"> / </w:t>
            </w:r>
            <w:r w:rsidR="004B33ED">
              <w:rPr>
                <w:rFonts w:ascii="Times New Roman" w:hAnsi="Times New Roman"/>
              </w:rPr>
              <w:t>04A</w:t>
            </w:r>
            <w:r w:rsidR="00833A00">
              <w:rPr>
                <w:rFonts w:ascii="Times New Roman" w:hAnsi="Times New Roman"/>
              </w:rPr>
              <w:t xml:space="preserve"> záchranné zložky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Financovanie zabezpečené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4161A1">
              <w:rPr>
                <w:rFonts w:ascii="Times New Roman" w:hAnsi="Times New Roman"/>
                <w:b/>
                <w:bCs/>
              </w:rPr>
              <w:t>rozpočte</w:t>
            </w:r>
            <w:r>
              <w:rPr>
                <w:rFonts w:ascii="Times New Roman" w:hAnsi="Times New Roman"/>
                <w:b/>
                <w:bCs/>
              </w:rPr>
              <w:t xml:space="preserve"> 04A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E84A6B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A727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A727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A727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130 765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DF602B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 tom: </w:t>
            </w:r>
            <w:r w:rsidR="004B33ED">
              <w:rPr>
                <w:rFonts w:ascii="Times New Roman" w:hAnsi="Times New Roman"/>
              </w:rPr>
              <w:t>MVSR</w:t>
            </w:r>
            <w:r>
              <w:rPr>
                <w:rFonts w:ascii="Times New Roman" w:hAnsi="Times New Roman"/>
              </w:rPr>
              <w:t xml:space="preserve"> / 04A</w:t>
            </w:r>
            <w:r w:rsidR="00DF602B">
              <w:rPr>
                <w:rFonts w:ascii="Times New Roman" w:hAnsi="Times New Roman"/>
              </w:rPr>
              <w:t xml:space="preserve"> záchranné zložky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A727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A727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A727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8452C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8452C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8452C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8452C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8452C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2.2. Financovanie návrhu</w:t>
      </w:r>
    </w:p>
    <w:p w:rsidR="004161A1" w:rsidP="004161A1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4161A1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D145E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D145E" w:rsidRPr="004161A1" w:rsidP="00EA74FB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130 765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D145E" w:rsidRPr="004161A1" w:rsidP="00A727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130 765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D145E" w:rsidRPr="004161A1" w:rsidP="00A727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130 765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D145E" w:rsidRPr="004161A1" w:rsidP="00A727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130 765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6C121A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151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A727A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A727A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A727A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130 765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13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8452C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8452C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8452C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8452C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8452C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8452C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4161A1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RPr="00174093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  <w:r w:rsidRPr="00174093" w:rsidR="000B672E">
        <w:rPr>
          <w:rFonts w:ascii="Times New Roman" w:hAnsi="Times New Roman"/>
          <w:bCs/>
        </w:rPr>
        <w:t>Zvýšené vý</w:t>
      </w:r>
      <w:r w:rsidRPr="00174093" w:rsidR="00174093">
        <w:rPr>
          <w:rFonts w:ascii="Times New Roman" w:hAnsi="Times New Roman"/>
          <w:bCs/>
        </w:rPr>
        <w:t xml:space="preserve">davky </w:t>
      </w:r>
      <w:r w:rsidRPr="002A467E" w:rsidR="009D145E">
        <w:rPr>
          <w:rFonts w:ascii="Times New Roman" w:hAnsi="Times New Roman"/>
        </w:rPr>
        <w:t>na  vykonávanie štátnej služby v zahraničí na plnenie úloh v misii</w:t>
      </w:r>
      <w:r w:rsidRPr="00174093" w:rsidR="009D145E">
        <w:rPr>
          <w:rFonts w:ascii="Times New Roman" w:hAnsi="Times New Roman"/>
          <w:bCs/>
        </w:rPr>
        <w:t xml:space="preserve"> </w:t>
      </w:r>
      <w:r w:rsidRPr="00174093" w:rsidR="00174093">
        <w:rPr>
          <w:rFonts w:ascii="Times New Roman" w:hAnsi="Times New Roman"/>
          <w:bCs/>
        </w:rPr>
        <w:t xml:space="preserve">budú kryté </w:t>
      </w:r>
      <w:r w:rsidR="009D145E">
        <w:rPr>
          <w:rFonts w:ascii="Times New Roman" w:hAnsi="Times New Roman"/>
          <w:bCs/>
        </w:rPr>
        <w:t xml:space="preserve">v rámci kapitoly Ministerstva vnútra Slovenskej republiky </w:t>
      </w:r>
      <w:r w:rsidRPr="00174093" w:rsidR="00174093">
        <w:rPr>
          <w:rFonts w:ascii="Times New Roman" w:hAnsi="Times New Roman"/>
          <w:bCs/>
        </w:rPr>
        <w:t>z rozpočtu Hasičského a záchranného zboru</w:t>
      </w:r>
      <w:r w:rsidRPr="00174093" w:rsidR="000B672E">
        <w:rPr>
          <w:rFonts w:ascii="Times New Roman" w:hAnsi="Times New Roman"/>
          <w:bCs/>
        </w:rPr>
        <w:t>.</w:t>
      </w:r>
    </w:p>
    <w:p w:rsidR="004161A1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174093">
        <w:rPr>
          <w:rFonts w:ascii="Times New Roman" w:hAnsi="Times New Roman"/>
          <w:bCs/>
        </w:rPr>
        <w:t> </w:t>
      </w:r>
      <w:r w:rsidR="00174093">
        <w:rPr>
          <w:rFonts w:ascii="Times New Roman" w:hAnsi="Times New Roman"/>
          <w:b/>
          <w:bCs/>
        </w:rPr>
        <w:t xml:space="preserve"> </w:t>
      </w:r>
    </w:p>
    <w:p w:rsidR="004161A1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</w:p>
    <w:p w:rsidR="00022995" w:rsidP="004161A1">
      <w:pPr>
        <w:bidi w:val="0"/>
        <w:rPr>
          <w:rFonts w:ascii="Times New Roman" w:hAnsi="Times New Roman"/>
          <w:b/>
          <w:bCs/>
        </w:rPr>
      </w:pPr>
    </w:p>
    <w:p w:rsidR="00022995" w:rsidP="004161A1">
      <w:pPr>
        <w:bidi w:val="0"/>
        <w:rPr>
          <w:rFonts w:ascii="Times New Roman" w:hAnsi="Times New Roman"/>
          <w:b/>
          <w:bCs/>
        </w:rPr>
      </w:pP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 Popis a charakteristika návrhu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jc w:val="both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2.3.1. Popis návrhu:</w:t>
      </w:r>
    </w:p>
    <w:p w:rsidR="004161A1" w:rsidP="004161A1">
      <w:pPr>
        <w:bidi w:val="0"/>
        <w:jc w:val="both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4161A1" w:rsidRPr="002A467E" w:rsidP="004161A1">
      <w:pPr>
        <w:bidi w:val="0"/>
        <w:ind w:firstLine="708"/>
        <w:jc w:val="both"/>
        <w:rPr>
          <w:rFonts w:ascii="Times New Roman" w:hAnsi="Times New Roman"/>
        </w:rPr>
      </w:pPr>
      <w:r w:rsidRPr="002A467E" w:rsidR="002A467E">
        <w:rPr>
          <w:rFonts w:ascii="Times New Roman" w:hAnsi="Times New Roman"/>
        </w:rPr>
        <w:t>Návrh je vypracovaný v nadväznosti na navrhované ustanovenia, ktoré upravujú problematiku vysielania príslušníkov Hasičského a záchranného zboru na  vykonávanie štátnej služby v zahraničí na plnenie úloh v misii. Návrh bude implementovaný Ministerstvom vnútra Slovenskej republiky.</w:t>
      </w:r>
    </w:p>
    <w:p w:rsidR="004161A1" w:rsidRPr="002A467E" w:rsidP="004161A1">
      <w:pPr>
        <w:bidi w:val="0"/>
        <w:rPr>
          <w:rFonts w:ascii="Times New Roman" w:hAnsi="Times New Roman"/>
        </w:rPr>
      </w:pPr>
      <w:r w:rsidRPr="002A467E"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2.3.2. Charakteristika návrhu podľa bodu  2.3.2. Metodiky :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bdr w:val="single" w:sz="4" w:space="0" w:color="000000" w:frame="1"/>
        </w:rPr>
        <w:t xml:space="preserve">     </w:t>
      </w:r>
      <w:r w:rsidRPr="004161A1">
        <w:rPr>
          <w:rFonts w:ascii="Times New Roman" w:hAnsi="Times New Roman"/>
          <w:b/>
          <w:bCs/>
        </w:rPr>
        <w:t xml:space="preserve">  </w:t>
      </w:r>
      <w:r>
        <w:rPr>
          <w:rFonts w:ascii="Times New Roman" w:hAnsi="Times New Roman"/>
        </w:rPr>
        <w:t>zmena sadzby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zmena v nároku</w:t>
      </w:r>
    </w:p>
    <w:p w:rsidR="004161A1" w:rsidP="002E4644">
      <w:pPr>
        <w:bidi w:val="0"/>
        <w:rPr>
          <w:rFonts w:ascii="Times New Roman" w:hAnsi="Times New Roman"/>
        </w:rPr>
      </w:pPr>
      <w:r w:rsidR="000B672E">
        <w:rPr>
          <w:rFonts w:ascii="Times New Roman" w:hAnsi="Times New Roman"/>
          <w:bdr w:val="single" w:sz="4" w:space="0" w:color="000000" w:frame="1"/>
        </w:rPr>
        <w:t>x</w:t>
      </w:r>
      <w:r>
        <w:rPr>
          <w:rFonts w:ascii="Times New Roman" w:hAnsi="Times New Roman"/>
          <w:bdr w:val="single" w:sz="4" w:space="0" w:color="000000" w:frame="1"/>
        </w:rPr>
        <w:t xml:space="preserve">  </w:t>
      </w:r>
      <w:r>
        <w:rPr>
          <w:rFonts w:ascii="Times New Roman" w:hAnsi="Times New Roman"/>
        </w:rPr>
        <w:t>  nová služba alebo nariadenie (alebo ich zrušenie)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kombinovaný návrh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 xml:space="preserve">  iné 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2.3.3. Predpoklady vývoja objemu aktivít: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Jasne popíšte, v prípade potreby použite nižšie uvedenú tabuľku. Uveďte aj odhady základov daní a/alebo poplatkov, ak sa ich táto zmena týka.</w:t>
      </w:r>
    </w:p>
    <w:p w:rsidR="004161A1" w:rsidP="004161A1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4161A1" w:rsidP="004161A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4161A1" w:rsidP="004161A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4161A1" w:rsidP="004161A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34148F" w:rsidP="004161A1">
      <w:pPr>
        <w:bidi w:val="0"/>
        <w:rPr>
          <w:rFonts w:ascii="Times New Roman" w:hAnsi="Times New Roman"/>
        </w:rPr>
      </w:pPr>
    </w:p>
    <w:p w:rsidR="0034148F" w:rsidP="004161A1">
      <w:pPr>
        <w:bidi w:val="0"/>
        <w:rPr>
          <w:rFonts w:ascii="Times New Roman" w:hAnsi="Times New Roman"/>
        </w:rPr>
      </w:pP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161A1" w:rsidP="004161A1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2.3.4. Výpočty vplyvov na verejné financie</w:t>
      </w:r>
    </w:p>
    <w:p w:rsidR="004161A1" w:rsidP="004161A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B672E" w:rsidP="000B672E">
      <w:pPr>
        <w:bidi w:val="0"/>
        <w:jc w:val="both"/>
        <w:rPr>
          <w:rFonts w:ascii="Times New Roman" w:hAnsi="Times New Roman"/>
          <w:color w:val="000000"/>
        </w:rPr>
      </w:pPr>
      <w:r w:rsidR="001867BE">
        <w:rPr>
          <w:rFonts w:ascii="Times New Roman" w:hAnsi="Times New Roman"/>
          <w:color w:val="000000"/>
        </w:rPr>
        <w:tab/>
      </w:r>
      <w:r w:rsidRPr="002A467E" w:rsidR="001867BE">
        <w:rPr>
          <w:rFonts w:ascii="Times New Roman" w:hAnsi="Times New Roman"/>
        </w:rPr>
        <w:t xml:space="preserve">Návrh </w:t>
      </w:r>
      <w:r w:rsidR="001867BE">
        <w:rPr>
          <w:rFonts w:ascii="Times New Roman" w:hAnsi="Times New Roman"/>
        </w:rPr>
        <w:t>u</w:t>
      </w:r>
      <w:r w:rsidRPr="002A467E" w:rsidR="001867BE">
        <w:rPr>
          <w:rFonts w:ascii="Times New Roman" w:hAnsi="Times New Roman"/>
        </w:rPr>
        <w:t>stanoven</w:t>
      </w:r>
      <w:r w:rsidR="001867BE">
        <w:rPr>
          <w:rFonts w:ascii="Times New Roman" w:hAnsi="Times New Roman"/>
        </w:rPr>
        <w:t>í</w:t>
      </w:r>
      <w:r w:rsidRPr="002A467E" w:rsidR="001867BE">
        <w:rPr>
          <w:rFonts w:ascii="Times New Roman" w:hAnsi="Times New Roman"/>
        </w:rPr>
        <w:t>, ktoré upravujú problematiku vysielania príslušníkov Hasičského a záchranného zboru na  vykonávanie štátnej služby v zahraničí na plne</w:t>
      </w:r>
      <w:r w:rsidR="001867BE">
        <w:rPr>
          <w:rFonts w:ascii="Times New Roman" w:hAnsi="Times New Roman"/>
        </w:rPr>
        <w:t xml:space="preserve">nie úloh v misii bude mať </w:t>
      </w:r>
      <w:r>
        <w:rPr>
          <w:rFonts w:ascii="Times New Roman" w:hAnsi="Times New Roman"/>
          <w:color w:val="000000"/>
        </w:rPr>
        <w:t xml:space="preserve">vplyv </w:t>
      </w:r>
      <w:r w:rsidR="001867BE">
        <w:rPr>
          <w:rFonts w:ascii="Times New Roman" w:hAnsi="Times New Roman"/>
          <w:color w:val="000000"/>
        </w:rPr>
        <w:t xml:space="preserve">iba </w:t>
      </w:r>
      <w:r>
        <w:rPr>
          <w:rFonts w:ascii="Times New Roman" w:hAnsi="Times New Roman"/>
          <w:color w:val="000000"/>
        </w:rPr>
        <w:t xml:space="preserve">na rozpočet </w:t>
      </w:r>
      <w:r w:rsidR="001867BE">
        <w:rPr>
          <w:rFonts w:ascii="Times New Roman" w:hAnsi="Times New Roman"/>
          <w:color w:val="000000"/>
        </w:rPr>
        <w:t>Hasičského a záchranného zboru</w:t>
      </w:r>
      <w:r w:rsidR="004B234A">
        <w:rPr>
          <w:rFonts w:ascii="Times New Roman" w:hAnsi="Times New Roman"/>
          <w:color w:val="000000"/>
        </w:rPr>
        <w:t xml:space="preserve"> v dôsledku úhrady </w:t>
      </w:r>
      <w:r>
        <w:rPr>
          <w:rFonts w:ascii="Times New Roman" w:hAnsi="Times New Roman"/>
          <w:color w:val="000000"/>
        </w:rPr>
        <w:t>nárok</w:t>
      </w:r>
      <w:r w:rsidR="004B234A">
        <w:rPr>
          <w:rFonts w:ascii="Times New Roman" w:hAnsi="Times New Roman"/>
          <w:color w:val="000000"/>
        </w:rPr>
        <w:t>ov</w:t>
      </w:r>
      <w:r>
        <w:rPr>
          <w:rFonts w:ascii="Times New Roman" w:hAnsi="Times New Roman"/>
          <w:color w:val="000000"/>
        </w:rPr>
        <w:t xml:space="preserve"> na zahraničný príplatok a náhradu výdavkov</w:t>
      </w:r>
      <w:r w:rsidR="004B234A">
        <w:rPr>
          <w:rFonts w:ascii="Times New Roman" w:hAnsi="Times New Roman"/>
          <w:color w:val="000000"/>
        </w:rPr>
        <w:t xml:space="preserve"> v zahraničí</w:t>
      </w:r>
      <w:r>
        <w:rPr>
          <w:rFonts w:ascii="Times New Roman" w:hAnsi="Times New Roman"/>
          <w:color w:val="000000"/>
        </w:rPr>
        <w:t xml:space="preserve">. Ročný </w:t>
      </w:r>
      <w:r w:rsidR="004B234A">
        <w:rPr>
          <w:rFonts w:ascii="Times New Roman" w:hAnsi="Times New Roman"/>
          <w:color w:val="000000"/>
        </w:rPr>
        <w:t>objem</w:t>
      </w:r>
      <w:r>
        <w:rPr>
          <w:rFonts w:ascii="Times New Roman" w:hAnsi="Times New Roman"/>
          <w:color w:val="000000"/>
        </w:rPr>
        <w:t xml:space="preserve"> finančných prostriedkov </w:t>
      </w:r>
      <w:r w:rsidR="004B234A">
        <w:rPr>
          <w:rFonts w:ascii="Times New Roman" w:hAnsi="Times New Roman"/>
          <w:color w:val="000000"/>
        </w:rPr>
        <w:t xml:space="preserve">na predpokladané vyslanie dvoch príslušníkov </w:t>
      </w:r>
      <w:r>
        <w:rPr>
          <w:rFonts w:ascii="Times New Roman" w:hAnsi="Times New Roman"/>
          <w:color w:val="000000"/>
        </w:rPr>
        <w:t>predstavuje sumu 1</w:t>
      </w:r>
      <w:r w:rsidR="004B234A">
        <w:rPr>
          <w:rFonts w:ascii="Times New Roman" w:hAnsi="Times New Roman"/>
          <w:color w:val="000000"/>
        </w:rPr>
        <w:t>30 765</w:t>
      </w:r>
      <w:r>
        <w:rPr>
          <w:rFonts w:ascii="Times New Roman" w:hAnsi="Times New Roman"/>
          <w:color w:val="000000"/>
        </w:rPr>
        <w:t xml:space="preserve"> €, z toho v kategórii 610 - mzdy, platy, služobné príjmy a ostatné osobné vyrovnania v sume </w:t>
      </w:r>
      <w:r w:rsidR="004B234A">
        <w:rPr>
          <w:rFonts w:ascii="Times New Roman" w:hAnsi="Times New Roman"/>
          <w:color w:val="000000"/>
        </w:rPr>
        <w:t>26 400</w:t>
      </w:r>
      <w:r>
        <w:rPr>
          <w:rFonts w:ascii="Times New Roman" w:hAnsi="Times New Roman"/>
          <w:color w:val="000000"/>
        </w:rPr>
        <w:t xml:space="preserve"> €, v kategórii 620 - poistné a príspevok do poisťovní v sume </w:t>
      </w:r>
      <w:r w:rsidR="004B234A">
        <w:rPr>
          <w:rFonts w:ascii="Times New Roman" w:hAnsi="Times New Roman"/>
          <w:color w:val="000000"/>
        </w:rPr>
        <w:t>8 765</w:t>
      </w:r>
      <w:r>
        <w:rPr>
          <w:rFonts w:ascii="Times New Roman" w:hAnsi="Times New Roman"/>
          <w:color w:val="000000"/>
        </w:rPr>
        <w:t xml:space="preserve"> € a v kategórii 630 tovary a služby (podpoložka 631002)  v sume </w:t>
      </w:r>
      <w:r w:rsidR="004B234A">
        <w:rPr>
          <w:rFonts w:ascii="Times New Roman" w:hAnsi="Times New Roman"/>
          <w:color w:val="000000"/>
        </w:rPr>
        <w:t>95 600</w:t>
      </w:r>
      <w:r>
        <w:rPr>
          <w:rFonts w:ascii="Times New Roman" w:hAnsi="Times New Roman"/>
          <w:color w:val="000000"/>
        </w:rPr>
        <w:t xml:space="preserve"> €  na náhradu výdavkov s</w:t>
      </w:r>
      <w:r w:rsidR="00E63567">
        <w:rPr>
          <w:rFonts w:ascii="Times New Roman" w:hAnsi="Times New Roman"/>
          <w:color w:val="000000"/>
        </w:rPr>
        <w:t>pojených s dopravou do miesta vykonávania štátnej</w:t>
      </w:r>
      <w:r>
        <w:rPr>
          <w:rFonts w:ascii="Times New Roman" w:hAnsi="Times New Roman"/>
          <w:color w:val="000000"/>
        </w:rPr>
        <w:t xml:space="preserve"> služby v zahraničí, sťahovanie osobných vecí a výdavky spojené s pobytom manželky a dieťaťa. </w:t>
      </w:r>
    </w:p>
    <w:p w:rsidR="004161A1" w:rsidP="004161A1">
      <w:pPr>
        <w:bidi w:val="0"/>
        <w:jc w:val="both"/>
        <w:rPr>
          <w:rFonts w:ascii="Times New Roman" w:hAnsi="Times New Roman"/>
        </w:rPr>
        <w:sectPr>
          <w:headerReference w:type="default" r:id="rId5"/>
          <w:footerReference w:type="even" r:id="rId6"/>
          <w:footerReference w:type="default" r:id="rId7"/>
          <w:pgSz w:w="12240" w:h="15840"/>
          <w:pgMar w:top="1417" w:right="1417" w:bottom="1417" w:left="1417" w:header="708" w:footer="708" w:gutter="0"/>
          <w:lnNumType w:distance="0"/>
          <w:cols w:space="708"/>
          <w:noEndnote w:val="0"/>
          <w:bidi w:val="0"/>
          <w:rtlGutter/>
        </w:sectPr>
      </w:pPr>
      <w:r w:rsidR="00943EB2">
        <w:rPr>
          <w:rFonts w:ascii="Times New Roman" w:hAnsi="Times New Roman"/>
        </w:rPr>
        <w:t> </w:t>
      </w:r>
    </w:p>
    <w:p w:rsidR="00943EB2" w:rsidP="00943EB2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Daňové príjmy (100)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Nedaňové príjmy (200)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Granty a transfery (300)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BB7494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="00943EB2">
        <w:rPr>
          <w:rFonts w:ascii="Times New Roman" w:hAnsi="Times New Roman"/>
          <w:sz w:val="20"/>
          <w:szCs w:val="20"/>
        </w:rPr>
        <w:t xml:space="preserve">1 –  príjmy rozpísať až do položiek platnej ekonomickej klasifikácie    </w:t>
      </w:r>
    </w:p>
    <w:p w:rsidR="00BB7494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</w:p>
    <w:p w:rsidR="00943EB2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BB74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Tabuľka č. 5 </w:t>
      </w:r>
    </w:p>
    <w:tbl>
      <w:tblPr>
        <w:tblStyle w:val="TableNormal"/>
        <w:tblW w:w="15450" w:type="dxa"/>
        <w:tblInd w:w="-1223" w:type="dxa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 + 1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 + 2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130 765 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130 765 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130 765 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130 765 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26 400 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26 400 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26 400 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26 400 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8 765 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8 765 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8 765 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8 765 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Tovary a služby (630)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 xml:space="preserve">2                </w:t>
            </w:r>
            <w:r w:rsidRPr="00610400">
              <w:rPr>
                <w:rFonts w:ascii="Times New Roman" w:hAnsi="Times New Roman"/>
                <w:vertAlign w:val="superscript"/>
              </w:rPr>
              <w:t>631 002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95 600 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95 600 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95 600 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P="00F41EB4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95 600 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Bežné transfery (640)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RPr="0006112F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12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Splácanie úrokov a ostatné platby súvisiace s úvermi, pôžičkami a NFV (650)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RPr="0006112F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12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RPr="0006112F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12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Obstarávanie kapitálových aktív (710)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 w:rsidRPr="0006112F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12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Kapitálové transfery (720)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D145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 w:rsidP="00AA1F1E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130 765 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 w:rsidP="00AA1F1E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130 765 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 w:rsidP="00AA1F1E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130 765 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 w:rsidP="00AA1F1E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130 765 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B33ED" w:rsidRPr="0058452C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52C">
              <w:rPr>
                <w:rFonts w:ascii="Times New Roman" w:hAnsi="Times New Roman"/>
                <w:sz w:val="20"/>
                <w:szCs w:val="20"/>
              </w:rPr>
              <w:t>130 765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B33ED" w:rsidRPr="0058452C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52C">
              <w:rPr>
                <w:rFonts w:ascii="Times New Roman" w:hAnsi="Times New Roman"/>
                <w:sz w:val="20"/>
                <w:szCs w:val="20"/>
              </w:rPr>
              <w:t>130 765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B33ED" w:rsidRPr="0058452C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52C">
              <w:rPr>
                <w:rFonts w:ascii="Times New Roman" w:hAnsi="Times New Roman"/>
                <w:sz w:val="20"/>
                <w:szCs w:val="20"/>
              </w:rPr>
              <w:t>130 765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B33ED" w:rsidRPr="0058452C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52C">
              <w:rPr>
                <w:rFonts w:ascii="Times New Roman" w:hAnsi="Times New Roman"/>
                <w:sz w:val="20"/>
                <w:szCs w:val="20"/>
              </w:rPr>
              <w:t>130 765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Bežné výdavky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(600)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B33ED" w:rsidRPr="0058452C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52C">
              <w:rPr>
                <w:rFonts w:ascii="Times New Roman" w:hAnsi="Times New Roman"/>
                <w:sz w:val="20"/>
                <w:szCs w:val="20"/>
              </w:rPr>
              <w:t>130 765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B33ED" w:rsidRPr="0058452C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52C">
              <w:rPr>
                <w:rFonts w:ascii="Times New Roman" w:hAnsi="Times New Roman"/>
                <w:sz w:val="20"/>
                <w:szCs w:val="20"/>
              </w:rPr>
              <w:t>130 765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B33ED" w:rsidRPr="0058452C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52C">
              <w:rPr>
                <w:rFonts w:ascii="Times New Roman" w:hAnsi="Times New Roman"/>
                <w:sz w:val="20"/>
                <w:szCs w:val="20"/>
              </w:rPr>
              <w:t>130 765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B33ED" w:rsidRPr="0058452C" w:rsidP="007A3837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52C">
              <w:rPr>
                <w:rFonts w:ascii="Times New Roman" w:hAnsi="Times New Roman"/>
                <w:sz w:val="20"/>
                <w:szCs w:val="20"/>
              </w:rPr>
              <w:t>130 765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   </w:t>
            </w:r>
            <w:r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 w:rsidP="0058452C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26 400 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 w:rsidP="0058452C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26 400 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 w:rsidP="0058452C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26 400 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 w:rsidP="0058452C">
            <w:pPr>
              <w:pStyle w:val="NormalWeb"/>
              <w:bidi w:val="0"/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26 400 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 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4B33E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B33E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B33E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B33E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B33E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B33E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B33ED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943EB2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2 –  výdavky rozpísať až do položiek platnej ekonomickej klasifikácie</w:t>
      </w:r>
    </w:p>
    <w:p w:rsidR="00943EB2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                 Tabuľka č. 6 </w:t>
      </w:r>
    </w:p>
    <w:tbl>
      <w:tblPr>
        <w:tblStyle w:val="TableNormal"/>
        <w:tblpPr w:leftFromText="141" w:rightFromText="141" w:vertAnchor="text" w:horzAnchor="margin" w:tblpXSpec="center" w:tblpY="170"/>
        <w:tblW w:w="15114" w:type="dxa"/>
        <w:tblCellMar>
          <w:left w:w="0" w:type="dxa"/>
          <w:right w:w="0" w:type="dxa"/>
        </w:tblCellMar>
      </w:tblPr>
      <w:tblGrid>
        <w:gridCol w:w="5932"/>
        <w:gridCol w:w="1500"/>
        <w:gridCol w:w="1598"/>
        <w:gridCol w:w="564"/>
        <w:gridCol w:w="1491"/>
        <w:gridCol w:w="1550"/>
        <w:gridCol w:w="933"/>
        <w:gridCol w:w="1546"/>
      </w:tblGrid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635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511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5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P="00044049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943EB2" w:rsidP="00943E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43EB2" w:rsidP="00943EB2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* počet zamestnancov,  mzdy a poistné rozpísať podľa spôsobu odmeňovania (napr. policajti, colníci ...)</w:t>
      </w:r>
    </w:p>
    <w:p w:rsidR="004161A1" w:rsidP="004161A1">
      <w:pPr>
        <w:bidi w:val="0"/>
        <w:rPr>
          <w:rFonts w:ascii="Times New Roman" w:hAnsi="Times New Roman"/>
        </w:rPr>
        <w:sectPr w:rsidSect="004161A1">
          <w:pgSz w:w="15840" w:h="12240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</w:sectPr>
      </w:pPr>
      <w:r w:rsidRPr="004161A1">
        <w:rPr>
          <w:rFonts w:ascii="Times New Roman" w:hAnsi="Times New Roman"/>
          <w:b/>
          <w:bCs/>
        </w:rPr>
        <w:t> </w:t>
      </w:r>
    </w:p>
    <w:p w:rsidR="004554B0" w:rsidRPr="004161A1" w:rsidP="00022995">
      <w:pPr>
        <w:bidi w:val="0"/>
        <w:jc w:val="center"/>
        <w:rPr>
          <w:rFonts w:ascii="Times New Roman" w:hAnsi="Times New Roman"/>
        </w:rPr>
      </w:pPr>
    </w:p>
    <w:sectPr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E12A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332D5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C41867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3B57E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332D5" w:rsidP="003B57E1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3B57E1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RPr="002E1304" w:rsidP="002E1304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5AA07976"/>
    <w:multiLevelType w:val="hybridMultilevel"/>
    <w:tmpl w:val="7C28B238"/>
    <w:lvl w:ilvl="0">
      <w:start w:val="2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E1304"/>
    <w:rsid w:val="00001877"/>
    <w:rsid w:val="000065A9"/>
    <w:rsid w:val="00007944"/>
    <w:rsid w:val="00012287"/>
    <w:rsid w:val="00021860"/>
    <w:rsid w:val="00022995"/>
    <w:rsid w:val="00031343"/>
    <w:rsid w:val="00032327"/>
    <w:rsid w:val="00037C3F"/>
    <w:rsid w:val="00041DE9"/>
    <w:rsid w:val="00042608"/>
    <w:rsid w:val="00044049"/>
    <w:rsid w:val="000457DA"/>
    <w:rsid w:val="00052109"/>
    <w:rsid w:val="0005425E"/>
    <w:rsid w:val="0006112F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72E"/>
    <w:rsid w:val="000B6C31"/>
    <w:rsid w:val="000C04FC"/>
    <w:rsid w:val="000C12F5"/>
    <w:rsid w:val="000C6A00"/>
    <w:rsid w:val="000D0A24"/>
    <w:rsid w:val="000D0E54"/>
    <w:rsid w:val="000D160F"/>
    <w:rsid w:val="000D5E62"/>
    <w:rsid w:val="000D70C9"/>
    <w:rsid w:val="000D7A6C"/>
    <w:rsid w:val="000E00FA"/>
    <w:rsid w:val="000E2C2E"/>
    <w:rsid w:val="000E4B19"/>
    <w:rsid w:val="000E56A7"/>
    <w:rsid w:val="000E6D63"/>
    <w:rsid w:val="000F2103"/>
    <w:rsid w:val="000F2DE6"/>
    <w:rsid w:val="000F304F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16C56"/>
    <w:rsid w:val="0012053A"/>
    <w:rsid w:val="00122243"/>
    <w:rsid w:val="0012230A"/>
    <w:rsid w:val="00123EE7"/>
    <w:rsid w:val="0012401E"/>
    <w:rsid w:val="00137343"/>
    <w:rsid w:val="001443A8"/>
    <w:rsid w:val="001447DA"/>
    <w:rsid w:val="0015103A"/>
    <w:rsid w:val="001514A3"/>
    <w:rsid w:val="00152AA7"/>
    <w:rsid w:val="00153FF2"/>
    <w:rsid w:val="00154671"/>
    <w:rsid w:val="00157008"/>
    <w:rsid w:val="00161130"/>
    <w:rsid w:val="00162927"/>
    <w:rsid w:val="00163200"/>
    <w:rsid w:val="001649CD"/>
    <w:rsid w:val="00167EB4"/>
    <w:rsid w:val="00174093"/>
    <w:rsid w:val="0017502B"/>
    <w:rsid w:val="00175442"/>
    <w:rsid w:val="001773C6"/>
    <w:rsid w:val="0018252F"/>
    <w:rsid w:val="00184236"/>
    <w:rsid w:val="001867BE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04AC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467E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1304"/>
    <w:rsid w:val="002E40FB"/>
    <w:rsid w:val="002E4644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2D5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148F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0FB2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57E1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161A1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5E82"/>
    <w:rsid w:val="004A6DD3"/>
    <w:rsid w:val="004A74DB"/>
    <w:rsid w:val="004B0910"/>
    <w:rsid w:val="004B234A"/>
    <w:rsid w:val="004B2AED"/>
    <w:rsid w:val="004B33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D28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8452C"/>
    <w:rsid w:val="005906C5"/>
    <w:rsid w:val="00590B43"/>
    <w:rsid w:val="00591017"/>
    <w:rsid w:val="005924B2"/>
    <w:rsid w:val="0059354D"/>
    <w:rsid w:val="00593640"/>
    <w:rsid w:val="00593E53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C81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10400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121A"/>
    <w:rsid w:val="006C1FC5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4D19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2EA7"/>
    <w:rsid w:val="0076767E"/>
    <w:rsid w:val="00771C8F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3837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E77C1"/>
    <w:rsid w:val="007E7AB2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3A00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A7211"/>
    <w:rsid w:val="008B1C37"/>
    <w:rsid w:val="008B4638"/>
    <w:rsid w:val="008B60A5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F65"/>
    <w:rsid w:val="00943CA7"/>
    <w:rsid w:val="00943EB2"/>
    <w:rsid w:val="00944C45"/>
    <w:rsid w:val="00946F53"/>
    <w:rsid w:val="00951630"/>
    <w:rsid w:val="00952ACD"/>
    <w:rsid w:val="00961731"/>
    <w:rsid w:val="0096184D"/>
    <w:rsid w:val="00962C1F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4269"/>
    <w:rsid w:val="009C591A"/>
    <w:rsid w:val="009D0434"/>
    <w:rsid w:val="009D0E1B"/>
    <w:rsid w:val="009D145E"/>
    <w:rsid w:val="009D53DB"/>
    <w:rsid w:val="009D6AE1"/>
    <w:rsid w:val="009E5A06"/>
    <w:rsid w:val="009E5E68"/>
    <w:rsid w:val="009E71D7"/>
    <w:rsid w:val="009F1786"/>
    <w:rsid w:val="009F36A0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0234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7A1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1F1E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5C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32C7"/>
    <w:rsid w:val="00B04B7F"/>
    <w:rsid w:val="00B05F3E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B7494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27A7A"/>
    <w:rsid w:val="00C31859"/>
    <w:rsid w:val="00C32040"/>
    <w:rsid w:val="00C33ECC"/>
    <w:rsid w:val="00C34F5A"/>
    <w:rsid w:val="00C35095"/>
    <w:rsid w:val="00C40052"/>
    <w:rsid w:val="00C40190"/>
    <w:rsid w:val="00C41867"/>
    <w:rsid w:val="00C438BC"/>
    <w:rsid w:val="00C45ED6"/>
    <w:rsid w:val="00C47C59"/>
    <w:rsid w:val="00C50909"/>
    <w:rsid w:val="00C515E5"/>
    <w:rsid w:val="00C557B3"/>
    <w:rsid w:val="00C55AC4"/>
    <w:rsid w:val="00C565A0"/>
    <w:rsid w:val="00C62E34"/>
    <w:rsid w:val="00C71476"/>
    <w:rsid w:val="00C71903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17749"/>
    <w:rsid w:val="00D23D46"/>
    <w:rsid w:val="00D25AF7"/>
    <w:rsid w:val="00D27C91"/>
    <w:rsid w:val="00D27F78"/>
    <w:rsid w:val="00D30292"/>
    <w:rsid w:val="00D40AE4"/>
    <w:rsid w:val="00D42915"/>
    <w:rsid w:val="00D42989"/>
    <w:rsid w:val="00D45922"/>
    <w:rsid w:val="00D47339"/>
    <w:rsid w:val="00D526CC"/>
    <w:rsid w:val="00D540F7"/>
    <w:rsid w:val="00D54F98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01B0"/>
    <w:rsid w:val="00DB1490"/>
    <w:rsid w:val="00DB43AC"/>
    <w:rsid w:val="00DB55B9"/>
    <w:rsid w:val="00DB73E3"/>
    <w:rsid w:val="00DC217D"/>
    <w:rsid w:val="00DC45DB"/>
    <w:rsid w:val="00DC472D"/>
    <w:rsid w:val="00DC5649"/>
    <w:rsid w:val="00DC6173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DF602B"/>
    <w:rsid w:val="00E01674"/>
    <w:rsid w:val="00E04068"/>
    <w:rsid w:val="00E0622F"/>
    <w:rsid w:val="00E12A39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3567"/>
    <w:rsid w:val="00E64414"/>
    <w:rsid w:val="00E83979"/>
    <w:rsid w:val="00E84A6B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74FB"/>
    <w:rsid w:val="00EB089E"/>
    <w:rsid w:val="00EB4382"/>
    <w:rsid w:val="00EB5E55"/>
    <w:rsid w:val="00EB7541"/>
    <w:rsid w:val="00EC026F"/>
    <w:rsid w:val="00EC3A1D"/>
    <w:rsid w:val="00EC4518"/>
    <w:rsid w:val="00EC58B2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45B9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1EB4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457"/>
    <w:rsid w:val="00FE4F26"/>
    <w:rsid w:val="00FE5728"/>
    <w:rsid w:val="00FE591D"/>
    <w:rsid w:val="00FE67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qFormat/>
    <w:rsid w:val="002E1304"/>
    <w:pPr>
      <w:keepNext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2E1304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2E130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E130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2E1304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Action">
    <w:name w:val="Action"/>
    <w:basedOn w:val="BodyText"/>
    <w:uiPriority w:val="99"/>
    <w:rsid w:val="002E1304"/>
    <w:pPr>
      <w:numPr>
        <w:numId w:val="1"/>
      </w:numPr>
      <w:tabs>
        <w:tab w:val="num" w:pos="1211"/>
      </w:tabs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2E1304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rsid w:val="002E1304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4161A1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C7190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8462D-3013-46A5-91C7-62BD67B5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1420</Words>
  <Characters>8100</Characters>
  <Application>Microsoft Office Word</Application>
  <DocSecurity>0</DocSecurity>
  <Lines>0</Lines>
  <Paragraphs>0</Paragraphs>
  <ScaleCrop>false</ScaleCrop>
  <Company>UVSR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grosjarova</dc:creator>
  <cp:lastModifiedBy>User</cp:lastModifiedBy>
  <cp:revision>2</cp:revision>
  <cp:lastPrinted>2011-08-18T08:15:00Z</cp:lastPrinted>
  <dcterms:created xsi:type="dcterms:W3CDTF">2011-08-19T08:35:00Z</dcterms:created>
  <dcterms:modified xsi:type="dcterms:W3CDTF">2011-08-19T08:35:00Z</dcterms:modified>
</cp:coreProperties>
</file>