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436B" w:rsidRPr="000F38A1" w:rsidP="0026403A">
      <w:pPr>
        <w:bidi w:val="0"/>
        <w:ind w:firstLine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bookmarkStart w:id="0" w:name="_Toc297217215"/>
      <w:bookmarkStart w:id="1" w:name="_Toc297217929"/>
      <w:bookmarkStart w:id="2" w:name="_Toc300220215"/>
      <w:bookmarkStart w:id="3" w:name="_Toc300335070"/>
      <w:r w:rsidRPr="000F38A1" w:rsidR="00B7588D">
        <w:rPr>
          <w:rFonts w:ascii="Times New Roman" w:hAnsi="Times New Roman"/>
          <w:b/>
          <w:sz w:val="24"/>
          <w:szCs w:val="24"/>
          <w:lang w:val="sk-SK"/>
        </w:rPr>
        <w:t xml:space="preserve">Finančná stabilizácia </w:t>
      </w:r>
      <w:r w:rsidRPr="000F38A1" w:rsidR="00B12DD8">
        <w:rPr>
          <w:rFonts w:ascii="Times New Roman" w:hAnsi="Times New Roman"/>
          <w:b/>
          <w:sz w:val="24"/>
          <w:szCs w:val="24"/>
          <w:lang w:val="sk-SK"/>
        </w:rPr>
        <w:t>štátnych príspevkových organizácií</w:t>
      </w:r>
      <w:r w:rsidRPr="000F38A1">
        <w:rPr>
          <w:rFonts w:ascii="Times New Roman" w:hAnsi="Times New Roman"/>
          <w:b/>
          <w:sz w:val="24"/>
          <w:szCs w:val="24"/>
          <w:lang w:val="sk-SK"/>
        </w:rPr>
        <w:t xml:space="preserve"> v pôsobnosti MZ SR a MO SR, v ktorých prebieha zmena právnej formy zo štátnej príspevkovej organizácie na akciovú spoločnosť</w:t>
      </w:r>
      <w:bookmarkEnd w:id="0"/>
      <w:bookmarkEnd w:id="1"/>
      <w:bookmarkEnd w:id="2"/>
      <w:bookmarkEnd w:id="3"/>
    </w:p>
    <w:p w:rsidR="0026403A" w:rsidRPr="000F38A1" w:rsidP="0026403A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77436B" w:rsidRPr="000F38A1" w:rsidP="0077436B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77436B" w:rsidRPr="000F38A1" w:rsidP="002562CB">
      <w:pPr>
        <w:bidi w:val="0"/>
        <w:ind w:firstLine="0"/>
        <w:rPr>
          <w:rFonts w:ascii="Times New Roman" w:hAnsi="Times New Roman"/>
          <w:b/>
          <w:sz w:val="24"/>
          <w:szCs w:val="24"/>
          <w:lang w:val="sk-SK"/>
        </w:rPr>
      </w:pPr>
      <w:bookmarkStart w:id="4" w:name="_Toc300335072"/>
      <w:r w:rsidRPr="000F38A1">
        <w:rPr>
          <w:rFonts w:ascii="Times New Roman" w:hAnsi="Times New Roman"/>
          <w:b/>
          <w:sz w:val="24"/>
          <w:szCs w:val="24"/>
          <w:lang w:val="sk-SK"/>
        </w:rPr>
        <w:t>1. Cieľ</w:t>
      </w:r>
      <w:bookmarkEnd w:id="4"/>
    </w:p>
    <w:p w:rsidR="0077436B" w:rsidRPr="000F38A1" w:rsidP="0077436B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7436B" w:rsidRPr="000F38A1" w:rsidP="00585598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 xml:space="preserve">Cieľom tohto </w:t>
      </w:r>
      <w:r w:rsidRPr="000F38A1" w:rsidR="00B7588D">
        <w:rPr>
          <w:rFonts w:ascii="Times New Roman" w:hAnsi="Times New Roman"/>
          <w:sz w:val="24"/>
          <w:szCs w:val="24"/>
          <w:lang w:val="sk-SK"/>
        </w:rPr>
        <w:t>materiálu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 je návrh finančnej stabilizácie </w:t>
      </w:r>
      <w:r w:rsidRPr="000F38A1" w:rsidR="00B12DD8">
        <w:rPr>
          <w:rFonts w:ascii="Times New Roman" w:hAnsi="Times New Roman"/>
          <w:sz w:val="24"/>
          <w:szCs w:val="24"/>
          <w:lang w:val="sk-SK"/>
        </w:rPr>
        <w:t>štátnych príspevkových organizácií</w:t>
      </w:r>
      <w:r w:rsidRPr="000F38A1" w:rsidR="0026403A">
        <w:rPr>
          <w:rFonts w:ascii="Times New Roman" w:hAnsi="Times New Roman"/>
          <w:sz w:val="24"/>
          <w:szCs w:val="24"/>
          <w:lang w:val="sk-SK"/>
        </w:rPr>
        <w:t> </w:t>
      </w:r>
      <w:r w:rsidRPr="000F38A1" w:rsidR="003D0080">
        <w:rPr>
          <w:rFonts w:ascii="Times New Roman" w:hAnsi="Times New Roman"/>
          <w:sz w:val="24"/>
          <w:szCs w:val="24"/>
          <w:lang w:val="sk-SK"/>
        </w:rPr>
        <w:t xml:space="preserve">v </w:t>
      </w:r>
      <w:r w:rsidRPr="000F38A1" w:rsidR="0026403A">
        <w:rPr>
          <w:rFonts w:ascii="Times New Roman" w:hAnsi="Times New Roman"/>
          <w:sz w:val="24"/>
          <w:szCs w:val="24"/>
          <w:lang w:val="sk-SK"/>
        </w:rPr>
        <w:t>pôsobnosti MZ SR a MO SR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, v ktorých prebieha zmena právnej formy zo štátnej príspevkovej organizácie (ďalej len „štátnych organizácií“) na akciovú spoločnosť. Na zabezpečenie finančnej stabilizácie </w:t>
      </w:r>
      <w:r w:rsidRPr="000F38A1" w:rsidR="0046487F">
        <w:rPr>
          <w:rFonts w:ascii="Times New Roman" w:hAnsi="Times New Roman"/>
          <w:sz w:val="24"/>
          <w:szCs w:val="24"/>
          <w:lang w:val="sk-SK"/>
        </w:rPr>
        <w:t>štátnych organizácií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 sú potrebné finančné zdroje zo štátnych finančných aktív</w:t>
      </w:r>
      <w:r w:rsidRPr="000F38A1" w:rsidR="0026403A">
        <w:rPr>
          <w:rFonts w:ascii="Times New Roman" w:hAnsi="Times New Roman"/>
          <w:sz w:val="24"/>
          <w:szCs w:val="24"/>
          <w:lang w:val="sk-SK"/>
        </w:rPr>
        <w:t>.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 Výška týchto finančných zdrojov je výstupom z materiálu „Rozbor štruktúry záväzkov a trendu zadlžovania transformovaných zdravotníckych zariadení k 31.12.2011“, ktorý vypracoval Ústav súdneho inžinierstva Žilinskej univerzity v Žiline. </w:t>
      </w:r>
    </w:p>
    <w:p w:rsidR="0077436B" w:rsidRPr="000F38A1" w:rsidP="0077436B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7436B" w:rsidRPr="000F38A1" w:rsidP="002562CB">
      <w:pPr>
        <w:bidi w:val="0"/>
        <w:ind w:firstLine="0"/>
        <w:rPr>
          <w:rFonts w:ascii="Times New Roman" w:hAnsi="Times New Roman"/>
          <w:b/>
          <w:sz w:val="24"/>
          <w:szCs w:val="24"/>
          <w:lang w:val="sk-SK"/>
        </w:rPr>
      </w:pPr>
      <w:bookmarkStart w:id="5" w:name="_Toc300335073"/>
      <w:r w:rsidRPr="000F38A1">
        <w:rPr>
          <w:rFonts w:ascii="Times New Roman" w:hAnsi="Times New Roman"/>
          <w:b/>
          <w:sz w:val="24"/>
          <w:szCs w:val="24"/>
          <w:lang w:val="sk-SK"/>
        </w:rPr>
        <w:t>2. Popis súčasnej situácie</w:t>
      </w:r>
      <w:bookmarkEnd w:id="5"/>
    </w:p>
    <w:p w:rsidR="0077436B" w:rsidRPr="000F38A1" w:rsidP="0077436B">
      <w:pPr>
        <w:pStyle w:val="ColorfulList-Accent11"/>
        <w:bidi w:val="0"/>
        <w:ind w:left="0" w:firstLine="0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77436B" w:rsidRPr="000F38A1" w:rsidP="00585598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 xml:space="preserve">Zmena právnej formy </w:t>
      </w:r>
      <w:r w:rsidRPr="000F38A1" w:rsidR="00B12DD8">
        <w:rPr>
          <w:rFonts w:ascii="Times New Roman" w:hAnsi="Times New Roman"/>
          <w:sz w:val="24"/>
          <w:szCs w:val="24"/>
          <w:lang w:val="sk-SK"/>
        </w:rPr>
        <w:t>štátnych príspevkových organizácií 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 na akciové spoločnosti sa vykonáva v súlade s programovým vyhlásením vlády </w:t>
      </w:r>
      <w:r w:rsidR="001941C8">
        <w:rPr>
          <w:rFonts w:ascii="Times New Roman" w:hAnsi="Times New Roman"/>
          <w:sz w:val="24"/>
          <w:szCs w:val="24"/>
          <w:lang w:val="sk-SK"/>
        </w:rPr>
        <w:t xml:space="preserve">SR </w:t>
      </w:r>
      <w:r w:rsidRPr="000F38A1">
        <w:rPr>
          <w:rFonts w:ascii="Times New Roman" w:hAnsi="Times New Roman"/>
          <w:sz w:val="24"/>
          <w:szCs w:val="24"/>
          <w:lang w:val="sk-SK"/>
        </w:rPr>
        <w:t>a na základe §</w:t>
      </w:r>
      <w:r w:rsidR="001941C8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F38A1">
        <w:rPr>
          <w:rFonts w:ascii="Times New Roman" w:hAnsi="Times New Roman"/>
          <w:sz w:val="24"/>
          <w:szCs w:val="24"/>
          <w:lang w:val="sk-SK"/>
        </w:rPr>
        <w:t>84 až §</w:t>
      </w:r>
      <w:r w:rsidR="001941C8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F38A1">
        <w:rPr>
          <w:rFonts w:ascii="Times New Roman" w:hAnsi="Times New Roman"/>
          <w:sz w:val="24"/>
          <w:szCs w:val="24"/>
          <w:lang w:val="sk-SK"/>
        </w:rPr>
        <w:t>91 zákona č. 578/2004 Z. z. o poskytovateľoch zdravotnej starostlivosti, zdravotníckych pracovníkoch, stavovských organizáciách v zdravotníctve a o zmene a doplnení niektorých zákonov</w:t>
      </w:r>
      <w:r w:rsidRPr="000F38A1" w:rsidR="00CD60CE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941C8">
        <w:rPr>
          <w:rFonts w:ascii="Times New Roman" w:hAnsi="Times New Roman"/>
          <w:sz w:val="24"/>
          <w:szCs w:val="24"/>
          <w:lang w:val="sk-SK"/>
        </w:rPr>
        <w:t>v znení neskorších predpisov</w:t>
      </w:r>
      <w:r w:rsidRPr="000F38A1" w:rsidR="00CD60CE">
        <w:rPr>
          <w:rFonts w:ascii="Times New Roman" w:hAnsi="Times New Roman"/>
          <w:sz w:val="24"/>
          <w:szCs w:val="24"/>
          <w:lang w:val="sk-SK"/>
        </w:rPr>
        <w:t>(ďalej len „zákon č. 578/2004 Z. z.“)</w:t>
      </w:r>
      <w:r w:rsidRPr="000F38A1">
        <w:rPr>
          <w:rFonts w:ascii="Times New Roman" w:hAnsi="Times New Roman"/>
          <w:sz w:val="24"/>
          <w:szCs w:val="24"/>
          <w:lang w:val="sk-SK"/>
        </w:rPr>
        <w:t>, ktoré sú účinné od 1.4.2011.</w:t>
      </w:r>
    </w:p>
    <w:p w:rsidR="0077436B" w:rsidRPr="000F38A1" w:rsidP="0077436B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7436B" w:rsidRPr="000F38A1" w:rsidP="00585598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Podľa §</w:t>
      </w:r>
      <w:r w:rsidR="001941C8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F38A1">
        <w:rPr>
          <w:rFonts w:ascii="Times New Roman" w:hAnsi="Times New Roman"/>
          <w:sz w:val="24"/>
          <w:szCs w:val="24"/>
          <w:lang w:val="sk-SK"/>
        </w:rPr>
        <w:t>102i zákona č. 578/2004 Z. z. sú štátne organizácie povinné sa transformovať najneskôr do 31. decembra 2011 okrem štátnych organizácií v pôsobnosti Ministerstva obrany Slovenskej republiky a v pôsobnosti Ministerstva vnútra Slovenskej republiky, ktoré sú povinné transformovať sa podľa tohto zákona najneskôr do 30. júna 2012. V odôvodnených prípadoch možno stanovené lehoty predĺžiť najviac o šesť kalendárnych mesiacov.</w:t>
      </w:r>
    </w:p>
    <w:p w:rsidR="0077436B" w:rsidRPr="000F38A1" w:rsidP="0077436B">
      <w:pPr>
        <w:pStyle w:val="ColorfulList-Accent11"/>
        <w:bidi w:val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7436B" w:rsidRPr="000F38A1" w:rsidP="00585598">
      <w:pPr>
        <w:pStyle w:val="ColorfulList-Accent11"/>
        <w:bidi w:val="0"/>
        <w:ind w:left="0"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Rozhodujúci poskytovatelia sú v kritickom stave, náklady na obsluhu dl</w:t>
      </w:r>
      <w:r w:rsidRPr="000F38A1" w:rsidR="005D2354">
        <w:rPr>
          <w:rFonts w:ascii="Times New Roman" w:hAnsi="Times New Roman"/>
          <w:sz w:val="24"/>
          <w:szCs w:val="24"/>
          <w:lang w:val="sk-SK"/>
        </w:rPr>
        <w:t>hu sa zvyšujú živelne (štátne organizácie</w:t>
      </w:r>
      <w:r w:rsidRPr="000F38A1" w:rsidR="00D45A16">
        <w:rPr>
          <w:rFonts w:ascii="Times New Roman" w:hAnsi="Times New Roman"/>
          <w:sz w:val="24"/>
          <w:szCs w:val="24"/>
          <w:lang w:val="sk-SK"/>
        </w:rPr>
        <w:t xml:space="preserve"> odsúvajú predĺženie lehoty splatnosti dlhov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 výmenou za záväzky k vysokým úrokom v budúcnosti). Držitelia rozhodujúcej časti dlhu strácajú trpezlivosť, nakoľko po aprílových úpravách úhrad zo zdravotných poisťovní im prestávajú platiť aj poskytovatelia, ktorí doteraz platili. Rozbieha sa obchodovanie s pohľadávkami voči poskytovateľom.</w:t>
      </w:r>
    </w:p>
    <w:p w:rsidR="0077436B" w:rsidRPr="000F38A1" w:rsidP="0077436B">
      <w:pPr>
        <w:bidi w:val="0"/>
        <w:jc w:val="both"/>
        <w:rPr>
          <w:rFonts w:ascii="Times New Roman" w:hAnsi="Times New Roman"/>
          <w:i/>
          <w:sz w:val="24"/>
          <w:szCs w:val="24"/>
          <w:lang w:val="sk-SK"/>
        </w:rPr>
      </w:pPr>
    </w:p>
    <w:p w:rsidR="0077436B" w:rsidRPr="000F38A1" w:rsidP="00585598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Bez rýchleho a efektívneho riešenia tejto dlhovej záťaže nie je možná ich transformácia na akciové spoločnosti.</w:t>
      </w:r>
    </w:p>
    <w:p w:rsidR="0077436B" w:rsidRPr="000F38A1" w:rsidP="0077436B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43D27" w:rsidRPr="000F38A1" w:rsidP="0077436B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ab/>
        <w:t>Zoznam štátn</w:t>
      </w:r>
      <w:r w:rsidRPr="000F38A1" w:rsidR="00CD60CE">
        <w:rPr>
          <w:rFonts w:ascii="Times New Roman" w:hAnsi="Times New Roman"/>
          <w:sz w:val="24"/>
          <w:szCs w:val="24"/>
          <w:lang w:val="sk-SK"/>
        </w:rPr>
        <w:t>ych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 organizácií, ktoré sa v zmysle zákona č. 578/2004 Z. z.  transformujú na akciovú spoločnosť:</w:t>
      </w:r>
    </w:p>
    <w:p w:rsidR="00143D27" w:rsidRPr="000F38A1" w:rsidP="00143D27">
      <w:pPr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Centrum pre liečbu drogových závislostí Bratislava</w:t>
      </w:r>
    </w:p>
    <w:p w:rsidR="00143D27" w:rsidRPr="000F38A1" w:rsidP="00143D27">
      <w:pPr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Centrum pre liečbu drogových závislostí Banská Bystrica</w:t>
      </w:r>
    </w:p>
    <w:p w:rsidR="00143D27" w:rsidRPr="000F38A1" w:rsidP="00143D27">
      <w:pPr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Centrum pre liečbu drogových závislostí Košice</w:t>
      </w:r>
    </w:p>
    <w:p w:rsidR="00143D27" w:rsidRPr="000F38A1" w:rsidP="00143D27">
      <w:pPr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 w:rsidR="00F51F7B">
        <w:rPr>
          <w:rFonts w:ascii="Times New Roman" w:hAnsi="Times New Roman"/>
          <w:sz w:val="24"/>
          <w:szCs w:val="24"/>
          <w:lang w:val="sk-SK"/>
        </w:rPr>
        <w:t>Detská fakultná nemocnica s poliklinikou Bratislava</w:t>
      </w:r>
    </w:p>
    <w:p w:rsidR="00F51F7B" w:rsidRPr="000F38A1" w:rsidP="00143D27">
      <w:pPr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Detská fakultná nemocnica s poliklinikou Banská Bystrica</w:t>
      </w:r>
    </w:p>
    <w:p w:rsidR="00F51F7B" w:rsidRPr="000F38A1" w:rsidP="00143D27">
      <w:pPr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Detská fakultná nemocnica Košice</w:t>
      </w:r>
    </w:p>
    <w:p w:rsidR="00F51F7B" w:rsidRPr="000F38A1" w:rsidP="00143D27">
      <w:pPr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Detská ozdravovňa Kremnické Bane</w:t>
      </w:r>
    </w:p>
    <w:p w:rsidR="00F51F7B" w:rsidRPr="000F38A1" w:rsidP="00143D27">
      <w:pPr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Detská ozdravovňa Železnô, Partizánska Ľupča</w:t>
      </w:r>
    </w:p>
    <w:p w:rsidR="00F51F7B" w:rsidRPr="000F38A1" w:rsidP="00143D27">
      <w:pPr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Fakultná nemocnica s poliklinikou F. D. Roosevelta Banská Bystrica</w:t>
      </w:r>
    </w:p>
    <w:p w:rsidR="00F51F7B" w:rsidRPr="000F38A1" w:rsidP="00143D27">
      <w:pPr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Fakultná nemocnica Nitra</w:t>
      </w:r>
    </w:p>
    <w:p w:rsidR="00F51F7B" w:rsidRPr="000F38A1" w:rsidP="00143D27">
      <w:pPr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Fakultná nemocnica s poliklinikou Nové Zámky</w:t>
      </w:r>
    </w:p>
    <w:p w:rsidR="00F51F7B" w:rsidRPr="000F38A1" w:rsidP="00143D27">
      <w:pPr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Fakultná nemocnica J. A. Reimana Prešov</w:t>
      </w:r>
    </w:p>
    <w:p w:rsidR="00F51F7B" w:rsidRPr="000F38A1" w:rsidP="00143D27">
      <w:pPr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Fakultná nemocnica Trenčín</w:t>
      </w:r>
    </w:p>
    <w:p w:rsidR="00F51F7B" w:rsidRPr="000F38A1" w:rsidP="00143D27">
      <w:pPr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Fakultná nemocnica Trnava</w:t>
      </w:r>
    </w:p>
    <w:p w:rsidR="00F51F7B" w:rsidRPr="000F38A1" w:rsidP="00143D27">
      <w:pPr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Fakultná nemocnica s poliklinikou Žilina</w:t>
      </w:r>
    </w:p>
    <w:p w:rsidR="00F51F7B" w:rsidRPr="000F38A1" w:rsidP="00143D27">
      <w:pPr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Inštitút nukleárnej a molekulárnej medicíny Košice</w:t>
      </w:r>
    </w:p>
    <w:p w:rsidR="00F51F7B" w:rsidRPr="000F38A1" w:rsidP="00143D27">
      <w:pPr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Liečebňa pre dlhodobo chorých Štiavnička, Ružomberok</w:t>
      </w:r>
    </w:p>
    <w:p w:rsidR="00F51F7B" w:rsidRPr="000F38A1" w:rsidP="00143D27">
      <w:pPr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Národné rehabilitačné centrum Kováčová</w:t>
      </w:r>
    </w:p>
    <w:p w:rsidR="00CD60CE" w:rsidRPr="000F38A1" w:rsidP="00143D27">
      <w:pPr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Národný onkologický ústav Bratislava</w:t>
      </w:r>
    </w:p>
    <w:p w:rsidR="00F51F7B" w:rsidRPr="000F38A1" w:rsidP="00143D27">
      <w:pPr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Národný ústav reumatických chorôb Piešťany</w:t>
      </w:r>
    </w:p>
    <w:p w:rsidR="00F51F7B" w:rsidRPr="000F38A1" w:rsidP="00143D27">
      <w:pPr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Národný ústav tuberkulózy, pľúcnych chorôb a hrudníkovej chirurgie Vyšné Hágy</w:t>
      </w:r>
    </w:p>
    <w:p w:rsidR="00F51F7B" w:rsidRPr="000F38A1" w:rsidP="00143D27">
      <w:pPr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Psychiatrická liečebňa Plešivec</w:t>
      </w:r>
    </w:p>
    <w:p w:rsidR="00F51F7B" w:rsidRPr="000F38A1" w:rsidP="00143D27">
      <w:pPr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Psychiatrická liečebňa Sučany</w:t>
      </w:r>
    </w:p>
    <w:p w:rsidR="00F51F7B" w:rsidRPr="000F38A1" w:rsidP="00143D27">
      <w:pPr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Psychiatrická nemocnica Hronovce</w:t>
      </w:r>
    </w:p>
    <w:p w:rsidR="00F51F7B" w:rsidRPr="000F38A1" w:rsidP="00143D27">
      <w:pPr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Psychiatrická nemocnica prof. Matulaya Kremnica</w:t>
      </w:r>
    </w:p>
    <w:p w:rsidR="00F51F7B" w:rsidRPr="000F38A1" w:rsidP="00143D27">
      <w:pPr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Psychiatrická nemocnica Philippa Pinela Pezinok</w:t>
      </w:r>
    </w:p>
    <w:p w:rsidR="00F51F7B" w:rsidRPr="000F38A1" w:rsidP="00143D27">
      <w:pPr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Psychiatrická nemocnica Veľké Zálužie</w:t>
      </w:r>
    </w:p>
    <w:p w:rsidR="00F51F7B" w:rsidRPr="000F38A1" w:rsidP="00143D27">
      <w:pPr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Univerzitná nemocnica Bratislava</w:t>
      </w:r>
    </w:p>
    <w:p w:rsidR="00F51F7B" w:rsidRPr="000F38A1" w:rsidP="00143D27">
      <w:pPr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Univerzitná nemocnica L. Pasteura Košice</w:t>
      </w:r>
    </w:p>
    <w:p w:rsidR="00F51F7B" w:rsidRPr="000F38A1" w:rsidP="00143D27">
      <w:pPr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Univerzitná nemocnica Martin</w:t>
      </w:r>
    </w:p>
    <w:p w:rsidR="00F51F7B" w:rsidRPr="000F38A1" w:rsidP="00143D27">
      <w:pPr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Ústredná vojenská nemocnica Ružomberok</w:t>
      </w:r>
    </w:p>
    <w:p w:rsidR="00143D27" w:rsidRPr="000F38A1" w:rsidP="00F51F7B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51F7B" w:rsidRPr="000F38A1" w:rsidP="00F51F7B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43D27" w:rsidRPr="000F38A1" w:rsidP="0077436B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7436B" w:rsidRPr="000F38A1" w:rsidP="0026403A">
      <w:pPr>
        <w:tabs>
          <w:tab w:val="left" w:pos="2565"/>
        </w:tabs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 w:rsidR="0026403A">
        <w:rPr>
          <w:rFonts w:ascii="Times New Roman" w:hAnsi="Times New Roman"/>
          <w:sz w:val="24"/>
          <w:szCs w:val="24"/>
          <w:lang w:val="sk-SK"/>
        </w:rPr>
        <w:tab/>
      </w:r>
    </w:p>
    <w:p w:rsidR="00585598" w:rsidRPr="000F38A1" w:rsidP="002562CB">
      <w:pPr>
        <w:bidi w:val="0"/>
        <w:ind w:firstLine="0"/>
        <w:rPr>
          <w:rFonts w:ascii="Times New Roman" w:hAnsi="Times New Roman"/>
          <w:b/>
          <w:sz w:val="24"/>
          <w:szCs w:val="24"/>
          <w:lang w:val="sk-SK"/>
        </w:rPr>
      </w:pPr>
      <w:r w:rsidRPr="000F38A1">
        <w:rPr>
          <w:rFonts w:ascii="Times New Roman" w:hAnsi="Times New Roman"/>
          <w:b/>
          <w:sz w:val="24"/>
          <w:szCs w:val="24"/>
          <w:lang w:val="sk-SK"/>
        </w:rPr>
        <w:t>3.</w:t>
      </w:r>
      <w:r w:rsidRPr="000F38A1" w:rsidR="002562CB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Pr="000F38A1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Pr="000F38A1" w:rsidR="001107C1">
        <w:rPr>
          <w:rFonts w:ascii="Times New Roman" w:hAnsi="Times New Roman"/>
          <w:b/>
          <w:sz w:val="24"/>
          <w:szCs w:val="24"/>
          <w:lang w:val="sk-SK"/>
        </w:rPr>
        <w:t>Spôsob určenia sumy potrebnej na finančnú stabilizáciu</w:t>
      </w:r>
      <w:r w:rsidRPr="000F38A1">
        <w:rPr>
          <w:rFonts w:ascii="Times New Roman" w:hAnsi="Times New Roman"/>
          <w:b/>
          <w:sz w:val="24"/>
          <w:szCs w:val="24"/>
          <w:lang w:val="sk-SK"/>
        </w:rPr>
        <w:t xml:space="preserve"> štátnych organizácii</w:t>
      </w:r>
    </w:p>
    <w:p w:rsidR="008A2900" w:rsidRPr="000F38A1" w:rsidP="008A2900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8A2900" w:rsidRPr="000F38A1" w:rsidP="002562CB">
      <w:pPr>
        <w:bidi w:val="0"/>
        <w:ind w:firstLine="0"/>
        <w:rPr>
          <w:rFonts w:ascii="Times New Roman" w:hAnsi="Times New Roman"/>
          <w:b/>
          <w:sz w:val="24"/>
          <w:szCs w:val="24"/>
          <w:lang w:val="sk-SK"/>
        </w:rPr>
      </w:pPr>
      <w:r w:rsidRPr="000F38A1">
        <w:rPr>
          <w:rFonts w:ascii="Times New Roman" w:hAnsi="Times New Roman"/>
          <w:b/>
          <w:sz w:val="24"/>
          <w:szCs w:val="24"/>
          <w:lang w:val="sk-SK"/>
        </w:rPr>
        <w:t>3.</w:t>
      </w:r>
      <w:r w:rsidRPr="000F38A1" w:rsidR="002562CB">
        <w:rPr>
          <w:rFonts w:ascii="Times New Roman" w:hAnsi="Times New Roman"/>
          <w:b/>
          <w:sz w:val="24"/>
          <w:szCs w:val="24"/>
          <w:lang w:val="sk-SK"/>
        </w:rPr>
        <w:t>1</w:t>
      </w:r>
      <w:r w:rsidRPr="000F38A1">
        <w:rPr>
          <w:rFonts w:ascii="Times New Roman" w:hAnsi="Times New Roman"/>
          <w:b/>
          <w:sz w:val="24"/>
          <w:szCs w:val="24"/>
          <w:lang w:val="sk-SK"/>
        </w:rPr>
        <w:t xml:space="preserve">. </w:t>
      </w:r>
      <w:r w:rsidRPr="000F38A1" w:rsidR="002562CB">
        <w:rPr>
          <w:rFonts w:ascii="Times New Roman" w:hAnsi="Times New Roman"/>
          <w:b/>
          <w:sz w:val="24"/>
          <w:szCs w:val="24"/>
          <w:lang w:val="sk-SK"/>
        </w:rPr>
        <w:t>Východiská</w:t>
      </w:r>
    </w:p>
    <w:p w:rsidR="00585598" w:rsidRPr="000F38A1" w:rsidP="00585598">
      <w:pPr>
        <w:pStyle w:val="BodyText"/>
        <w:bidi w:val="0"/>
        <w:jc w:val="both"/>
        <w:rPr>
          <w:rFonts w:ascii="Times New Roman" w:hAnsi="Times New Roman"/>
          <w:b w:val="0"/>
          <w:spacing w:val="0"/>
        </w:rPr>
      </w:pPr>
    </w:p>
    <w:p w:rsidR="00585598" w:rsidRPr="000F38A1" w:rsidP="00585598">
      <w:pPr>
        <w:pStyle w:val="BodyText"/>
        <w:bidi w:val="0"/>
        <w:ind w:firstLine="708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>Ústav súdneho inžinierstva Žilinskej univerzity v</w:t>
      </w:r>
      <w:r w:rsidRPr="000F38A1" w:rsidR="00833D99">
        <w:rPr>
          <w:rFonts w:ascii="Times New Roman" w:hAnsi="Times New Roman"/>
          <w:b w:val="0"/>
          <w:spacing w:val="0"/>
        </w:rPr>
        <w:t> </w:t>
      </w:r>
      <w:r w:rsidRPr="000F38A1">
        <w:rPr>
          <w:rFonts w:ascii="Times New Roman" w:hAnsi="Times New Roman"/>
          <w:b w:val="0"/>
          <w:spacing w:val="0"/>
        </w:rPr>
        <w:t>Žiline</w:t>
      </w:r>
      <w:r w:rsidRPr="000F38A1" w:rsidR="00833D99">
        <w:rPr>
          <w:rFonts w:ascii="Times New Roman" w:hAnsi="Times New Roman"/>
          <w:b w:val="0"/>
          <w:spacing w:val="0"/>
        </w:rPr>
        <w:t xml:space="preserve"> </w:t>
      </w:r>
      <w:r w:rsidRPr="000F38A1">
        <w:rPr>
          <w:rFonts w:ascii="Times New Roman" w:hAnsi="Times New Roman"/>
          <w:b w:val="0"/>
          <w:spacing w:val="0"/>
        </w:rPr>
        <w:t xml:space="preserve">(ďalej len </w:t>
      </w:r>
      <w:r w:rsidRPr="000F38A1" w:rsidR="005D2354">
        <w:rPr>
          <w:rFonts w:ascii="Times New Roman" w:hAnsi="Times New Roman"/>
          <w:b w:val="0"/>
          <w:spacing w:val="0"/>
        </w:rPr>
        <w:t>„</w:t>
      </w:r>
      <w:r w:rsidRPr="000F38A1">
        <w:rPr>
          <w:rFonts w:ascii="Times New Roman" w:hAnsi="Times New Roman"/>
          <w:b w:val="0"/>
          <w:spacing w:val="0"/>
        </w:rPr>
        <w:t>USI ŽU</w:t>
      </w:r>
      <w:r w:rsidRPr="000F38A1" w:rsidR="005D2354">
        <w:rPr>
          <w:rFonts w:ascii="Times New Roman" w:hAnsi="Times New Roman"/>
          <w:b w:val="0"/>
          <w:spacing w:val="0"/>
        </w:rPr>
        <w:t>“</w:t>
      </w:r>
      <w:r w:rsidRPr="000F38A1">
        <w:rPr>
          <w:rFonts w:ascii="Times New Roman" w:hAnsi="Times New Roman"/>
          <w:b w:val="0"/>
          <w:spacing w:val="0"/>
        </w:rPr>
        <w:t xml:space="preserve">) vypracováva pre účely transformácie zdravotníckych zariadení ako príspevkových organizácií na akciové spoločnosti znalecké posudky, ktorých úlohou je stanoviť všeobecnú hodnotu týchto </w:t>
      </w:r>
      <w:r w:rsidRPr="000F38A1" w:rsidR="00670DC7">
        <w:rPr>
          <w:rFonts w:ascii="Times New Roman" w:hAnsi="Times New Roman"/>
          <w:b w:val="0"/>
          <w:spacing w:val="0"/>
        </w:rPr>
        <w:t>štátnych organizácii</w:t>
      </w:r>
      <w:r w:rsidRPr="000F38A1">
        <w:rPr>
          <w:rFonts w:ascii="Times New Roman" w:hAnsi="Times New Roman"/>
          <w:b w:val="0"/>
          <w:spacing w:val="0"/>
        </w:rPr>
        <w:t xml:space="preserve">. Poznatky z prác na týchto znaleckých posudkoch boli východiskom pre spracovanie Rozboru štruktúry záväzkov a trendu zadlžovania transformovaných </w:t>
      </w:r>
      <w:r w:rsidRPr="000F38A1" w:rsidR="002D4BAA">
        <w:rPr>
          <w:rFonts w:ascii="Times New Roman" w:hAnsi="Times New Roman"/>
          <w:b w:val="0"/>
          <w:spacing w:val="0"/>
        </w:rPr>
        <w:t>zdravotníckych zariadení</w:t>
      </w:r>
      <w:r w:rsidRPr="000F38A1" w:rsidR="003D0080">
        <w:rPr>
          <w:rFonts w:ascii="Times New Roman" w:hAnsi="Times New Roman"/>
          <w:b w:val="0"/>
          <w:spacing w:val="0"/>
        </w:rPr>
        <w:t xml:space="preserve"> (</w:t>
      </w:r>
      <w:r w:rsidRPr="000F38A1">
        <w:rPr>
          <w:rFonts w:ascii="Times New Roman" w:hAnsi="Times New Roman"/>
          <w:b w:val="0"/>
          <w:spacing w:val="0"/>
        </w:rPr>
        <w:t>ďalej len „</w:t>
      </w:r>
      <w:r w:rsidRPr="000F38A1" w:rsidR="008A2900">
        <w:rPr>
          <w:rFonts w:ascii="Times New Roman" w:hAnsi="Times New Roman"/>
          <w:b w:val="0"/>
          <w:spacing w:val="0"/>
        </w:rPr>
        <w:t>r</w:t>
      </w:r>
      <w:r w:rsidRPr="000F38A1" w:rsidR="003D0080">
        <w:rPr>
          <w:rFonts w:ascii="Times New Roman" w:hAnsi="Times New Roman"/>
          <w:b w:val="0"/>
          <w:spacing w:val="0"/>
        </w:rPr>
        <w:t>ozbor“</w:t>
      </w:r>
      <w:r w:rsidRPr="000F38A1">
        <w:rPr>
          <w:rFonts w:ascii="Times New Roman" w:hAnsi="Times New Roman"/>
          <w:b w:val="0"/>
          <w:spacing w:val="0"/>
        </w:rPr>
        <w:t>)</w:t>
      </w:r>
      <w:r w:rsidRPr="000F38A1" w:rsidR="003D0080">
        <w:rPr>
          <w:rFonts w:ascii="Times New Roman" w:hAnsi="Times New Roman"/>
          <w:b w:val="0"/>
          <w:spacing w:val="0"/>
        </w:rPr>
        <w:t>.</w:t>
      </w:r>
    </w:p>
    <w:p w:rsidR="00585598" w:rsidRPr="000F38A1" w:rsidP="00585598">
      <w:pPr>
        <w:pStyle w:val="BodyText"/>
        <w:bidi w:val="0"/>
        <w:jc w:val="center"/>
        <w:rPr>
          <w:rFonts w:ascii="Times New Roman" w:hAnsi="Times New Roman"/>
          <w:spacing w:val="0"/>
        </w:rPr>
      </w:pPr>
    </w:p>
    <w:p w:rsidR="00585598" w:rsidRPr="000F38A1" w:rsidP="00585598">
      <w:pPr>
        <w:pStyle w:val="BodyText"/>
        <w:bidi w:val="0"/>
        <w:jc w:val="both"/>
        <w:rPr>
          <w:rFonts w:ascii="Times New Roman" w:hAnsi="Times New Roman"/>
          <w:b w:val="0"/>
          <w:spacing w:val="0"/>
        </w:rPr>
      </w:pPr>
    </w:p>
    <w:p w:rsidR="00585598" w:rsidRPr="000F38A1" w:rsidP="008A2900">
      <w:pPr>
        <w:pStyle w:val="BodyText"/>
        <w:bidi w:val="0"/>
        <w:ind w:firstLine="708"/>
        <w:jc w:val="both"/>
        <w:rPr>
          <w:rFonts w:ascii="Times New Roman" w:hAnsi="Times New Roman"/>
          <w:b w:val="0"/>
          <w:spacing w:val="0"/>
        </w:rPr>
      </w:pPr>
      <w:r w:rsidRPr="000F38A1" w:rsidR="00E469C7">
        <w:rPr>
          <w:rFonts w:ascii="Times New Roman" w:hAnsi="Times New Roman"/>
          <w:b w:val="0"/>
          <w:spacing w:val="0"/>
        </w:rPr>
        <w:t>Ide</w:t>
      </w:r>
      <w:r w:rsidRPr="000F38A1">
        <w:rPr>
          <w:rFonts w:ascii="Times New Roman" w:hAnsi="Times New Roman"/>
          <w:b w:val="0"/>
          <w:spacing w:val="0"/>
        </w:rPr>
        <w:t xml:space="preserve"> o:</w:t>
      </w:r>
    </w:p>
    <w:p w:rsidR="008A2900" w:rsidRPr="000F38A1" w:rsidP="008A2900">
      <w:pPr>
        <w:pStyle w:val="BodyText"/>
        <w:bidi w:val="0"/>
        <w:ind w:firstLine="708"/>
        <w:jc w:val="both"/>
        <w:rPr>
          <w:rFonts w:ascii="Times New Roman" w:hAnsi="Times New Roman"/>
          <w:b w:val="0"/>
          <w:spacing w:val="0"/>
        </w:rPr>
      </w:pPr>
    </w:p>
    <w:p w:rsidR="00585598" w:rsidRPr="000F38A1" w:rsidP="008A2900">
      <w:pPr>
        <w:pStyle w:val="BodyText"/>
        <w:numPr>
          <w:ilvl w:val="1"/>
          <w:numId w:val="6"/>
        </w:numPr>
        <w:bidi w:val="0"/>
        <w:ind w:left="720"/>
        <w:jc w:val="both"/>
        <w:rPr>
          <w:rFonts w:ascii="Times New Roman" w:hAnsi="Times New Roman"/>
          <w:b w:val="0"/>
          <w:spacing w:val="0"/>
        </w:rPr>
      </w:pPr>
      <w:r w:rsidRPr="000F38A1" w:rsidR="00E469C7">
        <w:rPr>
          <w:rFonts w:ascii="Times New Roman" w:hAnsi="Times New Roman"/>
          <w:b w:val="0"/>
          <w:spacing w:val="0"/>
        </w:rPr>
        <w:t>R</w:t>
      </w:r>
      <w:r w:rsidRPr="000F38A1">
        <w:rPr>
          <w:rFonts w:ascii="Times New Roman" w:hAnsi="Times New Roman"/>
          <w:b w:val="0"/>
          <w:spacing w:val="0"/>
        </w:rPr>
        <w:t xml:space="preserve">ozbor štruktúry záväzkov jednotlivých </w:t>
      </w:r>
      <w:r w:rsidRPr="000F38A1" w:rsidR="00670DC7">
        <w:rPr>
          <w:rFonts w:ascii="Times New Roman" w:hAnsi="Times New Roman"/>
          <w:b w:val="0"/>
        </w:rPr>
        <w:t>štátnych organizácií</w:t>
      </w:r>
      <w:r w:rsidRPr="000F38A1" w:rsidR="00670DC7">
        <w:rPr>
          <w:rFonts w:ascii="Times New Roman" w:hAnsi="Times New Roman"/>
          <w:b w:val="0"/>
          <w:spacing w:val="0"/>
        </w:rPr>
        <w:t xml:space="preserve"> </w:t>
      </w:r>
      <w:r w:rsidRPr="000F38A1">
        <w:rPr>
          <w:rFonts w:ascii="Times New Roman" w:hAnsi="Times New Roman"/>
          <w:b w:val="0"/>
          <w:spacing w:val="0"/>
        </w:rPr>
        <w:t>k určenému dátumu</w:t>
      </w:r>
      <w:r w:rsidRPr="000F38A1" w:rsidR="00833D99">
        <w:rPr>
          <w:rFonts w:ascii="Times New Roman" w:hAnsi="Times New Roman"/>
          <w:b w:val="0"/>
          <w:spacing w:val="0"/>
        </w:rPr>
        <w:t xml:space="preserve"> </w:t>
      </w:r>
      <w:r w:rsidRPr="000F38A1">
        <w:rPr>
          <w:rFonts w:ascii="Times New Roman" w:hAnsi="Times New Roman"/>
          <w:b w:val="0"/>
          <w:spacing w:val="0"/>
        </w:rPr>
        <w:t>(30.4.</w:t>
      </w:r>
      <w:r w:rsidRPr="000F38A1" w:rsidR="00D70526">
        <w:rPr>
          <w:rFonts w:ascii="Times New Roman" w:hAnsi="Times New Roman"/>
          <w:b w:val="0"/>
          <w:spacing w:val="0"/>
        </w:rPr>
        <w:t>2011</w:t>
      </w:r>
      <w:r w:rsidRPr="000F38A1">
        <w:rPr>
          <w:rFonts w:ascii="Times New Roman" w:hAnsi="Times New Roman"/>
          <w:b w:val="0"/>
          <w:spacing w:val="0"/>
        </w:rPr>
        <w:t xml:space="preserve"> resp. 31.5.2011)</w:t>
      </w:r>
      <w:r w:rsidRPr="000F38A1" w:rsidR="003D0080">
        <w:rPr>
          <w:rFonts w:ascii="Times New Roman" w:hAnsi="Times New Roman"/>
          <w:b w:val="0"/>
          <w:spacing w:val="0"/>
        </w:rPr>
        <w:t>;</w:t>
      </w:r>
    </w:p>
    <w:p w:rsidR="00585598" w:rsidRPr="000F38A1" w:rsidP="00585598">
      <w:pPr>
        <w:pStyle w:val="BodyText"/>
        <w:numPr>
          <w:ilvl w:val="1"/>
          <w:numId w:val="6"/>
        </w:numPr>
        <w:bidi w:val="0"/>
        <w:ind w:left="709" w:hanging="283"/>
        <w:jc w:val="both"/>
        <w:rPr>
          <w:rFonts w:ascii="Times New Roman" w:hAnsi="Times New Roman"/>
          <w:b w:val="0"/>
          <w:spacing w:val="0"/>
        </w:rPr>
      </w:pPr>
      <w:r w:rsidRPr="000F38A1" w:rsidR="00E469C7">
        <w:rPr>
          <w:rFonts w:ascii="Times New Roman" w:hAnsi="Times New Roman"/>
          <w:b w:val="0"/>
          <w:spacing w:val="0"/>
        </w:rPr>
        <w:t>R</w:t>
      </w:r>
      <w:r w:rsidRPr="000F38A1">
        <w:rPr>
          <w:rFonts w:ascii="Times New Roman" w:hAnsi="Times New Roman"/>
          <w:b w:val="0"/>
          <w:spacing w:val="0"/>
        </w:rPr>
        <w:t>ozbor vývoja a štruktúry záväzkov tri roky spätne, t.j. od r. 2008 až po 30.4.</w:t>
      </w:r>
      <w:r w:rsidRPr="000F38A1" w:rsidR="00D70526">
        <w:rPr>
          <w:rFonts w:ascii="Times New Roman" w:hAnsi="Times New Roman"/>
          <w:b w:val="0"/>
          <w:spacing w:val="0"/>
        </w:rPr>
        <w:t>2011</w:t>
      </w:r>
      <w:r w:rsidRPr="000F38A1">
        <w:rPr>
          <w:rFonts w:ascii="Times New Roman" w:hAnsi="Times New Roman"/>
          <w:b w:val="0"/>
          <w:spacing w:val="0"/>
        </w:rPr>
        <w:t xml:space="preserve"> resp. 31.5.2011</w:t>
      </w:r>
      <w:r w:rsidRPr="000F38A1" w:rsidR="003D0080">
        <w:rPr>
          <w:rFonts w:ascii="Times New Roman" w:hAnsi="Times New Roman"/>
          <w:b w:val="0"/>
          <w:spacing w:val="0"/>
        </w:rPr>
        <w:t>;</w:t>
      </w:r>
    </w:p>
    <w:p w:rsidR="00585598" w:rsidRPr="000F38A1" w:rsidP="00585598">
      <w:pPr>
        <w:pStyle w:val="BodyText"/>
        <w:numPr>
          <w:ilvl w:val="1"/>
          <w:numId w:val="6"/>
        </w:numPr>
        <w:bidi w:val="0"/>
        <w:ind w:left="709" w:hanging="283"/>
        <w:jc w:val="both"/>
        <w:rPr>
          <w:rFonts w:ascii="Times New Roman" w:hAnsi="Times New Roman"/>
          <w:b w:val="0"/>
          <w:spacing w:val="0"/>
        </w:rPr>
      </w:pPr>
      <w:r w:rsidRPr="000F38A1" w:rsidR="00E469C7">
        <w:rPr>
          <w:rFonts w:ascii="Times New Roman" w:hAnsi="Times New Roman"/>
          <w:b w:val="0"/>
          <w:spacing w:val="0"/>
        </w:rPr>
        <w:t>Z</w:t>
      </w:r>
      <w:r w:rsidRPr="000F38A1">
        <w:rPr>
          <w:rFonts w:ascii="Times New Roman" w:hAnsi="Times New Roman"/>
          <w:b w:val="0"/>
          <w:spacing w:val="0"/>
        </w:rPr>
        <w:t xml:space="preserve">ohľadnenie špecifík </w:t>
      </w:r>
      <w:r w:rsidRPr="000F38A1" w:rsidR="00670DC7">
        <w:rPr>
          <w:rFonts w:ascii="Times New Roman" w:hAnsi="Times New Roman"/>
          <w:b w:val="0"/>
        </w:rPr>
        <w:t>štátnych organizácií</w:t>
      </w:r>
      <w:r w:rsidRPr="000F38A1" w:rsidR="003D0080">
        <w:rPr>
          <w:rFonts w:ascii="Times New Roman" w:hAnsi="Times New Roman"/>
          <w:b w:val="0"/>
        </w:rPr>
        <w:t>;</w:t>
      </w:r>
    </w:p>
    <w:p w:rsidR="00585598" w:rsidRPr="000F38A1" w:rsidP="00585598">
      <w:pPr>
        <w:pStyle w:val="BodyText"/>
        <w:numPr>
          <w:ilvl w:val="1"/>
          <w:numId w:val="6"/>
        </w:numPr>
        <w:bidi w:val="0"/>
        <w:ind w:left="709" w:hanging="283"/>
        <w:jc w:val="both"/>
        <w:rPr>
          <w:rFonts w:ascii="Times New Roman" w:hAnsi="Times New Roman"/>
          <w:b w:val="0"/>
          <w:spacing w:val="0"/>
        </w:rPr>
      </w:pPr>
      <w:r w:rsidRPr="000F38A1" w:rsidR="00E469C7">
        <w:rPr>
          <w:rFonts w:ascii="Times New Roman" w:hAnsi="Times New Roman"/>
          <w:b w:val="0"/>
          <w:spacing w:val="0"/>
        </w:rPr>
        <w:t>P</w:t>
      </w:r>
      <w:r w:rsidRPr="000F38A1">
        <w:rPr>
          <w:rFonts w:ascii="Times New Roman" w:hAnsi="Times New Roman"/>
          <w:b w:val="0"/>
          <w:spacing w:val="0"/>
        </w:rPr>
        <w:t>redpoklad vývoja resp. nastavenie trendu zadlžovania s konečným stavom k 31.12.2011</w:t>
      </w:r>
      <w:r w:rsidRPr="000F38A1" w:rsidR="003D0080">
        <w:rPr>
          <w:rFonts w:ascii="Times New Roman" w:hAnsi="Times New Roman"/>
          <w:b w:val="0"/>
          <w:spacing w:val="0"/>
        </w:rPr>
        <w:t>;</w:t>
      </w:r>
    </w:p>
    <w:p w:rsidR="00585598" w:rsidRPr="000F38A1" w:rsidP="00585598">
      <w:pPr>
        <w:pStyle w:val="BodyText"/>
        <w:numPr>
          <w:ilvl w:val="1"/>
          <w:numId w:val="6"/>
        </w:numPr>
        <w:bidi w:val="0"/>
        <w:ind w:left="709" w:hanging="283"/>
        <w:jc w:val="both"/>
        <w:rPr>
          <w:rFonts w:ascii="Times New Roman" w:hAnsi="Times New Roman"/>
          <w:b w:val="0"/>
          <w:spacing w:val="0"/>
        </w:rPr>
      </w:pPr>
      <w:r w:rsidRPr="000F38A1" w:rsidR="00E469C7">
        <w:rPr>
          <w:rFonts w:ascii="Times New Roman" w:hAnsi="Times New Roman"/>
          <w:b w:val="0"/>
          <w:spacing w:val="0"/>
        </w:rPr>
        <w:t>Z</w:t>
      </w:r>
      <w:r w:rsidRPr="000F38A1">
        <w:rPr>
          <w:rFonts w:ascii="Times New Roman" w:hAnsi="Times New Roman"/>
          <w:b w:val="0"/>
          <w:spacing w:val="0"/>
        </w:rPr>
        <w:t>ohľadnenie ostatných záväzkov, ktoré vznikali v </w:t>
      </w:r>
      <w:r w:rsidRPr="000F38A1" w:rsidR="00670DC7">
        <w:rPr>
          <w:rFonts w:ascii="Times New Roman" w:hAnsi="Times New Roman"/>
          <w:b w:val="0"/>
        </w:rPr>
        <w:t>štátnych organizácií</w:t>
      </w:r>
      <w:r w:rsidRPr="000F38A1" w:rsidR="00670DC7">
        <w:rPr>
          <w:rFonts w:ascii="Times New Roman" w:hAnsi="Times New Roman"/>
          <w:b w:val="0"/>
          <w:spacing w:val="0"/>
        </w:rPr>
        <w:t xml:space="preserve"> </w:t>
      </w:r>
      <w:r w:rsidRPr="000F38A1">
        <w:rPr>
          <w:rFonts w:ascii="Times New Roman" w:hAnsi="Times New Roman"/>
          <w:b w:val="0"/>
          <w:spacing w:val="0"/>
        </w:rPr>
        <w:t>po 30.4.</w:t>
      </w:r>
      <w:r w:rsidRPr="000F38A1" w:rsidR="00D70526">
        <w:rPr>
          <w:rFonts w:ascii="Times New Roman" w:hAnsi="Times New Roman"/>
          <w:b w:val="0"/>
          <w:spacing w:val="0"/>
        </w:rPr>
        <w:t>2011</w:t>
      </w:r>
      <w:r w:rsidRPr="000F38A1">
        <w:rPr>
          <w:rFonts w:ascii="Times New Roman" w:hAnsi="Times New Roman"/>
          <w:b w:val="0"/>
          <w:spacing w:val="0"/>
        </w:rPr>
        <w:t xml:space="preserve"> resp. 31.5.2011 a budú musieť b</w:t>
      </w:r>
      <w:r w:rsidRPr="000F38A1" w:rsidR="0026641B">
        <w:rPr>
          <w:rFonts w:ascii="Times New Roman" w:hAnsi="Times New Roman"/>
          <w:b w:val="0"/>
          <w:spacing w:val="0"/>
        </w:rPr>
        <w:t>yť uhradené z vlastných zdrojov;</w:t>
      </w:r>
    </w:p>
    <w:p w:rsidR="0026641B" w:rsidRPr="000F38A1" w:rsidP="00585598">
      <w:pPr>
        <w:pStyle w:val="BodyText"/>
        <w:numPr>
          <w:ilvl w:val="1"/>
          <w:numId w:val="6"/>
        </w:numPr>
        <w:bidi w:val="0"/>
        <w:ind w:left="709" w:hanging="283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>Príkaz ministra zdravotníctva č. 4/2011;</w:t>
      </w:r>
    </w:p>
    <w:p w:rsidR="0026641B" w:rsidRPr="000F38A1" w:rsidP="00585598">
      <w:pPr>
        <w:pStyle w:val="BodyText"/>
        <w:numPr>
          <w:ilvl w:val="1"/>
          <w:numId w:val="6"/>
        </w:numPr>
        <w:bidi w:val="0"/>
        <w:ind w:left="709" w:hanging="283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>Predloženie informácie o finančnej realizácií projektov z Operačného programu Zdravotníctvo.</w:t>
      </w:r>
    </w:p>
    <w:p w:rsidR="00585598" w:rsidRPr="000F38A1" w:rsidP="00585598">
      <w:pPr>
        <w:pStyle w:val="BodyText"/>
        <w:bidi w:val="0"/>
        <w:ind w:left="426"/>
        <w:jc w:val="both"/>
        <w:rPr>
          <w:rFonts w:ascii="Times New Roman" w:hAnsi="Times New Roman"/>
          <w:b w:val="0"/>
          <w:spacing w:val="0"/>
        </w:rPr>
      </w:pPr>
    </w:p>
    <w:p w:rsidR="00585598" w:rsidRPr="000F38A1" w:rsidP="008A2900">
      <w:pPr>
        <w:pStyle w:val="BodyText"/>
        <w:bidi w:val="0"/>
        <w:ind w:firstLine="708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 xml:space="preserve">Rozbor je podkladom pre stabilizáciu </w:t>
      </w:r>
      <w:r w:rsidRPr="000F38A1" w:rsidR="00670DC7">
        <w:rPr>
          <w:rFonts w:ascii="Times New Roman" w:hAnsi="Times New Roman"/>
          <w:b w:val="0"/>
        </w:rPr>
        <w:t>štátnych organizácií</w:t>
      </w:r>
      <w:r w:rsidRPr="000F38A1" w:rsidR="00670DC7">
        <w:rPr>
          <w:rFonts w:ascii="Times New Roman" w:hAnsi="Times New Roman"/>
          <w:b w:val="0"/>
          <w:spacing w:val="0"/>
        </w:rPr>
        <w:t xml:space="preserve"> </w:t>
      </w:r>
      <w:r w:rsidRPr="000F38A1">
        <w:rPr>
          <w:rFonts w:ascii="Times New Roman" w:hAnsi="Times New Roman"/>
          <w:b w:val="0"/>
          <w:spacing w:val="0"/>
        </w:rPr>
        <w:t xml:space="preserve">a je v plnej miere vypracovaný s ohľadom na preukázateľnosť a opatrnosť. Všetky </w:t>
      </w:r>
      <w:r w:rsidRPr="000F38A1" w:rsidR="00670DC7">
        <w:rPr>
          <w:rFonts w:ascii="Times New Roman" w:hAnsi="Times New Roman"/>
          <w:b w:val="0"/>
        </w:rPr>
        <w:t>štátne organizácie</w:t>
      </w:r>
      <w:r w:rsidRPr="000F38A1" w:rsidR="00670DC7">
        <w:rPr>
          <w:rFonts w:ascii="Times New Roman" w:hAnsi="Times New Roman"/>
          <w:b w:val="0"/>
          <w:spacing w:val="0"/>
        </w:rPr>
        <w:t xml:space="preserve"> </w:t>
      </w:r>
      <w:r w:rsidRPr="000F38A1">
        <w:rPr>
          <w:rFonts w:ascii="Times New Roman" w:hAnsi="Times New Roman"/>
          <w:b w:val="0"/>
          <w:spacing w:val="0"/>
        </w:rPr>
        <w:t xml:space="preserve">navštívili znalci príslušných znaleckých odborov, konzultovali so štatutármi a  kontaktnými osobami. Z obhliadok, konzultácií a predložených podkladov vyplynula báza podkladov, ktoré boli najvhodnejšie pre vypracovanie </w:t>
      </w:r>
      <w:r w:rsidRPr="000F38A1" w:rsidR="008A2900">
        <w:rPr>
          <w:rFonts w:ascii="Times New Roman" w:hAnsi="Times New Roman"/>
          <w:b w:val="0"/>
          <w:spacing w:val="0"/>
        </w:rPr>
        <w:t>samotného r</w:t>
      </w:r>
      <w:r w:rsidRPr="000F38A1">
        <w:rPr>
          <w:rFonts w:ascii="Times New Roman" w:hAnsi="Times New Roman"/>
          <w:b w:val="0"/>
          <w:spacing w:val="0"/>
        </w:rPr>
        <w:t>ozboru. Pre zjednotenie a komplexnosť podkladov sa ich predkladateľom stalo Ministerstvo zdravotníctva Slovenskej republiky</w:t>
      </w:r>
      <w:r w:rsidRPr="000F38A1" w:rsidR="00F53565">
        <w:rPr>
          <w:rFonts w:ascii="Times New Roman" w:hAnsi="Times New Roman"/>
          <w:b w:val="0"/>
          <w:spacing w:val="0"/>
        </w:rPr>
        <w:t xml:space="preserve"> (ďalej len „MZ SR“)</w:t>
      </w:r>
      <w:r w:rsidRPr="000F38A1">
        <w:rPr>
          <w:rFonts w:ascii="Times New Roman" w:hAnsi="Times New Roman"/>
          <w:b w:val="0"/>
          <w:spacing w:val="0"/>
        </w:rPr>
        <w:t xml:space="preserve">. Z viacerých podkladov, ktorými MZ SR od </w:t>
      </w:r>
      <w:r w:rsidRPr="000F38A1" w:rsidR="00670DC7">
        <w:rPr>
          <w:rFonts w:ascii="Times New Roman" w:hAnsi="Times New Roman"/>
          <w:b w:val="0"/>
        </w:rPr>
        <w:t>štátnych organizácií</w:t>
      </w:r>
      <w:r w:rsidRPr="000F38A1" w:rsidR="00670DC7">
        <w:rPr>
          <w:rFonts w:ascii="Times New Roman" w:hAnsi="Times New Roman"/>
          <w:b w:val="0"/>
          <w:spacing w:val="0"/>
        </w:rPr>
        <w:t xml:space="preserve"> </w:t>
      </w:r>
      <w:r w:rsidRPr="000F38A1">
        <w:rPr>
          <w:rFonts w:ascii="Times New Roman" w:hAnsi="Times New Roman"/>
          <w:b w:val="0"/>
          <w:spacing w:val="0"/>
        </w:rPr>
        <w:t xml:space="preserve">disponuje, boli ako podstatné vybraté tieto: </w:t>
      </w:r>
    </w:p>
    <w:p w:rsidR="008A2900" w:rsidRPr="000F38A1" w:rsidP="00585598">
      <w:pPr>
        <w:pStyle w:val="BodyText"/>
        <w:bidi w:val="0"/>
        <w:jc w:val="both"/>
        <w:rPr>
          <w:rFonts w:ascii="Times New Roman" w:hAnsi="Times New Roman"/>
          <w:b w:val="0"/>
          <w:spacing w:val="0"/>
        </w:rPr>
      </w:pPr>
    </w:p>
    <w:p w:rsidR="00585598" w:rsidRPr="000F38A1" w:rsidP="008A2900">
      <w:pPr>
        <w:pStyle w:val="BodyText"/>
        <w:numPr>
          <w:numId w:val="7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>Súvahy a Výkazy ziskov a strát v elektronickej forme k 31.12.2008, k 31.12.2009 a k 31.12.2010;</w:t>
      </w:r>
    </w:p>
    <w:p w:rsidR="00585598" w:rsidRPr="000F38A1" w:rsidP="00585598">
      <w:pPr>
        <w:pStyle w:val="BodyText"/>
        <w:numPr>
          <w:numId w:val="7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 xml:space="preserve">Prehľad záväzkov </w:t>
      </w:r>
      <w:r w:rsidRPr="000F38A1" w:rsidR="00670DC7">
        <w:rPr>
          <w:rFonts w:ascii="Times New Roman" w:hAnsi="Times New Roman"/>
          <w:b w:val="0"/>
        </w:rPr>
        <w:t>štátnych organizácií</w:t>
      </w:r>
      <w:r w:rsidRPr="000F38A1" w:rsidR="00670DC7">
        <w:rPr>
          <w:rFonts w:ascii="Times New Roman" w:hAnsi="Times New Roman"/>
          <w:b w:val="0"/>
          <w:spacing w:val="0"/>
        </w:rPr>
        <w:t xml:space="preserve"> </w:t>
      </w:r>
      <w:r w:rsidRPr="000F38A1">
        <w:rPr>
          <w:rFonts w:ascii="Times New Roman" w:hAnsi="Times New Roman"/>
          <w:b w:val="0"/>
          <w:spacing w:val="0"/>
        </w:rPr>
        <w:t>v pôsobnosti MZ SR z mesačných hlásení prehľadu záväzkov po lehote splatnosti, v lehote splatnosti a celkových záväzkov v elektronickej forme (21.7.2011)</w:t>
      </w:r>
      <w:r w:rsidRPr="000F38A1" w:rsidR="003D0080">
        <w:rPr>
          <w:rFonts w:ascii="Times New Roman" w:hAnsi="Times New Roman"/>
          <w:b w:val="0"/>
          <w:spacing w:val="0"/>
        </w:rPr>
        <w:t>;</w:t>
      </w:r>
    </w:p>
    <w:p w:rsidR="00585598" w:rsidRPr="000F38A1" w:rsidP="00585598">
      <w:pPr>
        <w:pStyle w:val="BodyText"/>
        <w:numPr>
          <w:numId w:val="7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 xml:space="preserve">Prehľad záväzkov po jednotlivých komoditách </w:t>
      </w:r>
      <w:r w:rsidRPr="000F38A1" w:rsidR="003D0080">
        <w:rPr>
          <w:rFonts w:ascii="Times New Roman" w:hAnsi="Times New Roman"/>
          <w:b w:val="0"/>
          <w:spacing w:val="0"/>
        </w:rPr>
        <w:t>vyplývajúci z mesačných hlásení;</w:t>
      </w:r>
    </w:p>
    <w:p w:rsidR="00585598" w:rsidRPr="000F38A1" w:rsidP="00585598">
      <w:pPr>
        <w:pStyle w:val="BodyText"/>
        <w:numPr>
          <w:numId w:val="7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>Informácia – zapožičané prenajaté prístrojové zariadenia nevyhnutné k poskyto</w:t>
      </w:r>
      <w:r w:rsidRPr="000F38A1" w:rsidR="003D0080">
        <w:rPr>
          <w:rFonts w:ascii="Times New Roman" w:hAnsi="Times New Roman"/>
          <w:b w:val="0"/>
          <w:spacing w:val="0"/>
        </w:rPr>
        <w:t>vaniu zdravotnej starostlivosti;</w:t>
      </w:r>
    </w:p>
    <w:p w:rsidR="00585598" w:rsidRPr="000F38A1" w:rsidP="00585598">
      <w:pPr>
        <w:pStyle w:val="BodyText"/>
        <w:numPr>
          <w:numId w:val="7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 xml:space="preserve">Rekapitulácie príjmov a výdavkov. </w:t>
      </w:r>
    </w:p>
    <w:p w:rsidR="00585598" w:rsidRPr="000F38A1" w:rsidP="00585598">
      <w:pPr>
        <w:pStyle w:val="BodyText"/>
        <w:bidi w:val="0"/>
        <w:jc w:val="both"/>
        <w:rPr>
          <w:rFonts w:ascii="Times New Roman" w:hAnsi="Times New Roman"/>
          <w:b w:val="0"/>
          <w:spacing w:val="0"/>
        </w:rPr>
      </w:pPr>
    </w:p>
    <w:p w:rsidR="00585598" w:rsidRPr="000F38A1" w:rsidP="008A2900">
      <w:pPr>
        <w:pStyle w:val="BodyText"/>
        <w:bidi w:val="0"/>
        <w:ind w:firstLine="708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 xml:space="preserve">Ďalšie podklady boli žiadané priamo od </w:t>
      </w:r>
      <w:r w:rsidRPr="000F38A1" w:rsidR="00670DC7">
        <w:rPr>
          <w:rFonts w:ascii="Times New Roman" w:hAnsi="Times New Roman"/>
          <w:b w:val="0"/>
        </w:rPr>
        <w:t>štátnych organizácií</w:t>
      </w:r>
      <w:r w:rsidRPr="000F38A1" w:rsidR="00670DC7">
        <w:rPr>
          <w:rFonts w:ascii="Times New Roman" w:hAnsi="Times New Roman"/>
          <w:b w:val="0"/>
          <w:spacing w:val="0"/>
        </w:rPr>
        <w:t xml:space="preserve"> </w:t>
      </w:r>
      <w:r w:rsidRPr="000F38A1">
        <w:rPr>
          <w:rFonts w:ascii="Times New Roman" w:hAnsi="Times New Roman"/>
          <w:b w:val="0"/>
          <w:spacing w:val="0"/>
        </w:rPr>
        <w:t>a to:</w:t>
      </w:r>
    </w:p>
    <w:p w:rsidR="008A2900" w:rsidRPr="000F38A1" w:rsidP="00585598">
      <w:pPr>
        <w:pStyle w:val="BodyText"/>
        <w:bidi w:val="0"/>
        <w:jc w:val="both"/>
        <w:rPr>
          <w:rFonts w:ascii="Times New Roman" w:hAnsi="Times New Roman"/>
          <w:b w:val="0"/>
          <w:spacing w:val="0"/>
        </w:rPr>
      </w:pPr>
    </w:p>
    <w:p w:rsidR="008A2900" w:rsidRPr="000F38A1" w:rsidP="008A2900">
      <w:pPr>
        <w:pStyle w:val="BodyText"/>
        <w:bidi w:val="0"/>
        <w:ind w:left="720" w:hanging="36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 xml:space="preserve">1)   </w:t>
      </w:r>
      <w:r w:rsidRPr="000F38A1" w:rsidR="00585598">
        <w:rPr>
          <w:rFonts w:ascii="Times New Roman" w:hAnsi="Times New Roman"/>
          <w:b w:val="0"/>
          <w:spacing w:val="0"/>
        </w:rPr>
        <w:t>Súvahy a Výkazy ziskov a strát v elektronickej forme k 30.4.2011 a 31.5.2011</w:t>
      </w:r>
      <w:r w:rsidRPr="000F38A1" w:rsidR="00D70526">
        <w:rPr>
          <w:rFonts w:ascii="Times New Roman" w:hAnsi="Times New Roman"/>
          <w:b w:val="0"/>
          <w:spacing w:val="0"/>
        </w:rPr>
        <w:t>;</w:t>
      </w:r>
    </w:p>
    <w:p w:rsidR="008F429B" w:rsidRPr="000F38A1" w:rsidP="008A2900">
      <w:pPr>
        <w:pStyle w:val="BodyText"/>
        <w:bidi w:val="0"/>
        <w:ind w:left="720" w:hanging="36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>2) Východiskový stav záväzkov k 30.4.2011, resp. 31.5.2011;</w:t>
      </w:r>
    </w:p>
    <w:p w:rsidR="00585598" w:rsidRPr="000F38A1" w:rsidP="008A2900">
      <w:pPr>
        <w:pStyle w:val="BodyText"/>
        <w:bidi w:val="0"/>
        <w:ind w:left="720" w:hanging="360"/>
        <w:jc w:val="both"/>
        <w:rPr>
          <w:rFonts w:ascii="Times New Roman" w:hAnsi="Times New Roman"/>
          <w:b w:val="0"/>
          <w:spacing w:val="0"/>
        </w:rPr>
      </w:pPr>
      <w:r w:rsidRPr="000F38A1" w:rsidR="008F429B">
        <w:rPr>
          <w:rFonts w:ascii="Times New Roman" w:hAnsi="Times New Roman"/>
          <w:b w:val="0"/>
          <w:spacing w:val="0"/>
        </w:rPr>
        <w:t>3</w:t>
      </w:r>
      <w:r w:rsidRPr="000F38A1" w:rsidR="008A2900">
        <w:rPr>
          <w:rFonts w:ascii="Times New Roman" w:hAnsi="Times New Roman"/>
          <w:b w:val="0"/>
          <w:spacing w:val="0"/>
        </w:rPr>
        <w:t xml:space="preserve">) </w:t>
      </w:r>
      <w:r w:rsidRPr="000F38A1" w:rsidR="008F429B">
        <w:rPr>
          <w:rFonts w:ascii="Times New Roman" w:hAnsi="Times New Roman"/>
          <w:b w:val="0"/>
          <w:spacing w:val="0"/>
        </w:rPr>
        <w:t>Informácie k ostatným očakávaným</w:t>
      </w:r>
      <w:r w:rsidRPr="000F38A1">
        <w:rPr>
          <w:rFonts w:ascii="Times New Roman" w:hAnsi="Times New Roman"/>
          <w:b w:val="0"/>
          <w:spacing w:val="0"/>
        </w:rPr>
        <w:t xml:space="preserve"> záväzkom, ktoré vznikajú po 30.4.2011 a budú hradené z vlastných zdrojov týkajúce sa napr. investícií, súdnych sporov, atď.</w:t>
      </w:r>
    </w:p>
    <w:p w:rsidR="00585598" w:rsidRPr="000F38A1" w:rsidP="00585598">
      <w:pPr>
        <w:pStyle w:val="BodyText"/>
        <w:bidi w:val="0"/>
        <w:jc w:val="both"/>
        <w:rPr>
          <w:rFonts w:ascii="Times New Roman" w:hAnsi="Times New Roman"/>
          <w:b w:val="0"/>
          <w:spacing w:val="0"/>
        </w:rPr>
      </w:pPr>
    </w:p>
    <w:p w:rsidR="00585598" w:rsidRPr="000F38A1" w:rsidP="008A2900">
      <w:pPr>
        <w:pStyle w:val="BodyText"/>
        <w:bidi w:val="0"/>
        <w:ind w:firstLine="708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>K podkladom prebiehala súst</w:t>
      </w:r>
      <w:r w:rsidRPr="000F38A1" w:rsidR="00AC7C36">
        <w:rPr>
          <w:rFonts w:ascii="Times New Roman" w:hAnsi="Times New Roman"/>
          <w:b w:val="0"/>
          <w:spacing w:val="0"/>
        </w:rPr>
        <w:t>avná komunikácia so zástupcami</w:t>
      </w:r>
      <w:r w:rsidRPr="000F38A1">
        <w:rPr>
          <w:rFonts w:ascii="Times New Roman" w:hAnsi="Times New Roman"/>
          <w:b w:val="0"/>
          <w:spacing w:val="0"/>
        </w:rPr>
        <w:t xml:space="preserve"> MZ SR aj jednotlivými </w:t>
      </w:r>
      <w:r w:rsidRPr="000F38A1" w:rsidR="00670DC7">
        <w:rPr>
          <w:rFonts w:ascii="Times New Roman" w:hAnsi="Times New Roman"/>
          <w:b w:val="0"/>
        </w:rPr>
        <w:t>štátnymi organizáciami</w:t>
      </w:r>
      <w:r w:rsidRPr="000F38A1">
        <w:rPr>
          <w:rFonts w:ascii="Times New Roman" w:hAnsi="Times New Roman"/>
          <w:b w:val="0"/>
          <w:spacing w:val="0"/>
        </w:rPr>
        <w:t xml:space="preserve">. Všetky tieto podklady </w:t>
      </w:r>
      <w:r w:rsidRPr="000F38A1" w:rsidR="008A2900">
        <w:rPr>
          <w:rFonts w:ascii="Times New Roman" w:hAnsi="Times New Roman"/>
          <w:b w:val="0"/>
          <w:spacing w:val="0"/>
        </w:rPr>
        <w:t>a výsledky z nich vyplývajúce boli</w:t>
      </w:r>
      <w:r w:rsidRPr="000F38A1">
        <w:rPr>
          <w:rFonts w:ascii="Times New Roman" w:hAnsi="Times New Roman"/>
          <w:b w:val="0"/>
          <w:spacing w:val="0"/>
        </w:rPr>
        <w:t xml:space="preserve"> zapracované v podrobných prehľadoch jednotlivých </w:t>
      </w:r>
      <w:r w:rsidRPr="000F38A1" w:rsidR="00670DC7">
        <w:rPr>
          <w:rFonts w:ascii="Times New Roman" w:hAnsi="Times New Roman"/>
          <w:b w:val="0"/>
        </w:rPr>
        <w:t>štátnych organizácií</w:t>
      </w:r>
      <w:r w:rsidRPr="000F38A1">
        <w:rPr>
          <w:rFonts w:ascii="Times New Roman" w:hAnsi="Times New Roman"/>
          <w:b w:val="0"/>
          <w:spacing w:val="0"/>
        </w:rPr>
        <w:t>.</w:t>
      </w:r>
    </w:p>
    <w:p w:rsidR="00585598" w:rsidRPr="000F38A1" w:rsidP="00585598">
      <w:pPr>
        <w:pStyle w:val="BodyText"/>
        <w:bidi w:val="0"/>
        <w:jc w:val="both"/>
        <w:rPr>
          <w:rFonts w:ascii="Times New Roman" w:hAnsi="Times New Roman"/>
          <w:b w:val="0"/>
          <w:spacing w:val="0"/>
        </w:rPr>
      </w:pPr>
    </w:p>
    <w:p w:rsidR="008A2900" w:rsidRPr="000F38A1" w:rsidP="008A2900">
      <w:pPr>
        <w:pStyle w:val="BodyText"/>
        <w:bidi w:val="0"/>
        <w:ind w:firstLine="708"/>
        <w:jc w:val="both"/>
        <w:rPr>
          <w:rFonts w:ascii="Times New Roman" w:hAnsi="Times New Roman"/>
          <w:b w:val="0"/>
          <w:spacing w:val="0"/>
        </w:rPr>
      </w:pPr>
      <w:r w:rsidRPr="000F38A1" w:rsidR="00585598">
        <w:rPr>
          <w:rFonts w:ascii="Times New Roman" w:hAnsi="Times New Roman"/>
          <w:b w:val="0"/>
          <w:spacing w:val="0"/>
        </w:rPr>
        <w:t>Dátum 30.4.2011</w:t>
      </w:r>
      <w:r w:rsidRPr="000F38A1" w:rsidR="00742824">
        <w:rPr>
          <w:rFonts w:ascii="Times New Roman" w:hAnsi="Times New Roman"/>
          <w:b w:val="0"/>
          <w:spacing w:val="0"/>
        </w:rPr>
        <w:t>,</w:t>
      </w:r>
      <w:r w:rsidRPr="000F38A1" w:rsidR="00585598">
        <w:rPr>
          <w:rFonts w:ascii="Times New Roman" w:hAnsi="Times New Roman"/>
          <w:b w:val="0"/>
          <w:spacing w:val="0"/>
        </w:rPr>
        <w:t xml:space="preserve"> resp. 31.5.2011 je rozhodujúcim dátumom pre tento rozbor, pretože k týmto dátumom sa vypracovávajú znalecké posudky, ktorých úlohou je stanoviť všeobecnú hodnotu zdravotníckych zariadení, kde tiež jeden z východiskových základných podkladov je práve účtovná závierka. To znamená, že USI ŽU pracuje s rovnakou bázou podkladov a dát, ktoré sa dajú vzájomne porovnávať. </w:t>
      </w:r>
      <w:r w:rsidRPr="000F38A1" w:rsidR="00866552">
        <w:rPr>
          <w:rFonts w:ascii="Times New Roman" w:hAnsi="Times New Roman"/>
          <w:b w:val="0"/>
          <w:spacing w:val="0"/>
        </w:rPr>
        <w:t>Východiskový stav záväzkov</w:t>
      </w:r>
      <w:r w:rsidRPr="000F38A1" w:rsidR="00585598">
        <w:rPr>
          <w:rFonts w:ascii="Times New Roman" w:hAnsi="Times New Roman"/>
          <w:b w:val="0"/>
          <w:spacing w:val="0"/>
        </w:rPr>
        <w:t xml:space="preserve"> k týmto dátumom je teda zhodný aj pre stanovenie všeobecnej hodnoty </w:t>
      </w:r>
      <w:r w:rsidRPr="000F38A1" w:rsidR="00670DC7">
        <w:rPr>
          <w:rFonts w:ascii="Times New Roman" w:hAnsi="Times New Roman"/>
          <w:b w:val="0"/>
          <w:spacing w:val="0"/>
        </w:rPr>
        <w:t>štátnej organizácie,</w:t>
      </w:r>
      <w:r w:rsidRPr="000F38A1" w:rsidR="00585598">
        <w:rPr>
          <w:rFonts w:ascii="Times New Roman" w:hAnsi="Times New Roman"/>
          <w:b w:val="0"/>
          <w:spacing w:val="0"/>
        </w:rPr>
        <w:t xml:space="preserve"> ako aj pre ich rozbor. Pri výb</w:t>
      </w:r>
      <w:r w:rsidRPr="000F38A1" w:rsidR="0069262D">
        <w:rPr>
          <w:rFonts w:ascii="Times New Roman" w:hAnsi="Times New Roman"/>
          <w:b w:val="0"/>
          <w:spacing w:val="0"/>
        </w:rPr>
        <w:t>ere metodického postupu boli</w:t>
      </w:r>
      <w:r w:rsidRPr="000F38A1" w:rsidR="00585598">
        <w:rPr>
          <w:rFonts w:ascii="Times New Roman" w:hAnsi="Times New Roman"/>
          <w:b w:val="0"/>
          <w:spacing w:val="0"/>
        </w:rPr>
        <w:t xml:space="preserve"> zohľadnené špecifiká </w:t>
      </w:r>
      <w:r w:rsidRPr="000F38A1" w:rsidR="00670DC7">
        <w:rPr>
          <w:rFonts w:ascii="Times New Roman" w:hAnsi="Times New Roman"/>
          <w:b w:val="0"/>
        </w:rPr>
        <w:t>štátnych organizácií</w:t>
      </w:r>
      <w:r w:rsidRPr="000F38A1" w:rsidR="00585598">
        <w:rPr>
          <w:rFonts w:ascii="Times New Roman" w:hAnsi="Times New Roman"/>
          <w:b w:val="0"/>
          <w:spacing w:val="0"/>
        </w:rPr>
        <w:t>, ktoré majú významný vplyv pr</w:t>
      </w:r>
      <w:r w:rsidRPr="000F38A1" w:rsidR="0069262D">
        <w:rPr>
          <w:rFonts w:ascii="Times New Roman" w:hAnsi="Times New Roman"/>
          <w:b w:val="0"/>
          <w:spacing w:val="0"/>
        </w:rPr>
        <w:t>i spracovaní rozboru. Ku každej</w:t>
      </w:r>
      <w:r w:rsidRPr="000F38A1" w:rsidR="00585598">
        <w:rPr>
          <w:rFonts w:ascii="Times New Roman" w:hAnsi="Times New Roman"/>
          <w:b w:val="0"/>
          <w:spacing w:val="0"/>
        </w:rPr>
        <w:t xml:space="preserve"> </w:t>
      </w:r>
      <w:r w:rsidRPr="000F38A1" w:rsidR="0069262D">
        <w:rPr>
          <w:rFonts w:ascii="Times New Roman" w:hAnsi="Times New Roman"/>
          <w:b w:val="0"/>
        </w:rPr>
        <w:t>štátnej organizácii</w:t>
      </w:r>
      <w:r w:rsidRPr="000F38A1" w:rsidR="0069262D">
        <w:rPr>
          <w:rFonts w:ascii="Times New Roman" w:hAnsi="Times New Roman"/>
          <w:b w:val="0"/>
          <w:spacing w:val="0"/>
        </w:rPr>
        <w:t xml:space="preserve"> </w:t>
      </w:r>
      <w:r w:rsidRPr="000F38A1" w:rsidR="00585598">
        <w:rPr>
          <w:rFonts w:ascii="Times New Roman" w:hAnsi="Times New Roman"/>
          <w:b w:val="0"/>
          <w:spacing w:val="0"/>
        </w:rPr>
        <w:t>sa pristupovalo samostatne, zohľadnili sa všetky poznatky získané z obhliadok a rozhovorov, kde veľká pozornosť bola venovaná nedokončeným investíciám a možným z</w:t>
      </w:r>
      <w:r w:rsidRPr="000F38A1" w:rsidR="00D70526">
        <w:rPr>
          <w:rFonts w:ascii="Times New Roman" w:hAnsi="Times New Roman"/>
          <w:b w:val="0"/>
          <w:spacing w:val="0"/>
        </w:rPr>
        <w:t>áväzkom, ktoré vzniknú po 30.4.2011</w:t>
      </w:r>
      <w:r w:rsidRPr="000F38A1" w:rsidR="003412B4">
        <w:rPr>
          <w:rFonts w:ascii="Times New Roman" w:hAnsi="Times New Roman"/>
          <w:b w:val="0"/>
          <w:spacing w:val="0"/>
        </w:rPr>
        <w:t>,</w:t>
      </w:r>
      <w:r w:rsidRPr="000F38A1" w:rsidR="00D70526">
        <w:rPr>
          <w:rFonts w:ascii="Times New Roman" w:hAnsi="Times New Roman"/>
          <w:b w:val="0"/>
          <w:spacing w:val="0"/>
        </w:rPr>
        <w:t xml:space="preserve"> </w:t>
      </w:r>
      <w:r w:rsidRPr="000F38A1" w:rsidR="00585598">
        <w:rPr>
          <w:rFonts w:ascii="Times New Roman" w:hAnsi="Times New Roman"/>
          <w:b w:val="0"/>
          <w:spacing w:val="0"/>
        </w:rPr>
        <w:t xml:space="preserve">resp. 31.5.2011 a ktoré budú musieť </w:t>
      </w:r>
      <w:r w:rsidRPr="000F38A1" w:rsidR="0069262D">
        <w:rPr>
          <w:rFonts w:ascii="Times New Roman" w:hAnsi="Times New Roman"/>
          <w:b w:val="0"/>
        </w:rPr>
        <w:t>štátne organizácie</w:t>
      </w:r>
      <w:r w:rsidRPr="000F38A1" w:rsidR="0069262D">
        <w:rPr>
          <w:rFonts w:ascii="Times New Roman" w:hAnsi="Times New Roman"/>
          <w:b w:val="0"/>
          <w:spacing w:val="0"/>
        </w:rPr>
        <w:t xml:space="preserve"> </w:t>
      </w:r>
      <w:r w:rsidRPr="000F38A1" w:rsidR="00585598">
        <w:rPr>
          <w:rFonts w:ascii="Times New Roman" w:hAnsi="Times New Roman"/>
          <w:b w:val="0"/>
          <w:spacing w:val="0"/>
        </w:rPr>
        <w:t xml:space="preserve">hradiť z vlastných zdrojov. </w:t>
      </w:r>
    </w:p>
    <w:p w:rsidR="008A2900" w:rsidRPr="000F38A1" w:rsidP="00585598">
      <w:pPr>
        <w:pStyle w:val="BodyText"/>
        <w:bidi w:val="0"/>
        <w:jc w:val="both"/>
        <w:rPr>
          <w:rFonts w:ascii="Times New Roman" w:hAnsi="Times New Roman"/>
          <w:b w:val="0"/>
          <w:spacing w:val="0"/>
        </w:rPr>
      </w:pPr>
    </w:p>
    <w:p w:rsidR="00585598" w:rsidRPr="000F38A1" w:rsidP="002562CB">
      <w:pPr>
        <w:pStyle w:val="BodyText"/>
        <w:bidi w:val="0"/>
        <w:ind w:firstLine="708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>Po objektívnom zn</w:t>
      </w:r>
      <w:r w:rsidRPr="000F38A1" w:rsidR="008A2900">
        <w:rPr>
          <w:rFonts w:ascii="Times New Roman" w:hAnsi="Times New Roman"/>
          <w:b w:val="0"/>
          <w:spacing w:val="0"/>
        </w:rPr>
        <w:t>aleckom posúdení predmetom r</w:t>
      </w:r>
      <w:r w:rsidRPr="000F38A1">
        <w:rPr>
          <w:rFonts w:ascii="Times New Roman" w:hAnsi="Times New Roman"/>
          <w:b w:val="0"/>
          <w:spacing w:val="0"/>
        </w:rPr>
        <w:t>ozboru</w:t>
      </w:r>
      <w:r w:rsidRPr="000F38A1" w:rsidR="00EA3C36">
        <w:rPr>
          <w:rFonts w:ascii="Times New Roman" w:hAnsi="Times New Roman"/>
          <w:b w:val="0"/>
          <w:spacing w:val="0"/>
        </w:rPr>
        <w:t>, resp. súčasťou odhadu trendu zadlžovania</w:t>
      </w:r>
      <w:r w:rsidRPr="000F38A1">
        <w:rPr>
          <w:rFonts w:ascii="Times New Roman" w:hAnsi="Times New Roman"/>
          <w:b w:val="0"/>
          <w:spacing w:val="0"/>
        </w:rPr>
        <w:t xml:space="preserve"> vzhľadom na svoj charakter </w:t>
      </w:r>
      <w:r w:rsidRPr="000F38A1" w:rsidR="008A2900">
        <w:rPr>
          <w:rFonts w:ascii="Times New Roman" w:hAnsi="Times New Roman"/>
          <w:b w:val="0"/>
          <w:spacing w:val="0"/>
        </w:rPr>
        <w:t xml:space="preserve">neboli </w:t>
      </w:r>
      <w:r w:rsidRPr="000F38A1">
        <w:rPr>
          <w:rFonts w:ascii="Times New Roman" w:hAnsi="Times New Roman"/>
          <w:b w:val="0"/>
          <w:spacing w:val="0"/>
        </w:rPr>
        <w:t>tieto záväzky:</w:t>
      </w:r>
    </w:p>
    <w:p w:rsidR="002562CB" w:rsidRPr="000F38A1" w:rsidP="002562CB">
      <w:pPr>
        <w:pStyle w:val="BodyText"/>
        <w:bidi w:val="0"/>
        <w:ind w:firstLine="708"/>
        <w:jc w:val="both"/>
        <w:rPr>
          <w:rFonts w:ascii="Times New Roman" w:hAnsi="Times New Roman"/>
          <w:b w:val="0"/>
          <w:spacing w:val="0"/>
        </w:rPr>
      </w:pPr>
    </w:p>
    <w:p w:rsidR="00585598" w:rsidRPr="000F38A1" w:rsidP="00585598">
      <w:pPr>
        <w:pStyle w:val="BodyText"/>
        <w:numPr>
          <w:numId w:val="9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 xml:space="preserve">B. I. Rezervy </w:t>
      </w:r>
      <w:r w:rsidRPr="000F38A1" w:rsidR="00D70526">
        <w:rPr>
          <w:rFonts w:ascii="Times New Roman" w:hAnsi="Times New Roman"/>
          <w:b w:val="0"/>
          <w:spacing w:val="0"/>
        </w:rPr>
        <w:t>;</w:t>
      </w:r>
    </w:p>
    <w:p w:rsidR="00585598" w:rsidRPr="000F38A1" w:rsidP="00585598">
      <w:pPr>
        <w:pStyle w:val="BodyText"/>
        <w:numPr>
          <w:numId w:val="9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>B. II. Zúčtovanie medzi subjektmi verejnej správy – najviac sa vyskytujú transfery štátneho rozpočtu (účet 353)</w:t>
      </w:r>
      <w:r w:rsidRPr="000F38A1" w:rsidR="00D70526">
        <w:rPr>
          <w:rFonts w:ascii="Times New Roman" w:hAnsi="Times New Roman"/>
          <w:b w:val="0"/>
          <w:spacing w:val="0"/>
        </w:rPr>
        <w:t>;</w:t>
      </w:r>
    </w:p>
    <w:p w:rsidR="00585598" w:rsidRPr="000F38A1" w:rsidP="00585598">
      <w:pPr>
        <w:pStyle w:val="BodyText"/>
        <w:numPr>
          <w:numId w:val="9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>B. III. 4. Dlhodobé záväzky zo sociálneho fondu</w:t>
      </w:r>
      <w:r w:rsidRPr="000F38A1" w:rsidR="00D70526">
        <w:rPr>
          <w:rFonts w:ascii="Times New Roman" w:hAnsi="Times New Roman"/>
          <w:b w:val="0"/>
          <w:spacing w:val="0"/>
        </w:rPr>
        <w:t>;</w:t>
      </w:r>
    </w:p>
    <w:p w:rsidR="00585598" w:rsidRPr="000F38A1" w:rsidP="00585598">
      <w:pPr>
        <w:pStyle w:val="BodyText"/>
        <w:numPr>
          <w:numId w:val="9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>B.IV.3. Prijaté preddavky</w:t>
      </w:r>
      <w:r w:rsidRPr="000F38A1" w:rsidR="00D70526">
        <w:rPr>
          <w:rFonts w:ascii="Times New Roman" w:hAnsi="Times New Roman"/>
          <w:b w:val="0"/>
          <w:spacing w:val="0"/>
        </w:rPr>
        <w:t>;</w:t>
      </w:r>
    </w:p>
    <w:p w:rsidR="00585598" w:rsidRPr="000F38A1" w:rsidP="00585598">
      <w:pPr>
        <w:pStyle w:val="BodyText"/>
        <w:numPr>
          <w:numId w:val="9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>B. IV. 12 Zamestnanci</w:t>
      </w:r>
      <w:r w:rsidRPr="000F38A1" w:rsidR="00D70526">
        <w:rPr>
          <w:rFonts w:ascii="Times New Roman" w:hAnsi="Times New Roman"/>
          <w:b w:val="0"/>
          <w:spacing w:val="0"/>
        </w:rPr>
        <w:t>;</w:t>
      </w:r>
    </w:p>
    <w:p w:rsidR="00585598" w:rsidRPr="000F38A1" w:rsidP="00585598">
      <w:pPr>
        <w:pStyle w:val="BodyText"/>
        <w:numPr>
          <w:numId w:val="9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>B. IV.20 Zúčtovanie ES (účet 371)</w:t>
      </w:r>
      <w:r w:rsidRPr="000F38A1" w:rsidR="00D70526">
        <w:rPr>
          <w:rFonts w:ascii="Times New Roman" w:hAnsi="Times New Roman"/>
          <w:b w:val="0"/>
          <w:spacing w:val="0"/>
        </w:rPr>
        <w:t>;</w:t>
      </w:r>
    </w:p>
    <w:p w:rsidR="00585598" w:rsidRPr="000F38A1" w:rsidP="00585598">
      <w:pPr>
        <w:pStyle w:val="BodyText"/>
        <w:numPr>
          <w:numId w:val="9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>B. IV.21 Transfery a ostatné zúčtovanie so subjektmi mimo verejnej správy (účet 372)</w:t>
      </w:r>
      <w:r w:rsidRPr="000F38A1" w:rsidR="00D70526">
        <w:rPr>
          <w:rFonts w:ascii="Times New Roman" w:hAnsi="Times New Roman"/>
          <w:b w:val="0"/>
          <w:spacing w:val="0"/>
        </w:rPr>
        <w:t>;</w:t>
      </w:r>
    </w:p>
    <w:p w:rsidR="00585598" w:rsidRPr="000F38A1" w:rsidP="00585598">
      <w:pPr>
        <w:pStyle w:val="BodyText"/>
        <w:numPr>
          <w:numId w:val="9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>B.V.6 Prijaté návratné finančné výpomoci od subjektov verejnej správy</w:t>
      </w:r>
      <w:r w:rsidRPr="000F38A1" w:rsidR="00D70526">
        <w:rPr>
          <w:rFonts w:ascii="Times New Roman" w:hAnsi="Times New Roman"/>
          <w:b w:val="0"/>
          <w:spacing w:val="0"/>
        </w:rPr>
        <w:t>.</w:t>
      </w:r>
    </w:p>
    <w:p w:rsidR="00585598" w:rsidRPr="000F38A1" w:rsidP="00585598">
      <w:pPr>
        <w:pStyle w:val="BodyText"/>
        <w:bidi w:val="0"/>
        <w:jc w:val="both"/>
        <w:rPr>
          <w:rFonts w:ascii="Times New Roman" w:hAnsi="Times New Roman"/>
          <w:b w:val="0"/>
          <w:spacing w:val="0"/>
        </w:rPr>
      </w:pPr>
    </w:p>
    <w:p w:rsidR="00225730" w:rsidRPr="000F38A1" w:rsidP="002562CB">
      <w:pPr>
        <w:pStyle w:val="BodyText"/>
        <w:bidi w:val="0"/>
        <w:ind w:firstLine="708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 xml:space="preserve">Základnou bázou záväzkov sú po vylúčení vyššie uvedených, najmä krátkodobé záväzky a niektoré záväzky dlhodobé, pričom neboli započítané záväzky vyplývajúce z poskytnutej návratnej finančnej výpomoci v zmysle uznesenia vlády č. 938 zo 17. decembra 2008. Tieto záväzky sú rozdelené na záväzky v lehote splatnosti a záväzky po lehote splatnosti, pričom lehota splatnosti, ako bolo už po obhliadkach a konzultáciách zistené, je v mnohých prípadoch deformovaná. Záväzky, ktoré nie sú predmetom rozboru buď nepredstavujú skutočný budúci odliv finančných prostriedkov alebo je potrebné ich úhradu bežne zabezpečovať. Sú kryté finančnými účtami a pohľadávkami (najmä voči zdravotným poisťovniam). </w:t>
      </w:r>
    </w:p>
    <w:p w:rsidR="00225730" w:rsidRPr="000F38A1" w:rsidP="002562CB">
      <w:pPr>
        <w:pStyle w:val="BodyText"/>
        <w:bidi w:val="0"/>
        <w:ind w:firstLine="708"/>
        <w:jc w:val="both"/>
        <w:rPr>
          <w:rFonts w:ascii="Times New Roman" w:hAnsi="Times New Roman"/>
          <w:b w:val="0"/>
          <w:spacing w:val="0"/>
        </w:rPr>
      </w:pPr>
    </w:p>
    <w:p w:rsidR="00225730" w:rsidRPr="000F38A1" w:rsidP="002562CB">
      <w:pPr>
        <w:pStyle w:val="BodyText"/>
        <w:bidi w:val="0"/>
        <w:ind w:firstLine="708"/>
        <w:jc w:val="both"/>
        <w:rPr>
          <w:rFonts w:ascii="Times New Roman" w:hAnsi="Times New Roman"/>
          <w:b w:val="0"/>
          <w:spacing w:val="0"/>
        </w:rPr>
      </w:pPr>
    </w:p>
    <w:p w:rsidR="00585598" w:rsidRPr="000F38A1" w:rsidP="00585598">
      <w:pPr>
        <w:pStyle w:val="BodyText"/>
        <w:bidi w:val="0"/>
        <w:jc w:val="both"/>
        <w:rPr>
          <w:rFonts w:ascii="Times New Roman" w:hAnsi="Times New Roman"/>
          <w:b w:val="0"/>
          <w:spacing w:val="0"/>
        </w:rPr>
      </w:pPr>
    </w:p>
    <w:p w:rsidR="002562CB" w:rsidRPr="000F38A1" w:rsidP="00585598">
      <w:pPr>
        <w:pStyle w:val="BodyText"/>
        <w:bidi w:val="0"/>
        <w:jc w:val="both"/>
        <w:rPr>
          <w:rFonts w:ascii="Times New Roman" w:hAnsi="Times New Roman"/>
          <w:spacing w:val="0"/>
        </w:rPr>
      </w:pPr>
      <w:r w:rsidRPr="000F38A1">
        <w:rPr>
          <w:rFonts w:ascii="Times New Roman" w:hAnsi="Times New Roman"/>
          <w:spacing w:val="0"/>
        </w:rPr>
        <w:t>3.2. Metodika výpočtu</w:t>
      </w:r>
    </w:p>
    <w:p w:rsidR="00585598" w:rsidRPr="000F38A1" w:rsidP="00585598">
      <w:pPr>
        <w:pStyle w:val="BodyText"/>
        <w:bidi w:val="0"/>
        <w:jc w:val="both"/>
        <w:rPr>
          <w:rFonts w:ascii="Times New Roman" w:hAnsi="Times New Roman"/>
          <w:b w:val="0"/>
          <w:spacing w:val="0"/>
        </w:rPr>
      </w:pPr>
    </w:p>
    <w:p w:rsidR="00585598" w:rsidRPr="000F38A1" w:rsidP="002562CB">
      <w:pPr>
        <w:pStyle w:val="BodyText"/>
        <w:bidi w:val="0"/>
        <w:ind w:firstLine="708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 xml:space="preserve">Výber metodického postupu </w:t>
      </w:r>
      <w:r w:rsidRPr="000F38A1" w:rsidR="002562CB">
        <w:rPr>
          <w:rFonts w:ascii="Times New Roman" w:hAnsi="Times New Roman"/>
          <w:b w:val="0"/>
          <w:spacing w:val="0"/>
        </w:rPr>
        <w:t>rozboru</w:t>
      </w:r>
      <w:r w:rsidRPr="000F38A1">
        <w:rPr>
          <w:rFonts w:ascii="Times New Roman" w:hAnsi="Times New Roman"/>
          <w:b w:val="0"/>
          <w:spacing w:val="0"/>
        </w:rPr>
        <w:t xml:space="preserve"> podmienili tieto základné skutočnosti:</w:t>
      </w:r>
    </w:p>
    <w:p w:rsidR="002562CB" w:rsidRPr="000F38A1" w:rsidP="00585598">
      <w:pPr>
        <w:pStyle w:val="BodyText"/>
        <w:bidi w:val="0"/>
        <w:jc w:val="both"/>
        <w:rPr>
          <w:rFonts w:ascii="Times New Roman" w:hAnsi="Times New Roman"/>
          <w:b w:val="0"/>
          <w:spacing w:val="0"/>
        </w:rPr>
      </w:pPr>
    </w:p>
    <w:p w:rsidR="00585598" w:rsidRPr="000F38A1" w:rsidP="00585598">
      <w:pPr>
        <w:pStyle w:val="BodyText"/>
        <w:numPr>
          <w:numId w:val="10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>Rozsah a kvalita predložených podkladov, ktoré pochádzali z dvoch zdrojov, ktorými boli MZ SR a </w:t>
      </w:r>
      <w:r w:rsidRPr="000F38A1" w:rsidR="0069262D">
        <w:rPr>
          <w:rFonts w:ascii="Times New Roman" w:hAnsi="Times New Roman"/>
          <w:b w:val="0"/>
        </w:rPr>
        <w:t>štátne organizácie</w:t>
      </w:r>
      <w:r w:rsidRPr="000F38A1" w:rsidR="0069262D">
        <w:rPr>
          <w:rFonts w:ascii="Times New Roman" w:hAnsi="Times New Roman"/>
          <w:b w:val="0"/>
          <w:spacing w:val="0"/>
        </w:rPr>
        <w:t xml:space="preserve"> </w:t>
      </w:r>
      <w:r w:rsidRPr="000F38A1" w:rsidR="00D70526">
        <w:rPr>
          <w:rFonts w:ascii="Times New Roman" w:hAnsi="Times New Roman"/>
          <w:b w:val="0"/>
          <w:spacing w:val="0"/>
        </w:rPr>
        <w:t>jednotlivo;</w:t>
      </w:r>
      <w:r w:rsidRPr="000F38A1">
        <w:rPr>
          <w:rFonts w:ascii="Times New Roman" w:hAnsi="Times New Roman"/>
          <w:b w:val="0"/>
          <w:spacing w:val="0"/>
        </w:rPr>
        <w:t xml:space="preserve"> </w:t>
      </w:r>
    </w:p>
    <w:p w:rsidR="00585598" w:rsidRPr="000F38A1" w:rsidP="00585598">
      <w:pPr>
        <w:pStyle w:val="BodyText"/>
        <w:numPr>
          <w:numId w:val="10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>Výsledky porovnávania týchto dvoch zdrojov, pr</w:t>
      </w:r>
      <w:r w:rsidRPr="000F38A1" w:rsidR="00D70526">
        <w:rPr>
          <w:rFonts w:ascii="Times New Roman" w:hAnsi="Times New Roman"/>
          <w:b w:val="0"/>
          <w:spacing w:val="0"/>
        </w:rPr>
        <w:t>ičom boli zistené nezrovnalosti;</w:t>
      </w:r>
    </w:p>
    <w:p w:rsidR="00585598" w:rsidRPr="000F38A1" w:rsidP="00585598">
      <w:pPr>
        <w:pStyle w:val="BodyText"/>
        <w:numPr>
          <w:numId w:val="10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 w:rsidR="0064541A">
        <w:rPr>
          <w:rFonts w:ascii="Times New Roman" w:hAnsi="Times New Roman"/>
          <w:b w:val="0"/>
          <w:spacing w:val="0"/>
        </w:rPr>
        <w:t>Zistenia</w:t>
      </w:r>
      <w:r w:rsidRPr="000F38A1">
        <w:rPr>
          <w:rFonts w:ascii="Times New Roman" w:hAnsi="Times New Roman"/>
          <w:b w:val="0"/>
          <w:spacing w:val="0"/>
        </w:rPr>
        <w:t xml:space="preserve"> z obhliadok jednotlivých </w:t>
      </w:r>
      <w:r w:rsidRPr="000F38A1" w:rsidR="0069262D">
        <w:rPr>
          <w:rFonts w:ascii="Times New Roman" w:hAnsi="Times New Roman"/>
          <w:b w:val="0"/>
        </w:rPr>
        <w:t>štátnych organizácií</w:t>
      </w:r>
      <w:r w:rsidRPr="000F38A1" w:rsidR="0069262D">
        <w:rPr>
          <w:rFonts w:ascii="Times New Roman" w:hAnsi="Times New Roman"/>
          <w:b w:val="0"/>
          <w:spacing w:val="0"/>
        </w:rPr>
        <w:t xml:space="preserve"> </w:t>
      </w:r>
      <w:r w:rsidRPr="000F38A1">
        <w:rPr>
          <w:rFonts w:ascii="Times New Roman" w:hAnsi="Times New Roman"/>
          <w:b w:val="0"/>
          <w:spacing w:val="0"/>
        </w:rPr>
        <w:t xml:space="preserve">a konzultácií kontaktných osôb, ktoré boli určené štatutármi </w:t>
      </w:r>
      <w:r w:rsidRPr="000F38A1" w:rsidR="0069262D">
        <w:rPr>
          <w:rFonts w:ascii="Times New Roman" w:hAnsi="Times New Roman"/>
          <w:b w:val="0"/>
        </w:rPr>
        <w:t>štátnych organizácií</w:t>
      </w:r>
      <w:r w:rsidRPr="000F38A1" w:rsidR="00D70526">
        <w:rPr>
          <w:rFonts w:ascii="Times New Roman" w:hAnsi="Times New Roman"/>
          <w:b w:val="0"/>
          <w:spacing w:val="0"/>
        </w:rPr>
        <w:t>;</w:t>
      </w:r>
    </w:p>
    <w:p w:rsidR="00585598" w:rsidRPr="000F38A1" w:rsidP="00585598">
      <w:pPr>
        <w:pStyle w:val="BodyText"/>
        <w:numPr>
          <w:numId w:val="10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 w:rsidR="0064541A">
        <w:rPr>
          <w:rFonts w:ascii="Times New Roman" w:hAnsi="Times New Roman"/>
          <w:b w:val="0"/>
          <w:spacing w:val="0"/>
        </w:rPr>
        <w:t>Zistenia</w:t>
      </w:r>
      <w:r w:rsidRPr="000F38A1">
        <w:rPr>
          <w:rFonts w:ascii="Times New Roman" w:hAnsi="Times New Roman"/>
          <w:b w:val="0"/>
          <w:spacing w:val="0"/>
        </w:rPr>
        <w:t xml:space="preserve"> pri samotnom vypracovaní znaleckých posudkov, ktorých úlohou je stanoviť všeobecné hodnoty jednotlivých </w:t>
      </w:r>
      <w:r w:rsidRPr="000F38A1" w:rsidR="0069262D">
        <w:rPr>
          <w:rFonts w:ascii="Times New Roman" w:hAnsi="Times New Roman"/>
          <w:b w:val="0"/>
        </w:rPr>
        <w:t>štátnych organizácií</w:t>
      </w:r>
      <w:r w:rsidRPr="000F38A1" w:rsidR="0069262D">
        <w:rPr>
          <w:rFonts w:ascii="Times New Roman" w:hAnsi="Times New Roman"/>
          <w:b w:val="0"/>
          <w:spacing w:val="0"/>
        </w:rPr>
        <w:t xml:space="preserve"> </w:t>
      </w:r>
      <w:r w:rsidRPr="000F38A1">
        <w:rPr>
          <w:rFonts w:ascii="Times New Roman" w:hAnsi="Times New Roman"/>
          <w:b w:val="0"/>
          <w:spacing w:val="0"/>
        </w:rPr>
        <w:t>ako aj skúsenosti doterajšej znaleckej pra</w:t>
      </w:r>
      <w:r w:rsidRPr="000F38A1" w:rsidR="00D70526">
        <w:rPr>
          <w:rFonts w:ascii="Times New Roman" w:hAnsi="Times New Roman"/>
          <w:b w:val="0"/>
          <w:spacing w:val="0"/>
        </w:rPr>
        <w:t>xe;</w:t>
      </w:r>
      <w:r w:rsidRPr="000F38A1">
        <w:rPr>
          <w:rFonts w:ascii="Times New Roman" w:hAnsi="Times New Roman"/>
          <w:b w:val="0"/>
          <w:spacing w:val="0"/>
        </w:rPr>
        <w:t xml:space="preserve"> </w:t>
      </w:r>
    </w:p>
    <w:p w:rsidR="00585598" w:rsidRPr="000F38A1" w:rsidP="00585598">
      <w:pPr>
        <w:pStyle w:val="BodyText"/>
        <w:numPr>
          <w:numId w:val="10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 xml:space="preserve">Aplikácia </w:t>
      </w:r>
      <w:r w:rsidRPr="000F38A1" w:rsidR="00D70526">
        <w:rPr>
          <w:rFonts w:ascii="Times New Roman" w:hAnsi="Times New Roman"/>
          <w:b w:val="0"/>
          <w:spacing w:val="0"/>
        </w:rPr>
        <w:t>vybraných štatistických modelov</w:t>
      </w:r>
      <w:r w:rsidRPr="000F38A1" w:rsidR="0064541A">
        <w:rPr>
          <w:rFonts w:ascii="Times New Roman" w:hAnsi="Times New Roman"/>
          <w:b w:val="0"/>
          <w:spacing w:val="0"/>
        </w:rPr>
        <w:t xml:space="preserve"> podmienená rozsahom a kvalitou predložených podkladov</w:t>
      </w:r>
      <w:r w:rsidRPr="000F38A1" w:rsidR="00D70526">
        <w:rPr>
          <w:rFonts w:ascii="Times New Roman" w:hAnsi="Times New Roman"/>
          <w:b w:val="0"/>
          <w:spacing w:val="0"/>
        </w:rPr>
        <w:t>;</w:t>
      </w:r>
    </w:p>
    <w:p w:rsidR="00585598" w:rsidRPr="000F38A1" w:rsidP="00585598">
      <w:pPr>
        <w:pStyle w:val="BodyText"/>
        <w:numPr>
          <w:numId w:val="10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 xml:space="preserve">Špecifiká jednotlivých </w:t>
      </w:r>
      <w:r w:rsidRPr="000F38A1" w:rsidR="0069262D">
        <w:rPr>
          <w:rFonts w:ascii="Times New Roman" w:hAnsi="Times New Roman"/>
          <w:b w:val="0"/>
        </w:rPr>
        <w:t>štátnych organizácií</w:t>
      </w:r>
      <w:r w:rsidRPr="000F38A1" w:rsidR="0069262D">
        <w:rPr>
          <w:rFonts w:ascii="Times New Roman" w:hAnsi="Times New Roman"/>
          <w:b w:val="0"/>
          <w:spacing w:val="0"/>
        </w:rPr>
        <w:t xml:space="preserve"> </w:t>
      </w:r>
      <w:r w:rsidRPr="000F38A1">
        <w:rPr>
          <w:rFonts w:ascii="Times New Roman" w:hAnsi="Times New Roman"/>
          <w:b w:val="0"/>
          <w:spacing w:val="0"/>
        </w:rPr>
        <w:t>s ohľadom na typ poskytovan</w:t>
      </w:r>
      <w:r w:rsidRPr="000F38A1" w:rsidR="00D70526">
        <w:rPr>
          <w:rFonts w:ascii="Times New Roman" w:hAnsi="Times New Roman"/>
          <w:b w:val="0"/>
          <w:spacing w:val="0"/>
        </w:rPr>
        <w:t>ia zdravotníckej starostlivosti;</w:t>
      </w:r>
    </w:p>
    <w:p w:rsidR="00585598" w:rsidRPr="000F38A1" w:rsidP="00585598">
      <w:pPr>
        <w:pStyle w:val="BodyText"/>
        <w:numPr>
          <w:numId w:val="10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 w:rsidR="0069262D">
        <w:rPr>
          <w:rFonts w:ascii="Times New Roman" w:hAnsi="Times New Roman"/>
          <w:b w:val="0"/>
          <w:spacing w:val="0"/>
        </w:rPr>
        <w:t>Zobratie do úvahy, že v</w:t>
      </w:r>
      <w:r w:rsidRPr="000F38A1">
        <w:rPr>
          <w:rFonts w:ascii="Times New Roman" w:hAnsi="Times New Roman"/>
          <w:b w:val="0"/>
          <w:spacing w:val="0"/>
        </w:rPr>
        <w:t xml:space="preserve"> minulosti aj v súčasnosti existujú zásadné vplyvy na zadlženosť a celkové hospodárenie </w:t>
      </w:r>
      <w:r w:rsidRPr="000F38A1" w:rsidR="0069262D">
        <w:rPr>
          <w:rFonts w:ascii="Times New Roman" w:hAnsi="Times New Roman"/>
          <w:b w:val="0"/>
        </w:rPr>
        <w:t>štátnych organizácií</w:t>
      </w:r>
      <w:r w:rsidRPr="000F38A1" w:rsidR="0069262D">
        <w:rPr>
          <w:rFonts w:ascii="Times New Roman" w:hAnsi="Times New Roman"/>
          <w:b w:val="0"/>
          <w:spacing w:val="0"/>
        </w:rPr>
        <w:t>. Tieto vplyvy je</w:t>
      </w:r>
      <w:r w:rsidRPr="000F38A1">
        <w:rPr>
          <w:rFonts w:ascii="Times New Roman" w:hAnsi="Times New Roman"/>
          <w:b w:val="0"/>
          <w:spacing w:val="0"/>
        </w:rPr>
        <w:t xml:space="preserve"> nutné očakávať aj v najbližšej budúcnosti avšak nie je ich možné v súčasnosti kvantifikovať. Ide najmä o zmluvné vzťahy </w:t>
      </w:r>
      <w:r w:rsidRPr="000F38A1" w:rsidR="0069262D">
        <w:rPr>
          <w:rFonts w:ascii="Times New Roman" w:hAnsi="Times New Roman"/>
          <w:b w:val="0"/>
        </w:rPr>
        <w:t>štátnych organizácií</w:t>
      </w:r>
      <w:r w:rsidRPr="000F38A1" w:rsidR="0069262D">
        <w:rPr>
          <w:rFonts w:ascii="Times New Roman" w:hAnsi="Times New Roman"/>
          <w:b w:val="0"/>
          <w:spacing w:val="0"/>
        </w:rPr>
        <w:t xml:space="preserve"> </w:t>
      </w:r>
      <w:r w:rsidRPr="000F38A1">
        <w:rPr>
          <w:rFonts w:ascii="Times New Roman" w:hAnsi="Times New Roman"/>
          <w:b w:val="0"/>
          <w:spacing w:val="0"/>
        </w:rPr>
        <w:t xml:space="preserve">so zdravotnými poisťovňami, technicky nevyhovujúce a v mnohých prípadoch v havarijnom stave existujúce </w:t>
      </w:r>
      <w:r w:rsidRPr="000F38A1" w:rsidR="0069262D">
        <w:rPr>
          <w:rFonts w:ascii="Times New Roman" w:hAnsi="Times New Roman"/>
          <w:b w:val="0"/>
        </w:rPr>
        <w:t>štátne organizácie</w:t>
      </w:r>
      <w:r w:rsidRPr="000F38A1">
        <w:rPr>
          <w:rFonts w:ascii="Times New Roman" w:hAnsi="Times New Roman"/>
          <w:b w:val="0"/>
          <w:spacing w:val="0"/>
        </w:rPr>
        <w:t>, nárast cien energií a pohonných hmôt, právne normy súvisiace s poskytovaním</w:t>
      </w:r>
      <w:r w:rsidRPr="000F38A1" w:rsidR="005C1EBC">
        <w:rPr>
          <w:rFonts w:ascii="Times New Roman" w:hAnsi="Times New Roman"/>
          <w:b w:val="0"/>
          <w:spacing w:val="0"/>
        </w:rPr>
        <w:t xml:space="preserve"> zdravotnej starostlivosti atď.;</w:t>
      </w:r>
    </w:p>
    <w:p w:rsidR="005C1EBC" w:rsidRPr="000F38A1" w:rsidP="00585598">
      <w:pPr>
        <w:pStyle w:val="BodyText"/>
        <w:numPr>
          <w:numId w:val="10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>Zmapovanie záväzkov vyplývajúcich z krytia súčasných prevádzkovo-investičných potrieb štátnych organizácií, ktoré však nie sú k dátumu vypracovania rozboru evidované v účtovníctve;</w:t>
      </w:r>
    </w:p>
    <w:p w:rsidR="005C1EBC" w:rsidRPr="000F38A1" w:rsidP="00585598">
      <w:pPr>
        <w:pStyle w:val="BodyText"/>
        <w:numPr>
          <w:numId w:val="10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>Zmapovanie možných záväzkov, ktoré môžu vyplynúť z neúspešných pasívnych súdnych sporov.</w:t>
      </w:r>
    </w:p>
    <w:p w:rsidR="00585598" w:rsidRPr="000F38A1" w:rsidP="00585598">
      <w:pPr>
        <w:pStyle w:val="BodyText"/>
        <w:bidi w:val="0"/>
        <w:ind w:left="720"/>
        <w:jc w:val="both"/>
        <w:rPr>
          <w:rFonts w:ascii="Times New Roman" w:hAnsi="Times New Roman"/>
          <w:b w:val="0"/>
          <w:spacing w:val="0"/>
        </w:rPr>
      </w:pPr>
    </w:p>
    <w:p w:rsidR="00585598" w:rsidRPr="000F38A1" w:rsidP="002562CB">
      <w:pPr>
        <w:bidi w:val="0"/>
        <w:ind w:firstLine="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0F38A1" w:rsidR="002562CB">
        <w:rPr>
          <w:rFonts w:ascii="Times New Roman" w:hAnsi="Times New Roman"/>
          <w:b/>
          <w:sz w:val="24"/>
          <w:szCs w:val="24"/>
          <w:lang w:val="sk-SK"/>
        </w:rPr>
        <w:t xml:space="preserve">3.3. </w:t>
      </w:r>
      <w:r w:rsidRPr="000F38A1">
        <w:rPr>
          <w:rFonts w:ascii="Times New Roman" w:hAnsi="Times New Roman"/>
          <w:b/>
          <w:sz w:val="24"/>
          <w:szCs w:val="24"/>
          <w:lang w:val="sk-SK"/>
        </w:rPr>
        <w:t>Jednotlivé kroky vypracovania odhadu stavu záväzkov k 31.12.2011:</w:t>
      </w:r>
    </w:p>
    <w:p w:rsidR="00585598" w:rsidRPr="000F38A1" w:rsidP="00585598">
      <w:pPr>
        <w:pStyle w:val="BodyText"/>
        <w:bidi w:val="0"/>
        <w:ind w:left="360"/>
        <w:jc w:val="both"/>
        <w:rPr>
          <w:rFonts w:ascii="Times New Roman" w:hAnsi="Times New Roman"/>
          <w:spacing w:val="0"/>
        </w:rPr>
      </w:pPr>
    </w:p>
    <w:p w:rsidR="00585598" w:rsidRPr="000F38A1" w:rsidP="00585598">
      <w:pPr>
        <w:pStyle w:val="BodyText"/>
        <w:numPr>
          <w:numId w:val="11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 xml:space="preserve">Vyžiadanie podkladov z MZ SR a jednotlivých </w:t>
      </w:r>
      <w:r w:rsidRPr="000F38A1" w:rsidR="0069262D">
        <w:rPr>
          <w:rFonts w:ascii="Times New Roman" w:hAnsi="Times New Roman"/>
          <w:b w:val="0"/>
        </w:rPr>
        <w:t>štátnych organizácií</w:t>
      </w:r>
      <w:r w:rsidRPr="000F38A1" w:rsidR="00D70526">
        <w:rPr>
          <w:rFonts w:ascii="Times New Roman" w:hAnsi="Times New Roman"/>
          <w:b w:val="0"/>
          <w:spacing w:val="0"/>
        </w:rPr>
        <w:t>;</w:t>
      </w:r>
    </w:p>
    <w:p w:rsidR="00585598" w:rsidRPr="000F38A1" w:rsidP="00585598">
      <w:pPr>
        <w:pStyle w:val="BodyText"/>
        <w:numPr>
          <w:numId w:val="11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 xml:space="preserve">Dožiadanie rozšíreného záberu podkladov, od tých </w:t>
      </w:r>
      <w:r w:rsidRPr="000F38A1" w:rsidR="0069262D">
        <w:rPr>
          <w:rFonts w:ascii="Times New Roman" w:hAnsi="Times New Roman"/>
          <w:b w:val="0"/>
        </w:rPr>
        <w:t>štátnych organizácií</w:t>
      </w:r>
      <w:r w:rsidRPr="000F38A1">
        <w:rPr>
          <w:rFonts w:ascii="Times New Roman" w:hAnsi="Times New Roman"/>
          <w:b w:val="0"/>
          <w:spacing w:val="0"/>
        </w:rPr>
        <w:t>, kde nie sú v čase vypracovania tohto rozboru vykonávané znalecké ohodn</w:t>
      </w:r>
      <w:r w:rsidRPr="000F38A1" w:rsidR="00D70526">
        <w:rPr>
          <w:rFonts w:ascii="Times New Roman" w:hAnsi="Times New Roman"/>
          <w:b w:val="0"/>
          <w:spacing w:val="0"/>
        </w:rPr>
        <w:t>otenia zdravotníckych zariadení;</w:t>
      </w:r>
      <w:r w:rsidRPr="000F38A1">
        <w:rPr>
          <w:rFonts w:ascii="Times New Roman" w:hAnsi="Times New Roman"/>
          <w:b w:val="0"/>
          <w:spacing w:val="0"/>
        </w:rPr>
        <w:t xml:space="preserve"> </w:t>
      </w:r>
    </w:p>
    <w:p w:rsidR="00585598" w:rsidRPr="000F38A1" w:rsidP="00585598">
      <w:pPr>
        <w:pStyle w:val="BodyText"/>
        <w:numPr>
          <w:numId w:val="11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>Vzájomné porovnávanie záväzkov z predložených súvah v plnom rozsahu k 31.12.2008, k 31.12.2009, k 31.12.2010, k 30.4.</w:t>
      </w:r>
      <w:r w:rsidRPr="000F38A1" w:rsidR="00D70526">
        <w:rPr>
          <w:rFonts w:ascii="Times New Roman" w:hAnsi="Times New Roman"/>
          <w:b w:val="0"/>
          <w:spacing w:val="0"/>
        </w:rPr>
        <w:t>2011</w:t>
      </w:r>
      <w:r w:rsidR="001941C8">
        <w:rPr>
          <w:rFonts w:ascii="Times New Roman" w:hAnsi="Times New Roman"/>
          <w:b w:val="0"/>
          <w:spacing w:val="0"/>
        </w:rPr>
        <w:t>,</w:t>
      </w:r>
      <w:r w:rsidRPr="000F38A1">
        <w:rPr>
          <w:rFonts w:ascii="Times New Roman" w:hAnsi="Times New Roman"/>
          <w:b w:val="0"/>
          <w:spacing w:val="0"/>
        </w:rPr>
        <w:t xml:space="preserve"> resp. 31.5.2011 s mesačnými hláseniami  - výkazmi pohľadávok a záväzkov a tiež s prehľado</w:t>
      </w:r>
      <w:r w:rsidRPr="000F38A1" w:rsidR="00D70526">
        <w:rPr>
          <w:rFonts w:ascii="Times New Roman" w:hAnsi="Times New Roman"/>
          <w:b w:val="0"/>
          <w:spacing w:val="0"/>
        </w:rPr>
        <w:t>m záväzkov po lehote splatnosti;</w:t>
      </w:r>
    </w:p>
    <w:p w:rsidR="00585598" w:rsidRPr="000F38A1" w:rsidP="002562CB">
      <w:pPr>
        <w:pStyle w:val="BodyText"/>
        <w:numPr>
          <w:numId w:val="11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 w:rsidR="00D0327F">
        <w:rPr>
          <w:rFonts w:ascii="Times New Roman" w:hAnsi="Times New Roman"/>
          <w:b w:val="0"/>
          <w:spacing w:val="0"/>
        </w:rPr>
        <w:t xml:space="preserve">Identifikácia disproporcií. </w:t>
      </w:r>
      <w:r w:rsidRPr="000F38A1" w:rsidR="002562CB">
        <w:rPr>
          <w:rFonts w:ascii="Times New Roman" w:hAnsi="Times New Roman"/>
          <w:b w:val="0"/>
          <w:spacing w:val="0"/>
        </w:rPr>
        <w:t>P</w:t>
      </w:r>
      <w:r w:rsidRPr="000F38A1">
        <w:rPr>
          <w:rFonts w:ascii="Times New Roman" w:hAnsi="Times New Roman"/>
          <w:b w:val="0"/>
          <w:spacing w:val="0"/>
        </w:rPr>
        <w:t>ri týchto porovnávaniach</w:t>
      </w:r>
      <w:r w:rsidRPr="000F38A1" w:rsidR="002562CB">
        <w:rPr>
          <w:rFonts w:ascii="Times New Roman" w:hAnsi="Times New Roman"/>
          <w:b w:val="0"/>
          <w:spacing w:val="0"/>
        </w:rPr>
        <w:t xml:space="preserve"> bolo zistené</w:t>
      </w:r>
      <w:r w:rsidRPr="000F38A1">
        <w:rPr>
          <w:rFonts w:ascii="Times New Roman" w:hAnsi="Times New Roman"/>
          <w:b w:val="0"/>
          <w:spacing w:val="0"/>
        </w:rPr>
        <w:t xml:space="preserve">, že sú disproporcie údajov medzi poskytnutými podkladmi, nakoľko jednotlivé </w:t>
      </w:r>
      <w:r w:rsidRPr="000F38A1" w:rsidR="0069262D">
        <w:rPr>
          <w:rFonts w:ascii="Times New Roman" w:hAnsi="Times New Roman"/>
          <w:b w:val="0"/>
        </w:rPr>
        <w:t>štátne organizácie</w:t>
      </w:r>
      <w:r w:rsidRPr="000F38A1" w:rsidR="0069262D">
        <w:rPr>
          <w:rFonts w:ascii="Times New Roman" w:hAnsi="Times New Roman"/>
          <w:b w:val="0"/>
          <w:spacing w:val="0"/>
        </w:rPr>
        <w:t xml:space="preserve"> zasielali mesačné hlásenia</w:t>
      </w:r>
      <w:r w:rsidRPr="000F38A1">
        <w:rPr>
          <w:rFonts w:ascii="Times New Roman" w:hAnsi="Times New Roman"/>
          <w:b w:val="0"/>
          <w:spacing w:val="0"/>
        </w:rPr>
        <w:t xml:space="preserve"> v inom čase ako uzavreli za príslušné obdobia účtovné závierky. Tiež boli zistené disproporcie v samotných mesačných hláseniach, nakoľko jednotlivé </w:t>
      </w:r>
      <w:r w:rsidRPr="000F38A1" w:rsidR="0069262D">
        <w:rPr>
          <w:rFonts w:ascii="Times New Roman" w:hAnsi="Times New Roman"/>
          <w:b w:val="0"/>
        </w:rPr>
        <w:t>štátne organizácie</w:t>
      </w:r>
      <w:r w:rsidRPr="000F38A1">
        <w:rPr>
          <w:rFonts w:ascii="Times New Roman" w:hAnsi="Times New Roman"/>
          <w:b w:val="0"/>
          <w:spacing w:val="0"/>
        </w:rPr>
        <w:t xml:space="preserve"> nespracovávali tieto hlásenia vždy rovnakým spôsobom (ako ÚSI ŽU zistil nebola stanovená zo strany MZ SR jednotná metodika).</w:t>
      </w:r>
      <w:r w:rsidRPr="000F38A1" w:rsidR="002562CB">
        <w:rPr>
          <w:rFonts w:ascii="Times New Roman" w:hAnsi="Times New Roman"/>
          <w:b w:val="0"/>
          <w:spacing w:val="0"/>
        </w:rPr>
        <w:t xml:space="preserve"> </w:t>
      </w:r>
      <w:r w:rsidRPr="000F38A1">
        <w:rPr>
          <w:rFonts w:ascii="Times New Roman" w:hAnsi="Times New Roman"/>
          <w:b w:val="0"/>
          <w:spacing w:val="0"/>
        </w:rPr>
        <w:t xml:space="preserve">Jednotlivé </w:t>
      </w:r>
      <w:r w:rsidRPr="000F38A1" w:rsidR="0069262D">
        <w:rPr>
          <w:rFonts w:ascii="Times New Roman" w:hAnsi="Times New Roman"/>
          <w:b w:val="0"/>
        </w:rPr>
        <w:t>štátne organizácie</w:t>
      </w:r>
      <w:r w:rsidRPr="000F38A1" w:rsidR="002562CB">
        <w:rPr>
          <w:rFonts w:ascii="Times New Roman" w:hAnsi="Times New Roman"/>
          <w:b w:val="0"/>
          <w:spacing w:val="0"/>
        </w:rPr>
        <w:t xml:space="preserve"> pritom</w:t>
      </w:r>
      <w:r w:rsidRPr="000F38A1">
        <w:rPr>
          <w:rFonts w:ascii="Times New Roman" w:hAnsi="Times New Roman"/>
          <w:b w:val="0"/>
          <w:spacing w:val="0"/>
        </w:rPr>
        <w:t xml:space="preserve"> nedisponujú</w:t>
      </w:r>
      <w:r w:rsidRPr="000F38A1" w:rsidR="0069262D">
        <w:rPr>
          <w:rFonts w:ascii="Times New Roman" w:hAnsi="Times New Roman"/>
          <w:b w:val="0"/>
          <w:spacing w:val="0"/>
        </w:rPr>
        <w:t xml:space="preserve"> vždy</w:t>
      </w:r>
      <w:r w:rsidRPr="000F38A1">
        <w:rPr>
          <w:rFonts w:ascii="Times New Roman" w:hAnsi="Times New Roman"/>
          <w:b w:val="0"/>
          <w:spacing w:val="0"/>
        </w:rPr>
        <w:t xml:space="preserve"> informáciami, ktoré by </w:t>
      </w:r>
      <w:r w:rsidRPr="000F38A1" w:rsidR="001D1B75">
        <w:rPr>
          <w:rFonts w:ascii="Times New Roman" w:hAnsi="Times New Roman"/>
          <w:b w:val="0"/>
          <w:spacing w:val="0"/>
        </w:rPr>
        <w:t xml:space="preserve">prispeli </w:t>
      </w:r>
      <w:r w:rsidRPr="000F38A1">
        <w:rPr>
          <w:rFonts w:ascii="Times New Roman" w:hAnsi="Times New Roman"/>
          <w:b w:val="0"/>
          <w:spacing w:val="0"/>
        </w:rPr>
        <w:t>k podrobnému vysvetleniu spôsobu vypracovania mesačných hlásení kom</w:t>
      </w:r>
      <w:r w:rsidRPr="000F38A1" w:rsidR="0069262D">
        <w:rPr>
          <w:rFonts w:ascii="Times New Roman" w:hAnsi="Times New Roman"/>
          <w:b w:val="0"/>
          <w:spacing w:val="0"/>
        </w:rPr>
        <w:t xml:space="preserve">plexne za všetky sledované roky a to najmä za roky </w:t>
      </w:r>
      <w:smartTag w:uri="urn:schemas-microsoft-com:office:smarttags" w:element="metricconverter">
        <w:smartTagPr>
          <w:attr w:name="ProductID" w:val="2008 a"/>
        </w:smartTagPr>
        <w:r w:rsidRPr="000F38A1" w:rsidR="0069262D">
          <w:rPr>
            <w:rFonts w:ascii="Times New Roman" w:hAnsi="Times New Roman"/>
            <w:b w:val="0"/>
            <w:spacing w:val="0"/>
          </w:rPr>
          <w:t>2008 a</w:t>
        </w:r>
      </w:smartTag>
      <w:r w:rsidRPr="000F38A1">
        <w:rPr>
          <w:rFonts w:ascii="Times New Roman" w:hAnsi="Times New Roman"/>
          <w:b w:val="0"/>
          <w:spacing w:val="0"/>
        </w:rPr>
        <w:t xml:space="preserve"> 2009. </w:t>
      </w:r>
      <w:r w:rsidRPr="000F38A1" w:rsidR="00617DC6">
        <w:rPr>
          <w:rFonts w:ascii="Times New Roman" w:hAnsi="Times New Roman"/>
          <w:b w:val="0"/>
          <w:spacing w:val="0"/>
        </w:rPr>
        <w:t>Vzhľadom na tieto skutočnosti za základný podklad pre vyčíslenie sumy záväzkov k 30.4.2011, resp. k 31.5.2011 USI ŽU  vybral súvahu alebo mesačné hlásenie podľa špecifík celkového vývoja za celé sledované obdobie jednotlivých štátnych organizácií</w:t>
      </w:r>
      <w:r w:rsidRPr="000F38A1" w:rsidR="00D70526">
        <w:rPr>
          <w:rFonts w:ascii="Times New Roman" w:hAnsi="Times New Roman"/>
          <w:b w:val="0"/>
          <w:spacing w:val="0"/>
        </w:rPr>
        <w:t>;</w:t>
      </w:r>
    </w:p>
    <w:p w:rsidR="00585598" w:rsidRPr="000F38A1" w:rsidP="00585598">
      <w:pPr>
        <w:pStyle w:val="BodyText"/>
        <w:numPr>
          <w:numId w:val="11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 w:rsidR="0069262D">
        <w:rPr>
          <w:rFonts w:ascii="Times New Roman" w:hAnsi="Times New Roman"/>
          <w:b w:val="0"/>
          <w:spacing w:val="0"/>
        </w:rPr>
        <w:t>Vypracovanie r</w:t>
      </w:r>
      <w:r w:rsidRPr="000F38A1">
        <w:rPr>
          <w:rFonts w:ascii="Times New Roman" w:hAnsi="Times New Roman"/>
          <w:b w:val="0"/>
          <w:spacing w:val="0"/>
        </w:rPr>
        <w:t>ozbor</w:t>
      </w:r>
      <w:r w:rsidRPr="000F38A1" w:rsidR="0069262D">
        <w:rPr>
          <w:rFonts w:ascii="Times New Roman" w:hAnsi="Times New Roman"/>
          <w:b w:val="0"/>
          <w:spacing w:val="0"/>
        </w:rPr>
        <w:t>u</w:t>
      </w:r>
      <w:r w:rsidRPr="000F38A1">
        <w:rPr>
          <w:rFonts w:ascii="Times New Roman" w:hAnsi="Times New Roman"/>
          <w:b w:val="0"/>
          <w:spacing w:val="0"/>
        </w:rPr>
        <w:t xml:space="preserve"> štruktúry záväzkov za celé sledované obdobie od roku 200</w:t>
      </w:r>
      <w:r w:rsidRPr="000F38A1" w:rsidR="00D70526">
        <w:rPr>
          <w:rFonts w:ascii="Times New Roman" w:hAnsi="Times New Roman"/>
          <w:b w:val="0"/>
          <w:spacing w:val="0"/>
        </w:rPr>
        <w:t xml:space="preserve">8 až po 30.4.2011 </w:t>
      </w:r>
      <w:r w:rsidRPr="000F38A1" w:rsidR="00760418">
        <w:rPr>
          <w:rFonts w:ascii="Times New Roman" w:hAnsi="Times New Roman"/>
          <w:b w:val="0"/>
          <w:spacing w:val="0"/>
        </w:rPr>
        <w:t>resp. 31.5.2011, čle</w:t>
      </w:r>
      <w:r w:rsidRPr="000F38A1" w:rsidR="0069262D">
        <w:rPr>
          <w:rFonts w:ascii="Times New Roman" w:hAnsi="Times New Roman"/>
          <w:b w:val="0"/>
          <w:spacing w:val="0"/>
        </w:rPr>
        <w:t>neného</w:t>
      </w:r>
      <w:r w:rsidRPr="000F38A1" w:rsidR="00760418">
        <w:rPr>
          <w:rFonts w:ascii="Times New Roman" w:hAnsi="Times New Roman"/>
          <w:b w:val="0"/>
          <w:spacing w:val="0"/>
        </w:rPr>
        <w:t xml:space="preserve"> do nasledovných</w:t>
      </w:r>
      <w:r w:rsidRPr="000F38A1">
        <w:rPr>
          <w:rFonts w:ascii="Times New Roman" w:hAnsi="Times New Roman"/>
          <w:b w:val="0"/>
          <w:spacing w:val="0"/>
        </w:rPr>
        <w:t xml:space="preserve"> kategórií:</w:t>
      </w:r>
    </w:p>
    <w:p w:rsidR="00585598" w:rsidRPr="000F38A1" w:rsidP="00760418">
      <w:pPr>
        <w:pStyle w:val="BodyText"/>
        <w:numPr>
          <w:numId w:val="10"/>
        </w:numPr>
        <w:bidi w:val="0"/>
        <w:ind w:firstLine="36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>lieky a špecializovaný zdravotnícky materiál,</w:t>
      </w:r>
    </w:p>
    <w:p w:rsidR="00585598" w:rsidRPr="000F38A1" w:rsidP="00760418">
      <w:pPr>
        <w:pStyle w:val="BodyText"/>
        <w:numPr>
          <w:numId w:val="10"/>
        </w:numPr>
        <w:bidi w:val="0"/>
        <w:ind w:firstLine="36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 xml:space="preserve">dodávatelia energií, </w:t>
      </w:r>
    </w:p>
    <w:p w:rsidR="00585598" w:rsidRPr="000F38A1" w:rsidP="00760418">
      <w:pPr>
        <w:pStyle w:val="BodyText"/>
        <w:numPr>
          <w:numId w:val="10"/>
        </w:numPr>
        <w:bidi w:val="0"/>
        <w:ind w:firstLine="360"/>
        <w:jc w:val="both"/>
        <w:rPr>
          <w:rFonts w:ascii="Times New Roman" w:hAnsi="Times New Roman"/>
          <w:b w:val="0"/>
          <w:spacing w:val="0"/>
        </w:rPr>
      </w:pPr>
      <w:r w:rsidRPr="000F38A1" w:rsidR="00F53565">
        <w:rPr>
          <w:rFonts w:ascii="Times New Roman" w:hAnsi="Times New Roman"/>
          <w:b w:val="0"/>
          <w:spacing w:val="0"/>
        </w:rPr>
        <w:t>ostatní</w:t>
      </w:r>
      <w:r w:rsidRPr="000F38A1">
        <w:rPr>
          <w:rFonts w:ascii="Times New Roman" w:hAnsi="Times New Roman"/>
          <w:b w:val="0"/>
          <w:spacing w:val="0"/>
        </w:rPr>
        <w:t xml:space="preserve"> dodávatelia energií,</w:t>
      </w:r>
    </w:p>
    <w:p w:rsidR="00585598" w:rsidRPr="000F38A1" w:rsidP="00760418">
      <w:pPr>
        <w:pStyle w:val="BodyText"/>
        <w:numPr>
          <w:numId w:val="10"/>
        </w:numPr>
        <w:bidi w:val="0"/>
        <w:ind w:firstLine="36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>dodávatelia telekomunikačných služieb,</w:t>
      </w:r>
    </w:p>
    <w:p w:rsidR="00585598" w:rsidRPr="000F38A1" w:rsidP="00760418">
      <w:pPr>
        <w:pStyle w:val="BodyText"/>
        <w:numPr>
          <w:numId w:val="10"/>
        </w:numPr>
        <w:bidi w:val="0"/>
        <w:ind w:firstLine="36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>odvoz a likvidácia odpadu,</w:t>
      </w:r>
    </w:p>
    <w:p w:rsidR="00585598" w:rsidRPr="000F38A1" w:rsidP="00760418">
      <w:pPr>
        <w:pStyle w:val="BodyText"/>
        <w:numPr>
          <w:numId w:val="10"/>
        </w:numPr>
        <w:bidi w:val="0"/>
        <w:ind w:firstLine="36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>investiční dodávatelia,</w:t>
      </w:r>
    </w:p>
    <w:p w:rsidR="00585598" w:rsidRPr="000F38A1" w:rsidP="00760418">
      <w:pPr>
        <w:pStyle w:val="BodyText"/>
        <w:numPr>
          <w:numId w:val="10"/>
        </w:numPr>
        <w:bidi w:val="0"/>
        <w:ind w:firstLine="36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>záväzky voči iným zdravotníckym zariadeniam</w:t>
      </w:r>
    </w:p>
    <w:p w:rsidR="00585598" w:rsidRPr="000F38A1" w:rsidP="00760418">
      <w:pPr>
        <w:pStyle w:val="BodyText"/>
        <w:numPr>
          <w:numId w:val="10"/>
        </w:numPr>
        <w:bidi w:val="0"/>
        <w:ind w:firstLine="36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>ostatní dodávatelia,</w:t>
      </w:r>
    </w:p>
    <w:p w:rsidR="00585598" w:rsidRPr="000F38A1" w:rsidP="00760418">
      <w:pPr>
        <w:pStyle w:val="BodyText"/>
        <w:numPr>
          <w:numId w:val="10"/>
        </w:numPr>
        <w:bidi w:val="0"/>
        <w:ind w:firstLine="36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>daňové úrady,</w:t>
      </w:r>
    </w:p>
    <w:p w:rsidR="00585598" w:rsidRPr="000F38A1" w:rsidP="00760418">
      <w:pPr>
        <w:pStyle w:val="BodyText"/>
        <w:numPr>
          <w:numId w:val="10"/>
        </w:numPr>
        <w:bidi w:val="0"/>
        <w:ind w:firstLine="36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>sociálna poisťovňa,</w:t>
      </w:r>
    </w:p>
    <w:p w:rsidR="00585598" w:rsidRPr="000F38A1" w:rsidP="00760418">
      <w:pPr>
        <w:pStyle w:val="BodyText"/>
        <w:numPr>
          <w:numId w:val="10"/>
        </w:numPr>
        <w:bidi w:val="0"/>
        <w:ind w:firstLine="360"/>
        <w:jc w:val="both"/>
        <w:rPr>
          <w:rFonts w:ascii="Times New Roman" w:hAnsi="Times New Roman"/>
          <w:b w:val="0"/>
          <w:spacing w:val="0"/>
        </w:rPr>
      </w:pPr>
      <w:r w:rsidRPr="000F38A1" w:rsidR="00D70526">
        <w:rPr>
          <w:rFonts w:ascii="Times New Roman" w:hAnsi="Times New Roman"/>
          <w:b w:val="0"/>
          <w:spacing w:val="0"/>
        </w:rPr>
        <w:t>zdravotné poisťovne;</w:t>
      </w:r>
    </w:p>
    <w:p w:rsidR="00585598" w:rsidRPr="000F38A1" w:rsidP="00585598">
      <w:pPr>
        <w:pStyle w:val="BodyText"/>
        <w:numPr>
          <w:numId w:val="11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>Zmapovanie vývoja záväzko</w:t>
      </w:r>
      <w:r w:rsidRPr="000F38A1" w:rsidR="0069262D">
        <w:rPr>
          <w:rFonts w:ascii="Times New Roman" w:hAnsi="Times New Roman"/>
          <w:b w:val="0"/>
          <w:spacing w:val="0"/>
        </w:rPr>
        <w:t>v po lehote splatnosti, ktoré boli</w:t>
      </w:r>
      <w:r w:rsidRPr="000F38A1">
        <w:rPr>
          <w:rFonts w:ascii="Times New Roman" w:hAnsi="Times New Roman"/>
          <w:b w:val="0"/>
          <w:spacing w:val="0"/>
        </w:rPr>
        <w:t xml:space="preserve"> u väčšiny </w:t>
      </w:r>
      <w:r w:rsidRPr="000F38A1" w:rsidR="0069262D">
        <w:rPr>
          <w:rFonts w:ascii="Times New Roman" w:hAnsi="Times New Roman"/>
          <w:b w:val="0"/>
        </w:rPr>
        <w:t>štátnych organizácií</w:t>
      </w:r>
      <w:r w:rsidRPr="000F38A1" w:rsidR="0069262D">
        <w:rPr>
          <w:rFonts w:ascii="Times New Roman" w:hAnsi="Times New Roman"/>
          <w:b w:val="0"/>
          <w:spacing w:val="0"/>
        </w:rPr>
        <w:t xml:space="preserve"> </w:t>
      </w:r>
      <w:r w:rsidRPr="000F38A1">
        <w:rPr>
          <w:rFonts w:ascii="Times New Roman" w:hAnsi="Times New Roman"/>
          <w:b w:val="0"/>
          <w:spacing w:val="0"/>
        </w:rPr>
        <w:t>podstatným problémom za obdobie od roku 2008 až k 30.4.</w:t>
      </w:r>
      <w:r w:rsidRPr="000F38A1" w:rsidR="00D70526">
        <w:rPr>
          <w:rFonts w:ascii="Times New Roman" w:hAnsi="Times New Roman"/>
          <w:b w:val="0"/>
          <w:spacing w:val="0"/>
        </w:rPr>
        <w:t>2011</w:t>
      </w:r>
      <w:r w:rsidRPr="000F38A1" w:rsidR="0040542B">
        <w:rPr>
          <w:rFonts w:ascii="Times New Roman" w:hAnsi="Times New Roman"/>
          <w:b w:val="0"/>
          <w:spacing w:val="0"/>
        </w:rPr>
        <w:t>,</w:t>
      </w:r>
      <w:r w:rsidRPr="000F38A1">
        <w:rPr>
          <w:rFonts w:ascii="Times New Roman" w:hAnsi="Times New Roman"/>
          <w:b w:val="0"/>
          <w:spacing w:val="0"/>
        </w:rPr>
        <w:t xml:space="preserve"> resp. </w:t>
      </w:r>
      <w:r w:rsidRPr="000F38A1" w:rsidR="00D70526">
        <w:rPr>
          <w:rFonts w:ascii="Times New Roman" w:hAnsi="Times New Roman"/>
          <w:b w:val="0"/>
          <w:spacing w:val="0"/>
        </w:rPr>
        <w:t>31.5.2011;</w:t>
      </w:r>
    </w:p>
    <w:p w:rsidR="00585598" w:rsidRPr="000F38A1" w:rsidP="00585598">
      <w:pPr>
        <w:pStyle w:val="BodyText"/>
        <w:numPr>
          <w:numId w:val="11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>Očistenie súvahy a tiež aj záväzkov vyčíslených v mesačných hláseniach o tie záväzky, ktoré nemôžu byť predmetom posúdenia v tomto rozbore, vzhľadom na ich charakter a podstatu (uvedené v</w:t>
      </w:r>
      <w:r w:rsidRPr="000F38A1" w:rsidR="00760418">
        <w:rPr>
          <w:rFonts w:ascii="Times New Roman" w:hAnsi="Times New Roman"/>
          <w:b w:val="0"/>
          <w:spacing w:val="0"/>
        </w:rPr>
        <w:t xml:space="preserve">  bode </w:t>
      </w:r>
      <w:r w:rsidRPr="000F38A1" w:rsidR="00833D99">
        <w:rPr>
          <w:rFonts w:ascii="Times New Roman" w:hAnsi="Times New Roman"/>
          <w:b w:val="0"/>
          <w:spacing w:val="0"/>
        </w:rPr>
        <w:t>3.1.</w:t>
      </w:r>
      <w:r w:rsidRPr="000F38A1" w:rsidR="00D70526">
        <w:rPr>
          <w:rFonts w:ascii="Times New Roman" w:hAnsi="Times New Roman"/>
          <w:b w:val="0"/>
          <w:spacing w:val="0"/>
        </w:rPr>
        <w:t>);</w:t>
      </w:r>
    </w:p>
    <w:p w:rsidR="00585598" w:rsidRPr="000F38A1" w:rsidP="00760418">
      <w:pPr>
        <w:pStyle w:val="BodyText"/>
        <w:numPr>
          <w:numId w:val="11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 xml:space="preserve"> Vyčíslenie podielu záväzkov po lehote splatnosti (z ktorých poskytlo MZ SR mesačné údaje 1.1.2008 – 30.4.</w:t>
      </w:r>
      <w:r w:rsidRPr="000F38A1" w:rsidR="00D70526">
        <w:rPr>
          <w:rFonts w:ascii="Times New Roman" w:hAnsi="Times New Roman"/>
          <w:b w:val="0"/>
          <w:spacing w:val="0"/>
        </w:rPr>
        <w:t>2011</w:t>
      </w:r>
      <w:r w:rsidRPr="000F38A1" w:rsidR="0040542B">
        <w:rPr>
          <w:rFonts w:ascii="Times New Roman" w:hAnsi="Times New Roman"/>
          <w:b w:val="0"/>
          <w:spacing w:val="0"/>
        </w:rPr>
        <w:t>,</w:t>
      </w:r>
      <w:r w:rsidRPr="000F38A1">
        <w:rPr>
          <w:rFonts w:ascii="Times New Roman" w:hAnsi="Times New Roman"/>
          <w:b w:val="0"/>
          <w:spacing w:val="0"/>
        </w:rPr>
        <w:t xml:space="preserve"> resp. 31.5.2011) voči očisteným záväzkom z mesačných hlásení a tiež v niektorých prípadoch voči očisteným záväzkom zo súvahy. Záväzky zo súvahy sú súčtom krátkodobých a dlhodobých záväzkov, záväzky z mesačných hlásení sú záväzkami v lehote splatnosti, po lehote splatnosti aj penálov (záväzky v lehote splatnosti sú započítané, nakoľko ako bolo už vyššie spomenuté sú z hľadiska časového v</w:t>
      </w:r>
      <w:r w:rsidRPr="000F38A1" w:rsidR="00D70526">
        <w:rPr>
          <w:rFonts w:ascii="Times New Roman" w:hAnsi="Times New Roman"/>
          <w:b w:val="0"/>
          <w:spacing w:val="0"/>
        </w:rPr>
        <w:t> mnohých prípadoch deformované);</w:t>
      </w:r>
      <w:r w:rsidRPr="000F38A1">
        <w:rPr>
          <w:rFonts w:ascii="Times New Roman" w:hAnsi="Times New Roman"/>
          <w:b w:val="0"/>
          <w:spacing w:val="0"/>
        </w:rPr>
        <w:t xml:space="preserve"> </w:t>
      </w:r>
    </w:p>
    <w:p w:rsidR="00585598" w:rsidRPr="000F38A1" w:rsidP="00AB0F02">
      <w:pPr>
        <w:pStyle w:val="BodyText"/>
        <w:bidi w:val="0"/>
        <w:ind w:left="360"/>
        <w:jc w:val="both"/>
        <w:rPr>
          <w:rFonts w:ascii="Times New Roman" w:hAnsi="Times New Roman"/>
          <w:b w:val="0"/>
          <w:spacing w:val="0"/>
        </w:rPr>
      </w:pPr>
    </w:p>
    <w:p w:rsidR="00D70526" w:rsidRPr="000F38A1" w:rsidP="00D70526">
      <w:pPr>
        <w:pStyle w:val="BodyText"/>
        <w:numPr>
          <w:numId w:val="11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 w:rsidR="00585598">
        <w:rPr>
          <w:rFonts w:ascii="Times New Roman" w:hAnsi="Times New Roman"/>
          <w:b w:val="0"/>
          <w:spacing w:val="0"/>
        </w:rPr>
        <w:t xml:space="preserve"> Na základe odsledovaného vývoja od roku 2008 až po 30.4.2011</w:t>
      </w:r>
      <w:r w:rsidR="001941C8">
        <w:rPr>
          <w:rFonts w:ascii="Times New Roman" w:hAnsi="Times New Roman"/>
          <w:b w:val="0"/>
          <w:spacing w:val="0"/>
        </w:rPr>
        <w:t>,</w:t>
      </w:r>
      <w:r w:rsidRPr="000F38A1" w:rsidR="00585598">
        <w:rPr>
          <w:rFonts w:ascii="Times New Roman" w:hAnsi="Times New Roman"/>
          <w:b w:val="0"/>
          <w:spacing w:val="0"/>
        </w:rPr>
        <w:t xml:space="preserve"> resp. 31.5.2011 bol vypočítaný trend zadlžovania pomocou absolútnej diferencie, tiež koeficientom rastu. Výber výpočtu odhadu trendu zadlžovania bol podmienený množstvom údajov, ktoré boli k dispozícii a tiež ich vypovedacou hodnotou (nie matem</w:t>
      </w:r>
      <w:r w:rsidRPr="000F38A1" w:rsidR="00760418">
        <w:rPr>
          <w:rFonts w:ascii="Times New Roman" w:hAnsi="Times New Roman"/>
          <w:b w:val="0"/>
          <w:spacing w:val="0"/>
        </w:rPr>
        <w:t>atickou), vzhľadom na účel</w:t>
      </w:r>
      <w:r w:rsidRPr="000F38A1">
        <w:rPr>
          <w:rFonts w:ascii="Times New Roman" w:hAnsi="Times New Roman"/>
          <w:b w:val="0"/>
          <w:spacing w:val="0"/>
        </w:rPr>
        <w:t xml:space="preserve"> rozboru;</w:t>
      </w:r>
    </w:p>
    <w:p w:rsidR="00760418" w:rsidRPr="000F38A1" w:rsidP="00760418">
      <w:pPr>
        <w:pStyle w:val="BodyText"/>
        <w:bidi w:val="0"/>
        <w:ind w:firstLine="708"/>
        <w:rPr>
          <w:rFonts w:ascii="Times New Roman" w:hAnsi="Times New Roman"/>
          <w:spacing w:val="0"/>
        </w:rPr>
      </w:pPr>
      <w:r w:rsidRPr="000F38A1" w:rsidR="00585598">
        <w:rPr>
          <w:rFonts w:ascii="Times New Roman" w:hAnsi="Times New Roman"/>
          <w:spacing w:val="0"/>
        </w:rPr>
        <w:t>Absolútny prírastok</w:t>
      </w:r>
    </w:p>
    <w:p w:rsidR="00585598" w:rsidRPr="000F38A1" w:rsidP="00760418">
      <w:pPr>
        <w:pStyle w:val="BodyText"/>
        <w:bidi w:val="0"/>
        <w:ind w:firstLine="708"/>
        <w:rPr>
          <w:rFonts w:ascii="Times New Roman" w:hAnsi="Times New Roman"/>
          <w:spacing w:val="0"/>
          <w:vertAlign w:val="subscript"/>
        </w:rPr>
      </w:pPr>
      <w:r w:rsidRPr="000F38A1">
        <w:rPr>
          <w:rFonts w:ascii="Times New Roman" w:hAnsi="Times New Roman"/>
          <w:spacing w:val="0"/>
        </w:rPr>
        <w:t xml:space="preserve"> (úbytok)</w:t>
      </w:r>
      <w:r w:rsidRPr="000F38A1" w:rsidR="00760418">
        <w:rPr>
          <w:rFonts w:ascii="Times New Roman" w:hAnsi="Times New Roman"/>
          <w:spacing w:val="0"/>
        </w:rPr>
        <w:tab/>
        <w:tab/>
        <w:tab/>
        <w:t xml:space="preserve">    </w:t>
      </w:r>
      <w:r w:rsidRPr="000F38A1">
        <w:rPr>
          <w:rFonts w:ascii="Times New Roman" w:hAnsi="Times New Roman"/>
          <w:spacing w:val="0"/>
        </w:rPr>
        <w:t>d</w:t>
      </w:r>
      <w:r w:rsidRPr="000F38A1">
        <w:rPr>
          <w:rFonts w:ascii="Times New Roman" w:hAnsi="Times New Roman"/>
          <w:spacing w:val="0"/>
          <w:vertAlign w:val="subscript"/>
        </w:rPr>
        <w:t>t</w:t>
      </w:r>
      <w:r w:rsidRPr="000F38A1">
        <w:rPr>
          <w:rFonts w:ascii="Times New Roman" w:hAnsi="Times New Roman"/>
          <w:spacing w:val="0"/>
        </w:rPr>
        <w:t xml:space="preserve"> = y</w:t>
      </w:r>
      <w:r w:rsidRPr="000F38A1">
        <w:rPr>
          <w:rFonts w:ascii="Times New Roman" w:hAnsi="Times New Roman"/>
          <w:spacing w:val="0"/>
          <w:vertAlign w:val="subscript"/>
        </w:rPr>
        <w:t>t</w:t>
      </w:r>
      <w:r w:rsidRPr="000F38A1">
        <w:rPr>
          <w:rFonts w:ascii="Times New Roman" w:hAnsi="Times New Roman"/>
          <w:spacing w:val="0"/>
        </w:rPr>
        <w:t xml:space="preserve"> – y</w:t>
      </w:r>
      <w:r w:rsidRPr="000F38A1">
        <w:rPr>
          <w:rFonts w:ascii="Times New Roman" w:hAnsi="Times New Roman"/>
          <w:spacing w:val="0"/>
          <w:vertAlign w:val="subscript"/>
        </w:rPr>
        <w:t>t-1</w:t>
      </w:r>
    </w:p>
    <w:p w:rsidR="00585598" w:rsidRPr="000F38A1" w:rsidP="00760418">
      <w:pPr>
        <w:pStyle w:val="BodyText"/>
        <w:bidi w:val="0"/>
        <w:ind w:firstLine="708"/>
        <w:rPr>
          <w:rFonts w:ascii="Times New Roman" w:hAnsi="Times New Roman"/>
          <w:spacing w:val="0"/>
        </w:rPr>
      </w:pPr>
      <w:r w:rsidRPr="000F38A1" w:rsidR="00760418">
        <w:rPr>
          <w:rFonts w:ascii="Times New Roman" w:hAnsi="Times New Roman"/>
          <w:spacing w:val="0"/>
        </w:rPr>
        <w:t>alebo</w:t>
      </w:r>
      <w:r w:rsidRPr="000F38A1">
        <w:rPr>
          <w:rFonts w:ascii="Times New Roman" w:hAnsi="Times New Roman"/>
          <w:spacing w:val="0"/>
        </w:rPr>
        <w:t xml:space="preserve"> absolútna diferencia</w:t>
      </w:r>
    </w:p>
    <w:p w:rsidR="00585598" w:rsidRPr="000F38A1" w:rsidP="00585598">
      <w:pPr>
        <w:pStyle w:val="BodyText"/>
        <w:bidi w:val="0"/>
        <w:rPr>
          <w:rFonts w:ascii="Times New Roman" w:hAnsi="Times New Roman"/>
          <w:spacing w:val="0"/>
        </w:rPr>
      </w:pPr>
    </w:p>
    <w:p w:rsidR="00585598" w:rsidRPr="000F38A1" w:rsidP="00585598">
      <w:pPr>
        <w:pStyle w:val="BodyText"/>
        <w:bidi w:val="0"/>
        <w:jc w:val="center"/>
        <w:rPr>
          <w:rFonts w:ascii="Times New Roman" w:hAnsi="Times New Roman"/>
          <w:spacing w:val="0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42.5pt;height:54pt;margin-top:14.5pt;margin-left:27pt;position:absolute;z-index:251658240" stroked="f">
            <o:diagram v:ext="edit"/>
            <v:textbox>
              <w:txbxContent>
                <w:p w:rsidR="00A90A4F" w:rsidRPr="000F38A1" w:rsidP="00760418">
                  <w:pPr>
                    <w:bidi w:val="0"/>
                    <w:ind w:firstLine="0"/>
                    <w:rPr>
                      <w:rFonts w:ascii="Times New Roman" w:hAnsi="Times New Roman"/>
                      <w:b/>
                      <w:lang w:val="sk-SK"/>
                    </w:rPr>
                  </w:pPr>
                  <w:r w:rsidRPr="000F38A1">
                    <w:rPr>
                      <w:rFonts w:ascii="Times New Roman" w:hAnsi="Times New Roman"/>
                      <w:b/>
                      <w:lang w:val="sk-SK"/>
                    </w:rPr>
                    <w:t xml:space="preserve"> Koeficient rastu (poklesu)</w:t>
                  </w:r>
                </w:p>
                <w:p w:rsidR="00A90A4F" w:rsidRPr="000F38A1" w:rsidP="00760418">
                  <w:pPr>
                    <w:bidi w:val="0"/>
                    <w:ind w:firstLine="0"/>
                    <w:rPr>
                      <w:rFonts w:ascii="Times New Roman" w:hAnsi="Times New Roman"/>
                      <w:b/>
                      <w:lang w:val="sk-SK"/>
                    </w:rPr>
                  </w:pPr>
                  <w:r w:rsidRPr="000F38A1">
                    <w:rPr>
                      <w:rFonts w:ascii="Times New Roman" w:hAnsi="Times New Roman"/>
                      <w:b/>
                      <w:lang w:val="sk-SK"/>
                    </w:rPr>
                    <w:t>alebo reťazový index</w:t>
                  </w:r>
                </w:p>
              </w:txbxContent>
            </v:textbox>
          </v:shape>
        </w:pict>
      </w:r>
      <w:r>
        <w:rPr>
          <w:rFonts w:ascii="Times New Roman" w:hAnsi="Times New Roman"/>
        </w:rPr>
        <w:pict>
          <v:shape id="_x0000_s1026" type="#_x0000_t202" style="width:206.25pt;height:50.25pt;margin-top:10.1pt;margin-left:281.6pt;position:absolute;z-index:251659264" stroked="f">
            <o:diagram v:ext="edit"/>
            <v:textbox>
              <w:txbxContent>
                <w:p w:rsidR="00A90A4F" w:rsidRPr="00C30BA4" w:rsidP="00585598">
                  <w:pPr>
                    <w:numPr>
                      <w:numId w:val="12"/>
                    </w:numPr>
                    <w:bidi w:val="0"/>
                    <w:rPr>
                      <w:rFonts w:ascii="Times New Roman" w:hAnsi="Times New Roman"/>
                      <w:lang w:val="sk-SK"/>
                    </w:rPr>
                  </w:pPr>
                  <w:r w:rsidRPr="00C30BA4">
                    <w:rPr>
                      <w:rFonts w:ascii="Times New Roman" w:hAnsi="Times New Roman"/>
                      <w:lang w:val="sk-SK"/>
                    </w:rPr>
                    <w:t>koľkonásobne sa hodnota</w:t>
                  </w:r>
                  <w:r w:rsidRPr="00C30BA4">
                    <w:rPr>
                      <w:rFonts w:ascii="Times New Roman" w:hAnsi="Times New Roman"/>
                      <w:b/>
                      <w:sz w:val="28"/>
                      <w:szCs w:val="28"/>
                      <w:lang w:val="sk-SK"/>
                    </w:rPr>
                    <w:t xml:space="preserve"> </w:t>
                  </w:r>
                  <w:r w:rsidRPr="00C30BA4">
                    <w:rPr>
                      <w:rFonts w:ascii="Times New Roman" w:hAnsi="Times New Roman"/>
                      <w:lang w:val="sk-SK"/>
                    </w:rPr>
                    <w:t>y</w:t>
                  </w:r>
                  <w:r w:rsidRPr="00C30BA4">
                    <w:rPr>
                      <w:rFonts w:ascii="Times New Roman" w:hAnsi="Times New Roman"/>
                      <w:vertAlign w:val="subscript"/>
                      <w:lang w:val="sk-SK"/>
                    </w:rPr>
                    <w:t xml:space="preserve">t </w:t>
                  </w:r>
                </w:p>
                <w:p w:rsidR="00A90A4F" w:rsidRPr="00C30BA4" w:rsidP="00760418">
                  <w:pPr>
                    <w:bidi w:val="0"/>
                    <w:ind w:left="360" w:firstLine="0"/>
                    <w:rPr>
                      <w:rFonts w:ascii="Times New Roman" w:hAnsi="Times New Roman"/>
                      <w:lang w:val="sk-SK"/>
                    </w:rPr>
                  </w:pPr>
                  <w:r w:rsidRPr="00C30BA4">
                    <w:rPr>
                      <w:rFonts w:ascii="Times New Roman" w:hAnsi="Times New Roman"/>
                      <w:lang w:val="sk-SK"/>
                    </w:rPr>
                    <w:t>zvýšila/znížila oproti hodnote  y</w:t>
                  </w:r>
                  <w:r w:rsidRPr="00C30BA4">
                    <w:rPr>
                      <w:rFonts w:ascii="Times New Roman" w:hAnsi="Times New Roman"/>
                      <w:vertAlign w:val="subscript"/>
                      <w:lang w:val="sk-SK"/>
                    </w:rPr>
                    <w:t>t-1</w:t>
                  </w:r>
                </w:p>
                <w:p w:rsidR="00A90A4F" w:rsidRPr="00C30BA4" w:rsidP="00585598">
                  <w:pPr>
                    <w:bidi w:val="0"/>
                    <w:rPr>
                      <w:rFonts w:ascii="Times New Roman" w:hAnsi="Times New Roman"/>
                      <w:lang w:val="sk-SK"/>
                    </w:rPr>
                  </w:pPr>
                  <w:r w:rsidRPr="00C30BA4">
                    <w:rPr>
                      <w:rFonts w:ascii="Times New Roman" w:hAnsi="Times New Roman"/>
                      <w:lang w:val="sk-SK"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pacing w:val="0"/>
          <w:position w:val="-30"/>
          <w:rtl w:val="0"/>
          <w:cs w:val="0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3.6pt;height:59.15pt" o:oleicon="f" o:ole="" o:preferrelative="t">
            <v:imagedata r:id="rId4" o:title=""/>
          </v:shape>
          <o:OLEObject Type="Embed" ProgID="Equation.3" ShapeID="_x0000_i1027" DrawAspect="Content" ObjectID="_1" r:id="rId5"/>
        </w:object>
      </w:r>
    </w:p>
    <w:p w:rsidR="00585598" w:rsidRPr="000F38A1" w:rsidP="00585598">
      <w:pPr>
        <w:pStyle w:val="BodyText"/>
        <w:bidi w:val="0"/>
        <w:jc w:val="center"/>
        <w:rPr>
          <w:rFonts w:ascii="Times New Roman" w:hAnsi="Times New Roman"/>
          <w:spacing w:val="0"/>
        </w:rPr>
      </w:pPr>
      <w:r>
        <w:rPr>
          <w:rFonts w:ascii="Times New Roman" w:hAnsi="Times New Roman"/>
        </w:rPr>
        <w:pict>
          <v:shape id="_x0000_s1028" type="#_x0000_t202" style="width:142.5pt;height:50.25pt;margin-top:8.75pt;margin-left:16.1pt;position:absolute;z-index:251660288" stroked="f">
            <o:diagram v:ext="edit"/>
            <v:textbox>
              <w:txbxContent>
                <w:p w:rsidR="00A90A4F" w:rsidRPr="000F38A1" w:rsidP="00760418">
                  <w:pPr>
                    <w:bidi w:val="0"/>
                    <w:ind w:firstLine="0"/>
                    <w:rPr>
                      <w:rFonts w:ascii="Times New Roman" w:hAnsi="Times New Roman"/>
                      <w:b/>
                      <w:lang w:val="sk-SK"/>
                    </w:rPr>
                  </w:pPr>
                  <w:r w:rsidRPr="000F38A1">
                    <w:rPr>
                      <w:rFonts w:ascii="Times New Roman" w:hAnsi="Times New Roman"/>
                      <w:b/>
                      <w:lang w:val="sk-SK"/>
                    </w:rPr>
                    <w:t xml:space="preserve">   </w:t>
                  </w:r>
                </w:p>
                <w:p w:rsidR="00A90A4F" w:rsidRPr="000F38A1" w:rsidP="00760418">
                  <w:pPr>
                    <w:bidi w:val="0"/>
                    <w:ind w:firstLine="0"/>
                    <w:rPr>
                      <w:rFonts w:ascii="Times New Roman" w:hAnsi="Times New Roman"/>
                      <w:b/>
                      <w:lang w:val="sk-SK"/>
                    </w:rPr>
                  </w:pPr>
                  <w:r w:rsidRPr="000F38A1">
                    <w:rPr>
                      <w:rFonts w:ascii="Times New Roman" w:hAnsi="Times New Roman"/>
                      <w:b/>
                      <w:lang w:val="sk-SK"/>
                    </w:rPr>
                    <w:t xml:space="preserve">      Priem. koeficient rastu</w:t>
                  </w:r>
                </w:p>
              </w:txbxContent>
            </v:textbox>
          </v:shape>
        </w:pict>
      </w:r>
      <w:r w:rsidRPr="000F38A1" w:rsidR="00585598">
        <w:rPr>
          <w:rFonts w:ascii="Times New Roman" w:hAnsi="Times New Roman"/>
          <w:spacing w:val="0"/>
        </w:rPr>
        <w:t xml:space="preserve">                                                     </w:t>
      </w:r>
      <w:r>
        <w:rPr>
          <w:rFonts w:ascii="Times New Roman" w:hAnsi="Times New Roman" w:cs="Times New Roman"/>
          <w:spacing w:val="0"/>
          <w:position w:val="-32"/>
          <w:rtl w:val="0"/>
          <w:cs w:val="0"/>
        </w:rPr>
        <w:object>
          <v:shape id="_x0000_i1029" type="#_x0000_t75" style="width:227.97pt;height:53.96pt" o:oleicon="f" o:ole="" o:preferrelative="t">
            <v:imagedata r:id="rId6" o:title=""/>
          </v:shape>
          <o:OLEObject Type="Embed" ProgID="Equation.3" ShapeID="_x0000_i1029" DrawAspect="Content" ObjectID="_2" r:id="rId7"/>
        </w:object>
      </w:r>
    </w:p>
    <w:p w:rsidR="00585598" w:rsidRPr="000F38A1" w:rsidP="00585598">
      <w:pPr>
        <w:pStyle w:val="BodyText"/>
        <w:bidi w:val="0"/>
        <w:jc w:val="both"/>
        <w:rPr>
          <w:rFonts w:ascii="Times New Roman" w:hAnsi="Times New Roman"/>
          <w:b w:val="0"/>
          <w:spacing w:val="0"/>
        </w:rPr>
      </w:pPr>
    </w:p>
    <w:p w:rsidR="00585598" w:rsidRPr="000F38A1" w:rsidP="00585598">
      <w:pPr>
        <w:pStyle w:val="BodyText"/>
        <w:bidi w:val="0"/>
        <w:jc w:val="both"/>
        <w:rPr>
          <w:rFonts w:ascii="Times New Roman" w:hAnsi="Times New Roman"/>
          <w:b w:val="0"/>
          <w:spacing w:val="0"/>
        </w:rPr>
      </w:pPr>
      <w:r w:rsidRPr="000F38A1" w:rsidR="00AB0F02">
        <w:rPr>
          <w:rFonts w:ascii="Times New Roman" w:hAnsi="Times New Roman"/>
          <w:b w:val="0"/>
          <w:spacing w:val="0"/>
        </w:rPr>
        <w:tab/>
        <w:t>pričom:</w:t>
      </w:r>
    </w:p>
    <w:p w:rsidR="00AB0F02" w:rsidRPr="000F38A1" w:rsidP="00585598">
      <w:pPr>
        <w:pStyle w:val="BodyText"/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ab/>
        <w:t>t – čas;</w:t>
      </w:r>
    </w:p>
    <w:p w:rsidR="00AB0F02" w:rsidRPr="000F38A1" w:rsidP="00585598">
      <w:pPr>
        <w:pStyle w:val="BodyText"/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ab/>
        <w:t>y</w:t>
      </w:r>
      <w:r w:rsidRPr="000F38A1">
        <w:rPr>
          <w:rFonts w:ascii="Times New Roman" w:hAnsi="Times New Roman"/>
          <w:b w:val="0"/>
          <w:spacing w:val="0"/>
          <w:vertAlign w:val="subscript"/>
        </w:rPr>
        <w:t>t</w:t>
      </w:r>
      <w:r w:rsidRPr="000F38A1">
        <w:rPr>
          <w:rFonts w:ascii="Times New Roman" w:hAnsi="Times New Roman"/>
          <w:b w:val="0"/>
          <w:spacing w:val="0"/>
        </w:rPr>
        <w:t xml:space="preserve"> – sledovaná hodnota v čase t;</w:t>
      </w:r>
    </w:p>
    <w:p w:rsidR="00AB0F02" w:rsidRPr="000F38A1" w:rsidP="00585598">
      <w:pPr>
        <w:pStyle w:val="BodyText"/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ab/>
        <w:t>k  - koeficient rastu;</w:t>
      </w:r>
    </w:p>
    <w:p w:rsidR="00AB0F02" w:rsidRPr="000F38A1" w:rsidP="00585598">
      <w:pPr>
        <w:pStyle w:val="BodyText"/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ab/>
        <w:t>d – absolútna diferencia;</w:t>
      </w:r>
    </w:p>
    <w:p w:rsidR="00AB0F02" w:rsidRPr="000F38A1" w:rsidP="00585598">
      <w:pPr>
        <w:pStyle w:val="BodyText"/>
        <w:bidi w:val="0"/>
        <w:jc w:val="both"/>
        <w:rPr>
          <w:rFonts w:ascii="Times New Roman" w:hAnsi="Times New Roman"/>
          <w:b w:val="0"/>
          <w:spacing w:val="0"/>
        </w:rPr>
      </w:pPr>
    </w:p>
    <w:p w:rsidR="00585598" w:rsidRPr="000F38A1" w:rsidP="00585598">
      <w:pPr>
        <w:pStyle w:val="BodyText"/>
        <w:numPr>
          <w:numId w:val="11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 xml:space="preserve"> Odhadnutým trendom zadlžovania bolo prepočítané obdobie od 30.4.2011 resp. 31.5</w:t>
      </w:r>
      <w:r w:rsidRPr="000F38A1" w:rsidR="00D70526">
        <w:rPr>
          <w:rFonts w:ascii="Times New Roman" w:hAnsi="Times New Roman"/>
          <w:b w:val="0"/>
          <w:spacing w:val="0"/>
        </w:rPr>
        <w:t>.2011 mesačne až do 31.12.2011;</w:t>
      </w:r>
    </w:p>
    <w:p w:rsidR="00585598" w:rsidRPr="000F38A1" w:rsidP="00585598">
      <w:pPr>
        <w:pStyle w:val="BodyText"/>
        <w:numPr>
          <w:numId w:val="11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 xml:space="preserve"> V prípadoch, kde sa nedal aplikovať mesačný prepočet bol</w:t>
      </w:r>
      <w:r w:rsidRPr="000F38A1" w:rsidR="00D70526">
        <w:rPr>
          <w:rFonts w:ascii="Times New Roman" w:hAnsi="Times New Roman"/>
          <w:b w:val="0"/>
          <w:spacing w:val="0"/>
        </w:rPr>
        <w:t xml:space="preserve"> stanovený prepočet štvrťročný;</w:t>
      </w:r>
    </w:p>
    <w:p w:rsidR="00585598" w:rsidRPr="000F38A1" w:rsidP="00585598">
      <w:pPr>
        <w:pStyle w:val="BodyText"/>
        <w:numPr>
          <w:numId w:val="11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 xml:space="preserve"> V prípadoch, keď po aplikácii pomocou koeficientu rastu a tiež pomocou absolútnej diferencie boli odhadnuté k 31.12.2011 odlišné hodnoty. Bola vybraná hodnota objektívna s ohľadom na všetky  poskytnuté informácie a </w:t>
      </w:r>
      <w:r w:rsidRPr="000F38A1" w:rsidR="001107C1">
        <w:rPr>
          <w:rFonts w:ascii="Times New Roman" w:hAnsi="Times New Roman"/>
          <w:b w:val="0"/>
          <w:spacing w:val="0"/>
        </w:rPr>
        <w:t>známe skutočnosti ku konkrétnej štátnej organizácie</w:t>
      </w:r>
      <w:r w:rsidRPr="000F38A1" w:rsidR="00D70526">
        <w:rPr>
          <w:rFonts w:ascii="Times New Roman" w:hAnsi="Times New Roman"/>
          <w:b w:val="0"/>
          <w:spacing w:val="0"/>
        </w:rPr>
        <w:t>;</w:t>
      </w:r>
    </w:p>
    <w:p w:rsidR="00585598" w:rsidRPr="000F38A1" w:rsidP="00585598">
      <w:pPr>
        <w:pStyle w:val="BodyText"/>
        <w:numPr>
          <w:numId w:val="11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 xml:space="preserve"> U tých </w:t>
      </w:r>
      <w:r w:rsidRPr="000F38A1" w:rsidR="001107C1">
        <w:rPr>
          <w:rFonts w:ascii="Times New Roman" w:hAnsi="Times New Roman"/>
          <w:b w:val="0"/>
        </w:rPr>
        <w:t>štátnych organizácií</w:t>
      </w:r>
      <w:r w:rsidRPr="000F38A1">
        <w:rPr>
          <w:rFonts w:ascii="Times New Roman" w:hAnsi="Times New Roman"/>
          <w:b w:val="0"/>
          <w:spacing w:val="0"/>
        </w:rPr>
        <w:t xml:space="preserve">, ktoré nemajú žiadne záväzky po lehote splatnosti a tiež majú pozitívny vývoj výsledku hospodárenia bol stanovený odhad k 31.12.2011 minimálne na hodnotu záväzkov k 30.4.2011 resp. k 31.5.2011. </w:t>
      </w:r>
    </w:p>
    <w:p w:rsidR="00585598" w:rsidRPr="000F38A1" w:rsidP="00585598">
      <w:pPr>
        <w:pStyle w:val="BodyText"/>
        <w:bidi w:val="0"/>
        <w:jc w:val="both"/>
        <w:rPr>
          <w:rFonts w:ascii="Times New Roman" w:hAnsi="Times New Roman"/>
          <w:b w:val="0"/>
          <w:spacing w:val="0"/>
        </w:rPr>
      </w:pPr>
    </w:p>
    <w:p w:rsidR="00585598" w:rsidRPr="000F38A1" w:rsidP="00760418">
      <w:pPr>
        <w:pStyle w:val="BodyText"/>
        <w:bidi w:val="0"/>
        <w:ind w:firstLine="708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 xml:space="preserve">Štruktúra výpočtu konečnej odhadnutej sumy, ktorú pre proces stabilizácie a následnej transformácie na </w:t>
      </w:r>
      <w:r w:rsidR="001941C8">
        <w:rPr>
          <w:rFonts w:ascii="Times New Roman" w:hAnsi="Times New Roman"/>
          <w:b w:val="0"/>
          <w:spacing w:val="0"/>
        </w:rPr>
        <w:t>akciové spoločnosti</w:t>
      </w:r>
      <w:r w:rsidRPr="000F38A1" w:rsidR="001107C1">
        <w:rPr>
          <w:rFonts w:ascii="Times New Roman" w:hAnsi="Times New Roman"/>
          <w:b w:val="0"/>
          <w:spacing w:val="0"/>
        </w:rPr>
        <w:t xml:space="preserve"> </w:t>
      </w:r>
      <w:r w:rsidRPr="000F38A1">
        <w:rPr>
          <w:rFonts w:ascii="Times New Roman" w:hAnsi="Times New Roman"/>
          <w:b w:val="0"/>
          <w:spacing w:val="0"/>
        </w:rPr>
        <w:t xml:space="preserve"> </w:t>
      </w:r>
      <w:r w:rsidRPr="000F38A1" w:rsidR="001107C1">
        <w:rPr>
          <w:rFonts w:ascii="Times New Roman" w:hAnsi="Times New Roman"/>
          <w:b w:val="0"/>
        </w:rPr>
        <w:t>štátne organizácie</w:t>
      </w:r>
      <w:r w:rsidRPr="000F38A1" w:rsidR="001107C1">
        <w:rPr>
          <w:rFonts w:ascii="Times New Roman" w:hAnsi="Times New Roman"/>
          <w:b w:val="0"/>
          <w:spacing w:val="0"/>
        </w:rPr>
        <w:t xml:space="preserve"> </w:t>
      </w:r>
      <w:r w:rsidRPr="000F38A1">
        <w:rPr>
          <w:rFonts w:ascii="Times New Roman" w:hAnsi="Times New Roman"/>
          <w:b w:val="0"/>
          <w:spacing w:val="0"/>
        </w:rPr>
        <w:t>pre zabezpečenie poskytovania zdravotnej starost</w:t>
      </w:r>
      <w:r w:rsidRPr="000F38A1" w:rsidR="00760418">
        <w:rPr>
          <w:rFonts w:ascii="Times New Roman" w:hAnsi="Times New Roman"/>
          <w:b w:val="0"/>
          <w:spacing w:val="0"/>
        </w:rPr>
        <w:t>livosti potrebujú, je nasledovná</w:t>
      </w:r>
      <w:r w:rsidRPr="000F38A1">
        <w:rPr>
          <w:rFonts w:ascii="Times New Roman" w:hAnsi="Times New Roman"/>
          <w:b w:val="0"/>
          <w:spacing w:val="0"/>
        </w:rPr>
        <w:t>:</w:t>
      </w:r>
    </w:p>
    <w:p w:rsidR="00760418" w:rsidRPr="000F38A1" w:rsidP="00760418">
      <w:pPr>
        <w:pStyle w:val="BodyText"/>
        <w:bidi w:val="0"/>
        <w:ind w:firstLine="708"/>
        <w:jc w:val="both"/>
        <w:rPr>
          <w:rFonts w:ascii="Times New Roman" w:hAnsi="Times New Roman"/>
          <w:b w:val="0"/>
          <w:spacing w:val="0"/>
        </w:rPr>
      </w:pPr>
    </w:p>
    <w:p w:rsidR="00585598" w:rsidRPr="000F38A1" w:rsidP="00760418">
      <w:pPr>
        <w:pStyle w:val="BodyText"/>
        <w:numPr>
          <w:numId w:val="13"/>
        </w:numPr>
        <w:bidi w:val="0"/>
        <w:ind w:left="360" w:firstLine="0"/>
        <w:jc w:val="both"/>
        <w:rPr>
          <w:rFonts w:ascii="Times New Roman" w:hAnsi="Times New Roman"/>
          <w:b w:val="0"/>
          <w:spacing w:val="0"/>
        </w:rPr>
      </w:pPr>
      <w:r w:rsidRPr="000F38A1" w:rsidR="00D70526">
        <w:rPr>
          <w:rFonts w:ascii="Times New Roman" w:hAnsi="Times New Roman"/>
          <w:b w:val="0"/>
          <w:spacing w:val="0"/>
        </w:rPr>
        <w:t>S</w:t>
      </w:r>
      <w:r w:rsidRPr="000F38A1">
        <w:rPr>
          <w:rFonts w:ascii="Times New Roman" w:hAnsi="Times New Roman"/>
          <w:b w:val="0"/>
          <w:spacing w:val="0"/>
        </w:rPr>
        <w:t>uma záväzkov (očis</w:t>
      </w:r>
      <w:r w:rsidRPr="000F38A1" w:rsidR="00D70526">
        <w:rPr>
          <w:rFonts w:ascii="Times New Roman" w:hAnsi="Times New Roman"/>
          <w:b w:val="0"/>
          <w:spacing w:val="0"/>
        </w:rPr>
        <w:t>tených k 30.4.2011</w:t>
      </w:r>
      <w:r w:rsidRPr="000F38A1" w:rsidR="004E22C0">
        <w:rPr>
          <w:rFonts w:ascii="Times New Roman" w:hAnsi="Times New Roman"/>
          <w:b w:val="0"/>
          <w:spacing w:val="0"/>
        </w:rPr>
        <w:t>,</w:t>
      </w:r>
      <w:r w:rsidRPr="000F38A1" w:rsidR="00D70526">
        <w:rPr>
          <w:rFonts w:ascii="Times New Roman" w:hAnsi="Times New Roman"/>
          <w:b w:val="0"/>
          <w:spacing w:val="0"/>
        </w:rPr>
        <w:t xml:space="preserve"> resp. 31.5.2011);</w:t>
      </w:r>
    </w:p>
    <w:p w:rsidR="00585598" w:rsidRPr="000F38A1" w:rsidP="00760418">
      <w:pPr>
        <w:pStyle w:val="BodyText"/>
        <w:numPr>
          <w:numId w:val="13"/>
        </w:numPr>
        <w:bidi w:val="0"/>
        <w:ind w:left="360" w:firstLine="0"/>
        <w:jc w:val="both"/>
        <w:rPr>
          <w:rFonts w:ascii="Times New Roman" w:hAnsi="Times New Roman"/>
          <w:b w:val="0"/>
          <w:spacing w:val="0"/>
        </w:rPr>
      </w:pPr>
      <w:r w:rsidRPr="000F38A1" w:rsidR="00D70526">
        <w:rPr>
          <w:rFonts w:ascii="Times New Roman" w:hAnsi="Times New Roman"/>
          <w:b w:val="0"/>
          <w:spacing w:val="0"/>
        </w:rPr>
        <w:t>Trend zadlžovania k 31.12.2011;</w:t>
      </w:r>
    </w:p>
    <w:p w:rsidR="00585598" w:rsidRPr="000F38A1" w:rsidP="00760418">
      <w:pPr>
        <w:pStyle w:val="BodyText"/>
        <w:numPr>
          <w:numId w:val="13"/>
        </w:numPr>
        <w:bidi w:val="0"/>
        <w:ind w:left="360" w:firstLine="0"/>
        <w:jc w:val="both"/>
        <w:rPr>
          <w:rFonts w:ascii="Times New Roman" w:hAnsi="Times New Roman"/>
          <w:b w:val="0"/>
          <w:spacing w:val="0"/>
        </w:rPr>
      </w:pPr>
      <w:r w:rsidRPr="000F38A1" w:rsidR="00D70526">
        <w:rPr>
          <w:rFonts w:ascii="Times New Roman" w:hAnsi="Times New Roman"/>
          <w:b w:val="0"/>
          <w:spacing w:val="0"/>
        </w:rPr>
        <w:t>V</w:t>
      </w:r>
      <w:r w:rsidRPr="000F38A1">
        <w:rPr>
          <w:rFonts w:ascii="Times New Roman" w:hAnsi="Times New Roman"/>
          <w:b w:val="0"/>
          <w:spacing w:val="0"/>
        </w:rPr>
        <w:t>yčísle</w:t>
      </w:r>
      <w:r w:rsidRPr="000F38A1" w:rsidR="00D70526">
        <w:rPr>
          <w:rFonts w:ascii="Times New Roman" w:hAnsi="Times New Roman"/>
          <w:b w:val="0"/>
          <w:spacing w:val="0"/>
        </w:rPr>
        <w:t>nie sumy potrebnej k 31.12.2011;</w:t>
      </w:r>
    </w:p>
    <w:p w:rsidR="00585598" w:rsidRPr="000F38A1" w:rsidP="004E22C0">
      <w:pPr>
        <w:pStyle w:val="BodyText"/>
        <w:numPr>
          <w:numId w:val="13"/>
        </w:numPr>
        <w:bidi w:val="0"/>
        <w:jc w:val="both"/>
        <w:rPr>
          <w:rFonts w:ascii="Times New Roman" w:hAnsi="Times New Roman"/>
          <w:b w:val="0"/>
          <w:spacing w:val="0"/>
        </w:rPr>
      </w:pPr>
      <w:r w:rsidRPr="000F38A1" w:rsidR="00D70526">
        <w:rPr>
          <w:rFonts w:ascii="Times New Roman" w:hAnsi="Times New Roman"/>
          <w:b w:val="0"/>
          <w:spacing w:val="0"/>
        </w:rPr>
        <w:t>O</w:t>
      </w:r>
      <w:r w:rsidRPr="000F38A1">
        <w:rPr>
          <w:rFonts w:ascii="Times New Roman" w:hAnsi="Times New Roman"/>
          <w:b w:val="0"/>
          <w:spacing w:val="0"/>
        </w:rPr>
        <w:t xml:space="preserve">statné očakávané záväzky, ktoré nie sú zaúčtované k 30.4.2011 resp. 31.5.2011 </w:t>
      </w:r>
      <w:r w:rsidRPr="000F38A1" w:rsidR="004E22C0">
        <w:rPr>
          <w:rFonts w:ascii="Times New Roman" w:hAnsi="Times New Roman"/>
          <w:b w:val="0"/>
          <w:spacing w:val="0"/>
        </w:rPr>
        <w:t xml:space="preserve"> </w:t>
      </w:r>
      <w:r w:rsidRPr="000F38A1">
        <w:rPr>
          <w:rFonts w:ascii="Times New Roman" w:hAnsi="Times New Roman"/>
          <w:b w:val="0"/>
          <w:spacing w:val="0"/>
        </w:rPr>
        <w:t>(napr. súdne spory, nedokončené investície z vlastných zdrojov, zakúpenie zapožičaného a prenaja</w:t>
      </w:r>
      <w:r w:rsidRPr="000F38A1" w:rsidR="00760418">
        <w:rPr>
          <w:rFonts w:ascii="Times New Roman" w:hAnsi="Times New Roman"/>
          <w:b w:val="0"/>
          <w:spacing w:val="0"/>
        </w:rPr>
        <w:t>tého prístrojového zariadenia,</w:t>
      </w:r>
      <w:r w:rsidRPr="000F38A1">
        <w:rPr>
          <w:rFonts w:ascii="Times New Roman" w:hAnsi="Times New Roman"/>
          <w:b w:val="0"/>
          <w:spacing w:val="0"/>
        </w:rPr>
        <w:t> to všetko hradené z vlastných zdrojov do 31.12.2011).</w:t>
      </w:r>
    </w:p>
    <w:p w:rsidR="00760418" w:rsidRPr="000F38A1" w:rsidP="00760418">
      <w:pPr>
        <w:pStyle w:val="BodyText"/>
        <w:bidi w:val="0"/>
        <w:ind w:left="360"/>
        <w:jc w:val="both"/>
        <w:rPr>
          <w:rFonts w:ascii="Times New Roman" w:hAnsi="Times New Roman"/>
          <w:b w:val="0"/>
          <w:spacing w:val="0"/>
        </w:rPr>
      </w:pPr>
    </w:p>
    <w:p w:rsidR="00670DC7" w:rsidRPr="000F38A1" w:rsidP="00760418">
      <w:pPr>
        <w:pStyle w:val="BodyText"/>
        <w:bidi w:val="0"/>
        <w:ind w:firstLine="708"/>
        <w:jc w:val="both"/>
        <w:rPr>
          <w:rFonts w:ascii="Times New Roman" w:hAnsi="Times New Roman"/>
          <w:b w:val="0"/>
          <w:spacing w:val="0"/>
        </w:rPr>
      </w:pPr>
      <w:r w:rsidRPr="000F38A1" w:rsidR="00585598">
        <w:rPr>
          <w:rFonts w:ascii="Times New Roman" w:hAnsi="Times New Roman"/>
          <w:b w:val="0"/>
          <w:spacing w:val="0"/>
        </w:rPr>
        <w:t xml:space="preserve">Ostatné záväzky predstavujú samostatnú kapitolu, ktorá nie je súčasťou výpočtu trendu zadlžovania, ale vyplýva z jednotlivých podkladov, ktoré predkladali </w:t>
      </w:r>
      <w:r w:rsidRPr="000F38A1" w:rsidR="00F53565">
        <w:rPr>
          <w:rFonts w:ascii="Times New Roman" w:hAnsi="Times New Roman"/>
          <w:b w:val="0"/>
          <w:spacing w:val="0"/>
        </w:rPr>
        <w:t>štátne organizácie</w:t>
      </w:r>
      <w:r w:rsidRPr="000F38A1" w:rsidR="00585598">
        <w:rPr>
          <w:rFonts w:ascii="Times New Roman" w:hAnsi="Times New Roman"/>
          <w:b w:val="0"/>
          <w:spacing w:val="0"/>
        </w:rPr>
        <w:t xml:space="preserve"> na požiadanie ÚSI ŽU, a ktoré následne ÚSI ŽU zmapovalo.</w:t>
      </w:r>
    </w:p>
    <w:p w:rsidR="00670DC7" w:rsidRPr="000F38A1" w:rsidP="00760418">
      <w:pPr>
        <w:pStyle w:val="BodyText"/>
        <w:bidi w:val="0"/>
        <w:ind w:firstLine="708"/>
        <w:jc w:val="both"/>
        <w:rPr>
          <w:rFonts w:ascii="Times New Roman" w:hAnsi="Times New Roman"/>
          <w:b w:val="0"/>
          <w:spacing w:val="0"/>
        </w:rPr>
      </w:pPr>
    </w:p>
    <w:p w:rsidR="00585598" w:rsidRPr="000F38A1" w:rsidP="00670DC7">
      <w:pPr>
        <w:bidi w:val="0"/>
        <w:ind w:left="360" w:hanging="360"/>
        <w:rPr>
          <w:rFonts w:ascii="Times New Roman" w:hAnsi="Times New Roman"/>
          <w:b/>
          <w:sz w:val="24"/>
          <w:szCs w:val="24"/>
          <w:lang w:val="sk-SK"/>
        </w:rPr>
      </w:pPr>
      <w:r w:rsidRPr="000F38A1" w:rsidR="00670DC7">
        <w:rPr>
          <w:rFonts w:ascii="Times New Roman" w:hAnsi="Times New Roman"/>
          <w:b/>
          <w:sz w:val="24"/>
          <w:szCs w:val="24"/>
          <w:lang w:val="sk-SK"/>
        </w:rPr>
        <w:t xml:space="preserve">3.4. </w:t>
      </w:r>
      <w:r w:rsidRPr="000F38A1" w:rsidR="001107C1">
        <w:rPr>
          <w:rFonts w:ascii="Times New Roman" w:hAnsi="Times New Roman"/>
          <w:b/>
          <w:sz w:val="24"/>
          <w:szCs w:val="24"/>
          <w:lang w:val="sk-SK"/>
        </w:rPr>
        <w:t>Rekapitulácia rozboru</w:t>
      </w:r>
      <w:r w:rsidRPr="000F38A1">
        <w:rPr>
          <w:rFonts w:ascii="Times New Roman" w:hAnsi="Times New Roman"/>
          <w:b/>
          <w:sz w:val="24"/>
          <w:szCs w:val="24"/>
          <w:lang w:val="sk-SK"/>
        </w:rPr>
        <w:t xml:space="preserve"> finančných prostriedkov potrebných pre </w:t>
      </w:r>
      <w:r w:rsidRPr="000F38A1" w:rsidR="00670DC7">
        <w:rPr>
          <w:rFonts w:ascii="Times New Roman" w:hAnsi="Times New Roman"/>
          <w:b/>
          <w:sz w:val="24"/>
          <w:szCs w:val="24"/>
          <w:lang w:val="sk-SK"/>
        </w:rPr>
        <w:t>finančnú stabilizáciu jednotlivých štátnych organizácii</w:t>
      </w:r>
      <w:r w:rsidRPr="000F38A1">
        <w:rPr>
          <w:rFonts w:ascii="Times New Roman" w:hAnsi="Times New Roman"/>
          <w:b/>
          <w:sz w:val="24"/>
          <w:szCs w:val="24"/>
          <w:lang w:val="sk-SK"/>
        </w:rPr>
        <w:t xml:space="preserve"> k 31.12.2011</w:t>
      </w:r>
    </w:p>
    <w:p w:rsidR="00585598" w:rsidRPr="000F38A1" w:rsidP="00585598">
      <w:pPr>
        <w:pStyle w:val="BodyText"/>
        <w:bidi w:val="0"/>
        <w:ind w:left="360"/>
        <w:jc w:val="both"/>
        <w:rPr>
          <w:rFonts w:ascii="Times New Roman" w:hAnsi="Times New Roman"/>
          <w:b w:val="0"/>
          <w:spacing w:val="0"/>
        </w:rPr>
      </w:pPr>
    </w:p>
    <w:p w:rsidR="00585598" w:rsidRPr="000F38A1" w:rsidP="00585598">
      <w:pPr>
        <w:pStyle w:val="BodyText"/>
        <w:bidi w:val="0"/>
        <w:jc w:val="both"/>
        <w:rPr>
          <w:rFonts w:ascii="Times New Roman" w:hAnsi="Times New Roman"/>
          <w:b w:val="0"/>
          <w:spacing w:val="0"/>
        </w:rPr>
      </w:pPr>
    </w:p>
    <w:p w:rsidR="00585598" w:rsidRPr="000F38A1" w:rsidP="00670DC7">
      <w:pPr>
        <w:pStyle w:val="BodyText"/>
        <w:bidi w:val="0"/>
        <w:ind w:firstLine="708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 xml:space="preserve">Celý metodický postup </w:t>
      </w:r>
      <w:r w:rsidRPr="000F38A1" w:rsidR="00670DC7">
        <w:rPr>
          <w:rFonts w:ascii="Times New Roman" w:hAnsi="Times New Roman"/>
          <w:b w:val="0"/>
          <w:spacing w:val="0"/>
        </w:rPr>
        <w:t>použitý v</w:t>
      </w:r>
      <w:r w:rsidRPr="000F38A1">
        <w:rPr>
          <w:rFonts w:ascii="Times New Roman" w:hAnsi="Times New Roman"/>
          <w:b w:val="0"/>
          <w:spacing w:val="0"/>
        </w:rPr>
        <w:t xml:space="preserve"> rozbore zohľadňuje hľadisko opatrnosti a preskúmateľnosti so snahou eliminovať v súčasnosti nekvantifikovateľné vplyvy.</w:t>
      </w:r>
    </w:p>
    <w:p w:rsidR="00670DC7" w:rsidRPr="000F38A1" w:rsidP="00670DC7">
      <w:pPr>
        <w:pStyle w:val="BodyText"/>
        <w:bidi w:val="0"/>
        <w:ind w:firstLine="708"/>
        <w:jc w:val="both"/>
        <w:rPr>
          <w:rFonts w:ascii="Times New Roman" w:hAnsi="Times New Roman"/>
          <w:b w:val="0"/>
          <w:spacing w:val="0"/>
        </w:rPr>
      </w:pPr>
    </w:p>
    <w:p w:rsidR="00585598" w:rsidRPr="000F38A1" w:rsidP="00670DC7">
      <w:pPr>
        <w:pStyle w:val="BodyText"/>
        <w:bidi w:val="0"/>
        <w:ind w:firstLine="708"/>
        <w:jc w:val="both"/>
        <w:rPr>
          <w:rFonts w:ascii="Times New Roman" w:hAnsi="Times New Roman"/>
          <w:b w:val="0"/>
          <w:spacing w:val="0"/>
        </w:rPr>
      </w:pPr>
      <w:r w:rsidRPr="000F38A1">
        <w:rPr>
          <w:rFonts w:ascii="Times New Roman" w:hAnsi="Times New Roman"/>
          <w:b w:val="0"/>
          <w:spacing w:val="0"/>
        </w:rPr>
        <w:t xml:space="preserve">ÚSI ŽU mapoval všetky poskytnuté podklady s poukázaním na ich nepresnosť a diferencie. Napriek tomu pomocou aplikácie všetkých poznatkov, skúseností zo znaleckej praxe a skúsenosti z obhliadok </w:t>
      </w:r>
      <w:r w:rsidRPr="000F38A1" w:rsidR="00670DC7">
        <w:rPr>
          <w:rFonts w:ascii="Times New Roman" w:hAnsi="Times New Roman"/>
          <w:b w:val="0"/>
          <w:spacing w:val="0"/>
        </w:rPr>
        <w:t>štátnych organizácii</w:t>
      </w:r>
      <w:r w:rsidRPr="000F38A1" w:rsidR="00F53565">
        <w:rPr>
          <w:rFonts w:ascii="Times New Roman" w:hAnsi="Times New Roman"/>
          <w:b w:val="0"/>
          <w:spacing w:val="0"/>
        </w:rPr>
        <w:t>, z</w:t>
      </w:r>
      <w:r w:rsidRPr="000F38A1">
        <w:rPr>
          <w:rFonts w:ascii="Times New Roman" w:hAnsi="Times New Roman"/>
          <w:b w:val="0"/>
          <w:spacing w:val="0"/>
        </w:rPr>
        <w:t xml:space="preserve"> konzultácií s kompetentnými pracovníkmi </w:t>
      </w:r>
      <w:r w:rsidRPr="000F38A1" w:rsidR="00670DC7">
        <w:rPr>
          <w:rFonts w:ascii="Times New Roman" w:hAnsi="Times New Roman"/>
          <w:b w:val="0"/>
          <w:spacing w:val="0"/>
        </w:rPr>
        <w:t>štátnych organizácii</w:t>
      </w:r>
      <w:r w:rsidRPr="000F38A1">
        <w:rPr>
          <w:rFonts w:ascii="Times New Roman" w:hAnsi="Times New Roman"/>
          <w:b w:val="0"/>
          <w:spacing w:val="0"/>
        </w:rPr>
        <w:t xml:space="preserve"> a MZ SR odhaduje celkovú sumu finančných prostriedkov na pokrytie odhadnutých záväzkov k 31.12.2011 za transformované </w:t>
      </w:r>
      <w:r w:rsidRPr="000F38A1" w:rsidR="00670DC7">
        <w:rPr>
          <w:rFonts w:ascii="Times New Roman" w:hAnsi="Times New Roman"/>
          <w:b w:val="0"/>
          <w:spacing w:val="0"/>
        </w:rPr>
        <w:t>štátne organizácie</w:t>
      </w:r>
      <w:r w:rsidRPr="000F38A1" w:rsidR="008007B3">
        <w:rPr>
          <w:rFonts w:ascii="Times New Roman" w:hAnsi="Times New Roman"/>
          <w:b w:val="0"/>
          <w:spacing w:val="0"/>
        </w:rPr>
        <w:t xml:space="preserve"> spolu </w:t>
      </w:r>
      <w:r w:rsidRPr="000F38A1" w:rsidR="008007B3">
        <w:rPr>
          <w:rFonts w:ascii="Times New Roman" w:hAnsi="Times New Roman"/>
          <w:spacing w:val="0"/>
        </w:rPr>
        <w:t>vo výške 419 816 045 eur</w:t>
      </w:r>
      <w:r w:rsidRPr="000F38A1" w:rsidR="008007B3">
        <w:rPr>
          <w:rFonts w:ascii="Times New Roman" w:hAnsi="Times New Roman"/>
          <w:b w:val="0"/>
          <w:spacing w:val="0"/>
        </w:rPr>
        <w:t xml:space="preserve">. </w:t>
      </w:r>
    </w:p>
    <w:p w:rsidR="00585598" w:rsidRPr="000F38A1" w:rsidP="00585598">
      <w:pPr>
        <w:pStyle w:val="BodyText"/>
        <w:bidi w:val="0"/>
        <w:spacing w:line="360" w:lineRule="auto"/>
        <w:jc w:val="both"/>
        <w:rPr>
          <w:rFonts w:ascii="Times New Roman" w:hAnsi="Times New Roman"/>
          <w:b w:val="0"/>
          <w:spacing w:val="0"/>
        </w:rPr>
      </w:pPr>
    </w:p>
    <w:p w:rsidR="00AB6A2C" w:rsidRPr="000F38A1" w:rsidP="00B06916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 w:rsidR="00B06916">
        <w:rPr>
          <w:rFonts w:ascii="Times New Roman" w:hAnsi="Times New Roman"/>
          <w:sz w:val="24"/>
          <w:szCs w:val="24"/>
          <w:lang w:val="sk-SK"/>
        </w:rPr>
        <w:t xml:space="preserve">    </w:t>
      </w:r>
      <w:r w:rsidRPr="000F38A1">
        <w:rPr>
          <w:rFonts w:ascii="Times New Roman" w:hAnsi="Times New Roman"/>
          <w:sz w:val="24"/>
          <w:szCs w:val="24"/>
          <w:lang w:val="sk-SK"/>
        </w:rPr>
        <w:t>Rozdelenie záväzkov štátnych príspevkových organizácií  v pôsobnosti MZ SR a MO SR transformujúcich sa na akciové spoločnosti v zmysle zákona č. 578/2004 Z. z.  podľa rokov ich vzniku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>:</w:t>
      </w:r>
    </w:p>
    <w:p w:rsidR="00AB6A2C" w:rsidRPr="000F38A1" w:rsidP="00AB6A2C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AB6A2C" w:rsidRPr="000F38A1" w:rsidP="00AB6A2C">
      <w:pPr>
        <w:bidi w:val="0"/>
        <w:rPr>
          <w:rFonts w:ascii="Times New Roman" w:hAnsi="Times New Roman"/>
          <w:sz w:val="24"/>
          <w:szCs w:val="24"/>
          <w:lang w:val="sk-SK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2"/>
        <w:gridCol w:w="1842"/>
        <w:gridCol w:w="1843"/>
        <w:gridCol w:w="1843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A2C" w:rsidRPr="00162FC6" w:rsidP="00162FC6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62FC6">
              <w:rPr>
                <w:rFonts w:ascii="Times New Roman" w:hAnsi="Times New Roman"/>
                <w:sz w:val="24"/>
                <w:szCs w:val="24"/>
                <w:lang w:val="sk-SK"/>
              </w:rPr>
              <w:t>Výška záväzku v  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A2C" w:rsidRPr="00162FC6" w:rsidP="00162FC6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62FC6">
              <w:rPr>
                <w:rFonts w:ascii="Times New Roman" w:hAnsi="Times New Roman"/>
                <w:sz w:val="24"/>
                <w:szCs w:val="24"/>
                <w:lang w:val="sk-SK"/>
              </w:rPr>
              <w:t>2008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A2C" w:rsidRPr="00162FC6" w:rsidP="00162FC6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62FC6">
              <w:rPr>
                <w:rFonts w:ascii="Times New Roman" w:hAnsi="Times New Roman"/>
                <w:sz w:val="24"/>
                <w:szCs w:val="24"/>
                <w:lang w:val="sk-SK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A2C" w:rsidRPr="00162FC6" w:rsidP="00162FC6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62FC6">
              <w:rPr>
                <w:rFonts w:ascii="Times New Roman" w:hAnsi="Times New Roman"/>
                <w:sz w:val="24"/>
                <w:szCs w:val="24"/>
                <w:lang w:val="sk-SK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A2C" w:rsidRPr="00162FC6" w:rsidP="00162FC6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62FC6">
              <w:rPr>
                <w:rFonts w:ascii="Times New Roman" w:hAnsi="Times New Roman"/>
                <w:sz w:val="24"/>
                <w:szCs w:val="24"/>
                <w:lang w:val="sk-SK"/>
              </w:rPr>
              <w:t>2011</w:t>
            </w:r>
          </w:p>
        </w:tc>
      </w:tr>
      <w:tr>
        <w:tblPrEx>
          <w:tblW w:w="0" w:type="auto"/>
          <w:tblLook w:val="01E0"/>
        </w:tblPrEx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A2C" w:rsidRPr="00162FC6" w:rsidP="00162FC6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A2C" w:rsidRPr="00162FC6" w:rsidP="00162FC6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62FC6">
              <w:rPr>
                <w:rFonts w:ascii="Times New Roman" w:hAnsi="Times New Roman"/>
                <w:sz w:val="24"/>
                <w:szCs w:val="24"/>
                <w:lang w:val="sk-SK"/>
              </w:rPr>
              <w:t>87 853 445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A2C" w:rsidRPr="00162FC6" w:rsidP="00162FC6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62FC6">
              <w:rPr>
                <w:rFonts w:ascii="Times New Roman" w:hAnsi="Times New Roman"/>
                <w:sz w:val="24"/>
                <w:szCs w:val="24"/>
                <w:lang w:val="sk-SK"/>
              </w:rPr>
              <w:t>67 249 897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A2C" w:rsidRPr="00162FC6" w:rsidP="00162FC6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62FC6">
              <w:rPr>
                <w:rFonts w:ascii="Times New Roman" w:hAnsi="Times New Roman"/>
                <w:sz w:val="24"/>
                <w:szCs w:val="24"/>
                <w:lang w:val="sk-SK"/>
              </w:rPr>
              <w:t>144 712 703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A2C" w:rsidRPr="00162FC6" w:rsidP="00162FC6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62FC6">
              <w:rPr>
                <w:rFonts w:ascii="Times New Roman" w:hAnsi="Times New Roman"/>
                <w:sz w:val="24"/>
                <w:szCs w:val="24"/>
                <w:lang w:val="sk-SK"/>
              </w:rPr>
              <w:t>120 000 000</w:t>
            </w:r>
          </w:p>
        </w:tc>
      </w:tr>
      <w:tr>
        <w:tblPrEx>
          <w:tblW w:w="0" w:type="auto"/>
          <w:tblLook w:val="01E0"/>
        </w:tblPrEx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A2C" w:rsidRPr="00162FC6" w:rsidP="00162FC6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A2C" w:rsidRPr="00162FC6" w:rsidP="00162FC6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162FC6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419 816 045</w:t>
            </w:r>
          </w:p>
        </w:tc>
      </w:tr>
    </w:tbl>
    <w:p w:rsidR="00AB6A2C" w:rsidRPr="000F38A1" w:rsidP="00585598">
      <w:pPr>
        <w:pStyle w:val="BodyText"/>
        <w:bidi w:val="0"/>
        <w:spacing w:line="360" w:lineRule="auto"/>
        <w:jc w:val="both"/>
        <w:rPr>
          <w:rFonts w:ascii="Times New Roman" w:hAnsi="Times New Roman"/>
          <w:b w:val="0"/>
          <w:spacing w:val="0"/>
        </w:rPr>
      </w:pPr>
    </w:p>
    <w:p w:rsidR="00AB6A2C" w:rsidRPr="000F38A1" w:rsidP="008007B3">
      <w:pPr>
        <w:pStyle w:val="BodyText"/>
        <w:bidi w:val="0"/>
        <w:ind w:firstLine="708"/>
        <w:jc w:val="both"/>
        <w:rPr>
          <w:rFonts w:ascii="Times New Roman" w:hAnsi="Times New Roman"/>
          <w:b w:val="0"/>
          <w:spacing w:val="0"/>
        </w:rPr>
      </w:pPr>
      <w:r w:rsidRPr="000F38A1" w:rsidR="008007B3">
        <w:rPr>
          <w:rFonts w:ascii="Times New Roman" w:hAnsi="Times New Roman"/>
          <w:b w:val="0"/>
          <w:spacing w:val="0"/>
        </w:rPr>
        <w:t>Ostatné záväzky, pozostávajúce z očakávaných záväzkov zo súdnych sporov, požadovaných investičných potrieb a zo zapožičaného a prenajatého prístrojového vybavenia, ktoré štátne organizácie potrebujú pre kvalitné poskytovanie zdravotnej starostlivosti predstavujú sumu 111 308 482,30 eur. Je predpoklad, že s uvedenými záväzkami sa budú musieť jednotlivé štátne organizácie postupne vysporiadať.</w:t>
      </w:r>
    </w:p>
    <w:p w:rsidR="00AB6A2C" w:rsidRPr="000F38A1" w:rsidP="00585598">
      <w:pPr>
        <w:pStyle w:val="BodyText"/>
        <w:bidi w:val="0"/>
        <w:spacing w:line="360" w:lineRule="auto"/>
        <w:jc w:val="both"/>
        <w:rPr>
          <w:rFonts w:ascii="Times New Roman" w:hAnsi="Times New Roman"/>
          <w:b w:val="0"/>
          <w:spacing w:val="0"/>
        </w:rPr>
      </w:pPr>
    </w:p>
    <w:p w:rsidR="001107C1" w:rsidRPr="000F38A1" w:rsidP="001107C1">
      <w:pPr>
        <w:bidi w:val="0"/>
        <w:ind w:firstLine="0"/>
        <w:rPr>
          <w:rFonts w:ascii="Times New Roman" w:hAnsi="Times New Roman"/>
          <w:b/>
          <w:sz w:val="24"/>
          <w:szCs w:val="24"/>
          <w:lang w:val="sk-SK"/>
        </w:rPr>
      </w:pPr>
      <w:r w:rsidRPr="000F38A1">
        <w:rPr>
          <w:rFonts w:ascii="Times New Roman" w:hAnsi="Times New Roman"/>
          <w:b/>
          <w:sz w:val="24"/>
          <w:szCs w:val="24"/>
          <w:lang w:val="sk-SK"/>
        </w:rPr>
        <w:t xml:space="preserve">4.  </w:t>
      </w:r>
      <w:r w:rsidRPr="000F38A1" w:rsidR="002D4BAA">
        <w:rPr>
          <w:rFonts w:ascii="Times New Roman" w:hAnsi="Times New Roman"/>
          <w:b/>
          <w:sz w:val="24"/>
          <w:szCs w:val="24"/>
          <w:lang w:val="sk-SK"/>
        </w:rPr>
        <w:t>Proces finančnej stabilizácie</w:t>
      </w:r>
      <w:r w:rsidRPr="000F38A1" w:rsidR="00921DD9">
        <w:rPr>
          <w:rFonts w:ascii="Times New Roman" w:hAnsi="Times New Roman"/>
          <w:b/>
          <w:sz w:val="24"/>
          <w:szCs w:val="24"/>
          <w:lang w:val="sk-SK"/>
        </w:rPr>
        <w:t xml:space="preserve"> štátnych organizácií</w:t>
      </w:r>
    </w:p>
    <w:p w:rsidR="00B34C17" w:rsidRPr="000F38A1" w:rsidP="001107C1">
      <w:pPr>
        <w:bidi w:val="0"/>
        <w:ind w:firstLine="0"/>
        <w:rPr>
          <w:rFonts w:ascii="Times New Roman" w:hAnsi="Times New Roman"/>
          <w:b/>
          <w:sz w:val="24"/>
          <w:szCs w:val="24"/>
          <w:lang w:val="sk-SK"/>
        </w:rPr>
      </w:pPr>
    </w:p>
    <w:p w:rsidR="00B34C17" w:rsidRPr="000F38A1" w:rsidP="00B34C17">
      <w:pPr>
        <w:bidi w:val="0"/>
        <w:ind w:firstLine="0"/>
        <w:rPr>
          <w:rFonts w:ascii="Times New Roman" w:hAnsi="Times New Roman"/>
          <w:b/>
          <w:sz w:val="24"/>
          <w:szCs w:val="24"/>
          <w:lang w:val="sk-SK"/>
        </w:rPr>
      </w:pPr>
      <w:r w:rsidRPr="000F38A1">
        <w:rPr>
          <w:rFonts w:ascii="Times New Roman" w:hAnsi="Times New Roman"/>
          <w:b/>
          <w:sz w:val="24"/>
          <w:szCs w:val="24"/>
          <w:lang w:val="sk-SK"/>
        </w:rPr>
        <w:t>4.1. Vymedzenie úloh pri finančnej stabilizácii</w:t>
      </w:r>
    </w:p>
    <w:p w:rsidR="00B34C17" w:rsidRPr="000F38A1" w:rsidP="001107C1">
      <w:pPr>
        <w:bidi w:val="0"/>
        <w:ind w:firstLine="0"/>
        <w:rPr>
          <w:rFonts w:ascii="Times New Roman" w:hAnsi="Times New Roman"/>
          <w:b/>
          <w:sz w:val="24"/>
          <w:szCs w:val="24"/>
          <w:lang w:val="sk-SK"/>
        </w:rPr>
      </w:pPr>
    </w:p>
    <w:p w:rsidR="00B34C17" w:rsidRPr="000F38A1" w:rsidP="00B34C17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V procese finančnej stabilizácie platí nasledovné vymedzenie úloh:</w:t>
      </w:r>
    </w:p>
    <w:p w:rsidR="00B34C17" w:rsidRPr="000F38A1" w:rsidP="00B34C17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34C17" w:rsidRPr="000F38A1" w:rsidP="00B34C17">
      <w:pPr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Ministerstvo financií SR (ďalej len „MF SR“) – zabezpečuje nevyhnutné finančné zdroje potrebné na finančnú stabilizáciu štátnych organizácií a zúčastňuje sa prostredníctvom svojich 3 zástupcov v „Komisii pre finančnú stabilizáciu štátnych organizácií“ na riadení a</w:t>
      </w:r>
      <w:r w:rsidRPr="000F38A1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r w:rsidRPr="000F38A1">
        <w:rPr>
          <w:rFonts w:ascii="Times New Roman" w:hAnsi="Times New Roman"/>
          <w:sz w:val="24"/>
          <w:szCs w:val="24"/>
          <w:lang w:val="sk-SK"/>
        </w:rPr>
        <w:t>monitorovaní celého procesu</w:t>
      </w:r>
      <w:r w:rsidRPr="000F38A1" w:rsidR="005A2CAE">
        <w:rPr>
          <w:rFonts w:ascii="Times New Roman" w:hAnsi="Times New Roman"/>
          <w:sz w:val="24"/>
          <w:szCs w:val="24"/>
          <w:lang w:val="sk-SK"/>
        </w:rPr>
        <w:t xml:space="preserve"> finančnej stabilizácie.  Podie</w:t>
      </w:r>
      <w:r w:rsidRPr="000F38A1" w:rsidR="006C4230">
        <w:rPr>
          <w:rFonts w:ascii="Times New Roman" w:hAnsi="Times New Roman"/>
          <w:sz w:val="24"/>
          <w:szCs w:val="24"/>
          <w:lang w:val="sk-SK"/>
        </w:rPr>
        <w:t>ľ</w:t>
      </w:r>
      <w:r w:rsidRPr="000F38A1">
        <w:rPr>
          <w:rFonts w:ascii="Times New Roman" w:hAnsi="Times New Roman"/>
          <w:sz w:val="24"/>
          <w:szCs w:val="24"/>
          <w:lang w:val="sk-SK"/>
        </w:rPr>
        <w:t>a sa na kontrole celého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 xml:space="preserve"> procesu finančnej stabilizácie;</w:t>
      </w:r>
    </w:p>
    <w:p w:rsidR="00B34C17" w:rsidRPr="000F38A1" w:rsidP="00B34C17">
      <w:pPr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Ministerstvo zdravotníctva– zabezpečuje personálne kapacity pre proces finančnej stabilizácie, vydá  Štatút Komisie pre finančnú stabilizáciu štátnych organizácií a zúčastňuje sa prostredníctvom 3 zástupcov v „Komisii pre finančnú stabilizáciu„ na riadení a monitorovaní celého proces</w:t>
      </w:r>
      <w:r w:rsidRPr="000F38A1" w:rsidR="005A2CAE">
        <w:rPr>
          <w:rFonts w:ascii="Times New Roman" w:hAnsi="Times New Roman"/>
          <w:sz w:val="24"/>
          <w:szCs w:val="24"/>
          <w:lang w:val="sk-SK"/>
        </w:rPr>
        <w:t>u finančnej stabilizácie. Podie</w:t>
      </w:r>
      <w:r w:rsidRPr="000F38A1" w:rsidR="006C4230">
        <w:rPr>
          <w:rFonts w:ascii="Times New Roman" w:hAnsi="Times New Roman"/>
          <w:sz w:val="24"/>
          <w:szCs w:val="24"/>
          <w:lang w:val="sk-SK"/>
        </w:rPr>
        <w:t>ľ</w:t>
      </w:r>
      <w:r w:rsidRPr="000F38A1">
        <w:rPr>
          <w:rFonts w:ascii="Times New Roman" w:hAnsi="Times New Roman"/>
          <w:sz w:val="24"/>
          <w:szCs w:val="24"/>
          <w:lang w:val="sk-SK"/>
        </w:rPr>
        <w:t>a sa na kontrole celého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 xml:space="preserve"> procesu finančnej stabilizácie;</w:t>
      </w:r>
    </w:p>
    <w:p w:rsidR="0092556D" w:rsidRPr="000F38A1" w:rsidP="0092556D">
      <w:pPr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 w:rsidR="00B34C17">
        <w:rPr>
          <w:rFonts w:ascii="Times New Roman" w:hAnsi="Times New Roman"/>
          <w:sz w:val="24"/>
          <w:szCs w:val="24"/>
          <w:lang w:val="sk-SK"/>
        </w:rPr>
        <w:t xml:space="preserve">Členov Komisie pre finančnú stabilizáciu (ďalej len „Komisia“) menuje minister zdravotníctva, pričom za predsedu Komisie vymenuje minister jedného zo zástupcov MZ SR. Komisia má koordinačnú a kontrolnú funkciu v procese finančnej stabilizácie štátnych organizácií. Rokuje s veriteľmi, schvaľuje podmienky úhrady pohľadávok (skonto, vzdanie sa penále, sankcií, prípadných súdnych trov konania a príslušenstva), kontroluje či je dohoda o urovnaní medzi riaditeľmi štátnych organizácií a veľkými veriteľmi v súlade s podmienkami dohodnutými v memorande (II. Fáza), kontroluje, či dohody medzi riaditeľmi štátnych organizácií a malými veriteľmi obsahujú skonto a či sú v súlade s podmienkou vzdania sa veriteľa sankcií, penále, prípadných súdnych trov konania a ďalšieho príslušenstva, ktoré netvorí istinu pohľadávky (III. Fáza). </w:t>
      </w:r>
      <w:r w:rsidRPr="000F38A1" w:rsidR="00C10F76">
        <w:rPr>
          <w:rFonts w:ascii="Times New Roman" w:hAnsi="Times New Roman"/>
          <w:sz w:val="24"/>
          <w:szCs w:val="24"/>
          <w:lang w:val="sk-SK"/>
        </w:rPr>
        <w:t xml:space="preserve">Komisia je oprávnená konať v rámci vymedzenom v Štatúte Komisie, ktorý vydalo MZ SR. </w:t>
      </w:r>
      <w:r w:rsidRPr="000F38A1" w:rsidR="00A62D32">
        <w:rPr>
          <w:rFonts w:ascii="Times New Roman" w:hAnsi="Times New Roman"/>
          <w:sz w:val="24"/>
          <w:szCs w:val="24"/>
          <w:lang w:val="sk-SK"/>
        </w:rPr>
        <w:t>Komisia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  má 6 členov (3 za MZ SR a 3 za MF SR). Komisia je uznášaniaschopná, ak sú prítomní aspoň 4 členovia Komisie, z toho minimálne po dvoch z MF 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>SR a MZ SR;</w:t>
      </w:r>
    </w:p>
    <w:p w:rsidR="00B34C17" w:rsidRPr="000F38A1" w:rsidP="0092556D">
      <w:pPr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Predseda Komisie zabezpečuje verifikáciu úhrady platieb v informa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>čnom systéme Štátnej pokladnice;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B34C17" w:rsidRPr="000F38A1" w:rsidP="00B34C17">
      <w:pPr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Riaditelia štátnych organizácií, v ktorých prebieha zmena právn</w:t>
      </w:r>
      <w:r w:rsidRPr="000F38A1" w:rsidR="00B7588D">
        <w:rPr>
          <w:rFonts w:ascii="Times New Roman" w:hAnsi="Times New Roman"/>
          <w:sz w:val="24"/>
          <w:szCs w:val="24"/>
          <w:lang w:val="sk-SK"/>
        </w:rPr>
        <w:t>ej formy na akciovú spoločnosť</w:t>
      </w:r>
      <w:r w:rsidRPr="000F38A1" w:rsidR="00560A80">
        <w:rPr>
          <w:rFonts w:ascii="Times New Roman" w:hAnsi="Times New Roman"/>
          <w:sz w:val="24"/>
          <w:szCs w:val="24"/>
          <w:lang w:val="sk-SK"/>
        </w:rPr>
        <w:t>,</w:t>
      </w:r>
      <w:r w:rsidRPr="000F38A1" w:rsidR="00B7588D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 sú zodpovední za korektné vyčíslenie výšky záväzkov a sú zodpovední za podpísanie dohôd s veriteľmi v súlade s Komisiou schválenými podmienkami.</w:t>
      </w:r>
      <w:r w:rsidRPr="000F38A1" w:rsidR="00B7588D">
        <w:rPr>
          <w:rFonts w:ascii="Times New Roman" w:hAnsi="Times New Roman"/>
          <w:sz w:val="24"/>
          <w:szCs w:val="24"/>
          <w:lang w:val="sk-SK"/>
        </w:rPr>
        <w:t xml:space="preserve"> Zárove</w:t>
      </w:r>
      <w:r w:rsidRPr="000F38A1" w:rsidR="00A62D32">
        <w:rPr>
          <w:rFonts w:ascii="Times New Roman" w:hAnsi="Times New Roman"/>
          <w:sz w:val="24"/>
          <w:szCs w:val="24"/>
          <w:lang w:val="sk-SK"/>
        </w:rPr>
        <w:t>ň sú zodpovední</w:t>
      </w:r>
      <w:r w:rsidRPr="000F38A1" w:rsidR="00B7588D">
        <w:rPr>
          <w:rFonts w:ascii="Times New Roman" w:hAnsi="Times New Roman"/>
          <w:sz w:val="24"/>
          <w:szCs w:val="24"/>
          <w:lang w:val="sk-SK"/>
        </w:rPr>
        <w:t xml:space="preserve"> za to, že pohľadávky veriteľov </w:t>
      </w:r>
      <w:r w:rsidRPr="000F38A1" w:rsidR="00A62D32">
        <w:rPr>
          <w:rFonts w:ascii="Times New Roman" w:hAnsi="Times New Roman"/>
          <w:sz w:val="24"/>
          <w:szCs w:val="24"/>
          <w:lang w:val="sk-SK"/>
        </w:rPr>
        <w:t>voči štátnym organizáciá</w:t>
      </w:r>
      <w:r w:rsidRPr="000F38A1" w:rsidR="00B7588D">
        <w:rPr>
          <w:rFonts w:ascii="Times New Roman" w:hAnsi="Times New Roman"/>
          <w:sz w:val="24"/>
          <w:szCs w:val="24"/>
          <w:lang w:val="sk-SK"/>
        </w:rPr>
        <w:t>m sú oprávnené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 xml:space="preserve"> a preukazné;</w:t>
      </w:r>
      <w:r w:rsidRPr="000F38A1" w:rsidR="00A62D32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F38A1" w:rsidR="00B7588D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B34C17" w:rsidRPr="000F38A1" w:rsidP="00B34C17">
      <w:pPr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="00F976AA">
        <w:rPr>
          <w:rFonts w:ascii="Times New Roman" w:hAnsi="Times New Roman"/>
          <w:sz w:val="24"/>
          <w:szCs w:val="24"/>
          <w:lang w:val="sk-SK"/>
        </w:rPr>
        <w:t xml:space="preserve">MZ </w:t>
      </w:r>
      <w:r w:rsidRPr="000F38A1">
        <w:rPr>
          <w:rFonts w:ascii="Times New Roman" w:hAnsi="Times New Roman"/>
          <w:sz w:val="24"/>
          <w:szCs w:val="24"/>
          <w:lang w:val="sk-SK"/>
        </w:rPr>
        <w:t>SR v spolupráci so Slovenskou Konsolidačnou, a. s. vykonáva v štátnych organizáciách náhodné kontroly stavu záväzkov a pohľadávok, ktoré sú predmetom dohôd, aby sa predchádzalo špekulatívnemu uzatváraniu dohôd s verit</w:t>
      </w:r>
      <w:r w:rsidRPr="000F38A1" w:rsidR="00C10F76">
        <w:rPr>
          <w:rFonts w:ascii="Times New Roman" w:hAnsi="Times New Roman"/>
          <w:sz w:val="24"/>
          <w:szCs w:val="24"/>
          <w:lang w:val="sk-SK"/>
        </w:rPr>
        <w:t>eľmi a aby boli vysporiadané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 len oprávnené pohľadávky</w:t>
      </w:r>
      <w:r w:rsidRPr="000F38A1" w:rsidR="00A62D32">
        <w:rPr>
          <w:rFonts w:ascii="Times New Roman" w:hAnsi="Times New Roman"/>
          <w:sz w:val="24"/>
          <w:szCs w:val="24"/>
          <w:lang w:val="sk-SK"/>
        </w:rPr>
        <w:t xml:space="preserve"> veriteľov</w:t>
      </w:r>
      <w:r w:rsidRPr="000F38A1">
        <w:rPr>
          <w:rFonts w:ascii="Times New Roman" w:hAnsi="Times New Roman"/>
          <w:sz w:val="24"/>
          <w:szCs w:val="24"/>
          <w:lang w:val="sk-SK"/>
        </w:rPr>
        <w:t>.</w:t>
      </w:r>
    </w:p>
    <w:p w:rsidR="00B454F9" w:rsidRPr="000F38A1" w:rsidP="00B454F9">
      <w:pPr>
        <w:bidi w:val="0"/>
        <w:ind w:left="360" w:firstLine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454F9" w:rsidRPr="000F38A1" w:rsidP="00B454F9">
      <w:pPr>
        <w:bidi w:val="0"/>
        <w:ind w:left="360" w:firstLine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454F9" w:rsidRPr="000F38A1" w:rsidP="00B454F9">
      <w:pPr>
        <w:bidi w:val="0"/>
        <w:ind w:left="360" w:hanging="360"/>
        <w:rPr>
          <w:rFonts w:ascii="Times New Roman" w:hAnsi="Times New Roman"/>
          <w:b/>
          <w:sz w:val="24"/>
          <w:szCs w:val="24"/>
          <w:lang w:val="sk-SK"/>
        </w:rPr>
      </w:pPr>
      <w:r w:rsidRPr="000F38A1">
        <w:rPr>
          <w:rFonts w:ascii="Times New Roman" w:hAnsi="Times New Roman"/>
          <w:b/>
          <w:sz w:val="24"/>
          <w:szCs w:val="24"/>
          <w:lang w:val="sk-SK"/>
        </w:rPr>
        <w:t>4.2. Zdroje pre uskutočnenie finančnej stabilizácie</w:t>
      </w:r>
    </w:p>
    <w:p w:rsidR="00B7588D" w:rsidRPr="000F38A1" w:rsidP="00B454F9">
      <w:pPr>
        <w:bidi w:val="0"/>
        <w:ind w:left="360" w:hanging="360"/>
        <w:rPr>
          <w:rFonts w:ascii="Times New Roman" w:hAnsi="Times New Roman"/>
          <w:b/>
          <w:sz w:val="24"/>
          <w:szCs w:val="24"/>
          <w:lang w:val="sk-SK"/>
        </w:rPr>
      </w:pPr>
    </w:p>
    <w:p w:rsidR="00B454F9" w:rsidP="00B454F9">
      <w:pPr>
        <w:pStyle w:val="ListParagraph1"/>
        <w:bidi w:val="0"/>
        <w:ind w:left="0"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Z dôvodu súčasného stavu rozpočtového procesu, možností štátneho rozpočtu a časového aspektu vzhľadom na transformáciu štátnych organizácii sa navrhuje použiť na finančnú stabilizáciu štátne finančné aktíva</w:t>
      </w:r>
      <w:r w:rsidRPr="000F38A1" w:rsidR="00E469C7">
        <w:rPr>
          <w:rFonts w:ascii="Times New Roman" w:hAnsi="Times New Roman"/>
          <w:sz w:val="24"/>
          <w:szCs w:val="24"/>
          <w:lang w:val="sk-SK"/>
        </w:rPr>
        <w:t xml:space="preserve"> v sume 350 mil. €, poskytnutých pre MZ SR v jednej tranži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. </w:t>
      </w:r>
      <w:r w:rsidRPr="000F38A1" w:rsidR="006727FA">
        <w:rPr>
          <w:rFonts w:ascii="Times New Roman" w:hAnsi="Times New Roman"/>
          <w:sz w:val="24"/>
          <w:szCs w:val="24"/>
          <w:lang w:val="sk-SK"/>
        </w:rPr>
        <w:t xml:space="preserve">O použití štátnych finančných aktív na výdavky štátneho rozpočtu rozhoduje Národná rada SR v súlade s § 13 ods. 6 zákona č. 523/2004 Z. z. o rozpočtových pravidlách verejnej správy a o zmene a doplnení niektorých zákonov. </w:t>
      </w:r>
    </w:p>
    <w:p w:rsidR="00A90A4F" w:rsidRPr="000F38A1" w:rsidP="00B454F9">
      <w:pPr>
        <w:pStyle w:val="ListParagraph1"/>
        <w:bidi w:val="0"/>
        <w:ind w:left="0"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51DEB" w:rsidRPr="000F38A1" w:rsidP="00B454F9">
      <w:pPr>
        <w:pStyle w:val="ListParagraph1"/>
        <w:bidi w:val="0"/>
        <w:ind w:left="0"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 w:rsidR="00B454F9">
        <w:rPr>
          <w:rFonts w:ascii="Times New Roman" w:hAnsi="Times New Roman"/>
          <w:sz w:val="24"/>
          <w:szCs w:val="24"/>
          <w:lang w:val="sk-SK"/>
        </w:rPr>
        <w:t>Zároveň sa pri finan</w:t>
      </w:r>
      <w:r w:rsidRPr="000F38A1">
        <w:rPr>
          <w:rFonts w:ascii="Times New Roman" w:hAnsi="Times New Roman"/>
          <w:sz w:val="24"/>
          <w:szCs w:val="24"/>
          <w:lang w:val="sk-SK"/>
        </w:rPr>
        <w:t>čnej stabilizácii uvažuje s odpu</w:t>
      </w:r>
      <w:r w:rsidRPr="000F38A1" w:rsidR="00B454F9">
        <w:rPr>
          <w:rFonts w:ascii="Times New Roman" w:hAnsi="Times New Roman"/>
          <w:sz w:val="24"/>
          <w:szCs w:val="24"/>
          <w:lang w:val="sk-SK"/>
        </w:rPr>
        <w:t xml:space="preserve">stením </w:t>
      </w:r>
      <w:r w:rsidRPr="000F38A1" w:rsidR="00833D99">
        <w:rPr>
          <w:rFonts w:ascii="Times New Roman" w:hAnsi="Times New Roman"/>
          <w:sz w:val="24"/>
          <w:szCs w:val="24"/>
          <w:lang w:val="sk-SK"/>
        </w:rPr>
        <w:t xml:space="preserve">istiny </w:t>
      </w:r>
      <w:r w:rsidRPr="000F38A1" w:rsidR="00B454F9">
        <w:rPr>
          <w:rFonts w:ascii="Times New Roman" w:hAnsi="Times New Roman"/>
          <w:sz w:val="24"/>
          <w:szCs w:val="24"/>
          <w:lang w:val="sk-SK"/>
        </w:rPr>
        <w:t>návratnej finančnej výpomoci poskytnutej na základe</w:t>
      </w:r>
      <w:r w:rsidRPr="000F38A1" w:rsidR="00833D99">
        <w:rPr>
          <w:rFonts w:ascii="Times New Roman" w:hAnsi="Times New Roman"/>
          <w:sz w:val="24"/>
          <w:szCs w:val="24"/>
          <w:lang w:val="sk-SK"/>
        </w:rPr>
        <w:t xml:space="preserve"> uznesenia vlády č. 938 z 17.12.</w:t>
      </w:r>
      <w:r w:rsidRPr="000F38A1" w:rsidR="00B454F9">
        <w:rPr>
          <w:rFonts w:ascii="Times New Roman" w:hAnsi="Times New Roman"/>
          <w:sz w:val="24"/>
          <w:szCs w:val="24"/>
          <w:lang w:val="sk-SK"/>
        </w:rPr>
        <w:t>2008. Uveden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é záväzky </w:t>
      </w:r>
      <w:r w:rsidRPr="000F38A1" w:rsidR="00833D99">
        <w:rPr>
          <w:rFonts w:ascii="Times New Roman" w:hAnsi="Times New Roman"/>
          <w:sz w:val="24"/>
          <w:szCs w:val="24"/>
          <w:lang w:val="sk-SK"/>
        </w:rPr>
        <w:t xml:space="preserve">štátnych organizácii </w:t>
      </w:r>
      <w:r w:rsidRPr="000F38A1">
        <w:rPr>
          <w:rFonts w:ascii="Times New Roman" w:hAnsi="Times New Roman"/>
          <w:sz w:val="24"/>
          <w:szCs w:val="24"/>
          <w:lang w:val="sk-SK"/>
        </w:rPr>
        <w:t>z návratnej</w:t>
      </w:r>
      <w:r w:rsidRPr="000F38A1" w:rsidR="00B454F9">
        <w:rPr>
          <w:rFonts w:ascii="Times New Roman" w:hAnsi="Times New Roman"/>
          <w:sz w:val="24"/>
          <w:szCs w:val="24"/>
          <w:lang w:val="sk-SK"/>
        </w:rPr>
        <w:t xml:space="preserve"> fi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nančnej výpomoci už v rozbore zahrnuté nie sú. </w:t>
      </w:r>
      <w:r w:rsidRPr="000F38A1" w:rsidR="006C4230">
        <w:rPr>
          <w:rFonts w:ascii="Times New Roman" w:hAnsi="Times New Roman"/>
          <w:sz w:val="24"/>
          <w:szCs w:val="24"/>
          <w:lang w:val="sk-SK"/>
        </w:rPr>
        <w:t>V súvislosti s odpustením návratnej finančnej výpomoci navrhujeme odpustenie pre všetky subjekty, ktorým bola návratná finančná výpomoc poskytnutá, t. j. 25 subjektov</w:t>
      </w:r>
      <w:r w:rsidRPr="000F38A1" w:rsidR="00A81C89">
        <w:rPr>
          <w:rFonts w:ascii="Times New Roman" w:hAnsi="Times New Roman"/>
          <w:sz w:val="24"/>
          <w:szCs w:val="24"/>
          <w:lang w:val="sk-SK"/>
        </w:rPr>
        <w:t xml:space="preserve"> v pôsobnosti </w:t>
      </w:r>
      <w:r w:rsidR="00F976AA">
        <w:rPr>
          <w:rFonts w:ascii="Times New Roman" w:hAnsi="Times New Roman"/>
          <w:sz w:val="24"/>
          <w:szCs w:val="24"/>
          <w:lang w:val="sk-SK"/>
        </w:rPr>
        <w:t>MZ</w:t>
      </w:r>
      <w:r w:rsidRPr="000F38A1" w:rsidR="00A81C89">
        <w:rPr>
          <w:rFonts w:ascii="Times New Roman" w:hAnsi="Times New Roman"/>
          <w:sz w:val="24"/>
          <w:szCs w:val="24"/>
          <w:lang w:val="sk-SK"/>
        </w:rPr>
        <w:t xml:space="preserve"> SR, v pôsobnosti Ministerstva obrany SR a v pôsobnosti vyšších územných celkov.</w:t>
      </w:r>
    </w:p>
    <w:p w:rsidR="00B454F9" w:rsidRPr="000F38A1" w:rsidP="00B454F9">
      <w:pPr>
        <w:bidi w:val="0"/>
        <w:ind w:left="360" w:hanging="360"/>
        <w:rPr>
          <w:rFonts w:ascii="Times New Roman" w:hAnsi="Times New Roman"/>
          <w:b/>
          <w:sz w:val="24"/>
          <w:szCs w:val="24"/>
          <w:lang w:val="sk-SK"/>
        </w:rPr>
      </w:pPr>
    </w:p>
    <w:p w:rsidR="00B34C17" w:rsidRPr="000F38A1" w:rsidP="00B34C17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34C17" w:rsidRPr="000F38A1" w:rsidP="00C10F76">
      <w:pPr>
        <w:bidi w:val="0"/>
        <w:ind w:left="360" w:hanging="360"/>
        <w:rPr>
          <w:rFonts w:ascii="Times New Roman" w:hAnsi="Times New Roman"/>
          <w:b/>
          <w:sz w:val="24"/>
          <w:szCs w:val="24"/>
          <w:lang w:val="sk-SK"/>
        </w:rPr>
      </w:pPr>
      <w:r w:rsidRPr="000F38A1" w:rsidR="00C10F76">
        <w:rPr>
          <w:rFonts w:ascii="Times New Roman" w:hAnsi="Times New Roman"/>
          <w:b/>
          <w:sz w:val="24"/>
          <w:szCs w:val="24"/>
          <w:lang w:val="sk-SK"/>
        </w:rPr>
        <w:t>4</w:t>
      </w:r>
      <w:r w:rsidRPr="000F38A1">
        <w:rPr>
          <w:rFonts w:ascii="Times New Roman" w:hAnsi="Times New Roman"/>
          <w:b/>
          <w:sz w:val="24"/>
          <w:szCs w:val="24"/>
          <w:lang w:val="sk-SK"/>
        </w:rPr>
        <w:t>.</w:t>
      </w:r>
      <w:r w:rsidRPr="000F38A1" w:rsidR="00551DEB">
        <w:rPr>
          <w:rFonts w:ascii="Times New Roman" w:hAnsi="Times New Roman"/>
          <w:b/>
          <w:sz w:val="24"/>
          <w:szCs w:val="24"/>
          <w:lang w:val="sk-SK"/>
        </w:rPr>
        <w:t>3</w:t>
      </w:r>
      <w:r w:rsidRPr="000F38A1" w:rsidR="00C10F76">
        <w:rPr>
          <w:rFonts w:ascii="Times New Roman" w:hAnsi="Times New Roman"/>
          <w:b/>
          <w:sz w:val="24"/>
          <w:szCs w:val="24"/>
          <w:lang w:val="sk-SK"/>
        </w:rPr>
        <w:t>.</w:t>
      </w:r>
      <w:r w:rsidRPr="000F38A1">
        <w:rPr>
          <w:rFonts w:ascii="Times New Roman" w:hAnsi="Times New Roman"/>
          <w:b/>
          <w:sz w:val="24"/>
          <w:szCs w:val="24"/>
          <w:lang w:val="sk-SK"/>
        </w:rPr>
        <w:t xml:space="preserve"> Základné princípy finančnej stabilizácie</w:t>
      </w:r>
    </w:p>
    <w:p w:rsidR="00B34C17" w:rsidRPr="000F38A1" w:rsidP="00B34C17">
      <w:pPr>
        <w:pStyle w:val="ListParagraph1"/>
        <w:bidi w:val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34C17" w:rsidRPr="000F38A1" w:rsidP="00B34C17">
      <w:pPr>
        <w:pStyle w:val="ListParagraph1"/>
        <w:bidi w:val="0"/>
        <w:ind w:left="0"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Základné princípy finančnej stabilizácie sú vypracované v súlade so štatútom a rokovacím poriadkom Komisie</w:t>
      </w:r>
      <w:r w:rsidRPr="000F38A1" w:rsidR="00C10F76">
        <w:rPr>
          <w:rFonts w:ascii="Times New Roman" w:hAnsi="Times New Roman"/>
          <w:sz w:val="24"/>
          <w:szCs w:val="24"/>
          <w:lang w:val="sk-SK"/>
        </w:rPr>
        <w:t>.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B34C17" w:rsidRPr="000F38A1" w:rsidP="00B34C17">
      <w:pPr>
        <w:pStyle w:val="ListParagraph1"/>
        <w:bidi w:val="0"/>
        <w:ind w:left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B34C17" w:rsidRPr="000F38A1" w:rsidP="00C10F76">
      <w:pPr>
        <w:pStyle w:val="ListParagraph1"/>
        <w:bidi w:val="0"/>
        <w:ind w:left="0" w:firstLine="0"/>
        <w:rPr>
          <w:rFonts w:ascii="Times New Roman" w:hAnsi="Times New Roman"/>
          <w:sz w:val="24"/>
          <w:szCs w:val="24"/>
          <w:lang w:val="sk-SK"/>
        </w:rPr>
      </w:pPr>
      <w:r w:rsidRPr="000F38A1" w:rsidR="00C10F76">
        <w:rPr>
          <w:rFonts w:ascii="Times New Roman" w:hAnsi="Times New Roman"/>
          <w:sz w:val="24"/>
          <w:szCs w:val="24"/>
          <w:lang w:val="sk-SK"/>
        </w:rPr>
        <w:t xml:space="preserve">A ) </w:t>
      </w:r>
      <w:r w:rsidRPr="000F38A1">
        <w:rPr>
          <w:rFonts w:ascii="Times New Roman" w:hAnsi="Times New Roman"/>
          <w:sz w:val="24"/>
          <w:szCs w:val="24"/>
          <w:lang w:val="sk-SK"/>
        </w:rPr>
        <w:t>Finančná stabilizácia voči najväčším veriteľom</w:t>
      </w:r>
    </w:p>
    <w:p w:rsidR="00B34C17" w:rsidRPr="000F38A1" w:rsidP="00B34C17">
      <w:pPr>
        <w:pStyle w:val="ListParagraph1"/>
        <w:bidi w:val="0"/>
        <w:ind w:left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B34C17" w:rsidRPr="000F38A1" w:rsidP="00B34C17">
      <w:pPr>
        <w:pStyle w:val="ListParagraph1"/>
        <w:numPr>
          <w:numId w:val="14"/>
        </w:numPr>
        <w:bidi w:val="0"/>
        <w:spacing w:after="20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Rokovať s cieľom  dohodnúť podmienky finančnej stabilizácie s najväčšími veriteľmi št</w:t>
      </w:r>
      <w:r w:rsidRPr="000F38A1" w:rsidR="005A2CAE">
        <w:rPr>
          <w:rFonts w:ascii="Times New Roman" w:hAnsi="Times New Roman"/>
          <w:sz w:val="24"/>
          <w:szCs w:val="24"/>
          <w:lang w:val="sk-SK"/>
        </w:rPr>
        <w:t>átnych organizácií bude komisia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 na základe zoznamu najväčších 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>veriteľov;</w:t>
      </w:r>
    </w:p>
    <w:p w:rsidR="00B34C17" w:rsidRPr="000F38A1" w:rsidP="00B34C17">
      <w:pPr>
        <w:pStyle w:val="ListParagraph1"/>
        <w:numPr>
          <w:numId w:val="14"/>
        </w:numPr>
        <w:bidi w:val="0"/>
        <w:spacing w:after="20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Cieľom rokovaní bude dohodnúť vzdanie sa úhrady príslušenstva, sankcií, penále a ďalších poplatkov, ktoré nie sú súčasťou istiny pohľadávok veriteľa voči štátnym organizáciám,</w:t>
      </w:r>
      <w:r w:rsidRPr="000F38A1" w:rsidR="00C10F76">
        <w:rPr>
          <w:rFonts w:ascii="Times New Roman" w:hAnsi="Times New Roman"/>
          <w:sz w:val="24"/>
          <w:szCs w:val="24"/>
          <w:lang w:val="sk-SK"/>
        </w:rPr>
        <w:t xml:space="preserve"> resp. dohodnúť skonto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 xml:space="preserve"> jednotlivých pohľadávok;</w:t>
      </w:r>
    </w:p>
    <w:p w:rsidR="00733201" w:rsidRPr="000F38A1" w:rsidP="0092556D">
      <w:pPr>
        <w:pStyle w:val="ListParagraph1"/>
        <w:numPr>
          <w:numId w:val="14"/>
        </w:numPr>
        <w:bidi w:val="0"/>
        <w:spacing w:after="20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 w:rsidRPr="000F38A1" w:rsidR="00B34C17">
        <w:rPr>
          <w:rFonts w:ascii="Times New Roman" w:hAnsi="Times New Roman"/>
          <w:sz w:val="24"/>
          <w:szCs w:val="24"/>
          <w:lang w:val="sk-SK"/>
        </w:rPr>
        <w:t>Komisia uzavrie s príslušnými najväčšími veriteľmi štátnych organizácii záväzné písomné memorandum, ktoré sumarizuje výsledky rokovaní</w:t>
      </w:r>
      <w:r w:rsidR="00F976AA">
        <w:rPr>
          <w:rFonts w:ascii="Times New Roman" w:hAnsi="Times New Roman"/>
          <w:sz w:val="24"/>
          <w:szCs w:val="24"/>
          <w:lang w:val="sk-SK"/>
        </w:rPr>
        <w:t>,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 a ktorého hlavnými bodmi budú záväzok MZ SR, že štátne organizácie obdržia</w:t>
      </w:r>
      <w:r w:rsidRPr="000F38A1" w:rsidR="0092556D">
        <w:rPr>
          <w:rFonts w:ascii="Times New Roman" w:hAnsi="Times New Roman"/>
          <w:sz w:val="24"/>
          <w:szCs w:val="24"/>
          <w:lang w:val="sk-SK"/>
        </w:rPr>
        <w:t xml:space="preserve"> primerané finančné prostriedky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 a že tieto prostriedky budú pripísané na špeciálny účet vedený v Štátnej pokladnici, záväzok MZ SR, že zabezpečí, aby riaditeľ štátnej organizácie po obdržaní memoranda bezodkladne uzavrel s veriteľom dohodu, záväzok veriteľa, že bezodkladne uzavrie s riaditeľom štátnej organizácie dohodu,</w:t>
      </w:r>
      <w:r w:rsidRPr="000F38A1" w:rsidR="0092556D">
        <w:rPr>
          <w:rFonts w:ascii="Times New Roman" w:hAnsi="Times New Roman"/>
          <w:sz w:val="24"/>
          <w:szCs w:val="24"/>
          <w:lang w:val="sk-SK"/>
        </w:rPr>
        <w:t xml:space="preserve"> z</w:t>
      </w:r>
      <w:r w:rsidRPr="000F38A1">
        <w:rPr>
          <w:rFonts w:ascii="Times New Roman" w:hAnsi="Times New Roman"/>
          <w:sz w:val="24"/>
          <w:szCs w:val="24"/>
          <w:lang w:val="sk-SK"/>
        </w:rPr>
        <w:t>áväzok veriteľa vzdať sa penále, sankcií, prípadných súdnych trov konania a</w:t>
      </w:r>
      <w:r w:rsidRPr="000F38A1" w:rsidR="0092556D">
        <w:rPr>
          <w:rFonts w:ascii="Times New Roman" w:hAnsi="Times New Roman"/>
          <w:sz w:val="24"/>
          <w:szCs w:val="24"/>
          <w:lang w:val="sk-SK"/>
        </w:rPr>
        <w:t> </w:t>
      </w:r>
      <w:r w:rsidRPr="000F38A1">
        <w:rPr>
          <w:rFonts w:ascii="Times New Roman" w:hAnsi="Times New Roman"/>
          <w:sz w:val="24"/>
          <w:szCs w:val="24"/>
          <w:lang w:val="sk-SK"/>
        </w:rPr>
        <w:t>príslušenstva</w:t>
      </w:r>
      <w:r w:rsidRPr="000F38A1" w:rsidR="0092556D">
        <w:rPr>
          <w:rFonts w:ascii="Times New Roman" w:hAnsi="Times New Roman"/>
          <w:sz w:val="24"/>
          <w:szCs w:val="24"/>
          <w:lang w:val="sk-SK"/>
        </w:rPr>
        <w:t xml:space="preserve"> resp. výšku 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skonta v % 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>;</w:t>
      </w:r>
    </w:p>
    <w:p w:rsidR="00B34C17" w:rsidRPr="000F38A1" w:rsidP="00733201">
      <w:pPr>
        <w:pStyle w:val="ListParagraph1"/>
        <w:numPr>
          <w:numId w:val="14"/>
        </w:numPr>
        <w:bidi w:val="0"/>
        <w:spacing w:after="20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Komisia príslušné memorandá zašle štatutárnym zástupcom štátnych organizácií; na základe memoranda príslušný štatutárny zástupca štátnej organizácie uzatvorí s príslušným veriteľom dohodu; dohoda musí ako identifikátor obs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>ahovať poradové číslo memoranda;</w:t>
      </w:r>
    </w:p>
    <w:p w:rsidR="00B34C17" w:rsidRPr="000F38A1" w:rsidP="00B34C17">
      <w:pPr>
        <w:pStyle w:val="ListParagraph1"/>
        <w:numPr>
          <w:numId w:val="14"/>
        </w:numPr>
        <w:bidi w:val="0"/>
        <w:spacing w:after="20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Štatutárny zástupca štátnej organizácie podpísanú dohodu s podpornou dokumentáciou zašle späť komisii, tá odkontroluje, či podpísaná dohoda zodpovedá podmienkam dohodnutým v memorande; o zhode podmienok medzi memorandom a dohodou komisia vydá písomné osvedčenie o zhode, čím schváli veriteľovi úhradu pohľadávky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>;</w:t>
      </w:r>
    </w:p>
    <w:p w:rsidR="00B34C17" w:rsidRPr="000F38A1" w:rsidP="00B34C17">
      <w:pPr>
        <w:pStyle w:val="ListParagraph1"/>
        <w:numPr>
          <w:numId w:val="14"/>
        </w:numPr>
        <w:bidi w:val="0"/>
        <w:spacing w:after="20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Samotné schválenie úhrady v informačnom systéme Štátnej pokladnice pozíciou „schvaľovateľ“ zabezpečí predseda komisie alebo ním poverená osoba; súčasťou úhrady musí byť identifikácia úhrady p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>odľa poradového čísla memoranda;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B34C17" w:rsidRPr="000F38A1" w:rsidP="00B34C17">
      <w:pPr>
        <w:pStyle w:val="ListParagraph1"/>
        <w:numPr>
          <w:numId w:val="14"/>
        </w:numPr>
        <w:bidi w:val="0"/>
        <w:spacing w:after="20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Záväzné lehoty v zmysle jednotlivých bodov, druh a skladba podpornej dokumentácie v zmysle bodu 5, spôsob úhrady cez štátnu pokladnicu a zoznam najväčších veriteľov určí komisia osobitne a budú oznámené štatutárnym zástupcom štátnych organizácii.</w:t>
      </w:r>
    </w:p>
    <w:p w:rsidR="00B34C17" w:rsidRPr="000F38A1" w:rsidP="00B34C17">
      <w:pPr>
        <w:pStyle w:val="ListParagraph1"/>
        <w:bidi w:val="0"/>
        <w:ind w:left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B34C17" w:rsidRPr="000F38A1" w:rsidP="00C10F76">
      <w:pPr>
        <w:pStyle w:val="ListParagraph1"/>
        <w:bidi w:val="0"/>
        <w:ind w:left="0" w:firstLine="0"/>
        <w:rPr>
          <w:rFonts w:ascii="Times New Roman" w:hAnsi="Times New Roman"/>
          <w:sz w:val="24"/>
          <w:szCs w:val="24"/>
          <w:lang w:val="sk-SK"/>
        </w:rPr>
      </w:pPr>
      <w:r w:rsidRPr="000F38A1" w:rsidR="00C10F76">
        <w:rPr>
          <w:rFonts w:ascii="Times New Roman" w:hAnsi="Times New Roman"/>
          <w:sz w:val="24"/>
          <w:szCs w:val="24"/>
          <w:lang w:val="sk-SK"/>
        </w:rPr>
        <w:t xml:space="preserve">B) </w:t>
      </w:r>
      <w:r w:rsidRPr="000F38A1">
        <w:rPr>
          <w:rFonts w:ascii="Times New Roman" w:hAnsi="Times New Roman"/>
          <w:sz w:val="24"/>
          <w:szCs w:val="24"/>
          <w:lang w:val="sk-SK"/>
        </w:rPr>
        <w:t>Finančná stabilizácia voči malým veriteľom</w:t>
      </w:r>
    </w:p>
    <w:p w:rsidR="00B34C17" w:rsidRPr="000F38A1" w:rsidP="00B34C17">
      <w:pPr>
        <w:pStyle w:val="ListParagraph1"/>
        <w:bidi w:val="0"/>
        <w:ind w:left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B34C17" w:rsidRPr="000F38A1" w:rsidP="00B34C17">
      <w:pPr>
        <w:pStyle w:val="ListParagraph1"/>
        <w:numPr>
          <w:numId w:val="15"/>
        </w:numPr>
        <w:tabs>
          <w:tab w:val="num" w:pos="360"/>
          <w:tab w:val="clear" w:pos="720"/>
        </w:tabs>
        <w:bidi w:val="0"/>
        <w:spacing w:after="20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Rokovať s cieľom  dohodnúť podmienky finančnej stabilizácie s malými  veriteľmi štát</w:t>
      </w:r>
      <w:r w:rsidRPr="000F38A1" w:rsidR="00614332">
        <w:rPr>
          <w:rFonts w:ascii="Times New Roman" w:hAnsi="Times New Roman"/>
          <w:sz w:val="24"/>
          <w:szCs w:val="24"/>
          <w:lang w:val="sk-SK"/>
        </w:rPr>
        <w:t xml:space="preserve">nych organizácií budú štatutárni 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 zástupcovia štátnych organizácii. Malí veritelia sú veritelia nenachádzajúci sa na schválenom zozname</w:t>
      </w:r>
      <w:r w:rsidRPr="000F38A1" w:rsidR="00C10F76">
        <w:rPr>
          <w:rFonts w:ascii="Times New Roman" w:hAnsi="Times New Roman"/>
          <w:sz w:val="24"/>
          <w:szCs w:val="24"/>
          <w:lang w:val="sk-SK"/>
        </w:rPr>
        <w:t xml:space="preserve"> najväčších veriteľov schválenom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 xml:space="preserve"> komisiou;</w:t>
      </w:r>
    </w:p>
    <w:p w:rsidR="00B34C17" w:rsidRPr="000F38A1" w:rsidP="00B34C17">
      <w:pPr>
        <w:pStyle w:val="ListParagraph1"/>
        <w:numPr>
          <w:numId w:val="15"/>
        </w:numPr>
        <w:tabs>
          <w:tab w:val="num" w:pos="360"/>
          <w:tab w:val="clear" w:pos="720"/>
        </w:tabs>
        <w:bidi w:val="0"/>
        <w:spacing w:after="20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Cieľom rokovaní bude dohodnúť vzdanie sa úhrady príslušenstva, sankcií, penále a ďalších poplatkov, ktoré nie sú súčasťou istiny pohľadávok veriteľa voči štátnym organizáciám,</w:t>
      </w:r>
      <w:r w:rsidRPr="000F38A1" w:rsidR="00C10F76">
        <w:rPr>
          <w:rFonts w:ascii="Times New Roman" w:hAnsi="Times New Roman"/>
          <w:sz w:val="24"/>
          <w:szCs w:val="24"/>
          <w:lang w:val="sk-SK"/>
        </w:rPr>
        <w:t xml:space="preserve"> resp. dohodnúť skonto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 xml:space="preserve"> jednotlivých pohľadávok;</w:t>
      </w:r>
    </w:p>
    <w:p w:rsidR="00B34C17" w:rsidRPr="000F38A1" w:rsidP="00B34C17">
      <w:pPr>
        <w:pStyle w:val="ListParagraph1"/>
        <w:numPr>
          <w:numId w:val="15"/>
        </w:numPr>
        <w:tabs>
          <w:tab w:val="num" w:pos="360"/>
          <w:tab w:val="clear" w:pos="720"/>
        </w:tabs>
        <w:bidi w:val="0"/>
        <w:spacing w:after="20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 xml:space="preserve">Štatutárny zástupca štátnej organizácie uzatvorí s príslušným malým veriteľom dohodu; dohoda musí ako identifikátor obsahovať poradové číslo a značku MV ( malý veriteľ ). Dohoda musí </w:t>
      </w:r>
      <w:r w:rsidRPr="000F38A1" w:rsidR="00C10F76">
        <w:rPr>
          <w:rFonts w:ascii="Times New Roman" w:hAnsi="Times New Roman"/>
          <w:sz w:val="24"/>
          <w:szCs w:val="24"/>
          <w:lang w:val="sk-SK"/>
        </w:rPr>
        <w:t>byť uzavretá v súlade s týmito z</w:t>
      </w:r>
      <w:r w:rsidRPr="000F38A1">
        <w:rPr>
          <w:rFonts w:ascii="Times New Roman" w:hAnsi="Times New Roman"/>
          <w:sz w:val="24"/>
          <w:szCs w:val="24"/>
          <w:lang w:val="sk-SK"/>
        </w:rPr>
        <w:t>ákladnými princípmi finančnej stabilizácie</w:t>
      </w:r>
      <w:r w:rsidRPr="000F38A1" w:rsidR="00C10F76">
        <w:rPr>
          <w:rFonts w:ascii="Times New Roman" w:hAnsi="Times New Roman"/>
          <w:sz w:val="24"/>
          <w:szCs w:val="24"/>
          <w:lang w:val="sk-SK"/>
        </w:rPr>
        <w:t>, osobitne bodom 2</w:t>
      </w:r>
      <w:r w:rsidRPr="000F38A1">
        <w:rPr>
          <w:rFonts w:ascii="Times New Roman" w:hAnsi="Times New Roman"/>
          <w:sz w:val="24"/>
          <w:szCs w:val="24"/>
          <w:lang w:val="sk-SK"/>
        </w:rPr>
        <w:t>.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>;</w:t>
      </w:r>
    </w:p>
    <w:p w:rsidR="00B34C17" w:rsidRPr="000F38A1" w:rsidP="00B34C17">
      <w:pPr>
        <w:pStyle w:val="ListParagraph1"/>
        <w:numPr>
          <w:numId w:val="15"/>
        </w:numPr>
        <w:tabs>
          <w:tab w:val="num" w:pos="360"/>
          <w:tab w:val="clear" w:pos="720"/>
        </w:tabs>
        <w:bidi w:val="0"/>
        <w:spacing w:after="20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 xml:space="preserve">Štatutárny zástupca štátnej organizácie podpísanú dohodu s podpornou dokumentáciou zašle </w:t>
      </w:r>
      <w:r w:rsidR="00F976AA">
        <w:rPr>
          <w:rFonts w:ascii="Times New Roman" w:hAnsi="Times New Roman"/>
          <w:sz w:val="24"/>
          <w:szCs w:val="24"/>
          <w:lang w:val="sk-SK"/>
        </w:rPr>
        <w:t>K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omisii, tá odkontroluje, či podpísaná dohoda zodpovedá </w:t>
      </w:r>
      <w:r w:rsidRPr="000F38A1" w:rsidR="00C10F76">
        <w:rPr>
          <w:rFonts w:ascii="Times New Roman" w:hAnsi="Times New Roman"/>
          <w:sz w:val="24"/>
          <w:szCs w:val="24"/>
          <w:lang w:val="sk-SK"/>
        </w:rPr>
        <w:t>základným princípom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 finančnej stabilizácie; o zhode podmienok medzi Základnými princípmi finančnej stabilizácie a dohodou </w:t>
      </w:r>
      <w:r w:rsidR="00F976AA">
        <w:rPr>
          <w:rFonts w:ascii="Times New Roman" w:hAnsi="Times New Roman"/>
          <w:sz w:val="24"/>
          <w:szCs w:val="24"/>
          <w:lang w:val="sk-SK"/>
        </w:rPr>
        <w:t>K</w:t>
      </w:r>
      <w:r w:rsidRPr="000F38A1">
        <w:rPr>
          <w:rFonts w:ascii="Times New Roman" w:hAnsi="Times New Roman"/>
          <w:sz w:val="24"/>
          <w:szCs w:val="24"/>
          <w:lang w:val="sk-SK"/>
        </w:rPr>
        <w:t>omisia vydá písomné osvedčenie o zhode, čím schváli veriteľovi úhradu pohľadávky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>;</w:t>
      </w:r>
    </w:p>
    <w:p w:rsidR="00B34C17" w:rsidRPr="000F38A1" w:rsidP="00B34C17">
      <w:pPr>
        <w:pStyle w:val="ListParagraph1"/>
        <w:numPr>
          <w:numId w:val="15"/>
        </w:numPr>
        <w:tabs>
          <w:tab w:val="num" w:pos="360"/>
          <w:tab w:val="clear" w:pos="720"/>
        </w:tabs>
        <w:bidi w:val="0"/>
        <w:spacing w:after="20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 xml:space="preserve">Samotné schválenie úhrady v informačnom systéme Štátnej pokladnice pozíciou „schvaľovateľ“ zabezpečí predseda </w:t>
      </w:r>
      <w:r w:rsidR="00F976AA">
        <w:rPr>
          <w:rFonts w:ascii="Times New Roman" w:hAnsi="Times New Roman"/>
          <w:sz w:val="24"/>
          <w:szCs w:val="24"/>
          <w:lang w:val="sk-SK"/>
        </w:rPr>
        <w:t>K</w:t>
      </w:r>
      <w:r w:rsidRPr="000F38A1">
        <w:rPr>
          <w:rFonts w:ascii="Times New Roman" w:hAnsi="Times New Roman"/>
          <w:sz w:val="24"/>
          <w:szCs w:val="24"/>
          <w:lang w:val="sk-SK"/>
        </w:rPr>
        <w:t>omisie alebo ním poverená osoba; súčasťou úhrady musí byť identifikácia úhrady pod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>ľa poradového čísla a značky MV;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B34C17" w:rsidRPr="000F38A1" w:rsidP="00B34C17">
      <w:pPr>
        <w:pStyle w:val="ListParagraph1"/>
        <w:numPr>
          <w:numId w:val="15"/>
        </w:numPr>
        <w:tabs>
          <w:tab w:val="num" w:pos="360"/>
          <w:tab w:val="clear" w:pos="720"/>
        </w:tabs>
        <w:bidi w:val="0"/>
        <w:spacing w:after="20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 xml:space="preserve">Záväzné lehoty v zmysle jednotlivých bodov, podpornú dokumentáciu v zmysle bodu 4, spôsob úhrady cez štátnu pokladnicu určí </w:t>
      </w:r>
      <w:r w:rsidR="00F976AA">
        <w:rPr>
          <w:rFonts w:ascii="Times New Roman" w:hAnsi="Times New Roman"/>
          <w:sz w:val="24"/>
          <w:szCs w:val="24"/>
          <w:lang w:val="sk-SK"/>
        </w:rPr>
        <w:t>K</w:t>
      </w:r>
      <w:r w:rsidRPr="000F38A1">
        <w:rPr>
          <w:rFonts w:ascii="Times New Roman" w:hAnsi="Times New Roman"/>
          <w:sz w:val="24"/>
          <w:szCs w:val="24"/>
          <w:lang w:val="sk-SK"/>
        </w:rPr>
        <w:t>omisia osobitne a budú oznámené štatutárnym zástupcom štátnych organizácii.</w:t>
      </w:r>
    </w:p>
    <w:p w:rsidR="00B34C17" w:rsidRPr="000F38A1" w:rsidP="00733201">
      <w:pPr>
        <w:pStyle w:val="ListParagraph1"/>
        <w:bidi w:val="0"/>
        <w:ind w:left="0" w:firstLine="0"/>
        <w:rPr>
          <w:rFonts w:ascii="Times New Roman" w:hAnsi="Times New Roman"/>
          <w:sz w:val="24"/>
          <w:szCs w:val="24"/>
          <w:lang w:val="sk-SK"/>
        </w:rPr>
      </w:pPr>
    </w:p>
    <w:p w:rsidR="00B34C17" w:rsidRPr="000F38A1" w:rsidP="00733201">
      <w:pPr>
        <w:pStyle w:val="ListParagraph1"/>
        <w:bidi w:val="0"/>
        <w:ind w:left="0" w:firstLine="0"/>
        <w:rPr>
          <w:rFonts w:ascii="Times New Roman" w:hAnsi="Times New Roman"/>
          <w:sz w:val="24"/>
          <w:szCs w:val="24"/>
          <w:lang w:val="sk-SK"/>
        </w:rPr>
      </w:pPr>
      <w:r w:rsidRPr="000F38A1" w:rsidR="00733201">
        <w:rPr>
          <w:rFonts w:ascii="Times New Roman" w:hAnsi="Times New Roman"/>
          <w:sz w:val="24"/>
          <w:szCs w:val="24"/>
          <w:lang w:val="sk-SK"/>
        </w:rPr>
        <w:t xml:space="preserve">C) </w:t>
      </w:r>
      <w:r w:rsidRPr="000F38A1">
        <w:rPr>
          <w:rFonts w:ascii="Times New Roman" w:hAnsi="Times New Roman"/>
          <w:sz w:val="24"/>
          <w:szCs w:val="24"/>
          <w:lang w:val="sk-SK"/>
        </w:rPr>
        <w:t>Osobitosti finančnej stabilizácie</w:t>
      </w:r>
    </w:p>
    <w:p w:rsidR="00B34C17" w:rsidRPr="000F38A1" w:rsidP="00B34C17">
      <w:pPr>
        <w:pStyle w:val="ListParagraph1"/>
        <w:bidi w:val="0"/>
        <w:ind w:left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B34C17" w:rsidRPr="000F38A1" w:rsidP="00B34C17">
      <w:pPr>
        <w:pStyle w:val="ListParagraph1"/>
        <w:numPr>
          <w:numId w:val="16"/>
        </w:numPr>
        <w:tabs>
          <w:tab w:val="num" w:pos="360"/>
          <w:tab w:val="clear" w:pos="720"/>
        </w:tabs>
        <w:bidi w:val="0"/>
        <w:spacing w:after="20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 xml:space="preserve">Záväzky voči Sociálnej poisťovni, zdravotným poisťovniam, ostatným štátnym organizáciám ( daňový úrad, colné úrady, štátne rozpočtové a príspevkové organizácie ) a obciam a vyšším územným celkom bude  možné uhradiť bez osobitnej dohody. Presný postup, lehoty a vykazovanie  určí </w:t>
      </w:r>
      <w:r w:rsidR="00F976AA">
        <w:rPr>
          <w:rFonts w:ascii="Times New Roman" w:hAnsi="Times New Roman"/>
          <w:sz w:val="24"/>
          <w:szCs w:val="24"/>
          <w:lang w:val="sk-SK"/>
        </w:rPr>
        <w:t>K</w:t>
      </w:r>
      <w:r w:rsidRPr="000F38A1">
        <w:rPr>
          <w:rFonts w:ascii="Times New Roman" w:hAnsi="Times New Roman"/>
          <w:sz w:val="24"/>
          <w:szCs w:val="24"/>
          <w:lang w:val="sk-SK"/>
        </w:rPr>
        <w:t>omisia osobitne a budú oznámené štatutárnym zástupcom štátnych organizácii</w:t>
      </w:r>
      <w:r w:rsidRPr="000F38A1" w:rsidR="00FF728E">
        <w:rPr>
          <w:rFonts w:ascii="Times New Roman" w:hAnsi="Times New Roman"/>
          <w:sz w:val="24"/>
          <w:szCs w:val="24"/>
          <w:lang w:val="sk-SK"/>
        </w:rPr>
        <w:t>, pričom postup finančnej stabilizácie voči subjektom verejnej správy bude v súlade s platnou legislatívou;</w:t>
      </w:r>
    </w:p>
    <w:p w:rsidR="00B34C17" w:rsidRPr="000F38A1" w:rsidP="00B34C17">
      <w:pPr>
        <w:pStyle w:val="ListParagraph1"/>
        <w:numPr>
          <w:numId w:val="16"/>
        </w:numPr>
        <w:tabs>
          <w:tab w:val="num" w:pos="360"/>
          <w:tab w:val="clear" w:pos="720"/>
        </w:tabs>
        <w:bidi w:val="0"/>
        <w:spacing w:after="20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 xml:space="preserve">Predmetom finančnej stabilizácie podľa týchto zásad budú len záväzky jednotlivých štátnych organizácii prevyšujúce </w:t>
      </w:r>
      <w:r w:rsidRPr="000F38A1" w:rsidR="00733201">
        <w:rPr>
          <w:rFonts w:ascii="Times New Roman" w:hAnsi="Times New Roman"/>
          <w:sz w:val="24"/>
          <w:szCs w:val="24"/>
          <w:lang w:val="sk-SK"/>
        </w:rPr>
        <w:t>komisiou určenú sumu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 voči jednému veriteľovi. Štatutárny zástupca štátnej organizácie môže vzhľadom na charakter a veľkosť organizácie požiadať komisiu o zníženie tejto hranice. Finančná stabilizácia záväzkov nižších ako uvedená hranica bude riešená z vlastný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>ch príjmov štátnych organizácii;</w:t>
      </w:r>
      <w:r w:rsidRPr="000F38A1" w:rsidR="00614332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B34C17" w:rsidRPr="000F38A1" w:rsidP="00B34C17">
      <w:pPr>
        <w:pStyle w:val="ListParagraph1"/>
        <w:numPr>
          <w:numId w:val="16"/>
        </w:numPr>
        <w:tabs>
          <w:tab w:val="num" w:pos="360"/>
          <w:tab w:val="clear" w:pos="720"/>
        </w:tabs>
        <w:bidi w:val="0"/>
        <w:spacing w:after="20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Predmetom finančnej stabilizácie podľa týchto zásad nebudú záväzky, ktoré si následne štátna organizác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>ia môže refundovať (</w:t>
      </w:r>
      <w:r w:rsidRPr="000F38A1">
        <w:rPr>
          <w:rFonts w:ascii="Times New Roman" w:hAnsi="Times New Roman"/>
          <w:sz w:val="24"/>
          <w:szCs w:val="24"/>
          <w:lang w:val="sk-SK"/>
        </w:rPr>
        <w:t>nap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>ríklad zo štrukturálnych fondov</w:t>
      </w:r>
      <w:r w:rsidRPr="000F38A1">
        <w:rPr>
          <w:rFonts w:ascii="Times New Roman" w:hAnsi="Times New Roman"/>
          <w:sz w:val="24"/>
          <w:szCs w:val="24"/>
          <w:lang w:val="sk-SK"/>
        </w:rPr>
        <w:t>)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>;</w:t>
      </w:r>
    </w:p>
    <w:p w:rsidR="00B34C17" w:rsidRPr="000F38A1" w:rsidP="00B34C17">
      <w:pPr>
        <w:pStyle w:val="ListParagraph1"/>
        <w:numPr>
          <w:numId w:val="16"/>
        </w:numPr>
        <w:tabs>
          <w:tab w:val="num" w:pos="360"/>
          <w:tab w:val="clear" w:pos="720"/>
        </w:tabs>
        <w:bidi w:val="0"/>
        <w:spacing w:after="20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 xml:space="preserve">Štatutárny zástupca príslušnej štátnej organizácie zodpovedá za </w:t>
      </w:r>
      <w:r w:rsidRPr="000F38A1" w:rsidR="00733201">
        <w:rPr>
          <w:rFonts w:ascii="Times New Roman" w:hAnsi="Times New Roman"/>
          <w:sz w:val="24"/>
          <w:szCs w:val="24"/>
          <w:lang w:val="sk-SK"/>
        </w:rPr>
        <w:t xml:space="preserve">to, </w:t>
      </w:r>
      <w:r w:rsidRPr="000F38A1">
        <w:rPr>
          <w:rFonts w:ascii="Times New Roman" w:hAnsi="Times New Roman"/>
          <w:sz w:val="24"/>
          <w:szCs w:val="24"/>
          <w:lang w:val="sk-SK"/>
        </w:rPr>
        <w:t>že pohľadávka uplatňovaná veriteľom, ktorá bude predmetom finančnej stabilizácie je oprávnená, preukazná, vecne správna a vedená v 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>účtovníctve štátnej organizácie;</w:t>
      </w:r>
    </w:p>
    <w:p w:rsidR="00B34C17" w:rsidRPr="000F38A1" w:rsidP="00B34C17">
      <w:pPr>
        <w:pStyle w:val="ListParagraph1"/>
        <w:numPr>
          <w:numId w:val="16"/>
        </w:numPr>
        <w:tabs>
          <w:tab w:val="num" w:pos="360"/>
          <w:tab w:val="clear" w:pos="720"/>
        </w:tabs>
        <w:bidi w:val="0"/>
        <w:spacing w:after="20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 xml:space="preserve">Komisia môže na požiadanie štatutárneho zástupcu štátnej organizácie rozhodnúť v jednotlivých </w:t>
      </w:r>
      <w:r w:rsidRPr="000F38A1" w:rsidR="00733201">
        <w:rPr>
          <w:rFonts w:ascii="Times New Roman" w:hAnsi="Times New Roman"/>
          <w:sz w:val="24"/>
          <w:szCs w:val="24"/>
          <w:lang w:val="sk-SK"/>
        </w:rPr>
        <w:t xml:space="preserve">odôvodnených </w:t>
      </w:r>
      <w:r w:rsidRPr="000F38A1">
        <w:rPr>
          <w:rFonts w:ascii="Times New Roman" w:hAnsi="Times New Roman"/>
          <w:sz w:val="24"/>
          <w:szCs w:val="24"/>
          <w:lang w:val="sk-SK"/>
        </w:rPr>
        <w:t>prípadoch o odlišnostiach pri finančnej stabilizácii od týchto prijatých zásad.</w:t>
      </w:r>
    </w:p>
    <w:p w:rsidR="00B34C17" w:rsidRPr="000F38A1" w:rsidP="00B34C17">
      <w:pPr>
        <w:pStyle w:val="ListParagraph1"/>
        <w:bidi w:val="0"/>
        <w:ind w:left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C94D01" w:rsidRPr="000F38A1" w:rsidP="00C94D01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94D01" w:rsidRPr="000F38A1" w:rsidP="00C94D01">
      <w:pPr>
        <w:bidi w:val="0"/>
        <w:ind w:left="360" w:hanging="360"/>
        <w:rPr>
          <w:rFonts w:ascii="Times New Roman" w:hAnsi="Times New Roman"/>
          <w:b/>
          <w:sz w:val="24"/>
          <w:szCs w:val="24"/>
          <w:lang w:val="sk-SK"/>
        </w:rPr>
      </w:pPr>
      <w:r w:rsidRPr="000F38A1">
        <w:rPr>
          <w:rFonts w:ascii="Times New Roman" w:hAnsi="Times New Roman"/>
          <w:b/>
          <w:sz w:val="24"/>
          <w:szCs w:val="24"/>
          <w:lang w:val="sk-SK"/>
        </w:rPr>
        <w:t>4.</w:t>
      </w:r>
      <w:r w:rsidRPr="000F38A1" w:rsidR="00551DEB">
        <w:rPr>
          <w:rFonts w:ascii="Times New Roman" w:hAnsi="Times New Roman"/>
          <w:b/>
          <w:sz w:val="24"/>
          <w:szCs w:val="24"/>
          <w:lang w:val="sk-SK"/>
        </w:rPr>
        <w:t>4</w:t>
      </w:r>
      <w:r w:rsidRPr="000F38A1">
        <w:rPr>
          <w:rFonts w:ascii="Times New Roman" w:hAnsi="Times New Roman"/>
          <w:b/>
          <w:sz w:val="24"/>
          <w:szCs w:val="24"/>
          <w:lang w:val="sk-SK"/>
        </w:rPr>
        <w:t xml:space="preserve">. Postup </w:t>
      </w:r>
      <w:r w:rsidRPr="000F38A1" w:rsidR="002D4BAA">
        <w:rPr>
          <w:rFonts w:ascii="Times New Roman" w:hAnsi="Times New Roman"/>
          <w:b/>
          <w:sz w:val="24"/>
          <w:szCs w:val="24"/>
          <w:lang w:val="sk-SK"/>
        </w:rPr>
        <w:t xml:space="preserve">pri </w:t>
      </w:r>
      <w:r w:rsidRPr="000F38A1">
        <w:rPr>
          <w:rFonts w:ascii="Times New Roman" w:hAnsi="Times New Roman"/>
          <w:b/>
          <w:sz w:val="24"/>
          <w:szCs w:val="24"/>
          <w:lang w:val="sk-SK"/>
        </w:rPr>
        <w:t>finančnej stabilizáci</w:t>
      </w:r>
      <w:r w:rsidRPr="000F38A1" w:rsidR="002D4BAA">
        <w:rPr>
          <w:rFonts w:ascii="Times New Roman" w:hAnsi="Times New Roman"/>
          <w:b/>
          <w:sz w:val="24"/>
          <w:szCs w:val="24"/>
          <w:lang w:val="sk-SK"/>
        </w:rPr>
        <w:t>i</w:t>
      </w:r>
      <w:r w:rsidRPr="000F38A1" w:rsidR="007F6B0A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</w:p>
    <w:p w:rsidR="006A765B" w:rsidRPr="000F38A1" w:rsidP="006A765B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30BA4" w:rsidRPr="00AC21E6" w:rsidP="00C30BA4">
      <w:pPr>
        <w:bidi w:val="0"/>
        <w:jc w:val="both"/>
        <w:rPr>
          <w:rFonts w:ascii="Times New Roman" w:hAnsi="Times New Roman" w:cs="Calibri"/>
          <w:sz w:val="24"/>
          <w:szCs w:val="24"/>
          <w:lang w:val="sk-SK"/>
        </w:rPr>
      </w:pPr>
      <w:r w:rsidRPr="000F38A1" w:rsidR="006A765B">
        <w:rPr>
          <w:rFonts w:ascii="Times New Roman" w:hAnsi="Times New Roman"/>
          <w:sz w:val="24"/>
          <w:szCs w:val="24"/>
          <w:lang w:val="sk-SK"/>
        </w:rPr>
        <w:t xml:space="preserve">Formálnym výstupom schválenia finančnej stabilizácie s použitím štátnych finančných aktív bude </w:t>
      </w:r>
      <w:r w:rsidRPr="000F38A1" w:rsidR="006727FA">
        <w:rPr>
          <w:rFonts w:ascii="Times New Roman" w:hAnsi="Times New Roman"/>
          <w:sz w:val="24"/>
          <w:szCs w:val="24"/>
          <w:lang w:val="sk-SK"/>
        </w:rPr>
        <w:t xml:space="preserve">uvoľnenie prostriedkov štátneho rozpočtu z účtu ŠFA Ministerstvu zdravotníctva SR na účet cudzích prostriedkov (depozit), ktoré MZ SR následne prevedie na špeciálne účty dotknutých štátnych organizácií vedených v Štátnej pokladnici, </w:t>
      </w:r>
      <w:r w:rsidRPr="000F38A1" w:rsidR="006A765B">
        <w:rPr>
          <w:rFonts w:ascii="Times New Roman" w:hAnsi="Times New Roman"/>
          <w:sz w:val="24"/>
          <w:szCs w:val="24"/>
          <w:lang w:val="sk-SK"/>
        </w:rPr>
        <w:t xml:space="preserve">ktoré budú mať špeciálny režim. Špeciálny režim bude určený v dohode medzi MZ SR a Štátnou pokladnicou a bude znamenať najmä definovanie prístupových práv na nakladanie s týmito účtami. Zodpovednosť sa správne zadanie údajov pri platbách bude na samotných </w:t>
      </w:r>
      <w:r w:rsidRPr="000F38A1" w:rsidR="008B26F8">
        <w:rPr>
          <w:rFonts w:ascii="Times New Roman" w:hAnsi="Times New Roman"/>
          <w:sz w:val="24"/>
          <w:szCs w:val="24"/>
          <w:lang w:val="sk-SK"/>
        </w:rPr>
        <w:t>štátnych organizáciách</w:t>
      </w:r>
      <w:r w:rsidRPr="000F38A1" w:rsidR="006A765B">
        <w:rPr>
          <w:rFonts w:ascii="Times New Roman" w:hAnsi="Times New Roman"/>
          <w:sz w:val="24"/>
          <w:szCs w:val="24"/>
          <w:lang w:val="sk-SK"/>
        </w:rPr>
        <w:t>, samotnú úhradu však bude zabezpečovať  predseda Komisie. Účty budú mať charakter bežného účtu, nebudú spoplatnené</w:t>
      </w:r>
      <w:r>
        <w:rPr>
          <w:rFonts w:ascii="Times New Roman" w:hAnsi="Times New Roman"/>
          <w:sz w:val="24"/>
          <w:szCs w:val="24"/>
          <w:lang w:val="sk-SK"/>
        </w:rPr>
        <w:t xml:space="preserve"> a nebudú úročené. </w:t>
      </w:r>
      <w:r w:rsidRPr="00AC21E6">
        <w:rPr>
          <w:rFonts w:ascii="Times New Roman" w:hAnsi="Times New Roman" w:cs="Calibri"/>
          <w:sz w:val="24"/>
          <w:szCs w:val="24"/>
          <w:lang w:val="sk-SK"/>
        </w:rPr>
        <w:t xml:space="preserve">Zníženie štátnych finančných aktív z titulu odpustenia splácania návratných finančných výpomocí ako aj poskytnutie finančných prostriedkov štátnym organizáciám za účelom finančnej stabilizácie, môže predstavovať štátnu pomoc. </w:t>
      </w:r>
    </w:p>
    <w:p w:rsidR="00C30BA4" w:rsidRPr="00AC21E6" w:rsidP="00C30BA4">
      <w:pPr>
        <w:bidi w:val="0"/>
        <w:jc w:val="both"/>
        <w:rPr>
          <w:rFonts w:ascii="Times New Roman" w:hAnsi="Times New Roman" w:cs="Calibri"/>
          <w:sz w:val="24"/>
          <w:szCs w:val="24"/>
          <w:lang w:val="sk-SK"/>
        </w:rPr>
      </w:pPr>
      <w:r w:rsidRPr="00AC21E6">
        <w:rPr>
          <w:rFonts w:ascii="Times New Roman" w:hAnsi="Times New Roman" w:cs="Calibri"/>
          <w:sz w:val="24"/>
          <w:szCs w:val="24"/>
          <w:lang w:val="sk-SK"/>
        </w:rPr>
        <w:t xml:space="preserve">Zdravotnícke zariadenia poskytujú služby vo verejnom záujme. Problematiku úhrad za služby vo verejnom záujme, ktorá je štátnou pomocou, upravuje rozhodnutie Komisie z 28. novembra 2005 o uplatňovaní čl. 86 ods. 2 Zmluvy o ES na štátnu pomoc vo forme náhrady za služby vo verejnom záujme udeľovanej niektorým podnikom povereným poskytovaním služieb všeobecného hospodárskeho záujmu (ďalej len „rozhodnutie“). </w:t>
        <w:br/>
        <w:t>Ak sú splnené podmienky vymedzené v rozhodnutí, náhrada za služby vo verejnom záujme poskytnutá nemocniciam v súlade s rozhodnutím sa nemusí notifikovať v Európskej komisii. MZ SR zanalyzuje možnosti postupu podľa tohto rozhodnutia .</w:t>
      </w:r>
    </w:p>
    <w:p w:rsidR="00C30BA4" w:rsidRPr="00AC21E6" w:rsidP="00C30BA4">
      <w:pPr>
        <w:bidi w:val="0"/>
        <w:rPr>
          <w:sz w:val="24"/>
          <w:szCs w:val="24"/>
        </w:rPr>
      </w:pPr>
    </w:p>
    <w:p w:rsidR="007F6B0A" w:rsidRPr="000F38A1" w:rsidP="00AD5FB3">
      <w:pPr>
        <w:bidi w:val="0"/>
        <w:ind w:firstLine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F6B0A" w:rsidRPr="000F38A1" w:rsidP="007F6B0A">
      <w:pPr>
        <w:bidi w:val="0"/>
        <w:ind w:firstLine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 xml:space="preserve">MZ SR sleduje vývoj záväzkov v nasledovných kumulatívnych kategóriách: </w:t>
      </w:r>
    </w:p>
    <w:p w:rsidR="007F6B0A" w:rsidRPr="000F38A1" w:rsidP="007F6B0A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F6B0A" w:rsidRPr="000F38A1" w:rsidP="007F6B0A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 xml:space="preserve">Dodávatelia: </w:t>
      </w:r>
    </w:p>
    <w:p w:rsidR="007F6B0A" w:rsidRPr="000F38A1" w:rsidP="007F6B0A">
      <w:pPr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lieky a špecializovaný zdravotnícky materiál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>,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7F6B0A" w:rsidRPr="000F38A1" w:rsidP="007F6B0A">
      <w:pPr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dodávatelia energií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>,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7F6B0A" w:rsidRPr="000F38A1" w:rsidP="007F6B0A">
      <w:pPr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ostatní dodávatelia energií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>,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7F6B0A" w:rsidRPr="000F38A1" w:rsidP="007F6B0A">
      <w:pPr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dodávatelia telekomunikačných služieb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>,</w:t>
      </w:r>
    </w:p>
    <w:p w:rsidR="007F6B0A" w:rsidRPr="000F38A1" w:rsidP="007F6B0A">
      <w:pPr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odvoz a likvidácia odpadu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>,</w:t>
      </w:r>
    </w:p>
    <w:p w:rsidR="007F6B0A" w:rsidRPr="000F38A1" w:rsidP="007F6B0A">
      <w:pPr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investiční dodávatelia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>,</w:t>
      </w:r>
    </w:p>
    <w:p w:rsidR="007F6B0A" w:rsidRPr="000F38A1" w:rsidP="007F6B0A">
      <w:pPr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záväzky voči iným zdravotníckym zariadeniam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>,</w:t>
      </w:r>
    </w:p>
    <w:p w:rsidR="007F6B0A" w:rsidRPr="000F38A1" w:rsidP="007F6B0A">
      <w:pPr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ostatní dodávatelia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>.</w:t>
      </w:r>
    </w:p>
    <w:p w:rsidR="007F6B0A" w:rsidRPr="000F38A1" w:rsidP="007F6B0A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F6B0A" w:rsidRPr="000F38A1" w:rsidP="007F6B0A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Verejné financie:</w:t>
      </w:r>
    </w:p>
    <w:p w:rsidR="007F6B0A" w:rsidRPr="000F38A1" w:rsidP="007F6B0A">
      <w:pPr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 xml:space="preserve">daňové </w:t>
      </w:r>
      <w:r w:rsidRPr="000F38A1" w:rsidR="00A62D32">
        <w:rPr>
          <w:rFonts w:ascii="Times New Roman" w:hAnsi="Times New Roman"/>
          <w:sz w:val="24"/>
          <w:szCs w:val="24"/>
          <w:lang w:val="sk-SK"/>
        </w:rPr>
        <w:t xml:space="preserve">a colné </w:t>
      </w:r>
      <w:r w:rsidRPr="000F38A1">
        <w:rPr>
          <w:rFonts w:ascii="Times New Roman" w:hAnsi="Times New Roman"/>
          <w:sz w:val="24"/>
          <w:szCs w:val="24"/>
          <w:lang w:val="sk-SK"/>
        </w:rPr>
        <w:t>úrady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>,</w:t>
      </w:r>
    </w:p>
    <w:p w:rsidR="007F6B0A" w:rsidRPr="000F38A1" w:rsidP="007F6B0A">
      <w:pPr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sociálna poisťovňa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>,</w:t>
      </w:r>
    </w:p>
    <w:p w:rsidR="007F6B0A" w:rsidRPr="000F38A1" w:rsidP="007F6B0A">
      <w:pPr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zdravotné poisťovne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>.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7F6B0A" w:rsidRPr="000F38A1" w:rsidP="007F6B0A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6A765B" w:rsidRPr="000F38A1" w:rsidP="007F6B0A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 w:rsidR="007F6B0A">
        <w:rPr>
          <w:rFonts w:ascii="Times New Roman" w:hAnsi="Times New Roman"/>
          <w:sz w:val="24"/>
          <w:szCs w:val="24"/>
          <w:lang w:val="sk-SK"/>
        </w:rPr>
        <w:t>Výsledkom tohto rozdelenia budú rôzne benchmarky pre rokovania s veriteľmi za jednotlivé oblasti dodávateľov (lieky, ŠZM, technika, potraviny, ...), nakoľko dodávatelia týchto komodít majú odlišné obchodné stratégie.</w:t>
      </w:r>
    </w:p>
    <w:p w:rsidR="00C94D01" w:rsidRPr="000F38A1" w:rsidP="00C94D01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94D01" w:rsidRPr="000F38A1" w:rsidP="00C94D01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 xml:space="preserve">Finančná stabilizácia bude prebiehať v troch etapách: </w:t>
      </w:r>
    </w:p>
    <w:p w:rsidR="00C94D01" w:rsidRPr="000F38A1" w:rsidP="00C94D01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94D01" w:rsidRPr="000F38A1" w:rsidP="00C94D01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V prvej etape sa budú štátne organizácie stabilizovať v rámci riešenia</w:t>
      </w:r>
      <w:r w:rsidRPr="000F38A1" w:rsidR="007F6B0A">
        <w:rPr>
          <w:rFonts w:ascii="Times New Roman" w:hAnsi="Times New Roman"/>
          <w:sz w:val="24"/>
          <w:szCs w:val="24"/>
          <w:lang w:val="sk-SK"/>
        </w:rPr>
        <w:t xml:space="preserve"> záväzkov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 štátnych organizácií voči verejnému sektoru ( napr. sociálna poisťovňa, zdravotné poisťovne, daňové úrady). </w:t>
      </w:r>
    </w:p>
    <w:p w:rsidR="00C94D01" w:rsidRPr="000F38A1" w:rsidP="00C94D01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94D01" w:rsidRPr="000F38A1" w:rsidP="00C94D01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V druhej etape bude rokovať komisia s kompetentnými zástupcami veriteľov s relevantným objemom pohľadávok. Výsledkom týchto rokovaní budú dohody, ktoré budú záväzné pre štatutárov dlžníka i veriteľa, ktoré budú uzavreté v súlade podmienkami uvedenými v memorande, ktoré predtým uzavrela Komisia s veriteľmi. Je predpoklad, že na tejto úrovni sa podarí upraviť podmienky finančnej stabilizácie rozhodujúcej časti dlhu štátnych organizácii.</w:t>
      </w:r>
    </w:p>
    <w:p w:rsidR="00C94D01" w:rsidRPr="000F38A1" w:rsidP="00C94D01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94D01" w:rsidRPr="000F38A1" w:rsidP="00C94D01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V tretej etape budú rokovať riaditelia štátnych organizácii s ostatnými veriteľmi. V tejto etape budú dohody uzatvárať samotní riaditelia štátnych organizácií v súlade so základnými princípmi finančnej stabilizácie.</w:t>
      </w:r>
    </w:p>
    <w:p w:rsidR="00C94D01" w:rsidRPr="000F38A1" w:rsidP="00C94D01">
      <w:pPr>
        <w:bidi w:val="0"/>
        <w:jc w:val="both"/>
        <w:rPr>
          <w:rFonts w:ascii="Times New Roman" w:hAnsi="Times New Roman"/>
          <w:sz w:val="24"/>
          <w:szCs w:val="24"/>
          <w:highlight w:val="red"/>
          <w:lang w:val="sk-SK"/>
        </w:rPr>
      </w:pPr>
    </w:p>
    <w:p w:rsidR="00C94D01" w:rsidRPr="000F38A1" w:rsidP="006A765B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Nedá sa predpokladať, že rokovania o urovnaní budú úspešné so všetkými veriteľmi.</w:t>
      </w:r>
      <w:r w:rsidRPr="000F38A1" w:rsidR="006A765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V záujme minimalizácie nevysporiadaných záväzkov by bolo vhodné, aby štát legislatívnymi opatreniami ochránil novovzniknuté akciové spoločnosti na istú dobu pred hrozbou exekúcií. </w:t>
      </w:r>
    </w:p>
    <w:p w:rsidR="00C94D01" w:rsidRPr="000F38A1" w:rsidP="00B34C17">
      <w:pPr>
        <w:pStyle w:val="ListParagraph1"/>
        <w:bidi w:val="0"/>
        <w:ind w:left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C94D01" w:rsidRPr="000F38A1" w:rsidP="00B34C17">
      <w:pPr>
        <w:pStyle w:val="ListParagraph1"/>
        <w:bidi w:val="0"/>
        <w:ind w:left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92556D" w:rsidRPr="000F38A1" w:rsidP="0092556D">
      <w:pPr>
        <w:bidi w:val="0"/>
        <w:ind w:left="360" w:hanging="360"/>
        <w:rPr>
          <w:rFonts w:ascii="Times New Roman" w:hAnsi="Times New Roman"/>
          <w:b/>
          <w:sz w:val="24"/>
          <w:szCs w:val="24"/>
          <w:lang w:val="sk-SK"/>
        </w:rPr>
      </w:pPr>
      <w:r w:rsidRPr="000F38A1">
        <w:rPr>
          <w:rFonts w:ascii="Times New Roman" w:hAnsi="Times New Roman"/>
          <w:b/>
          <w:sz w:val="24"/>
          <w:szCs w:val="24"/>
          <w:lang w:val="sk-SK"/>
        </w:rPr>
        <w:t>4.</w:t>
      </w:r>
      <w:r w:rsidRPr="000F38A1" w:rsidR="00551DEB">
        <w:rPr>
          <w:rFonts w:ascii="Times New Roman" w:hAnsi="Times New Roman"/>
          <w:b/>
          <w:sz w:val="24"/>
          <w:szCs w:val="24"/>
          <w:lang w:val="sk-SK"/>
        </w:rPr>
        <w:t>5</w:t>
      </w:r>
      <w:r w:rsidRPr="000F38A1">
        <w:rPr>
          <w:rFonts w:ascii="Times New Roman" w:hAnsi="Times New Roman"/>
          <w:b/>
          <w:sz w:val="24"/>
          <w:szCs w:val="24"/>
          <w:lang w:val="sk-SK"/>
        </w:rPr>
        <w:t>. Kontrola</w:t>
      </w:r>
    </w:p>
    <w:p w:rsidR="0092556D" w:rsidRPr="000F38A1" w:rsidP="0092556D">
      <w:pPr>
        <w:pStyle w:val="ListParagraph1"/>
        <w:bidi w:val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2556D" w:rsidRPr="000F38A1" w:rsidP="0092556D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 xml:space="preserve">Odbor kontroly a vládneho auditu a sťažností MZ SR a Slovenská Konsolidačná, a.s. budú mať na základe poverenia ministra zdravotníctva právo náhodnej kontroly pohľadávok a záväzkov počas celého procesu finančnej stabilizácie. </w:t>
      </w:r>
    </w:p>
    <w:p w:rsidR="0092556D" w:rsidRPr="000F38A1" w:rsidP="0092556D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2556D" w:rsidRPr="000F38A1" w:rsidP="0092556D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 xml:space="preserve">Náhodné kontroly sa vykonajú predovšetkým v univerzitných a fakultných nemocniciach, vrátane detských fakultných nemocníc. Kontrolóri sa zamerajú predovšetkým na kontrolu dodávok investičnej povahy (stavebné celky, rekonštrukcie, dodávky technológií, prístrojov a zariadení) a na dodávku liekov a špeciálneho zdravotníckeho materiálu (ďalej len „ŠZM“). </w:t>
      </w:r>
    </w:p>
    <w:p w:rsidR="0092556D" w:rsidRPr="000F38A1" w:rsidP="0092556D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2556D" w:rsidRPr="000F38A1" w:rsidP="0026403A">
      <w:pPr>
        <w:tabs>
          <w:tab w:val="left" w:pos="2565"/>
        </w:tabs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7436B" w:rsidRPr="000F38A1" w:rsidP="007F6B0A">
      <w:pPr>
        <w:bidi w:val="0"/>
        <w:ind w:firstLine="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0F38A1" w:rsidR="002D4BAA">
        <w:rPr>
          <w:rFonts w:ascii="Times New Roman" w:hAnsi="Times New Roman"/>
          <w:b/>
          <w:sz w:val="24"/>
          <w:szCs w:val="24"/>
          <w:lang w:val="sk-SK"/>
        </w:rPr>
        <w:t>4</w:t>
      </w:r>
      <w:r w:rsidRPr="000F38A1" w:rsidR="007F6B0A">
        <w:rPr>
          <w:rFonts w:ascii="Times New Roman" w:hAnsi="Times New Roman"/>
          <w:b/>
          <w:sz w:val="24"/>
          <w:szCs w:val="24"/>
          <w:lang w:val="sk-SK"/>
        </w:rPr>
        <w:t>.</w:t>
      </w:r>
      <w:r w:rsidRPr="000F38A1" w:rsidR="00551DEB">
        <w:rPr>
          <w:rFonts w:ascii="Times New Roman" w:hAnsi="Times New Roman"/>
          <w:b/>
          <w:sz w:val="24"/>
          <w:szCs w:val="24"/>
          <w:lang w:val="sk-SK"/>
        </w:rPr>
        <w:t>6</w:t>
      </w:r>
      <w:r w:rsidRPr="000F38A1" w:rsidR="002D4BAA">
        <w:rPr>
          <w:rFonts w:ascii="Times New Roman" w:hAnsi="Times New Roman"/>
          <w:b/>
          <w:sz w:val="24"/>
          <w:szCs w:val="24"/>
          <w:lang w:val="sk-SK"/>
        </w:rPr>
        <w:t>.</w:t>
      </w:r>
      <w:r w:rsidRPr="000F38A1" w:rsidR="007F6B0A">
        <w:rPr>
          <w:rFonts w:ascii="Times New Roman" w:hAnsi="Times New Roman"/>
          <w:b/>
          <w:sz w:val="24"/>
          <w:szCs w:val="24"/>
          <w:lang w:val="sk-SK"/>
        </w:rPr>
        <w:t xml:space="preserve"> Vzťah k transformácii štátnych organizácii a časové aspekty procesu</w:t>
      </w:r>
    </w:p>
    <w:p w:rsidR="007F6B0A" w:rsidRPr="000F38A1" w:rsidP="007F6B0A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F6B0A" w:rsidRPr="000F38A1" w:rsidP="007F6B0A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Z hľadiska potreby finančných zdrojov sú kľúčové nasledovné skutočnosti:</w:t>
      </w:r>
    </w:p>
    <w:p w:rsidR="007F6B0A" w:rsidRPr="000F38A1" w:rsidP="007F6B0A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F6B0A" w:rsidRPr="000F38A1" w:rsidP="007F6B0A">
      <w:pPr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finančná stabilizácia sa týka všetkých štátnych organizácií, ktoré vs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>túpili do procesu transformácie,</w:t>
      </w:r>
    </w:p>
    <w:p w:rsidR="007F6B0A" w:rsidRPr="000F38A1" w:rsidP="007F6B0A">
      <w:pPr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finančná stabilizácia sa týka  zdravotníc</w:t>
      </w:r>
      <w:r w:rsidRPr="000F38A1" w:rsidR="00F62863">
        <w:rPr>
          <w:rFonts w:ascii="Times New Roman" w:hAnsi="Times New Roman"/>
          <w:sz w:val="24"/>
          <w:szCs w:val="24"/>
          <w:lang w:val="sk-SK"/>
        </w:rPr>
        <w:t>kych zariadení v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 pôsobnosti MZ SR a MO SR.</w:t>
      </w:r>
    </w:p>
    <w:p w:rsidR="0077436B" w:rsidRPr="000F38A1" w:rsidP="0077436B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7436B" w:rsidRPr="000F38A1" w:rsidP="002D4BAA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ab/>
        <w:t>Finančný transfer nadobudnú štátne organizácie tesne pred založením akciových spoločností, do ktorých bude vkladaný ich majetok.</w:t>
      </w:r>
      <w:r w:rsidRPr="000F38A1" w:rsidR="007F6B0A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F38A1">
        <w:rPr>
          <w:rFonts w:ascii="Times New Roman" w:hAnsi="Times New Roman"/>
          <w:sz w:val="24"/>
          <w:szCs w:val="24"/>
          <w:lang w:val="sk-SK"/>
        </w:rPr>
        <w:t>Pri znaleckom zisťovaní ocenenia majetku v deň založenia akciovej spoločnosti teda bude zahrnutý do finančných aktív.</w:t>
      </w:r>
    </w:p>
    <w:p w:rsidR="0077436B" w:rsidRPr="000F38A1" w:rsidP="0077436B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7436B" w:rsidRPr="000F38A1" w:rsidP="007F6B0A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>Po vzniku akciovej spoločnosti budú získané finančné prostriedky predstavovať vlastné zdroje akciovej spoločnosti. Právne kroky transformácie nebránia tomu, aby zazmluvňovanie veriteľov a realizácia platieb začala okamžite po realizácii finančného transferu.</w:t>
      </w:r>
      <w:r w:rsidRPr="000F38A1" w:rsidR="007F6B0A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Štátna organizácia, ktorá bude úspešná pri vyjednávaniach s veriteľmi a získa zľavy vyššie ako predpokladané, získa v deň vzniku akciovej spoločnosti kapitálové fondy vo výške rozdielu medzi predpokladanými a dosiahnutými zľavami. Tieto prostriedky bude môcť použiť na rozvoj svojho zariadenia. </w:t>
      </w:r>
    </w:p>
    <w:p w:rsidR="0077436B" w:rsidRPr="000F38A1" w:rsidP="0077436B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F6B0A" w:rsidRPr="000F38A1" w:rsidP="007F6B0A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822201">
        <w:rPr>
          <w:rFonts w:ascii="Times New Roman" w:hAnsi="Times New Roman"/>
          <w:sz w:val="24"/>
          <w:szCs w:val="24"/>
          <w:lang w:val="sk-SK"/>
        </w:rPr>
        <w:t>Harmonogram transformácie MZ SR predpokladá zakladanie akciových spoločností k 1. októbru 2011</w:t>
      </w:r>
      <w:r w:rsidRPr="00822201" w:rsidR="00833D99">
        <w:rPr>
          <w:rFonts w:ascii="Times New Roman" w:hAnsi="Times New Roman"/>
          <w:sz w:val="24"/>
          <w:szCs w:val="24"/>
          <w:lang w:val="sk-SK"/>
        </w:rPr>
        <w:t xml:space="preserve"> s ich vznikom k 31</w:t>
      </w:r>
      <w:r w:rsidRPr="00822201" w:rsidR="00551DEB">
        <w:rPr>
          <w:rFonts w:ascii="Times New Roman" w:hAnsi="Times New Roman"/>
          <w:sz w:val="24"/>
          <w:szCs w:val="24"/>
          <w:lang w:val="sk-SK"/>
        </w:rPr>
        <w:t>.</w:t>
      </w:r>
      <w:r w:rsidRPr="00822201" w:rsidR="00833D99">
        <w:rPr>
          <w:rFonts w:ascii="Times New Roman" w:hAnsi="Times New Roman"/>
          <w:sz w:val="24"/>
          <w:szCs w:val="24"/>
          <w:lang w:val="sk-SK"/>
        </w:rPr>
        <w:t>decembru 2011</w:t>
      </w:r>
      <w:r w:rsidRPr="00822201">
        <w:rPr>
          <w:rFonts w:ascii="Times New Roman" w:hAnsi="Times New Roman"/>
          <w:sz w:val="24"/>
          <w:szCs w:val="24"/>
          <w:lang w:val="sk-SK"/>
        </w:rPr>
        <w:t>. Proces prípravy a schválenia príslušného uznesenia vlády SR</w:t>
      </w:r>
      <w:r w:rsidRPr="00822201" w:rsidR="00551DEB">
        <w:rPr>
          <w:rFonts w:ascii="Times New Roman" w:hAnsi="Times New Roman"/>
          <w:sz w:val="24"/>
          <w:szCs w:val="24"/>
          <w:lang w:val="sk-SK"/>
        </w:rPr>
        <w:t xml:space="preserve"> a NR SR</w:t>
      </w:r>
      <w:r w:rsidRPr="00822201">
        <w:rPr>
          <w:rFonts w:ascii="Times New Roman" w:hAnsi="Times New Roman"/>
          <w:sz w:val="24"/>
          <w:szCs w:val="24"/>
          <w:lang w:val="sk-SK"/>
        </w:rPr>
        <w:t xml:space="preserve"> o</w:t>
      </w:r>
      <w:r w:rsidRPr="00822201" w:rsidR="00551DEB">
        <w:rPr>
          <w:rFonts w:ascii="Times New Roman" w:hAnsi="Times New Roman"/>
          <w:sz w:val="24"/>
          <w:szCs w:val="24"/>
          <w:lang w:val="sk-SK"/>
        </w:rPr>
        <w:t xml:space="preserve"> použití finančných aktív na finančnú stabilizáciu štátnych organizácii </w:t>
      </w:r>
      <w:r w:rsidRPr="00822201">
        <w:rPr>
          <w:rFonts w:ascii="Times New Roman" w:hAnsi="Times New Roman"/>
          <w:sz w:val="24"/>
          <w:szCs w:val="24"/>
          <w:lang w:val="sk-SK"/>
        </w:rPr>
        <w:t xml:space="preserve">bude preto potrebné zvládnuť tak, aby finančné transfery boli realizované najneskôr 30. septembra </w:t>
      </w:r>
      <w:smartTag w:uri="urn:schemas-microsoft-com:office:smarttags" w:element="metricconverter">
        <w:smartTagPr>
          <w:attr w:name="ProductID" w:val="2011, a"/>
        </w:smartTagPr>
        <w:r w:rsidRPr="00822201">
          <w:rPr>
            <w:rFonts w:ascii="Times New Roman" w:hAnsi="Times New Roman"/>
            <w:sz w:val="24"/>
            <w:szCs w:val="24"/>
            <w:lang w:val="sk-SK"/>
          </w:rPr>
          <w:t>2011, a</w:t>
        </w:r>
      </w:smartTag>
      <w:r w:rsidRPr="00822201">
        <w:rPr>
          <w:rFonts w:ascii="Times New Roman" w:hAnsi="Times New Roman"/>
          <w:sz w:val="24"/>
          <w:szCs w:val="24"/>
          <w:lang w:val="sk-SK"/>
        </w:rPr>
        <w:t xml:space="preserve"> úhrady zo špeciálneho účtu tak môžu byť realizované od 3. októbra 2011.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77436B" w:rsidRPr="000F38A1" w:rsidP="0077436B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7436B" w:rsidRPr="000F38A1" w:rsidP="0077436B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7436B" w:rsidRPr="000F38A1" w:rsidP="00507C5C">
      <w:pPr>
        <w:numPr>
          <w:ilvl w:val="2"/>
          <w:numId w:val="14"/>
        </w:numPr>
        <w:tabs>
          <w:tab w:val="num" w:pos="360"/>
          <w:tab w:val="clear" w:pos="2689"/>
        </w:tabs>
        <w:bidi w:val="0"/>
        <w:ind w:left="36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0F38A1" w:rsidR="007F6B0A">
        <w:rPr>
          <w:rFonts w:ascii="Times New Roman" w:hAnsi="Times New Roman"/>
          <w:b/>
          <w:sz w:val="24"/>
          <w:szCs w:val="24"/>
          <w:lang w:val="sk-SK"/>
        </w:rPr>
        <w:t xml:space="preserve">Riziká </w:t>
      </w:r>
    </w:p>
    <w:p w:rsidR="007F6B0A" w:rsidRPr="000F38A1" w:rsidP="007F6B0A">
      <w:pPr>
        <w:bidi w:val="0"/>
        <w:ind w:left="360" w:firstLine="0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77436B" w:rsidRPr="000F38A1" w:rsidP="00551DEB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 xml:space="preserve">Kľúčovým rizikom procesu finančnej stabilizácie je možnosť jej zneužitia na úhrady fiktívnych dlhov a masívne rozbehnutie obchodovania s pohľadávkami voči zdravotníckym zariadeniam. </w:t>
      </w:r>
    </w:p>
    <w:p w:rsidR="0077436B" w:rsidRPr="000F38A1" w:rsidP="0077436B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7436B" w:rsidRPr="000F38A1" w:rsidP="00551DEB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 xml:space="preserve">Elimináciu rizika zabezpečí tá skutočnosť, že „Rozbor štruktúry záväzkov a trendu zadlžovania transformovaných zdravotníckych zariadení k 31.12.2011“ za jednotlivé </w:t>
      </w:r>
      <w:r w:rsidRPr="000F38A1" w:rsidR="002D4BAA">
        <w:rPr>
          <w:rFonts w:ascii="Times New Roman" w:hAnsi="Times New Roman"/>
          <w:sz w:val="24"/>
          <w:szCs w:val="24"/>
          <w:lang w:val="sk-SK"/>
        </w:rPr>
        <w:t>zariadenia vychádza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 z účtovných stavov jednotlivých zariadení k 30.4.2011, prípadne 31.5.2011 a rozdiel do 31.12.2011 bude odborne odhadnutý na základe historických dát daného zariadenia.</w:t>
      </w:r>
      <w:r w:rsidRPr="000F38A1" w:rsidR="00B7588D">
        <w:rPr>
          <w:rFonts w:ascii="Times New Roman" w:hAnsi="Times New Roman"/>
          <w:sz w:val="24"/>
          <w:szCs w:val="24"/>
          <w:lang w:val="sk-SK"/>
        </w:rPr>
        <w:t xml:space="preserve"> Toto riziko eliminuje tiež kontrola jednotlivých záväzkov zo strany MZ SR a Sloven</w:t>
      </w:r>
      <w:r w:rsidRPr="000F38A1" w:rsidR="001D1B75">
        <w:rPr>
          <w:rFonts w:ascii="Times New Roman" w:hAnsi="Times New Roman"/>
          <w:sz w:val="24"/>
          <w:szCs w:val="24"/>
          <w:lang w:val="sk-SK"/>
        </w:rPr>
        <w:t>skej konsolidačnej</w:t>
      </w:r>
      <w:r w:rsidRPr="000F38A1" w:rsidR="00D70526">
        <w:rPr>
          <w:rFonts w:ascii="Times New Roman" w:hAnsi="Times New Roman"/>
          <w:sz w:val="24"/>
          <w:szCs w:val="24"/>
          <w:lang w:val="sk-SK"/>
        </w:rPr>
        <w:t>, a. s.</w:t>
      </w:r>
      <w:r w:rsidRPr="000F38A1" w:rsidR="001D1B75">
        <w:rPr>
          <w:rFonts w:ascii="Times New Roman" w:hAnsi="Times New Roman"/>
          <w:sz w:val="24"/>
          <w:szCs w:val="24"/>
          <w:lang w:val="sk-SK"/>
        </w:rPr>
        <w:t xml:space="preserve"> ako aj presné a transparentné</w:t>
      </w:r>
      <w:r w:rsidRPr="000F38A1" w:rsidR="00B7588D">
        <w:rPr>
          <w:rFonts w:ascii="Times New Roman" w:hAnsi="Times New Roman"/>
          <w:sz w:val="24"/>
          <w:szCs w:val="24"/>
          <w:lang w:val="sk-SK"/>
        </w:rPr>
        <w:t xml:space="preserve"> zadefinovanie celého procesu finančnej stabilizácie.</w:t>
      </w:r>
    </w:p>
    <w:p w:rsidR="00551DEB" w:rsidRPr="000F38A1" w:rsidP="0077436B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51DEB" w:rsidRPr="000F38A1" w:rsidP="00551DEB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 xml:space="preserve">Zároveň bude dôležité, aby celý proces finančnej stabilizácie prebehol v súlade s procesom transformácie </w:t>
      </w:r>
      <w:r w:rsidRPr="000F38A1" w:rsidR="00507C5C">
        <w:rPr>
          <w:rFonts w:ascii="Times New Roman" w:hAnsi="Times New Roman"/>
          <w:sz w:val="24"/>
          <w:szCs w:val="24"/>
          <w:lang w:val="sk-SK"/>
        </w:rPr>
        <w:t xml:space="preserve"> a procesom komplexnej reštrukturalizácie 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štátnych organizácii. </w:t>
      </w:r>
    </w:p>
    <w:p w:rsidR="00551DEB" w:rsidRPr="000F38A1" w:rsidP="0077436B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7436B" w:rsidRPr="000F38A1" w:rsidP="0077436B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7436B" w:rsidRPr="000F38A1" w:rsidP="007F6B0A">
      <w:pPr>
        <w:bidi w:val="0"/>
        <w:ind w:left="360" w:hanging="360"/>
        <w:rPr>
          <w:rFonts w:ascii="Times New Roman" w:hAnsi="Times New Roman"/>
          <w:b/>
          <w:sz w:val="24"/>
          <w:szCs w:val="24"/>
          <w:lang w:val="sk-SK"/>
        </w:rPr>
      </w:pPr>
      <w:r w:rsidRPr="000F38A1" w:rsidR="00B7588D">
        <w:rPr>
          <w:rFonts w:ascii="Times New Roman" w:hAnsi="Times New Roman"/>
          <w:b/>
          <w:sz w:val="24"/>
          <w:szCs w:val="24"/>
          <w:lang w:val="sk-SK"/>
        </w:rPr>
        <w:t>6</w:t>
      </w:r>
      <w:r w:rsidRPr="000F38A1" w:rsidR="007F6B0A">
        <w:rPr>
          <w:rFonts w:ascii="Times New Roman" w:hAnsi="Times New Roman"/>
          <w:b/>
          <w:sz w:val="24"/>
          <w:szCs w:val="24"/>
          <w:lang w:val="sk-SK"/>
        </w:rPr>
        <w:t>. Záver</w:t>
      </w:r>
    </w:p>
    <w:p w:rsidR="0077436B" w:rsidRPr="000F38A1" w:rsidP="0077436B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>
        <w:rPr>
          <w:rFonts w:ascii="Times New Roman" w:hAnsi="Times New Roman"/>
          <w:sz w:val="24"/>
          <w:szCs w:val="24"/>
          <w:lang w:val="sk-SK"/>
        </w:rPr>
        <w:tab/>
      </w:r>
    </w:p>
    <w:p w:rsidR="00507C5C" w:rsidRPr="000F38A1" w:rsidP="0077436B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F38A1" w:rsidR="0047185D">
        <w:rPr>
          <w:rFonts w:ascii="Times New Roman" w:hAnsi="Times New Roman"/>
          <w:sz w:val="24"/>
          <w:szCs w:val="24"/>
          <w:lang w:val="sk-SK"/>
        </w:rPr>
        <w:t>Samotná</w:t>
      </w:r>
      <w:r w:rsidRPr="000F38A1" w:rsidR="00A62D32">
        <w:rPr>
          <w:rFonts w:ascii="Times New Roman" w:hAnsi="Times New Roman"/>
          <w:sz w:val="24"/>
          <w:szCs w:val="24"/>
          <w:lang w:val="sk-SK"/>
        </w:rPr>
        <w:t xml:space="preserve"> finančná</w:t>
      </w:r>
      <w:r w:rsidRPr="000F38A1" w:rsidR="0047185D">
        <w:rPr>
          <w:rFonts w:ascii="Times New Roman" w:hAnsi="Times New Roman"/>
          <w:sz w:val="24"/>
          <w:szCs w:val="24"/>
          <w:lang w:val="sk-SK"/>
        </w:rPr>
        <w:t xml:space="preserve"> stabilizácia štátnych organi</w:t>
      </w:r>
      <w:r w:rsidRPr="000F38A1" w:rsidR="00441508">
        <w:rPr>
          <w:rFonts w:ascii="Times New Roman" w:hAnsi="Times New Roman"/>
          <w:sz w:val="24"/>
          <w:szCs w:val="24"/>
          <w:lang w:val="sk-SK"/>
        </w:rPr>
        <w:t>zácii popísaná v tomto materiáli</w:t>
      </w:r>
      <w:r w:rsidRPr="000F38A1" w:rsidR="0047185D">
        <w:rPr>
          <w:rFonts w:ascii="Times New Roman" w:hAnsi="Times New Roman"/>
          <w:sz w:val="24"/>
          <w:szCs w:val="24"/>
          <w:lang w:val="sk-SK"/>
        </w:rPr>
        <w:t xml:space="preserve"> je len časťou nevyhnutných systémových zmien a</w:t>
      </w:r>
      <w:r w:rsidRPr="000F38A1">
        <w:rPr>
          <w:rFonts w:ascii="Times New Roman" w:hAnsi="Times New Roman"/>
          <w:sz w:val="24"/>
          <w:szCs w:val="24"/>
          <w:lang w:val="sk-SK"/>
        </w:rPr>
        <w:t> je v súlade s procesom transformácie a komplexnej reštrukturalizácie</w:t>
      </w:r>
      <w:r w:rsidRPr="000F38A1" w:rsidR="0047185D">
        <w:rPr>
          <w:rFonts w:ascii="Times New Roman" w:hAnsi="Times New Roman"/>
          <w:sz w:val="24"/>
          <w:szCs w:val="24"/>
          <w:lang w:val="sk-SK"/>
        </w:rPr>
        <w:t xml:space="preserve"> štátnych organizácii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0F38A1" w:rsidR="00A62D32">
        <w:rPr>
          <w:rFonts w:ascii="Times New Roman" w:hAnsi="Times New Roman"/>
          <w:sz w:val="24"/>
          <w:szCs w:val="24"/>
          <w:lang w:val="sk-SK"/>
        </w:rPr>
        <w:t xml:space="preserve">v súlade s </w:t>
      </w:r>
      <w:r w:rsidRPr="000F38A1">
        <w:rPr>
          <w:rFonts w:ascii="Times New Roman" w:hAnsi="Times New Roman"/>
          <w:sz w:val="24"/>
          <w:szCs w:val="24"/>
          <w:lang w:val="sk-SK"/>
        </w:rPr>
        <w:t>procesom zavedenia systému DRG</w:t>
      </w:r>
      <w:r w:rsidRPr="000F38A1" w:rsidR="00FF728E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F38A1">
        <w:rPr>
          <w:rFonts w:ascii="Times New Roman" w:hAnsi="Times New Roman"/>
          <w:sz w:val="24"/>
          <w:szCs w:val="24"/>
          <w:lang w:val="sk-SK"/>
        </w:rPr>
        <w:t xml:space="preserve"> a ďalšími systémovými zmenami v oblasti zdravotníctva.</w:t>
      </w:r>
    </w:p>
    <w:p w:rsidR="00507C5C" w:rsidRPr="000F38A1" w:rsidP="0077436B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sectPr>
      <w:footerReference w:type="even" r:id="rId8"/>
      <w:footerReference w:type="defaul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A4F" w:rsidP="00733201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0A4F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A4F" w:rsidP="00733201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4740">
      <w:rPr>
        <w:rStyle w:val="PageNumber"/>
        <w:noProof/>
      </w:rPr>
      <w:t>1</w:t>
    </w:r>
    <w:r>
      <w:rPr>
        <w:rStyle w:val="PageNumber"/>
      </w:rPr>
      <w:fldChar w:fldCharType="end"/>
    </w:r>
  </w:p>
  <w:p w:rsidR="00A90A4F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471"/>
    <w:multiLevelType w:val="hybridMultilevel"/>
    <w:tmpl w:val="7C24FC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400BF2"/>
    <w:multiLevelType w:val="hybridMultilevel"/>
    <w:tmpl w:val="65B6848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15384496"/>
    <w:multiLevelType w:val="hybridMultilevel"/>
    <w:tmpl w:val="E000E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56A37E2"/>
    <w:multiLevelType w:val="hybridMultilevel"/>
    <w:tmpl w:val="FB4061B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A584F"/>
    <w:multiLevelType w:val="hybridMultilevel"/>
    <w:tmpl w:val="20BAD894"/>
    <w:lvl w:ilvl="0">
      <w:start w:val="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268F02A2"/>
    <w:multiLevelType w:val="hybridMultilevel"/>
    <w:tmpl w:val="6944CF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CF32D4B"/>
    <w:multiLevelType w:val="hybridMultilevel"/>
    <w:tmpl w:val="3E26A116"/>
    <w:lvl w:ilvl="0">
      <w:start w:val="1"/>
      <w:numFmt w:val="decimal"/>
      <w:lvlText w:val="%1)"/>
      <w:lvlJc w:val="left"/>
      <w:pPr>
        <w:ind w:left="1069" w:hanging="360"/>
      </w:pPr>
      <w:rPr>
        <w:rFonts w:ascii="Calibri" w:eastAsia="Times New Roman" w:hAnsi="Calibri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5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7">
    <w:nsid w:val="31AF3A74"/>
    <w:multiLevelType w:val="hybridMultilevel"/>
    <w:tmpl w:val="D2C6B26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324F41D2"/>
    <w:multiLevelType w:val="hybridMultilevel"/>
    <w:tmpl w:val="FE44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3A7D7FA4"/>
    <w:multiLevelType w:val="hybridMultilevel"/>
    <w:tmpl w:val="8E6A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B6F6253"/>
    <w:multiLevelType w:val="hybridMultilevel"/>
    <w:tmpl w:val="C23C1B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79C7384"/>
    <w:multiLevelType w:val="hybridMultilevel"/>
    <w:tmpl w:val="7362F92C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)"/>
      <w:lvlJc w:val="left"/>
      <w:pPr>
        <w:ind w:left="222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>
    <w:nsid w:val="56485A7F"/>
    <w:multiLevelType w:val="hybridMultilevel"/>
    <w:tmpl w:val="355696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32F57A4"/>
    <w:multiLevelType w:val="hybridMultilevel"/>
    <w:tmpl w:val="44E44AD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>
    <w:nsid w:val="777E6887"/>
    <w:multiLevelType w:val="hybridMultilevel"/>
    <w:tmpl w:val="265E26A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5">
    <w:nsid w:val="78552D61"/>
    <w:multiLevelType w:val="hybridMultilevel"/>
    <w:tmpl w:val="694617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D587894"/>
    <w:multiLevelType w:val="hybridMultilevel"/>
    <w:tmpl w:val="4408723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7">
    <w:nsid w:val="7F74490F"/>
    <w:multiLevelType w:val="hybridMultilevel"/>
    <w:tmpl w:val="EF32181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2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</w:num>
  <w:num w:numId="16">
    <w:abstractNumId w:val="15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7436B"/>
    <w:rsid w:val="00052A72"/>
    <w:rsid w:val="000C0215"/>
    <w:rsid w:val="000C0DD8"/>
    <w:rsid w:val="000E7F54"/>
    <w:rsid w:val="000F38A1"/>
    <w:rsid w:val="001107C1"/>
    <w:rsid w:val="00143D27"/>
    <w:rsid w:val="00162FC6"/>
    <w:rsid w:val="001941C8"/>
    <w:rsid w:val="001D1B75"/>
    <w:rsid w:val="00225730"/>
    <w:rsid w:val="002562CB"/>
    <w:rsid w:val="0026403A"/>
    <w:rsid w:val="0026641B"/>
    <w:rsid w:val="002D4BAA"/>
    <w:rsid w:val="003412B4"/>
    <w:rsid w:val="00360DA7"/>
    <w:rsid w:val="003A7BEA"/>
    <w:rsid w:val="003C16B4"/>
    <w:rsid w:val="003D0080"/>
    <w:rsid w:val="0040542B"/>
    <w:rsid w:val="00441508"/>
    <w:rsid w:val="004419AF"/>
    <w:rsid w:val="0046487F"/>
    <w:rsid w:val="0047185D"/>
    <w:rsid w:val="004E22C0"/>
    <w:rsid w:val="004E418E"/>
    <w:rsid w:val="0050437C"/>
    <w:rsid w:val="00507C5C"/>
    <w:rsid w:val="005275AD"/>
    <w:rsid w:val="00551DEB"/>
    <w:rsid w:val="00560A80"/>
    <w:rsid w:val="00585598"/>
    <w:rsid w:val="005A2CAE"/>
    <w:rsid w:val="005C1EBC"/>
    <w:rsid w:val="005D2354"/>
    <w:rsid w:val="00614332"/>
    <w:rsid w:val="00617DC6"/>
    <w:rsid w:val="0064541A"/>
    <w:rsid w:val="00670DC7"/>
    <w:rsid w:val="006727FA"/>
    <w:rsid w:val="0069262D"/>
    <w:rsid w:val="006A765B"/>
    <w:rsid w:val="006B5242"/>
    <w:rsid w:val="006C4230"/>
    <w:rsid w:val="00733201"/>
    <w:rsid w:val="00742824"/>
    <w:rsid w:val="00760418"/>
    <w:rsid w:val="0077436B"/>
    <w:rsid w:val="007F6B0A"/>
    <w:rsid w:val="008007B3"/>
    <w:rsid w:val="00822201"/>
    <w:rsid w:val="00833D99"/>
    <w:rsid w:val="00865A4F"/>
    <w:rsid w:val="00866552"/>
    <w:rsid w:val="008A2900"/>
    <w:rsid w:val="008B26F8"/>
    <w:rsid w:val="008F429B"/>
    <w:rsid w:val="00921DD9"/>
    <w:rsid w:val="0092556D"/>
    <w:rsid w:val="0093028F"/>
    <w:rsid w:val="00956EB5"/>
    <w:rsid w:val="00973203"/>
    <w:rsid w:val="00A5439A"/>
    <w:rsid w:val="00A62D32"/>
    <w:rsid w:val="00A81C89"/>
    <w:rsid w:val="00A90A4F"/>
    <w:rsid w:val="00AB0F02"/>
    <w:rsid w:val="00AB32AC"/>
    <w:rsid w:val="00AB6A2C"/>
    <w:rsid w:val="00AC21E6"/>
    <w:rsid w:val="00AC7C36"/>
    <w:rsid w:val="00AD5FB3"/>
    <w:rsid w:val="00B06916"/>
    <w:rsid w:val="00B12DD8"/>
    <w:rsid w:val="00B33BD1"/>
    <w:rsid w:val="00B34C17"/>
    <w:rsid w:val="00B454F9"/>
    <w:rsid w:val="00B7588D"/>
    <w:rsid w:val="00BB21EF"/>
    <w:rsid w:val="00C10F76"/>
    <w:rsid w:val="00C30BA4"/>
    <w:rsid w:val="00C94D01"/>
    <w:rsid w:val="00CC4740"/>
    <w:rsid w:val="00CD60CE"/>
    <w:rsid w:val="00D0327F"/>
    <w:rsid w:val="00D167F1"/>
    <w:rsid w:val="00D45A16"/>
    <w:rsid w:val="00D477C6"/>
    <w:rsid w:val="00D70526"/>
    <w:rsid w:val="00DD0B41"/>
    <w:rsid w:val="00E469C7"/>
    <w:rsid w:val="00E5616F"/>
    <w:rsid w:val="00E63495"/>
    <w:rsid w:val="00EA3C36"/>
    <w:rsid w:val="00EF0C24"/>
    <w:rsid w:val="00F51F7B"/>
    <w:rsid w:val="00F5212E"/>
    <w:rsid w:val="00F53565"/>
    <w:rsid w:val="00F62863"/>
    <w:rsid w:val="00F976AA"/>
    <w:rsid w:val="00FB6F70"/>
    <w:rsid w:val="00FF728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4F9"/>
    <w:pPr>
      <w:framePr w:wrap="auto"/>
      <w:widowControl/>
      <w:autoSpaceDE/>
      <w:autoSpaceDN/>
      <w:adjustRightInd/>
      <w:ind w:left="0" w:right="0" w:firstLine="36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77436B"/>
    <w:pPr>
      <w:pBdr>
        <w:bottom w:val="single" w:sz="12" w:space="1" w:color="365F91"/>
      </w:pBdr>
      <w:spacing w:before="600" w:after="80"/>
      <w:ind w:firstLine="0"/>
      <w:jc w:val="left"/>
      <w:outlineLvl w:val="0"/>
    </w:pPr>
    <w:rPr>
      <w:rFonts w:ascii="Cambria" w:hAnsi="Cambria"/>
      <w:b/>
      <w:bCs/>
      <w:color w:val="365F91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rsid w:val="0077436B"/>
    <w:pPr>
      <w:ind w:left="720"/>
      <w:jc w:val="left"/>
    </w:pPr>
  </w:style>
  <w:style w:type="character" w:customStyle="1" w:styleId="Heading1Char">
    <w:name w:val="Heading 1 Char"/>
    <w:link w:val="Heading1"/>
    <w:locked/>
    <w:rsid w:val="0077436B"/>
    <w:rPr>
      <w:rFonts w:ascii="Cambria" w:hAnsi="Cambria" w:cs="Cambria"/>
      <w:b/>
      <w:color w:val="365F91"/>
      <w:sz w:val="24"/>
      <w:lang w:val="en-US" w:eastAsia="en-US"/>
    </w:rPr>
  </w:style>
  <w:style w:type="paragraph" w:customStyle="1" w:styleId="ListParagraph1">
    <w:name w:val="List Paragraph1"/>
    <w:basedOn w:val="Normal"/>
    <w:rsid w:val="0077436B"/>
    <w:pPr>
      <w:ind w:left="720"/>
      <w:jc w:val="left"/>
    </w:pPr>
  </w:style>
  <w:style w:type="paragraph" w:styleId="TOC1">
    <w:name w:val="toc 1"/>
    <w:basedOn w:val="Normal"/>
    <w:next w:val="Normal"/>
    <w:autoRedefine/>
    <w:semiHidden/>
    <w:rsid w:val="0077436B"/>
    <w:pPr>
      <w:jc w:val="left"/>
    </w:pPr>
  </w:style>
  <w:style w:type="character" w:styleId="Hyperlink">
    <w:name w:val="Hyperlink"/>
    <w:rsid w:val="0077436B"/>
    <w:rPr>
      <w:color w:val="0000FF"/>
      <w:u w:val="single"/>
    </w:rPr>
  </w:style>
  <w:style w:type="paragraph" w:styleId="BodyText">
    <w:name w:val="Body Text"/>
    <w:basedOn w:val="Normal"/>
    <w:rsid w:val="00585598"/>
    <w:pPr>
      <w:ind w:firstLine="0"/>
      <w:jc w:val="left"/>
    </w:pPr>
    <w:rPr>
      <w:rFonts w:ascii="Times New Roman" w:hAnsi="Times New Roman"/>
      <w:b/>
      <w:bCs/>
      <w:spacing w:val="20"/>
      <w:sz w:val="24"/>
      <w:szCs w:val="24"/>
      <w:lang w:val="sk-SK" w:eastAsia="sk-SK"/>
    </w:rPr>
  </w:style>
  <w:style w:type="paragraph" w:styleId="Footer">
    <w:name w:val="footer"/>
    <w:basedOn w:val="Normal"/>
    <w:rsid w:val="001107C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107C1"/>
    <w:rPr>
      <w:rFonts w:cs="Times New Roman"/>
      <w:rtl w:val="0"/>
      <w:cs w:val="0"/>
    </w:rPr>
  </w:style>
  <w:style w:type="table" w:styleId="TableGrid">
    <w:name w:val="Table Grid"/>
    <w:basedOn w:val="TableNormal"/>
    <w:rsid w:val="00AB6A2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0215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0C0215"/>
    <w:rPr>
      <w:rFonts w:ascii="Tahoma" w:hAnsi="Tahoma" w:cs="Tahoma"/>
      <w:sz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oleObject" Target="embeddings/oleObject1.bin" /><Relationship Id="rId6" Type="http://schemas.openxmlformats.org/officeDocument/2006/relationships/image" Target="media/image2.wmf" /><Relationship Id="rId7" Type="http://schemas.openxmlformats.org/officeDocument/2006/relationships/oleObject" Target="embeddings/oleObject2.bin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13</Pages>
  <Words>4925</Words>
  <Characters>28075</Characters>
  <Application>Microsoft Office Word</Application>
  <DocSecurity>0</DocSecurity>
  <Lines>0</Lines>
  <Paragraphs>0</Paragraphs>
  <ScaleCrop>false</ScaleCrop>
  <Company>MZ SR</Company>
  <LinksUpToDate>false</LinksUpToDate>
  <CharactersWithSpaces>32935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FINANČNÁ STABILIZÁCIA NEMOCNÍC V PÔSOBNOSTI MZ SR A MO SR, V KTORÝCH PREBIEHA ZMENA PRÁVNEJ FORMY ZO ŠTÁTNEJ PRÍSPEVKOVEJ ORGANIZÁCIE NA AKCIOVÚ SPOLOČNOSŤ</dc:title>
  <dc:creator>partikal</dc:creator>
  <cp:lastModifiedBy>Gašparíková, Jarmila</cp:lastModifiedBy>
  <cp:revision>2</cp:revision>
  <cp:lastPrinted>2011-08-16T13:13:00Z</cp:lastPrinted>
  <dcterms:created xsi:type="dcterms:W3CDTF">2011-08-19T12:55:00Z</dcterms:created>
  <dcterms:modified xsi:type="dcterms:W3CDTF">2011-08-19T12:55:00Z</dcterms:modified>
</cp:coreProperties>
</file>