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5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20"/>
        <w:gridCol w:w="5400"/>
        <w:gridCol w:w="720"/>
        <w:gridCol w:w="720"/>
        <w:gridCol w:w="720"/>
        <w:gridCol w:w="4320"/>
        <w:gridCol w:w="540"/>
        <w:gridCol w:w="1440"/>
      </w:tblGrid>
      <w:tr>
        <w:tblPrEx>
          <w:tblW w:w="14580" w:type="dxa"/>
          <w:tblInd w:w="-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autoSpaceDE w:val="0"/>
              <w:autoSpaceDN w:val="0"/>
              <w:bidi w:val="0"/>
              <w:adjustRightInd w:val="0"/>
              <w:jc w:val="center"/>
              <w:rPr>
                <w:rFonts w:ascii="EUAlbertina_Bold" w:hAnsi="EUAlbertina_Bold" w:cs="EUAlbertina_Bold"/>
                <w:b/>
                <w:bCs/>
                <w:color w:val="000000"/>
                <w:sz w:val="19"/>
                <w:szCs w:val="19"/>
              </w:rPr>
            </w:pPr>
            <w:r w:rsidRPr="00AF15B1">
              <w:rPr>
                <w:rFonts w:ascii="EUAlbertina_Bold" w:hAnsi="EUAlbertina_Bold" w:cs="EUAlbertina_Bold"/>
                <w:b/>
                <w:bCs/>
                <w:color w:val="000000"/>
                <w:sz w:val="19"/>
                <w:szCs w:val="19"/>
              </w:rPr>
              <w:t>SMERNICA EURÓPSKEHO PARLAMENTU A RADY 2008/57/ES</w:t>
            </w:r>
          </w:p>
          <w:p w:rsidR="009777CA" w:rsidRPr="00AF15B1" w:rsidP="004829A0">
            <w:pPr>
              <w:autoSpaceDE w:val="0"/>
              <w:autoSpaceDN w:val="0"/>
              <w:bidi w:val="0"/>
              <w:adjustRightInd w:val="0"/>
              <w:jc w:val="center"/>
              <w:rPr>
                <w:rFonts w:ascii="EUAlbertina_Bold" w:hAnsi="EUAlbertina_Bold" w:cs="EUAlbertina_Bold"/>
                <w:b/>
                <w:bCs/>
                <w:color w:val="000000"/>
                <w:sz w:val="19"/>
                <w:szCs w:val="19"/>
              </w:rPr>
            </w:pPr>
            <w:r w:rsidRPr="00AF15B1">
              <w:rPr>
                <w:rFonts w:ascii="EUAlbertina_Bold" w:hAnsi="EUAlbertina_Bold" w:cs="EUAlbertina_Bold"/>
                <w:b/>
                <w:bCs/>
                <w:color w:val="000000"/>
                <w:sz w:val="19"/>
                <w:szCs w:val="19"/>
              </w:rPr>
              <w:t>zo 17. júna 2008</w:t>
            </w:r>
          </w:p>
          <w:p w:rsidR="009777CA" w:rsidRPr="00AF15B1" w:rsidP="004829A0">
            <w:pPr>
              <w:autoSpaceDE w:val="0"/>
              <w:autoSpaceDN w:val="0"/>
              <w:bidi w:val="0"/>
              <w:adjustRightInd w:val="0"/>
              <w:jc w:val="center"/>
              <w:rPr>
                <w:rFonts w:ascii="EUAlbertina_Bold" w:hAnsi="EUAlbertina_Bold" w:cs="EUAlbertina_Bold"/>
                <w:b/>
                <w:bCs/>
                <w:color w:val="000000"/>
                <w:sz w:val="19"/>
                <w:szCs w:val="19"/>
              </w:rPr>
            </w:pPr>
            <w:r w:rsidRPr="00AF15B1">
              <w:rPr>
                <w:rFonts w:ascii="EUAlbertina_Bold" w:hAnsi="EUAlbertina_Bold" w:cs="EUAlbertina_Bold"/>
                <w:b/>
                <w:bCs/>
                <w:color w:val="000000"/>
                <w:sz w:val="19"/>
                <w:szCs w:val="19"/>
              </w:rPr>
              <w:t xml:space="preserve">o interoperabilite systému </w:t>
            </w:r>
            <w:r w:rsidRPr="00AF15B1">
              <w:rPr>
                <w:rFonts w:ascii="EUAlbertina_Bold+01" w:hAnsi="EUAlbertina_Bold+01" w:cs="EUAlbertina_Bold+01"/>
                <w:b/>
                <w:bCs/>
                <w:color w:val="000000"/>
                <w:sz w:val="19"/>
                <w:szCs w:val="19"/>
              </w:rPr>
              <w:t>ž</w:t>
            </w:r>
            <w:r w:rsidRPr="00AF15B1">
              <w:rPr>
                <w:rFonts w:ascii="EUAlbertina_Bold" w:hAnsi="EUAlbertina_Bold" w:cs="EUAlbertina_Bold"/>
                <w:b/>
                <w:bCs/>
                <w:color w:val="000000"/>
                <w:sz w:val="19"/>
                <w:szCs w:val="19"/>
              </w:rPr>
              <w:t>elezníc v Spolo</w:t>
            </w:r>
            <w:r w:rsidRPr="00AF15B1">
              <w:rPr>
                <w:rFonts w:ascii="EUAlbertina_Bold+01" w:hAnsi="EUAlbertina_Bold+01" w:cs="EUAlbertina_Bold+01"/>
                <w:b/>
                <w:bCs/>
                <w:color w:val="000000"/>
                <w:sz w:val="19"/>
                <w:szCs w:val="19"/>
              </w:rPr>
              <w:t>č</w:t>
            </w:r>
            <w:r w:rsidRPr="00AF15B1">
              <w:rPr>
                <w:rFonts w:ascii="EUAlbertina_Bold" w:hAnsi="EUAlbertina_Bold" w:cs="EUAlbertina_Bold"/>
                <w:b/>
                <w:bCs/>
                <w:color w:val="000000"/>
                <w:sz w:val="19"/>
                <w:szCs w:val="19"/>
              </w:rPr>
              <w:t>enstve</w:t>
            </w:r>
          </w:p>
          <w:p w:rsidR="009777CA" w:rsidRPr="00AF15B1" w:rsidP="004829A0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EUAlbertina_Bold" w:hAnsi="EUAlbertina_Bold" w:cs="EUAlbertina_Bold"/>
                <w:b/>
                <w:bCs/>
                <w:color w:val="000000"/>
                <w:sz w:val="19"/>
                <w:szCs w:val="19"/>
              </w:rPr>
              <w:t>(prepracované znenie)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3696" w:rsidRPr="00AF15B1" w:rsidP="00293696">
            <w:pPr>
              <w:bidi w:val="0"/>
              <w:jc w:val="center"/>
              <w:rPr>
                <w:rStyle w:val="PlaceholderText"/>
                <w:b/>
                <w:color w:val="000000"/>
                <w:sz w:val="20"/>
                <w:szCs w:val="20"/>
              </w:rPr>
            </w:pPr>
            <w:r w:rsidRPr="00AF15B1">
              <w:rPr>
                <w:rStyle w:val="PlaceholderText"/>
                <w:b/>
                <w:color w:val="000000"/>
                <w:sz w:val="20"/>
                <w:szCs w:val="20"/>
              </w:rPr>
              <w:t xml:space="preserve">Zákon, </w:t>
            </w:r>
            <w:r w:rsidRPr="00AF15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ktorým sa mení a dopĺňa zákon</w:t>
            </w:r>
            <w:r w:rsidRPr="00AF15B1">
              <w:rPr>
                <w:rStyle w:val="PlaceholderText"/>
                <w:b/>
                <w:color w:val="000000"/>
                <w:sz w:val="20"/>
                <w:szCs w:val="20"/>
              </w:rPr>
              <w:t xml:space="preserve"> </w:t>
            </w:r>
            <w:r w:rsidRPr="00AF15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č. 513/2009 Z. z. o dráhach a o zmene a doplnení niektorých zákonov</w:t>
            </w:r>
            <w:r w:rsidRPr="00AF15B1">
              <w:rPr>
                <w:rStyle w:val="PlaceholderText"/>
                <w:b/>
                <w:color w:val="000000"/>
                <w:sz w:val="20"/>
                <w:szCs w:val="20"/>
              </w:rPr>
              <w:t xml:space="preserve">  </w:t>
            </w:r>
            <w:r w:rsidRPr="00AF15B1">
              <w:rPr>
                <w:rStyle w:val="PlaceholderText"/>
                <w:rFonts w:eastAsia="Arial Unicode MS"/>
                <w:b/>
                <w:color w:val="000000"/>
                <w:sz w:val="20"/>
                <w:szCs w:val="20"/>
              </w:rPr>
              <w:t>v 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znení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 xml:space="preserve"> nes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korší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ch predpisov a 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ktorý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m sa mení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 xml:space="preserve"> a 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dopĺň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a zá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kon č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. 514/2009 Z. z. o 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doprave na drá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hach v 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znení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 xml:space="preserve"> neskorší</w:t>
            </w:r>
            <w:r w:rsidRPr="00AF15B1">
              <w:rPr>
                <w:rStyle w:val="PlaceholderText"/>
                <w:rFonts w:eastAsia="Arial Unicode MS" w:hint="default"/>
                <w:b/>
                <w:color w:val="000000"/>
                <w:sz w:val="20"/>
                <w:szCs w:val="20"/>
              </w:rPr>
              <w:t>ch predpisov.</w:t>
            </w:r>
          </w:p>
          <w:p w:rsidR="009777CA" w:rsidRPr="00AF15B1" w:rsidP="00293696">
            <w:pPr>
              <w:pStyle w:val="Heading8"/>
              <w:autoSpaceDE w:val="0"/>
              <w:autoSpaceDN w:val="0"/>
              <w:bidi w:val="0"/>
              <w:adjustRightInd w:val="0"/>
              <w:rPr>
                <w:rFonts w:ascii="EUAlbertina_Bold" w:hAnsi="EUAlbertina_Bold" w:cs="EUAlbertina_Bold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14580" w:type="dxa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W w:w="14580" w:type="dxa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Člá-nok </w:t>
            </w:r>
          </w:p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(Č, O, V, P)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Spô-sob</w:t>
            </w:r>
          </w:p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transpozície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Číslo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AF15B1">
              <w:rPr>
                <w:rFonts w:ascii="Times New Roman" w:hAnsi="Times New Roman"/>
                <w:b w:val="0"/>
                <w:bCs w:val="0"/>
              </w:rPr>
              <w:t>Člá-nok (Č, §, O, V, P)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Text</w:t>
            </w:r>
          </w:p>
          <w:p w:rsidR="006F758F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Zhoda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Poznámky</w:t>
            </w:r>
          </w:p>
        </w:tc>
      </w:tr>
      <w:tr>
        <w:tblPrEx>
          <w:tblW w:w="14580" w:type="dxa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10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29A0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Č: 18</w:t>
            </w:r>
          </w:p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O: 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4. Notifikovaný orgán môže vydať prechodné vyhlásenia o overení, ktoré sa vzťahujú na určité etapy postupu overenia alebo na určité časti subsystému. V takom prípade sa  uplatňuje postup uvedený v prílohe VI.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AF15B1">
              <w:rPr>
                <w:rFonts w:ascii="Times New Roman" w:hAnsi="Times New Roman"/>
                <w:b w:val="0"/>
                <w:bCs w:val="0"/>
              </w:rPr>
              <w:t>§ 73</w:t>
            </w:r>
          </w:p>
          <w:p w:rsidR="009777CA" w:rsidRPr="00AF15B1" w:rsidP="004829A0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AF15B1">
              <w:rPr>
                <w:rFonts w:ascii="Times New Roman" w:hAnsi="Times New Roman"/>
                <w:b w:val="0"/>
                <w:bCs w:val="0"/>
              </w:rPr>
              <w:t>O: 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9777CA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14. V § 73 ods. 4 sa slová „čiastkové vyhlásenie o“ nahrádzajú slovami „certifikát ES o čiastkovom“.</w:t>
            </w:r>
          </w:p>
          <w:p w:rsidR="009777CA" w:rsidRPr="00AF15B1" w:rsidP="004829A0">
            <w:pPr>
              <w:bidi w:val="0"/>
              <w:ind w:righ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580" w:type="dxa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15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29A0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Č: 21</w:t>
            </w:r>
          </w:p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O: 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12. Povolenia na uvedenie do prevádzky, ktoré sa udelili pred 19. júlom 2008, vrátane povolení vydaných podľa medzinárodných dohôd, najmä RIC (Regolamento Internazionale Carrozze) a RIV (Regolamento Internazionale Veicoli), ostávajú v platnosti v súlade s podmienkami, podľa ktorých boli udelené. Toto ustanovenie má prednosť pred článkami 22 až 25.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AF15B1">
              <w:rPr>
                <w:rFonts w:ascii="Times New Roman" w:hAnsi="Times New Roman"/>
                <w:b w:val="0"/>
                <w:bCs w:val="0"/>
              </w:rPr>
              <w:t>§ 76</w:t>
            </w:r>
          </w:p>
          <w:p w:rsidR="009777CA" w:rsidRPr="00AF15B1" w:rsidP="004829A0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AF15B1">
              <w:rPr>
                <w:rFonts w:ascii="Times New Roman" w:hAnsi="Times New Roman"/>
                <w:b w:val="0"/>
                <w:bCs w:val="0"/>
              </w:rPr>
              <w:t>O: 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32D6" w:rsidRPr="00AF15B1" w:rsidP="00A032D6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15. V § 76 ods. 10 prvej vete sa vypúšťajú slová „v inom členskom štáte“. </w:t>
            </w:r>
          </w:p>
          <w:p w:rsidR="009777CA" w:rsidRPr="00AF15B1" w:rsidP="004829A0">
            <w:pPr>
              <w:bidi w:val="0"/>
              <w:ind w:right="1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77CA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14580" w:type="dxa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33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 w:rsidR="004829A0">
              <w:rPr>
                <w:rFonts w:ascii="Times New Roman" w:hAnsi="Times New Roman"/>
                <w:color w:val="000000"/>
                <w:sz w:val="20"/>
                <w:szCs w:val="20"/>
              </w:rPr>
              <w:t>Č: 33</w:t>
            </w: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O: 2</w:t>
            </w: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P: a)</w:t>
            </w: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P: b)</w:t>
            </w: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P: c)</w:t>
            </w: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P: d)</w:t>
            </w: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P: e)</w:t>
            </w:r>
          </w:p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P: f)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42B1" w:rsidRPr="00AF15B1" w:rsidP="004829A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Spoločné špecifikácie pre register sa prijmú v súlade s regulačným postupom uvedeným v článku 29 ods. 3 a na základe návrhu špecifikácií vypracovaného agentúrou. Uvedené návrhy špecifikácií zahŕňajú: obsah, formát údajov, funkčnú a technickú štruktúru, prevádzkový režim vrátane dohôd o výmene údajov a pravidlá vkladania a prezerania údajov. Pre každé vozidlo musí register obsahovať minimálne tieto informácie: </w:t>
            </w:r>
          </w:p>
          <w:p w:rsidR="005C42B1" w:rsidRPr="00AF15B1" w:rsidP="004829A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a) EČV;</w:t>
            </w:r>
          </w:p>
          <w:p w:rsidR="005C42B1" w:rsidRPr="00AF15B1" w:rsidP="004829A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b) odkazy na vyhlásenie ES o overení a vydávajúci orgán;</w:t>
            </w:r>
          </w:p>
          <w:p w:rsidR="005C42B1" w:rsidRPr="00AF15B1" w:rsidP="004829A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c) odkazy na Európsky register povolených typov vozidiel uvedený v článku 34;</w:t>
            </w:r>
          </w:p>
          <w:p w:rsidR="005C42B1" w:rsidRPr="00AF15B1" w:rsidP="004829A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d) identifikácia majiteľa vozidla a jeho držiteľa;</w:t>
            </w:r>
          </w:p>
          <w:p w:rsidR="005C42B1" w:rsidRPr="00AF15B1" w:rsidP="004829A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e) obmedzenia týkajúce sa použitia vozidla;</w:t>
            </w:r>
          </w:p>
          <w:p w:rsidR="005C42B1" w:rsidRPr="00AF15B1" w:rsidP="004829A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f) subjekt zodpovedný za údržbu.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42B1" w:rsidRPr="00AF15B1" w:rsidP="004829A0">
            <w:pPr>
              <w:pStyle w:val="EnvelopeReturn"/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AF15B1">
              <w:rPr>
                <w:rFonts w:ascii="Times New Roman" w:hAnsi="Times New Roman"/>
                <w:b w:val="0"/>
                <w:bCs w:val="0"/>
              </w:rPr>
              <w:t>§ 80 O: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42B1" w:rsidRPr="00AF15B1" w:rsidP="005C42B1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 V § 80 odsek 3 znie: </w:t>
            </w:r>
          </w:p>
          <w:p w:rsidR="005C42B1" w:rsidRPr="00AF15B1" w:rsidP="005C42B1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„(3) V národnom registri železničných vozidiel sa evidujú údaje podľa  spoločnej špecifikácie národného registra vozidiel.</w:t>
            </w:r>
            <w:r w:rsidRPr="00AF15B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27</w:t>
            </w:r>
            <w:r w:rsidRPr="00AF15B1" w:rsidR="00A032D6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AF15B1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)</w:t>
            </w: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“.</w:t>
            </w:r>
          </w:p>
          <w:p w:rsidR="005C42B1" w:rsidRPr="00AF15B1" w:rsidP="005C42B1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Poznámka pod čiarou k odkazu 27</w:t>
            </w:r>
            <w:r w:rsidRPr="00AF15B1" w:rsidR="00A032D6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znie:</w:t>
            </w:r>
          </w:p>
          <w:p w:rsidR="005C42B1" w:rsidRPr="00AF15B1" w:rsidP="005C42B1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„27</w:t>
            </w:r>
            <w:r w:rsidRPr="00AF15B1" w:rsidR="00A032D6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Rozhodnutie Komisie 2007/756/ES z 9. novembra 2007, ktorým sa prijíma spoločná špecifikácia národného registra vozidiel uvedená v článku 14 ods.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AF15B1">
                <w:rPr>
                  <w:rFonts w:ascii="Times New Roman" w:hAnsi="Times New Roman"/>
                  <w:color w:val="000000"/>
                  <w:sz w:val="20"/>
                  <w:szCs w:val="20"/>
                </w:rPr>
                <w:t>4 a</w:t>
              </w:r>
            </w:smartTag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smerníc 96/48/ES a 2001/16/ES (Ú. v. EÚ L 305, 23.11.2007) v znení rozhodnutia 2011/107/EÚ (Ú. v. EÚ L 43, 17.2.2011).“.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5B1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42B1" w:rsidRPr="00AF15B1" w:rsidP="004829A0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777CA" w:rsidRPr="00AF15B1" w:rsidP="00A032D6">
      <w:pPr>
        <w:bidi w:val="0"/>
        <w:rPr>
          <w:rFonts w:ascii="Times New Roman" w:hAnsi="Times New Roman"/>
          <w:color w:val="000000"/>
        </w:rPr>
      </w:pPr>
    </w:p>
    <w:p w:rsidR="00AF15B1" w:rsidRPr="00AF15B1" w:rsidP="00A032D6">
      <w:pPr>
        <w:bidi w:val="0"/>
        <w:rPr>
          <w:rFonts w:ascii="Times New Roman" w:hAnsi="Times New Roman"/>
          <w:color w:val="000000"/>
        </w:rPr>
      </w:pPr>
    </w:p>
    <w:tbl>
      <w:tblPr>
        <w:tblStyle w:val="TableNormal"/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20"/>
        <w:gridCol w:w="5220"/>
        <w:gridCol w:w="720"/>
        <w:gridCol w:w="540"/>
        <w:gridCol w:w="720"/>
        <w:gridCol w:w="4320"/>
        <w:gridCol w:w="720"/>
        <w:gridCol w:w="720"/>
      </w:tblGrid>
      <w:tr>
        <w:tblPrEx>
          <w:tblW w:w="0" w:type="auto"/>
          <w:tblInd w:w="-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1372"/>
        </w:trPr>
        <w:tc>
          <w:tcPr>
            <w:tcW w:w="666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center"/>
          </w:tcPr>
          <w:p w:rsidR="00AF15B1" w:rsidRPr="00AF15B1">
            <w:pPr>
              <w:pStyle w:val="CM4"/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SMERNICA KOMISIE 2011/18/EÚ</w:t>
            </w:r>
          </w:p>
          <w:p w:rsidR="00AF15B1" w:rsidRPr="00AF15B1">
            <w:pPr>
              <w:pStyle w:val="CM4"/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 16. marca 2011,</w:t>
            </w:r>
          </w:p>
          <w:p w:rsidR="00AF15B1" w:rsidRPr="00AF15B1">
            <w:pPr>
              <w:pStyle w:val="CM4"/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ktorou sa menia a dopĺňajú prílohy II, V a VI k smernici Európskeho parlamentu a Rady 2008/57/ES o interoperabilite systému železníc v Spoločenstve</w:t>
            </w:r>
          </w:p>
          <w:p w:rsidR="00AF15B1" w:rsidRPr="00AF15B1">
            <w:pPr>
              <w:pStyle w:val="Title"/>
              <w:bidi w:val="0"/>
              <w:rPr>
                <w:rFonts w:ascii="Times New Roman" w:hAnsi="Times New Roman" w:cs="Times New Roman"/>
                <w:color w:val="000000"/>
              </w:rPr>
            </w:pPr>
            <w:r w:rsidRPr="00AF15B1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(Text s významom pre EHP)</w:t>
            </w:r>
          </w:p>
        </w:tc>
        <w:tc>
          <w:tcPr>
            <w:tcW w:w="7020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center"/>
          </w:tcPr>
          <w:p w:rsidR="00AF15B1" w:rsidRPr="00FF462D">
            <w:pPr>
              <w:bidi w:val="0"/>
              <w:jc w:val="both"/>
              <w:rPr>
                <w:rStyle w:val="PlaceholderText"/>
                <w:color w:val="000000"/>
                <w:sz w:val="22"/>
                <w:szCs w:val="22"/>
                <w:lang w:eastAsia="cs-CZ"/>
              </w:rPr>
            </w:pPr>
            <w:r w:rsidRPr="00FF462D">
              <w:rPr>
                <w:rStyle w:val="PlaceholderText"/>
                <w:color w:val="000000"/>
                <w:sz w:val="22"/>
                <w:szCs w:val="22"/>
              </w:rPr>
              <w:t xml:space="preserve">Zákon, </w:t>
            </w:r>
            <w:r w:rsidRPr="00FF462D">
              <w:rPr>
                <w:rFonts w:ascii="Times New Roman" w:hAnsi="Times New Roman"/>
                <w:color w:val="000000"/>
                <w:sz w:val="22"/>
                <w:szCs w:val="22"/>
              </w:rPr>
              <w:t>ktorým sa mení a dopĺňa zákon</w:t>
            </w:r>
            <w:r w:rsidRPr="00FF462D">
              <w:rPr>
                <w:rStyle w:val="PlaceholderText"/>
                <w:color w:val="000000"/>
                <w:sz w:val="22"/>
                <w:szCs w:val="22"/>
              </w:rPr>
              <w:t xml:space="preserve"> </w:t>
            </w:r>
            <w:r w:rsidRPr="00FF462D">
              <w:rPr>
                <w:rFonts w:ascii="Times New Roman" w:hAnsi="Times New Roman"/>
                <w:color w:val="000000"/>
                <w:sz w:val="22"/>
                <w:szCs w:val="22"/>
              </w:rPr>
              <w:t>č. 513/2009 Z. z. o dráhach a o zmene a doplnení niektorých zákonov</w:t>
            </w:r>
            <w:r w:rsidRPr="00FF462D">
              <w:rPr>
                <w:rStyle w:val="PlaceholderText"/>
                <w:color w:val="000000"/>
                <w:sz w:val="22"/>
                <w:szCs w:val="22"/>
              </w:rPr>
              <w:t xml:space="preserve">  </w:t>
            </w:r>
            <w:r w:rsidRPr="00FF462D">
              <w:rPr>
                <w:rStyle w:val="PlaceholderText"/>
                <w:rFonts w:eastAsia="Arial Unicode MS"/>
                <w:color w:val="000000"/>
                <w:sz w:val="22"/>
                <w:szCs w:val="22"/>
              </w:rPr>
              <w:t>v 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znení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 xml:space="preserve"> neskorší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ch predpisov a 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ktorý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m sa mení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 xml:space="preserve"> a 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dopĺň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a zá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kon č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. 514/2009 Z. z. o 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doprave na drá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hach v 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znení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 xml:space="preserve"> neskorší</w:t>
            </w:r>
            <w:r w:rsidRPr="00FF462D">
              <w:rPr>
                <w:rStyle w:val="PlaceholderText"/>
                <w:rFonts w:eastAsia="Arial Unicode MS" w:hint="default"/>
                <w:color w:val="000000"/>
                <w:sz w:val="22"/>
                <w:szCs w:val="22"/>
              </w:rPr>
              <w:t>ch predpisov.</w:t>
            </w:r>
            <w:r w:rsidRPr="00FF462D">
              <w:rPr>
                <w:rStyle w:val="PlaceholderText"/>
                <w:color w:val="000000"/>
                <w:sz w:val="22"/>
                <w:szCs w:val="22"/>
              </w:rPr>
              <w:t> </w:t>
            </w:r>
          </w:p>
          <w:p w:rsidR="00AF15B1" w:rsidRPr="00AF15B1">
            <w:pPr>
              <w:pStyle w:val="Heading2"/>
              <w:bidi w:val="0"/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>
        <w:tblPrEx>
          <w:tblW w:w="0" w:type="auto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W w:w="0" w:type="auto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1468"/>
        </w:trPr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Člá-nok</w:t>
            </w:r>
          </w:p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(Č.O, V, P)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Spô-sob</w:t>
            </w:r>
          </w:p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trans-pozície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Čís-lo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Člá-nok</w:t>
            </w:r>
          </w:p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(Č, §, O, V, P)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Zho-da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Poz-nám-ky</w:t>
            </w:r>
          </w:p>
        </w:tc>
      </w:tr>
      <w:tr>
        <w:tblPrEx>
          <w:tblW w:w="0" w:type="auto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1194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eastAsia="EUAlbertina-ReguItal-Identity-H" w:hAnsi="Times New Roman" w:hint="default"/>
                <w:iCs/>
                <w:color w:val="000000"/>
                <w:sz w:val="22"/>
                <w:szCs w:val="22"/>
              </w:rPr>
              <w:t>Č</w:t>
            </w:r>
            <w:r w:rsidRPr="00AF15B1">
              <w:rPr>
                <w:rFonts w:ascii="Times New Roman" w:eastAsia="EUAlbertina-ReguItal-Identity-H" w:hAnsi="Times New Roman" w:hint="default"/>
                <w:iCs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2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Indent"/>
              <w:bidi w:val="0"/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</w:pP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Prí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lohy II, V a VI k smernici 2008/57/ES sa nahrá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dzajú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 xml:space="preserve"> prí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lohami I, II a III k tejto smernici.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odsek"/>
              <w:bidi w:val="0"/>
              <w:spacing w:before="0" w:after="0"/>
              <w:ind w:firstLine="0"/>
              <w:rPr>
                <w:rFonts w:ascii="Times New Roman" w:hAnsi="Times New Roman"/>
                <w:color w:val="000000"/>
                <w:highlight w:val="red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W w:w="0" w:type="auto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1960"/>
        </w:trPr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eastAsia="EUAlbertina-ReguItal-Identity-H" w:hAnsi="Times New Roman" w:hint="default"/>
                <w:iCs/>
                <w:color w:val="000000"/>
                <w:sz w:val="22"/>
                <w:szCs w:val="22"/>
              </w:rPr>
              <w:t>Č</w:t>
            </w:r>
            <w:r w:rsidRPr="00AF15B1">
              <w:rPr>
                <w:rFonts w:ascii="Times New Roman" w:eastAsia="EUAlbertina-ReguItal-Identity-H" w:hAnsi="Times New Roman" w:hint="default"/>
                <w:iCs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eastAsia="EUAlbertina-Regu-Identity-H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1. Č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lenské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tá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ty uvedú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do úč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innosti zá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kony, iné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prá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vne predpisy a sprá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vne opatrenia potrebné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na dosiahnutie sú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ladu s to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uto smernicou najneskô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r do 31. decembra 2011. Komisii bezodkladne ozná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mia znenie tý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chto ustanovení.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</w:pP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2. Č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lenské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tá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ty uvedú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priamo v prijatý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ch opatreniach alebo pri ich 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radnom uverejnení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odkaz na tú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to smernicu. Podrobnosti o odkaze upravia č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lenské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tá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ty.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eastAsia="EUAlbertina-Regu-Identity-H" w:hAnsi="Times New Roman"/>
                <w:b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3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. Povinnosti transpozí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cie a vykoná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vania tejto smernice sa nevzť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ahujú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na Cyperskú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republiku a Maltskú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republiku, ký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m na ich 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zemí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nebudú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vybudované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ž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eleznič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né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systé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my.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  <w:r w:rsidRPr="00AF15B1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Č. III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Príloha č. 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ind w:firstLine="36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Tento zákon nadobúda účinnosť dňa 31. decembra 2011.</w:t>
            </w:r>
          </w:p>
          <w:p w:rsidR="00AF15B1" w:rsidRPr="00AF15B1">
            <w:pPr>
              <w:tabs>
                <w:tab w:val="left" w:pos="1302"/>
              </w:tabs>
              <w:bidi w:val="0"/>
              <w:ind w:right="-468" w:firstLine="3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</w:p>
          <w:p w:rsidR="00AF15B1" w:rsidRPr="00AF15B1">
            <w:pPr>
              <w:bidi w:val="0"/>
              <w:jc w:val="both"/>
              <w:rPr>
                <w:rStyle w:val="PlaceholderText"/>
                <w:color w:val="000000"/>
              </w:rPr>
            </w:pPr>
            <w:r w:rsidRPr="00AF15B1">
              <w:rPr>
                <w:rStyle w:val="PlaceholderText"/>
                <w:color w:val="000000"/>
                <w:sz w:val="22"/>
                <w:szCs w:val="22"/>
              </w:rPr>
              <w:t>35. V prílohe č. 15 štvrtom bode sa na konci pripájajú tieto slová: „a smernice Komisie 2011/18/EÚ z 1.marca 2011 (Ú. v. EÚ L 57, 2.3.2011).“.</w:t>
            </w:r>
          </w:p>
          <w:p w:rsidR="00AF15B1" w:rsidRPr="00AF15B1">
            <w:pPr>
              <w:bidi w:val="0"/>
              <w:jc w:val="both"/>
              <w:rPr>
                <w:rFonts w:ascii="Times New Roman" w:eastAsia="Arial Unicode MS" w:hAnsi="Times New Roman"/>
                <w:color w:val="000000"/>
                <w:sz w:val="24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  <w:r w:rsidRPr="00AF15B1">
              <w:rPr>
                <w:rFonts w:ascii="Times New Roman" w:hAnsi="Times New Roman"/>
                <w:color w:val="000000"/>
              </w:rPr>
              <w:t>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W w:w="0" w:type="auto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717"/>
        </w:trPr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eastAsia="EUAlbertina-ReguItal-Identity-H" w:hAnsi="Times New Roman"/>
                <w:iCs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eastAsia="EUAlbertina-ReguItal-Identity-H" w:hAnsi="Times New Roman" w:hint="default"/>
                <w:iCs/>
                <w:color w:val="000000"/>
                <w:sz w:val="22"/>
                <w:szCs w:val="22"/>
              </w:rPr>
              <w:t>Č</w:t>
            </w:r>
            <w:r w:rsidRPr="00AF15B1">
              <w:rPr>
                <w:rFonts w:ascii="Times New Roman" w:eastAsia="EUAlbertina-ReguItal-Identity-H" w:hAnsi="Times New Roman" w:hint="default"/>
                <w:iCs/>
                <w:color w:val="000000"/>
                <w:sz w:val="22"/>
                <w:szCs w:val="22"/>
              </w:rPr>
              <w:t xml:space="preserve"> 3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Tá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to smernica nadobú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da ú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č</w:t>
            </w:r>
            <w:r w:rsidRPr="00AF15B1">
              <w:rPr>
                <w:rFonts w:ascii="Times New Roman" w:eastAsia="EUAlbertina-ReguItal-Identity-H" w:hAnsi="Times New Roman"/>
                <w:color w:val="000000"/>
                <w:sz w:val="22"/>
                <w:szCs w:val="22"/>
              </w:rPr>
              <w:t>innos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ť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 xml:space="preserve"> </w:t>
            </w:r>
            <w:r w:rsidRPr="00AF15B1">
              <w:rPr>
                <w:rFonts w:ascii="Times New Roman" w:eastAsia="EUAlbertina-ReguItal-Identity-H" w:hAnsi="Times New Roman"/>
                <w:color w:val="000000"/>
                <w:sz w:val="22"/>
                <w:szCs w:val="22"/>
              </w:rPr>
              <w:t>dvadsiatym d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ň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om po jej uverejnení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 xml:space="preserve"> v </w:t>
            </w:r>
            <w:r w:rsidRPr="00AF15B1">
              <w:rPr>
                <w:rFonts w:ascii="Times New Roman" w:eastAsia="EUAlbertina-ReguItal-Identity-H" w:hAnsi="Times New Roman" w:hint="default"/>
                <w:i/>
                <w:iCs/>
                <w:color w:val="000000"/>
                <w:sz w:val="22"/>
                <w:szCs w:val="22"/>
              </w:rPr>
              <w:t>Ú</w:t>
            </w:r>
            <w:r w:rsidRPr="00AF15B1">
              <w:rPr>
                <w:rFonts w:ascii="Times New Roman" w:eastAsia="EUAlbertina-ReguItal-Identity-H" w:hAnsi="Times New Roman" w:hint="default"/>
                <w:i/>
                <w:iCs/>
                <w:color w:val="000000"/>
                <w:sz w:val="22"/>
                <w:szCs w:val="22"/>
              </w:rPr>
              <w:t>radnom vestní</w:t>
            </w:r>
            <w:r w:rsidRPr="00AF15B1">
              <w:rPr>
                <w:rFonts w:ascii="Times New Roman" w:eastAsia="EUAlbertina-ReguItal-Identity-H" w:hAnsi="Times New Roman" w:hint="default"/>
                <w:i/>
                <w:iCs/>
                <w:color w:val="000000"/>
                <w:sz w:val="22"/>
                <w:szCs w:val="22"/>
              </w:rPr>
              <w:t>ku Euró</w:t>
            </w:r>
            <w:r w:rsidRPr="00AF15B1">
              <w:rPr>
                <w:rFonts w:ascii="Times New Roman" w:eastAsia="EUAlbertina-ReguItal-Identity-H" w:hAnsi="Times New Roman" w:hint="default"/>
                <w:i/>
                <w:iCs/>
                <w:color w:val="000000"/>
                <w:sz w:val="22"/>
                <w:szCs w:val="22"/>
              </w:rPr>
              <w:t>pskej ú</w:t>
            </w:r>
            <w:r w:rsidRPr="00AF15B1">
              <w:rPr>
                <w:rFonts w:ascii="Times New Roman" w:eastAsia="EUAlbertina-ReguItal-Identity-H" w:hAnsi="Times New Roman" w:hint="default"/>
                <w:i/>
                <w:iCs/>
                <w:color w:val="000000"/>
                <w:sz w:val="22"/>
                <w:szCs w:val="22"/>
              </w:rPr>
              <w:t>nie</w:t>
            </w:r>
            <w:r w:rsidRPr="00AF15B1">
              <w:rPr>
                <w:rFonts w:ascii="Times New Roman" w:eastAsia="EUAlbertina-ReguItal-Identity-H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  <w:r w:rsidRPr="00AF15B1">
              <w:rPr>
                <w:rFonts w:ascii="Times New Roman" w:hAnsi="Times New Roman"/>
                <w:color w:val="000000"/>
              </w:rPr>
              <w:t>n. a.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odsek"/>
              <w:bidi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W w:w="0" w:type="auto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eastAsia="EUAlbertina-ReguItal-Identity-H" w:hAnsi="Times New Roman"/>
                <w:iCs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eastAsia="EUAlbertina-ReguItal-Identity-H" w:hAnsi="Times New Roman" w:hint="default"/>
                <w:iCs/>
                <w:color w:val="000000"/>
                <w:sz w:val="22"/>
                <w:szCs w:val="22"/>
              </w:rPr>
              <w:t>Č</w:t>
            </w:r>
            <w:r w:rsidRPr="00AF15B1">
              <w:rPr>
                <w:rFonts w:ascii="Times New Roman" w:eastAsia="EUAlbertina-ReguItal-Identity-H" w:hAnsi="Times New Roman" w:hint="default"/>
                <w:iCs/>
                <w:color w:val="000000"/>
                <w:sz w:val="22"/>
                <w:szCs w:val="22"/>
              </w:rPr>
              <w:t xml:space="preserve"> 4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Tá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to smernica je ur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č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ená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 xml:space="preserve"> </w:t>
            </w:r>
            <w:r w:rsidRPr="00AF15B1">
              <w:rPr>
                <w:rFonts w:ascii="Times New Roman" w:eastAsia="EUAlbertina-Regu-Identity-H" w:hAnsi="Times New Roman" w:hint="default"/>
                <w:color w:val="000000"/>
                <w:sz w:val="22"/>
                <w:szCs w:val="22"/>
              </w:rPr>
              <w:t>č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lenský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m š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tá</w:t>
            </w:r>
            <w:r w:rsidRPr="00AF15B1">
              <w:rPr>
                <w:rFonts w:ascii="Times New Roman" w:eastAsia="EUAlbertina-ReguItal-Identity-H" w:hAnsi="Times New Roman" w:hint="default"/>
                <w:color w:val="000000"/>
                <w:sz w:val="22"/>
                <w:szCs w:val="22"/>
              </w:rPr>
              <w:t>tom.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  <w:r w:rsidRPr="00AF15B1">
              <w:rPr>
                <w:rFonts w:ascii="Times New Roman" w:hAnsi="Times New Roman"/>
                <w:color w:val="000000"/>
              </w:rPr>
              <w:t>n. a.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odsek"/>
              <w:bidi w:val="0"/>
              <w:spacing w:before="0" w:after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PRÍLOHA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PRÍLOHA II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SUBSYSTÉMY 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1. Zoznam subsystémov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Na účely tejto smernice sa systém tvoriaci systém železníc môže rozčleniť na tieto subsystémy: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a) štrukturálne oblasti: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infraštruktúra,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energia,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traťové riadenie-zabezpečenie a návestenie v prípade traťových zariadení,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riadenie-zabezpečenie a návestenie v prípade palubných zariadení,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železničné koľajové vozidlá;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b) funkčné oblasti: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prevádzka a riadenie dopravy,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údržba,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telematické aplikácie v osobnej a nákladnej doprave.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 Opis subsystémov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Agentúra navrhne v čase vypracovania príslušného návrhu TSI pre každý subsystém alebo časť subsystému zoznam komponentov a aspektov týkajúcich sa interoperability. Bez toho, aby bol dotknutý výber aspektov alebo komponentov týkajúcich sa interoperability a poradia, v akom sa stanú predmetom TSI, subsystémy zahŕňajú tieto oblasti: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2.1. Infraštruktúra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Trať, výmeny, inžinierske stavby (mosty, tunely atď.), pridružená infraštruktúra stanice (nástupištia, prístupové zóny vrátane potrieb pre osoby so zníženou pohyblivosťou atď.), bezpečnostné a ochranné zariadenia.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2.2. Energia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Elektrifikačný systém vrátane nadzemného trolejového vedenia a traťové časti zariadení na meranie spotreby elektrickej energie.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2.3. Riadenie-zabezpečenie a návestenie v prípade traťových zariadení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Všetky traťové zariadenia potrebné na zaručenie bezpečnosti a riadenia pohybu vlakov schválených na premávanie po sieti.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2.4. Riadenie-zabezpečenie a návestenie v prípade palubných zariadení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Všetky palubné zariadenia potrebné na zaručenie bezpečnosti a riadenia pohybu vlakov schválených na premávanie po sieti.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 Prevádzka a riadenie dopravy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Postupy a zariadenia umožňujúce koherentnú prevádzku rozličných štrukturálnych subsystémov tak počas bežnej, ako aj počas mimoriadnej prevádzky vrátane zloženia a riadenia vlakov, plánovania a riadenia dopravy.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Na vykonávanie cezhraničnej dopravy sa môže vyžadovať odborná kvalifikácia.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2.6. Telematické aplikácie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 súlade s prílohou I tento subsystém pozostáva z dvoch prvkov: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a) aplikácií v osobnej doprave vrátane systémov, ktoré poskytujú cestujúcim informácie pred cestou a počas cesty, systémov rezervácie a platenia, manažmentu batožiny a manažmentu spojení medzi vlakmi a ostatnými druhmi dopravy;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b) aplikácií v nákladnej doprave vrátane informačných systémov (monitorovanie nákladu a vlakov v reálnom čase), systémov zoraďovania (zriaďovania a rozmiestňovania), systémov rezervácie, platenia a fakturácie, manažmentu spojení s ostatnými druhmi dopravy a vypracúvania elektronických sprievodných dokladov.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2.7. Železničné koľajové vozidlá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Štruktúra, systém riadenia a zabezpečenia pre všetky vlakové zariadenia, zariadenia zberačov prúdu, trakčné jednotky a jednotky na premenu energie, palubné zariadenia na meranie spotreby elektrickej energie, brzdové zariadenia, ťahadlové mechanizmy, pojazdné zariadenia (podvozky, nápravy atď.) a zavesenia, dvere, rozhrania človek/stroj (vodič, vlakový personál a cestujúci vrátane potrieb pre osoby so zníženou pohyblivosťou), pasívne alebo aktívne bezpečnostné zariadenia a potreby pre zdravie cestujúcich a vlakového personálu.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2.8. Údržba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Postupy, s nimi súvisiace zariadenia, logistické strediská pre údržbárske práce a rezervy, ktoré umožňujú vykonávať povinnú nápravnú a preventívnu údržbu s cieľom zabezpečiť interoperabilitu systému železníc a zaručiť požadovanú výkonnosť."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  <w:r w:rsidRPr="00AF15B1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Príloha č. 1</w:t>
            </w:r>
          </w:p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31. Príloha č. 1 znie: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„SUBSYSTÉMY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1. Zoznam subsystémov</w:t>
            </w:r>
          </w:p>
          <w:p w:rsidR="00AF15B1" w:rsidRPr="00AF15B1">
            <w:pPr>
              <w:bidi w:val="0"/>
              <w:ind w:firstLine="18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Železničný systém sa člení na tieto subsystémy:</w:t>
            </w:r>
          </w:p>
          <w:p w:rsidR="00AF15B1" w:rsidRPr="00AF15B1">
            <w:pPr>
              <w:bidi w:val="0"/>
              <w:ind w:firstLine="18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1.1 v štrukturálnej oblasti</w:t>
            </w:r>
          </w:p>
          <w:p w:rsidR="00AF15B1" w:rsidRPr="00AF15B1">
            <w:pPr>
              <w:bidi w:val="0"/>
              <w:ind w:firstLine="54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a) železničná infraštruktúra,</w:t>
            </w:r>
          </w:p>
          <w:p w:rsidR="00AF15B1" w:rsidRPr="00AF15B1">
            <w:pPr>
              <w:bidi w:val="0"/>
              <w:ind w:firstLine="54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b) energia,</w:t>
            </w:r>
          </w:p>
          <w:p w:rsidR="00AF15B1" w:rsidRPr="00AF15B1">
            <w:pPr>
              <w:bidi w:val="0"/>
              <w:ind w:firstLine="54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c) traťové zariadenia riadenia-zabezpečenia a návestenia,</w:t>
            </w:r>
          </w:p>
          <w:p w:rsidR="00AF15B1" w:rsidRPr="00AF15B1">
            <w:pPr>
              <w:bidi w:val="0"/>
              <w:ind w:firstLine="54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d) vozidlové zariadenia riadenia-zabezpečenia a návestenia,</w:t>
            </w:r>
          </w:p>
          <w:p w:rsidR="00AF15B1" w:rsidRPr="00AF15B1">
            <w:pPr>
              <w:bidi w:val="0"/>
              <w:ind w:firstLine="54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e) železničné koľajové vozidlá;</w:t>
            </w:r>
          </w:p>
          <w:p w:rsidR="00AF15B1" w:rsidRPr="00AF15B1">
            <w:pPr>
              <w:bidi w:val="0"/>
              <w:ind w:firstLine="18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1.2 vo funkčnej oblasti</w:t>
            </w:r>
          </w:p>
          <w:p w:rsidR="00AF15B1" w:rsidRPr="00AF15B1">
            <w:pPr>
              <w:bidi w:val="0"/>
              <w:ind w:firstLine="54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a) prevádzka a riadenie dopravy,</w:t>
            </w:r>
          </w:p>
          <w:p w:rsidR="00AF15B1" w:rsidRPr="00AF15B1">
            <w:pPr>
              <w:bidi w:val="0"/>
              <w:ind w:firstLine="54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b) údržba a</w:t>
            </w:r>
          </w:p>
          <w:p w:rsidR="00AF15B1" w:rsidRPr="00AF15B1">
            <w:pPr>
              <w:bidi w:val="0"/>
              <w:ind w:firstLine="54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c) telematické aplikácie v osobnej doprave a v nákladnej doprave.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 Opis subsystémov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Komponenty a aspekty týkajúce sa interoperability sú určené pre každý subsystém alebo časť subsystému z technickej špecifikácie interoperability. Subsystémy zahŕňajú najmä: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2.1 Železničná infraštruktúra - železničné trate, výhybky, inžinierske stavby (najmä mosty a tunely), pridruženú infraštruktúru stanice (najmä nástupištia, prístupové zóny vrátane potrieb osôb so zníženou pohyblivosťou), bezpečnostné zariadenia a ochranné zariadenia.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2.2 Energia - elektrifikačný systém, vrátane nadzemného trolejového vedenia a traťové časti zariadení na meranie spotreby elektrickej energie.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2.3 Traťové zariadenia riadenia-zabezpečenia a návestenia – všetky traťové zariadenia potrebné na zaistenie bezpečnosti a riadenia pohybu vlakov schválených na prevádzku v železničnej infraštruktúre.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2.4 Vozidlové zariadenia riadenia-zabezpečenia a návestenia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Všetky vozidlové zariadenia potrebné na zaručenie bezpečnosti a riadenia pohybu vlakov schválených na jazdu po železničnej infraštruktúre.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 Prevádzka a riadenie dopravy - postupy a zariadenia umožňujúce koherentnú prevádzku rôznych štrukturálnych subsystémov tak počas bežnej prevádzky, ako aj počas poruchovej prevádzky, vrátane zostavy a vedenia vlakov, plánovania a riadenia železničnej dopravy.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Na prevádzkovanie cezhraničnej železničnej dopravy sa môže vyžadovať odborná kvalifikácia.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2.6 Telematické aplikácie - v súlade s členením systému transeurópskych železníc tento subsystém tvoria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a) aplikácie v osobnej doprave, vrátane systémov poskytujúcich cestujúcim informácie pred cestou a počas cesty, systémov rezervácie a platenia, manažmentu batožiny a manažmentu spojení medzi vlakmi a ostatnými druhmi dopravy,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b) aplikácie v nákladnej doprave, vrátane informačných systémov (najmä monitorovania nákladu a vlakov v reálnom čase), systémov zoraďovania (zriaďovania a rozraďovania), systémov rezervácie, platenia a fakturácie, manažmentu spojení s ostatnými druhmi dopravy a vypracúvania elektronických sprievodných dokladov.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2.7 Železničné koľajové vozidlá - štruktúra, systém riadenia a zabezpečenia pre všetky vlakové zariadenia, zariadenia pre zber prúdu, trakčné jednotky a jednotky na premenu energie, vozidlové zariadenia na meranie spotreby elektrickej energie, brzdové zariadenia, ťahadlové mechanizmy, pojazdné zariadenia (najmä podvozky a nápravy) a vypruženia, dvere, rozhrania človek/stroj (rušňovodič, vlakový personál a cestujúci, vrátane potrieb pre osoby so zníženou pohyblivosťou), pasívne a aktívne bezpečnostné zariadenia a potreby pre zdravie cestujúcich a vlakového personálu.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2.8 Údržba - postupy a s nimi súvisiace zariadenia, logistické strediská pre údržbárske práce a rezervy, ktoré umožnia vykonávať povinnú nápravnú a preventívnu údržbu s cieľom zabezpečiť interoperabilitu v určenej časti siete a zaručiť požadovanú výkonnosť.“.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  <w:r w:rsidRPr="00AF15B1">
              <w:rPr>
                <w:rFonts w:ascii="Times New Roman" w:hAnsi="Times New Roman"/>
                <w:color w:val="000000"/>
              </w:rPr>
              <w:t>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PRÍLOHA V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VYHLÁSENIE ES O OVERENÍ SUBSYSTÉMOV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1. Vyhlásenie ES o overení subsystémov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Vyhlásenie ES o overení a sprievodné dokumenty musia byť datované a podpísané.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Uvedené vyhlásenie musí vychádzať z informácií vyplývajúcich z postupu ES pri overovaní subsystémov v zmysle bodu 2 prílohy VI. Musí byť napísané v tom istom jazyku ako súbor technickej dokumentácie a musí obsahovať aspoň tieto položky: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odkazy na smernicu,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názov a adresu obstarávateľa alebo výrobcu alebo ich splnomocneného zástupcu so sídlom v Európskej únii (uveďte obchodný názov a úplnú adresu; v prípade splnomocneného zástupcu uveďte aj obchodný názov obstarávateľa alebo výrobcu),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stručný opis subsystému,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názov a adresu notifikovaného orgánu, ktorý vykonal overenie ES uvedené v článku 18,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odkazy na dokumenty, ktoré obsahuje súbor technickej dokumentácie,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všetky príslušné dočasné alebo konečné ustanovenia, ktoré majú subsystémy spĺňať, a v prípade potreby najmä prevádzkové obmedzenia alebo podmienky,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v prípade, že ide o dočasné vyhlásenie ES: obdobie jeho platnosti,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totožnosť signatára.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Ak sa v prílohe VI odkazuje na vyhlásenie ES o ISV, na toto vyhlásenie sa uplatňujú ustanovenia tohto oddielu.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 Vyhlásenie o overení subsystémov v prípade vnútroštátnych predpisov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Ak sa v prílohe VI odkazuje na vyhlásenie o overení subsystémov v prípade vnútroštátnych predpisov, na dané vyhlásenie sa mutatis mutandis uplatňujú ustanovenia bodu 1."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  <w:r w:rsidRPr="00AF15B1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33. V prílohe č. 6 časť ES vyhlásenie o overení vrátane nadpisu znie: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„ES VYHLÁSENIE O OVERENÍ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ES vyhlásenie o overení 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ES vyhlásenie o overení a sprievodné dokumenty musia byť datované a podpísané.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Vyhlásenie musí vychádzať z informácií vyplývajúcich z postupu pri ES overovaní subsystémov podľa </w:t>
            </w:r>
            <w:r w:rsidR="00FF46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druhého </w:t>
            </w: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bodu prílohy č. 4.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Toto vyhlásenie musí byť napísané v tom istom jazyku ako technické podklady a musí obsahovať najmä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a) odkaz na smernicu,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b) obchodné meno a úplnú adresu sídla obstarávateľa alebo výrobcu subsystému, alebo splnomocneného zástupcu so sídlom v Európskej únii; ak ide o splnomocneného zástupcu aj obchodné meno a úplnú adresu sídla obstarávateľa alebo výrobcu,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c) stručný opis subsystému,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d) názov a adresu notifikovanej osoby, ktorá vydala certifikát o overení podľa postupu uvedeného v prílohe č. 4,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e) odkazy na jednotlivé dokumenty, ktoré sú obsahom súboru technickej dokumentácie,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f) príslušné dočasné alebo konečné ustanovenia, ktoré majú subsystémy spĺňať, a podľa potreby, najmä prevádzkové obmedzenia alebo podmienky,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g) dobu platnosti, ak ide o dočasné vyhlásenie ES,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h) totožnosť signatára.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Ustanovenia tohto bodu platia aj na vyhlásenie ES o čiastkovom overení.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 ES vyhlásenie o overení v prípade vnútroštátnych predpisov</w:t>
            </w:r>
          </w:p>
          <w:p w:rsidR="00AF15B1" w:rsidRPr="00AF15B1">
            <w:pPr>
              <w:bidi w:val="0"/>
              <w:jc w:val="both"/>
              <w:rPr>
                <w:rStyle w:val="PlaceholderText"/>
                <w:b/>
                <w:color w:val="000000"/>
                <w:sz w:val="24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Na vyhlásenie o overení subsystémov v prípade vnútroštátnych predpisov sa ustanovenia bodu 1 uplatňujú s</w:t>
            </w:r>
            <w:r w:rsidRPr="00AF15B1">
              <w:rPr>
                <w:rStyle w:val="Strong"/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potrebnými zmenami</w:t>
            </w: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.".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  <w:r w:rsidRPr="00AF15B1">
              <w:rPr>
                <w:rFonts w:ascii="Times New Roman" w:hAnsi="Times New Roman"/>
                <w:color w:val="000000"/>
              </w:rPr>
              <w:t>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-290" w:type="dxa"/>
          <w:tblLayout w:type="fixed"/>
          <w:tblCellMar>
            <w:left w:w="70" w:type="dxa"/>
            <w:right w:w="70" w:type="dxa"/>
          </w:tblCellMar>
        </w:tblPrEx>
        <w:trPr>
          <w:trHeight w:val="347"/>
        </w:trPr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iCs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PRÍLOHA VI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POSTUP OVEROVANIA SUBSYSTÉMOV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1. VŠEOBECNÉ ZÁSADY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 rámci postupu overovania subsystémov sa kontroluje a osvedčuje, že subsystém: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je navrhnutý, konštruovaný a inštalovaný takým spôsobom, aby vyhovoval základným požiadavkám, ktoré sa ho týkajú, a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môže sa povoliť jeho uvedenie do prevádzky.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 POSTUP ES PRI OVEROVANÍ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2.1. Úvod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Overenie ES je postup, pri ktorom notifikovaný orgán kontroluje a potvrdzuje, že subsystém: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spĺňa ustanovenia príslušných TSI,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spĺňa ustanovenia iných predpisov vyplývajúcich zo zmluvy.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2.2. Časti subsystému a etapy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2.2.1. Potvrdenie o čiastkovom overení (ISV)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Ak sa to uvádza v TSI, alebo prípadne na žiadosť žiadateľa, sa subsystém môže rozdeliť na určité častí alebo sa v určitých etapách postupu overovania môže vykonať jeho kontrola.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Potvrdenie o čiastkovom overení (ISV) je postup, v rámci ktorého notifikovaný orgán kontroluje a osvedčuje určité časti subsystému alebo určité etapy postupu overovania.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Po každom ISV dôjde k vyhotoveniu osvedčenia ES o ISV notifikovaným orgánom podľa výberu žiadateľa, ktorý potom v prípade potreby vyhotoví vyhlásenie ES o ISV. Osvedčenie o ISV a vyhlásenie o ISV musia obsahovať odkaz na tie TSI, v ktorých prípade sa posudzovala zhoda.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2.2.2. Časti subsystému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Žiadateľ môže žiadať o ISV pre každú časť. Každú časť možno podrobiť kontrole v každej etape opísanej v bode 2.2.3.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2.2.3. Etapy postupu overovania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Subsystém alebo určité časti subsystému sa podrobia kontrole vo všetkých týchto etapách: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celkový projekt,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výrobný proces: výstavba najmä vrátane stavebných činností, výroby, montáže komponentov, konečného nastavenia,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záverečné odskúšanie.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Žiadateľ môže požiadať o ISV v etape projektovania (vrátane typových testov) a vo výrobnej etape.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2.3. Osvedčenie o overení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2.3.1. Notifikovaný orgán zodpovedný za overenie ES posúdi projekt, výrobný proces a záverečné odskúšanie subsystému a vyhotoví osvedčenie ES o overení určené pre žiadateľa, ktorý potom vyhotoví vyhlásenie ES o overení. Osvedčenie ES o overení musí obsahovať odkaz na tie TSI, v ktorých prípade sa posudzovala zhoda.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 prípade, že nedošlo k posúdeniu zhody subsystému vo všetkými relevantnými TSI (napríklad v prípade výnimiek, čiastkového uplatňovania TSI z dôvodu modernizácie alebo obnovy, prechodného obdobia v TSI alebo v špecifických prípadoch), osvedčenie ES musí obsahovať presný odkaz na TSI alebo ich časti, v ktorých prípade notifikovaný orgán počas postupu ES pri overovaní nepreskúmal zhodu.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2.3.2. V prípade, že boli vydané osvedčenia ES o ISV, notifikovaný orgán zodpovedný za overovanie ES subsystému vezme tieto osvedčenia do úvahy a pred vydaním osvedčenia ES o overení: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potvrdí, že osvedčenia ES o ISV náležite zodpovedajú relevantným požiadavkam TSI,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skontroluje všetky aspekty, na ktoré sa nevzťahujú osvedčenia ES o ISV a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skontroluje záverečné odskúšanie celého subsystému.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2.4. Súbor technickej dokumentácie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Súbor technickej dokumentácie, ktorý tvorí prílohu k vyhláseniu ES o overení, musí obsahovať: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technické vlastnosti konštrukčného riešenia - okrem iného celkové a podrobné výkresy súvisiace s realizáciou, elektrické a hydraulické schémy, schémy kontrolných okruhov, opis systémov spracúvania dát a automatických systémov, dokumentáciu týkajúcu sa prevádzky a údržby atď., ktorá je relevantná pre príslušný subsystém,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zoznam komponentov interoperability podľa článku 5 ods. 3 písm. d), ktoré sú začlenené do subsystému,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kópie vyhlásení ES o zhode alebo vhodnosti na použitie predpísané pre uvedené komponenty v súlade s článkom 13 tejto smernice, ku ktorým sú podľa potreby priložené zodpovedajúce podklady o výpočtoch a kópia záznamov o skúškach a preskúmaniach, ktoré vykonali notifikované orgány na základe spoločných technických špecifikácií,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osvedčenia ES o ISV, ak sú k dispozícii, a v tom prípade aj vyhlásenia ES o ISV, ktoré sú priložené k osvedčeniu ES o overení, vrátane výsledku overenia platnosti týchto osvedčení notifikovaným orgánom,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osvedčenie ES o overení spolu so zodpovedajúcimi podkladmi o výpočtoch, podpísané notifikovaným orgánom zodpovedným za overenie ES, v ktorom sa uvedie, že subsystém je v súlade s požiadavkami relevantných TSI, a v ktorom sa uvedú prípadné výhrady, ktoré sa zaznamenali počas výkonu činností a neboli odvolané. Osvedčenie ES o overení by tiež mali sprevádzať správy o kontrole a audite, ktoré vypracoval ten istý orgán v súvislosti s overením podľa bodov 2.5.3 a 2.5.4,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osvedčenia ES vydané v súlade s inými právnymi predpismi platnými na základe zmluvy,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v prípade, že sa požaduje bezpečná integrácia podľa nariadenia Komisie (ES) č. 352/2009 [1], žiadateľ v rámci súboru technickej dokumentácie predloží správu posudzovateľa o spoločných bezpečnostných metódach (Common Safety Methods - CSM) hodnotenia a posudzovania rizík v zmysle článku 6 ods. 3 smernice 2004/49/ES.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 Monitorovanie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2.5.1. Cieľom monitorovania ES je zabezpečiť, aby sa počas výroby subsystému splnili povinnosti vyplývajúce zo súboru technickej dokumentácie.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2.5.2. Notifikovaný orgán zodpovedný za kontrolu výroby musí mať stály prístup na staveniská, do výrobných dielní, skladových priestorov a v prípade potreby do prefabrikačných alebo skúšobných zariadení a zo všeobecného hľadiska do všetkých objektov, ktoré uzná za potrebné navštíviť pri plnení svojich úloh. Žiadateľ musí poslať notifikovanému orgánu všetky dokumenty potrebné na tento účel, a najmä realizačné plány a technické záznamy týkajúce sa subsystému.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2.5.3. Notifikovaný orgán zodpovedný za kontrolu realizácie musí v pravidelných intervaloch vykonávať audity, aby potvrdil zhodu s relevantnými TSI. Záznamy o audite musí poskytnúť subjektom zodpovedným za realizáciu. Môže požadovať svoju účasť pri určitých etapách stavebných činností.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2.5.4. Notifikovaný orgán môže navyše vykonať neohlásenú návštevu pracoviska alebo výrobných dielní. Počas takejto návštevy môže vykonať úplný alebo čiastočný audit. Notifikovaný orgán musí subjektom zodpovedným za realizáciu poskytnúť protokol o kontrole a prípadne protokol o audite.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2.5.5. V záujme vydania vyhlásenia ES o vhodnosti na použitie uvedeného v bode 2 prílohy IV notifikovaný orgán, pokiaľ to tak príslušné TSI vyžadujú, bude môcť monitorovať subsystém, na ktorom je upevnený komponent interoperability, s cieľom posúdiť vhodnosť jeho použitia v uvedenom železničnom prostredí.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2.6. Predkladanie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Úplný súbor dokumentácie uvedený v bode 2.4 sa musí odovzdať žiadateľovi ako príloha k osvedčeniam ES o ISV (ak sú k dispozícii), ktoré vydal zodpovedný notifikovaný orgán, alebo ako príloha k osvedčeniu o overení, ktoré vydal notifikovaný orgán zodpovedný za overenie ES v prípade subsystému. Súbor dokumentácie sa musí pripojiť k vyhláseniu ES o overení, ktoré žiadateľ zašle príslušnému orgánu, ktorému prekladá žiadosť o povolenie na uvedenie do prevádzky.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Žiadateľ musí uchovávať kópiu súboru dokumentácie počas prevádzkovej životnosti subsystému. Súbor dokumentácie sa musí zaslať každému inému členskému štátu, ktorý o to požiada.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>2.7. Zverejňovanie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Každý notifikovaný orgán musí pravidelne uverejňovať príslušné informácie o: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prijatých žiadostiach o overenie ES a ISV,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žiadosti o posúdenie zhody a/alebo vhodnosti na použitie komponentov interoperability,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vydaných alebo zamietnutých osvedčeniach ES o ISV,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vydaných alebo zamietnutých osvedčeniach ES o zhode a/alebo vhodnosti na použitie,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- vydaných alebo zamietnutých osvedčeniach ES o overení.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>2.8. Jazyk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>Dokumentácia a korešpondencia o postupoch ES pri overovaní musí byť napísaná v úradnom jazyku členského štátu, v ktorom má žiadateľ sídlo, alebo v jazyku akceptovanom žiadateľom.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>3. POSTUP OVEROVANIA V PRÍPADE VNÚTROŠTÁTNYCH PREDPISOV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3.1. Úvod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Postup overovania v prípade vnútroštátnych predpisov je postup, pri ktorom orgán vymenovaný podľa článku 17 ods. 3 (ďalej len "vymenovaný orgán") kontroluje a osvedčuje, že subsystém spĺňa ustanovenia vnútroštátnych predpisov oznámených v súlade s článkom 17 ods. 3.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3.2. Osvedčenie o overení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Vymenovaný orgán zodpovedný za postup overovania v prípade vnútroštátnych predpisov vyhotoví pre žiadateľa osvedčenie o overení.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Osvedčenie obsahuje presné odkazy na vnútroštátne predpisy, ktorých zhodu preskúmal vymenovaný orgán v rámci postupu overovania, vrátane predpisov, ktoré sa týkajú častí, na ktoré sa vzťahuje výnimka z TSI, modernizácia alebo obnova.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 prípade vnútroštátnych predpisov, ktoré sa týkajú subsystémov, z ktorých sa skladá vozidlo, vymenovaný orgán rozčlení osvedčenie do dvoch častí, pričom prvá časť bude obsahovať odkaz na vnútroštátne predpisy, ktoré sa bezprostredne týkajú technickej zlučiteľnosti vozidla a príslušnej siete, kým druhá časť bude obsahovať odkazy na všetky ostatné vnútroštátne predpisy.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3.3. Súbor technickej dokumentácie</w:t>
            </w:r>
          </w:p>
          <w:p w:rsidR="00AF15B1" w:rsidRPr="00AF15B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Súbor technickej dokumentácie, ktorý tvorí prílohu k osvedčeniu o overení v prípade vnútroštátnych predpisov, musí byť súčasťou súboru technickej dokumentácie uvedeného v bode </w:t>
            </w:r>
            <w:smartTag w:uri="urn:schemas-microsoft-com:office:smarttags" w:element="metricconverter">
              <w:smartTagPr>
                <w:attr w:name="ProductID" w:val="2.4 a"/>
              </w:smartTagPr>
              <w:r w:rsidRPr="00AF15B1">
                <w:rPr>
                  <w:rFonts w:ascii="Times New Roman" w:hAnsi="Times New Roman"/>
                  <w:color w:val="000000"/>
                  <w:sz w:val="22"/>
                  <w:szCs w:val="22"/>
                </w:rPr>
                <w:t>2.4 a</w:t>
              </w:r>
            </w:smartTag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obsahuje technické údaje relevantné z hľadiska posúdenia zhody subsystému s vnútroštátnymi predpismi."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  <w:r w:rsidRPr="00AF15B1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32. Príloha č. 4 znie: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„POSTUP OVEROVANIA SUBSYSTÉMOV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1. VŠEOBECNÉ ZÁSADY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 rámci postupu overovania subsystémov sa kontroluje a osvedčuje, že subsystém je navrhnutý, konštruovaný a inštalovaný takým spôsobom, aby spĺňal základné požiadavky, ktoré sa ho týkajú, a môže sa povoliť jeho uvedenie do prevádzky.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 POSTUP PRI ES OVEROVANÍ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2.1. Úvod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ES overovanie subsystémov je postup, v ktorom notifikovaná osoba kontroluje a potvrdzuje, že subsystém spĺňa ustanovenia príslušných technických špecifikácií interoperability a ustanovenia iných všeobecne záväzných právnych predpisov.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2.2. Časti subsystému a etapy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2.2.1. Čiastkové overenie 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Ak sa to uvádza v technických špecifikáciách interoperability, alebo na žiadosť žiadateľa, sa subsystém môže rozdeliť na určité časti alebo sa v určitých etapách postupu overovania môže vykonať jeho kontrola.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Čiastkové overenie je postup, v rámci ktorého notifikovaná osoba kontroluje a osvedčuje určité časti subsystému alebo určité etapy postupu overovania.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Po každom čiastkovom overení notifikovaná osoba vyhotoví certifikát ES o čiastkovom overení pre žiadateľa, ktorý potom v prípade potreby vyhotoví vyhlásenie ES o čiastkovom overení. Certifikát ES o čiastkovom overení a vyhlásenie o čiastkovom overení musia obsahovať odkaz na tie technické špecifikácie interoperability, pri ktorých sa posudzovala zhoda.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2.2.2. Časti subsystému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Žiadateľ môže žiadať o čiastkové overenie pre každú časť. Každú časť možno podrobiť kontrole v každej etape opísanej v bode 2.2.3.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2.2.3. Etapy postupu overovania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Subsystém alebo určité časti subsystému sa kontroluje v každej z týchto etáp: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a) v etape celkového projektu,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b) v etape výrobného procesu; výstavba subsystému vrátane stavebných prác, výroby, montáže komponentov a konečného nastavenia,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c) v etape záverečného odskúšania subsystému.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 etape projektovania, vrátane typových skúšok, a vo výrobnej etape môže žiadateľ požiadať o čiastkové overenie.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2.3. Certifikát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2.3.1. Notifikovaná osoba zodpovedná za ES overenie posúdi projekt, výrobný proces a záverečné odskúšanie subsystému a vypracuje certifikát ES o overení určený pre žiadateľa, ktorý potom vypracuje ES vyhlásenie o overení. Certifikát ES o overení musí obsahovať odkaz na tie technické špecifikácie interoperability, pri ktorých sa posudzovala zhoda.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Ak nedošlo k posúdeniu zhody subsystému so všetkými relevantnými technickými špecifikáciami interoperability (napríklad v prípade výnimiek, čiastkového uplatňovania technických špecifikácií interoperability z dôvodu modernizácie alebo obnovy, prechodného obdobia v technických špecifikáciách interoperability alebo v špecifických prípadoch), certifikát musí obsahovať presný odkaz na technické špecifikácie interoperability alebo ich časti, pri notifikovaná osoba počas postupu pri ES overovaní nepreskúmala zhodu.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2.3.2. Ak boli vydané certifikáty ES o čiastkovom overení, notifikovaná osoba zodpovedná za overovanie ES subsystému zohľadní tieto certifikáty a pred vydaním certifikátu ES o overení: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a) potvrdí, že certifikáty ES o čiastkovom overení zodpovedajú relevantným požiadavkám technických špecifikácií interoperability,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b) skontroluje všetky aspekty, na ktoré sa nevzťahujú certifikáty ES o čiastkovom overení a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c) skontroluje záverečné odskúšanie celého subsystému.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2.4. Súbor technickej dokumentácie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Súbor technickej dokumentácie je prílohou ES vyhlásenia o overení a musí obsahovať: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a) celkové a podrobné výkresy v súlade s realizáciou, elektrickými a hydraulickými schémami, schémy kontrolných okruhov, opis systémov spracúvania dát a automatických systémov, prevádzkové a údržbárske príručky atď.,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b) zoznam komponentov, ktoré sú začlenené do subsystému,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c) kópie ES vyhlásení o zhode použitých komponentov, ku ktorým sú podľa potreby priložené zodpovedajúce podklady o výpočtoch a kópia záznamov o skúškach a preskúmaniach, ktoré vykonali notifikované osoby na základe spoločných technických špecifikácií,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d) certifikát  ES o čiastkovom overení, ak je k dispozícii, a v tomto prípade aj ES vyhlásenie o čiastkovom overení, ktoré sú priložené k certifikátu ES o overení, vrátane výsledku overenia ich platnosti zo strany notifikovanej osoby,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e) certifikát ES o overení spolu s podkladmi o výpočtoch, podpísané notifikovanou osobou zodpovednou za ES overenie, v ktorom sa uvedie, že subsystém je v súlade s požiadavkami technických špecifikácií interoperability, a v ktorom sa uvedú výhrady, ktoré sa zaznamenali počas výkonu činností a neboli odvolané. Prílohou certifikátu by mali byť správy o kontrole a o audite, ktoré boli vypracované tou istou osobou v súvislosti s overením podľa bodov 2.5.3 a 2.5.4,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f) certifikáty ES vydané v súlade s inými všeobecne záväznými právnymi predpismi.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Ak sa požaduje bezpečná integrácia podľa nariadenia Komisie (ES) č. 352/2009, žiadateľ v rámci súboru technickej dokumentácie predloží správu posudzovateľa o spoločných bezpečnostných metódach hodnotenia a posudzovania rizík.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 Monitorovanie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2.5.1. Cieľom monitorovania je zabezpečiť, aby sa počas výroby subsystému splnili požiadavky zo súboru technickej dokumentácie.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2.5.2. Notifikovaná osoba zodpovedná za kontrolu výroby subsystému musí mať stály prístup na staveniská, do výrobných dielní, do skladových priestorov a podľa potreby do prefabrikačných alebo skúšobných zariadení a do všetkých objektov, ktoré uzná za potrebné navštíviť pri plnení svojich úloh. Žiadateľ musí poslať notifikovanej osobe dokumentáciu potrebnú na tento účel, najmä realizačné plány a technickú dokumentáciu týkajúcu sa subsystému.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2.5.3. Notifikovaná osoba zodpovedná za kontrolu realizácie musí v pravidelných intervaloch vykonávať audity, aby potvrdila súlad so základnými požiadavkami. Záznamy o audite musí poskytnúť osobám zodpovedným za uskutočňovanie stavby. Môže požadovať svoju účasť pri určitých etapách stavebných činností.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2.5.4. Notifikovaná osoba môže vykonať aj neohlásenú návštevu staveniska alebo výrobnej dielne. Počas takejto návštevy môže vykonať úplný alebo čiastočný audit. Notifikovaná osoba musí osobám zodpovedným za uskutočňovanie stavby poskytnúť protokol o kontrole a prípadne protokol o audite.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2.5.5. Ak to príslušné technické špecifikácie vyžadujú, notifikovaná osoba môže s cieľom vydať ES vyhlásenie o vhodnosti na použitie monitorovať subsystém, v ktorom je zabudovaný komponent, aby sa mohla posúdiť vhodnosť jeho použitia v železničnom prostredí.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2.6. Predkladanie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Úplný súbor dokumentácie podľa bodu 2.4 sa musí odovzdať žiadateľovi ako príloha k certifikátu ES o čiastkovom overení (ak je k dispozícii), ktoré vydala na to príslušná notifikovaná osoba, alebo ako príloha k certifikátu ES o overení, ktoré vydala notifikovaná osoba zodpovedná za overenie ES v prípade subsystému. Súbor dokumentácie sa musí pripojiť k vyhláseniu ES o overení, ktoré žiadateľ zašle bezpečnostnému orgánu, ktorému predkladá žiadosť o povolenie na uvedenie do prevádzky.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Žiadateľ musí uchovávať kópiu súboru dokumentácie počas prevádzkovej životnosti subsystému. Súbor dokumentácie sa musí zaslať každému inému členskému štátu, ktorý o to požiada.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2.7. Uverejňovanie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Notifikovaná osoba musí pravidelne uverejňovať informácie 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a) o prijatých žiadostiach o ES overenie a o ES čiastkové overenie,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b) o žiadosti o posúdenie zhody alebo vhodnosti na použitie komponentov interoperability,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c) o vydaných alebo zamietnutých certifikátoch ES o čiastkovom overení,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d) o vydaných alebo zamietnutých certifikátoch ES o zhode a vhodnosti na použitie,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e) o vydaných a zamietnutých certifikátoch ES o overení.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2.8. Jazyk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Dokumentácia a korešpondencia o postupoch ES overovania musia byť vedené v štátnom jazyku.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3. POSTUP OVEROVANIA V PRÍPADE VNÚTROŠTÁTNYCH PREDPISOV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3.1. Úvod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Postup overovania v prípade vnútroštátnych predpisov je postup, pri ktorom poverená právnická osoba kontroluje a osvedčuje, že subsystém spĺňa ustanovenia všeobecne záväzných právne predpisov oznámených podľa § 72 ods. 4.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3.2. Certifikát o overení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Poverená právnická osoba vyhotoví pre žiadateľa certifikát o overení.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Certifikát obsahuje presné odkazy na vnútroštátne všeobecne záväzné právne predpisy, zhodu s ktorými preskúmala poverená právnická osoba v rámci postupu overovania, vrátane predpisov, ktoré sa týkajú častí, na ktoré sa vzťahuje výnimka z technických špecifikácií interoperability, modernizácia alebo obnova.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V prípade vnútroštátnych predpisov, ktoré sa týkajú subsystémov, z ktorých sa skladá vozidlo, poverená právnická osoba rozčlení certifikát do dvoch častí, pričom prvá časť bude obsahovať odkaz na vnútroštátne predpisy, ktoré sa bezprostredne týkajú technickej zlučiteľnosti vozidla a príslušnej siete, kým druhá časť bude obsahovať odkazy na všetky ostatné vnútroštátne predpisy.</w:t>
            </w:r>
          </w:p>
          <w:p w:rsidR="00AF15B1" w:rsidRPr="00AF15B1">
            <w:pPr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>3.3. Súbor technickej dokumentácie</w:t>
            </w:r>
          </w:p>
          <w:p w:rsidR="00AF15B1" w:rsidRPr="00AF15B1">
            <w:pPr>
              <w:bidi w:val="0"/>
              <w:jc w:val="both"/>
              <w:rPr>
                <w:rStyle w:val="PlaceholderText"/>
                <w:rFonts w:eastAsia="Arial Unicode MS"/>
                <w:color w:val="000000"/>
                <w:sz w:val="24"/>
                <w:lang w:eastAsia="cs-CZ"/>
              </w:rPr>
            </w:pPr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Súbor technickej dokumentácie, ktorý tvorí prílohu k certifikátu o overení v prípade vnútroštátnych predpisov, musí byť súčasťou súboru technickej dokumentácie uvedeného v bode </w:t>
            </w:r>
            <w:smartTag w:uri="urn:schemas-microsoft-com:office:smarttags" w:element="metricconverter">
              <w:smartTagPr>
                <w:attr w:name="ProductID" w:val="2.4 a"/>
              </w:smartTagPr>
              <w:r w:rsidRPr="00AF15B1">
                <w:rPr>
                  <w:rFonts w:ascii="Times New Roman" w:hAnsi="Times New Roman"/>
                  <w:color w:val="000000"/>
                  <w:sz w:val="22"/>
                  <w:szCs w:val="22"/>
                </w:rPr>
                <w:t>2.4 a</w:t>
              </w:r>
            </w:smartTag>
            <w:r w:rsidRPr="00AF15B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obsahuje technické údaje relevantné z hľadiska posúdenia zhody subsystému s vnútroštátnymi predpismi.".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  <w:r w:rsidRPr="00AF15B1">
              <w:rPr>
                <w:rFonts w:ascii="Times New Roman" w:hAnsi="Times New Roman"/>
                <w:color w:val="000000"/>
              </w:rPr>
              <w:t>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AF15B1" w:rsidRPr="00AF15B1">
            <w:pPr>
              <w:pStyle w:val="BodyText"/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AF15B1" w:rsidRPr="00AF15B1" w:rsidP="00AF15B1">
      <w:pPr>
        <w:bidi w:val="0"/>
        <w:rPr>
          <w:rFonts w:ascii="Times New Roman" w:hAnsi="Times New Roman"/>
          <w:color w:val="000000"/>
          <w:szCs w:val="20"/>
          <w:lang w:eastAsia="cs-CZ"/>
        </w:rPr>
      </w:pPr>
    </w:p>
    <w:p w:rsidR="00AF15B1" w:rsidRPr="00AF15B1" w:rsidP="00A032D6">
      <w:pPr>
        <w:bidi w:val="0"/>
        <w:rPr>
          <w:rFonts w:ascii="Times New Roman" w:hAnsi="Times New Roman"/>
          <w:color w:val="000000"/>
        </w:rPr>
      </w:pPr>
    </w:p>
    <w:sectPr w:rsidSect="009777CA">
      <w:footerReference w:type="even" r:id="rId4"/>
      <w:footerReference w:type="default" r:id="rId5"/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EUAlbertina_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-ReguItal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Regu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EUAlbertina-ReguItal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437" w:rsidP="00482FB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45437" w:rsidP="0044543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437" w:rsidP="00482FB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A148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45437" w:rsidP="0044543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D93"/>
    <w:multiLevelType w:val="hybridMultilevel"/>
    <w:tmpl w:val="27C07A8E"/>
    <w:lvl w:ilvl="0">
      <w:start w:val="5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777CA"/>
    <w:rsid w:val="00293696"/>
    <w:rsid w:val="00445437"/>
    <w:rsid w:val="004829A0"/>
    <w:rsid w:val="00482FB3"/>
    <w:rsid w:val="005C42B1"/>
    <w:rsid w:val="006F758F"/>
    <w:rsid w:val="007D653F"/>
    <w:rsid w:val="009777CA"/>
    <w:rsid w:val="00A032D6"/>
    <w:rsid w:val="00AF15B1"/>
    <w:rsid w:val="00FA148D"/>
    <w:rsid w:val="00FF46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7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AF15B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8">
    <w:name w:val="heading 8"/>
    <w:basedOn w:val="Normal"/>
    <w:next w:val="Normal"/>
    <w:qFormat/>
    <w:rsid w:val="009777CA"/>
    <w:pPr>
      <w:keepNext/>
      <w:jc w:val="center"/>
      <w:outlineLvl w:val="7"/>
    </w:pPr>
    <w:rPr>
      <w:szCs w:val="28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Return">
    <w:name w:val="envelope return"/>
    <w:basedOn w:val="Normal"/>
    <w:semiHidden/>
    <w:rsid w:val="009777CA"/>
    <w:pPr>
      <w:jc w:val="left"/>
    </w:pPr>
    <w:rPr>
      <w:b/>
      <w:bCs/>
      <w:shadow/>
      <w:color w:val="000000"/>
      <w:sz w:val="20"/>
      <w:szCs w:val="20"/>
      <w:lang w:eastAsia="cs-CZ"/>
    </w:rPr>
  </w:style>
  <w:style w:type="character" w:styleId="PlaceholderText">
    <w:name w:val="Placeholder Text"/>
    <w:basedOn w:val="DefaultParagraphFont"/>
    <w:semiHidden/>
    <w:rsid w:val="00293696"/>
    <w:rPr>
      <w:rFonts w:ascii="Times New Roman" w:hAnsi="Times New Roman" w:cs="Times New Roman"/>
      <w:color w:val="808080"/>
      <w:rtl w:val="0"/>
      <w:cs w:val="0"/>
    </w:rPr>
  </w:style>
  <w:style w:type="paragraph" w:styleId="Title">
    <w:name w:val="Title"/>
    <w:basedOn w:val="Normal"/>
    <w:qFormat/>
    <w:rsid w:val="00AF15B1"/>
    <w:pPr>
      <w:keepNext/>
      <w:spacing w:before="120" w:after="60"/>
      <w:jc w:val="center"/>
    </w:pPr>
    <w:rPr>
      <w:rFonts w:ascii="Arial" w:hAnsi="Arial" w:cs="Arial"/>
      <w:b/>
      <w:bCs/>
      <w:sz w:val="22"/>
      <w:szCs w:val="22"/>
      <w:lang w:eastAsia="cs-CZ"/>
    </w:rPr>
  </w:style>
  <w:style w:type="paragraph" w:styleId="BodyText">
    <w:name w:val="Body Text"/>
    <w:basedOn w:val="Normal"/>
    <w:rsid w:val="00AF15B1"/>
    <w:pPr>
      <w:jc w:val="left"/>
    </w:pPr>
    <w:rPr>
      <w:sz w:val="24"/>
      <w:szCs w:val="20"/>
    </w:rPr>
  </w:style>
  <w:style w:type="paragraph" w:styleId="BodyTextIndent">
    <w:name w:val="Body Text Indent"/>
    <w:basedOn w:val="Normal"/>
    <w:rsid w:val="00AF15B1"/>
    <w:pPr>
      <w:spacing w:before="120" w:line="240" w:lineRule="exact"/>
      <w:jc w:val="both"/>
    </w:pPr>
    <w:rPr>
      <w:sz w:val="24"/>
      <w:szCs w:val="20"/>
      <w:lang w:eastAsia="cs-CZ"/>
    </w:rPr>
  </w:style>
  <w:style w:type="paragraph" w:customStyle="1" w:styleId="odsek">
    <w:name w:val="odsek"/>
    <w:basedOn w:val="Normal"/>
    <w:rsid w:val="00AF15B1"/>
    <w:pPr>
      <w:keepNext/>
      <w:spacing w:before="60" w:after="60"/>
      <w:ind w:firstLine="709"/>
      <w:jc w:val="both"/>
    </w:pPr>
    <w:rPr>
      <w:sz w:val="24"/>
      <w:szCs w:val="20"/>
      <w:lang w:eastAsia="cs-CZ"/>
    </w:rPr>
  </w:style>
  <w:style w:type="paragraph" w:customStyle="1" w:styleId="CM4">
    <w:name w:val="CM4"/>
    <w:basedOn w:val="Normal"/>
    <w:next w:val="Normal"/>
    <w:rsid w:val="00AF15B1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</w:rPr>
  </w:style>
  <w:style w:type="character" w:styleId="Strong">
    <w:name w:val="Strong"/>
    <w:basedOn w:val="DefaultParagraphFont"/>
    <w:qFormat/>
    <w:rsid w:val="00AF15B1"/>
    <w:rPr>
      <w:rFonts w:cs="Times New Roman"/>
      <w:b/>
      <w:bCs/>
      <w:rtl w:val="0"/>
      <w:cs w:val="0"/>
    </w:rPr>
  </w:style>
  <w:style w:type="paragraph" w:styleId="Footer">
    <w:name w:val="footer"/>
    <w:basedOn w:val="Normal"/>
    <w:rsid w:val="0044543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4543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4741</Words>
  <Characters>27024</Characters>
  <Application>Microsoft Office Word</Application>
  <DocSecurity>0</DocSecurity>
  <Lines>0</Lines>
  <Paragraphs>0</Paragraphs>
  <ScaleCrop>false</ScaleCrop>
  <Company>MDPT</Company>
  <LinksUpToDate>false</LinksUpToDate>
  <CharactersWithSpaces>31702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EURÓPSKEHO PARLAMENTU A RADY 2008/57/ES</dc:title>
  <dc:creator>zemanova</dc:creator>
  <cp:lastModifiedBy>Gašparíková, Jarmila</cp:lastModifiedBy>
  <cp:revision>2</cp:revision>
  <dcterms:created xsi:type="dcterms:W3CDTF">2011-08-18T15:50:00Z</dcterms:created>
  <dcterms:modified xsi:type="dcterms:W3CDTF">2011-08-18T15:50:00Z</dcterms:modified>
</cp:coreProperties>
</file>