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 w:rsidRPr="00351461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D5EED">
        <w:rPr>
          <w:sz w:val="22"/>
          <w:szCs w:val="22"/>
        </w:rPr>
        <w:t>3129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351A5">
      <w:pPr>
        <w:pStyle w:val="rozhodnutia"/>
      </w:pPr>
      <w:r w:rsidR="00DD5EED">
        <w:t>461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C108C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9C108C">
        <w:rPr>
          <w:rFonts w:ascii="Arial" w:hAnsi="Arial" w:cs="Arial"/>
          <w:sz w:val="22"/>
          <w:szCs w:val="22"/>
        </w:rPr>
        <w:t>17. augusta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C108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</w:t>
      </w:r>
      <w:r w:rsidRPr="00E66789">
        <w:rPr>
          <w:rFonts w:cs="Arial"/>
          <w:sz w:val="22"/>
          <w:szCs w:val="22"/>
          <w:lang w:val="sk-SK"/>
        </w:rPr>
        <w:t>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9C108C">
        <w:rPr>
          <w:rFonts w:cs="Arial"/>
          <w:szCs w:val="22"/>
        </w:rPr>
        <w:t xml:space="preserve">Andreja ĎURKOVSKÉHO a Mariána KVASNIČKU </w:t>
      </w:r>
      <w:r w:rsidRPr="00E66789">
        <w:rPr>
          <w:rFonts w:cs="Arial"/>
          <w:szCs w:val="22"/>
        </w:rPr>
        <w:t xml:space="preserve">na vydanie </w:t>
      </w:r>
      <w:r w:rsidR="009C108C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9C108C">
        <w:rPr>
          <w:rFonts w:cs="Arial"/>
          <w:szCs w:val="22"/>
        </w:rPr>
        <w:t>, ktorým sa mení Ústava Slovenskej republiky č. 460/1992 Zb.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9C108C">
        <w:rPr>
          <w:rFonts w:cs="Arial"/>
          <w:szCs w:val="22"/>
        </w:rPr>
        <w:t>466</w:t>
      </w:r>
      <w:r w:rsidR="00F91B80">
        <w:rPr>
          <w:rFonts w:cs="Arial"/>
          <w:szCs w:val="22"/>
        </w:rPr>
        <w:t xml:space="preserve">), doručený </w:t>
      </w:r>
      <w:r w:rsidR="009C108C">
        <w:rPr>
          <w:rFonts w:cs="Arial"/>
          <w:szCs w:val="22"/>
        </w:rPr>
        <w:t>17. augusta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B64BBC" w:rsidRPr="006954B0" w:rsidP="00B64BBC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 w:rsidRPr="006954B0">
        <w:rPr>
          <w:rFonts w:ascii="Arial" w:hAnsi="Arial" w:cs="Arial"/>
          <w:sz w:val="22"/>
          <w:szCs w:val="22"/>
          <w:u w:val="single"/>
        </w:rPr>
        <w:t>na prerokovanie</w:t>
      </w:r>
    </w:p>
    <w:p w:rsidR="00B64BBC" w:rsidRPr="006954B0" w:rsidP="00B64BB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64BBC" w:rsidRPr="006954B0" w:rsidP="00B64BB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6954B0">
        <w:rPr>
          <w:rFonts w:ascii="Arial" w:hAnsi="Arial" w:cs="Arial"/>
          <w:sz w:val="22"/>
          <w:szCs w:val="22"/>
        </w:rPr>
        <w:tab/>
      </w:r>
      <w:r w:rsidRPr="006954B0">
        <w:rPr>
          <w:rFonts w:ascii="Arial" w:hAnsi="Arial" w:cs="Arial"/>
          <w:b/>
          <w:sz w:val="22"/>
          <w:szCs w:val="22"/>
        </w:rPr>
        <w:t>všetkým výborom Národnej rady Slovenskej republiky</w:t>
      </w:r>
    </w:p>
    <w:p w:rsidR="00B64BBC" w:rsidRPr="006954B0" w:rsidP="00B64BBC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B64BBC" w:rsidRPr="006954B0" w:rsidP="00B64BBC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6954B0">
        <w:rPr>
          <w:rFonts w:ascii="Arial" w:hAnsi="Arial" w:cs="Arial"/>
          <w:sz w:val="22"/>
          <w:szCs w:val="22"/>
        </w:rPr>
        <w:t xml:space="preserve">(okrem Výboru Národnej rady Slovenskej republiky pre európske záležitosti, Výboru Národnej rady Slovenskej republiky pre nezlučiteľnosť funkcií, Osobitného kontrolného výboru Národnej rady Slovenskej republiky na kontrolu činnosti Slovenskej </w:t>
      </w:r>
      <w:r w:rsidRPr="006954B0">
        <w:rPr>
          <w:rFonts w:ascii="Arial" w:hAnsi="Arial" w:cs="Arial"/>
          <w:sz w:val="22"/>
          <w:szCs w:val="22"/>
        </w:rPr>
        <w:t>informačnej služby, Osobitného kontrolného výboru Národnej rady Slovenskej republiky na kontrolu činnosti Vojenského spravodajstva</w:t>
      </w:r>
      <w:r>
        <w:rPr>
          <w:rFonts w:ascii="Arial" w:hAnsi="Arial" w:cs="Arial"/>
          <w:sz w:val="22"/>
          <w:szCs w:val="22"/>
        </w:rPr>
        <w:t>,</w:t>
      </w:r>
      <w:r w:rsidRPr="006954B0">
        <w:rPr>
          <w:rFonts w:ascii="Arial" w:hAnsi="Arial" w:cs="Arial"/>
          <w:sz w:val="22"/>
          <w:szCs w:val="22"/>
        </w:rPr>
        <w:t xml:space="preserve"> Osobitného kontrolného výboru Národnej rady Slovenskej republiky na kontrolu činnosti Národného bezpečnostného úradu</w:t>
      </w:r>
      <w:r>
        <w:rPr>
          <w:rFonts w:ascii="Arial" w:hAnsi="Arial" w:cs="Arial"/>
          <w:sz w:val="22"/>
          <w:szCs w:val="22"/>
        </w:rPr>
        <w:t>,</w:t>
      </w:r>
      <w:r w:rsidRPr="006954B0">
        <w:rPr>
          <w:rFonts w:ascii="Arial" w:hAnsi="Arial" w:cs="Arial"/>
          <w:sz w:val="22"/>
          <w:szCs w:val="22"/>
        </w:rPr>
        <w:t xml:space="preserve"> a Výboru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6954B0">
        <w:rPr>
          <w:rFonts w:ascii="Arial" w:hAnsi="Arial" w:cs="Arial"/>
          <w:sz w:val="22"/>
          <w:szCs w:val="22"/>
        </w:rPr>
        <w:t>na preskúmavanie rozhodnutí Národného bezpečnostného úradu);</w:t>
      </w:r>
    </w:p>
    <w:p w:rsidR="00B64BBC" w:rsidRPr="006954B0" w:rsidP="00B64BBC">
      <w:pPr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64BB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9C108C" w:rsidP="009C108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892379">
        <w:rPr>
          <w:rFonts w:ascii="Arial" w:hAnsi="Arial" w:cs="Arial"/>
          <w:sz w:val="22"/>
        </w:rPr>
        <w:t>b)</w:t>
      </w:r>
      <w:r>
        <w:rPr>
          <w:rFonts w:ascii="Arial" w:hAnsi="Arial" w:cs="Arial"/>
          <w:sz w:val="22"/>
        </w:rPr>
        <w:t xml:space="preserve">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644B0E" w:rsidP="00644B0E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z. Pavol   H r u š o v s k ý   v. r.</w:t>
      </w:r>
    </w:p>
    <w:p w:rsidR="009C108C" w:rsidP="009C108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44B0E" w:rsidP="009C108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9C108C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9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9D"/>
    <w:rsid w:val="0003050A"/>
    <w:rsid w:val="000E308C"/>
    <w:rsid w:val="001010A5"/>
    <w:rsid w:val="00170CC8"/>
    <w:rsid w:val="00177F9B"/>
    <w:rsid w:val="001D7F32"/>
    <w:rsid w:val="00244D40"/>
    <w:rsid w:val="00294C93"/>
    <w:rsid w:val="002C7297"/>
    <w:rsid w:val="00351461"/>
    <w:rsid w:val="00370627"/>
    <w:rsid w:val="00492F29"/>
    <w:rsid w:val="004F21D2"/>
    <w:rsid w:val="0051238A"/>
    <w:rsid w:val="00513303"/>
    <w:rsid w:val="00513FD1"/>
    <w:rsid w:val="0054739D"/>
    <w:rsid w:val="005F3F76"/>
    <w:rsid w:val="00644B0E"/>
    <w:rsid w:val="00650056"/>
    <w:rsid w:val="0069489D"/>
    <w:rsid w:val="006954B0"/>
    <w:rsid w:val="006E6102"/>
    <w:rsid w:val="007351A5"/>
    <w:rsid w:val="007448FA"/>
    <w:rsid w:val="00794544"/>
    <w:rsid w:val="007B2F24"/>
    <w:rsid w:val="007D636D"/>
    <w:rsid w:val="00892379"/>
    <w:rsid w:val="008B1A45"/>
    <w:rsid w:val="00992885"/>
    <w:rsid w:val="009C108C"/>
    <w:rsid w:val="009C3499"/>
    <w:rsid w:val="00AA3DED"/>
    <w:rsid w:val="00B20ACA"/>
    <w:rsid w:val="00B64BBC"/>
    <w:rsid w:val="00BE56B2"/>
    <w:rsid w:val="00C11306"/>
    <w:rsid w:val="00C649B2"/>
    <w:rsid w:val="00C87421"/>
    <w:rsid w:val="00C90136"/>
    <w:rsid w:val="00DA0846"/>
    <w:rsid w:val="00DC6113"/>
    <w:rsid w:val="00DD5EED"/>
    <w:rsid w:val="00E03578"/>
    <w:rsid w:val="00E047C7"/>
    <w:rsid w:val="00E06A51"/>
    <w:rsid w:val="00E66789"/>
    <w:rsid w:val="00E93847"/>
    <w:rsid w:val="00F46EEF"/>
    <w:rsid w:val="00F836A5"/>
    <w:rsid w:val="00F91B8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54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79454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9454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9454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94544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9454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C1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9C1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2011-08-18T09:19:00Z</cp:lastPrinted>
  <dcterms:created xsi:type="dcterms:W3CDTF">2011-08-18T13:39:00Z</dcterms:created>
  <dcterms:modified xsi:type="dcterms:W3CDTF">2011-08-18T13:39:00Z</dcterms:modified>
</cp:coreProperties>
</file>