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01E6C" w:rsidP="00001E6C">
      <w:pPr>
        <w:bidi w:val="0"/>
        <w:spacing w:after="0" w:line="240" w:lineRule="auto"/>
        <w:jc w:val="center"/>
        <w:rPr>
          <w:rFonts w:ascii="Times New Roman" w:hAnsi="Times New Roman"/>
          <w:sz w:val="24"/>
          <w:szCs w:val="24"/>
        </w:rPr>
      </w:pPr>
      <w:r>
        <w:rPr>
          <w:rFonts w:ascii="Times New Roman" w:hAnsi="Times New Roman"/>
          <w:sz w:val="24"/>
          <w:szCs w:val="24"/>
        </w:rPr>
        <w:t>Dôvodová správa</w:t>
      </w:r>
    </w:p>
    <w:p w:rsidR="00001E6C" w:rsidP="00001E6C">
      <w:pPr>
        <w:bidi w:val="0"/>
        <w:spacing w:after="0" w:line="240" w:lineRule="auto"/>
        <w:jc w:val="center"/>
        <w:rPr>
          <w:rFonts w:ascii="Times New Roman" w:hAnsi="Times New Roman"/>
          <w:sz w:val="24"/>
          <w:szCs w:val="24"/>
        </w:rPr>
      </w:pPr>
    </w:p>
    <w:p w:rsidR="00001E6C" w:rsidP="00001E6C">
      <w:pPr>
        <w:bidi w:val="0"/>
        <w:spacing w:after="0" w:line="240" w:lineRule="auto"/>
        <w:jc w:val="both"/>
        <w:rPr>
          <w:rFonts w:ascii="Times New Roman" w:hAnsi="Times New Roman"/>
          <w:sz w:val="24"/>
          <w:szCs w:val="24"/>
        </w:rPr>
      </w:pPr>
      <w:r>
        <w:rPr>
          <w:rFonts w:ascii="Times New Roman" w:hAnsi="Times New Roman"/>
          <w:sz w:val="24"/>
          <w:szCs w:val="24"/>
        </w:rPr>
        <w:t>I. Všeobecná časť</w:t>
      </w:r>
    </w:p>
    <w:p w:rsidR="00001E6C" w:rsidP="00001E6C">
      <w:pPr>
        <w:bidi w:val="0"/>
        <w:spacing w:after="0" w:line="240" w:lineRule="auto"/>
        <w:jc w:val="both"/>
        <w:rPr>
          <w:rFonts w:ascii="Times New Roman" w:hAnsi="Times New Roman"/>
          <w:sz w:val="24"/>
          <w:szCs w:val="24"/>
        </w:rPr>
      </w:pPr>
    </w:p>
    <w:p w:rsidR="00001E6C" w:rsidP="00001E6C">
      <w:pPr>
        <w:bidi w:val="0"/>
        <w:spacing w:after="0" w:line="240" w:lineRule="auto"/>
        <w:jc w:val="both"/>
        <w:rPr>
          <w:rFonts w:ascii="Times New Roman" w:hAnsi="Times New Roman"/>
          <w:sz w:val="24"/>
          <w:szCs w:val="24"/>
        </w:rPr>
      </w:pPr>
      <w:r>
        <w:rPr>
          <w:rFonts w:ascii="Times New Roman" w:hAnsi="Times New Roman"/>
          <w:sz w:val="24"/>
          <w:szCs w:val="24"/>
        </w:rPr>
        <w:tab/>
        <w:t xml:space="preserve">I napriek dlhoročnej tradícii používania kolkových známok pri vydávaní rôznych dokumentov, dokladov a listín verejnými orgánmi, ktoré zároveň potvrdzovali aj ich hodnovernosť a závažnosť, v súčasnosti  táto forma platenia poplatkov stráca svoj pôvodný význam. Samotná existencia kolkových známok vytvára priestor na ich falšovanie a zneužívanie a ich následná ochrana a zabezpečenie rôznymi novými technickými prvkami zvyšuje náklady na ich výrobu. Rovnako zníženie počtu predajných miest  pre verejnosť len na vybranú skupinu predajcov, nepodporuje požadovanú jednoduchosť a hospodárnosť konania na úradoch. Moderná spoločnosť preto vyžaduje nové formy platenia, ktoré sú všeobecne dostupné a umožňujú hlavne časovú a administratívnu  úsporu pri vybavovaní rôznych podaní.  </w:t>
      </w:r>
    </w:p>
    <w:p w:rsidR="00001E6C" w:rsidP="00001E6C">
      <w:pPr>
        <w:bidi w:val="0"/>
        <w:spacing w:after="0" w:line="240" w:lineRule="auto"/>
        <w:ind w:firstLine="708"/>
        <w:jc w:val="both"/>
        <w:rPr>
          <w:rFonts w:ascii="Times New Roman" w:hAnsi="Times New Roman"/>
          <w:bCs/>
          <w:sz w:val="24"/>
          <w:szCs w:val="24"/>
        </w:rPr>
      </w:pPr>
      <w:r>
        <w:rPr>
          <w:rFonts w:ascii="Times New Roman" w:hAnsi="Times New Roman"/>
          <w:bCs/>
          <w:sz w:val="24"/>
          <w:szCs w:val="24"/>
        </w:rPr>
        <w:t>Na základe Programového vyhlásenia vlády Slovenskej republiky na obdobie rokov 2010 – 2014 a Plánu legislatívnych úloh vlády Slovenskej republiky na rok 2011 sa preto predkladá návrh na zrušenie kolkových známok, ako jedn</w:t>
      </w:r>
      <w:r w:rsidR="00C25B1E">
        <w:rPr>
          <w:rFonts w:ascii="Times New Roman" w:hAnsi="Times New Roman"/>
          <w:bCs/>
          <w:sz w:val="24"/>
          <w:szCs w:val="24"/>
        </w:rPr>
        <w:t>ého</w:t>
      </w:r>
      <w:r>
        <w:rPr>
          <w:rFonts w:ascii="Times New Roman" w:hAnsi="Times New Roman"/>
          <w:bCs/>
          <w:sz w:val="24"/>
          <w:szCs w:val="24"/>
        </w:rPr>
        <w:t xml:space="preserve"> zo spôsobov platenia správnych a súdnych poplatkov a zároveň sa zakladá povinnosť pre orgány vykonávajúce spoplatňované úkony vyberať do určitej sumy poplatky v hotovosti. </w:t>
      </w:r>
    </w:p>
    <w:p w:rsidR="00001E6C" w:rsidP="00001E6C">
      <w:pPr>
        <w:bidi w:val="0"/>
        <w:spacing w:after="0" w:line="240" w:lineRule="auto"/>
        <w:jc w:val="both"/>
        <w:rPr>
          <w:rFonts w:ascii="Times New Roman" w:hAnsi="Times New Roman"/>
          <w:bCs/>
          <w:sz w:val="24"/>
          <w:szCs w:val="24"/>
        </w:rPr>
      </w:pPr>
      <w:r>
        <w:rPr>
          <w:rFonts w:ascii="Times New Roman" w:hAnsi="Times New Roman"/>
          <w:bCs/>
          <w:sz w:val="24"/>
          <w:szCs w:val="24"/>
        </w:rPr>
        <w:tab/>
        <w:t xml:space="preserve">V predloženom vládnom návrhu zákona sa I. časť zákona č. 264/2008 Z. z. o kolkových známkach a o zmene a doplnení niektorých zákonov v znení neskorších predpisov, ktorá upravuje kolkové známky zrušuje s účinnosťou od 1. januára 2013 a zároveň sa v jednotlivých článkoch novelizujú ďalšie súvisiace právne predpisy. Navrhuje sa tiež zrušiť vyhlášku Ministerstva financií SR, ktorá upravuje náležitosti kolkových známok vrátane ich grafickej úpravy a spôsobu ich používania. </w:t>
      </w:r>
    </w:p>
    <w:p w:rsidR="00001E6C" w:rsidP="00001E6C">
      <w:pPr>
        <w:bidi w:val="0"/>
        <w:spacing w:after="0" w:line="240" w:lineRule="auto"/>
        <w:jc w:val="both"/>
        <w:rPr>
          <w:rFonts w:ascii="Times New Roman" w:hAnsi="Times New Roman"/>
          <w:bCs/>
          <w:sz w:val="24"/>
          <w:szCs w:val="24"/>
        </w:rPr>
      </w:pPr>
      <w:r>
        <w:rPr>
          <w:rFonts w:ascii="Times New Roman" w:hAnsi="Times New Roman"/>
          <w:bCs/>
          <w:sz w:val="24"/>
          <w:szCs w:val="24"/>
        </w:rPr>
        <w:t xml:space="preserve"> </w:t>
        <w:tab/>
        <w:t xml:space="preserve">V záujme hospodárnosti konania na príslušných orgánoch a zjednodušenia platenia poplatkov na týchto orgánoch sa okrem povinnosti orgánov prijímať platby do 300 eur v hotovosti zaviedol aj nový spôsob platenia poplatkov a to platobnou kartou, ak poplatok v jednotlivom prípade prevyšuje 100 eur. Ako možnosť platenia poplatkov do budúcnosti sa navrhuje aj ďalší spôsob a to prostredníctvom krátkej textovej správy (SMS). Platba poštovým poukazom a prevodom z účtu v banke zostávajú zachované tak ako doposiaľ. </w:t>
      </w:r>
    </w:p>
    <w:p w:rsidR="00001E6C" w:rsidP="00001E6C">
      <w:pPr>
        <w:bidi w:val="0"/>
        <w:spacing w:after="0" w:line="240" w:lineRule="auto"/>
        <w:ind w:firstLine="708"/>
        <w:jc w:val="both"/>
        <w:rPr>
          <w:rFonts w:ascii="Times New Roman" w:hAnsi="Times New Roman"/>
          <w:bCs/>
          <w:sz w:val="24"/>
          <w:szCs w:val="24"/>
        </w:rPr>
      </w:pPr>
      <w:r>
        <w:rPr>
          <w:rFonts w:ascii="Times New Roman" w:hAnsi="Times New Roman"/>
          <w:bCs/>
          <w:sz w:val="24"/>
          <w:szCs w:val="24"/>
        </w:rPr>
        <w:t>V predmetnom vládnom návrhu zákona sa upravuje možnosť do konca septembra 2013 použiť zrušené kolkové známky, ak ich poplatník zakúpil pred zrušením ako aj vrátenie neplatných kolkových známok</w:t>
      </w:r>
      <w:r>
        <w:rPr>
          <w:rFonts w:ascii="Times New Roman" w:hAnsi="Times New Roman"/>
          <w:bCs/>
          <w:color w:val="000000" w:themeColor="tx1" w:themeShade="FF"/>
          <w:sz w:val="24"/>
          <w:szCs w:val="24"/>
        </w:rPr>
        <w:t>. V období od 1. októbra 2013 do konca roka 2013 sa zrušené kolkové známky budú môcť len vrátiť za vyplatenie ich nominálnej hodnoty, ak sa potvrdí ich pravosť.</w:t>
      </w:r>
      <w:r>
        <w:rPr>
          <w:rFonts w:ascii="Times New Roman" w:hAnsi="Times New Roman"/>
          <w:bCs/>
          <w:sz w:val="24"/>
          <w:szCs w:val="24"/>
        </w:rPr>
        <w:t xml:space="preserve"> </w:t>
      </w:r>
      <w:r w:rsidR="00B01543">
        <w:rPr>
          <w:rFonts w:ascii="Times New Roman" w:hAnsi="Times New Roman"/>
          <w:bCs/>
          <w:sz w:val="24"/>
          <w:szCs w:val="24"/>
        </w:rPr>
        <w:t>Odkupovaním v</w:t>
      </w:r>
      <w:r>
        <w:rPr>
          <w:rFonts w:ascii="Times New Roman" w:hAnsi="Times New Roman"/>
          <w:bCs/>
          <w:sz w:val="24"/>
          <w:szCs w:val="24"/>
        </w:rPr>
        <w:t>ráten</w:t>
      </w:r>
      <w:r w:rsidR="00B01543">
        <w:rPr>
          <w:rFonts w:ascii="Times New Roman" w:hAnsi="Times New Roman"/>
          <w:bCs/>
          <w:sz w:val="24"/>
          <w:szCs w:val="24"/>
        </w:rPr>
        <w:t xml:space="preserve">ých </w:t>
      </w:r>
      <w:r>
        <w:rPr>
          <w:rFonts w:ascii="Times New Roman" w:hAnsi="Times New Roman"/>
          <w:bCs/>
          <w:sz w:val="24"/>
          <w:szCs w:val="24"/>
        </w:rPr>
        <w:t>kolkových známok sa navrhuje poveriť Slovenskú poštu, a.s. Banská Bystrica, ktorá má v tejto veci niekoľkoročné skúsenosti.</w:t>
      </w:r>
    </w:p>
    <w:p w:rsidR="00001E6C" w:rsidP="00001E6C">
      <w:pPr>
        <w:bidi w:val="0"/>
        <w:spacing w:after="0" w:line="240" w:lineRule="auto"/>
        <w:jc w:val="both"/>
        <w:rPr>
          <w:rFonts w:ascii="Times New Roman" w:hAnsi="Times New Roman"/>
          <w:sz w:val="24"/>
          <w:szCs w:val="24"/>
        </w:rPr>
      </w:pPr>
      <w:r>
        <w:rPr>
          <w:rFonts w:ascii="Times New Roman" w:hAnsi="Times New Roman"/>
          <w:sz w:val="24"/>
          <w:szCs w:val="24"/>
        </w:rPr>
        <w:tab/>
        <w:t xml:space="preserve">Predložený vládny návrh zákona je v súlade s Ústavou Slovenskej republiky a nie je v rozpore s inými všeobecne záväznými predpismi a medzinárodnými zmluvami, ktorými je Slovenská republika viazaná. </w:t>
      </w:r>
    </w:p>
    <w:p w:rsidR="00001E6C" w:rsidP="00001E6C">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Predmet úpravy vládneho návrhu zákona nie je upravený v práve Európskej únie. </w:t>
      </w:r>
    </w:p>
    <w:p w:rsidR="00220FDC" w:rsidP="001A3FDA">
      <w:pPr>
        <w:bidi w:val="0"/>
        <w:spacing w:after="0" w:line="240" w:lineRule="auto"/>
        <w:ind w:firstLine="708"/>
        <w:jc w:val="both"/>
        <w:rPr>
          <w:rFonts w:ascii="Times New Roman" w:hAnsi="Times New Roman"/>
          <w:sz w:val="24"/>
          <w:szCs w:val="24"/>
        </w:rPr>
      </w:pPr>
    </w:p>
    <w:p w:rsidR="00220FDC" w:rsidP="001A3FDA">
      <w:pPr>
        <w:bidi w:val="0"/>
        <w:spacing w:after="0" w:line="240" w:lineRule="auto"/>
        <w:ind w:firstLine="708"/>
        <w:jc w:val="both"/>
        <w:rPr>
          <w:rFonts w:ascii="Times New Roman" w:hAnsi="Times New Roman"/>
          <w:sz w:val="24"/>
          <w:szCs w:val="24"/>
        </w:rPr>
      </w:pPr>
    </w:p>
    <w:p w:rsidR="00220FDC" w:rsidP="001A3FDA">
      <w:pPr>
        <w:bidi w:val="0"/>
        <w:spacing w:after="0" w:line="240" w:lineRule="auto"/>
        <w:ind w:firstLine="708"/>
        <w:jc w:val="both"/>
        <w:rPr>
          <w:rFonts w:ascii="Times New Roman" w:hAnsi="Times New Roman"/>
          <w:sz w:val="24"/>
          <w:szCs w:val="24"/>
        </w:rPr>
      </w:pPr>
    </w:p>
    <w:p w:rsidR="00220FDC" w:rsidP="001A3FDA">
      <w:pPr>
        <w:bidi w:val="0"/>
        <w:spacing w:after="0" w:line="240" w:lineRule="auto"/>
        <w:ind w:firstLine="708"/>
        <w:jc w:val="both"/>
        <w:rPr>
          <w:rFonts w:ascii="Times New Roman" w:hAnsi="Times New Roman"/>
          <w:sz w:val="24"/>
          <w:szCs w:val="24"/>
        </w:rPr>
      </w:pPr>
    </w:p>
    <w:p w:rsidR="00220FDC" w:rsidP="001A3FDA">
      <w:pPr>
        <w:bidi w:val="0"/>
        <w:spacing w:after="0" w:line="240" w:lineRule="auto"/>
        <w:ind w:firstLine="708"/>
        <w:jc w:val="both"/>
        <w:rPr>
          <w:rFonts w:ascii="Times New Roman" w:hAnsi="Times New Roman"/>
          <w:sz w:val="24"/>
          <w:szCs w:val="24"/>
        </w:rPr>
      </w:pPr>
    </w:p>
    <w:p w:rsidR="00220FDC" w:rsidP="001A3FDA">
      <w:pPr>
        <w:bidi w:val="0"/>
        <w:spacing w:after="0" w:line="240" w:lineRule="auto"/>
        <w:ind w:firstLine="708"/>
        <w:jc w:val="both"/>
        <w:rPr>
          <w:rFonts w:ascii="Times New Roman" w:hAnsi="Times New Roman"/>
          <w:sz w:val="24"/>
          <w:szCs w:val="24"/>
        </w:rPr>
      </w:pPr>
    </w:p>
    <w:p w:rsidR="00220FDC" w:rsidP="001A3FDA">
      <w:pPr>
        <w:bidi w:val="0"/>
        <w:spacing w:after="0" w:line="240" w:lineRule="auto"/>
        <w:ind w:firstLine="708"/>
        <w:jc w:val="both"/>
        <w:rPr>
          <w:rFonts w:ascii="Times New Roman" w:hAnsi="Times New Roman"/>
          <w:sz w:val="24"/>
          <w:szCs w:val="24"/>
        </w:rPr>
      </w:pPr>
    </w:p>
    <w:p w:rsidR="00220FDC" w:rsidP="001A3FDA">
      <w:pPr>
        <w:bidi w:val="0"/>
        <w:spacing w:after="0" w:line="240" w:lineRule="auto"/>
        <w:ind w:firstLine="708"/>
        <w:jc w:val="both"/>
        <w:rPr>
          <w:rFonts w:ascii="Times New Roman" w:hAnsi="Times New Roman"/>
          <w:sz w:val="24"/>
          <w:szCs w:val="24"/>
        </w:rPr>
      </w:pPr>
    </w:p>
    <w:p w:rsidR="00220FDC" w:rsidP="001A3FDA">
      <w:pPr>
        <w:bidi w:val="0"/>
        <w:spacing w:after="0" w:line="240" w:lineRule="auto"/>
        <w:ind w:firstLine="708"/>
        <w:jc w:val="both"/>
        <w:rPr>
          <w:rFonts w:ascii="Times New Roman" w:hAnsi="Times New Roman"/>
          <w:sz w:val="24"/>
          <w:szCs w:val="24"/>
        </w:rPr>
      </w:pPr>
    </w:p>
    <w:p w:rsidR="00220FDC" w:rsidRPr="00966A79" w:rsidP="00220FDC">
      <w:pPr>
        <w:pStyle w:val="NormalWeb"/>
        <w:bidi w:val="0"/>
        <w:spacing w:before="0" w:beforeAutospacing="0" w:after="0" w:afterAutospacing="0"/>
        <w:jc w:val="center"/>
        <w:rPr>
          <w:rFonts w:ascii="Times New Roman" w:hAnsi="Times New Roman"/>
        </w:rPr>
      </w:pPr>
      <w:r w:rsidRPr="00966A79">
        <w:rPr>
          <w:rFonts w:ascii="Times New Roman" w:hAnsi="Times New Roman"/>
          <w:bCs/>
        </w:rPr>
        <w:t>Doložka vybraných vplyvov</w:t>
      </w:r>
    </w:p>
    <w:p w:rsidR="00220FDC" w:rsidRPr="00966A79" w:rsidP="00220FDC">
      <w:pPr>
        <w:bidi w:val="0"/>
        <w:jc w:val="both"/>
        <w:rPr>
          <w:rFonts w:ascii="Times New Roman" w:hAnsi="Times New Roman"/>
          <w:bCs/>
          <w:sz w:val="24"/>
          <w:szCs w:val="24"/>
        </w:rPr>
      </w:pPr>
    </w:p>
    <w:p w:rsidR="00220FDC" w:rsidRPr="00966A79" w:rsidP="00220FDC">
      <w:pPr>
        <w:bidi w:val="0"/>
        <w:jc w:val="both"/>
        <w:rPr>
          <w:rStyle w:val="PlaceholderText"/>
          <w:sz w:val="24"/>
          <w:szCs w:val="24"/>
        </w:rPr>
      </w:pPr>
      <w:r w:rsidRPr="00966A79">
        <w:rPr>
          <w:rFonts w:ascii="Times New Roman" w:hAnsi="Times New Roman"/>
          <w:bCs/>
          <w:sz w:val="24"/>
          <w:szCs w:val="24"/>
        </w:rPr>
        <w:t>A.1. Názov materiálu:</w:t>
      </w:r>
    </w:p>
    <w:p w:rsidR="00220FDC" w:rsidRPr="00966A79" w:rsidP="00220FDC">
      <w:pPr>
        <w:pStyle w:val="BodyText"/>
        <w:bidi w:val="0"/>
        <w:rPr>
          <w:rFonts w:ascii="Times New Roman" w:hAnsi="Times New Roman" w:cs="Times New Roman"/>
          <w:color w:val="000000" w:themeColor="tx1" w:themeShade="FF"/>
          <w:sz w:val="24"/>
          <w:szCs w:val="24"/>
        </w:rPr>
      </w:pPr>
      <w:r w:rsidRPr="00966A79">
        <w:rPr>
          <w:rFonts w:ascii="Times New Roman" w:hAnsi="Times New Roman" w:cs="Times New Roman" w:hint="default"/>
          <w:bCs/>
          <w:color w:val="000000" w:themeColor="tx1" w:themeShade="FF"/>
          <w:sz w:val="24"/>
          <w:szCs w:val="24"/>
        </w:rPr>
        <w:t>Ná</w:t>
      </w:r>
      <w:r w:rsidRPr="00966A79">
        <w:rPr>
          <w:rFonts w:ascii="Times New Roman" w:hAnsi="Times New Roman" w:cs="Times New Roman" w:hint="default"/>
          <w:bCs/>
          <w:color w:val="000000" w:themeColor="tx1" w:themeShade="FF"/>
          <w:sz w:val="24"/>
          <w:szCs w:val="24"/>
        </w:rPr>
        <w:t>vrh zá</w:t>
      </w:r>
      <w:r w:rsidRPr="00966A79">
        <w:rPr>
          <w:rFonts w:ascii="Times New Roman" w:hAnsi="Times New Roman" w:cs="Times New Roman" w:hint="default"/>
          <w:bCs/>
          <w:color w:val="000000" w:themeColor="tx1" w:themeShade="FF"/>
          <w:sz w:val="24"/>
          <w:szCs w:val="24"/>
        </w:rPr>
        <w:t>kona o zruš</w:t>
      </w:r>
      <w:r w:rsidRPr="00966A79">
        <w:rPr>
          <w:rFonts w:ascii="Times New Roman" w:hAnsi="Times New Roman" w:cs="Times New Roman" w:hint="default"/>
          <w:bCs/>
          <w:color w:val="000000" w:themeColor="tx1" w:themeShade="FF"/>
          <w:sz w:val="24"/>
          <w:szCs w:val="24"/>
        </w:rPr>
        <w:t>ení </w:t>
      </w:r>
      <w:r w:rsidRPr="00966A79">
        <w:rPr>
          <w:rFonts w:ascii="Times New Roman" w:hAnsi="Times New Roman" w:cs="Times New Roman" w:hint="default"/>
          <w:bCs/>
          <w:color w:val="000000" w:themeColor="tx1" w:themeShade="FF"/>
          <w:sz w:val="24"/>
          <w:szCs w:val="24"/>
        </w:rPr>
        <w:t>kolkový</w:t>
      </w:r>
      <w:r w:rsidRPr="00966A79">
        <w:rPr>
          <w:rFonts w:ascii="Times New Roman" w:hAnsi="Times New Roman" w:cs="Times New Roman" w:hint="default"/>
          <w:bCs/>
          <w:color w:val="000000" w:themeColor="tx1" w:themeShade="FF"/>
          <w:sz w:val="24"/>
          <w:szCs w:val="24"/>
        </w:rPr>
        <w:t>ch zná</w:t>
      </w:r>
      <w:r w:rsidRPr="00966A79">
        <w:rPr>
          <w:rFonts w:ascii="Times New Roman" w:hAnsi="Times New Roman" w:cs="Times New Roman" w:hint="default"/>
          <w:bCs/>
          <w:color w:val="000000" w:themeColor="tx1" w:themeShade="FF"/>
          <w:sz w:val="24"/>
          <w:szCs w:val="24"/>
        </w:rPr>
        <w:t>mok a o zmene a </w:t>
      </w:r>
      <w:r w:rsidRPr="00966A79">
        <w:rPr>
          <w:rFonts w:ascii="Times New Roman" w:hAnsi="Times New Roman" w:cs="Times New Roman" w:hint="default"/>
          <w:bCs/>
          <w:color w:val="000000" w:themeColor="tx1" w:themeShade="FF"/>
          <w:sz w:val="24"/>
          <w:szCs w:val="24"/>
        </w:rPr>
        <w:t>doplnení</w:t>
      </w:r>
      <w:r w:rsidRPr="00966A79">
        <w:rPr>
          <w:rFonts w:ascii="Times New Roman" w:hAnsi="Times New Roman" w:cs="Times New Roman" w:hint="default"/>
          <w:bCs/>
          <w:color w:val="000000" w:themeColor="tx1" w:themeShade="FF"/>
          <w:sz w:val="24"/>
          <w:szCs w:val="24"/>
        </w:rPr>
        <w:t xml:space="preserve"> niektorý</w:t>
      </w:r>
      <w:r w:rsidRPr="00966A79">
        <w:rPr>
          <w:rFonts w:ascii="Times New Roman" w:hAnsi="Times New Roman" w:cs="Times New Roman" w:hint="default"/>
          <w:bCs/>
          <w:color w:val="000000" w:themeColor="tx1" w:themeShade="FF"/>
          <w:sz w:val="24"/>
          <w:szCs w:val="24"/>
        </w:rPr>
        <w:t>ch zá</w:t>
      </w:r>
      <w:r w:rsidRPr="00966A79">
        <w:rPr>
          <w:rFonts w:ascii="Times New Roman" w:hAnsi="Times New Roman" w:cs="Times New Roman" w:hint="default"/>
          <w:bCs/>
          <w:color w:val="000000" w:themeColor="tx1" w:themeShade="FF"/>
          <w:sz w:val="24"/>
          <w:szCs w:val="24"/>
        </w:rPr>
        <w:t xml:space="preserve">konov </w:t>
      </w:r>
    </w:p>
    <w:p w:rsidR="00220FDC" w:rsidRPr="00966A79" w:rsidP="00220FDC">
      <w:pPr>
        <w:pStyle w:val="NormalWeb"/>
        <w:bidi w:val="0"/>
        <w:spacing w:before="0" w:beforeAutospacing="0" w:after="0" w:afterAutospacing="0"/>
        <w:jc w:val="both"/>
        <w:rPr>
          <w:rFonts w:ascii="Times New Roman" w:hAnsi="Times New Roman"/>
        </w:rPr>
      </w:pPr>
      <w:r>
        <w:rPr>
          <w:rFonts w:ascii="Times New Roman" w:hAnsi="Times New Roman"/>
        </w:rPr>
        <w:t>Termín začatia a ukončenia PPK: 23.5. – 31.5.2011</w:t>
      </w:r>
    </w:p>
    <w:p w:rsidR="00220FDC" w:rsidRPr="00966A79" w:rsidP="00220FDC">
      <w:pPr>
        <w:pStyle w:val="NormalWeb"/>
        <w:bidi w:val="0"/>
        <w:spacing w:before="0" w:beforeAutospacing="0" w:after="0" w:afterAutospacing="0"/>
        <w:jc w:val="both"/>
        <w:rPr>
          <w:rFonts w:ascii="Times New Roman" w:hAnsi="Times New Roman"/>
        </w:rPr>
      </w:pPr>
    </w:p>
    <w:p w:rsidR="00220FDC" w:rsidRPr="00966A79" w:rsidP="00220FDC">
      <w:pPr>
        <w:pStyle w:val="NormalWeb"/>
        <w:bidi w:val="0"/>
        <w:spacing w:before="0" w:beforeAutospacing="0" w:after="0" w:afterAutospacing="0"/>
        <w:jc w:val="both"/>
        <w:rPr>
          <w:rFonts w:ascii="Times New Roman" w:hAnsi="Times New Roman"/>
        </w:rPr>
      </w:pPr>
      <w:r w:rsidRPr="00966A79">
        <w:rPr>
          <w:rFonts w:ascii="Times New Roman" w:hAnsi="Times New Roman"/>
          <w:bCs/>
        </w:rPr>
        <w:t>A.2. Vplyvy:</w:t>
      </w:r>
    </w:p>
    <w:p w:rsidR="00220FDC" w:rsidRPr="00966A79" w:rsidP="00220FDC">
      <w:pPr>
        <w:pStyle w:val="NormalWeb"/>
        <w:bidi w:val="0"/>
        <w:spacing w:before="0" w:beforeAutospacing="0" w:after="0" w:afterAutospacing="0"/>
        <w:jc w:val="both"/>
        <w:rPr>
          <w:rFonts w:ascii="Times New Roman" w:hAnsi="Times New Roman"/>
        </w:rPr>
      </w:pPr>
    </w:p>
    <w:tbl>
      <w:tblPr>
        <w:tblStyle w:val="TableNormal"/>
        <w:tblW w:w="9828" w:type="dxa"/>
        <w:tblCellMar>
          <w:left w:w="0" w:type="dxa"/>
          <w:right w:w="0" w:type="dxa"/>
        </w:tblCellMar>
        <w:tblLook w:val="04A0"/>
      </w:tblPr>
      <w:tblGrid>
        <w:gridCol w:w="5508"/>
        <w:gridCol w:w="1440"/>
        <w:gridCol w:w="1597"/>
        <w:gridCol w:w="1283"/>
      </w:tblGrid>
      <w:tr>
        <w:tblPrEx>
          <w:tblW w:w="9828" w:type="dxa"/>
          <w:tblCellMar>
            <w:left w:w="0" w:type="dxa"/>
            <w:right w:w="0" w:type="dxa"/>
          </w:tblCellMar>
          <w:tblLook w:val="04A0"/>
        </w:tblPrEx>
        <w:tc>
          <w:tcPr>
            <w:tcW w:w="5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20FDC" w:rsidRPr="00966A79" w:rsidP="003740CE">
            <w:pPr>
              <w:pStyle w:val="NormalWeb"/>
              <w:bidi w:val="0"/>
              <w:spacing w:before="0" w:beforeAutospacing="0" w:after="0" w:afterAutospacing="0" w:line="276" w:lineRule="auto"/>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220FDC" w:rsidRPr="00966A79" w:rsidP="003740CE">
            <w:pPr>
              <w:pStyle w:val="NormalWeb"/>
              <w:bidi w:val="0"/>
              <w:spacing w:before="0" w:beforeAutospacing="0" w:after="0" w:afterAutospacing="0" w:line="276" w:lineRule="auto"/>
              <w:jc w:val="center"/>
              <w:rPr>
                <w:rFonts w:ascii="Times New Roman" w:hAnsi="Times New Roman"/>
              </w:rPr>
            </w:pPr>
            <w:r w:rsidRPr="00966A79">
              <w:rPr>
                <w:rFonts w:ascii="Times New Roman" w:hAnsi="Times New Roman"/>
              </w:rPr>
              <w:t>Pozitívne</w:t>
            </w:r>
            <w:r w:rsidRPr="00966A79">
              <w:rPr>
                <w:rFonts w:ascii="Times New Roman" w:hAnsi="Times New Roman"/>
                <w:vertAlign w:val="superscript"/>
              </w:rPr>
              <w:t>*</w:t>
            </w:r>
          </w:p>
        </w:tc>
        <w:tc>
          <w:tcPr>
            <w:tcW w:w="15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220FDC" w:rsidRPr="00966A79" w:rsidP="003740CE">
            <w:pPr>
              <w:pStyle w:val="NormalWeb"/>
              <w:bidi w:val="0"/>
              <w:spacing w:before="0" w:beforeAutospacing="0" w:after="0" w:afterAutospacing="0" w:line="276" w:lineRule="auto"/>
              <w:jc w:val="center"/>
              <w:rPr>
                <w:rFonts w:ascii="Times New Roman" w:hAnsi="Times New Roman"/>
              </w:rPr>
            </w:pPr>
            <w:r w:rsidRPr="00966A79">
              <w:rPr>
                <w:rFonts w:ascii="Times New Roman" w:hAnsi="Times New Roman"/>
              </w:rPr>
              <w:t>Žiadne</w:t>
            </w:r>
            <w:r w:rsidRPr="00966A79">
              <w:rPr>
                <w:rFonts w:ascii="Times New Roman" w:hAnsi="Times New Roman"/>
                <w:vertAlign w:val="superscript"/>
              </w:rPr>
              <w:t>*</w:t>
            </w:r>
          </w:p>
        </w:tc>
        <w:tc>
          <w:tcPr>
            <w:tcW w:w="128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220FDC" w:rsidRPr="00966A79" w:rsidP="003740CE">
            <w:pPr>
              <w:pStyle w:val="NormalWeb"/>
              <w:bidi w:val="0"/>
              <w:spacing w:before="0" w:beforeAutospacing="0" w:after="0" w:afterAutospacing="0" w:line="276" w:lineRule="auto"/>
              <w:jc w:val="center"/>
              <w:rPr>
                <w:rFonts w:ascii="Times New Roman" w:hAnsi="Times New Roman"/>
              </w:rPr>
            </w:pPr>
            <w:r w:rsidRPr="00966A79">
              <w:rPr>
                <w:rFonts w:ascii="Times New Roman" w:hAnsi="Times New Roman"/>
              </w:rPr>
              <w:t>Negatívne</w:t>
            </w:r>
            <w:r w:rsidRPr="00966A79">
              <w:rPr>
                <w:rFonts w:ascii="Times New Roman" w:hAnsi="Times New Roman"/>
                <w:vertAlign w:val="superscript"/>
              </w:rPr>
              <w:t>*</w:t>
            </w:r>
          </w:p>
        </w:tc>
      </w:tr>
      <w:tr>
        <w:tblPrEx>
          <w:tblW w:w="9828" w:type="dxa"/>
          <w:tblCellMar>
            <w:left w:w="0" w:type="dxa"/>
            <w:right w:w="0" w:type="dxa"/>
          </w:tblCellMar>
          <w:tblLook w:val="04A0"/>
        </w:tblPrEx>
        <w:tc>
          <w:tcPr>
            <w:tcW w:w="5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220FDC" w:rsidRPr="00966A79" w:rsidP="003740CE">
            <w:pPr>
              <w:pStyle w:val="NormalWeb"/>
              <w:bidi w:val="0"/>
              <w:spacing w:before="0" w:beforeAutospacing="0" w:after="0" w:afterAutospacing="0" w:line="276" w:lineRule="auto"/>
              <w:jc w:val="both"/>
              <w:rPr>
                <w:rFonts w:ascii="Times New Roman" w:hAnsi="Times New Roman"/>
              </w:rPr>
            </w:pPr>
            <w:r w:rsidRPr="00966A79">
              <w:rPr>
                <w:rFonts w:ascii="Times New Roman" w:hAnsi="Times New Roman"/>
              </w:rPr>
              <w:t>1. Vplyvy na rozpočet verejnej správy</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0FDC" w:rsidRPr="00966A79" w:rsidP="003740CE">
            <w:pPr>
              <w:pStyle w:val="NormalWeb"/>
              <w:bidi w:val="0"/>
              <w:spacing w:before="0" w:beforeAutospacing="0" w:after="0" w:afterAutospacing="0" w:line="276" w:lineRule="auto"/>
              <w:jc w:val="center"/>
              <w:rPr>
                <w:rFonts w:ascii="Times New Roman" w:hAnsi="Times New Roman"/>
              </w:rPr>
            </w:pPr>
            <w:r w:rsidRPr="00966A79">
              <w:rPr>
                <w:rFonts w:ascii="Times New Roman" w:hAnsi="Times New Roman"/>
              </w:rPr>
              <w:t>X</w:t>
            </w:r>
          </w:p>
        </w:tc>
        <w:tc>
          <w:tcPr>
            <w:tcW w:w="15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220FDC" w:rsidRPr="00966A79" w:rsidP="003740CE">
            <w:pPr>
              <w:pStyle w:val="NormalWeb"/>
              <w:bidi w:val="0"/>
              <w:spacing w:before="0" w:beforeAutospacing="0" w:after="0" w:afterAutospacing="0" w:line="276" w:lineRule="auto"/>
              <w:jc w:val="center"/>
              <w:rPr>
                <w:rFonts w:ascii="Times New Roman" w:hAnsi="Times New Roman"/>
              </w:rPr>
            </w:pPr>
          </w:p>
        </w:tc>
        <w:tc>
          <w:tcPr>
            <w:tcW w:w="128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0FDC" w:rsidRPr="00966A79" w:rsidP="003740CE">
            <w:pPr>
              <w:pStyle w:val="NormalWeb"/>
              <w:bidi w:val="0"/>
              <w:spacing w:before="0" w:beforeAutospacing="0" w:after="0" w:afterAutospacing="0" w:line="276" w:lineRule="auto"/>
              <w:jc w:val="center"/>
              <w:rPr>
                <w:rFonts w:ascii="Times New Roman" w:hAnsi="Times New Roman"/>
              </w:rPr>
            </w:pPr>
            <w:r w:rsidRPr="00966A79">
              <w:rPr>
                <w:rFonts w:ascii="Times New Roman" w:hAnsi="Times New Roman"/>
              </w:rPr>
              <w:t>X</w:t>
            </w:r>
          </w:p>
        </w:tc>
      </w:tr>
      <w:tr>
        <w:tblPrEx>
          <w:tblW w:w="9828" w:type="dxa"/>
          <w:tblCellMar>
            <w:left w:w="0" w:type="dxa"/>
            <w:right w:w="0" w:type="dxa"/>
          </w:tblCellMar>
          <w:tblLook w:val="04A0"/>
        </w:tblPrEx>
        <w:tc>
          <w:tcPr>
            <w:tcW w:w="5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220FDC" w:rsidRPr="00966A79" w:rsidP="003740CE">
            <w:pPr>
              <w:pStyle w:val="NormalWeb"/>
              <w:bidi w:val="0"/>
              <w:spacing w:before="0" w:beforeAutospacing="0" w:after="0" w:afterAutospacing="0" w:line="276" w:lineRule="auto"/>
              <w:jc w:val="both"/>
              <w:rPr>
                <w:rFonts w:ascii="Times New Roman" w:hAnsi="Times New Roman"/>
              </w:rPr>
            </w:pPr>
            <w:r w:rsidRPr="00966A79">
              <w:rPr>
                <w:rFonts w:ascii="Times New Roman" w:hAnsi="Times New Roman"/>
              </w:rPr>
              <w:t>2. Vplyvy na podnikateľské prostredie - dochádza k zvýšeniu regulačného zaťaženia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0FDC" w:rsidRPr="00966A79" w:rsidP="003740CE">
            <w:pPr>
              <w:pStyle w:val="NormalWeb"/>
              <w:bidi w:val="0"/>
              <w:spacing w:before="0" w:beforeAutospacing="0" w:after="0" w:afterAutospacing="0" w:line="276" w:lineRule="auto"/>
              <w:jc w:val="center"/>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220FDC" w:rsidRPr="00966A79" w:rsidP="003740CE">
            <w:pPr>
              <w:pStyle w:val="NormalWeb"/>
              <w:bidi w:val="0"/>
              <w:spacing w:before="0" w:beforeAutospacing="0" w:after="0" w:afterAutospacing="0" w:line="276" w:lineRule="auto"/>
              <w:jc w:val="center"/>
              <w:rPr>
                <w:rFonts w:ascii="Times New Roman" w:hAnsi="Times New Roman"/>
              </w:rPr>
            </w:pPr>
            <w:r w:rsidRPr="00966A79">
              <w:rPr>
                <w:rFonts w:ascii="Times New Roman" w:hAnsi="Times New Roman"/>
              </w:rPr>
              <w:t>X</w:t>
            </w:r>
          </w:p>
        </w:tc>
        <w:tc>
          <w:tcPr>
            <w:tcW w:w="128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0FDC" w:rsidRPr="00966A79" w:rsidP="003740CE">
            <w:pPr>
              <w:pStyle w:val="NormalWeb"/>
              <w:bidi w:val="0"/>
              <w:spacing w:before="0" w:beforeAutospacing="0" w:after="0" w:afterAutospacing="0" w:line="276" w:lineRule="auto"/>
              <w:jc w:val="center"/>
              <w:rPr>
                <w:rFonts w:ascii="Times New Roman" w:hAnsi="Times New Roman"/>
              </w:rPr>
            </w:pPr>
          </w:p>
        </w:tc>
      </w:tr>
      <w:tr>
        <w:tblPrEx>
          <w:tblW w:w="9828" w:type="dxa"/>
          <w:tblCellMar>
            <w:left w:w="0" w:type="dxa"/>
            <w:right w:w="0" w:type="dxa"/>
          </w:tblCellMar>
          <w:tblLook w:val="04A0"/>
        </w:tblPrEx>
        <w:tc>
          <w:tcPr>
            <w:tcW w:w="5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220FDC" w:rsidRPr="00966A79" w:rsidP="003740CE">
            <w:pPr>
              <w:pStyle w:val="NormalWeb"/>
              <w:bidi w:val="0"/>
              <w:spacing w:before="0" w:beforeAutospacing="0" w:after="0" w:afterAutospacing="0" w:line="276" w:lineRule="auto"/>
              <w:jc w:val="both"/>
              <w:rPr>
                <w:rFonts w:ascii="Times New Roman" w:hAnsi="Times New Roman"/>
              </w:rPr>
            </w:pPr>
            <w:r w:rsidRPr="00966A79">
              <w:rPr>
                <w:rFonts w:ascii="Times New Roman" w:hAnsi="Times New Roman"/>
              </w:rPr>
              <w:t>3. Sociálne vplyvy</w:t>
            </w:r>
          </w:p>
          <w:p w:rsidR="00220FDC" w:rsidRPr="00966A79" w:rsidP="003740CE">
            <w:pPr>
              <w:pStyle w:val="NormalWeb"/>
              <w:bidi w:val="0"/>
              <w:spacing w:before="0" w:beforeAutospacing="0" w:after="0" w:afterAutospacing="0" w:line="276" w:lineRule="auto"/>
              <w:jc w:val="both"/>
              <w:rPr>
                <w:rFonts w:ascii="Times New Roman" w:hAnsi="Times New Roman"/>
              </w:rPr>
            </w:pPr>
            <w:r w:rsidRPr="00966A79">
              <w:rPr>
                <w:rFonts w:ascii="Times New Roman" w:hAnsi="Times New Roman"/>
              </w:rPr>
              <w:t>- vplyvy  na hospodárenie obyvateľstva,</w:t>
            </w:r>
          </w:p>
          <w:p w:rsidR="00220FDC" w:rsidRPr="00966A79" w:rsidP="003740CE">
            <w:pPr>
              <w:pStyle w:val="NormalWeb"/>
              <w:bidi w:val="0"/>
              <w:spacing w:before="0" w:beforeAutospacing="0" w:after="0" w:afterAutospacing="0" w:line="276" w:lineRule="auto"/>
              <w:jc w:val="both"/>
              <w:rPr>
                <w:rFonts w:ascii="Times New Roman" w:hAnsi="Times New Roman"/>
              </w:rPr>
            </w:pPr>
            <w:r w:rsidRPr="00966A79">
              <w:rPr>
                <w:rFonts w:ascii="Times New Roman" w:hAnsi="Times New Roman"/>
              </w:rPr>
              <w:t>- sociálnu exklúziu,</w:t>
            </w:r>
          </w:p>
          <w:p w:rsidR="00220FDC" w:rsidRPr="00966A79" w:rsidP="003740CE">
            <w:pPr>
              <w:pStyle w:val="NormalWeb"/>
              <w:bidi w:val="0"/>
              <w:spacing w:before="0" w:beforeAutospacing="0" w:after="0" w:afterAutospacing="0" w:line="276" w:lineRule="auto"/>
              <w:jc w:val="both"/>
              <w:rPr>
                <w:rFonts w:ascii="Times New Roman" w:hAnsi="Times New Roman"/>
              </w:rPr>
            </w:pPr>
            <w:r w:rsidRPr="00966A79">
              <w:rPr>
                <w:rFonts w:ascii="Times New Roman" w:hAnsi="Times New Roman"/>
              </w:rPr>
              <w:t>- rovnosť príležitostí a rodovú rovnosť a vplyvy na zamestnanosť</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0FDC" w:rsidRPr="00966A79" w:rsidP="003740CE">
            <w:pPr>
              <w:pStyle w:val="NormalWeb"/>
              <w:bidi w:val="0"/>
              <w:spacing w:before="0" w:beforeAutospacing="0" w:after="0" w:afterAutospacing="0" w:line="276" w:lineRule="auto"/>
              <w:jc w:val="center"/>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220FDC" w:rsidRPr="00966A79" w:rsidP="003740CE">
            <w:pPr>
              <w:pStyle w:val="NormalWeb"/>
              <w:bidi w:val="0"/>
              <w:spacing w:before="0" w:beforeAutospacing="0" w:after="0" w:afterAutospacing="0" w:line="276" w:lineRule="auto"/>
              <w:jc w:val="center"/>
              <w:rPr>
                <w:rFonts w:ascii="Times New Roman" w:hAnsi="Times New Roman"/>
              </w:rPr>
            </w:pPr>
            <w:r w:rsidRPr="00966A79">
              <w:rPr>
                <w:rFonts w:ascii="Times New Roman" w:hAnsi="Times New Roman"/>
              </w:rPr>
              <w:t>X</w:t>
            </w:r>
          </w:p>
        </w:tc>
        <w:tc>
          <w:tcPr>
            <w:tcW w:w="128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0FDC" w:rsidRPr="00966A79" w:rsidP="003740CE">
            <w:pPr>
              <w:pStyle w:val="NormalWeb"/>
              <w:bidi w:val="0"/>
              <w:spacing w:before="0" w:beforeAutospacing="0" w:after="0" w:afterAutospacing="0" w:line="276" w:lineRule="auto"/>
              <w:jc w:val="center"/>
              <w:rPr>
                <w:rFonts w:ascii="Times New Roman" w:hAnsi="Times New Roman"/>
              </w:rPr>
            </w:pPr>
          </w:p>
        </w:tc>
      </w:tr>
      <w:tr>
        <w:tblPrEx>
          <w:tblW w:w="9828" w:type="dxa"/>
          <w:tblCellMar>
            <w:left w:w="0" w:type="dxa"/>
            <w:right w:w="0" w:type="dxa"/>
          </w:tblCellMar>
          <w:tblLook w:val="04A0"/>
        </w:tblPrEx>
        <w:tc>
          <w:tcPr>
            <w:tcW w:w="5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220FDC" w:rsidRPr="00966A79" w:rsidP="003740CE">
            <w:pPr>
              <w:pStyle w:val="NormalWeb"/>
              <w:bidi w:val="0"/>
              <w:spacing w:before="0" w:beforeAutospacing="0" w:after="0" w:afterAutospacing="0" w:line="276" w:lineRule="auto"/>
              <w:jc w:val="both"/>
              <w:rPr>
                <w:rFonts w:ascii="Times New Roman" w:hAnsi="Times New Roman"/>
              </w:rPr>
            </w:pPr>
            <w:r w:rsidRPr="00966A79">
              <w:rPr>
                <w:rFonts w:ascii="Times New Roman" w:hAnsi="Times New Roman"/>
              </w:rPr>
              <w:t>4. Vplyvy na životné prostredie</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0FDC" w:rsidRPr="00966A79" w:rsidP="003740CE">
            <w:pPr>
              <w:pStyle w:val="NormalWeb"/>
              <w:bidi w:val="0"/>
              <w:spacing w:before="0" w:beforeAutospacing="0" w:after="0" w:afterAutospacing="0" w:line="276" w:lineRule="auto"/>
              <w:jc w:val="center"/>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220FDC" w:rsidRPr="00966A79" w:rsidP="003740CE">
            <w:pPr>
              <w:pStyle w:val="NormalWeb"/>
              <w:bidi w:val="0"/>
              <w:spacing w:before="0" w:beforeAutospacing="0" w:after="0" w:afterAutospacing="0" w:line="276" w:lineRule="auto"/>
              <w:jc w:val="center"/>
              <w:rPr>
                <w:rFonts w:ascii="Times New Roman" w:hAnsi="Times New Roman"/>
              </w:rPr>
            </w:pPr>
            <w:r w:rsidRPr="00966A79">
              <w:rPr>
                <w:rFonts w:ascii="Times New Roman" w:hAnsi="Times New Roman"/>
              </w:rPr>
              <w:t>X</w:t>
            </w:r>
          </w:p>
        </w:tc>
        <w:tc>
          <w:tcPr>
            <w:tcW w:w="128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0FDC" w:rsidRPr="00966A79" w:rsidP="003740CE">
            <w:pPr>
              <w:pStyle w:val="NormalWeb"/>
              <w:bidi w:val="0"/>
              <w:spacing w:before="0" w:beforeAutospacing="0" w:after="0" w:afterAutospacing="0" w:line="276" w:lineRule="auto"/>
              <w:jc w:val="center"/>
              <w:rPr>
                <w:rFonts w:ascii="Times New Roman" w:hAnsi="Times New Roman"/>
              </w:rPr>
            </w:pPr>
          </w:p>
        </w:tc>
      </w:tr>
      <w:tr>
        <w:tblPrEx>
          <w:tblW w:w="9828" w:type="dxa"/>
          <w:tblCellMar>
            <w:left w:w="0" w:type="dxa"/>
            <w:right w:w="0" w:type="dxa"/>
          </w:tblCellMar>
          <w:tblLook w:val="04A0"/>
        </w:tblPrEx>
        <w:tc>
          <w:tcPr>
            <w:tcW w:w="5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220FDC" w:rsidRPr="00966A79" w:rsidP="003740CE">
            <w:pPr>
              <w:pStyle w:val="NormalWeb"/>
              <w:bidi w:val="0"/>
              <w:spacing w:before="0" w:beforeAutospacing="0" w:after="0" w:afterAutospacing="0" w:line="276" w:lineRule="auto"/>
              <w:jc w:val="both"/>
              <w:rPr>
                <w:rFonts w:ascii="Times New Roman" w:hAnsi="Times New Roman"/>
              </w:rPr>
            </w:pPr>
            <w:r w:rsidRPr="00966A79">
              <w:rPr>
                <w:rFonts w:ascii="Times New Roman" w:hAnsi="Times New Roman"/>
              </w:rPr>
              <w:t>5. Vplyvy na informatizáciu spoločnosti</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0FDC" w:rsidRPr="00966A79" w:rsidP="003740CE">
            <w:pPr>
              <w:pStyle w:val="NormalWeb"/>
              <w:bidi w:val="0"/>
              <w:spacing w:before="0" w:beforeAutospacing="0" w:after="0" w:afterAutospacing="0" w:line="276" w:lineRule="auto"/>
              <w:jc w:val="center"/>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220FDC" w:rsidRPr="00966A79" w:rsidP="003740CE">
            <w:pPr>
              <w:pStyle w:val="NormalWeb"/>
              <w:bidi w:val="0"/>
              <w:spacing w:before="0" w:beforeAutospacing="0" w:after="0" w:afterAutospacing="0" w:line="276" w:lineRule="auto"/>
              <w:jc w:val="center"/>
              <w:rPr>
                <w:rFonts w:ascii="Times New Roman" w:hAnsi="Times New Roman"/>
              </w:rPr>
            </w:pPr>
            <w:r w:rsidRPr="00966A79">
              <w:rPr>
                <w:rFonts w:ascii="Times New Roman" w:hAnsi="Times New Roman"/>
              </w:rPr>
              <w:t>X</w:t>
            </w:r>
          </w:p>
        </w:tc>
        <w:tc>
          <w:tcPr>
            <w:tcW w:w="128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20FDC" w:rsidRPr="00966A79" w:rsidP="003740CE">
            <w:pPr>
              <w:pStyle w:val="NormalWeb"/>
              <w:bidi w:val="0"/>
              <w:spacing w:before="0" w:beforeAutospacing="0" w:after="0" w:afterAutospacing="0" w:line="276" w:lineRule="auto"/>
              <w:jc w:val="center"/>
              <w:rPr>
                <w:rFonts w:ascii="Times New Roman" w:hAnsi="Times New Roman"/>
              </w:rPr>
            </w:pPr>
          </w:p>
        </w:tc>
      </w:tr>
    </w:tbl>
    <w:p w:rsidR="00220FDC" w:rsidRPr="00966A79" w:rsidP="00220FDC">
      <w:pPr>
        <w:pStyle w:val="NormalWeb"/>
        <w:bidi w:val="0"/>
        <w:spacing w:before="0" w:beforeAutospacing="0" w:after="0" w:afterAutospacing="0"/>
        <w:jc w:val="both"/>
        <w:rPr>
          <w:rFonts w:ascii="Times New Roman" w:hAnsi="Times New Roman"/>
        </w:rPr>
      </w:pPr>
      <w:r w:rsidRPr="00966A79">
        <w:rPr>
          <w:rFonts w:ascii="Times New Roman" w:hAnsi="Times New Roman"/>
          <w:bCs/>
        </w:rPr>
        <w:t>*</w:t>
      </w:r>
      <w:r w:rsidRPr="00966A79">
        <w:rPr>
          <w:rFonts w:ascii="Times New Roman" w:hAnsi="Times New Roman"/>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220FDC" w:rsidRPr="00966A79" w:rsidP="00220FDC">
      <w:pPr>
        <w:pStyle w:val="NormalWeb"/>
        <w:bidi w:val="0"/>
        <w:spacing w:before="0" w:beforeAutospacing="0" w:after="0" w:afterAutospacing="0"/>
        <w:jc w:val="both"/>
        <w:rPr>
          <w:rFonts w:ascii="Times New Roman" w:hAnsi="Times New Roman"/>
        </w:rPr>
      </w:pPr>
    </w:p>
    <w:p w:rsidR="00220FDC" w:rsidRPr="00966A79" w:rsidP="00220FDC">
      <w:pPr>
        <w:pStyle w:val="NormalWeb"/>
        <w:bidi w:val="0"/>
        <w:spacing w:before="0" w:beforeAutospacing="0" w:after="0" w:afterAutospacing="0"/>
        <w:jc w:val="both"/>
        <w:rPr>
          <w:rFonts w:ascii="Times New Roman" w:hAnsi="Times New Roman"/>
        </w:rPr>
      </w:pPr>
      <w:r w:rsidRPr="00966A79">
        <w:rPr>
          <w:rFonts w:ascii="Times New Roman" w:hAnsi="Times New Roman"/>
          <w:bCs/>
        </w:rPr>
        <w:t>A.3. Poznámky</w:t>
      </w:r>
    </w:p>
    <w:p w:rsidR="00220FDC" w:rsidRPr="00966A79" w:rsidP="00220FDC">
      <w:pPr>
        <w:pStyle w:val="NormalWeb"/>
        <w:bidi w:val="0"/>
        <w:spacing w:before="0" w:beforeAutospacing="0" w:after="0" w:afterAutospacing="0"/>
        <w:jc w:val="both"/>
        <w:rPr>
          <w:rFonts w:ascii="Times New Roman" w:hAnsi="Times New Roman"/>
        </w:rPr>
      </w:pPr>
      <w:r w:rsidRPr="00966A79">
        <w:rPr>
          <w:rFonts w:ascii="Times New Roman" w:hAnsi="Times New Roman"/>
        </w:rPr>
        <w:t>Výdavky súvisiace s návrhom zákona o zrušení kolkových známok</w:t>
      </w:r>
      <w:r w:rsidRPr="00966A79">
        <w:rPr>
          <w:rFonts w:ascii="Times New Roman" w:hAnsi="Times New Roman"/>
          <w:bCs/>
          <w:color w:val="000000" w:themeColor="tx1" w:themeShade="FF"/>
        </w:rPr>
        <w:t xml:space="preserve"> a o zmene a doplnení niektorých zákonov sa nedajú vyčísliť. </w:t>
      </w:r>
    </w:p>
    <w:p w:rsidR="00220FDC" w:rsidP="00220FDC">
      <w:pPr>
        <w:pStyle w:val="NormalWeb"/>
        <w:bidi w:val="0"/>
        <w:spacing w:before="0" w:beforeAutospacing="0" w:after="0" w:afterAutospacing="0"/>
        <w:jc w:val="both"/>
        <w:rPr>
          <w:rFonts w:ascii="Times New Roman" w:hAnsi="Times New Roman"/>
        </w:rPr>
      </w:pPr>
      <w:r w:rsidRPr="00966A79">
        <w:rPr>
          <w:rFonts w:ascii="Times New Roman" w:hAnsi="Times New Roman"/>
        </w:rPr>
        <w:t xml:space="preserve">Výdavky kapitol </w:t>
      </w:r>
      <w:r>
        <w:rPr>
          <w:rFonts w:ascii="Times New Roman" w:hAnsi="Times New Roman"/>
        </w:rPr>
        <w:t>sa uplatnia pri príprave štátneho rozpočtu na príslušný rok.</w:t>
      </w:r>
    </w:p>
    <w:p w:rsidR="00220FDC" w:rsidP="00220FDC">
      <w:pPr>
        <w:pStyle w:val="NormalWeb"/>
        <w:bidi w:val="0"/>
        <w:spacing w:before="0" w:beforeAutospacing="0" w:after="0" w:afterAutospacing="0"/>
        <w:jc w:val="both"/>
        <w:rPr>
          <w:rFonts w:ascii="Times New Roman" w:hAnsi="Times New Roman"/>
        </w:rPr>
      </w:pPr>
      <w:r w:rsidRPr="00966A79">
        <w:rPr>
          <w:rFonts w:ascii="Times New Roman" w:hAnsi="Times New Roman"/>
        </w:rPr>
        <w:t>Z limitu výdavkov kapitoly Ministerstva financií SR budú zabezpečené finančné prostriedky na odkúpenie neplatných kolkových známok.</w:t>
      </w:r>
      <w:r>
        <w:rPr>
          <w:rFonts w:ascii="Times New Roman" w:hAnsi="Times New Roman"/>
        </w:rPr>
        <w:t xml:space="preserve"> </w:t>
      </w:r>
    </w:p>
    <w:p w:rsidR="00220FDC" w:rsidRPr="00966A79" w:rsidP="00220FDC">
      <w:pPr>
        <w:pStyle w:val="NormalWeb"/>
        <w:bidi w:val="0"/>
        <w:spacing w:before="0" w:beforeAutospacing="0" w:after="0" w:afterAutospacing="0"/>
        <w:jc w:val="both"/>
        <w:rPr>
          <w:rFonts w:ascii="Times New Roman" w:hAnsi="Times New Roman"/>
        </w:rPr>
      </w:pPr>
    </w:p>
    <w:p w:rsidR="00220FDC" w:rsidRPr="00966A79" w:rsidP="00220FDC">
      <w:pPr>
        <w:pStyle w:val="NormalWeb"/>
        <w:bidi w:val="0"/>
        <w:spacing w:before="0" w:beforeAutospacing="0" w:after="0" w:afterAutospacing="0"/>
        <w:jc w:val="both"/>
        <w:rPr>
          <w:rFonts w:ascii="Times New Roman" w:hAnsi="Times New Roman"/>
        </w:rPr>
      </w:pPr>
      <w:r w:rsidRPr="00966A79">
        <w:rPr>
          <w:rFonts w:ascii="Times New Roman" w:hAnsi="Times New Roman"/>
          <w:bCs/>
        </w:rPr>
        <w:t>A.4. Alternatívne riešenia</w:t>
      </w:r>
    </w:p>
    <w:p w:rsidR="00220FDC" w:rsidRPr="00966A79" w:rsidP="00220FDC">
      <w:pPr>
        <w:pStyle w:val="NormalWeb"/>
        <w:bidi w:val="0"/>
        <w:spacing w:before="0" w:beforeAutospacing="0" w:after="0" w:afterAutospacing="0"/>
        <w:jc w:val="both"/>
        <w:rPr>
          <w:rFonts w:ascii="Times New Roman" w:hAnsi="Times New Roman"/>
        </w:rPr>
      </w:pPr>
      <w:r w:rsidRPr="00966A79">
        <w:rPr>
          <w:rFonts w:ascii="Times New Roman" w:hAnsi="Times New Roman"/>
          <w:bCs/>
        </w:rPr>
        <w:t> -</w:t>
      </w:r>
    </w:p>
    <w:p w:rsidR="00220FDC" w:rsidRPr="00966A79" w:rsidP="00220FDC">
      <w:pPr>
        <w:pStyle w:val="NormalWeb"/>
        <w:bidi w:val="0"/>
        <w:spacing w:before="0" w:beforeAutospacing="0" w:after="0" w:afterAutospacing="0"/>
        <w:jc w:val="both"/>
        <w:rPr>
          <w:rFonts w:ascii="Times New Roman" w:hAnsi="Times New Roman"/>
        </w:rPr>
      </w:pPr>
      <w:r w:rsidRPr="00966A79">
        <w:rPr>
          <w:rFonts w:ascii="Times New Roman" w:hAnsi="Times New Roman"/>
          <w:bCs/>
        </w:rPr>
        <w:t> </w:t>
      </w:r>
    </w:p>
    <w:p w:rsidR="00220FDC" w:rsidRPr="00966A79" w:rsidP="00220FDC">
      <w:pPr>
        <w:pStyle w:val="NormalWeb"/>
        <w:bidi w:val="0"/>
        <w:spacing w:before="0" w:beforeAutospacing="0" w:after="0" w:afterAutospacing="0"/>
        <w:rPr>
          <w:rFonts w:ascii="Times New Roman" w:hAnsi="Times New Roman"/>
          <w:bCs/>
        </w:rPr>
      </w:pPr>
      <w:r w:rsidRPr="00966A79">
        <w:rPr>
          <w:rFonts w:ascii="Times New Roman" w:hAnsi="Times New Roman"/>
          <w:bCs/>
        </w:rPr>
        <w:t>A.5. Stanovisko gestorov</w:t>
      </w:r>
    </w:p>
    <w:p w:rsidR="00220FDC" w:rsidRPr="00966A79" w:rsidP="00220FDC">
      <w:pPr>
        <w:pStyle w:val="NormalWeb"/>
        <w:bidi w:val="0"/>
        <w:spacing w:before="0" w:beforeAutospacing="0" w:after="0" w:afterAutospacing="0"/>
        <w:jc w:val="both"/>
        <w:rPr>
          <w:rFonts w:ascii="Times New Roman" w:hAnsi="Times New Roman"/>
          <w:bCs/>
        </w:rPr>
      </w:pPr>
      <w:r w:rsidRPr="00966A79">
        <w:rPr>
          <w:rFonts w:ascii="Times New Roman" w:hAnsi="Times New Roman"/>
          <w:bCs/>
        </w:rPr>
        <w:t>Ministerstvo financií SR nemá pripomienky k doložke vybraných vplyvov z hľadiska vplyvov na informatizáciu spoločnosti.</w:t>
      </w:r>
    </w:p>
    <w:p w:rsidR="00220FDC" w:rsidRPr="00966A79" w:rsidP="00220FDC">
      <w:pPr>
        <w:pStyle w:val="NormalWeb"/>
        <w:bidi w:val="0"/>
        <w:spacing w:before="0" w:beforeAutospacing="0" w:after="0" w:afterAutospacing="0"/>
        <w:jc w:val="both"/>
        <w:rPr>
          <w:rFonts w:ascii="Times New Roman" w:hAnsi="Times New Roman"/>
          <w:bCs/>
          <w:color w:val="000000" w:themeColor="tx1" w:themeShade="FF"/>
        </w:rPr>
      </w:pPr>
      <w:r w:rsidRPr="00966A79">
        <w:rPr>
          <w:rFonts w:ascii="Times New Roman" w:hAnsi="Times New Roman"/>
          <w:bCs/>
          <w:color w:val="000000" w:themeColor="tx1" w:themeShade="FF"/>
        </w:rPr>
        <w:t>Ministerstvo životného prostredia súhlasí s doložkou vybraných vplyvov bez pripomienok.</w:t>
      </w:r>
    </w:p>
    <w:p w:rsidR="00220FDC" w:rsidRPr="00966A79" w:rsidP="00220FDC">
      <w:pPr>
        <w:pStyle w:val="BodyText2"/>
        <w:bidi w:val="0"/>
        <w:jc w:val="both"/>
        <w:rPr>
          <w:rFonts w:ascii="Times New Roman" w:hAnsi="Times New Roman"/>
          <w:color w:val="000000" w:themeColor="tx1" w:themeShade="FF"/>
        </w:rPr>
      </w:pPr>
      <w:r w:rsidRPr="00966A79">
        <w:rPr>
          <w:rFonts w:ascii="Times New Roman" w:hAnsi="Times New Roman"/>
          <w:color w:val="000000" w:themeColor="tx1" w:themeShade="FF"/>
        </w:rPr>
        <w:t>Ministerstvo práce, sociálnych vecí a rodiny SR súhlasí s doložkou vybraných vplyvov predloženého návrhu v časti sociálne vplyvy.</w:t>
      </w:r>
    </w:p>
    <w:p w:rsidR="00220FDC" w:rsidRPr="00966A79" w:rsidP="00220FDC">
      <w:pPr>
        <w:bidi w:val="0"/>
        <w:spacing w:after="0" w:line="240" w:lineRule="auto"/>
        <w:jc w:val="both"/>
        <w:rPr>
          <w:rFonts w:ascii="Times New Roman" w:hAnsi="Times New Roman"/>
          <w:color w:val="000000" w:themeColor="tx1" w:themeShade="FF"/>
          <w:sz w:val="24"/>
          <w:szCs w:val="24"/>
        </w:rPr>
      </w:pPr>
      <w:r w:rsidRPr="00966A79">
        <w:rPr>
          <w:rFonts w:ascii="Times New Roman" w:hAnsi="Times New Roman"/>
          <w:color w:val="000000" w:themeColor="tx1" w:themeShade="FF"/>
          <w:sz w:val="24"/>
          <w:szCs w:val="24"/>
        </w:rPr>
        <w:t>Ministerstvo hospodárstva SR neuplatňuje pripomienky k materiálu a súhlasí s doložkou vplyvov na podnikateľské prostredie.</w:t>
      </w:r>
    </w:p>
    <w:p w:rsidR="00220FDC" w:rsidRPr="00966A79" w:rsidP="00220FDC">
      <w:pPr>
        <w:pStyle w:val="NormalWeb"/>
        <w:bidi w:val="0"/>
        <w:spacing w:before="0" w:beforeAutospacing="0" w:after="0" w:afterAutospacing="0"/>
        <w:rPr>
          <w:rFonts w:ascii="Times New Roman" w:hAnsi="Times New Roman"/>
          <w:bCs/>
        </w:rPr>
      </w:pPr>
    </w:p>
    <w:p w:rsidR="00220FDC" w:rsidP="00220FDC">
      <w:pPr>
        <w:pStyle w:val="NormalWeb"/>
        <w:bidi w:val="0"/>
        <w:spacing w:before="0" w:beforeAutospacing="0" w:after="0" w:afterAutospacing="0"/>
        <w:rPr>
          <w:rFonts w:ascii="Arial Narrow" w:hAnsi="Arial Narrow"/>
          <w:bCs/>
          <w:sz w:val="22"/>
          <w:szCs w:val="22"/>
        </w:rPr>
      </w:pPr>
    </w:p>
    <w:p w:rsidR="00220FDC" w:rsidRPr="00966A79" w:rsidP="00220FDC">
      <w:pPr>
        <w:pStyle w:val="NormalWeb"/>
        <w:bidi w:val="0"/>
        <w:spacing w:before="0" w:beforeAutospacing="0" w:after="0" w:afterAutospacing="0"/>
        <w:rPr>
          <w:rFonts w:ascii="Times New Roman" w:hAnsi="Times New Roman"/>
          <w:bCs/>
        </w:rPr>
      </w:pPr>
    </w:p>
    <w:p w:rsidR="00220FDC" w:rsidRPr="00966A79" w:rsidP="00220FDC">
      <w:pPr>
        <w:bidi w:val="0"/>
        <w:jc w:val="center"/>
        <w:rPr>
          <w:rFonts w:ascii="Times New Roman" w:hAnsi="Times New Roman"/>
          <w:sz w:val="24"/>
          <w:szCs w:val="24"/>
        </w:rPr>
      </w:pPr>
      <w:r w:rsidRPr="00966A79">
        <w:rPr>
          <w:rFonts w:ascii="Times New Roman" w:hAnsi="Times New Roman"/>
          <w:b/>
          <w:bCs/>
          <w:sz w:val="24"/>
          <w:szCs w:val="24"/>
        </w:rPr>
        <w:t>Vplyvy na rozpočet verejnej správy,</w:t>
      </w:r>
    </w:p>
    <w:p w:rsidR="00220FDC" w:rsidRPr="00966A79" w:rsidP="00220FDC">
      <w:pPr>
        <w:bidi w:val="0"/>
        <w:jc w:val="center"/>
        <w:rPr>
          <w:rFonts w:ascii="Times New Roman" w:hAnsi="Times New Roman"/>
          <w:sz w:val="24"/>
          <w:szCs w:val="24"/>
        </w:rPr>
      </w:pPr>
      <w:r w:rsidRPr="00966A79">
        <w:rPr>
          <w:rFonts w:ascii="Times New Roman" w:hAnsi="Times New Roman"/>
          <w:b/>
          <w:bCs/>
          <w:sz w:val="24"/>
          <w:szCs w:val="24"/>
        </w:rPr>
        <w:t>na zamestnanosť vo verejnej správe a financovanie návrhu</w:t>
      </w:r>
    </w:p>
    <w:p w:rsidR="00220FDC" w:rsidRPr="00966A79" w:rsidP="00220FDC">
      <w:pPr>
        <w:bidi w:val="0"/>
        <w:rPr>
          <w:rFonts w:ascii="Times New Roman" w:hAnsi="Times New Roman"/>
          <w:sz w:val="24"/>
          <w:szCs w:val="24"/>
        </w:rPr>
      </w:pPr>
      <w:r w:rsidRPr="00966A79">
        <w:rPr>
          <w:rFonts w:ascii="Times New Roman" w:hAnsi="Times New Roman"/>
          <w:sz w:val="24"/>
          <w:szCs w:val="24"/>
        </w:rPr>
        <w:t> </w:t>
      </w:r>
      <w:r w:rsidRPr="00966A79">
        <w:rPr>
          <w:rFonts w:ascii="Times New Roman" w:hAnsi="Times New Roman"/>
          <w:b/>
          <w:bCs/>
          <w:sz w:val="24"/>
          <w:szCs w:val="24"/>
        </w:rPr>
        <w:t>2.1. Zhrnutie vplyvov na rozpočet verejnej správy v návrhu</w:t>
      </w:r>
    </w:p>
    <w:p w:rsidR="00220FDC" w:rsidRPr="00966A79" w:rsidP="00220FDC">
      <w:pPr>
        <w:bidi w:val="0"/>
        <w:jc w:val="center"/>
        <w:rPr>
          <w:rFonts w:ascii="Times New Roman" w:hAnsi="Times New Roman"/>
          <w:sz w:val="24"/>
          <w:szCs w:val="24"/>
        </w:rPr>
      </w:pPr>
      <w:r w:rsidRPr="00966A79">
        <w:rPr>
          <w:rFonts w:ascii="Times New Roman" w:hAnsi="Times New Roman"/>
          <w:sz w:val="24"/>
          <w:szCs w:val="24"/>
        </w:rPr>
        <w:t>Tabuľka č. 1</w:t>
      </w:r>
    </w:p>
    <w:tbl>
      <w:tblPr>
        <w:tblStyle w:val="TableNormal"/>
        <w:tblW w:w="8434" w:type="dxa"/>
        <w:tblCellMar>
          <w:left w:w="0" w:type="dxa"/>
          <w:right w:w="0" w:type="dxa"/>
        </w:tblCellMar>
      </w:tblPr>
      <w:tblGrid>
        <w:gridCol w:w="4588"/>
        <w:gridCol w:w="1261"/>
        <w:gridCol w:w="1261"/>
        <w:gridCol w:w="1182"/>
        <w:gridCol w:w="142"/>
      </w:tblGrid>
      <w:tr>
        <w:tblPrEx>
          <w:tblW w:w="8434" w:type="dxa"/>
          <w:tblCellMar>
            <w:left w:w="0" w:type="dxa"/>
            <w:right w:w="0" w:type="dxa"/>
          </w:tblCellMar>
        </w:tblPrEx>
        <w:trPr>
          <w:trHeight w:val="452"/>
        </w:trPr>
        <w:tc>
          <w:tcPr>
            <w:tcW w:w="458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20FDC" w:rsidP="003740CE">
            <w:pPr>
              <w:bidi w:val="0"/>
              <w:spacing w:line="194" w:lineRule="atLeast"/>
              <w:jc w:val="center"/>
              <w:rPr>
                <w:rFonts w:ascii="Times New Roman" w:hAnsi="Times New Roman"/>
                <w:b/>
                <w:bCs/>
                <w:sz w:val="24"/>
                <w:szCs w:val="24"/>
              </w:rPr>
            </w:pPr>
            <w:bookmarkStart w:id="0" w:name="OLE_LINK1"/>
            <w:bookmarkEnd w:id="0"/>
            <w:r w:rsidRPr="00966A79">
              <w:rPr>
                <w:rFonts w:ascii="Times New Roman" w:hAnsi="Times New Roman"/>
                <w:b/>
                <w:bCs/>
                <w:color w:val="FFFFFF"/>
                <w:sz w:val="24"/>
                <w:szCs w:val="24"/>
              </w:rPr>
              <w:t xml:space="preserve">Vplyvy na </w:t>
            </w:r>
            <w:r w:rsidRPr="00966A79">
              <w:rPr>
                <w:rFonts w:ascii="Times New Roman" w:hAnsi="Times New Roman"/>
                <w:b/>
                <w:bCs/>
                <w:sz w:val="24"/>
                <w:szCs w:val="24"/>
              </w:rPr>
              <w:t xml:space="preserve">rozpočet verejnej správy </w:t>
            </w:r>
          </w:p>
          <w:p w:rsidR="00220FDC" w:rsidRPr="00966A79" w:rsidP="003740CE">
            <w:pPr>
              <w:bidi w:val="0"/>
              <w:spacing w:line="194" w:lineRule="atLeast"/>
              <w:jc w:val="center"/>
              <w:rPr>
                <w:rFonts w:ascii="Times New Roman" w:hAnsi="Times New Roman"/>
                <w:sz w:val="24"/>
                <w:szCs w:val="24"/>
              </w:rPr>
            </w:pPr>
            <w:r w:rsidRPr="00966A79">
              <w:rPr>
                <w:rFonts w:ascii="Times New Roman" w:hAnsi="Times New Roman"/>
                <w:b/>
                <w:bCs/>
                <w:sz w:val="24"/>
                <w:szCs w:val="24"/>
              </w:rPr>
              <w:t>(v tis. eur)</w:t>
            </w:r>
          </w:p>
        </w:tc>
        <w:tc>
          <w:tcPr>
            <w:tcW w:w="3846" w:type="dxa"/>
            <w:gridSpan w:val="4"/>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20FDC" w:rsidP="003740CE">
            <w:pPr>
              <w:bidi w:val="0"/>
              <w:spacing w:line="194" w:lineRule="atLeast"/>
              <w:jc w:val="center"/>
              <w:rPr>
                <w:rFonts w:ascii="Times New Roman" w:hAnsi="Times New Roman"/>
                <w:b/>
                <w:bCs/>
                <w:color w:val="FFFFFF"/>
                <w:sz w:val="24"/>
                <w:szCs w:val="24"/>
              </w:rPr>
            </w:pPr>
            <w:r w:rsidRPr="00966A79">
              <w:rPr>
                <w:rFonts w:ascii="Times New Roman" w:hAnsi="Times New Roman"/>
                <w:b/>
                <w:bCs/>
                <w:color w:val="FFFFFF"/>
                <w:sz w:val="24"/>
                <w:szCs w:val="24"/>
              </w:rPr>
              <w:t xml:space="preserve">Vplyv na rozpočet verejnej správy </w:t>
            </w:r>
          </w:p>
          <w:p w:rsidR="00220FDC" w:rsidRPr="00966A79" w:rsidP="003740CE">
            <w:pPr>
              <w:bidi w:val="0"/>
              <w:spacing w:line="194" w:lineRule="atLeast"/>
              <w:jc w:val="center"/>
              <w:rPr>
                <w:rFonts w:ascii="Times New Roman" w:hAnsi="Times New Roman"/>
                <w:b/>
                <w:bCs/>
                <w:color w:val="FFFFFF"/>
                <w:sz w:val="24"/>
                <w:szCs w:val="24"/>
              </w:rPr>
            </w:pPr>
            <w:r w:rsidRPr="00966A79">
              <w:rPr>
                <w:rFonts w:ascii="Times New Roman" w:hAnsi="Times New Roman"/>
                <w:b/>
                <w:bCs/>
                <w:color w:val="FFFFFF"/>
                <w:sz w:val="24"/>
                <w:szCs w:val="24"/>
              </w:rPr>
              <w:t>(v tis. eur)</w:t>
            </w:r>
          </w:p>
        </w:tc>
      </w:tr>
      <w:tr>
        <w:tblPrEx>
          <w:tblW w:w="8434"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220FDC" w:rsidRPr="00966A79" w:rsidP="003740CE">
            <w:pPr>
              <w:bidi w:val="0"/>
              <w:jc w:val="center"/>
              <w:rPr>
                <w:rFonts w:ascii="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20FDC" w:rsidRPr="00966A79" w:rsidP="003740CE">
            <w:pPr>
              <w:bidi w:val="0"/>
              <w:spacing w:line="70" w:lineRule="atLeast"/>
              <w:jc w:val="center"/>
              <w:rPr>
                <w:rFonts w:ascii="Times New Roman" w:hAnsi="Times New Roman"/>
                <w:sz w:val="24"/>
                <w:szCs w:val="24"/>
              </w:rPr>
            </w:pPr>
            <w:r w:rsidRPr="00966A79">
              <w:rPr>
                <w:rFonts w:ascii="Times New Roman" w:hAnsi="Times New Roman"/>
                <w:b/>
                <w:bCs/>
                <w:color w:val="FFFFFF"/>
                <w:sz w:val="24"/>
                <w:szCs w:val="24"/>
              </w:rPr>
              <w:t>201</w:t>
            </w:r>
            <w:r>
              <w:rPr>
                <w:rFonts w:ascii="Times New Roman" w:hAnsi="Times New Roman"/>
                <w:b/>
                <w:bCs/>
                <w:color w:val="FFFFFF"/>
                <w:sz w:val="24"/>
                <w:szCs w:val="24"/>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20FDC" w:rsidRPr="00966A79" w:rsidP="003740CE">
            <w:pPr>
              <w:bidi w:val="0"/>
              <w:spacing w:line="70" w:lineRule="atLeast"/>
              <w:jc w:val="center"/>
              <w:rPr>
                <w:rFonts w:ascii="Times New Roman" w:hAnsi="Times New Roman"/>
                <w:b/>
                <w:sz w:val="24"/>
                <w:szCs w:val="24"/>
              </w:rPr>
            </w:pPr>
            <w:r w:rsidRPr="00966A79">
              <w:rPr>
                <w:rFonts w:ascii="Times New Roman" w:hAnsi="Times New Roman"/>
                <w:b/>
                <w:sz w:val="24"/>
                <w:szCs w:val="24"/>
              </w:rPr>
              <w:t>201</w:t>
            </w:r>
            <w:r>
              <w:rPr>
                <w:rFonts w:ascii="Times New Roman" w:hAnsi="Times New Roman"/>
                <w:b/>
                <w:sz w:val="24"/>
                <w:szCs w:val="24"/>
              </w:rPr>
              <w:t>4</w:t>
            </w:r>
          </w:p>
        </w:tc>
        <w:tc>
          <w:tcPr>
            <w:tcW w:w="1324" w:type="dxa"/>
            <w:gridSpan w:val="2"/>
            <w:tcBorders>
              <w:top w:val="single" w:sz="4" w:space="0" w:color="000000"/>
              <w:left w:val="single" w:sz="4" w:space="0" w:color="000000"/>
              <w:bottom w:val="single" w:sz="4" w:space="0" w:color="000000"/>
              <w:right w:val="none" w:sz="0" w:space="0" w:color="auto"/>
            </w:tcBorders>
            <w:shd w:val="clear" w:color="auto" w:fill="000000"/>
            <w:textDirection w:val="lrTb"/>
            <w:vAlign w:val="top"/>
          </w:tcPr>
          <w:p w:rsidR="00220FDC" w:rsidRPr="00966A79" w:rsidP="003740CE">
            <w:pPr>
              <w:bidi w:val="0"/>
              <w:spacing w:line="70" w:lineRule="atLeast"/>
              <w:jc w:val="center"/>
              <w:rPr>
                <w:rFonts w:ascii="Times New Roman" w:hAnsi="Times New Roman"/>
                <w:b/>
                <w:sz w:val="24"/>
                <w:szCs w:val="24"/>
              </w:rPr>
            </w:pPr>
            <w:r w:rsidRPr="00966A79">
              <w:rPr>
                <w:rFonts w:ascii="Times New Roman" w:hAnsi="Times New Roman"/>
                <w:b/>
                <w:sz w:val="24"/>
                <w:szCs w:val="24"/>
              </w:rPr>
              <w:t>201</w:t>
            </w:r>
            <w:r>
              <w:rPr>
                <w:rFonts w:ascii="Times New Roman" w:hAnsi="Times New Roman"/>
                <w:b/>
                <w:sz w:val="24"/>
                <w:szCs w:val="24"/>
              </w:rPr>
              <w:t>5</w:t>
            </w:r>
          </w:p>
        </w:tc>
      </w:tr>
      <w:tr>
        <w:tblPrEx>
          <w:tblW w:w="8434" w:type="dxa"/>
          <w:tblCellMar>
            <w:left w:w="0" w:type="dxa"/>
            <w:right w:w="0" w:type="dxa"/>
          </w:tblCellMar>
        </w:tblPrEx>
        <w:trPr>
          <w:trHeight w:val="70"/>
        </w:trPr>
        <w:tc>
          <w:tcPr>
            <w:tcW w:w="458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70" w:lineRule="atLeast"/>
              <w:rPr>
                <w:rFonts w:ascii="Times New Roman" w:hAnsi="Times New Roman"/>
                <w:sz w:val="24"/>
                <w:szCs w:val="24"/>
              </w:rPr>
            </w:pPr>
            <w:r w:rsidRPr="00966A79">
              <w:rPr>
                <w:rFonts w:ascii="Times New Roman" w:hAnsi="Times New Roman"/>
                <w:b/>
                <w:bCs/>
                <w:sz w:val="24"/>
                <w:szCs w:val="24"/>
              </w:rPr>
              <w:t>Príjmy verejnej správy celkom</w:t>
            </w:r>
          </w:p>
        </w:tc>
        <w:tc>
          <w:tcPr>
            <w:tcW w:w="12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sz w:val="24"/>
                <w:szCs w:val="24"/>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sz w:val="24"/>
                <w:szCs w:val="24"/>
              </w:rPr>
              <w:t>0</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sz w:val="24"/>
                <w:szCs w:val="24"/>
              </w:rPr>
              <w:t>0</w:t>
            </w:r>
          </w:p>
        </w:tc>
      </w:tr>
      <w:tr>
        <w:tblPrEx>
          <w:tblW w:w="8434" w:type="dxa"/>
          <w:tblCellMar>
            <w:left w:w="0" w:type="dxa"/>
            <w:right w:w="0" w:type="dxa"/>
          </w:tblCellMar>
        </w:tblPrEx>
        <w:trPr>
          <w:trHeight w:val="132"/>
        </w:trPr>
        <w:tc>
          <w:tcPr>
            <w:tcW w:w="45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32" w:lineRule="atLeast"/>
              <w:rPr>
                <w:rFonts w:ascii="Times New Roman" w:hAnsi="Times New Roman"/>
                <w:sz w:val="24"/>
                <w:szCs w:val="24"/>
              </w:rPr>
            </w:pPr>
            <w:r w:rsidRPr="00966A79">
              <w:rPr>
                <w:rFonts w:ascii="Times New Roman" w:hAnsi="Times New Roman"/>
                <w:sz w:val="24"/>
                <w:szCs w:val="24"/>
              </w:rPr>
              <w:t>v tom: za každý subjekt verejnej správy zvlášť</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32" w:lineRule="atLeast"/>
              <w:jc w:val="right"/>
              <w:rPr>
                <w:rFonts w:ascii="Times New Roman" w:hAnsi="Times New Roman"/>
                <w:sz w:val="24"/>
                <w:szCs w:val="24"/>
              </w:rPr>
            </w:pPr>
            <w:r w:rsidRPr="00966A79">
              <w:rPr>
                <w:rFonts w:ascii="Times New Roman" w:hAnsi="Times New Roman"/>
                <w:sz w:val="24"/>
                <w:szCs w:val="24"/>
              </w:rPr>
              <w:t>0</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32" w:lineRule="atLeast"/>
              <w:jc w:val="right"/>
              <w:rPr>
                <w:rFonts w:ascii="Times New Roman" w:hAnsi="Times New Roman"/>
                <w:sz w:val="24"/>
                <w:szCs w:val="24"/>
              </w:rPr>
            </w:pPr>
            <w:r w:rsidRPr="00966A79">
              <w:rPr>
                <w:rFonts w:ascii="Times New Roman" w:hAnsi="Times New Roman"/>
                <w:sz w:val="24"/>
                <w:szCs w:val="24"/>
              </w:rPr>
              <w:t>0</w:t>
            </w: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32" w:lineRule="atLeast"/>
              <w:jc w:val="right"/>
              <w:rPr>
                <w:rFonts w:ascii="Times New Roman" w:hAnsi="Times New Roman"/>
                <w:sz w:val="24"/>
                <w:szCs w:val="24"/>
              </w:rPr>
            </w:pPr>
            <w:r w:rsidRPr="00966A79">
              <w:rPr>
                <w:rFonts w:ascii="Times New Roman" w:hAnsi="Times New Roman"/>
                <w:sz w:val="24"/>
                <w:szCs w:val="24"/>
              </w:rPr>
              <w:t>0</w:t>
            </w:r>
          </w:p>
        </w:tc>
      </w:tr>
      <w:tr>
        <w:tblPrEx>
          <w:tblW w:w="8434" w:type="dxa"/>
          <w:tblCellMar>
            <w:left w:w="0" w:type="dxa"/>
            <w:right w:w="0" w:type="dxa"/>
          </w:tblCellMar>
        </w:tblPrEx>
        <w:trPr>
          <w:trHeight w:val="70"/>
        </w:trPr>
        <w:tc>
          <w:tcPr>
            <w:tcW w:w="45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rPr>
                <w:rFonts w:ascii="Times New Roman" w:hAnsi="Times New Roman"/>
                <w:sz w:val="24"/>
                <w:szCs w:val="24"/>
              </w:rPr>
            </w:pPr>
            <w:r w:rsidRPr="00966A79">
              <w:rPr>
                <w:rFonts w:ascii="Times New Roman" w:hAnsi="Times New Roman"/>
                <w:b/>
                <w:bCs/>
                <w:i/>
                <w:iCs/>
                <w:sz w:val="24"/>
                <w:szCs w:val="24"/>
              </w:rPr>
              <w:t xml:space="preserve">z toho: </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i/>
                <w:iCs/>
                <w:sz w:val="24"/>
                <w:szCs w:val="24"/>
              </w:rPr>
              <w:t> </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i/>
                <w:iCs/>
                <w:sz w:val="24"/>
                <w:szCs w:val="24"/>
              </w:rPr>
              <w:t> </w:t>
            </w: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i/>
                <w:iCs/>
                <w:sz w:val="24"/>
                <w:szCs w:val="24"/>
              </w:rPr>
              <w:t> </w:t>
            </w:r>
          </w:p>
        </w:tc>
      </w:tr>
      <w:tr>
        <w:tblPrEx>
          <w:tblW w:w="8434" w:type="dxa"/>
          <w:tblCellMar>
            <w:left w:w="0" w:type="dxa"/>
            <w:right w:w="0" w:type="dxa"/>
          </w:tblCellMar>
        </w:tblPrEx>
        <w:trPr>
          <w:trHeight w:val="125"/>
        </w:trPr>
        <w:tc>
          <w:tcPr>
            <w:tcW w:w="45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25" w:lineRule="atLeast"/>
              <w:rPr>
                <w:rFonts w:ascii="Times New Roman" w:hAnsi="Times New Roman"/>
                <w:sz w:val="24"/>
                <w:szCs w:val="24"/>
              </w:rPr>
            </w:pPr>
            <w:r w:rsidRPr="00966A79">
              <w:rPr>
                <w:rFonts w:ascii="Times New Roman" w:hAnsi="Times New Roman"/>
                <w:b/>
                <w:bCs/>
                <w:i/>
                <w:iCs/>
                <w:sz w:val="24"/>
                <w:szCs w:val="24"/>
              </w:rPr>
              <w:t>- vplyv na ŠR</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25" w:lineRule="atLeast"/>
              <w:jc w:val="right"/>
              <w:rPr>
                <w:rFonts w:ascii="Times New Roman" w:hAnsi="Times New Roman"/>
                <w:sz w:val="24"/>
                <w:szCs w:val="24"/>
              </w:rPr>
            </w:pPr>
            <w:r w:rsidRPr="00966A79">
              <w:rPr>
                <w:rFonts w:ascii="Times New Roman" w:hAnsi="Times New Roman"/>
                <w:b/>
                <w:bCs/>
                <w:iCs/>
                <w:sz w:val="24"/>
                <w:szCs w:val="24"/>
              </w:rPr>
              <w:t>0</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25" w:lineRule="atLeast"/>
              <w:jc w:val="right"/>
              <w:rPr>
                <w:rFonts w:ascii="Times New Roman" w:hAnsi="Times New Roman"/>
                <w:sz w:val="24"/>
                <w:szCs w:val="24"/>
              </w:rPr>
            </w:pPr>
            <w:r w:rsidRPr="00966A79">
              <w:rPr>
                <w:rFonts w:ascii="Times New Roman" w:hAnsi="Times New Roman"/>
                <w:b/>
                <w:bCs/>
                <w:iCs/>
                <w:sz w:val="24"/>
                <w:szCs w:val="24"/>
              </w:rPr>
              <w:t>0</w:t>
            </w: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25" w:lineRule="atLeast"/>
              <w:jc w:val="right"/>
              <w:rPr>
                <w:rFonts w:ascii="Times New Roman" w:hAnsi="Times New Roman"/>
                <w:sz w:val="24"/>
                <w:szCs w:val="24"/>
              </w:rPr>
            </w:pPr>
            <w:r w:rsidRPr="00966A79">
              <w:rPr>
                <w:rFonts w:ascii="Times New Roman" w:hAnsi="Times New Roman"/>
                <w:b/>
                <w:bCs/>
                <w:iCs/>
                <w:sz w:val="24"/>
                <w:szCs w:val="24"/>
              </w:rPr>
              <w:t>0</w:t>
            </w:r>
          </w:p>
        </w:tc>
      </w:tr>
      <w:tr>
        <w:tblPrEx>
          <w:tblW w:w="8434" w:type="dxa"/>
          <w:tblCellMar>
            <w:left w:w="0" w:type="dxa"/>
            <w:right w:w="0" w:type="dxa"/>
          </w:tblCellMar>
        </w:tblPrEx>
        <w:trPr>
          <w:trHeight w:val="125"/>
        </w:trPr>
        <w:tc>
          <w:tcPr>
            <w:tcW w:w="45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25" w:lineRule="atLeast"/>
              <w:rPr>
                <w:rFonts w:ascii="Times New Roman" w:hAnsi="Times New Roman"/>
                <w:sz w:val="24"/>
                <w:szCs w:val="24"/>
              </w:rPr>
            </w:pPr>
            <w:r w:rsidRPr="00966A79">
              <w:rPr>
                <w:rFonts w:ascii="Times New Roman" w:hAnsi="Times New Roman"/>
                <w:b/>
                <w:bCs/>
                <w:i/>
                <w:iCs/>
                <w:sz w:val="24"/>
                <w:szCs w:val="24"/>
              </w:rPr>
              <w:t>- vplyv na územnú samosprávu</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25" w:lineRule="atLeast"/>
              <w:jc w:val="right"/>
              <w:rPr>
                <w:rFonts w:ascii="Times New Roman" w:hAnsi="Times New Roman"/>
                <w:sz w:val="24"/>
                <w:szCs w:val="24"/>
              </w:rPr>
            </w:pPr>
            <w:r w:rsidRPr="00966A79">
              <w:rPr>
                <w:rFonts w:ascii="Times New Roman" w:hAnsi="Times New Roman"/>
                <w:b/>
                <w:bCs/>
                <w:iCs/>
                <w:sz w:val="24"/>
                <w:szCs w:val="24"/>
              </w:rPr>
              <w:t>0</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25" w:lineRule="atLeast"/>
              <w:jc w:val="right"/>
              <w:rPr>
                <w:rFonts w:ascii="Times New Roman" w:hAnsi="Times New Roman"/>
                <w:sz w:val="24"/>
                <w:szCs w:val="24"/>
              </w:rPr>
            </w:pPr>
            <w:r w:rsidRPr="00966A79">
              <w:rPr>
                <w:rFonts w:ascii="Times New Roman" w:hAnsi="Times New Roman"/>
                <w:b/>
                <w:bCs/>
                <w:iCs/>
                <w:sz w:val="24"/>
                <w:szCs w:val="24"/>
              </w:rPr>
              <w:t>0</w:t>
            </w: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25" w:lineRule="atLeast"/>
              <w:jc w:val="right"/>
              <w:rPr>
                <w:rFonts w:ascii="Times New Roman" w:hAnsi="Times New Roman"/>
                <w:sz w:val="24"/>
                <w:szCs w:val="24"/>
              </w:rPr>
            </w:pPr>
            <w:r w:rsidRPr="00966A79">
              <w:rPr>
                <w:rFonts w:ascii="Times New Roman" w:hAnsi="Times New Roman"/>
                <w:b/>
                <w:bCs/>
                <w:iCs/>
                <w:sz w:val="24"/>
                <w:szCs w:val="24"/>
              </w:rPr>
              <w:t>0</w:t>
            </w:r>
          </w:p>
        </w:tc>
      </w:tr>
      <w:tr>
        <w:tblPrEx>
          <w:tblW w:w="8434" w:type="dxa"/>
          <w:tblCellMar>
            <w:left w:w="0" w:type="dxa"/>
            <w:right w:w="0" w:type="dxa"/>
          </w:tblCellMar>
        </w:tblPrEx>
        <w:trPr>
          <w:trHeight w:val="125"/>
        </w:trPr>
        <w:tc>
          <w:tcPr>
            <w:tcW w:w="458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125" w:lineRule="atLeast"/>
              <w:rPr>
                <w:rFonts w:ascii="Times New Roman" w:hAnsi="Times New Roman"/>
                <w:sz w:val="24"/>
                <w:szCs w:val="24"/>
              </w:rPr>
            </w:pPr>
            <w:r w:rsidRPr="00966A79">
              <w:rPr>
                <w:rFonts w:ascii="Times New Roman" w:hAnsi="Times New Roman"/>
                <w:b/>
                <w:bCs/>
                <w:sz w:val="24"/>
                <w:szCs w:val="24"/>
              </w:rPr>
              <w:t>Výdavky verejnej správy celkom</w:t>
            </w:r>
          </w:p>
        </w:tc>
        <w:tc>
          <w:tcPr>
            <w:tcW w:w="12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125" w:lineRule="atLeast"/>
              <w:jc w:val="right"/>
              <w:rPr>
                <w:rFonts w:ascii="Times New Roman" w:hAnsi="Times New Roman"/>
                <w:sz w:val="24"/>
                <w:szCs w:val="24"/>
              </w:rPr>
            </w:pPr>
            <w:r w:rsidRPr="00966A79">
              <w:rPr>
                <w:rFonts w:ascii="Times New Roman" w:hAnsi="Times New Roman"/>
                <w:b/>
                <w:bCs/>
                <w:sz w:val="24"/>
                <w:szCs w:val="24"/>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125" w:lineRule="atLeast"/>
              <w:jc w:val="right"/>
              <w:rPr>
                <w:rFonts w:ascii="Times New Roman" w:hAnsi="Times New Roman"/>
                <w:sz w:val="24"/>
                <w:szCs w:val="24"/>
              </w:rPr>
            </w:pPr>
            <w:r w:rsidRPr="00966A79">
              <w:rPr>
                <w:rFonts w:ascii="Times New Roman" w:hAnsi="Times New Roman"/>
                <w:b/>
                <w:bCs/>
                <w:sz w:val="24"/>
                <w:szCs w:val="24"/>
              </w:rPr>
              <w:t>0</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125" w:lineRule="atLeast"/>
              <w:jc w:val="right"/>
              <w:rPr>
                <w:rFonts w:ascii="Times New Roman" w:hAnsi="Times New Roman"/>
                <w:sz w:val="24"/>
                <w:szCs w:val="24"/>
              </w:rPr>
            </w:pPr>
            <w:r w:rsidRPr="00966A79">
              <w:rPr>
                <w:rFonts w:ascii="Times New Roman" w:hAnsi="Times New Roman"/>
                <w:b/>
                <w:bCs/>
                <w:sz w:val="24"/>
                <w:szCs w:val="24"/>
              </w:rPr>
              <w:t>0</w:t>
            </w:r>
          </w:p>
        </w:tc>
      </w:tr>
      <w:tr>
        <w:tblPrEx>
          <w:tblW w:w="8434" w:type="dxa"/>
          <w:tblCellMar>
            <w:left w:w="0" w:type="dxa"/>
            <w:right w:w="0" w:type="dxa"/>
          </w:tblCellMar>
        </w:tblPrEx>
        <w:trPr>
          <w:trHeight w:val="70"/>
        </w:trPr>
        <w:tc>
          <w:tcPr>
            <w:tcW w:w="45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rPr>
                <w:rFonts w:ascii="Times New Roman" w:hAnsi="Times New Roman"/>
                <w:sz w:val="24"/>
                <w:szCs w:val="24"/>
              </w:rPr>
            </w:pPr>
            <w:r w:rsidRPr="00966A79">
              <w:rPr>
                <w:rFonts w:ascii="Times New Roman" w:hAnsi="Times New Roman"/>
                <w:sz w:val="24"/>
                <w:szCs w:val="24"/>
              </w:rPr>
              <w:t>v tom: za každý subjekt verejnej správy / program zvlášť</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sz w:val="24"/>
                <w:szCs w:val="24"/>
              </w:rPr>
              <w:t>0</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sz w:val="24"/>
                <w:szCs w:val="24"/>
              </w:rPr>
              <w:t>0</w:t>
            </w: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sz w:val="24"/>
                <w:szCs w:val="24"/>
              </w:rPr>
              <w:t>0</w:t>
            </w:r>
          </w:p>
        </w:tc>
      </w:tr>
      <w:tr>
        <w:tblPrEx>
          <w:tblW w:w="8434" w:type="dxa"/>
          <w:tblCellMar>
            <w:left w:w="0" w:type="dxa"/>
            <w:right w:w="0" w:type="dxa"/>
          </w:tblCellMar>
        </w:tblPrEx>
        <w:trPr>
          <w:trHeight w:val="70"/>
        </w:trPr>
        <w:tc>
          <w:tcPr>
            <w:tcW w:w="45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rPr>
                <w:rFonts w:ascii="Times New Roman" w:hAnsi="Times New Roman"/>
                <w:sz w:val="24"/>
                <w:szCs w:val="24"/>
              </w:rPr>
            </w:pPr>
            <w:r w:rsidRPr="00966A79">
              <w:rPr>
                <w:rFonts w:ascii="Times New Roman" w:hAnsi="Times New Roman"/>
                <w:b/>
                <w:bCs/>
                <w:i/>
                <w:iCs/>
                <w:sz w:val="24"/>
                <w:szCs w:val="24"/>
              </w:rPr>
              <w:t xml:space="preserve">z toho: </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i/>
                <w:iCs/>
                <w:sz w:val="24"/>
                <w:szCs w:val="24"/>
              </w:rPr>
              <w:t> </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i/>
                <w:iCs/>
                <w:sz w:val="24"/>
                <w:szCs w:val="24"/>
              </w:rPr>
              <w:t> </w:t>
            </w: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i/>
                <w:iCs/>
                <w:sz w:val="24"/>
                <w:szCs w:val="24"/>
              </w:rPr>
              <w:t> </w:t>
            </w:r>
          </w:p>
        </w:tc>
      </w:tr>
      <w:tr>
        <w:tblPrEx>
          <w:tblW w:w="8434" w:type="dxa"/>
          <w:tblCellMar>
            <w:left w:w="0" w:type="dxa"/>
            <w:right w:w="0" w:type="dxa"/>
          </w:tblCellMar>
        </w:tblPrEx>
        <w:trPr>
          <w:trHeight w:val="70"/>
        </w:trPr>
        <w:tc>
          <w:tcPr>
            <w:tcW w:w="45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after="0" w:line="240" w:lineRule="auto"/>
              <w:rPr>
                <w:rFonts w:ascii="Times New Roman" w:hAnsi="Times New Roman"/>
                <w:b/>
                <w:bCs/>
                <w:i/>
                <w:iCs/>
                <w:sz w:val="24"/>
                <w:szCs w:val="24"/>
              </w:rPr>
            </w:pPr>
            <w:r w:rsidRPr="00966A79">
              <w:rPr>
                <w:rFonts w:ascii="Times New Roman" w:hAnsi="Times New Roman"/>
                <w:b/>
                <w:bCs/>
                <w:i/>
                <w:iCs/>
                <w:sz w:val="24"/>
                <w:szCs w:val="24"/>
              </w:rPr>
              <w:t>- vplyv na ŠR</w:t>
            </w:r>
          </w:p>
          <w:p w:rsidR="00220FDC" w:rsidRPr="00966A79" w:rsidP="003740CE">
            <w:pPr>
              <w:bidi w:val="0"/>
              <w:spacing w:after="0" w:line="240" w:lineRule="auto"/>
              <w:rPr>
                <w:rFonts w:ascii="Times New Roman" w:hAnsi="Times New Roman"/>
                <w:i/>
                <w:sz w:val="24"/>
                <w:szCs w:val="24"/>
              </w:rPr>
            </w:pPr>
            <w:r w:rsidRPr="00966A79">
              <w:rPr>
                <w:rFonts w:ascii="Times New Roman" w:hAnsi="Times New Roman"/>
                <w:bCs/>
                <w:i/>
                <w:iCs/>
                <w:sz w:val="24"/>
                <w:szCs w:val="24"/>
              </w:rPr>
              <w:t>Ministerstvo financií SR / 0740403 Distribúcia kolkov</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b/>
                <w:sz w:val="24"/>
                <w:szCs w:val="24"/>
              </w:rPr>
            </w:pPr>
            <w:r w:rsidRPr="00966A79">
              <w:rPr>
                <w:rFonts w:ascii="Times New Roman" w:hAnsi="Times New Roman"/>
                <w:b/>
                <w:sz w:val="24"/>
                <w:szCs w:val="24"/>
              </w:rPr>
              <w:t>-</w:t>
            </w:r>
            <w:r>
              <w:rPr>
                <w:rFonts w:ascii="Times New Roman" w:hAnsi="Times New Roman"/>
                <w:b/>
                <w:sz w:val="24"/>
                <w:szCs w:val="24"/>
              </w:rPr>
              <w:t>4 871</w:t>
            </w:r>
            <w:r w:rsidRPr="00966A79">
              <w:rPr>
                <w:rFonts w:ascii="Times New Roman" w:hAnsi="Times New Roman"/>
                <w:b/>
                <w:sz w:val="24"/>
                <w:szCs w:val="24"/>
              </w:rPr>
              <w:t>, 347</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b/>
                <w:sz w:val="24"/>
                <w:szCs w:val="24"/>
              </w:rPr>
            </w:pPr>
            <w:r w:rsidRPr="00966A79">
              <w:rPr>
                <w:rFonts w:ascii="Times New Roman" w:hAnsi="Times New Roman"/>
                <w:b/>
                <w:sz w:val="24"/>
                <w:szCs w:val="24"/>
              </w:rPr>
              <w:t>-</w:t>
            </w:r>
            <w:r>
              <w:rPr>
                <w:rFonts w:ascii="Times New Roman" w:hAnsi="Times New Roman"/>
                <w:b/>
                <w:sz w:val="24"/>
                <w:szCs w:val="24"/>
              </w:rPr>
              <w:t>4 871</w:t>
            </w:r>
            <w:r w:rsidRPr="00966A79">
              <w:rPr>
                <w:rFonts w:ascii="Times New Roman" w:hAnsi="Times New Roman"/>
                <w:b/>
                <w:sz w:val="24"/>
                <w:szCs w:val="24"/>
              </w:rPr>
              <w:t>, 347</w:t>
            </w: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b/>
                <w:sz w:val="24"/>
                <w:szCs w:val="24"/>
              </w:rPr>
            </w:pPr>
            <w:r w:rsidRPr="00966A79">
              <w:rPr>
                <w:rFonts w:ascii="Times New Roman" w:hAnsi="Times New Roman"/>
                <w:b/>
                <w:sz w:val="24"/>
                <w:szCs w:val="24"/>
              </w:rPr>
              <w:t>-</w:t>
            </w:r>
            <w:r>
              <w:rPr>
                <w:rFonts w:ascii="Times New Roman" w:hAnsi="Times New Roman"/>
                <w:b/>
                <w:sz w:val="24"/>
                <w:szCs w:val="24"/>
              </w:rPr>
              <w:t>4 871</w:t>
            </w:r>
            <w:r w:rsidRPr="00966A79">
              <w:rPr>
                <w:rFonts w:ascii="Times New Roman" w:hAnsi="Times New Roman"/>
                <w:b/>
                <w:sz w:val="24"/>
                <w:szCs w:val="24"/>
              </w:rPr>
              <w:t>, 347</w:t>
            </w:r>
          </w:p>
        </w:tc>
      </w:tr>
      <w:tr>
        <w:tblPrEx>
          <w:tblW w:w="8434" w:type="dxa"/>
          <w:tblCellMar>
            <w:left w:w="0" w:type="dxa"/>
            <w:right w:w="0" w:type="dxa"/>
          </w:tblCellMar>
        </w:tblPrEx>
        <w:trPr>
          <w:trHeight w:val="125"/>
        </w:trPr>
        <w:tc>
          <w:tcPr>
            <w:tcW w:w="45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25" w:lineRule="atLeast"/>
              <w:rPr>
                <w:rFonts w:ascii="Times New Roman" w:hAnsi="Times New Roman"/>
                <w:sz w:val="24"/>
                <w:szCs w:val="24"/>
              </w:rPr>
            </w:pPr>
            <w:r w:rsidRPr="00966A79">
              <w:rPr>
                <w:rFonts w:ascii="Times New Roman" w:hAnsi="Times New Roman"/>
                <w:b/>
                <w:bCs/>
                <w:i/>
                <w:iCs/>
                <w:sz w:val="24"/>
                <w:szCs w:val="24"/>
              </w:rPr>
              <w:t>- vplyv na územnú samosprávu</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25" w:lineRule="atLeast"/>
              <w:jc w:val="right"/>
              <w:rPr>
                <w:rFonts w:ascii="Times New Roman" w:hAnsi="Times New Roman"/>
                <w:sz w:val="24"/>
                <w:szCs w:val="24"/>
              </w:rPr>
            </w:pPr>
            <w:r w:rsidRPr="00966A79">
              <w:rPr>
                <w:rFonts w:ascii="Times New Roman" w:hAnsi="Times New Roman"/>
                <w:b/>
                <w:bCs/>
                <w:iCs/>
                <w:sz w:val="24"/>
                <w:szCs w:val="24"/>
              </w:rPr>
              <w:t>0</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25" w:lineRule="atLeast"/>
              <w:jc w:val="right"/>
              <w:rPr>
                <w:rFonts w:ascii="Times New Roman" w:hAnsi="Times New Roman"/>
                <w:sz w:val="24"/>
                <w:szCs w:val="24"/>
              </w:rPr>
            </w:pPr>
            <w:r w:rsidRPr="00966A79">
              <w:rPr>
                <w:rFonts w:ascii="Times New Roman" w:hAnsi="Times New Roman"/>
                <w:b/>
                <w:bCs/>
                <w:iCs/>
                <w:sz w:val="24"/>
                <w:szCs w:val="24"/>
              </w:rPr>
              <w:t>0</w:t>
            </w: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25" w:lineRule="atLeast"/>
              <w:jc w:val="right"/>
              <w:rPr>
                <w:rFonts w:ascii="Times New Roman" w:hAnsi="Times New Roman"/>
                <w:sz w:val="24"/>
                <w:szCs w:val="24"/>
              </w:rPr>
            </w:pPr>
            <w:r w:rsidRPr="00966A79">
              <w:rPr>
                <w:rFonts w:ascii="Times New Roman" w:hAnsi="Times New Roman"/>
                <w:b/>
                <w:bCs/>
                <w:iCs/>
                <w:sz w:val="24"/>
                <w:szCs w:val="24"/>
              </w:rPr>
              <w:t>0</w:t>
            </w:r>
          </w:p>
        </w:tc>
      </w:tr>
      <w:tr>
        <w:tblPrEx>
          <w:tblW w:w="8434" w:type="dxa"/>
          <w:tblCellMar>
            <w:left w:w="0" w:type="dxa"/>
            <w:right w:w="0" w:type="dxa"/>
          </w:tblCellMar>
        </w:tblPrEx>
        <w:trPr>
          <w:trHeight w:val="70"/>
        </w:trPr>
        <w:tc>
          <w:tcPr>
            <w:tcW w:w="458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70" w:lineRule="atLeast"/>
              <w:rPr>
                <w:rFonts w:ascii="Times New Roman" w:hAnsi="Times New Roman"/>
                <w:sz w:val="24"/>
                <w:szCs w:val="24"/>
              </w:rPr>
            </w:pPr>
            <w:r w:rsidRPr="00966A79">
              <w:rPr>
                <w:rFonts w:ascii="Times New Roman" w:hAnsi="Times New Roman"/>
                <w:b/>
                <w:bCs/>
                <w:sz w:val="24"/>
                <w:szCs w:val="24"/>
              </w:rPr>
              <w:t xml:space="preserve">Celková zamestnanosť </w:t>
            </w:r>
          </w:p>
        </w:tc>
        <w:tc>
          <w:tcPr>
            <w:tcW w:w="12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sz w:val="24"/>
                <w:szCs w:val="24"/>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sz w:val="24"/>
                <w:szCs w:val="24"/>
              </w:rPr>
              <w:t>0</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sz w:val="24"/>
                <w:szCs w:val="24"/>
              </w:rPr>
              <w:t>0</w:t>
            </w:r>
          </w:p>
        </w:tc>
      </w:tr>
      <w:tr>
        <w:tblPrEx>
          <w:tblW w:w="8434" w:type="dxa"/>
          <w:tblCellMar>
            <w:left w:w="0" w:type="dxa"/>
            <w:right w:w="0" w:type="dxa"/>
          </w:tblCellMar>
        </w:tblPrEx>
        <w:trPr>
          <w:trHeight w:val="70"/>
        </w:trPr>
        <w:tc>
          <w:tcPr>
            <w:tcW w:w="45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rPr>
                <w:rFonts w:ascii="Times New Roman" w:hAnsi="Times New Roman"/>
                <w:sz w:val="24"/>
                <w:szCs w:val="24"/>
              </w:rPr>
            </w:pPr>
            <w:r w:rsidRPr="00966A79">
              <w:rPr>
                <w:rFonts w:ascii="Times New Roman" w:hAnsi="Times New Roman"/>
                <w:b/>
                <w:bCs/>
                <w:i/>
                <w:iCs/>
                <w:sz w:val="24"/>
                <w:szCs w:val="24"/>
              </w:rPr>
              <w:t>- z toho vplyv na ŠR</w:t>
            </w:r>
            <w:r w:rsidRPr="00966A79">
              <w:rPr>
                <w:rFonts w:ascii="Times New Roman" w:hAnsi="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sz w:val="24"/>
                <w:szCs w:val="24"/>
              </w:rPr>
              <w:t>0</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sz w:val="24"/>
                <w:szCs w:val="24"/>
              </w:rPr>
              <w:t>0</w:t>
            </w: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sz w:val="24"/>
                <w:szCs w:val="24"/>
              </w:rPr>
              <w:t>0</w:t>
            </w:r>
          </w:p>
        </w:tc>
      </w:tr>
      <w:tr>
        <w:tblPrEx>
          <w:tblW w:w="8434" w:type="dxa"/>
          <w:tblCellMar>
            <w:left w:w="0" w:type="dxa"/>
            <w:right w:w="0" w:type="dxa"/>
          </w:tblCellMar>
        </w:tblPrEx>
        <w:trPr>
          <w:trHeight w:val="70"/>
        </w:trPr>
        <w:tc>
          <w:tcPr>
            <w:tcW w:w="458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70" w:lineRule="atLeast"/>
              <w:rPr>
                <w:rFonts w:ascii="Times New Roman" w:hAnsi="Times New Roman"/>
                <w:sz w:val="24"/>
                <w:szCs w:val="24"/>
              </w:rPr>
            </w:pPr>
            <w:r w:rsidRPr="00966A79">
              <w:rPr>
                <w:rFonts w:ascii="Times New Roman" w:hAnsi="Times New Roman"/>
                <w:b/>
                <w:bCs/>
                <w:sz w:val="24"/>
                <w:szCs w:val="24"/>
              </w:rPr>
              <w:t>Financovanie zabezpečené v rozpočte</w:t>
            </w:r>
          </w:p>
        </w:tc>
        <w:tc>
          <w:tcPr>
            <w:tcW w:w="12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sz w:val="24"/>
                <w:szCs w:val="24"/>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sz w:val="24"/>
                <w:szCs w:val="24"/>
              </w:rPr>
              <w:t>0</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bCs/>
                <w:sz w:val="24"/>
                <w:szCs w:val="24"/>
              </w:rPr>
              <w:t>0</w:t>
            </w:r>
          </w:p>
        </w:tc>
      </w:tr>
      <w:tr>
        <w:tblPrEx>
          <w:tblW w:w="8434" w:type="dxa"/>
          <w:tblCellMar>
            <w:left w:w="0" w:type="dxa"/>
            <w:right w:w="0" w:type="dxa"/>
          </w:tblCellMar>
        </w:tblPrEx>
        <w:trPr>
          <w:trHeight w:val="70"/>
        </w:trPr>
        <w:tc>
          <w:tcPr>
            <w:tcW w:w="45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rPr>
                <w:rFonts w:ascii="Times New Roman" w:hAnsi="Times New Roman"/>
                <w:sz w:val="24"/>
                <w:szCs w:val="24"/>
              </w:rPr>
            </w:pPr>
            <w:r w:rsidRPr="00966A79">
              <w:rPr>
                <w:rFonts w:ascii="Times New Roman" w:hAnsi="Times New Roman"/>
                <w:sz w:val="24"/>
                <w:szCs w:val="24"/>
              </w:rPr>
              <w:t>v tom: za každý subjekt verejnej správy / program zvlášť</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sz w:val="24"/>
                <w:szCs w:val="24"/>
              </w:rPr>
              <w:t>0</w:t>
            </w:r>
          </w:p>
        </w:tc>
        <w:tc>
          <w:tcPr>
            <w:tcW w:w="1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sz w:val="24"/>
                <w:szCs w:val="24"/>
              </w:rPr>
              <w:t>0</w:t>
            </w: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sz w:val="24"/>
                <w:szCs w:val="24"/>
              </w:rPr>
              <w:t>0</w:t>
            </w:r>
          </w:p>
        </w:tc>
      </w:tr>
      <w:tr>
        <w:tblPrEx>
          <w:tblW w:w="8434" w:type="dxa"/>
          <w:tblCellMar>
            <w:left w:w="0" w:type="dxa"/>
            <w:right w:w="0" w:type="dxa"/>
          </w:tblCellMar>
        </w:tblPrEx>
        <w:trPr>
          <w:gridAfter w:val="1"/>
          <w:wAfter w:w="142" w:type="dxa"/>
        </w:trPr>
        <w:tc>
          <w:tcPr>
            <w:tcW w:w="4588" w:type="dxa"/>
            <w:tcBorders>
              <w:top w:val="nil"/>
              <w:left w:val="nil"/>
              <w:bottom w:val="nil"/>
              <w:right w:val="nil"/>
            </w:tcBorders>
            <w:textDirection w:val="lrTb"/>
            <w:vAlign w:val="center"/>
          </w:tcPr>
          <w:p w:rsidR="00220FDC" w:rsidP="003740CE">
            <w:pPr>
              <w:bidi w:val="0"/>
              <w:rPr>
                <w:rFonts w:ascii="Times New Roman" w:hAnsi="Times New Roman"/>
                <w:sz w:val="24"/>
                <w:szCs w:val="24"/>
              </w:rPr>
            </w:pPr>
          </w:p>
          <w:p w:rsidR="008B6232" w:rsidP="003740CE">
            <w:pPr>
              <w:bidi w:val="0"/>
              <w:rPr>
                <w:rFonts w:ascii="Times New Roman" w:hAnsi="Times New Roman"/>
                <w:sz w:val="24"/>
                <w:szCs w:val="24"/>
              </w:rPr>
            </w:pPr>
          </w:p>
          <w:p w:rsidR="008B6232" w:rsidRPr="00966A79" w:rsidP="003740CE">
            <w:pPr>
              <w:bidi w:val="0"/>
              <w:rPr>
                <w:rFonts w:ascii="Times New Roman" w:hAnsi="Times New Roman"/>
                <w:sz w:val="24"/>
                <w:szCs w:val="24"/>
              </w:rPr>
            </w:pPr>
          </w:p>
        </w:tc>
        <w:tc>
          <w:tcPr>
            <w:tcW w:w="1261" w:type="dxa"/>
            <w:tcBorders>
              <w:top w:val="nil"/>
              <w:left w:val="nil"/>
              <w:bottom w:val="nil"/>
              <w:right w:val="nil"/>
            </w:tcBorders>
            <w:textDirection w:val="lrTb"/>
            <w:vAlign w:val="center"/>
          </w:tcPr>
          <w:p w:rsidR="00220FDC" w:rsidRPr="00966A79" w:rsidP="003740CE">
            <w:pPr>
              <w:bidi w:val="0"/>
              <w:rPr>
                <w:rFonts w:ascii="Times New Roman" w:hAnsi="Times New Roman"/>
                <w:sz w:val="24"/>
                <w:szCs w:val="24"/>
              </w:rPr>
            </w:pPr>
          </w:p>
        </w:tc>
        <w:tc>
          <w:tcPr>
            <w:tcW w:w="1261" w:type="dxa"/>
            <w:tcBorders>
              <w:top w:val="nil"/>
              <w:left w:val="nil"/>
              <w:bottom w:val="nil"/>
              <w:right w:val="nil"/>
            </w:tcBorders>
            <w:textDirection w:val="lrTb"/>
            <w:vAlign w:val="center"/>
          </w:tcPr>
          <w:p w:rsidR="00220FDC" w:rsidRPr="00966A79" w:rsidP="003740CE">
            <w:pPr>
              <w:bidi w:val="0"/>
              <w:rPr>
                <w:rFonts w:ascii="Times New Roman" w:hAnsi="Times New Roman"/>
                <w:sz w:val="24"/>
                <w:szCs w:val="24"/>
              </w:rPr>
            </w:pPr>
          </w:p>
        </w:tc>
        <w:tc>
          <w:tcPr>
            <w:tcW w:w="1182" w:type="dxa"/>
            <w:tcBorders>
              <w:top w:val="nil"/>
              <w:left w:val="nil"/>
              <w:bottom w:val="nil"/>
              <w:right w:val="nil"/>
            </w:tcBorders>
            <w:textDirection w:val="lrTb"/>
            <w:vAlign w:val="center"/>
          </w:tcPr>
          <w:p w:rsidR="00220FDC" w:rsidRPr="00966A79" w:rsidP="003740CE">
            <w:pPr>
              <w:bidi w:val="0"/>
              <w:rPr>
                <w:rFonts w:ascii="Times New Roman" w:hAnsi="Times New Roman"/>
                <w:sz w:val="24"/>
                <w:szCs w:val="24"/>
              </w:rPr>
            </w:pPr>
          </w:p>
        </w:tc>
      </w:tr>
    </w:tbl>
    <w:p w:rsidR="00220FDC" w:rsidRPr="00966A79" w:rsidP="00220FDC">
      <w:pPr>
        <w:bidi w:val="0"/>
        <w:rPr>
          <w:rFonts w:ascii="Times New Roman" w:hAnsi="Times New Roman"/>
          <w:sz w:val="24"/>
          <w:szCs w:val="24"/>
        </w:rPr>
      </w:pPr>
      <w:r w:rsidRPr="00966A79">
        <w:rPr>
          <w:rFonts w:ascii="Times New Roman" w:hAnsi="Times New Roman"/>
          <w:b/>
          <w:bCs/>
          <w:sz w:val="24"/>
          <w:szCs w:val="24"/>
        </w:rPr>
        <w:t>2.2. Financovanie návrhu</w:t>
      </w:r>
    </w:p>
    <w:p w:rsidR="00220FDC" w:rsidRPr="00966A79" w:rsidP="00220FDC">
      <w:pPr>
        <w:bidi w:val="0"/>
        <w:jc w:val="right"/>
        <w:rPr>
          <w:rFonts w:ascii="Times New Roman" w:hAnsi="Times New Roman"/>
          <w:sz w:val="24"/>
          <w:szCs w:val="24"/>
        </w:rPr>
      </w:pPr>
      <w:r w:rsidRPr="00966A79">
        <w:rPr>
          <w:rFonts w:ascii="Times New Roman" w:hAnsi="Times New Roman"/>
          <w:sz w:val="24"/>
          <w:szCs w:val="24"/>
        </w:rPr>
        <w:t>Tabuľka č. 2</w:t>
      </w:r>
    </w:p>
    <w:tbl>
      <w:tblPr>
        <w:tblStyle w:val="TableNormal"/>
        <w:tblW w:w="9001" w:type="dxa"/>
        <w:tblCellMar>
          <w:left w:w="0" w:type="dxa"/>
          <w:right w:w="0" w:type="dxa"/>
        </w:tblCellMar>
      </w:tblPr>
      <w:tblGrid>
        <w:gridCol w:w="4304"/>
        <w:gridCol w:w="1264"/>
        <w:gridCol w:w="1264"/>
        <w:gridCol w:w="1460"/>
        <w:gridCol w:w="709"/>
      </w:tblGrid>
      <w:tr>
        <w:tblPrEx>
          <w:tblW w:w="9001" w:type="dxa"/>
          <w:tblCellMar>
            <w:left w:w="0" w:type="dxa"/>
            <w:right w:w="0" w:type="dxa"/>
          </w:tblCellMar>
        </w:tblPrEx>
        <w:trPr>
          <w:gridAfter w:val="1"/>
          <w:wAfter w:w="709" w:type="dxa"/>
          <w:trHeight w:val="452"/>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20FDC" w:rsidRPr="00966A79" w:rsidP="003740CE">
            <w:pPr>
              <w:bidi w:val="0"/>
              <w:spacing w:line="70" w:lineRule="atLeast"/>
              <w:jc w:val="center"/>
              <w:rPr>
                <w:rFonts w:ascii="Times New Roman" w:hAnsi="Times New Roman"/>
                <w:sz w:val="24"/>
                <w:szCs w:val="24"/>
              </w:rPr>
            </w:pPr>
            <w:r w:rsidRPr="00966A79">
              <w:rPr>
                <w:rFonts w:ascii="Times New Roman" w:hAnsi="Times New Roman"/>
                <w:b/>
                <w:bCs/>
                <w:color w:val="FFFFFF"/>
                <w:sz w:val="24"/>
                <w:szCs w:val="24"/>
              </w:rPr>
              <w:t>Financovanie</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220FDC" w:rsidP="003740CE">
            <w:pPr>
              <w:bidi w:val="0"/>
              <w:spacing w:line="194" w:lineRule="atLeast"/>
              <w:jc w:val="center"/>
              <w:rPr>
                <w:rFonts w:ascii="Times New Roman" w:hAnsi="Times New Roman"/>
                <w:b/>
                <w:bCs/>
                <w:color w:val="FFFFFF"/>
                <w:sz w:val="24"/>
                <w:szCs w:val="24"/>
              </w:rPr>
            </w:pPr>
            <w:r w:rsidRPr="00966A79">
              <w:rPr>
                <w:rFonts w:ascii="Times New Roman" w:hAnsi="Times New Roman"/>
                <w:b/>
                <w:bCs/>
                <w:color w:val="FFFFFF"/>
                <w:sz w:val="24"/>
                <w:szCs w:val="24"/>
              </w:rPr>
              <w:t xml:space="preserve">Vplyv na rozpočet verejnej správy </w:t>
            </w:r>
          </w:p>
          <w:p w:rsidR="00220FDC" w:rsidRPr="00966A79" w:rsidP="003740CE">
            <w:pPr>
              <w:bidi w:val="0"/>
              <w:spacing w:line="194" w:lineRule="atLeast"/>
              <w:jc w:val="center"/>
              <w:rPr>
                <w:rFonts w:ascii="Times New Roman" w:hAnsi="Times New Roman"/>
                <w:b/>
                <w:bCs/>
                <w:color w:val="FFFFFF"/>
                <w:sz w:val="24"/>
                <w:szCs w:val="24"/>
              </w:rPr>
            </w:pPr>
            <w:r w:rsidRPr="00966A79">
              <w:rPr>
                <w:rFonts w:ascii="Times New Roman" w:hAnsi="Times New Roman"/>
                <w:b/>
                <w:bCs/>
                <w:color w:val="FFFFFF"/>
                <w:sz w:val="24"/>
                <w:szCs w:val="24"/>
              </w:rPr>
              <w:t>(v tis. eur)</w:t>
            </w:r>
          </w:p>
        </w:tc>
      </w:tr>
      <w:tr>
        <w:tblPrEx>
          <w:tblW w:w="9001" w:type="dxa"/>
          <w:tblCellMar>
            <w:left w:w="0" w:type="dxa"/>
            <w:right w:w="0" w:type="dxa"/>
          </w:tblCellMar>
        </w:tblPrEx>
        <w:trPr>
          <w:gridAfter w:val="1"/>
          <w:wAfter w:w="709" w:type="dxa"/>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220FDC" w:rsidRPr="00966A79" w:rsidP="003740CE">
            <w:pPr>
              <w:bidi w:val="0"/>
              <w:rPr>
                <w:rFonts w:ascii="Times New Roman" w:hAnsi="Times New Roman"/>
                <w:sz w:val="24"/>
                <w:szCs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20FDC" w:rsidRPr="00966A79" w:rsidP="003740CE">
            <w:pPr>
              <w:bidi w:val="0"/>
              <w:spacing w:line="70" w:lineRule="atLeast"/>
              <w:jc w:val="center"/>
              <w:rPr>
                <w:rFonts w:ascii="Times New Roman" w:hAnsi="Times New Roman"/>
                <w:sz w:val="24"/>
                <w:szCs w:val="24"/>
              </w:rPr>
            </w:pPr>
            <w:r w:rsidRPr="00966A79">
              <w:rPr>
                <w:rFonts w:ascii="Times New Roman" w:hAnsi="Times New Roman"/>
                <w:b/>
                <w:bCs/>
                <w:color w:val="FFFFFF"/>
                <w:sz w:val="24"/>
                <w:szCs w:val="24"/>
              </w:rPr>
              <w:t>201</w:t>
            </w:r>
            <w:r>
              <w:rPr>
                <w:rFonts w:ascii="Times New Roman" w:hAnsi="Times New Roman"/>
                <w:b/>
                <w:bCs/>
                <w:color w:val="FFFFFF"/>
                <w:sz w:val="24"/>
                <w:szCs w:val="24"/>
              </w:rPr>
              <w:t>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20FDC" w:rsidRPr="00966A79" w:rsidP="003740CE">
            <w:pPr>
              <w:bidi w:val="0"/>
              <w:spacing w:line="70" w:lineRule="atLeast"/>
              <w:jc w:val="center"/>
              <w:rPr>
                <w:rFonts w:ascii="Times New Roman" w:hAnsi="Times New Roman"/>
                <w:sz w:val="24"/>
                <w:szCs w:val="24"/>
              </w:rPr>
            </w:pPr>
            <w:r w:rsidRPr="00966A79">
              <w:rPr>
                <w:rFonts w:ascii="Times New Roman" w:hAnsi="Times New Roman"/>
                <w:b/>
                <w:bCs/>
                <w:color w:val="FFFFFF"/>
                <w:sz w:val="24"/>
                <w:szCs w:val="24"/>
              </w:rPr>
              <w:t>201</w:t>
            </w:r>
            <w:r>
              <w:rPr>
                <w:rFonts w:ascii="Times New Roman" w:hAnsi="Times New Roman"/>
                <w:b/>
                <w:bCs/>
                <w:color w:val="FFFFFF"/>
                <w:sz w:val="24"/>
                <w:szCs w:val="24"/>
              </w:rPr>
              <w:t>4</w:t>
            </w:r>
          </w:p>
        </w:tc>
        <w:tc>
          <w:tcPr>
            <w:tcW w:w="14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20FDC" w:rsidRPr="00966A79" w:rsidP="003740CE">
            <w:pPr>
              <w:bidi w:val="0"/>
              <w:spacing w:line="70" w:lineRule="atLeast"/>
              <w:jc w:val="center"/>
              <w:rPr>
                <w:rFonts w:ascii="Times New Roman" w:hAnsi="Times New Roman"/>
                <w:b/>
                <w:sz w:val="24"/>
                <w:szCs w:val="24"/>
              </w:rPr>
            </w:pPr>
            <w:r w:rsidRPr="00966A79">
              <w:rPr>
                <w:rFonts w:ascii="Times New Roman" w:hAnsi="Times New Roman"/>
                <w:b/>
                <w:sz w:val="24"/>
                <w:szCs w:val="24"/>
              </w:rPr>
              <w:t>201</w:t>
            </w:r>
            <w:r>
              <w:rPr>
                <w:rFonts w:ascii="Times New Roman" w:hAnsi="Times New Roman"/>
                <w:b/>
                <w:sz w:val="24"/>
                <w:szCs w:val="24"/>
              </w:rPr>
              <w:t>5</w:t>
            </w:r>
          </w:p>
        </w:tc>
      </w:tr>
      <w:tr>
        <w:tblPrEx>
          <w:tblW w:w="9001" w:type="dxa"/>
          <w:tblCellMar>
            <w:left w:w="0" w:type="dxa"/>
            <w:right w:w="0" w:type="dxa"/>
          </w:tblCellMar>
        </w:tblPrEx>
        <w:trPr>
          <w:gridAfter w:val="1"/>
          <w:wAfter w:w="709" w:type="dxa"/>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rPr>
                <w:rFonts w:ascii="Times New Roman" w:hAnsi="Times New Roman"/>
                <w:sz w:val="24"/>
                <w:szCs w:val="24"/>
              </w:rPr>
            </w:pPr>
            <w:r w:rsidRPr="00966A79">
              <w:rPr>
                <w:rFonts w:ascii="Times New Roman" w:hAnsi="Times New Roman"/>
                <w:b/>
                <w:bCs/>
                <w:sz w:val="24"/>
                <w:szCs w:val="24"/>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b/>
                <w:sz w:val="24"/>
                <w:szCs w:val="24"/>
              </w:rPr>
            </w:pPr>
            <w:r w:rsidRPr="00966A79">
              <w:rPr>
                <w:rFonts w:ascii="Times New Roman" w:hAnsi="Times New Roman"/>
                <w:b/>
                <w:sz w:val="24"/>
                <w:szCs w:val="24"/>
              </w:rPr>
              <w:t>-</w:t>
            </w:r>
            <w:r>
              <w:rPr>
                <w:rFonts w:ascii="Times New Roman" w:hAnsi="Times New Roman"/>
                <w:b/>
                <w:sz w:val="24"/>
                <w:szCs w:val="24"/>
              </w:rPr>
              <w:t>4 871</w:t>
            </w:r>
            <w:r w:rsidRPr="00966A79">
              <w:rPr>
                <w:rFonts w:ascii="Times New Roman" w:hAnsi="Times New Roman"/>
                <w:b/>
                <w:sz w:val="24"/>
                <w:szCs w:val="24"/>
              </w:rPr>
              <w:t>, 347</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sz w:val="24"/>
                <w:szCs w:val="24"/>
              </w:rPr>
              <w:t>-</w:t>
            </w:r>
            <w:r>
              <w:rPr>
                <w:rFonts w:ascii="Times New Roman" w:hAnsi="Times New Roman"/>
                <w:b/>
                <w:sz w:val="24"/>
                <w:szCs w:val="24"/>
              </w:rPr>
              <w:t>4 871</w:t>
            </w:r>
            <w:r w:rsidRPr="00966A79">
              <w:rPr>
                <w:rFonts w:ascii="Times New Roman" w:hAnsi="Times New Roman"/>
                <w:b/>
                <w:sz w:val="24"/>
                <w:szCs w:val="24"/>
              </w:rPr>
              <w:t>, 347</w:t>
            </w:r>
          </w:p>
        </w:tc>
        <w:tc>
          <w:tcPr>
            <w:tcW w:w="14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b/>
                <w:sz w:val="24"/>
                <w:szCs w:val="24"/>
              </w:rPr>
              <w:t>-</w:t>
            </w:r>
            <w:r>
              <w:rPr>
                <w:rFonts w:ascii="Times New Roman" w:hAnsi="Times New Roman"/>
                <w:b/>
                <w:sz w:val="24"/>
                <w:szCs w:val="24"/>
              </w:rPr>
              <w:t>4 871</w:t>
            </w:r>
            <w:r w:rsidRPr="00966A79">
              <w:rPr>
                <w:rFonts w:ascii="Times New Roman" w:hAnsi="Times New Roman"/>
                <w:b/>
                <w:sz w:val="24"/>
                <w:szCs w:val="24"/>
              </w:rPr>
              <w:t>, 347</w:t>
            </w:r>
          </w:p>
        </w:tc>
      </w:tr>
      <w:tr>
        <w:tblPrEx>
          <w:tblW w:w="9001" w:type="dxa"/>
          <w:tblCellMar>
            <w:left w:w="0" w:type="dxa"/>
            <w:right w:w="0" w:type="dxa"/>
          </w:tblCellMar>
        </w:tblPrEx>
        <w:trPr>
          <w:gridAfter w:val="1"/>
          <w:wAfter w:w="709" w:type="dxa"/>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rPr>
                <w:rFonts w:ascii="Times New Roman" w:hAnsi="Times New Roman"/>
                <w:sz w:val="24"/>
                <w:szCs w:val="24"/>
              </w:rPr>
            </w:pPr>
            <w:r w:rsidRPr="00966A79">
              <w:rPr>
                <w:rFonts w:ascii="Times New Roman" w:hAnsi="Times New Roman"/>
                <w:sz w:val="24"/>
                <w:szCs w:val="24"/>
              </w:rP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sz w:val="24"/>
                <w:szCs w:val="24"/>
              </w:rPr>
              <w:t>-</w:t>
            </w:r>
            <w:r>
              <w:rPr>
                <w:rFonts w:ascii="Times New Roman" w:hAnsi="Times New Roman"/>
                <w:sz w:val="24"/>
                <w:szCs w:val="24"/>
              </w:rPr>
              <w:t>4 871</w:t>
            </w:r>
            <w:r w:rsidRPr="00966A79">
              <w:rPr>
                <w:rFonts w:ascii="Times New Roman" w:hAnsi="Times New Roman"/>
                <w:sz w:val="24"/>
                <w:szCs w:val="24"/>
              </w:rPr>
              <w:t>, 347</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sz w:val="24"/>
                <w:szCs w:val="24"/>
              </w:rPr>
              <w:t>-</w:t>
            </w:r>
            <w:r>
              <w:rPr>
                <w:rFonts w:ascii="Times New Roman" w:hAnsi="Times New Roman"/>
                <w:sz w:val="24"/>
                <w:szCs w:val="24"/>
              </w:rPr>
              <w:t>4 871</w:t>
            </w:r>
            <w:r w:rsidRPr="00966A79">
              <w:rPr>
                <w:rFonts w:ascii="Times New Roman" w:hAnsi="Times New Roman"/>
                <w:sz w:val="24"/>
                <w:szCs w:val="24"/>
              </w:rPr>
              <w:t>, 347</w:t>
            </w:r>
          </w:p>
        </w:tc>
        <w:tc>
          <w:tcPr>
            <w:tcW w:w="14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sz w:val="24"/>
                <w:szCs w:val="24"/>
              </w:rPr>
            </w:pPr>
            <w:r w:rsidRPr="00966A79">
              <w:rPr>
                <w:rFonts w:ascii="Times New Roman" w:hAnsi="Times New Roman"/>
                <w:sz w:val="24"/>
                <w:szCs w:val="24"/>
              </w:rPr>
              <w:t>-</w:t>
            </w:r>
            <w:r>
              <w:rPr>
                <w:rFonts w:ascii="Times New Roman" w:hAnsi="Times New Roman"/>
                <w:sz w:val="24"/>
                <w:szCs w:val="24"/>
              </w:rPr>
              <w:t>4 871</w:t>
            </w:r>
            <w:r w:rsidRPr="00966A79">
              <w:rPr>
                <w:rFonts w:ascii="Times New Roman" w:hAnsi="Times New Roman"/>
                <w:sz w:val="24"/>
                <w:szCs w:val="24"/>
              </w:rPr>
              <w:t>, 347</w:t>
            </w:r>
          </w:p>
        </w:tc>
      </w:tr>
      <w:tr>
        <w:tblPrEx>
          <w:tblW w:w="9001" w:type="dxa"/>
          <w:tblCellMar>
            <w:left w:w="0" w:type="dxa"/>
            <w:right w:w="0" w:type="dxa"/>
          </w:tblCellMar>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51" w:lineRule="atLeast"/>
              <w:rPr>
                <w:rFonts w:ascii="Times New Roman" w:hAnsi="Times New Roman"/>
                <w:sz w:val="24"/>
                <w:szCs w:val="24"/>
              </w:rPr>
            </w:pPr>
            <w:r w:rsidRPr="00966A79">
              <w:rPr>
                <w:rFonts w:ascii="Times New Roman" w:hAnsi="Times New Roman"/>
                <w:sz w:val="24"/>
                <w:szCs w:val="24"/>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51" w:lineRule="atLeast"/>
              <w:jc w:val="right"/>
              <w:rPr>
                <w:rFonts w:ascii="Times New Roman" w:hAnsi="Times New Roman"/>
                <w:sz w:val="24"/>
                <w:szCs w:val="24"/>
              </w:rPr>
            </w:pPr>
            <w:r w:rsidRPr="00966A79">
              <w:rPr>
                <w:rFonts w:ascii="Times New Roman" w:hAnsi="Times New Roman"/>
                <w:sz w:val="24"/>
                <w:szCs w:val="24"/>
              </w:rPr>
              <w:t>-</w:t>
            </w:r>
            <w:r>
              <w:rPr>
                <w:rFonts w:ascii="Times New Roman" w:hAnsi="Times New Roman"/>
                <w:sz w:val="24"/>
                <w:szCs w:val="24"/>
              </w:rPr>
              <w:t>4 871</w:t>
            </w:r>
            <w:r w:rsidRPr="00966A79">
              <w:rPr>
                <w:rFonts w:ascii="Times New Roman" w:hAnsi="Times New Roman"/>
                <w:sz w:val="24"/>
                <w:szCs w:val="24"/>
              </w:rPr>
              <w:t>, 347</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51" w:lineRule="atLeast"/>
              <w:jc w:val="right"/>
              <w:rPr>
                <w:rFonts w:ascii="Times New Roman" w:hAnsi="Times New Roman"/>
                <w:sz w:val="24"/>
                <w:szCs w:val="24"/>
              </w:rPr>
            </w:pPr>
            <w:r w:rsidRPr="00966A79">
              <w:rPr>
                <w:rFonts w:ascii="Times New Roman" w:hAnsi="Times New Roman"/>
                <w:sz w:val="24"/>
                <w:szCs w:val="24"/>
              </w:rPr>
              <w:t>-</w:t>
            </w:r>
            <w:r>
              <w:rPr>
                <w:rFonts w:ascii="Times New Roman" w:hAnsi="Times New Roman"/>
                <w:sz w:val="24"/>
                <w:szCs w:val="24"/>
              </w:rPr>
              <w:t>4 871</w:t>
            </w:r>
            <w:r w:rsidRPr="00966A79">
              <w:rPr>
                <w:rFonts w:ascii="Times New Roman" w:hAnsi="Times New Roman"/>
                <w:sz w:val="24"/>
                <w:szCs w:val="24"/>
              </w:rPr>
              <w:t>, 347</w:t>
            </w:r>
          </w:p>
        </w:tc>
        <w:tc>
          <w:tcPr>
            <w:tcW w:w="14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51" w:lineRule="atLeast"/>
              <w:jc w:val="right"/>
              <w:rPr>
                <w:rFonts w:ascii="Times New Roman" w:hAnsi="Times New Roman"/>
                <w:sz w:val="24"/>
                <w:szCs w:val="24"/>
              </w:rPr>
            </w:pPr>
            <w:r w:rsidRPr="00966A79">
              <w:rPr>
                <w:rFonts w:ascii="Times New Roman" w:hAnsi="Times New Roman"/>
                <w:sz w:val="24"/>
                <w:szCs w:val="24"/>
              </w:rPr>
              <w:t>-</w:t>
            </w:r>
            <w:r>
              <w:rPr>
                <w:rFonts w:ascii="Times New Roman" w:hAnsi="Times New Roman"/>
                <w:sz w:val="24"/>
                <w:szCs w:val="24"/>
              </w:rPr>
              <w:t>4 871</w:t>
            </w:r>
            <w:r w:rsidRPr="00966A79">
              <w:rPr>
                <w:rFonts w:ascii="Times New Roman" w:hAnsi="Times New Roman"/>
                <w:sz w:val="24"/>
                <w:szCs w:val="24"/>
              </w:rPr>
              <w:t>, 347</w:t>
            </w:r>
          </w:p>
        </w:tc>
        <w:tc>
          <w:tcPr>
            <w:tcW w:w="709" w:type="dxa"/>
            <w:tcBorders>
              <w:top w:val="none" w:sz="0" w:space="0" w:color="auto"/>
              <w:left w:val="none" w:sz="0" w:space="0" w:color="auto"/>
              <w:bottom w:val="none" w:sz="0" w:space="0" w:color="auto"/>
              <w:right w:val="none" w:sz="0" w:space="0" w:color="auto"/>
            </w:tcBorders>
            <w:textDirection w:val="lrTb"/>
            <w:vAlign w:val="center"/>
          </w:tcPr>
          <w:p w:rsidR="00220FDC" w:rsidRPr="00966A79" w:rsidP="003740CE">
            <w:pPr>
              <w:bidi w:val="0"/>
              <w:spacing w:line="70" w:lineRule="atLeast"/>
              <w:jc w:val="center"/>
              <w:rPr>
                <w:rFonts w:ascii="Times New Roman" w:hAnsi="Times New Roman"/>
                <w:sz w:val="24"/>
                <w:szCs w:val="24"/>
              </w:rPr>
            </w:pPr>
          </w:p>
        </w:tc>
      </w:tr>
      <w:tr>
        <w:tblPrEx>
          <w:tblW w:w="9001" w:type="dxa"/>
          <w:tblCellMar>
            <w:left w:w="0" w:type="dxa"/>
            <w:right w:w="0" w:type="dxa"/>
          </w:tblCellMar>
        </w:tblPrEx>
        <w:trPr>
          <w:gridAfter w:val="1"/>
          <w:wAfter w:w="709" w:type="dxa"/>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35" w:lineRule="atLeast"/>
              <w:rPr>
                <w:rFonts w:ascii="Times New Roman" w:hAnsi="Times New Roman"/>
                <w:sz w:val="24"/>
                <w:szCs w:val="24"/>
              </w:rPr>
            </w:pPr>
            <w:r w:rsidRPr="00966A79">
              <w:rPr>
                <w:rFonts w:ascii="Times New Roman" w:hAnsi="Times New Roman"/>
                <w:sz w:val="24"/>
                <w:szCs w:val="24"/>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35" w:lineRule="atLeast"/>
              <w:jc w:val="right"/>
              <w:rPr>
                <w:rFonts w:ascii="Times New Roman" w:hAnsi="Times New Roman"/>
                <w:sz w:val="24"/>
                <w:szCs w:val="24"/>
              </w:rPr>
            </w:pPr>
            <w:r w:rsidRPr="00966A79">
              <w:rPr>
                <w:rFonts w:ascii="Times New Roman" w:hAnsi="Times New Roman"/>
                <w:sz w:val="24"/>
                <w:szCs w:val="24"/>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35" w:lineRule="atLeast"/>
              <w:jc w:val="right"/>
              <w:rPr>
                <w:rFonts w:ascii="Times New Roman" w:hAnsi="Times New Roman"/>
                <w:sz w:val="24"/>
                <w:szCs w:val="24"/>
              </w:rPr>
            </w:pPr>
            <w:r w:rsidRPr="00966A79">
              <w:rPr>
                <w:rFonts w:ascii="Times New Roman" w:hAnsi="Times New Roman"/>
                <w:sz w:val="24"/>
                <w:szCs w:val="24"/>
              </w:rPr>
              <w:t>0</w:t>
            </w:r>
          </w:p>
        </w:tc>
        <w:tc>
          <w:tcPr>
            <w:tcW w:w="14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135" w:lineRule="atLeast"/>
              <w:jc w:val="right"/>
              <w:rPr>
                <w:rFonts w:ascii="Times New Roman" w:hAnsi="Times New Roman"/>
                <w:sz w:val="24"/>
                <w:szCs w:val="24"/>
              </w:rPr>
            </w:pPr>
            <w:r w:rsidRPr="00966A79">
              <w:rPr>
                <w:rFonts w:ascii="Times New Roman" w:hAnsi="Times New Roman"/>
                <w:sz w:val="24"/>
                <w:szCs w:val="24"/>
              </w:rPr>
              <w:t>0</w:t>
            </w:r>
          </w:p>
        </w:tc>
      </w:tr>
      <w:tr>
        <w:tblPrEx>
          <w:tblW w:w="9001" w:type="dxa"/>
          <w:tblCellMar>
            <w:left w:w="0" w:type="dxa"/>
            <w:right w:w="0" w:type="dxa"/>
          </w:tblCellMar>
        </w:tblPrEx>
        <w:trPr>
          <w:gridAfter w:val="1"/>
          <w:wAfter w:w="709" w:type="dxa"/>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rPr>
                <w:rFonts w:ascii="Times New Roman" w:hAnsi="Times New Roman"/>
                <w:sz w:val="24"/>
                <w:szCs w:val="24"/>
              </w:rPr>
            </w:pPr>
            <w:r w:rsidRPr="00966A79">
              <w:rPr>
                <w:rFonts w:ascii="Times New Roman" w:hAnsi="Times New Roman"/>
                <w:b/>
                <w:bCs/>
                <w:sz w:val="24"/>
                <w:szCs w:val="24"/>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b/>
                <w:sz w:val="24"/>
                <w:szCs w:val="24"/>
              </w:rPr>
            </w:pPr>
            <w:r w:rsidRPr="00966A79">
              <w:rPr>
                <w:rFonts w:ascii="Times New Roman" w:hAnsi="Times New Roman"/>
                <w:b/>
                <w:sz w:val="24"/>
                <w:szCs w:val="24"/>
              </w:rPr>
              <w:t>-</w:t>
            </w:r>
            <w:r>
              <w:rPr>
                <w:rFonts w:ascii="Times New Roman" w:hAnsi="Times New Roman"/>
                <w:b/>
                <w:sz w:val="24"/>
                <w:szCs w:val="24"/>
              </w:rPr>
              <w:t>4 871</w:t>
            </w:r>
            <w:r w:rsidRPr="00966A79">
              <w:rPr>
                <w:rFonts w:ascii="Times New Roman" w:hAnsi="Times New Roman"/>
                <w:b/>
                <w:sz w:val="24"/>
                <w:szCs w:val="24"/>
              </w:rPr>
              <w:t>, 347</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b/>
                <w:sz w:val="24"/>
                <w:szCs w:val="24"/>
              </w:rPr>
            </w:pPr>
            <w:r w:rsidRPr="00966A79">
              <w:rPr>
                <w:rFonts w:ascii="Times New Roman" w:hAnsi="Times New Roman"/>
                <w:b/>
                <w:sz w:val="24"/>
                <w:szCs w:val="24"/>
              </w:rPr>
              <w:t>-</w:t>
            </w:r>
            <w:r>
              <w:rPr>
                <w:rFonts w:ascii="Times New Roman" w:hAnsi="Times New Roman"/>
                <w:b/>
                <w:sz w:val="24"/>
                <w:szCs w:val="24"/>
              </w:rPr>
              <w:t>4 871</w:t>
            </w:r>
            <w:r w:rsidRPr="00966A79">
              <w:rPr>
                <w:rFonts w:ascii="Times New Roman" w:hAnsi="Times New Roman"/>
                <w:b/>
                <w:sz w:val="24"/>
                <w:szCs w:val="24"/>
              </w:rPr>
              <w:t>, 347</w:t>
            </w:r>
          </w:p>
        </w:tc>
        <w:tc>
          <w:tcPr>
            <w:tcW w:w="14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20FDC" w:rsidRPr="00966A79" w:rsidP="003740CE">
            <w:pPr>
              <w:bidi w:val="0"/>
              <w:spacing w:line="70" w:lineRule="atLeast"/>
              <w:jc w:val="right"/>
              <w:rPr>
                <w:rFonts w:ascii="Times New Roman" w:hAnsi="Times New Roman"/>
                <w:b/>
                <w:sz w:val="24"/>
                <w:szCs w:val="24"/>
              </w:rPr>
            </w:pPr>
            <w:r w:rsidRPr="00966A79">
              <w:rPr>
                <w:rFonts w:ascii="Times New Roman" w:hAnsi="Times New Roman"/>
                <w:b/>
                <w:sz w:val="24"/>
                <w:szCs w:val="24"/>
              </w:rPr>
              <w:t>-</w:t>
            </w:r>
            <w:r>
              <w:rPr>
                <w:rFonts w:ascii="Times New Roman" w:hAnsi="Times New Roman"/>
                <w:b/>
                <w:sz w:val="24"/>
                <w:szCs w:val="24"/>
              </w:rPr>
              <w:t>4 871</w:t>
            </w:r>
            <w:r w:rsidRPr="00966A79">
              <w:rPr>
                <w:rFonts w:ascii="Times New Roman" w:hAnsi="Times New Roman"/>
                <w:b/>
                <w:sz w:val="24"/>
                <w:szCs w:val="24"/>
              </w:rPr>
              <w:t>, 347</w:t>
            </w:r>
          </w:p>
        </w:tc>
      </w:tr>
      <w:tr>
        <w:tblPrEx>
          <w:tblW w:w="9001" w:type="dxa"/>
          <w:tblCellMar>
            <w:left w:w="0" w:type="dxa"/>
            <w:right w:w="0" w:type="dxa"/>
          </w:tblCellMar>
        </w:tblPrEx>
        <w:trPr>
          <w:gridAfter w:val="1"/>
          <w:wAfter w:w="709" w:type="dxa"/>
        </w:trPr>
        <w:tc>
          <w:tcPr>
            <w:tcW w:w="4304" w:type="dxa"/>
            <w:tcBorders>
              <w:top w:val="nil"/>
              <w:left w:val="nil"/>
              <w:bottom w:val="nil"/>
              <w:right w:val="nil"/>
            </w:tcBorders>
            <w:textDirection w:val="lrTb"/>
            <w:vAlign w:val="center"/>
          </w:tcPr>
          <w:p w:rsidR="00220FDC" w:rsidRPr="00966A79" w:rsidP="003740CE">
            <w:pPr>
              <w:bidi w:val="0"/>
              <w:rPr>
                <w:rFonts w:ascii="Times New Roman" w:hAnsi="Times New Roman"/>
                <w:sz w:val="24"/>
                <w:szCs w:val="24"/>
              </w:rPr>
            </w:pPr>
          </w:p>
        </w:tc>
        <w:tc>
          <w:tcPr>
            <w:tcW w:w="1264" w:type="dxa"/>
            <w:tcBorders>
              <w:top w:val="nil"/>
              <w:left w:val="nil"/>
              <w:bottom w:val="nil"/>
              <w:right w:val="nil"/>
            </w:tcBorders>
            <w:textDirection w:val="lrTb"/>
            <w:vAlign w:val="center"/>
          </w:tcPr>
          <w:p w:rsidR="00220FDC" w:rsidRPr="00966A79" w:rsidP="003740CE">
            <w:pPr>
              <w:bidi w:val="0"/>
              <w:rPr>
                <w:rFonts w:ascii="Times New Roman" w:hAnsi="Times New Roman"/>
                <w:sz w:val="24"/>
                <w:szCs w:val="24"/>
              </w:rPr>
            </w:pPr>
          </w:p>
        </w:tc>
        <w:tc>
          <w:tcPr>
            <w:tcW w:w="1264" w:type="dxa"/>
            <w:tcBorders>
              <w:top w:val="nil"/>
              <w:left w:val="nil"/>
              <w:bottom w:val="nil"/>
              <w:right w:val="nil"/>
            </w:tcBorders>
            <w:textDirection w:val="lrTb"/>
            <w:vAlign w:val="center"/>
          </w:tcPr>
          <w:p w:rsidR="00220FDC" w:rsidRPr="00966A79" w:rsidP="003740CE">
            <w:pPr>
              <w:bidi w:val="0"/>
              <w:rPr>
                <w:rFonts w:ascii="Times New Roman" w:hAnsi="Times New Roman"/>
                <w:sz w:val="24"/>
                <w:szCs w:val="24"/>
              </w:rPr>
            </w:pPr>
          </w:p>
        </w:tc>
        <w:tc>
          <w:tcPr>
            <w:tcW w:w="1460" w:type="dxa"/>
            <w:tcBorders>
              <w:top w:val="nil"/>
              <w:left w:val="nil"/>
              <w:bottom w:val="nil"/>
              <w:right w:val="nil"/>
            </w:tcBorders>
            <w:textDirection w:val="lrTb"/>
            <w:vAlign w:val="center"/>
          </w:tcPr>
          <w:p w:rsidR="00220FDC" w:rsidRPr="00966A79" w:rsidP="003740CE">
            <w:pPr>
              <w:bidi w:val="0"/>
              <w:rPr>
                <w:rFonts w:ascii="Times New Roman" w:hAnsi="Times New Roman"/>
                <w:sz w:val="24"/>
                <w:szCs w:val="24"/>
              </w:rPr>
            </w:pPr>
          </w:p>
        </w:tc>
      </w:tr>
    </w:tbl>
    <w:p w:rsidR="00220FDC" w:rsidRPr="00966A79" w:rsidP="00220FDC">
      <w:pPr>
        <w:bidi w:val="0"/>
        <w:rPr>
          <w:rFonts w:ascii="Times New Roman" w:hAnsi="Times New Roman"/>
          <w:sz w:val="24"/>
          <w:szCs w:val="24"/>
        </w:rPr>
      </w:pPr>
      <w:r w:rsidRPr="00966A79">
        <w:rPr>
          <w:rFonts w:ascii="Times New Roman" w:hAnsi="Times New Roman"/>
          <w:sz w:val="24"/>
          <w:szCs w:val="24"/>
        </w:rPr>
        <w:t> </w:t>
      </w:r>
    </w:p>
    <w:p w:rsidR="00220FDC" w:rsidRPr="00966A79" w:rsidP="00220FDC">
      <w:pPr>
        <w:bidi w:val="0"/>
        <w:rPr>
          <w:rFonts w:ascii="Times New Roman" w:hAnsi="Times New Roman"/>
          <w:b/>
          <w:bCs/>
          <w:sz w:val="24"/>
          <w:szCs w:val="24"/>
        </w:rPr>
      </w:pPr>
      <w:r w:rsidRPr="00966A79">
        <w:rPr>
          <w:rFonts w:ascii="Times New Roman" w:hAnsi="Times New Roman"/>
          <w:b/>
          <w:bCs/>
          <w:sz w:val="24"/>
          <w:szCs w:val="24"/>
        </w:rPr>
        <w:t> </w:t>
      </w:r>
    </w:p>
    <w:p w:rsidR="00220FDC" w:rsidRPr="00966A79" w:rsidP="00220FDC">
      <w:pPr>
        <w:bidi w:val="0"/>
        <w:rPr>
          <w:rFonts w:ascii="Times New Roman" w:hAnsi="Times New Roman"/>
          <w:b/>
          <w:bCs/>
          <w:sz w:val="24"/>
          <w:szCs w:val="24"/>
        </w:rPr>
      </w:pPr>
    </w:p>
    <w:p w:rsidR="00220FDC" w:rsidRPr="00966A79" w:rsidP="00220FDC">
      <w:pPr>
        <w:bidi w:val="0"/>
        <w:rPr>
          <w:rFonts w:ascii="Times New Roman" w:hAnsi="Times New Roman"/>
          <w:b/>
          <w:bCs/>
          <w:sz w:val="24"/>
          <w:szCs w:val="24"/>
        </w:rPr>
      </w:pPr>
    </w:p>
    <w:p w:rsidR="00220FDC" w:rsidRPr="00613542" w:rsidP="00220FDC">
      <w:pPr>
        <w:pStyle w:val="NormalWeb"/>
        <w:bidi w:val="0"/>
        <w:spacing w:before="0" w:beforeAutospacing="0" w:after="0" w:afterAutospacing="0"/>
        <w:rPr>
          <w:rFonts w:ascii="Arial Narrow" w:hAnsi="Arial Narrow"/>
          <w:bCs/>
          <w:sz w:val="22"/>
          <w:szCs w:val="22"/>
        </w:rPr>
      </w:pPr>
    </w:p>
    <w:p w:rsidR="00220FDC"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8B6232" w:rsidP="00134147">
      <w:pPr>
        <w:pStyle w:val="NormalWeb"/>
        <w:bidi w:val="0"/>
        <w:spacing w:before="0" w:beforeAutospacing="0" w:after="0" w:afterAutospacing="0"/>
        <w:jc w:val="both"/>
        <w:rPr>
          <w:rFonts w:ascii="Times New Roman" w:hAnsi="Times New Roman"/>
          <w:sz w:val="20"/>
          <w:szCs w:val="20"/>
        </w:rPr>
        <w:sectPr w:rsidSect="00D3362A">
          <w:pgSz w:w="11906" w:h="16838"/>
          <w:pgMar w:top="1417" w:right="1417" w:bottom="1417" w:left="1417" w:header="709" w:footer="709" w:gutter="0"/>
          <w:lnNumType w:distance="0"/>
          <w:cols w:space="708"/>
          <w:noEndnote w:val="0"/>
          <w:bidi w:val="0"/>
          <w:docGrid w:linePitch="360"/>
        </w:sectPr>
      </w:pPr>
    </w:p>
    <w:p w:rsidR="00134147" w:rsidP="00134147">
      <w:pPr>
        <w:pStyle w:val="NormalWeb"/>
        <w:bidi w:val="0"/>
        <w:spacing w:before="0" w:beforeAutospacing="0" w:after="0" w:afterAutospacing="0"/>
        <w:jc w:val="both"/>
        <w:rPr>
          <w:rFonts w:ascii="Times New Roman" w:hAnsi="Times New Roman"/>
          <w:sz w:val="20"/>
          <w:szCs w:val="20"/>
        </w:rPr>
      </w:pPr>
    </w:p>
    <w:p w:rsidR="00134147" w:rsidP="00134147">
      <w:pPr>
        <w:pStyle w:val="NormalWeb"/>
        <w:bidi w:val="0"/>
        <w:spacing w:before="0" w:beforeAutospacing="0" w:after="0" w:afterAutospacing="0"/>
        <w:jc w:val="both"/>
        <w:rPr>
          <w:rFonts w:ascii="Times New Roman" w:hAnsi="Times New Roman"/>
          <w:sz w:val="20"/>
          <w:szCs w:val="20"/>
        </w:rPr>
      </w:pPr>
    </w:p>
    <w:p w:rsidR="00134147" w:rsidP="00134147">
      <w:pPr>
        <w:pStyle w:val="NormalWeb"/>
        <w:bidi w:val="0"/>
        <w:spacing w:before="0" w:beforeAutospacing="0" w:after="0" w:afterAutospacing="0"/>
        <w:jc w:val="both"/>
        <w:rPr>
          <w:rFonts w:ascii="Times New Roman" w:hAnsi="Times New Roman"/>
        </w:rPr>
      </w:pPr>
      <w:r>
        <w:rPr>
          <w:rFonts w:ascii="Times New Roman" w:hAnsi="Times New Roman"/>
          <w:sz w:val="20"/>
          <w:szCs w:val="20"/>
        </w:rPr>
        <w:t xml:space="preserve">                                                                                                                                                                                                                                           </w:t>
      </w:r>
      <w:r>
        <w:rPr>
          <w:rFonts w:ascii="Times New Roman" w:hAnsi="Times New Roman"/>
        </w:rPr>
        <w:t xml:space="preserve">Tabuľka č. 5 </w:t>
      </w:r>
    </w:p>
    <w:tbl>
      <w:tblPr>
        <w:tblStyle w:val="TableNormal"/>
        <w:tblW w:w="14760" w:type="dxa"/>
        <w:tblInd w:w="-378" w:type="dxa"/>
        <w:tblLayout w:type="fixed"/>
        <w:tblCellMar>
          <w:left w:w="0" w:type="dxa"/>
          <w:right w:w="0" w:type="dxa"/>
        </w:tblCellMar>
      </w:tblPr>
      <w:tblGrid>
        <w:gridCol w:w="7070"/>
        <w:gridCol w:w="1540"/>
        <w:gridCol w:w="1540"/>
        <w:gridCol w:w="1540"/>
        <w:gridCol w:w="20"/>
        <w:gridCol w:w="3050"/>
      </w:tblGrid>
      <w:tr>
        <w:tblPrEx>
          <w:tblW w:w="14760" w:type="dxa"/>
          <w:tblInd w:w="-378" w:type="dxa"/>
          <w:tblLayout w:type="fixed"/>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Výdavky (v tis. eur)</w:t>
            </w:r>
          </w:p>
        </w:tc>
        <w:tc>
          <w:tcPr>
            <w:tcW w:w="4620" w:type="dxa"/>
            <w:gridSpan w:val="3"/>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Vplyv na rozpočet verejnej správy</w:t>
            </w:r>
          </w:p>
        </w:tc>
        <w:tc>
          <w:tcPr>
            <w:tcW w:w="3070"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poznámka</w:t>
            </w:r>
          </w:p>
        </w:tc>
      </w:tr>
      <w:tr>
        <w:tblPrEx>
          <w:tblW w:w="14760" w:type="dxa"/>
          <w:tblInd w:w="-378" w:type="dxa"/>
          <w:tblLayout w:type="fixed"/>
          <w:tblCellMar>
            <w:left w:w="0" w:type="dxa"/>
            <w:right w:w="0" w:type="dxa"/>
          </w:tblCellMar>
        </w:tblPrEx>
        <w:trPr>
          <w:trHeight w:val="197"/>
        </w:trPr>
        <w:tc>
          <w:tcPr>
            <w:tcW w:w="7070" w:type="dxa"/>
            <w:vMerge/>
            <w:tcBorders>
              <w:top w:val="single" w:sz="4" w:space="0" w:color="000000"/>
              <w:left w:val="single" w:sz="4" w:space="0" w:color="000000"/>
              <w:bottom w:val="single" w:sz="4" w:space="0" w:color="000000"/>
              <w:right w:val="single" w:sz="4" w:space="0" w:color="000000"/>
            </w:tcBorders>
            <w:textDirection w:val="lrTb"/>
            <w:vAlign w:val="center"/>
          </w:tcPr>
          <w:p w:rsidR="00134147" w:rsidP="003740CE">
            <w:pPr>
              <w:bidi w:val="0"/>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2013</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34147" w:rsidRPr="00447952" w:rsidP="003740CE">
            <w:pPr>
              <w:pStyle w:val="NormalWeb"/>
              <w:bidi w:val="0"/>
              <w:spacing w:before="0" w:beforeAutospacing="0" w:after="0" w:afterAutospacing="0" w:line="240" w:lineRule="auto"/>
              <w:jc w:val="center"/>
              <w:rPr>
                <w:rFonts w:ascii="Times New Roman" w:hAnsi="Times New Roman"/>
                <w:sz w:val="20"/>
                <w:szCs w:val="20"/>
              </w:rPr>
            </w:pPr>
            <w:r w:rsidRPr="00447952">
              <w:rPr>
                <w:rFonts w:ascii="Times New Roman" w:hAnsi="Times New Roman"/>
                <w:sz w:val="20"/>
                <w:szCs w:val="20"/>
              </w:rPr>
              <w:t>201</w:t>
            </w:r>
            <w:r>
              <w:rPr>
                <w:rFonts w:ascii="Times New Roman" w:hAnsi="Times New Roman"/>
                <w:sz w:val="20"/>
                <w:szCs w:val="20"/>
              </w:rPr>
              <w:t>4</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34147" w:rsidRPr="00447952" w:rsidP="003740CE">
            <w:pPr>
              <w:pStyle w:val="NormalWeb"/>
              <w:bidi w:val="0"/>
              <w:spacing w:before="0" w:beforeAutospacing="0" w:after="0" w:afterAutospacing="0" w:line="240" w:lineRule="auto"/>
              <w:jc w:val="center"/>
              <w:rPr>
                <w:rFonts w:ascii="Times New Roman" w:hAnsi="Times New Roman"/>
                <w:sz w:val="20"/>
                <w:szCs w:val="20"/>
              </w:rPr>
            </w:pPr>
            <w:r w:rsidRPr="00447952">
              <w:rPr>
                <w:rFonts w:ascii="Times New Roman" w:hAnsi="Times New Roman"/>
                <w:sz w:val="20"/>
                <w:szCs w:val="20"/>
              </w:rPr>
              <w:t>201</w:t>
            </w:r>
            <w:r>
              <w:rPr>
                <w:rFonts w:ascii="Times New Roman" w:hAnsi="Times New Roman"/>
                <w:sz w:val="20"/>
                <w:szCs w:val="20"/>
              </w:rPr>
              <w:t>5</w:t>
            </w:r>
          </w:p>
        </w:tc>
        <w:tc>
          <w:tcPr>
            <w:tcW w:w="3070" w:type="dxa"/>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34147" w:rsidRPr="00447952" w:rsidP="003740CE">
            <w:pPr>
              <w:pStyle w:val="NormalWeb"/>
              <w:bidi w:val="0"/>
              <w:spacing w:before="0" w:beforeAutospacing="0" w:after="0" w:afterAutospacing="0" w:line="240" w:lineRule="auto"/>
              <w:jc w:val="center"/>
              <w:rPr>
                <w:rFonts w:ascii="Times New Roman" w:hAnsi="Times New Roman"/>
                <w:sz w:val="20"/>
                <w:szCs w:val="20"/>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sidRPr="00AD38F8">
              <w:rPr>
                <w:rFonts w:ascii="Arial Narrow" w:hAnsi="Arial Narrow"/>
                <w:b/>
              </w:rPr>
              <w:t>-</w:t>
            </w:r>
            <w:r>
              <w:rPr>
                <w:rFonts w:ascii="Arial Narrow" w:hAnsi="Arial Narrow"/>
                <w:b/>
              </w:rPr>
              <w:t>4 871</w:t>
            </w:r>
            <w:r w:rsidRPr="00AD38F8">
              <w:rPr>
                <w:rFonts w:ascii="Arial Narrow" w:hAnsi="Arial Narrow"/>
                <w:b/>
              </w:rPr>
              <w:t>, 347</w:t>
            </w:r>
            <w:r>
              <w:rPr>
                <w:rFonts w:ascii="Times New Roman" w:hAnsi="Times New Roman"/>
                <w:sz w:val="20"/>
                <w:szCs w:val="20"/>
              </w:rPr>
              <w:t> </w:t>
            </w: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sidRPr="00AD38F8">
              <w:rPr>
                <w:rFonts w:ascii="Arial Narrow" w:hAnsi="Arial Narrow"/>
                <w:b/>
              </w:rPr>
              <w:t>-</w:t>
            </w:r>
            <w:r>
              <w:rPr>
                <w:rFonts w:ascii="Arial Narrow" w:hAnsi="Arial Narrow"/>
                <w:b/>
              </w:rPr>
              <w:t>4 871</w:t>
            </w:r>
            <w:r w:rsidRPr="00AD38F8">
              <w:rPr>
                <w:rFonts w:ascii="Arial Narrow" w:hAnsi="Arial Narrow"/>
                <w:b/>
              </w:rPr>
              <w:t>, 347</w:t>
            </w:r>
            <w:r>
              <w:rPr>
                <w:rFonts w:ascii="Times New Roman" w:hAnsi="Times New Roman"/>
                <w:sz w:val="20"/>
                <w:szCs w:val="20"/>
              </w:rPr>
              <w:t> </w:t>
            </w: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sidRPr="00AD38F8">
              <w:rPr>
                <w:rFonts w:ascii="Arial Narrow" w:hAnsi="Arial Narrow"/>
                <w:b/>
              </w:rPr>
              <w:t>-</w:t>
            </w:r>
            <w:r>
              <w:rPr>
                <w:rFonts w:ascii="Arial Narrow" w:hAnsi="Arial Narrow"/>
                <w:b/>
              </w:rPr>
              <w:t>4 871</w:t>
            </w:r>
            <w:r w:rsidRPr="00AD38F8">
              <w:rPr>
                <w:rFonts w:ascii="Arial Narrow" w:hAnsi="Arial Narrow"/>
                <w:b/>
              </w:rPr>
              <w:t>, 347</w:t>
            </w:r>
            <w:r>
              <w:rPr>
                <w:rFonts w:ascii="Times New Roman" w:hAnsi="Times New Roman"/>
                <w:sz w:val="20"/>
                <w:szCs w:val="20"/>
              </w:rPr>
              <w:t> </w:t>
            </w:r>
            <w:r>
              <w:rPr>
                <w:rFonts w:ascii="Times New Roman" w:hAnsi="Times New Roman"/>
                <w:b/>
                <w:bCs/>
                <w:sz w:val="20"/>
                <w:szCs w:val="20"/>
              </w:rPr>
              <w:t> </w:t>
            </w:r>
          </w:p>
        </w:tc>
        <w:tc>
          <w:tcPr>
            <w:tcW w:w="307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307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307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Tovary a služby (630)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sidRPr="00AD38F8">
              <w:rPr>
                <w:rFonts w:ascii="Arial Narrow" w:hAnsi="Arial Narrow"/>
                <w:b/>
              </w:rPr>
              <w:t>-</w:t>
            </w:r>
            <w:r>
              <w:rPr>
                <w:rFonts w:ascii="Arial Narrow" w:hAnsi="Arial Narrow"/>
                <w:b/>
              </w:rPr>
              <w:t>4 871</w:t>
            </w:r>
            <w:r w:rsidRPr="00AD38F8">
              <w:rPr>
                <w:rFonts w:ascii="Arial Narrow" w:hAnsi="Arial Narrow"/>
                <w:b/>
              </w:rPr>
              <w:t>, 347</w:t>
            </w:r>
            <w:r>
              <w:rPr>
                <w:rFonts w:ascii="Times New Roman" w:hAnsi="Times New Roman"/>
                <w:sz w:val="20"/>
                <w:szCs w:val="20"/>
              </w:rPr>
              <w:t> </w:t>
            </w: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sidRPr="00AD38F8">
              <w:rPr>
                <w:rFonts w:ascii="Arial Narrow" w:hAnsi="Arial Narrow"/>
                <w:b/>
              </w:rPr>
              <w:t>-</w:t>
            </w:r>
            <w:r>
              <w:rPr>
                <w:rFonts w:ascii="Arial Narrow" w:hAnsi="Arial Narrow"/>
                <w:b/>
              </w:rPr>
              <w:t>4 871</w:t>
            </w:r>
            <w:r w:rsidRPr="00AD38F8">
              <w:rPr>
                <w:rFonts w:ascii="Arial Narrow" w:hAnsi="Arial Narrow"/>
                <w:b/>
              </w:rPr>
              <w:t>, 347</w:t>
            </w:r>
            <w:r>
              <w:rPr>
                <w:rFonts w:ascii="Times New Roman" w:hAnsi="Times New Roman"/>
                <w:sz w:val="20"/>
                <w:szCs w:val="20"/>
              </w:rPr>
              <w:t> </w:t>
            </w: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sidRPr="00AD38F8">
              <w:rPr>
                <w:rFonts w:ascii="Arial Narrow" w:hAnsi="Arial Narrow"/>
                <w:b/>
              </w:rPr>
              <w:t>-</w:t>
            </w:r>
            <w:r>
              <w:rPr>
                <w:rFonts w:ascii="Arial Narrow" w:hAnsi="Arial Narrow"/>
                <w:b/>
              </w:rPr>
              <w:t>4 871</w:t>
            </w:r>
            <w:r w:rsidRPr="00AD38F8">
              <w:rPr>
                <w:rFonts w:ascii="Arial Narrow" w:hAnsi="Arial Narrow"/>
                <w:b/>
              </w:rPr>
              <w:t>, 347</w:t>
            </w:r>
            <w:r>
              <w:rPr>
                <w:rFonts w:ascii="Times New Roman" w:hAnsi="Times New Roman"/>
                <w:sz w:val="20"/>
                <w:szCs w:val="20"/>
              </w:rPr>
              <w:t> </w:t>
            </w:r>
            <w:r>
              <w:rPr>
                <w:rFonts w:ascii="Times New Roman" w:hAnsi="Times New Roman"/>
                <w:b/>
                <w:bCs/>
                <w:sz w:val="20"/>
                <w:szCs w:val="20"/>
              </w:rPr>
              <w:t> </w:t>
            </w:r>
          </w:p>
        </w:tc>
        <w:tc>
          <w:tcPr>
            <w:tcW w:w="307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RPr="00C95A6D" w:rsidP="003740CE">
            <w:pPr>
              <w:pStyle w:val="NormalWeb"/>
              <w:bidi w:val="0"/>
              <w:spacing w:before="0" w:beforeAutospacing="0" w:after="0" w:afterAutospacing="0" w:line="240" w:lineRule="auto"/>
              <w:rPr>
                <w:rFonts w:ascii="Times New Roman" w:hAnsi="Times New Roman"/>
                <w:i/>
                <w:sz w:val="20"/>
                <w:szCs w:val="20"/>
              </w:rPr>
            </w:pPr>
            <w:r>
              <w:rPr>
                <w:rFonts w:ascii="Times New Roman" w:hAnsi="Times New Roman"/>
                <w:sz w:val="20"/>
                <w:szCs w:val="20"/>
              </w:rPr>
              <w:t xml:space="preserve">  </w:t>
            </w:r>
            <w:r w:rsidRPr="00C95A6D">
              <w:rPr>
                <w:rFonts w:ascii="Times New Roman" w:hAnsi="Times New Roman"/>
                <w:i/>
                <w:sz w:val="20"/>
                <w:szCs w:val="20"/>
              </w:rPr>
              <w:t>637017</w:t>
            </w:r>
            <w:r>
              <w:rPr>
                <w:rFonts w:ascii="Times New Roman" w:hAnsi="Times New Roman"/>
                <w:i/>
                <w:sz w:val="20"/>
                <w:szCs w:val="20"/>
              </w:rPr>
              <w:t>Provízia za distribúciu kolkových známok</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RPr="00C95A6D" w:rsidP="003740CE">
            <w:pPr>
              <w:pStyle w:val="NormalWeb"/>
              <w:bidi w:val="0"/>
              <w:spacing w:before="0" w:beforeAutospacing="0" w:after="0" w:afterAutospacing="0" w:line="240" w:lineRule="auto"/>
              <w:jc w:val="center"/>
              <w:rPr>
                <w:rFonts w:ascii="Arial Narrow" w:hAnsi="Arial Narrow"/>
                <w:i/>
              </w:rPr>
            </w:pPr>
            <w:r w:rsidRPr="00C95A6D">
              <w:rPr>
                <w:rFonts w:ascii="Arial Narrow" w:hAnsi="Arial Narrow"/>
                <w:i/>
              </w:rPr>
              <w:t>-</w:t>
            </w:r>
            <w:r>
              <w:rPr>
                <w:rFonts w:ascii="Arial Narrow" w:hAnsi="Arial Narrow"/>
                <w:i/>
              </w:rPr>
              <w:t>4 871</w:t>
            </w:r>
            <w:r w:rsidRPr="00C95A6D">
              <w:rPr>
                <w:rFonts w:ascii="Arial Narrow" w:hAnsi="Arial Narrow"/>
                <w:i/>
              </w:rPr>
              <w:t>, 347</w:t>
            </w:r>
            <w:r w:rsidRPr="00C95A6D">
              <w:rPr>
                <w:rFonts w:ascii="Times New Roman" w:hAnsi="Times New Roman"/>
                <w:i/>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RPr="00AD38F8" w:rsidP="003740CE">
            <w:pPr>
              <w:pStyle w:val="NormalWeb"/>
              <w:bidi w:val="0"/>
              <w:spacing w:before="0" w:beforeAutospacing="0" w:after="0" w:afterAutospacing="0" w:line="240" w:lineRule="auto"/>
              <w:jc w:val="center"/>
              <w:rPr>
                <w:rFonts w:ascii="Arial Narrow" w:hAnsi="Arial Narrow"/>
                <w:b/>
              </w:rPr>
            </w:pPr>
            <w:r>
              <w:rPr>
                <w:rFonts w:ascii="Arial Narrow" w:hAnsi="Arial Narrow"/>
                <w:i/>
              </w:rPr>
              <w:t>-4 871</w:t>
            </w:r>
            <w:r w:rsidRPr="00C95A6D">
              <w:rPr>
                <w:rFonts w:ascii="Arial Narrow" w:hAnsi="Arial Narrow"/>
                <w:i/>
              </w:rPr>
              <w:t>, 347</w:t>
            </w:r>
            <w:r w:rsidRPr="00C95A6D">
              <w:rPr>
                <w:rFonts w:ascii="Times New Roman" w:hAnsi="Times New Roman"/>
                <w:i/>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sz w:val="20"/>
                <w:szCs w:val="20"/>
              </w:rPr>
            </w:pPr>
            <w:r w:rsidRPr="00C95A6D">
              <w:rPr>
                <w:rFonts w:ascii="Arial Narrow" w:hAnsi="Arial Narrow"/>
                <w:i/>
              </w:rPr>
              <w:t>-</w:t>
            </w:r>
            <w:r>
              <w:rPr>
                <w:rFonts w:ascii="Arial Narrow" w:hAnsi="Arial Narrow"/>
                <w:i/>
              </w:rPr>
              <w:t>4 871</w:t>
            </w:r>
            <w:r w:rsidRPr="00C95A6D">
              <w:rPr>
                <w:rFonts w:ascii="Arial Narrow" w:hAnsi="Arial Narrow"/>
                <w:i/>
              </w:rPr>
              <w:t>, 347</w:t>
            </w:r>
            <w:r w:rsidRPr="00C95A6D">
              <w:rPr>
                <w:rFonts w:ascii="Times New Roman" w:hAnsi="Times New Roman"/>
                <w:i/>
                <w:sz w:val="20"/>
                <w:szCs w:val="20"/>
              </w:rPr>
              <w:t> </w:t>
            </w:r>
          </w:p>
        </w:tc>
        <w:tc>
          <w:tcPr>
            <w:tcW w:w="307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307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307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307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Obstarávanie kapitálových aktív (710)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307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307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3070" w:type="dxa"/>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sz w:val="20"/>
                <w:szCs w:val="20"/>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 </w:t>
            </w:r>
          </w:p>
        </w:tc>
        <w:tc>
          <w:tcPr>
            <w:tcW w:w="3070" w:type="dxa"/>
            <w:gridSpan w:val="2"/>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3070"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307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307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307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3070"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34147" w:rsidP="003740CE">
            <w:pPr>
              <w:pStyle w:val="NormalWeb"/>
              <w:bidi w:val="0"/>
              <w:spacing w:before="0" w:beforeAutospacing="0" w:after="0" w:afterAutospacing="0" w:line="240" w:lineRule="auto"/>
              <w:jc w:val="center"/>
              <w:rPr>
                <w:rFonts w:ascii="Times New Roman" w:hAnsi="Times New Roman"/>
              </w:rPr>
            </w:pPr>
          </w:p>
        </w:tc>
      </w:tr>
      <w:tr>
        <w:tblPrEx>
          <w:tblW w:w="14760" w:type="dxa"/>
          <w:tblInd w:w="-378" w:type="dxa"/>
          <w:tblLayout w:type="fixed"/>
          <w:tblCellMar>
            <w:left w:w="0" w:type="dxa"/>
            <w:right w:w="0" w:type="dxa"/>
          </w:tblCellMar>
        </w:tblPrEx>
        <w:tc>
          <w:tcPr>
            <w:tcW w:w="7070" w:type="dxa"/>
            <w:tcBorders>
              <w:top w:val="nil"/>
              <w:left w:val="nil"/>
              <w:bottom w:val="nil"/>
              <w:right w:val="nil"/>
            </w:tcBorders>
            <w:textDirection w:val="lrTb"/>
            <w:vAlign w:val="center"/>
          </w:tcPr>
          <w:p w:rsidR="00134147" w:rsidP="003740CE">
            <w:pPr>
              <w:bidi w:val="0"/>
              <w:rPr>
                <w:sz w:val="2"/>
              </w:rPr>
            </w:pPr>
          </w:p>
        </w:tc>
        <w:tc>
          <w:tcPr>
            <w:tcW w:w="1540" w:type="dxa"/>
            <w:tcBorders>
              <w:top w:val="nil"/>
              <w:left w:val="nil"/>
              <w:bottom w:val="nil"/>
              <w:right w:val="nil"/>
            </w:tcBorders>
            <w:textDirection w:val="lrTb"/>
            <w:vAlign w:val="center"/>
          </w:tcPr>
          <w:p w:rsidR="00134147" w:rsidP="003740CE">
            <w:pPr>
              <w:bidi w:val="0"/>
              <w:rPr>
                <w:sz w:val="2"/>
              </w:rPr>
            </w:pPr>
          </w:p>
        </w:tc>
        <w:tc>
          <w:tcPr>
            <w:tcW w:w="1540" w:type="dxa"/>
            <w:tcBorders>
              <w:top w:val="nil"/>
              <w:left w:val="nil"/>
              <w:bottom w:val="nil"/>
              <w:right w:val="nil"/>
            </w:tcBorders>
            <w:textDirection w:val="lrTb"/>
            <w:vAlign w:val="center"/>
          </w:tcPr>
          <w:p w:rsidR="00134147" w:rsidP="003740CE">
            <w:pPr>
              <w:bidi w:val="0"/>
              <w:rPr>
                <w:sz w:val="2"/>
              </w:rPr>
            </w:pPr>
          </w:p>
        </w:tc>
        <w:tc>
          <w:tcPr>
            <w:tcW w:w="1540" w:type="dxa"/>
            <w:tcBorders>
              <w:top w:val="nil"/>
              <w:left w:val="nil"/>
              <w:bottom w:val="nil"/>
              <w:right w:val="nil"/>
            </w:tcBorders>
            <w:textDirection w:val="lrTb"/>
            <w:vAlign w:val="center"/>
          </w:tcPr>
          <w:p w:rsidR="00134147" w:rsidP="003740CE">
            <w:pPr>
              <w:bidi w:val="0"/>
              <w:rPr>
                <w:sz w:val="2"/>
              </w:rPr>
            </w:pPr>
          </w:p>
        </w:tc>
        <w:tc>
          <w:tcPr>
            <w:tcW w:w="20" w:type="dxa"/>
            <w:tcBorders>
              <w:top w:val="nil"/>
              <w:left w:val="nil"/>
              <w:bottom w:val="nil"/>
              <w:right w:val="nil"/>
            </w:tcBorders>
            <w:textDirection w:val="lrTb"/>
            <w:vAlign w:val="center"/>
          </w:tcPr>
          <w:p w:rsidR="00134147" w:rsidP="003740CE">
            <w:pPr>
              <w:bidi w:val="0"/>
              <w:rPr>
                <w:sz w:val="2"/>
              </w:rPr>
            </w:pPr>
          </w:p>
        </w:tc>
        <w:tc>
          <w:tcPr>
            <w:tcW w:w="3050" w:type="dxa"/>
            <w:tcBorders>
              <w:top w:val="nil"/>
              <w:left w:val="nil"/>
              <w:bottom w:val="nil"/>
              <w:right w:val="nil"/>
            </w:tcBorders>
            <w:textDirection w:val="lrTb"/>
            <w:vAlign w:val="center"/>
          </w:tcPr>
          <w:p w:rsidR="00134147" w:rsidP="003740CE">
            <w:pPr>
              <w:bidi w:val="0"/>
              <w:rPr>
                <w:sz w:val="2"/>
              </w:rPr>
            </w:pPr>
          </w:p>
        </w:tc>
      </w:tr>
    </w:tbl>
    <w:p w:rsidR="00134147" w:rsidP="00134147">
      <w:pPr>
        <w:pStyle w:val="NormalWeb"/>
        <w:bidi w:val="0"/>
        <w:spacing w:before="0" w:beforeAutospacing="0" w:after="0" w:afterAutospacing="0"/>
        <w:jc w:val="both"/>
        <w:rPr>
          <w:rFonts w:ascii="Times New Roman" w:hAnsi="Times New Roman"/>
        </w:rPr>
      </w:pPr>
      <w:r>
        <w:rPr>
          <w:rFonts w:ascii="Times New Roman" w:hAnsi="Times New Roman"/>
          <w:sz w:val="20"/>
          <w:szCs w:val="20"/>
        </w:rPr>
        <w:t>2 –  výdavky rozpísať až do položiek platnej ekonomickej klasifikácie</w:t>
      </w:r>
    </w:p>
    <w:p w:rsidR="00134147" w:rsidP="00134147">
      <w:pPr>
        <w:pStyle w:val="NormalWeb"/>
        <w:bidi w:val="0"/>
        <w:spacing w:before="0" w:beforeAutospacing="0" w:after="0" w:afterAutospacing="0"/>
        <w:jc w:val="both"/>
        <w:rPr>
          <w:rFonts w:ascii="Times New Roman" w:hAnsi="Times New Roman"/>
          <w:sz w:val="20"/>
          <w:szCs w:val="20"/>
        </w:rPr>
      </w:pPr>
    </w:p>
    <w:p w:rsidR="00134147" w:rsidP="00134147">
      <w:pPr>
        <w:bidi w:val="0"/>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8B6232" w:rsidP="001A3FDA">
      <w:pPr>
        <w:bidi w:val="0"/>
        <w:spacing w:after="0" w:line="240" w:lineRule="auto"/>
        <w:ind w:firstLine="708"/>
        <w:jc w:val="both"/>
        <w:rPr>
          <w:rFonts w:ascii="Times New Roman" w:hAnsi="Times New Roman"/>
          <w:sz w:val="24"/>
          <w:szCs w:val="24"/>
        </w:rPr>
        <w:sectPr w:rsidSect="008B6232">
          <w:pgSz w:w="16838" w:h="11906" w:orient="landscape"/>
          <w:pgMar w:top="1418" w:right="1418" w:bottom="1418" w:left="1418" w:header="709" w:footer="709" w:gutter="0"/>
          <w:lnNumType w:distance="0"/>
          <w:cols w:space="708"/>
          <w:noEndnote w:val="0"/>
          <w:bidi w:val="0"/>
          <w:docGrid w:linePitch="360"/>
        </w:sectPr>
      </w:pPr>
    </w:p>
    <w:p w:rsidR="008B6232" w:rsidRPr="00CD630F" w:rsidP="008B6232">
      <w:pPr>
        <w:bidi w:val="0"/>
        <w:spacing w:after="0" w:line="240" w:lineRule="auto"/>
        <w:rPr>
          <w:rFonts w:ascii="Times New Roman" w:hAnsi="Times New Roman"/>
          <w:sz w:val="24"/>
          <w:szCs w:val="24"/>
        </w:rPr>
      </w:pPr>
      <w:r w:rsidRPr="00CD630F">
        <w:rPr>
          <w:rFonts w:ascii="Times New Roman" w:hAnsi="Times New Roman"/>
          <w:sz w:val="24"/>
          <w:szCs w:val="24"/>
        </w:rPr>
        <w:t>II. Osobitná časť</w:t>
      </w:r>
    </w:p>
    <w:p w:rsidR="008B6232" w:rsidRPr="00CD630F" w:rsidP="008B6232">
      <w:pPr>
        <w:bidi w:val="0"/>
        <w:spacing w:after="0" w:line="240" w:lineRule="auto"/>
        <w:rPr>
          <w:rFonts w:ascii="Times New Roman" w:hAnsi="Times New Roman"/>
          <w:sz w:val="24"/>
          <w:szCs w:val="24"/>
        </w:rPr>
      </w:pPr>
    </w:p>
    <w:p w:rsidR="008B6232" w:rsidRPr="00CD630F" w:rsidP="008B6232">
      <w:pPr>
        <w:bidi w:val="0"/>
        <w:spacing w:after="0" w:line="240" w:lineRule="auto"/>
        <w:rPr>
          <w:rFonts w:ascii="Times New Roman" w:hAnsi="Times New Roman"/>
          <w:b/>
          <w:sz w:val="24"/>
          <w:szCs w:val="24"/>
        </w:rPr>
      </w:pPr>
      <w:r w:rsidRPr="00CD630F">
        <w:rPr>
          <w:rFonts w:ascii="Times New Roman" w:hAnsi="Times New Roman"/>
          <w:b/>
          <w:sz w:val="24"/>
          <w:szCs w:val="24"/>
        </w:rPr>
        <w:t xml:space="preserve">K Čl. I </w:t>
      </w:r>
    </w:p>
    <w:p w:rsidR="008B6232" w:rsidRPr="00CD630F" w:rsidP="008B6232">
      <w:pPr>
        <w:bidi w:val="0"/>
        <w:spacing w:after="0" w:line="240" w:lineRule="auto"/>
        <w:rPr>
          <w:rFonts w:ascii="Times New Roman" w:hAnsi="Times New Roman"/>
          <w:b/>
          <w:sz w:val="24"/>
          <w:szCs w:val="24"/>
        </w:rPr>
      </w:pPr>
    </w:p>
    <w:p w:rsidR="008B6232" w:rsidRPr="00CD630F" w:rsidP="008B6232">
      <w:pPr>
        <w:bidi w:val="0"/>
        <w:spacing w:after="0" w:line="240" w:lineRule="auto"/>
        <w:rPr>
          <w:rFonts w:ascii="Times New Roman" w:hAnsi="Times New Roman"/>
          <w:sz w:val="24"/>
          <w:szCs w:val="24"/>
        </w:rPr>
      </w:pPr>
      <w:r w:rsidRPr="00CD630F">
        <w:rPr>
          <w:rFonts w:ascii="Times New Roman" w:hAnsi="Times New Roman"/>
          <w:sz w:val="24"/>
          <w:szCs w:val="24"/>
        </w:rPr>
        <w:t>K § 1</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 xml:space="preserve">       Ustanovuje sa zrušenie kolkových známok. </w:t>
      </w:r>
    </w:p>
    <w:p w:rsidR="008B6232" w:rsidRPr="00CD630F" w:rsidP="008B6232">
      <w:pPr>
        <w:bidi w:val="0"/>
        <w:spacing w:after="0" w:line="240" w:lineRule="auto"/>
        <w:ind w:firstLine="708"/>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 2</w:t>
      </w:r>
    </w:p>
    <w:p w:rsidR="008B6232" w:rsidRPr="00EF52DC" w:rsidP="008B6232">
      <w:pPr>
        <w:bidi w:val="0"/>
        <w:spacing w:after="0" w:line="240" w:lineRule="auto"/>
        <w:ind w:firstLine="708"/>
        <w:jc w:val="both"/>
        <w:rPr>
          <w:rFonts w:ascii="Times New Roman" w:hAnsi="Times New Roman"/>
          <w:sz w:val="24"/>
          <w:szCs w:val="24"/>
        </w:rPr>
      </w:pPr>
      <w:r w:rsidRPr="00EF52DC">
        <w:rPr>
          <w:rFonts w:ascii="Times New Roman" w:hAnsi="Times New Roman"/>
          <w:sz w:val="24"/>
          <w:szCs w:val="24"/>
        </w:rPr>
        <w:t xml:space="preserve">V navrhovanom ustanovení sa upravujú skutočnosti súvisiace so zrušením kolkových známok.  Ustanovuje sa v prvom rade dátum zrušenia kolkových známok, ktorým je 1. </w:t>
      </w:r>
      <w:r>
        <w:rPr>
          <w:rFonts w:ascii="Times New Roman" w:hAnsi="Times New Roman"/>
          <w:sz w:val="24"/>
          <w:szCs w:val="24"/>
        </w:rPr>
        <w:t>január 2013</w:t>
      </w:r>
      <w:r w:rsidRPr="00EF52DC">
        <w:rPr>
          <w:rFonts w:ascii="Times New Roman" w:hAnsi="Times New Roman"/>
          <w:sz w:val="24"/>
          <w:szCs w:val="24"/>
        </w:rPr>
        <w:t xml:space="preserve"> s tým, že do konca </w:t>
      </w:r>
      <w:r>
        <w:rPr>
          <w:rFonts w:ascii="Times New Roman" w:hAnsi="Times New Roman"/>
          <w:sz w:val="24"/>
          <w:szCs w:val="24"/>
        </w:rPr>
        <w:t>septembra</w:t>
      </w:r>
      <w:r w:rsidRPr="00EF52DC">
        <w:rPr>
          <w:rFonts w:ascii="Times New Roman" w:hAnsi="Times New Roman"/>
          <w:sz w:val="24"/>
          <w:szCs w:val="24"/>
        </w:rPr>
        <w:t xml:space="preserve"> 201</w:t>
      </w:r>
      <w:r>
        <w:rPr>
          <w:rFonts w:ascii="Times New Roman" w:hAnsi="Times New Roman"/>
          <w:sz w:val="24"/>
          <w:szCs w:val="24"/>
        </w:rPr>
        <w:t>3</w:t>
      </w:r>
      <w:r w:rsidRPr="00EF52DC">
        <w:rPr>
          <w:rFonts w:ascii="Times New Roman" w:hAnsi="Times New Roman"/>
          <w:sz w:val="24"/>
          <w:szCs w:val="24"/>
        </w:rPr>
        <w:t xml:space="preserve"> bude možnosť ich použiť na podaniach na správnych orgánoch a súdoch, orgánoch štátnej správy súdov a prokuratúre alebo ich bude možn</w:t>
      </w:r>
      <w:r>
        <w:rPr>
          <w:rFonts w:ascii="Times New Roman" w:hAnsi="Times New Roman"/>
          <w:sz w:val="24"/>
          <w:szCs w:val="24"/>
        </w:rPr>
        <w:t xml:space="preserve">é vrátiť prostredníctvom pošty. </w:t>
      </w:r>
      <w:r w:rsidRPr="00EF52DC">
        <w:rPr>
          <w:rFonts w:ascii="Times New Roman" w:hAnsi="Times New Roman"/>
          <w:sz w:val="24"/>
          <w:szCs w:val="24"/>
        </w:rPr>
        <w:t xml:space="preserve">Vrátenie neplatných kolkových známok sa predlžuje až do konca </w:t>
      </w:r>
      <w:r>
        <w:rPr>
          <w:rFonts w:ascii="Times New Roman" w:hAnsi="Times New Roman"/>
          <w:sz w:val="24"/>
          <w:szCs w:val="24"/>
        </w:rPr>
        <w:t>decembr</w:t>
      </w:r>
      <w:r w:rsidRPr="00EF52DC">
        <w:rPr>
          <w:rFonts w:ascii="Times New Roman" w:hAnsi="Times New Roman"/>
          <w:sz w:val="24"/>
          <w:szCs w:val="24"/>
        </w:rPr>
        <w:t xml:space="preserve">a 2013. Pošta, po overení ich pravosti zašle žiadateľovi sumu vrátených kolkových známok, ktorá predstavuje súčet ich nominálnych hodnôt. </w:t>
      </w:r>
    </w:p>
    <w:p w:rsidR="008B6232" w:rsidRPr="00EF52DC" w:rsidP="008B6232">
      <w:pPr>
        <w:bidi w:val="0"/>
        <w:spacing w:after="0" w:line="240" w:lineRule="auto"/>
        <w:ind w:firstLine="708"/>
        <w:jc w:val="both"/>
        <w:rPr>
          <w:rFonts w:ascii="Times New Roman" w:hAnsi="Times New Roman"/>
          <w:sz w:val="24"/>
          <w:szCs w:val="24"/>
        </w:rPr>
      </w:pPr>
      <w:r>
        <w:rPr>
          <w:rFonts w:ascii="Times New Roman" w:hAnsi="Times New Roman"/>
          <w:sz w:val="24"/>
          <w:szCs w:val="24"/>
        </w:rPr>
        <w:t>Vráten</w:t>
      </w:r>
      <w:r w:rsidRPr="00EF52DC">
        <w:rPr>
          <w:rFonts w:ascii="Times New Roman" w:hAnsi="Times New Roman"/>
          <w:sz w:val="24"/>
          <w:szCs w:val="24"/>
        </w:rPr>
        <w:t>ie kolkových známok podľa predloženého návrhu bude realizovať pošta za odmenu, ktorú zmluvne  dohodne Ministerstvo financií SR so Slovenskou poštou, a.s.</w:t>
      </w:r>
      <w:r>
        <w:rPr>
          <w:rFonts w:ascii="Times New Roman" w:hAnsi="Times New Roman"/>
          <w:sz w:val="24"/>
          <w:szCs w:val="24"/>
        </w:rPr>
        <w:t>,</w:t>
      </w:r>
      <w:r w:rsidRPr="00EF52DC">
        <w:rPr>
          <w:rFonts w:ascii="Times New Roman" w:hAnsi="Times New Roman"/>
          <w:sz w:val="24"/>
          <w:szCs w:val="24"/>
        </w:rPr>
        <w:t xml:space="preserve"> Banská Bystrica. V zmluve sa dohodnú aj ďalšie podmienky, práva a povinnosti zmluvných strán pri </w:t>
      </w:r>
      <w:r>
        <w:rPr>
          <w:rFonts w:ascii="Times New Roman" w:hAnsi="Times New Roman"/>
          <w:sz w:val="24"/>
          <w:szCs w:val="24"/>
        </w:rPr>
        <w:t>vráte</w:t>
      </w:r>
      <w:r w:rsidRPr="00EF52DC">
        <w:rPr>
          <w:rFonts w:ascii="Times New Roman" w:hAnsi="Times New Roman"/>
          <w:sz w:val="24"/>
          <w:szCs w:val="24"/>
        </w:rPr>
        <w:t xml:space="preserve">ní neplatných kolkových známok. </w:t>
      </w:r>
    </w:p>
    <w:p w:rsidR="008B6232" w:rsidRPr="00EF52DC" w:rsidP="008B6232">
      <w:pPr>
        <w:bidi w:val="0"/>
        <w:spacing w:after="0" w:line="240" w:lineRule="auto"/>
        <w:ind w:firstLine="708"/>
        <w:jc w:val="both"/>
        <w:rPr>
          <w:rFonts w:ascii="Times New Roman" w:hAnsi="Times New Roman"/>
          <w:sz w:val="24"/>
          <w:szCs w:val="24"/>
        </w:rPr>
      </w:pPr>
      <w:r w:rsidRPr="00EF52DC">
        <w:rPr>
          <w:rFonts w:ascii="Times New Roman" w:hAnsi="Times New Roman"/>
          <w:sz w:val="24"/>
          <w:szCs w:val="24"/>
        </w:rPr>
        <w:t xml:space="preserve">Osobitne sa tiež navrhuje upraviť nakladanie s neplatnými kolkovými známkami v tlačiarni, na poštách i na príslušných orgánoch, ktoré predávali kolkové známky. Zavádza sa povinnosť pre všetky uvedené subjekty vyhotoviť písomné informácie alebo protokoly  o stave zásob kolkových známok, o počte uskladnených poškodených a zničených kolkových známok a ich nominálnych hodnotách, o množstve a hodnote vrátených kolkových známok k dátumu ich zrušenia. </w:t>
      </w:r>
    </w:p>
    <w:p w:rsidR="008B6232" w:rsidRPr="00EF52DC" w:rsidP="008B6232">
      <w:pPr>
        <w:bidi w:val="0"/>
        <w:spacing w:after="0" w:line="240" w:lineRule="auto"/>
        <w:ind w:firstLine="708"/>
        <w:jc w:val="both"/>
        <w:rPr>
          <w:rFonts w:ascii="Times New Roman" w:hAnsi="Times New Roman"/>
          <w:sz w:val="24"/>
          <w:szCs w:val="24"/>
        </w:rPr>
      </w:pPr>
      <w:r w:rsidRPr="00EF52DC">
        <w:rPr>
          <w:rFonts w:ascii="Times New Roman" w:hAnsi="Times New Roman"/>
          <w:sz w:val="24"/>
          <w:szCs w:val="24"/>
        </w:rPr>
        <w:t>Upravuje sa tiež povinnosť pre tlačiareň odovzdať Ministerstvu financií SR</w:t>
      </w:r>
      <w:r>
        <w:rPr>
          <w:rFonts w:ascii="Times New Roman" w:hAnsi="Times New Roman"/>
          <w:sz w:val="24"/>
          <w:szCs w:val="24"/>
        </w:rPr>
        <w:t xml:space="preserve">, </w:t>
      </w:r>
      <w:r w:rsidRPr="007D1DDC">
        <w:rPr>
          <w:rFonts w:ascii="Times New Roman" w:hAnsi="Times New Roman"/>
          <w:color w:val="000000" w:themeColor="tx1" w:themeShade="FF"/>
          <w:sz w:val="24"/>
          <w:szCs w:val="24"/>
        </w:rPr>
        <w:t>hmotný nosič s trvale uloženými digitálnymi dátami,</w:t>
      </w:r>
      <w:r w:rsidRPr="00EF52DC">
        <w:rPr>
          <w:rFonts w:ascii="Times New Roman" w:hAnsi="Times New Roman"/>
          <w:sz w:val="24"/>
          <w:szCs w:val="24"/>
        </w:rPr>
        <w:t xml:space="preserve"> námetové riešenia, výtvarné návrh</w:t>
      </w:r>
      <w:r>
        <w:rPr>
          <w:rFonts w:ascii="Times New Roman" w:hAnsi="Times New Roman"/>
          <w:sz w:val="24"/>
          <w:szCs w:val="24"/>
        </w:rPr>
        <w:t>y</w:t>
      </w:r>
      <w:r w:rsidRPr="00EF52DC">
        <w:rPr>
          <w:rFonts w:ascii="Times New Roman" w:hAnsi="Times New Roman"/>
          <w:sz w:val="24"/>
          <w:szCs w:val="24"/>
        </w:rPr>
        <w:t xml:space="preserve"> a tlačové podoby kolkových známok. </w:t>
      </w:r>
    </w:p>
    <w:p w:rsidR="008B6232" w:rsidRPr="00EF52DC" w:rsidP="008B6232">
      <w:pPr>
        <w:bidi w:val="0"/>
        <w:spacing w:after="0" w:line="240" w:lineRule="auto"/>
        <w:ind w:firstLine="708"/>
        <w:jc w:val="both"/>
        <w:rPr>
          <w:rFonts w:ascii="Times New Roman" w:hAnsi="Times New Roman"/>
          <w:sz w:val="24"/>
          <w:szCs w:val="24"/>
        </w:rPr>
      </w:pPr>
      <w:r w:rsidRPr="00EF52DC">
        <w:rPr>
          <w:rFonts w:ascii="Times New Roman" w:hAnsi="Times New Roman"/>
          <w:sz w:val="24"/>
          <w:szCs w:val="24"/>
        </w:rPr>
        <w:t xml:space="preserve">Aj v súvislosti s likvidáciou neplatných kolkových známok sa ukladá povinnosť pre </w:t>
      </w:r>
      <w:r>
        <w:rPr>
          <w:rFonts w:ascii="Times New Roman" w:hAnsi="Times New Roman"/>
          <w:sz w:val="24"/>
          <w:szCs w:val="24"/>
        </w:rPr>
        <w:t>ministra</w:t>
      </w:r>
      <w:r w:rsidRPr="00EF52DC">
        <w:rPr>
          <w:rFonts w:ascii="Times New Roman" w:hAnsi="Times New Roman"/>
          <w:sz w:val="24"/>
          <w:szCs w:val="24"/>
        </w:rPr>
        <w:t xml:space="preserve"> financií SR zriadiť komisiu, ktorá o likvidácii vyhotoví úradný záznam. </w:t>
      </w:r>
    </w:p>
    <w:p w:rsidR="008B6232" w:rsidRPr="00EF52DC" w:rsidP="008B6232">
      <w:pPr>
        <w:bidi w:val="0"/>
        <w:spacing w:after="0" w:line="240" w:lineRule="auto"/>
        <w:ind w:firstLine="708"/>
        <w:jc w:val="both"/>
        <w:rPr>
          <w:rFonts w:ascii="Times New Roman" w:hAnsi="Times New Roman"/>
          <w:sz w:val="24"/>
          <w:szCs w:val="24"/>
        </w:rPr>
      </w:pPr>
      <w:r w:rsidRPr="00EF52DC">
        <w:rPr>
          <w:rFonts w:ascii="Times New Roman" w:hAnsi="Times New Roman"/>
          <w:sz w:val="24"/>
          <w:szCs w:val="24"/>
        </w:rPr>
        <w:t xml:space="preserve">V navrhovanom ustanovení sa ďalej upravuje postup v konaniach začatých a neukončených vo veci kolkových známok do 31. </w:t>
      </w:r>
      <w:r>
        <w:rPr>
          <w:rFonts w:ascii="Times New Roman" w:hAnsi="Times New Roman"/>
          <w:sz w:val="24"/>
          <w:szCs w:val="24"/>
        </w:rPr>
        <w:t>decembr</w:t>
      </w:r>
      <w:r w:rsidRPr="00EF52DC">
        <w:rPr>
          <w:rFonts w:ascii="Times New Roman" w:hAnsi="Times New Roman"/>
          <w:sz w:val="24"/>
          <w:szCs w:val="24"/>
        </w:rPr>
        <w:t xml:space="preserve">a 2012. Ide napríklad o výmenu poškodených kolkových známok, o uloženie pokuty, o odkúpenie kolkových známok, o dokončenie vládneho auditu a o nakladanie s falošnými kolkovými známkami.  </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 3</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 xml:space="preserve">        V navrhovanom ustanovení sa z dôvodu zrušenia kolkových známok ruší článok I zákona a vyhláška Ministerstva financií SR, ktoré upravovali oblasť kolkových známok. </w:t>
      </w:r>
    </w:p>
    <w:p w:rsidR="008B6232" w:rsidRPr="00CD630F" w:rsidP="008B6232">
      <w:pPr>
        <w:bidi w:val="0"/>
        <w:spacing w:after="0" w:line="240" w:lineRule="auto"/>
        <w:jc w:val="both"/>
        <w:rPr>
          <w:rFonts w:ascii="Times New Roman" w:hAnsi="Times New Roman"/>
          <w:sz w:val="24"/>
          <w:szCs w:val="24"/>
        </w:rPr>
      </w:pPr>
    </w:p>
    <w:p w:rsidR="008B6232" w:rsidRPr="00CD630F" w:rsidP="008B6232">
      <w:pPr>
        <w:pStyle w:val="ListParagraph"/>
        <w:bidi w:val="0"/>
        <w:spacing w:after="0" w:line="240" w:lineRule="auto"/>
        <w:ind w:left="1965"/>
        <w:jc w:val="both"/>
        <w:rPr>
          <w:rFonts w:ascii="Times New Roman" w:hAnsi="Times New Roman"/>
          <w:sz w:val="24"/>
          <w:szCs w:val="24"/>
        </w:rPr>
      </w:pPr>
    </w:p>
    <w:p w:rsidR="008B6232" w:rsidRPr="00CD630F" w:rsidP="008B6232">
      <w:pPr>
        <w:bidi w:val="0"/>
        <w:spacing w:after="0" w:line="240" w:lineRule="auto"/>
        <w:rPr>
          <w:rFonts w:ascii="Times New Roman" w:hAnsi="Times New Roman"/>
          <w:b/>
          <w:sz w:val="24"/>
          <w:szCs w:val="24"/>
        </w:rPr>
      </w:pPr>
      <w:r w:rsidRPr="00CD630F">
        <w:rPr>
          <w:rFonts w:ascii="Times New Roman" w:hAnsi="Times New Roman"/>
          <w:b/>
          <w:sz w:val="24"/>
          <w:szCs w:val="24"/>
        </w:rPr>
        <w:t>K Čl. II</w:t>
      </w:r>
    </w:p>
    <w:p w:rsidR="008B6232" w:rsidRPr="00CD630F" w:rsidP="008B6232">
      <w:pPr>
        <w:pStyle w:val="ListParagraph"/>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bodu 1</w:t>
      </w:r>
    </w:p>
    <w:p w:rsidR="008B6232" w:rsidRPr="00CD630F" w:rsidP="008B6232">
      <w:pPr>
        <w:bidi w:val="0"/>
        <w:spacing w:after="0" w:line="240" w:lineRule="auto"/>
        <w:ind w:firstLine="708"/>
        <w:jc w:val="both"/>
        <w:rPr>
          <w:rFonts w:ascii="Times New Roman" w:hAnsi="Times New Roman"/>
          <w:sz w:val="24"/>
          <w:szCs w:val="24"/>
        </w:rPr>
      </w:pPr>
      <w:r w:rsidRPr="00CD630F">
        <w:rPr>
          <w:rFonts w:ascii="Times New Roman" w:hAnsi="Times New Roman"/>
          <w:sz w:val="24"/>
          <w:szCs w:val="24"/>
        </w:rPr>
        <w:t>Z dôvodu zrušenia kolkových známok sa z ustanovenia o platení súdneho poplatku vypúšťa táto možnosť a pre súdy a prokuratúru sa zavádza nová forma platenia poplatku a to platobnou kartou priamo na príslušnom orgáne</w:t>
      </w:r>
      <w:r>
        <w:rPr>
          <w:rFonts w:ascii="Times New Roman" w:hAnsi="Times New Roman"/>
          <w:sz w:val="24"/>
          <w:szCs w:val="24"/>
        </w:rPr>
        <w:t>, ak poplatok v jednotlivom prípade prevyšuje 100 eur</w:t>
      </w:r>
      <w:r w:rsidRPr="00CD630F">
        <w:rPr>
          <w:rFonts w:ascii="Times New Roman" w:hAnsi="Times New Roman"/>
          <w:sz w:val="24"/>
          <w:szCs w:val="24"/>
        </w:rPr>
        <w:t>. Do budúcnosti sa navrhuje aj spôsob platenia poplatkov prostredníctvom krátkej textovej správy (SMS), ak budú vytvorené technické podmienky na prijímanie platieb týmto spôsobom. Zároveň sa ustanovuje povinnosť prijať platbu súdneho poplatku v hotovosti do sumy 300 eur, pričom sa naďalej ponecháva výnimka pre platenie poplatku vo veciach obchodného registra v hotovosti aj nad túto sumu.</w:t>
      </w:r>
    </w:p>
    <w:p w:rsidR="008B6232" w:rsidRPr="00CD630F" w:rsidP="008B6232">
      <w:pPr>
        <w:bidi w:val="0"/>
        <w:spacing w:after="0" w:line="240" w:lineRule="auto"/>
        <w:ind w:firstLine="708"/>
        <w:jc w:val="both"/>
        <w:rPr>
          <w:rFonts w:ascii="Times New Roman" w:hAnsi="Times New Roman"/>
          <w:sz w:val="24"/>
          <w:szCs w:val="24"/>
        </w:rPr>
      </w:pPr>
      <w:r w:rsidRPr="00CD630F">
        <w:rPr>
          <w:rFonts w:ascii="Times New Roman" w:hAnsi="Times New Roman"/>
          <w:sz w:val="24"/>
          <w:szCs w:val="24"/>
        </w:rPr>
        <w:t>Nadväzne na zrušenie kolkových známok sa vypúšťa aj poznámka pod čiarou odkazujúca na zákon č. 264/2008 Z. z. o kolkových známkach a o zmene a doplnení niektorých zákonov. Ide o legislatívno-technickú úpravu nadväzujúcu na zmeny v bode 1.</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bodom 2 a 3</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 xml:space="preserve"> V ustanovení o vrátení súdneho poplatku sa zaokrúhľuje najnižšia sumu preplatku, ktorá sa môže vrátiť a suma, o ktorú sa môže krátiť vrátený súdny poplatok. </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bodu 4</w:t>
      </w:r>
    </w:p>
    <w:p w:rsidR="008B6232" w:rsidRPr="00CD630F" w:rsidP="008B6232">
      <w:pPr>
        <w:bidi w:val="0"/>
        <w:spacing w:after="0" w:line="240" w:lineRule="auto"/>
        <w:ind w:firstLine="708"/>
        <w:jc w:val="both"/>
        <w:rPr>
          <w:rFonts w:ascii="Times New Roman" w:hAnsi="Times New Roman"/>
          <w:sz w:val="24"/>
          <w:szCs w:val="24"/>
        </w:rPr>
      </w:pPr>
      <w:r w:rsidRPr="00CD630F">
        <w:rPr>
          <w:rFonts w:ascii="Times New Roman" w:hAnsi="Times New Roman"/>
          <w:color w:val="000000"/>
          <w:sz w:val="24"/>
          <w:szCs w:val="24"/>
        </w:rPr>
        <w:t>Navrhuje sa doplniť</w:t>
      </w:r>
      <w:r w:rsidRPr="00CD630F">
        <w:rPr>
          <w:rFonts w:ascii="Times New Roman" w:hAnsi="Times New Roman"/>
          <w:bCs/>
          <w:sz w:val="24"/>
          <w:szCs w:val="24"/>
        </w:rPr>
        <w:t xml:space="preserve">  do ustanovenia o vrátení súdneho poplatku, v akej lehote má </w:t>
      </w:r>
      <w:r w:rsidRPr="007D1DDC">
        <w:rPr>
          <w:rFonts w:ascii="Times New Roman" w:hAnsi="Times New Roman"/>
          <w:bCs/>
          <w:color w:val="000000" w:themeColor="tx1" w:themeShade="FF"/>
          <w:sz w:val="24"/>
          <w:szCs w:val="24"/>
        </w:rPr>
        <w:t>finančný</w:t>
      </w:r>
      <w:r w:rsidRPr="00CD630F">
        <w:rPr>
          <w:rFonts w:ascii="Times New Roman" w:hAnsi="Times New Roman"/>
          <w:bCs/>
          <w:sz w:val="24"/>
          <w:szCs w:val="24"/>
        </w:rPr>
        <w:t xml:space="preserve"> úrad vrátiť súdny poplatok na základe právoplatného rozhodnutia. </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bodu 5</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Nadväzne na zrušenie kolkových známok sa upravuje aj osobitné ustanovenie o platení súdneho poplatku prostredníctvom jednotného kontaktného miesta pri podaní návrhu na zápis do Obchodného registra a namiesto kolkovej známky sa dopĺňa možnosť využiť platenie poplatku platobnou kartou.</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bodu 6</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Ide o legislatívno-technickú úpravu.</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bodu 7</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V ustanovení o rozpočtovom určení sa navrhuje spresniť spôsob a lehotu odvádzania súdnych poplatkov do štátneho rozpočtu, vybraných obvodnými úradmi, ktoré plnia funkciu jednotného kontaktného miesta pri podaní návrhu na zápis do obchodného registra.</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bodu 8</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 xml:space="preserve">V prechodnom ustanovení sa navrhuje zaviesť možnosť platenia súdnych poplatkov po 1. </w:t>
      </w:r>
      <w:r>
        <w:rPr>
          <w:rFonts w:ascii="Times New Roman" w:hAnsi="Times New Roman"/>
          <w:sz w:val="24"/>
          <w:szCs w:val="24"/>
        </w:rPr>
        <w:t xml:space="preserve">januári </w:t>
      </w:r>
      <w:r w:rsidRPr="00CD630F">
        <w:rPr>
          <w:rFonts w:ascii="Times New Roman" w:hAnsi="Times New Roman"/>
          <w:sz w:val="24"/>
          <w:szCs w:val="24"/>
        </w:rPr>
        <w:t>201</w:t>
      </w:r>
      <w:r>
        <w:rPr>
          <w:rFonts w:ascii="Times New Roman" w:hAnsi="Times New Roman"/>
          <w:sz w:val="24"/>
          <w:szCs w:val="24"/>
        </w:rPr>
        <w:t>3</w:t>
      </w:r>
      <w:r w:rsidRPr="00CD630F">
        <w:rPr>
          <w:rFonts w:ascii="Times New Roman" w:hAnsi="Times New Roman"/>
          <w:sz w:val="24"/>
          <w:szCs w:val="24"/>
        </w:rPr>
        <w:t xml:space="preserve"> kolkovými známkami až do konca </w:t>
      </w:r>
      <w:r>
        <w:rPr>
          <w:rFonts w:ascii="Times New Roman" w:hAnsi="Times New Roman"/>
          <w:sz w:val="24"/>
          <w:szCs w:val="24"/>
        </w:rPr>
        <w:t>septembra</w:t>
      </w:r>
      <w:r w:rsidRPr="00CD630F">
        <w:rPr>
          <w:rFonts w:ascii="Times New Roman" w:hAnsi="Times New Roman"/>
          <w:sz w:val="24"/>
          <w:szCs w:val="24"/>
        </w:rPr>
        <w:t xml:space="preserve"> 201</w:t>
      </w:r>
      <w:r>
        <w:rPr>
          <w:rFonts w:ascii="Times New Roman" w:hAnsi="Times New Roman"/>
          <w:sz w:val="24"/>
          <w:szCs w:val="24"/>
        </w:rPr>
        <w:t>3</w:t>
      </w:r>
      <w:r w:rsidRPr="00CD630F">
        <w:rPr>
          <w:rFonts w:ascii="Times New Roman" w:hAnsi="Times New Roman"/>
          <w:sz w:val="24"/>
          <w:szCs w:val="24"/>
        </w:rPr>
        <w:t xml:space="preserve">, ak poplatník má kolkové známky k dispozícii. </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rPr>
          <w:rFonts w:ascii="Times New Roman" w:hAnsi="Times New Roman"/>
          <w:b/>
          <w:sz w:val="24"/>
          <w:szCs w:val="24"/>
        </w:rPr>
      </w:pPr>
      <w:r w:rsidRPr="00CD630F">
        <w:rPr>
          <w:rFonts w:ascii="Times New Roman" w:hAnsi="Times New Roman"/>
          <w:b/>
          <w:sz w:val="24"/>
          <w:szCs w:val="24"/>
        </w:rPr>
        <w:t xml:space="preserve">K Čl. III </w:t>
      </w:r>
    </w:p>
    <w:p w:rsidR="008B6232" w:rsidRPr="00CD630F" w:rsidP="008B6232">
      <w:pPr>
        <w:bidi w:val="0"/>
        <w:spacing w:after="0" w:line="240" w:lineRule="auto"/>
        <w:rPr>
          <w:rFonts w:ascii="Times New Roman" w:hAnsi="Times New Roman"/>
          <w:b/>
          <w:sz w:val="24"/>
          <w:szCs w:val="24"/>
        </w:rPr>
      </w:pPr>
    </w:p>
    <w:p w:rsidR="008B6232" w:rsidRPr="00CD630F" w:rsidP="008B6232">
      <w:pPr>
        <w:bidi w:val="0"/>
        <w:spacing w:after="0" w:line="240" w:lineRule="auto"/>
        <w:rPr>
          <w:rFonts w:ascii="Times New Roman" w:hAnsi="Times New Roman"/>
          <w:sz w:val="24"/>
          <w:szCs w:val="24"/>
        </w:rPr>
      </w:pPr>
      <w:r w:rsidRPr="00CD630F">
        <w:rPr>
          <w:rFonts w:ascii="Times New Roman" w:hAnsi="Times New Roman"/>
          <w:sz w:val="24"/>
          <w:szCs w:val="24"/>
        </w:rPr>
        <w:t>K bodu 1</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 xml:space="preserve">V ustanovení sa navrhuje rozšíriť oslobodenie od platenia správnych poplatkov pre orgány činné v trestnom konaní. </w:t>
      </w:r>
    </w:p>
    <w:p w:rsidR="008B6232" w:rsidRPr="00CD630F" w:rsidP="008B6232">
      <w:pPr>
        <w:bidi w:val="0"/>
        <w:spacing w:after="0" w:line="240" w:lineRule="auto"/>
        <w:rPr>
          <w:rFonts w:ascii="Times New Roman" w:hAnsi="Times New Roman"/>
          <w:sz w:val="24"/>
          <w:szCs w:val="24"/>
        </w:rPr>
      </w:pPr>
    </w:p>
    <w:p w:rsidR="008B6232" w:rsidRPr="00CD630F" w:rsidP="008B6232">
      <w:pPr>
        <w:bidi w:val="0"/>
        <w:spacing w:after="0" w:line="240" w:lineRule="auto"/>
        <w:rPr>
          <w:rFonts w:ascii="Times New Roman" w:hAnsi="Times New Roman"/>
          <w:sz w:val="24"/>
          <w:szCs w:val="24"/>
        </w:rPr>
      </w:pPr>
      <w:r w:rsidRPr="00CD630F">
        <w:rPr>
          <w:rFonts w:ascii="Times New Roman" w:hAnsi="Times New Roman"/>
          <w:sz w:val="24"/>
          <w:szCs w:val="24"/>
        </w:rPr>
        <w:t>K bodu 2</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Z dôvodu zrušenia kolkových známok sa upravuje ustanovenie o platení správneho poplatku a zavádza sa nový spôsob platenia a to platobnou kartou</w:t>
      </w:r>
      <w:r>
        <w:rPr>
          <w:rFonts w:ascii="Times New Roman" w:hAnsi="Times New Roman"/>
          <w:sz w:val="24"/>
          <w:szCs w:val="24"/>
        </w:rPr>
        <w:t>,</w:t>
      </w:r>
      <w:r w:rsidRPr="00CF046B">
        <w:rPr>
          <w:rFonts w:ascii="Times New Roman" w:hAnsi="Times New Roman"/>
          <w:sz w:val="24"/>
          <w:szCs w:val="24"/>
        </w:rPr>
        <w:t xml:space="preserve"> </w:t>
      </w:r>
      <w:r>
        <w:rPr>
          <w:rFonts w:ascii="Times New Roman" w:hAnsi="Times New Roman"/>
          <w:sz w:val="24"/>
          <w:szCs w:val="24"/>
        </w:rPr>
        <w:t>ak suma poplatku v jednotlivom prípade prevyšuje 100 eur</w:t>
      </w:r>
      <w:r w:rsidRPr="00CD630F">
        <w:rPr>
          <w:rFonts w:ascii="Times New Roman" w:hAnsi="Times New Roman"/>
          <w:sz w:val="24"/>
          <w:szCs w:val="24"/>
        </w:rPr>
        <w:t xml:space="preserve">. priamo na príslušnom správnom orgáne. Platba správneho poplatku formou krátkej textovej správy (SMS) sa navrhuje ako ďalšia možnosť do budúcnosti, ak budú vytvorené technické predpoklady. Súčasne sa ustanovuje povinnosť pre správne orgány prijať platbu správneho poplatku v hotovosti a to do sumy 300 eur.   </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Nadväzne na zrušenie kolkových známok sa vypúšťa aj poznámka pod čiarou odkazujúca na zákon č. 264/2008 Z. z. o kolkových známkach a o zmene a doplnení niektorých zákonov. Ide o legislatívno-technickú úpravu.</w:t>
      </w:r>
    </w:p>
    <w:p w:rsidR="008B6232" w:rsidRPr="00CD630F" w:rsidP="008B6232">
      <w:pPr>
        <w:bidi w:val="0"/>
        <w:spacing w:after="0" w:line="240" w:lineRule="auto"/>
        <w:jc w:val="both"/>
        <w:rPr>
          <w:rFonts w:ascii="Times New Roman" w:hAnsi="Times New Roman"/>
          <w:sz w:val="24"/>
          <w:szCs w:val="24"/>
        </w:rPr>
      </w:pPr>
    </w:p>
    <w:p w:rsidR="008B6232" w:rsidP="008B6232">
      <w:pPr>
        <w:bidi w:val="0"/>
        <w:spacing w:after="0" w:line="240" w:lineRule="auto"/>
        <w:rPr>
          <w:rFonts w:ascii="Times New Roman" w:hAnsi="Times New Roman"/>
          <w:sz w:val="24"/>
          <w:szCs w:val="24"/>
        </w:rPr>
      </w:pPr>
      <w:r w:rsidRPr="00CD630F">
        <w:rPr>
          <w:rFonts w:ascii="Times New Roman" w:hAnsi="Times New Roman"/>
          <w:sz w:val="24"/>
          <w:szCs w:val="24"/>
        </w:rPr>
        <w:t>K bodu 3</w:t>
      </w:r>
    </w:p>
    <w:p w:rsidR="008B6232" w:rsidP="008B6232">
      <w:pPr>
        <w:bidi w:val="0"/>
        <w:spacing w:after="0" w:line="240" w:lineRule="auto"/>
        <w:jc w:val="both"/>
        <w:rPr>
          <w:rFonts w:ascii="Times New Roman" w:hAnsi="Times New Roman"/>
          <w:sz w:val="24"/>
          <w:szCs w:val="24"/>
        </w:rPr>
      </w:pPr>
      <w:r>
        <w:rPr>
          <w:rFonts w:ascii="Times New Roman" w:hAnsi="Times New Roman"/>
          <w:sz w:val="24"/>
          <w:szCs w:val="24"/>
        </w:rPr>
        <w:tab/>
        <w:t xml:space="preserve">V ustanovení sa v súlade s Programovým vyhlásením vlády Slovenskej republiky na obdobie rokov 2010 - 2014 navrhuje zaviesť právo na vrátenie správneho poplatku poplatníkovi v prípade, ak správny orgán nedodrží lehotu na vykonanie úkonu alebo uskutočnenie konania, ktorú mu ustanovuje osobitný právny predpis.    </w:t>
      </w:r>
    </w:p>
    <w:p w:rsidR="008B6232" w:rsidP="008B6232">
      <w:pPr>
        <w:bidi w:val="0"/>
        <w:spacing w:after="0" w:line="240" w:lineRule="auto"/>
        <w:rPr>
          <w:rFonts w:ascii="Times New Roman" w:hAnsi="Times New Roman"/>
          <w:sz w:val="24"/>
          <w:szCs w:val="24"/>
        </w:rPr>
      </w:pPr>
    </w:p>
    <w:p w:rsidR="008B6232" w:rsidP="008B6232">
      <w:pPr>
        <w:bidi w:val="0"/>
        <w:spacing w:after="0" w:line="240" w:lineRule="auto"/>
        <w:rPr>
          <w:rFonts w:ascii="Times New Roman" w:hAnsi="Times New Roman"/>
          <w:sz w:val="24"/>
          <w:szCs w:val="24"/>
        </w:rPr>
      </w:pPr>
      <w:r w:rsidRPr="00CD630F">
        <w:rPr>
          <w:rFonts w:ascii="Times New Roman" w:hAnsi="Times New Roman"/>
          <w:sz w:val="24"/>
          <w:szCs w:val="24"/>
        </w:rPr>
        <w:t xml:space="preserve">K bodu </w:t>
      </w:r>
      <w:r>
        <w:rPr>
          <w:rFonts w:ascii="Times New Roman" w:hAnsi="Times New Roman"/>
          <w:sz w:val="24"/>
          <w:szCs w:val="24"/>
        </w:rPr>
        <w:t>4</w:t>
      </w:r>
    </w:p>
    <w:p w:rsidR="008B6232" w:rsidRPr="00CD630F" w:rsidP="008B6232">
      <w:pPr>
        <w:bidi w:val="0"/>
        <w:spacing w:after="0" w:line="240" w:lineRule="auto"/>
        <w:rPr>
          <w:rFonts w:ascii="Times New Roman" w:hAnsi="Times New Roman"/>
          <w:sz w:val="24"/>
          <w:szCs w:val="24"/>
        </w:rPr>
      </w:pPr>
      <w:r>
        <w:rPr>
          <w:rFonts w:ascii="Times New Roman" w:hAnsi="Times New Roman"/>
          <w:sz w:val="24"/>
          <w:szCs w:val="24"/>
        </w:rPr>
        <w:tab/>
      </w:r>
      <w:r w:rsidRPr="00CD630F">
        <w:rPr>
          <w:rFonts w:ascii="Times New Roman" w:hAnsi="Times New Roman"/>
          <w:sz w:val="24"/>
          <w:szCs w:val="24"/>
        </w:rPr>
        <w:t xml:space="preserve">V ustanovení o vrátení správneho poplatku sa zaokrúhľuje suma správneho poplatku alebo preplatku, ktorá sa môže vrátiť. </w:t>
      </w:r>
    </w:p>
    <w:p w:rsidR="008B6232" w:rsidRPr="00CD630F" w:rsidP="008B6232">
      <w:pPr>
        <w:bidi w:val="0"/>
        <w:spacing w:after="0" w:line="240" w:lineRule="auto"/>
        <w:rPr>
          <w:rFonts w:ascii="Times New Roman" w:hAnsi="Times New Roman"/>
          <w:sz w:val="24"/>
          <w:szCs w:val="24"/>
        </w:rPr>
      </w:pPr>
      <w:r w:rsidRPr="00CD630F">
        <w:rPr>
          <w:rFonts w:ascii="Times New Roman" w:hAnsi="Times New Roman"/>
          <w:sz w:val="24"/>
          <w:szCs w:val="24"/>
        </w:rPr>
        <w:t xml:space="preserve"> </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 xml:space="preserve">K bodu </w:t>
      </w:r>
      <w:r>
        <w:rPr>
          <w:rFonts w:ascii="Times New Roman" w:hAnsi="Times New Roman"/>
          <w:sz w:val="24"/>
          <w:szCs w:val="24"/>
        </w:rPr>
        <w:t>5</w:t>
      </w:r>
      <w:r w:rsidRPr="00CD630F">
        <w:rPr>
          <w:rFonts w:ascii="Times New Roman" w:hAnsi="Times New Roman"/>
          <w:sz w:val="24"/>
          <w:szCs w:val="24"/>
        </w:rPr>
        <w:t xml:space="preserve"> </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 xml:space="preserve">Z vecnej úpravy vrátenia poplatku sa vypúšťa časť textu o vrátení správneho poplatku zaplateného kolkovou známkou </w:t>
      </w:r>
      <w:r>
        <w:rPr>
          <w:rFonts w:ascii="Times New Roman" w:hAnsi="Times New Roman"/>
          <w:color w:val="000000" w:themeColor="tx1" w:themeShade="FF"/>
          <w:sz w:val="24"/>
          <w:szCs w:val="24"/>
        </w:rPr>
        <w:t>daňov</w:t>
      </w:r>
      <w:r w:rsidRPr="007D1DDC">
        <w:rPr>
          <w:rFonts w:ascii="Times New Roman" w:hAnsi="Times New Roman"/>
          <w:color w:val="000000" w:themeColor="tx1" w:themeShade="FF"/>
          <w:sz w:val="24"/>
          <w:szCs w:val="24"/>
        </w:rPr>
        <w:t xml:space="preserve">ými </w:t>
      </w:r>
      <w:r w:rsidRPr="00CD630F">
        <w:rPr>
          <w:rFonts w:ascii="Times New Roman" w:hAnsi="Times New Roman"/>
          <w:sz w:val="24"/>
          <w:szCs w:val="24"/>
        </w:rPr>
        <w:t xml:space="preserve">úradmi a dopĺňa sa lehota na vrátenie správneho poplatku daňovým úradom. </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Pr>
          <w:rFonts w:ascii="Times New Roman" w:hAnsi="Times New Roman"/>
          <w:sz w:val="24"/>
          <w:szCs w:val="24"/>
        </w:rPr>
        <w:t>K bodu 6</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Ustanovenie o doručovaní sa vypúšťa, nakoľko doručovanie upravuje osobitný právny predpis, ktorým je zákon č. 71/1967 Zb. o správnom konaní (správny poriadok) v znení neskorších predpisov, podľa ktorého sa v konaní vo veci správnych poplatkov navrhuje postupovať.</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bodu</w:t>
      </w:r>
      <w:r>
        <w:rPr>
          <w:rFonts w:ascii="Times New Roman" w:hAnsi="Times New Roman"/>
          <w:sz w:val="24"/>
          <w:szCs w:val="24"/>
        </w:rPr>
        <w:t xml:space="preserve"> 7</w:t>
      </w:r>
      <w:r w:rsidRPr="00CD630F">
        <w:rPr>
          <w:rFonts w:ascii="Times New Roman" w:hAnsi="Times New Roman"/>
          <w:sz w:val="24"/>
          <w:szCs w:val="24"/>
        </w:rPr>
        <w:t xml:space="preserve"> </w:t>
      </w:r>
    </w:p>
    <w:p w:rsidR="008B6232" w:rsidRPr="00CD630F" w:rsidP="008B6232">
      <w:pPr>
        <w:bidi w:val="0"/>
        <w:spacing w:after="0" w:line="240" w:lineRule="auto"/>
        <w:ind w:firstLine="708"/>
        <w:jc w:val="both"/>
        <w:rPr>
          <w:rFonts w:ascii="Times New Roman" w:hAnsi="Times New Roman"/>
          <w:sz w:val="24"/>
          <w:szCs w:val="24"/>
        </w:rPr>
      </w:pPr>
      <w:r w:rsidRPr="00CD630F">
        <w:rPr>
          <w:rFonts w:ascii="Times New Roman" w:hAnsi="Times New Roman"/>
          <w:sz w:val="24"/>
          <w:szCs w:val="24"/>
        </w:rPr>
        <w:t xml:space="preserve">Navrhuje sa osobitne upraviť zachovanie lehôt pri platení správneho poplatku pri nových formách platenia, ako je platenie platobnou kartou a prostredníctvom krátkej textovej správy (SMS). </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 xml:space="preserve">K bodom </w:t>
      </w:r>
      <w:r>
        <w:rPr>
          <w:rFonts w:ascii="Times New Roman" w:hAnsi="Times New Roman"/>
          <w:sz w:val="24"/>
          <w:szCs w:val="24"/>
        </w:rPr>
        <w:t>8 a 9</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So zreteľom na zavedenú legislatívnu skratku „správne orgány“, medzi ktoré patria aj obce, navrhuje sa tieto ustanovenia spresniť s využitím tejto legislatívnej skratky. Trojročná lehota zániku práva vymáhať správny poplatok zostáva nezmenená.</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 xml:space="preserve">K bodu </w:t>
      </w:r>
      <w:r>
        <w:rPr>
          <w:rFonts w:ascii="Times New Roman" w:hAnsi="Times New Roman"/>
          <w:sz w:val="24"/>
          <w:szCs w:val="24"/>
        </w:rPr>
        <w:t>10</w:t>
      </w:r>
      <w:r w:rsidRPr="00CD630F">
        <w:rPr>
          <w:rFonts w:ascii="Times New Roman" w:hAnsi="Times New Roman"/>
          <w:sz w:val="24"/>
          <w:szCs w:val="24"/>
        </w:rPr>
        <w:t xml:space="preserve"> </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 xml:space="preserve">Vymáhanie správneho poplatku sa navrhuje zjednodušiť a sprehľadniť tak, že neuhradený správny poplatok bude vymáhať ten správny orgán, ktorý vykonal úkon alebo uskutočnil konanie a teda má všetky relevantné informácie o poplatníkovi, dlžníkovi.  Nadväzne sa týmto postupom zníži administratívna záťaž daňových úradov, ktoré poplatky plynúce do štátneho rozpočtu doposiaľ vymáhajú. Na postup pri vymáhaní správneho poplatku alebo doplatku sa navrhuje uplatniť ustanovenia správneho poriadku.  </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 xml:space="preserve">V navrhovanom ustanovení sa upravuje kontrola správnych poplatkov podľa toho, na ktorom správnom orgáne a stupni sa vykonáva a tiež podľa toho, či príjmy zo správnych poplatkov plynú do štátneho rozpočtu alebo rozpočtov obcí. V prípade príjmov štátneho rozpočtu kontrolu vykonávajú </w:t>
      </w:r>
      <w:r>
        <w:rPr>
          <w:rFonts w:ascii="Times New Roman" w:hAnsi="Times New Roman"/>
          <w:color w:val="000000" w:themeColor="tx1" w:themeShade="FF"/>
          <w:sz w:val="24"/>
          <w:szCs w:val="24"/>
        </w:rPr>
        <w:t>daňové</w:t>
      </w:r>
      <w:r w:rsidRPr="00CD630F">
        <w:rPr>
          <w:rFonts w:ascii="Times New Roman" w:hAnsi="Times New Roman"/>
          <w:sz w:val="24"/>
          <w:szCs w:val="24"/>
        </w:rPr>
        <w:t xml:space="preserve"> úrady a Finančné riaditeľstvo Slovenskej republiky a v prípade príjmov obcí, sama obec. Pri vykonávaní kontroly správnosti a včasnosti vyberania správnych poplatkov postupujú </w:t>
      </w:r>
      <w:r>
        <w:rPr>
          <w:rFonts w:ascii="Times New Roman" w:hAnsi="Times New Roman"/>
          <w:color w:val="000000" w:themeColor="tx1" w:themeShade="FF"/>
          <w:sz w:val="24"/>
          <w:szCs w:val="24"/>
        </w:rPr>
        <w:t>daňov</w:t>
      </w:r>
      <w:r w:rsidRPr="007D1DDC">
        <w:rPr>
          <w:rFonts w:ascii="Times New Roman" w:hAnsi="Times New Roman"/>
          <w:color w:val="000000" w:themeColor="tx1" w:themeShade="FF"/>
          <w:sz w:val="24"/>
          <w:szCs w:val="24"/>
        </w:rPr>
        <w:t xml:space="preserve">é </w:t>
      </w:r>
      <w:r w:rsidRPr="00CD630F">
        <w:rPr>
          <w:rFonts w:ascii="Times New Roman" w:hAnsi="Times New Roman"/>
          <w:sz w:val="24"/>
          <w:szCs w:val="24"/>
        </w:rPr>
        <w:t>úrady a Finančné riaditeľstvo Slovenskej republiky</w:t>
      </w:r>
      <w:r w:rsidRPr="00CD630F">
        <w:rPr>
          <w:rFonts w:ascii="Times New Roman" w:hAnsi="Times New Roman"/>
          <w:bCs/>
          <w:sz w:val="24"/>
          <w:szCs w:val="24"/>
        </w:rPr>
        <w:t xml:space="preserve"> podľa zákona č. 502/2001 Z. z. o finančnej kontrole a vnútornom audite a o zmene a doplnení niektorých zákonov v znení neskorších predpisov.</w:t>
      </w:r>
      <w:r w:rsidRPr="00CD630F">
        <w:rPr>
          <w:rFonts w:ascii="Times New Roman" w:hAnsi="Times New Roman"/>
          <w:sz w:val="24"/>
          <w:szCs w:val="24"/>
        </w:rPr>
        <w:t xml:space="preserve"> Orgány miestnej samosprávy vykonávajú kontrolnú činnosť podľa zákona č. 369/1990 Zb. o obecnom zriadení v znení neskorších predpisov a podľa zákona č. 302/2001 Z. z. o samospráve vyšších územných celkov v znení neskorších predpisov. Zameranie kontroly sa navrhuje rozšíriť aj na evidovanie poplatkov  správnymi orgánmi.</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bodu 1</w:t>
      </w:r>
      <w:r>
        <w:rPr>
          <w:rFonts w:ascii="Times New Roman" w:hAnsi="Times New Roman"/>
          <w:sz w:val="24"/>
          <w:szCs w:val="24"/>
        </w:rPr>
        <w:t>1</w:t>
      </w:r>
    </w:p>
    <w:p w:rsidR="008B6232" w:rsidRPr="00CD630F" w:rsidP="008B6232">
      <w:pPr>
        <w:bidi w:val="0"/>
        <w:spacing w:after="0" w:line="240" w:lineRule="auto"/>
        <w:ind w:firstLine="708"/>
        <w:jc w:val="both"/>
        <w:rPr>
          <w:rFonts w:ascii="Times New Roman" w:hAnsi="Times New Roman"/>
          <w:sz w:val="24"/>
          <w:szCs w:val="24"/>
        </w:rPr>
      </w:pPr>
      <w:r w:rsidRPr="00CD630F">
        <w:rPr>
          <w:rFonts w:ascii="Times New Roman" w:hAnsi="Times New Roman"/>
          <w:sz w:val="24"/>
          <w:szCs w:val="24"/>
        </w:rPr>
        <w:t xml:space="preserve">V ustanovení sa zaokrúhľuje suma pokuty, ktorú môže kontrolný orgán uložiť. </w:t>
      </w:r>
    </w:p>
    <w:p w:rsidR="008B6232" w:rsidRPr="00CD630F" w:rsidP="008B6232">
      <w:pPr>
        <w:bidi w:val="0"/>
        <w:spacing w:after="0" w:line="240" w:lineRule="auto"/>
        <w:jc w:val="both"/>
        <w:rPr>
          <w:rFonts w:ascii="Times New Roman" w:hAnsi="Times New Roman"/>
          <w:sz w:val="24"/>
          <w:szCs w:val="24"/>
        </w:rPr>
      </w:pPr>
    </w:p>
    <w:p w:rsidR="008B6232"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bodu 1</w:t>
      </w:r>
      <w:r>
        <w:rPr>
          <w:rFonts w:ascii="Times New Roman" w:hAnsi="Times New Roman"/>
          <w:sz w:val="24"/>
          <w:szCs w:val="24"/>
        </w:rPr>
        <w:t>2</w:t>
      </w:r>
    </w:p>
    <w:p w:rsidR="008B6232" w:rsidP="008B6232">
      <w:pPr>
        <w:bidi w:val="0"/>
        <w:spacing w:after="0" w:line="240" w:lineRule="auto"/>
        <w:jc w:val="both"/>
        <w:rPr>
          <w:rFonts w:ascii="Times New Roman" w:hAnsi="Times New Roman"/>
          <w:sz w:val="24"/>
          <w:szCs w:val="24"/>
        </w:rPr>
      </w:pPr>
      <w:r>
        <w:rPr>
          <w:rFonts w:ascii="Times New Roman" w:hAnsi="Times New Roman"/>
          <w:sz w:val="24"/>
          <w:szCs w:val="24"/>
        </w:rPr>
        <w:tab/>
        <w:t>Legislatívnotechnická zmena.</w:t>
      </w:r>
    </w:p>
    <w:p w:rsidR="008B6232"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Pr>
          <w:rFonts w:ascii="Times New Roman" w:hAnsi="Times New Roman"/>
          <w:sz w:val="24"/>
          <w:szCs w:val="24"/>
        </w:rPr>
        <w:t>K bodu 13</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 xml:space="preserve">Nadväzne na zrušenie kolkových známok sa navrhuje vypustiť aj ustanovenie o rozpočtovom určení výnosu zo správnych poplatkov zaplatených kolkovými známkami.  </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Pr>
          <w:rFonts w:ascii="Times New Roman" w:hAnsi="Times New Roman"/>
          <w:sz w:val="24"/>
          <w:szCs w:val="24"/>
        </w:rPr>
        <w:t>K bodu 14</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Dopĺňa sa nové ustanovenie, v ktorom sa explicitne ustanovuje postup v konaní vo veci správnych poplatkov podľa zákona č. 71/1967 Zb. v znení neskorších predpisov</w:t>
      </w:r>
      <w:r>
        <w:rPr>
          <w:rFonts w:ascii="Times New Roman" w:hAnsi="Times New Roman"/>
          <w:sz w:val="24"/>
          <w:szCs w:val="24"/>
        </w:rPr>
        <w:t>.</w:t>
      </w:r>
      <w:r w:rsidRPr="00CD630F">
        <w:rPr>
          <w:rFonts w:ascii="Times New Roman" w:hAnsi="Times New Roman"/>
          <w:sz w:val="24"/>
          <w:szCs w:val="24"/>
        </w:rPr>
        <w:t xml:space="preserve"> </w:t>
      </w: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Pr>
          <w:rFonts w:ascii="Times New Roman" w:hAnsi="Times New Roman"/>
          <w:sz w:val="24"/>
          <w:szCs w:val="24"/>
        </w:rPr>
        <w:t>K bodu 15</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 xml:space="preserve">Ide o osobitnú úpravu možnosti platenia správnych poplatkoch formou kolkovej známky až do konca </w:t>
      </w:r>
      <w:r>
        <w:rPr>
          <w:rFonts w:ascii="Times New Roman" w:hAnsi="Times New Roman"/>
          <w:sz w:val="24"/>
          <w:szCs w:val="24"/>
        </w:rPr>
        <w:t>septembra 2013</w:t>
      </w:r>
      <w:r w:rsidRPr="00CD630F">
        <w:rPr>
          <w:rFonts w:ascii="Times New Roman" w:hAnsi="Times New Roman"/>
          <w:sz w:val="24"/>
          <w:szCs w:val="24"/>
        </w:rPr>
        <w:t xml:space="preserve">, ak má poplatník kolkové známky k dispozícii. </w:t>
      </w:r>
    </w:p>
    <w:p w:rsidR="008B6232" w:rsidRPr="00CD630F" w:rsidP="008B6232">
      <w:pPr>
        <w:bidi w:val="0"/>
        <w:spacing w:after="0" w:line="240" w:lineRule="auto"/>
        <w:jc w:val="both"/>
        <w:rPr>
          <w:rFonts w:ascii="Times New Roman" w:hAnsi="Times New Roman"/>
          <w:sz w:val="24"/>
          <w:szCs w:val="24"/>
        </w:rPr>
      </w:pPr>
    </w:p>
    <w:p w:rsidR="008B6232"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K bodom 1</w:t>
      </w:r>
      <w:r>
        <w:rPr>
          <w:rFonts w:ascii="Times New Roman" w:hAnsi="Times New Roman"/>
          <w:sz w:val="24"/>
          <w:szCs w:val="24"/>
        </w:rPr>
        <w:t>6 až 20</w:t>
      </w:r>
    </w:p>
    <w:p w:rsidR="008B6232" w:rsidP="008B6232">
      <w:pPr>
        <w:bidi w:val="0"/>
        <w:spacing w:after="0" w:line="240" w:lineRule="auto"/>
        <w:jc w:val="both"/>
        <w:rPr>
          <w:rFonts w:ascii="Times New Roman" w:hAnsi="Times New Roman"/>
          <w:sz w:val="24"/>
          <w:szCs w:val="24"/>
        </w:rPr>
      </w:pPr>
      <w:r>
        <w:rPr>
          <w:rFonts w:ascii="Times New Roman" w:hAnsi="Times New Roman"/>
          <w:sz w:val="24"/>
          <w:szCs w:val="24"/>
        </w:rPr>
        <w:tab/>
        <w:t>V sadzobníku správnych poplatkov sa navrhuje z dôvodu jednoznačnosti spoplatňované úkony položky 10 a splnomocnenie k položke 11 spresniť a doplniť nadväzne na ustanovenia zákona Národnej rady Slovenskej republiky č. 162/1995 Z. z. o katastri nehnuteľností a o zápise vlastníckych práv k nehnuteľnostiam (katastrálny zákon) v znení neskorších predpisov.</w:t>
      </w:r>
    </w:p>
    <w:p w:rsidR="008B6232" w:rsidP="008B6232">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8B6232"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 xml:space="preserve">K bodom </w:t>
      </w:r>
      <w:r>
        <w:rPr>
          <w:rFonts w:ascii="Times New Roman" w:hAnsi="Times New Roman"/>
          <w:sz w:val="24"/>
          <w:szCs w:val="24"/>
        </w:rPr>
        <w:t>21 až 23</w:t>
      </w:r>
    </w:p>
    <w:p w:rsidR="008B6232" w:rsidRPr="001029AA" w:rsidP="008B6232">
      <w:pPr>
        <w:widowControl w:val="0"/>
        <w:tabs>
          <w:tab w:val="num" w:pos="0"/>
        </w:tabs>
        <w:bidi w:val="0"/>
        <w:spacing w:after="0" w:line="240" w:lineRule="auto"/>
        <w:ind w:hanging="567"/>
        <w:jc w:val="both"/>
        <w:rPr>
          <w:rFonts w:ascii="Times New Roman" w:hAnsi="Times New Roman"/>
          <w:sz w:val="24"/>
          <w:szCs w:val="24"/>
        </w:rPr>
      </w:pPr>
      <w:r>
        <w:rPr>
          <w:rFonts w:ascii="Times New Roman" w:hAnsi="Times New Roman"/>
          <w:sz w:val="24"/>
          <w:szCs w:val="24"/>
        </w:rPr>
        <w:t xml:space="preserve">         </w:t>
        <w:tab/>
        <w:tab/>
        <w:t xml:space="preserve">Spresňujú sa spoplatňované úkony a sadzby poplatkov nadväzne na </w:t>
      </w:r>
      <w:r w:rsidRPr="001029AA">
        <w:rPr>
          <w:rFonts w:ascii="Times New Roman" w:hAnsi="Times New Roman"/>
          <w:sz w:val="24"/>
          <w:szCs w:val="24"/>
        </w:rPr>
        <w:t>prijatie novej legislatívy Európskou úniou</w:t>
      </w:r>
      <w:r>
        <w:rPr>
          <w:rFonts w:ascii="Times New Roman" w:hAnsi="Times New Roman"/>
          <w:sz w:val="24"/>
          <w:szCs w:val="24"/>
        </w:rPr>
        <w:t>.</w:t>
      </w:r>
      <w:r w:rsidRPr="001029AA">
        <w:rPr>
          <w:rFonts w:ascii="Times New Roman" w:hAnsi="Times New Roman"/>
          <w:sz w:val="24"/>
          <w:szCs w:val="24"/>
        </w:rPr>
        <w:t xml:space="preserve"> </w:t>
      </w:r>
    </w:p>
    <w:p w:rsidR="008B6232"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 xml:space="preserve">K bodom </w:t>
      </w:r>
      <w:r>
        <w:rPr>
          <w:rFonts w:ascii="Times New Roman" w:hAnsi="Times New Roman"/>
          <w:sz w:val="24"/>
          <w:szCs w:val="24"/>
        </w:rPr>
        <w:t>24 až 28</w:t>
      </w:r>
    </w:p>
    <w:p w:rsidR="008B6232" w:rsidRPr="00CD630F" w:rsidP="008B6232">
      <w:pPr>
        <w:bidi w:val="0"/>
        <w:spacing w:after="0" w:line="240" w:lineRule="auto"/>
        <w:jc w:val="both"/>
        <w:rPr>
          <w:rFonts w:ascii="Times New Roman" w:hAnsi="Times New Roman"/>
          <w:sz w:val="24"/>
          <w:szCs w:val="24"/>
        </w:rPr>
      </w:pPr>
      <w:r w:rsidRPr="00CD630F">
        <w:rPr>
          <w:rFonts w:ascii="Times New Roman" w:hAnsi="Times New Roman"/>
          <w:sz w:val="24"/>
          <w:szCs w:val="24"/>
        </w:rPr>
        <w:tab/>
        <w:t>V súvislosti s </w:t>
      </w:r>
      <w:r w:rsidRPr="00CD630F">
        <w:rPr>
          <w:rFonts w:ascii="Times New Roman" w:hAnsi="Times New Roman"/>
          <w:bCs/>
          <w:sz w:val="24"/>
          <w:szCs w:val="24"/>
        </w:rPr>
        <w:t xml:space="preserve">nadobudnutím účinnosti </w:t>
      </w:r>
      <w:r w:rsidRPr="00CD630F">
        <w:rPr>
          <w:rFonts w:ascii="Times New Roman" w:hAnsi="Times New Roman"/>
          <w:sz w:val="24"/>
          <w:szCs w:val="24"/>
        </w:rPr>
        <w:t xml:space="preserve"> zákona č. 563/2009 Z. z. o správe daní </w:t>
      </w:r>
      <w:r w:rsidRPr="00CD630F">
        <w:rPr>
          <w:rFonts w:ascii="Times New Roman" w:hAnsi="Times New Roman"/>
          <w:bCs/>
          <w:sz w:val="24"/>
          <w:szCs w:val="24"/>
        </w:rPr>
        <w:t xml:space="preserve"> (daňového poriadku) od 1.1.2012 </w:t>
      </w:r>
      <w:r w:rsidRPr="00CD630F">
        <w:rPr>
          <w:rFonts w:ascii="Times New Roman" w:hAnsi="Times New Roman"/>
          <w:sz w:val="24"/>
          <w:szCs w:val="24"/>
        </w:rPr>
        <w:t>sa navrhuje sa v sadzobníku správnych poplatkov upraviť položky v časti VIII. Finančná správa a obchodná činnosť, ktoré vyberá</w:t>
      </w:r>
      <w:r w:rsidRPr="00CD630F">
        <w:rPr>
          <w:rFonts w:ascii="Times New Roman" w:hAnsi="Times New Roman"/>
          <w:bCs/>
          <w:sz w:val="24"/>
          <w:szCs w:val="24"/>
        </w:rPr>
        <w:t xml:space="preserve"> Finančné riaditeľstvo SR,  daňové úrady, colné úrady a obce</w:t>
      </w:r>
      <w:r w:rsidRPr="00CD630F">
        <w:rPr>
          <w:rFonts w:ascii="Times New Roman" w:hAnsi="Times New Roman"/>
          <w:sz w:val="24"/>
          <w:szCs w:val="24"/>
        </w:rPr>
        <w:t>.</w:t>
      </w:r>
      <w:r w:rsidRPr="00CD630F">
        <w:rPr>
          <w:rFonts w:ascii="Times New Roman" w:hAnsi="Times New Roman"/>
          <w:bCs/>
          <w:sz w:val="24"/>
          <w:szCs w:val="24"/>
        </w:rPr>
        <w:t xml:space="preserve"> </w:t>
      </w:r>
    </w:p>
    <w:p w:rsidR="008B6232" w:rsidRPr="00CD630F" w:rsidP="008B6232">
      <w:pPr>
        <w:bidi w:val="0"/>
        <w:spacing w:after="0" w:line="240" w:lineRule="auto"/>
        <w:rPr>
          <w:rFonts w:ascii="Times New Roman" w:hAnsi="Times New Roman"/>
          <w:b/>
          <w:sz w:val="24"/>
          <w:szCs w:val="24"/>
        </w:rPr>
      </w:pPr>
    </w:p>
    <w:p w:rsidR="008B6232" w:rsidRPr="00CD630F" w:rsidP="008B6232">
      <w:pPr>
        <w:bidi w:val="0"/>
        <w:spacing w:after="0" w:line="240" w:lineRule="auto"/>
        <w:rPr>
          <w:rFonts w:ascii="Times New Roman" w:hAnsi="Times New Roman"/>
          <w:b/>
          <w:sz w:val="24"/>
          <w:szCs w:val="24"/>
        </w:rPr>
      </w:pPr>
      <w:r w:rsidRPr="00CD630F">
        <w:rPr>
          <w:rFonts w:ascii="Times New Roman" w:hAnsi="Times New Roman"/>
          <w:b/>
          <w:sz w:val="24"/>
          <w:szCs w:val="24"/>
        </w:rPr>
        <w:t xml:space="preserve">K Čl. IV </w:t>
      </w:r>
    </w:p>
    <w:p w:rsidR="008B6232" w:rsidRPr="00CD630F" w:rsidP="008B6232">
      <w:pPr>
        <w:bidi w:val="0"/>
        <w:spacing w:after="0" w:line="240" w:lineRule="auto"/>
        <w:rPr>
          <w:rFonts w:ascii="Times New Roman" w:hAnsi="Times New Roman"/>
          <w:b/>
          <w:sz w:val="24"/>
          <w:szCs w:val="24"/>
        </w:rPr>
      </w:pPr>
    </w:p>
    <w:p w:rsidR="008B6232" w:rsidRPr="00CD630F" w:rsidP="008B6232">
      <w:pPr>
        <w:bidi w:val="0"/>
        <w:spacing w:after="0" w:line="240" w:lineRule="auto"/>
        <w:rPr>
          <w:rFonts w:ascii="Times New Roman" w:hAnsi="Times New Roman"/>
          <w:sz w:val="24"/>
          <w:szCs w:val="24"/>
        </w:rPr>
      </w:pPr>
      <w:r w:rsidRPr="00CD630F">
        <w:rPr>
          <w:rFonts w:ascii="Times New Roman" w:hAnsi="Times New Roman"/>
          <w:sz w:val="24"/>
          <w:szCs w:val="24"/>
        </w:rPr>
        <w:t>K bodom 1 a 2</w:t>
      </w:r>
    </w:p>
    <w:p w:rsidR="008B6232" w:rsidRPr="00CD630F" w:rsidP="008B6232">
      <w:pPr>
        <w:bidi w:val="0"/>
        <w:spacing w:after="0" w:line="240" w:lineRule="auto"/>
        <w:ind w:firstLine="708"/>
        <w:jc w:val="both"/>
        <w:rPr>
          <w:rFonts w:ascii="Times New Roman" w:hAnsi="Times New Roman"/>
          <w:sz w:val="24"/>
          <w:szCs w:val="24"/>
        </w:rPr>
      </w:pPr>
      <w:r w:rsidRPr="00CD630F">
        <w:rPr>
          <w:rFonts w:ascii="Times New Roman" w:hAnsi="Times New Roman"/>
          <w:sz w:val="24"/>
          <w:szCs w:val="24"/>
        </w:rPr>
        <w:t>Nadväzne na navrhované zrušenie kolkových známok sa upravuje kompetencia správ finančnej kontroly a vypúšťa vykonávanie vládneho auditu distribúcie a predaja kolkových známok.</w:t>
      </w:r>
    </w:p>
    <w:p w:rsidR="008B6232" w:rsidRPr="00CD630F" w:rsidP="008B6232">
      <w:pPr>
        <w:bidi w:val="0"/>
        <w:spacing w:after="0" w:line="240" w:lineRule="auto"/>
        <w:rPr>
          <w:rFonts w:ascii="Times New Roman" w:hAnsi="Times New Roman"/>
          <w:b/>
          <w:sz w:val="24"/>
          <w:szCs w:val="24"/>
        </w:rPr>
      </w:pPr>
    </w:p>
    <w:p w:rsidR="008B6232" w:rsidRPr="00CD630F" w:rsidP="008B6232">
      <w:pPr>
        <w:bidi w:val="0"/>
        <w:spacing w:after="0" w:line="240" w:lineRule="auto"/>
        <w:rPr>
          <w:rFonts w:ascii="Times New Roman" w:hAnsi="Times New Roman"/>
          <w:b/>
          <w:sz w:val="24"/>
          <w:szCs w:val="24"/>
        </w:rPr>
      </w:pPr>
      <w:r w:rsidRPr="00CD630F">
        <w:rPr>
          <w:rFonts w:ascii="Times New Roman" w:hAnsi="Times New Roman"/>
          <w:b/>
          <w:sz w:val="24"/>
          <w:szCs w:val="24"/>
        </w:rPr>
        <w:t xml:space="preserve">K Čl. V </w:t>
      </w:r>
    </w:p>
    <w:p w:rsidR="008B6232" w:rsidRPr="00CD630F" w:rsidP="008B6232">
      <w:pPr>
        <w:bidi w:val="0"/>
        <w:spacing w:after="0" w:line="240" w:lineRule="auto"/>
        <w:rPr>
          <w:rFonts w:ascii="Times New Roman" w:hAnsi="Times New Roman"/>
          <w:sz w:val="24"/>
          <w:szCs w:val="24"/>
        </w:rPr>
      </w:pPr>
      <w:r w:rsidRPr="00CD630F">
        <w:rPr>
          <w:rFonts w:ascii="Times New Roman" w:hAnsi="Times New Roman"/>
          <w:sz w:val="24"/>
          <w:szCs w:val="24"/>
        </w:rPr>
        <w:t xml:space="preserve"> </w:t>
      </w:r>
    </w:p>
    <w:p w:rsidR="008B6232" w:rsidRPr="00A46088" w:rsidP="008B6232">
      <w:pPr>
        <w:pStyle w:val="BodyText"/>
        <w:bidi w:val="0"/>
        <w:ind w:firstLine="708"/>
        <w:jc w:val="both"/>
        <w:rPr>
          <w:rFonts w:ascii="Times New Roman" w:hAnsi="Times New Roman" w:hint="default"/>
        </w:rPr>
      </w:pPr>
      <w:r w:rsidRPr="00A46088">
        <w:rPr>
          <w:rFonts w:ascii="Times New Roman" w:hAnsi="Times New Roman"/>
        </w:rPr>
        <w:t>V </w:t>
      </w:r>
      <w:r w:rsidRPr="00A46088">
        <w:rPr>
          <w:rFonts w:ascii="Times New Roman" w:hAnsi="Times New Roman" w:hint="default"/>
        </w:rPr>
        <w:t>sú</w:t>
      </w:r>
      <w:r w:rsidRPr="00A46088">
        <w:rPr>
          <w:rFonts w:ascii="Times New Roman" w:hAnsi="Times New Roman" w:hint="default"/>
        </w:rPr>
        <w:t>vislosti so zruš</w:t>
      </w:r>
      <w:r w:rsidRPr="00A46088">
        <w:rPr>
          <w:rFonts w:ascii="Times New Roman" w:hAnsi="Times New Roman" w:hint="default"/>
        </w:rPr>
        <w:t>ení</w:t>
      </w:r>
      <w:r w:rsidRPr="00A46088">
        <w:rPr>
          <w:rFonts w:ascii="Times New Roman" w:hAnsi="Times New Roman" w:hint="default"/>
        </w:rPr>
        <w:t>m kolkový</w:t>
      </w:r>
      <w:r w:rsidRPr="00A46088">
        <w:rPr>
          <w:rFonts w:ascii="Times New Roman" w:hAnsi="Times New Roman" w:hint="default"/>
        </w:rPr>
        <w:t>ch zná</w:t>
      </w:r>
      <w:r w:rsidRPr="00A46088">
        <w:rPr>
          <w:rFonts w:ascii="Times New Roman" w:hAnsi="Times New Roman" w:hint="default"/>
        </w:rPr>
        <w:t>mok sa navrhuje z </w:t>
      </w:r>
      <w:r w:rsidRPr="00A46088">
        <w:rPr>
          <w:rFonts w:ascii="Times New Roman" w:hAnsi="Times New Roman" w:hint="default"/>
        </w:rPr>
        <w:t xml:space="preserve"> kompetencie Ministerstva financií</w:t>
      </w:r>
      <w:r w:rsidRPr="00A46088">
        <w:rPr>
          <w:rFonts w:ascii="Times New Roman" w:hAnsi="Times New Roman" w:hint="default"/>
        </w:rPr>
        <w:t xml:space="preserve"> Slovenskej republiky</w:t>
      </w:r>
      <w:r w:rsidRPr="00A46088">
        <w:rPr>
          <w:rFonts w:ascii="Times New Roman" w:hAnsi="Times New Roman" w:hint="default"/>
        </w:rPr>
        <w:t xml:space="preserve"> </w:t>
      </w:r>
      <w:r w:rsidRPr="00A46088">
        <w:rPr>
          <w:rFonts w:ascii="Times New Roman" w:hAnsi="Times New Roman" w:hint="default"/>
        </w:rPr>
        <w:t>vypustiť</w:t>
      </w:r>
      <w:r w:rsidRPr="00A46088">
        <w:rPr>
          <w:rFonts w:ascii="Times New Roman" w:hAnsi="Times New Roman" w:hint="default"/>
        </w:rPr>
        <w:t xml:space="preserve"> vykoná</w:t>
      </w:r>
      <w:r w:rsidRPr="00A46088">
        <w:rPr>
          <w:rFonts w:ascii="Times New Roman" w:hAnsi="Times New Roman" w:hint="default"/>
        </w:rPr>
        <w:t>vanie vlá</w:t>
      </w:r>
      <w:r w:rsidRPr="00A46088">
        <w:rPr>
          <w:rFonts w:ascii="Times New Roman" w:hAnsi="Times New Roman" w:hint="default"/>
        </w:rPr>
        <w:t>dneho auditu vý</w:t>
      </w:r>
      <w:r w:rsidRPr="00A46088">
        <w:rPr>
          <w:rFonts w:ascii="Times New Roman" w:hAnsi="Times New Roman" w:hint="default"/>
        </w:rPr>
        <w:t>roby kolkový</w:t>
      </w:r>
      <w:r w:rsidRPr="00A46088">
        <w:rPr>
          <w:rFonts w:ascii="Times New Roman" w:hAnsi="Times New Roman" w:hint="default"/>
        </w:rPr>
        <w:t>ch zná</w:t>
      </w:r>
      <w:r w:rsidRPr="00A46088">
        <w:rPr>
          <w:rFonts w:ascii="Times New Roman" w:hAnsi="Times New Roman" w:hint="default"/>
        </w:rPr>
        <w:t>mok v </w:t>
      </w:r>
      <w:r w:rsidRPr="00A46088">
        <w:rPr>
          <w:rFonts w:ascii="Times New Roman" w:hAnsi="Times New Roman" w:hint="default"/>
        </w:rPr>
        <w:t>tlač</w:t>
      </w:r>
      <w:r w:rsidRPr="00A46088">
        <w:rPr>
          <w:rFonts w:ascii="Times New Roman" w:hAnsi="Times New Roman" w:hint="default"/>
        </w:rPr>
        <w:t xml:space="preserve">iarni. </w:t>
      </w:r>
    </w:p>
    <w:p w:rsidR="008B6232" w:rsidRPr="00CD630F" w:rsidP="008B6232">
      <w:pPr>
        <w:bidi w:val="0"/>
        <w:spacing w:after="0" w:line="240" w:lineRule="auto"/>
        <w:jc w:val="both"/>
        <w:rPr>
          <w:rFonts w:ascii="Times New Roman" w:hAnsi="Times New Roman"/>
          <w:sz w:val="24"/>
          <w:szCs w:val="24"/>
        </w:rPr>
      </w:pPr>
    </w:p>
    <w:p w:rsidR="008B6232" w:rsidP="008B6232">
      <w:pPr>
        <w:bidi w:val="0"/>
        <w:spacing w:after="0" w:line="240" w:lineRule="auto"/>
        <w:rPr>
          <w:rFonts w:ascii="Times New Roman" w:hAnsi="Times New Roman"/>
          <w:b/>
          <w:sz w:val="24"/>
          <w:szCs w:val="24"/>
        </w:rPr>
      </w:pPr>
    </w:p>
    <w:p w:rsidR="00A46088" w:rsidP="008B6232">
      <w:pPr>
        <w:bidi w:val="0"/>
        <w:spacing w:after="0" w:line="240" w:lineRule="auto"/>
        <w:rPr>
          <w:rFonts w:ascii="Times New Roman" w:hAnsi="Times New Roman"/>
          <w:b/>
          <w:sz w:val="24"/>
          <w:szCs w:val="24"/>
        </w:rPr>
      </w:pPr>
    </w:p>
    <w:p w:rsidR="008B6232" w:rsidRPr="00CD630F" w:rsidP="008B6232">
      <w:pPr>
        <w:bidi w:val="0"/>
        <w:spacing w:after="0" w:line="240" w:lineRule="auto"/>
        <w:rPr>
          <w:rFonts w:ascii="Times New Roman" w:hAnsi="Times New Roman"/>
          <w:b/>
          <w:sz w:val="24"/>
          <w:szCs w:val="24"/>
        </w:rPr>
      </w:pPr>
      <w:r w:rsidRPr="00CD630F">
        <w:rPr>
          <w:rFonts w:ascii="Times New Roman" w:hAnsi="Times New Roman"/>
          <w:b/>
          <w:sz w:val="24"/>
          <w:szCs w:val="24"/>
        </w:rPr>
        <w:t xml:space="preserve">K Čl. VI </w:t>
      </w:r>
    </w:p>
    <w:p w:rsidR="008B6232" w:rsidRPr="00CD630F" w:rsidP="008B6232">
      <w:pPr>
        <w:bidi w:val="0"/>
        <w:spacing w:after="0" w:line="240" w:lineRule="auto"/>
        <w:rPr>
          <w:rFonts w:ascii="Times New Roman" w:hAnsi="Times New Roman"/>
          <w:b/>
          <w:sz w:val="24"/>
          <w:szCs w:val="24"/>
        </w:rPr>
      </w:pPr>
    </w:p>
    <w:p w:rsidR="008B6232" w:rsidRPr="00CD630F" w:rsidP="008B6232">
      <w:pPr>
        <w:bidi w:val="0"/>
        <w:spacing w:after="0" w:line="240" w:lineRule="auto"/>
        <w:rPr>
          <w:rFonts w:ascii="Times New Roman" w:hAnsi="Times New Roman"/>
          <w:sz w:val="24"/>
          <w:szCs w:val="24"/>
        </w:rPr>
      </w:pPr>
      <w:r w:rsidRPr="00CD630F">
        <w:rPr>
          <w:rFonts w:ascii="Times New Roman" w:hAnsi="Times New Roman"/>
          <w:sz w:val="24"/>
          <w:szCs w:val="24"/>
        </w:rPr>
        <w:t>K bodom 1 a 2</w:t>
      </w:r>
    </w:p>
    <w:p w:rsidR="008B6232" w:rsidRPr="00CD630F" w:rsidP="008B6232">
      <w:pPr>
        <w:bidi w:val="0"/>
        <w:spacing w:after="0" w:line="240" w:lineRule="auto"/>
        <w:ind w:firstLine="708"/>
        <w:jc w:val="both"/>
        <w:rPr>
          <w:rFonts w:ascii="Times New Roman" w:hAnsi="Times New Roman"/>
          <w:sz w:val="24"/>
          <w:szCs w:val="24"/>
        </w:rPr>
      </w:pPr>
      <w:r w:rsidRPr="00CD630F">
        <w:rPr>
          <w:rFonts w:ascii="Times New Roman" w:hAnsi="Times New Roman"/>
          <w:sz w:val="24"/>
          <w:szCs w:val="24"/>
        </w:rPr>
        <w:t xml:space="preserve"> Zrušením kolkových známok sa z kompetencie Slovenskej pošty</w:t>
      </w:r>
      <w:r>
        <w:rPr>
          <w:rFonts w:ascii="Times New Roman" w:hAnsi="Times New Roman"/>
          <w:sz w:val="24"/>
          <w:szCs w:val="24"/>
        </w:rPr>
        <w:t>,</w:t>
      </w:r>
      <w:r w:rsidRPr="00CD630F">
        <w:rPr>
          <w:rFonts w:ascii="Times New Roman" w:hAnsi="Times New Roman"/>
          <w:sz w:val="24"/>
          <w:szCs w:val="24"/>
        </w:rPr>
        <w:t xml:space="preserve"> a.s., Banská Bystrica navrhuje vyňať výkon činnosti distribútora kolkových známok.</w:t>
      </w:r>
    </w:p>
    <w:p w:rsidR="008B6232" w:rsidRPr="00CD630F" w:rsidP="008B6232">
      <w:pPr>
        <w:bidi w:val="0"/>
        <w:spacing w:after="0" w:line="240" w:lineRule="auto"/>
        <w:jc w:val="both"/>
        <w:rPr>
          <w:rFonts w:ascii="Times New Roman" w:hAnsi="Times New Roman"/>
          <w:sz w:val="24"/>
          <w:szCs w:val="24"/>
        </w:rPr>
      </w:pPr>
    </w:p>
    <w:p w:rsidR="008B6232" w:rsidP="008B6232">
      <w:pPr>
        <w:bidi w:val="0"/>
        <w:spacing w:after="0" w:line="240" w:lineRule="auto"/>
        <w:rPr>
          <w:rFonts w:ascii="Times New Roman" w:hAnsi="Times New Roman"/>
          <w:b/>
          <w:sz w:val="24"/>
          <w:szCs w:val="24"/>
        </w:rPr>
      </w:pPr>
      <w:r w:rsidRPr="00CD630F">
        <w:rPr>
          <w:rFonts w:ascii="Times New Roman" w:hAnsi="Times New Roman"/>
          <w:b/>
          <w:sz w:val="24"/>
          <w:szCs w:val="24"/>
        </w:rPr>
        <w:t xml:space="preserve">K Čl. VII </w:t>
      </w:r>
    </w:p>
    <w:p w:rsidR="008B6232" w:rsidRPr="00CD630F" w:rsidP="008B6232">
      <w:pPr>
        <w:bidi w:val="0"/>
        <w:spacing w:after="0" w:line="240" w:lineRule="auto"/>
        <w:rPr>
          <w:rFonts w:ascii="Times New Roman" w:hAnsi="Times New Roman"/>
          <w:b/>
          <w:sz w:val="24"/>
          <w:szCs w:val="24"/>
        </w:rPr>
      </w:pPr>
    </w:p>
    <w:p w:rsidR="008B6232" w:rsidRPr="00CD630F" w:rsidP="008B6232">
      <w:pPr>
        <w:bidi w:val="0"/>
        <w:spacing w:line="240" w:lineRule="auto"/>
        <w:ind w:firstLine="708"/>
        <w:jc w:val="both"/>
        <w:rPr>
          <w:rFonts w:ascii="Times New Roman" w:hAnsi="Times New Roman"/>
          <w:sz w:val="24"/>
          <w:szCs w:val="24"/>
        </w:rPr>
      </w:pPr>
      <w:r w:rsidRPr="00CD630F">
        <w:rPr>
          <w:rFonts w:ascii="Times New Roman" w:hAnsi="Times New Roman"/>
          <w:sz w:val="24"/>
          <w:szCs w:val="24"/>
        </w:rPr>
        <w:t>V ustanovení sa upravuje nadobudnutie účinnosti zákona s tým, že navrhované zmeny</w:t>
      </w:r>
      <w:r>
        <w:rPr>
          <w:rFonts w:ascii="Times New Roman" w:hAnsi="Times New Roman"/>
          <w:sz w:val="24"/>
          <w:szCs w:val="24"/>
        </w:rPr>
        <w:t>, ktoré zrušenie kolkových známok bezprostredne neovplyvní</w:t>
      </w:r>
      <w:r w:rsidRPr="00CD630F">
        <w:rPr>
          <w:rFonts w:ascii="Times New Roman" w:hAnsi="Times New Roman"/>
          <w:sz w:val="24"/>
          <w:szCs w:val="24"/>
        </w:rPr>
        <w:t xml:space="preserve"> nadobudnú účinnosť už od 1. januára 2012. </w:t>
      </w:r>
    </w:p>
    <w:p w:rsidR="008B6232" w:rsidRPr="00CD630F" w:rsidP="008B6232">
      <w:pPr>
        <w:bidi w:val="0"/>
        <w:spacing w:after="0" w:line="240" w:lineRule="auto"/>
        <w:rPr>
          <w:rFonts w:ascii="Times New Roman" w:hAnsi="Times New Roman"/>
          <w:b/>
          <w:sz w:val="24"/>
          <w:szCs w:val="24"/>
        </w:rPr>
      </w:pPr>
    </w:p>
    <w:p w:rsidR="008B6232" w:rsidRPr="00CD630F" w:rsidP="008B6232">
      <w:pPr>
        <w:bidi w:val="0"/>
        <w:spacing w:after="0" w:line="240" w:lineRule="auto"/>
        <w:rPr>
          <w:rFonts w:ascii="Times New Roman" w:hAnsi="Times New Roman"/>
          <w:b/>
          <w:sz w:val="24"/>
          <w:szCs w:val="24"/>
        </w:rPr>
      </w:pPr>
    </w:p>
    <w:p w:rsidR="008B6232" w:rsidRPr="009C614C" w:rsidP="008B6232">
      <w:pPr>
        <w:bidi w:val="0"/>
        <w:rPr>
          <w:rFonts w:ascii="Times New Roman" w:hAnsi="Times New Roman"/>
          <w:sz w:val="24"/>
          <w:szCs w:val="24"/>
        </w:rPr>
      </w:pPr>
      <w:r>
        <w:t xml:space="preserve">            </w:t>
      </w:r>
      <w:r w:rsidRPr="009C614C">
        <w:rPr>
          <w:rFonts w:ascii="Times New Roman" w:hAnsi="Times New Roman"/>
          <w:sz w:val="24"/>
          <w:szCs w:val="24"/>
        </w:rPr>
        <w:t>Schválené na rokovaní vlády Slovenskej republiky dňa 10. augusta 2011.</w:t>
      </w:r>
    </w:p>
    <w:p w:rsidR="008B6232" w:rsidP="008B6232">
      <w:pPr>
        <w:bidi w:val="0"/>
      </w:pPr>
    </w:p>
    <w:p w:rsidR="008B6232" w:rsidP="008B6232">
      <w:pPr>
        <w:bidi w:val="0"/>
      </w:pPr>
    </w:p>
    <w:p w:rsidR="008B6232" w:rsidP="008B6232">
      <w:pPr>
        <w:pStyle w:val="BodyTextIndent3"/>
        <w:bidi w:val="0"/>
        <w:ind w:left="0"/>
        <w:rPr>
          <w:sz w:val="24"/>
          <w:szCs w:val="24"/>
        </w:rPr>
      </w:pPr>
    </w:p>
    <w:p w:rsidR="008B6232" w:rsidP="008B6232">
      <w:pPr>
        <w:pStyle w:val="BodyTextIndent3"/>
        <w:bidi w:val="0"/>
        <w:ind w:left="0"/>
        <w:rPr>
          <w:sz w:val="24"/>
          <w:szCs w:val="24"/>
        </w:rPr>
      </w:pPr>
    </w:p>
    <w:p w:rsidR="008B6232" w:rsidRPr="009E3DFF" w:rsidP="008B6232">
      <w:pPr>
        <w:pStyle w:val="BodyTextIndent3"/>
        <w:bidi w:val="0"/>
        <w:ind w:left="0"/>
        <w:jc w:val="center"/>
        <w:rPr>
          <w:rFonts w:ascii="Times New Roman" w:hAnsi="Times New Roman"/>
          <w:sz w:val="24"/>
          <w:szCs w:val="24"/>
        </w:rPr>
      </w:pPr>
    </w:p>
    <w:p w:rsidR="008B6232" w:rsidRPr="009E3DFF" w:rsidP="008B6232">
      <w:pPr>
        <w:pStyle w:val="BodyTextIndent3"/>
        <w:bidi w:val="0"/>
        <w:ind w:left="0"/>
        <w:jc w:val="center"/>
        <w:rPr>
          <w:rFonts w:ascii="Times New Roman" w:hAnsi="Times New Roman"/>
          <w:bCs/>
          <w:sz w:val="24"/>
          <w:szCs w:val="24"/>
        </w:rPr>
      </w:pPr>
      <w:r w:rsidRPr="009E3DFF">
        <w:rPr>
          <w:rFonts w:ascii="Times New Roman" w:hAnsi="Times New Roman"/>
          <w:bCs/>
          <w:sz w:val="24"/>
          <w:szCs w:val="24"/>
        </w:rPr>
        <w:t>Iveta Radičová  v. r.</w:t>
      </w:r>
    </w:p>
    <w:p w:rsidR="008B6232" w:rsidRPr="009E3DFF" w:rsidP="008B6232">
      <w:pPr>
        <w:pStyle w:val="BodyTextIndent3"/>
        <w:bidi w:val="0"/>
        <w:ind w:left="0"/>
        <w:jc w:val="center"/>
        <w:rPr>
          <w:rFonts w:ascii="Times New Roman" w:hAnsi="Times New Roman"/>
          <w:bCs/>
          <w:sz w:val="24"/>
          <w:szCs w:val="24"/>
        </w:rPr>
      </w:pPr>
      <w:r w:rsidRPr="009E3DFF">
        <w:rPr>
          <w:rFonts w:ascii="Times New Roman" w:hAnsi="Times New Roman"/>
          <w:bCs/>
          <w:sz w:val="24"/>
          <w:szCs w:val="24"/>
        </w:rPr>
        <w:t>predsedníčka vlády Slovenskej republiky</w:t>
      </w:r>
    </w:p>
    <w:p w:rsidR="008B6232" w:rsidRPr="009E3DFF" w:rsidP="008B6232">
      <w:pPr>
        <w:pStyle w:val="BodyTextIndent3"/>
        <w:bidi w:val="0"/>
        <w:ind w:left="0"/>
        <w:jc w:val="center"/>
        <w:rPr>
          <w:rFonts w:ascii="Times New Roman" w:hAnsi="Times New Roman"/>
          <w:bCs/>
          <w:sz w:val="24"/>
          <w:szCs w:val="24"/>
        </w:rPr>
      </w:pPr>
    </w:p>
    <w:p w:rsidR="008B6232" w:rsidRPr="009E3DFF" w:rsidP="008B6232">
      <w:pPr>
        <w:pStyle w:val="BodyTextIndent3"/>
        <w:bidi w:val="0"/>
        <w:ind w:left="0"/>
        <w:jc w:val="center"/>
        <w:rPr>
          <w:rFonts w:ascii="Times New Roman" w:hAnsi="Times New Roman"/>
          <w:bCs/>
          <w:sz w:val="24"/>
          <w:szCs w:val="24"/>
        </w:rPr>
      </w:pPr>
    </w:p>
    <w:p w:rsidR="008B6232" w:rsidRPr="009E3DFF" w:rsidP="008B6232">
      <w:pPr>
        <w:pStyle w:val="BodyTextIndent3"/>
        <w:bidi w:val="0"/>
        <w:ind w:left="0"/>
        <w:jc w:val="center"/>
        <w:rPr>
          <w:rFonts w:ascii="Times New Roman" w:hAnsi="Times New Roman"/>
          <w:bCs/>
          <w:sz w:val="24"/>
          <w:szCs w:val="24"/>
        </w:rPr>
      </w:pPr>
    </w:p>
    <w:p w:rsidR="008B6232" w:rsidRPr="009E3DFF" w:rsidP="008B6232">
      <w:pPr>
        <w:pStyle w:val="BodyTextIndent3"/>
        <w:bidi w:val="0"/>
        <w:ind w:left="0"/>
        <w:jc w:val="center"/>
        <w:rPr>
          <w:rFonts w:ascii="Times New Roman" w:hAnsi="Times New Roman"/>
          <w:bCs/>
          <w:sz w:val="24"/>
          <w:szCs w:val="24"/>
        </w:rPr>
      </w:pPr>
      <w:r w:rsidRPr="009E3DFF">
        <w:rPr>
          <w:rFonts w:ascii="Times New Roman" w:hAnsi="Times New Roman"/>
          <w:bCs/>
          <w:sz w:val="24"/>
          <w:szCs w:val="24"/>
        </w:rPr>
        <w:t>Ivan Mikloš   v. r.</w:t>
      </w:r>
    </w:p>
    <w:p w:rsidR="008B6232" w:rsidRPr="009E3DFF" w:rsidP="008B6232">
      <w:pPr>
        <w:pStyle w:val="BodyTextIndent3"/>
        <w:bidi w:val="0"/>
        <w:ind w:left="0"/>
        <w:jc w:val="center"/>
        <w:rPr>
          <w:rFonts w:ascii="Times New Roman" w:hAnsi="Times New Roman"/>
          <w:bCs/>
          <w:sz w:val="24"/>
          <w:szCs w:val="24"/>
        </w:rPr>
      </w:pPr>
      <w:r w:rsidRPr="009E3DFF">
        <w:rPr>
          <w:rFonts w:ascii="Times New Roman" w:hAnsi="Times New Roman"/>
          <w:bCs/>
          <w:sz w:val="24"/>
          <w:szCs w:val="24"/>
        </w:rPr>
        <w:t>podpredseda vlády a minister financií Slovenskej republiky</w:t>
      </w:r>
    </w:p>
    <w:p w:rsidR="008B6232" w:rsidP="008B6232">
      <w:pPr>
        <w:bidi w:val="0"/>
        <w:rPr>
          <w:rFonts w:ascii="Times New Roman" w:hAnsi="Times New Roman"/>
          <w:sz w:val="24"/>
          <w:szCs w:val="24"/>
        </w:rPr>
      </w:pPr>
    </w:p>
    <w:p w:rsidR="008B6232" w:rsidP="008B6232">
      <w:pPr>
        <w:bidi w:val="0"/>
      </w:pPr>
    </w:p>
    <w:p w:rsidR="008B6232" w:rsidP="008B6232">
      <w:pPr>
        <w:bidi w:val="0"/>
      </w:pPr>
    </w:p>
    <w:p w:rsidR="008B6232" w:rsidP="008B6232">
      <w:pPr>
        <w:pStyle w:val="BodyText2"/>
        <w:bidi w:val="0"/>
        <w:rPr>
          <w:rFonts w:ascii="Times New Roman" w:hAnsi="Times New Roman"/>
        </w:rPr>
      </w:pPr>
    </w:p>
    <w:p w:rsidR="008B6232" w:rsidRPr="00CD630F" w:rsidP="008B6232">
      <w:pPr>
        <w:bidi w:val="0"/>
        <w:spacing w:after="0" w:line="240" w:lineRule="auto"/>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p>
    <w:p w:rsidR="008B6232" w:rsidRPr="00CD630F" w:rsidP="008B6232">
      <w:pPr>
        <w:bidi w:val="0"/>
        <w:spacing w:after="0" w:line="240" w:lineRule="auto"/>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p w:rsidR="00134147" w:rsidP="001A3FDA">
      <w:pPr>
        <w:bidi w:val="0"/>
        <w:spacing w:after="0" w:line="240" w:lineRule="auto"/>
        <w:ind w:firstLine="708"/>
        <w:jc w:val="both"/>
        <w:rPr>
          <w:rFonts w:ascii="Times New Roman" w:hAnsi="Times New Roman"/>
          <w:sz w:val="24"/>
          <w:szCs w:val="24"/>
        </w:rPr>
      </w:pPr>
    </w:p>
    <w:sectPr w:rsidSect="009E3DFF">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300D03"/>
    <w:rsid w:val="00001E6C"/>
    <w:rsid w:val="001029AA"/>
    <w:rsid w:val="00134147"/>
    <w:rsid w:val="001A3FDA"/>
    <w:rsid w:val="00220FDC"/>
    <w:rsid w:val="00300D03"/>
    <w:rsid w:val="003740CE"/>
    <w:rsid w:val="00447952"/>
    <w:rsid w:val="005B4083"/>
    <w:rsid w:val="00613542"/>
    <w:rsid w:val="007D1DDC"/>
    <w:rsid w:val="008B6232"/>
    <w:rsid w:val="009405F9"/>
    <w:rsid w:val="00966A79"/>
    <w:rsid w:val="009B4946"/>
    <w:rsid w:val="009C614C"/>
    <w:rsid w:val="009E3DFF"/>
    <w:rsid w:val="00A46088"/>
    <w:rsid w:val="00A8025E"/>
    <w:rsid w:val="00AD38F8"/>
    <w:rsid w:val="00B01543"/>
    <w:rsid w:val="00BD5A43"/>
    <w:rsid w:val="00C25B1E"/>
    <w:rsid w:val="00C95A6D"/>
    <w:rsid w:val="00CD630F"/>
    <w:rsid w:val="00CF046B"/>
    <w:rsid w:val="00D3362A"/>
    <w:rsid w:val="00DE7D66"/>
    <w:rsid w:val="00E94438"/>
    <w:rsid w:val="00EF3164"/>
    <w:rsid w:val="00EF52DC"/>
    <w:rsid w:val="00FF50F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D03"/>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unhideWhenUsed/>
    <w:rsid w:val="00220FDC"/>
    <w:pPr>
      <w:spacing w:before="100" w:beforeAutospacing="1" w:after="100" w:afterAutospacing="1" w:line="240" w:lineRule="auto"/>
      <w:jc w:val="left"/>
    </w:pPr>
    <w:rPr>
      <w:rFonts w:ascii="Times New Roman" w:hAnsi="Times New Roman"/>
      <w:sz w:val="24"/>
      <w:szCs w:val="24"/>
    </w:rPr>
  </w:style>
  <w:style w:type="character" w:styleId="PlaceholderText">
    <w:name w:val="Placeholder Text"/>
    <w:basedOn w:val="DefaultParagraphFont"/>
    <w:uiPriority w:val="99"/>
    <w:semiHidden/>
    <w:rsid w:val="00220FDC"/>
    <w:rPr>
      <w:rFonts w:ascii="Times New Roman" w:hAnsi="Times New Roman" w:cs="Times New Roman"/>
      <w:color w:val="808080"/>
      <w:rtl w:val="0"/>
      <w:cs w:val="0"/>
    </w:rPr>
  </w:style>
  <w:style w:type="paragraph" w:styleId="BodyText2">
    <w:name w:val="Body Text 2"/>
    <w:basedOn w:val="Normal"/>
    <w:link w:val="Zkladntext2Char"/>
    <w:uiPriority w:val="99"/>
    <w:semiHidden/>
    <w:unhideWhenUsed/>
    <w:rsid w:val="00220FDC"/>
    <w:pPr>
      <w:autoSpaceDE w:val="0"/>
      <w:autoSpaceDN w:val="0"/>
      <w:spacing w:after="0" w:line="240" w:lineRule="auto"/>
      <w:jc w:val="center"/>
    </w:pPr>
    <w:rPr>
      <w:rFonts w:ascii="Times New Roman" w:hAnsi="Times New Roman"/>
      <w:sz w:val="24"/>
      <w:szCs w:val="24"/>
      <w:lang w:eastAsia="en-US"/>
    </w:rPr>
  </w:style>
  <w:style w:type="character" w:customStyle="1" w:styleId="Zkladntext2Char">
    <w:name w:val="Základný text 2 Char"/>
    <w:basedOn w:val="DefaultParagraphFont"/>
    <w:link w:val="BodyText2"/>
    <w:uiPriority w:val="99"/>
    <w:semiHidden/>
    <w:locked/>
    <w:rsid w:val="00220FDC"/>
    <w:rPr>
      <w:rFonts w:ascii="Times New Roman" w:hAnsi="Times New Roman" w:cs="Times New Roman"/>
      <w:sz w:val="24"/>
      <w:szCs w:val="24"/>
      <w:rtl w:val="0"/>
      <w:cs w:val="0"/>
    </w:rPr>
  </w:style>
  <w:style w:type="paragraph" w:styleId="BodyText">
    <w:name w:val="Body Text"/>
    <w:basedOn w:val="Normal"/>
    <w:link w:val="ZkladntextChar"/>
    <w:uiPriority w:val="99"/>
    <w:semiHidden/>
    <w:unhideWhenUsed/>
    <w:rsid w:val="00220FDC"/>
    <w:pPr>
      <w:spacing w:after="120"/>
      <w:jc w:val="left"/>
    </w:pPr>
    <w:rPr>
      <w:rFonts w:asciiTheme="minorHAnsi" w:eastAsiaTheme="minorEastAsia" w:hAnsiTheme="minorHAnsi" w:cstheme="minorBidi"/>
    </w:rPr>
  </w:style>
  <w:style w:type="character" w:customStyle="1" w:styleId="ZkladntextChar">
    <w:name w:val="Základný text Char"/>
    <w:basedOn w:val="DefaultParagraphFont"/>
    <w:link w:val="BodyText"/>
    <w:uiPriority w:val="99"/>
    <w:semiHidden/>
    <w:locked/>
    <w:rsid w:val="00220FDC"/>
    <w:rPr>
      <w:rFonts w:asciiTheme="minorHAnsi" w:eastAsiaTheme="minorEastAsia" w:hAnsiTheme="minorHAnsi" w:cstheme="minorBidi"/>
      <w:rtl w:val="0"/>
      <w:cs w:val="0"/>
      <w:lang w:val="x-none" w:eastAsia="sk-SK"/>
    </w:rPr>
  </w:style>
  <w:style w:type="paragraph" w:styleId="BodyTextIndent3">
    <w:name w:val="Body Text Indent 3"/>
    <w:basedOn w:val="Normal"/>
    <w:link w:val="Zarkazkladnhotextu3Char"/>
    <w:uiPriority w:val="99"/>
    <w:semiHidden/>
    <w:unhideWhenUsed/>
    <w:rsid w:val="00134147"/>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134147"/>
    <w:rPr>
      <w:rFonts w:ascii="Calibri" w:hAnsi="Calibri" w:cs="Times New Roman"/>
      <w:sz w:val="16"/>
      <w:szCs w:val="16"/>
      <w:rtl w:val="0"/>
      <w:cs w:val="0"/>
      <w:lang w:val="x-none" w:eastAsia="sk-SK"/>
    </w:rPr>
  </w:style>
  <w:style w:type="paragraph" w:styleId="ListParagraph">
    <w:name w:val="List Paragraph"/>
    <w:basedOn w:val="Normal"/>
    <w:uiPriority w:val="34"/>
    <w:qFormat/>
    <w:rsid w:val="00134147"/>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51</TotalTime>
  <Pages>10</Pages>
  <Words>2618</Words>
  <Characters>15650</Characters>
  <Application>Microsoft Office Word</Application>
  <DocSecurity>0</DocSecurity>
  <Lines>0</Lines>
  <Paragraphs>0</Paragraphs>
  <ScaleCrop>false</ScaleCrop>
  <Company>MF SR</Company>
  <LinksUpToDate>false</LinksUpToDate>
  <CharactersWithSpaces>18232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smezeiova</dc:creator>
  <cp:lastModifiedBy>smezeiova</cp:lastModifiedBy>
  <cp:revision>17</cp:revision>
  <cp:lastPrinted>2011-08-03T07:28:00Z</cp:lastPrinted>
  <dcterms:created xsi:type="dcterms:W3CDTF">2011-06-07T12:24:00Z</dcterms:created>
  <dcterms:modified xsi:type="dcterms:W3CDTF">2011-08-11T10:43:00Z</dcterms:modified>
</cp:coreProperties>
</file>