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C5C3E" w:rsidRPr="00A64D2D" w:rsidP="001C5C3E">
      <w:pPr>
        <w:widowControl/>
        <w:jc w:val="center"/>
        <w:rPr>
          <w:rFonts w:ascii="Times New Roman" w:hAnsi="Times New Roman" w:cs="Times New Roman"/>
          <w:b/>
          <w:caps/>
          <w:color w:val="000000"/>
          <w:spacing w:val="30"/>
          <w:szCs w:val="24"/>
        </w:rPr>
      </w:pPr>
      <w:r w:rsidRPr="00A64D2D">
        <w:rPr>
          <w:rFonts w:ascii="Times New Roman" w:hAnsi="Times New Roman" w:cs="Times New Roman"/>
          <w:b/>
          <w:caps/>
          <w:color w:val="000000"/>
          <w:spacing w:val="30"/>
          <w:szCs w:val="24"/>
        </w:rPr>
        <w:t>Dôvodová správa</w:t>
      </w:r>
    </w:p>
    <w:p w:rsidR="001C5C3E" w:rsidRPr="00A64D2D" w:rsidP="001C5C3E">
      <w:pPr>
        <w:widowControl/>
        <w:jc w:val="both"/>
        <w:rPr>
          <w:rFonts w:ascii="Times New Roman" w:hAnsi="Times New Roman" w:cs="Times New Roman"/>
          <w:color w:val="000000"/>
          <w:szCs w:val="24"/>
        </w:rPr>
      </w:pPr>
    </w:p>
    <w:p w:rsidR="001C5C3E" w:rsidRPr="00A64D2D" w:rsidP="001C5C3E">
      <w:pPr>
        <w:widowControl/>
        <w:jc w:val="both"/>
        <w:rPr>
          <w:rFonts w:ascii="Times New Roman" w:hAnsi="Times New Roman" w:cs="Times New Roman"/>
          <w:color w:val="000000"/>
          <w:szCs w:val="24"/>
        </w:rPr>
      </w:pPr>
    </w:p>
    <w:p w:rsidR="001C5C3E" w:rsidRPr="00A64D2D" w:rsidP="001C5C3E">
      <w:pPr>
        <w:widowControl/>
        <w:jc w:val="both"/>
        <w:rPr>
          <w:rFonts w:ascii="Times New Roman" w:hAnsi="Times New Roman" w:cs="Times New Roman"/>
          <w:b/>
          <w:color w:val="000000"/>
          <w:szCs w:val="24"/>
        </w:rPr>
      </w:pPr>
      <w:r w:rsidRPr="00A64D2D">
        <w:rPr>
          <w:rFonts w:ascii="Times New Roman" w:hAnsi="Times New Roman" w:cs="Times New Roman"/>
          <w:b/>
          <w:color w:val="000000"/>
          <w:szCs w:val="24"/>
        </w:rPr>
        <w:t>A. Všeobecná časť</w:t>
      </w:r>
    </w:p>
    <w:p w:rsidR="001C5C3E" w:rsidRPr="00A64D2D" w:rsidP="001C5C3E">
      <w:pPr>
        <w:widowControl/>
        <w:jc w:val="both"/>
        <w:rPr>
          <w:rFonts w:ascii="Times New Roman" w:hAnsi="Times New Roman" w:cs="Times New Roman"/>
          <w:color w:val="000000"/>
          <w:szCs w:val="24"/>
        </w:rPr>
      </w:pPr>
    </w:p>
    <w:p w:rsidR="001C5C3E" w:rsidRPr="00731CD9" w:rsidP="009C26F5">
      <w:pPr>
        <w:widowControl/>
        <w:spacing w:after="120"/>
        <w:ind w:firstLine="720"/>
        <w:jc w:val="both"/>
        <w:rPr>
          <w:rStyle w:val="PlaceholderText"/>
          <w:color w:val="000000"/>
          <w:szCs w:val="24"/>
        </w:rPr>
      </w:pPr>
      <w:r>
        <w:rPr>
          <w:rStyle w:val="PlaceholderText"/>
          <w:color w:val="000000"/>
          <w:szCs w:val="24"/>
        </w:rPr>
        <w:t xml:space="preserve">Ministerstvo kultúry Slovenskej republiky predkladá návrh zákona, ktorým sa mení </w:t>
      </w:r>
      <w:r w:rsidR="001B7074">
        <w:rPr>
          <w:rStyle w:val="PlaceholderText"/>
          <w:color w:val="000000"/>
          <w:szCs w:val="24"/>
        </w:rPr>
        <w:t xml:space="preserve">                 </w:t>
      </w:r>
      <w:r>
        <w:rPr>
          <w:rStyle w:val="PlaceholderText"/>
          <w:color w:val="000000"/>
          <w:szCs w:val="24"/>
        </w:rPr>
        <w:t>a dopĺňa zákon č. 384/1997 Z. z. o divadelnej činnosti v znení neskorších predpisov; návrh zákona sa predkladá ako iniciatívny materiál, mimo Plánu legislatívnych úloh vlády Slovenskej republiky na rok 2011.</w:t>
      </w:r>
      <w:r w:rsidR="00FB1F56">
        <w:rPr>
          <w:rStyle w:val="PlaceholderText"/>
          <w:color w:val="000000"/>
          <w:szCs w:val="24"/>
        </w:rPr>
        <w:t xml:space="preserve"> </w:t>
      </w:r>
      <w:r w:rsidR="00731CD9">
        <w:rPr>
          <w:rStyle w:val="PlaceholderText"/>
          <w:color w:val="000000"/>
          <w:szCs w:val="24"/>
        </w:rPr>
        <w:t xml:space="preserve">Návrh zákona bol schválený na rokovaní vlády Slovenskej republiky uznesením č. </w:t>
      </w:r>
      <w:r w:rsidRPr="00731CD9" w:rsidR="00731CD9">
        <w:rPr>
          <w:rStyle w:val="PlaceholderText"/>
          <w:color w:val="000000"/>
          <w:szCs w:val="24"/>
        </w:rPr>
        <w:t>467/2011</w:t>
      </w:r>
      <w:r w:rsidR="00731CD9">
        <w:rPr>
          <w:rStyle w:val="PlaceholderText"/>
          <w:color w:val="000000"/>
          <w:szCs w:val="24"/>
        </w:rPr>
        <w:t>.</w:t>
      </w:r>
    </w:p>
    <w:p w:rsidR="001C5C3E" w:rsidP="009C26F5">
      <w:pPr>
        <w:widowControl/>
        <w:spacing w:after="120"/>
        <w:ind w:firstLine="720"/>
        <w:jc w:val="both"/>
        <w:rPr>
          <w:rStyle w:val="PlaceholderText"/>
          <w:color w:val="000000"/>
          <w:szCs w:val="24"/>
        </w:rPr>
      </w:pPr>
      <w:r>
        <w:rPr>
          <w:rStyle w:val="PlaceholderText"/>
          <w:color w:val="000000"/>
          <w:szCs w:val="24"/>
        </w:rPr>
        <w:t>Cieľom navrhovanej právnej úpravy je zabezpečiť súlad zákona č. 384/1997 Z. z. o divadelnej činnosti v znení neskorších predpisov s ostatnými všeobecne záväznými právnymi predpismi, a teda vykonateľnosť jeho ustanovení tak, aby nedochádzalo k nedôvodnému zásahu do práv a právom chránených záujmov divadelných umelcov, ako subjektov súkromného práva.</w:t>
      </w:r>
    </w:p>
    <w:p w:rsidR="001C5C3E" w:rsidP="009C26F5">
      <w:pPr>
        <w:widowControl/>
        <w:spacing w:after="120"/>
        <w:ind w:firstLine="720"/>
        <w:jc w:val="both"/>
        <w:rPr>
          <w:rStyle w:val="PlaceholderText"/>
          <w:color w:val="000000"/>
          <w:szCs w:val="24"/>
        </w:rPr>
      </w:pPr>
      <w:r>
        <w:rPr>
          <w:rStyle w:val="PlaceholderText"/>
          <w:color w:val="000000"/>
          <w:szCs w:val="24"/>
        </w:rPr>
        <w:t>Návrh zákona, ktorým sa mení a dopĺňa zákon č. 384/1997 Z. z. o divadelnej činnosti v znení neskorších predpisov, sa predkladá najmä z dôvodu zmeny zákona č. 575/2001 Z. z.                 o organizácii činnosti vlády a organizácii ústrednej štátnej správy v znení neskorších predpisov, kedy na základe zákona č. 403/2010 Z. z., ktorým sa mení a dopĺňa zákon č. 575/2001 Z. z.                  o organizácii činnosti vlády a organizácii ústrednej štátnej správy v znení neskorších predpisov                      a ktorým sa menia a dopĺňajú niektoré zákony, pôsobnosť Ministerstva kultúry Slovenskej republiky v oblasti podpory kultúry národnostných menšín prešla na podpredsedu vlády, ktorý neriadi ministerstvo.</w:t>
      </w:r>
    </w:p>
    <w:p w:rsidR="001C5C3E" w:rsidP="009C26F5">
      <w:pPr>
        <w:widowControl/>
        <w:spacing w:after="120"/>
        <w:ind w:firstLine="720"/>
        <w:jc w:val="both"/>
        <w:rPr>
          <w:rStyle w:val="PlaceholderText"/>
          <w:color w:val="000000"/>
          <w:szCs w:val="24"/>
        </w:rPr>
      </w:pPr>
      <w:r>
        <w:rPr>
          <w:rStyle w:val="PlaceholderText"/>
          <w:color w:val="000000"/>
          <w:szCs w:val="24"/>
        </w:rPr>
        <w:t>Návrhom zákona sa výkon štátnej správy na úseku divadelnej činnosti vo vzťahu k Tanečnému divadlu Ifjú Szivek z Ministerstva kultúry Slovenskej republiky deleguje na Úrad vlády Slovenskej republiky, v mene ktorého bude túto pôsobnosť vykonávať podpredseda vlády, ktorý neriadi ministerstvo.</w:t>
      </w:r>
    </w:p>
    <w:p w:rsidR="001C5C3E" w:rsidP="009C26F5">
      <w:pPr>
        <w:widowControl/>
        <w:spacing w:after="120"/>
        <w:ind w:firstLine="720"/>
        <w:jc w:val="both"/>
        <w:rPr>
          <w:rStyle w:val="PlaceholderText"/>
          <w:color w:val="000000"/>
          <w:szCs w:val="24"/>
        </w:rPr>
      </w:pPr>
      <w:r>
        <w:rPr>
          <w:rStyle w:val="PlaceholderText"/>
          <w:color w:val="000000"/>
          <w:szCs w:val="24"/>
        </w:rPr>
        <w:t xml:space="preserve"> Návrhom zákona sa ďalej ustanovuje procesnoprávny predpis, na základe ktorého bude poverený orgán štátnej správy rozhodovať o nároku na osobitný príspevok.  </w:t>
      </w:r>
    </w:p>
    <w:p w:rsidR="001C5C3E" w:rsidP="009C26F5">
      <w:pPr>
        <w:widowControl/>
        <w:spacing w:after="120"/>
        <w:ind w:firstLine="720"/>
        <w:jc w:val="both"/>
        <w:rPr>
          <w:rStyle w:val="PlaceholderText"/>
          <w:color w:val="000000"/>
          <w:szCs w:val="24"/>
        </w:rPr>
      </w:pPr>
      <w:r>
        <w:rPr>
          <w:rStyle w:val="PlaceholderText"/>
          <w:color w:val="000000"/>
          <w:szCs w:val="24"/>
        </w:rPr>
        <w:t>Keďže rozhodnutie orgánu verejnej správy má záväzné právne následky, ktorými môže byť o.i. aj nepriznanie nároku na osobitný príspevok, ustanovením procesnoprávneho predpisu sa právo osoby oprávnenej na podanie žiadosti o priznanie nároku v súlade s článkom 46 zákona č. 460/1992 Zb. Ústavy Slovenskej republiky v znení neskorších predpisov, ktorý garantuje uplatnenie práva na právnu ochranu, rozširuje o právo brániť sa voči rozhodnutiu, ktorým jej bol nárok na osobitný príspevok zamietnutý.</w:t>
      </w:r>
    </w:p>
    <w:p w:rsidR="001C5C3E" w:rsidP="009C26F5">
      <w:pPr>
        <w:widowControl/>
        <w:spacing w:after="120"/>
        <w:ind w:firstLine="720"/>
        <w:jc w:val="both"/>
        <w:rPr>
          <w:rStyle w:val="PlaceholderText"/>
          <w:color w:val="000000"/>
          <w:szCs w:val="24"/>
        </w:rPr>
      </w:pPr>
      <w:r>
        <w:rPr>
          <w:rStyle w:val="PlaceholderText"/>
          <w:color w:val="000000"/>
          <w:szCs w:val="24"/>
        </w:rPr>
        <w:t>Keďže predkladaný návrh zákona sa netýka hospodárskych, sociálnych, pracovných a mzdových podmienok, ani iných dôležitých záujmov zamestnancov a zamestnávateľov, nie je potrebné prerokovať ho v Hospodárskej rade vlády Slovenskej republiky.</w:t>
      </w:r>
    </w:p>
    <w:p w:rsidR="001C5C3E" w:rsidP="009C26F5">
      <w:pPr>
        <w:widowControl/>
        <w:spacing w:before="200" w:after="120"/>
        <w:ind w:firstLine="720"/>
        <w:jc w:val="both"/>
        <w:rPr>
          <w:rStyle w:val="PlaceholderText"/>
          <w:color w:val="000000"/>
          <w:szCs w:val="24"/>
        </w:rPr>
      </w:pPr>
      <w:r>
        <w:rPr>
          <w:rStyle w:val="PlaceholderText"/>
          <w:color w:val="000000"/>
          <w:szCs w:val="24"/>
        </w:rPr>
        <w:t>Predkladaný návrh zákona nezakladá žiadne vplyvy na rozpočet verejnej správy                   a na podnikateľské prostredie, nevyvoláva sociálne vplyvy, ani vplyvy na životné prostredie                 a ani na informatizáciu spoločnosti.</w:t>
      </w:r>
    </w:p>
    <w:p w:rsidR="001C5C3E" w:rsidP="009C26F5">
      <w:pPr>
        <w:widowControl/>
        <w:spacing w:after="120"/>
        <w:ind w:firstLine="720"/>
        <w:jc w:val="both"/>
        <w:rPr>
          <w:rStyle w:val="PlaceholderText"/>
          <w:color w:val="000000"/>
          <w:szCs w:val="24"/>
        </w:rPr>
      </w:pPr>
      <w:r>
        <w:rPr>
          <w:rStyle w:val="PlaceholderText"/>
          <w:color w:val="000000"/>
          <w:szCs w:val="24"/>
        </w:rPr>
        <w:t>Návrh zákona je v súlade s Ústavou, ústavnými zákonmi, medzinárodnými zmluvami, ktorými je Slovenská republika viazaná a zákonmi a súčasne je v súlade s právnom Európskej únie.</w:t>
      </w:r>
    </w:p>
    <w:p w:rsidR="00FB1F56" w:rsidP="00FB1F56">
      <w:pPr>
        <w:widowControl/>
        <w:spacing w:after="120"/>
        <w:jc w:val="center"/>
        <w:rPr>
          <w:rFonts w:ascii="Times New Roman" w:hAnsi="Times New Roman" w:cs="Times New Roman"/>
          <w:b/>
          <w:caps/>
          <w:color w:val="000000"/>
          <w:spacing w:val="30"/>
          <w:szCs w:val="24"/>
        </w:rPr>
      </w:pPr>
      <w:r w:rsidR="001C5C3E">
        <w:rPr>
          <w:rFonts w:ascii="Times New Roman" w:hAnsi="Times New Roman" w:cs="Times New Roman"/>
          <w:b/>
          <w:caps/>
          <w:color w:val="000000"/>
          <w:spacing w:val="30"/>
          <w:szCs w:val="24"/>
        </w:rPr>
        <w:t>Doložka</w:t>
      </w:r>
    </w:p>
    <w:p w:rsidR="001C5C3E" w:rsidRPr="00FB1F56" w:rsidP="00FB1F56">
      <w:pPr>
        <w:widowControl/>
        <w:spacing w:after="120"/>
        <w:jc w:val="center"/>
        <w:rPr>
          <w:rFonts w:ascii="Times New Roman" w:hAnsi="Times New Roman" w:cs="Times New Roman"/>
          <w:b/>
          <w:caps/>
          <w:color w:val="000000"/>
          <w:spacing w:val="30"/>
          <w:szCs w:val="24"/>
        </w:rPr>
      </w:pPr>
      <w:r>
        <w:rPr>
          <w:rFonts w:ascii="Times New Roman" w:hAnsi="Times New Roman" w:cs="Times New Roman"/>
          <w:b/>
          <w:color w:val="000000"/>
          <w:szCs w:val="24"/>
        </w:rPr>
        <w:t>vybraných vplyvov</w:t>
      </w:r>
    </w:p>
    <w:p w:rsidR="001C5C3E" w:rsidP="001C5C3E">
      <w:pPr>
        <w:rPr>
          <w:rFonts w:ascii="Times New Roman" w:hAnsi="Times New Roman" w:cs="Times New Roman"/>
          <w:color w:val="000000"/>
          <w:szCs w:val="24"/>
        </w:rPr>
      </w:pPr>
    </w:p>
    <w:p w:rsidR="001C5C3E" w:rsidP="001C5C3E">
      <w:pPr>
        <w:rPr>
          <w:rFonts w:ascii="Times New Roman" w:hAnsi="Times New Roman" w:cs="Times New Roman"/>
          <w:color w:val="000000"/>
          <w:szCs w:val="24"/>
        </w:rPr>
      </w:pPr>
    </w:p>
    <w:p w:rsidR="009C26F5" w:rsidP="009C26F5">
      <w:pPr>
        <w:jc w:val="both"/>
        <w:rPr>
          <w:rFonts w:ascii="Times New Roman" w:hAnsi="Times New Roman" w:cs="Times New Roman"/>
          <w:color w:val="000000"/>
          <w:szCs w:val="24"/>
        </w:rPr>
      </w:pPr>
      <w:r w:rsidR="001C5C3E">
        <w:rPr>
          <w:rFonts w:ascii="Times New Roman" w:hAnsi="Times New Roman" w:cs="Times New Roman"/>
          <w:b/>
          <w:color w:val="000000"/>
          <w:szCs w:val="24"/>
        </w:rPr>
        <w:t xml:space="preserve">A.1. Názov materiálu: </w:t>
      </w:r>
      <w:r w:rsidR="001C5C3E">
        <w:rPr>
          <w:rFonts w:ascii="Times New Roman" w:hAnsi="Times New Roman" w:cs="Times New Roman"/>
          <w:color w:val="000000"/>
          <w:szCs w:val="24"/>
        </w:rPr>
        <w:t xml:space="preserve">Návrh zákona , ktorým sa mení a dopĺňa zákon č. 384/1997 Z. z. o </w:t>
      </w:r>
    </w:p>
    <w:p w:rsidR="001C5C3E" w:rsidP="009C26F5">
      <w:pPr>
        <w:ind w:left="448"/>
        <w:jc w:val="both"/>
        <w:rPr>
          <w:rFonts w:ascii="Times New Roman" w:hAnsi="Times New Roman" w:cs="Times New Roman"/>
          <w:color w:val="000000"/>
          <w:szCs w:val="24"/>
        </w:rPr>
      </w:pPr>
      <w:r>
        <w:rPr>
          <w:rFonts w:ascii="Times New Roman" w:hAnsi="Times New Roman" w:cs="Times New Roman"/>
          <w:color w:val="000000"/>
          <w:szCs w:val="24"/>
        </w:rPr>
        <w:t>divadelnej činnosti v znení neskorších predpisov </w:t>
      </w:r>
    </w:p>
    <w:p w:rsidR="001C5C3E" w:rsidP="009C26F5">
      <w:pPr>
        <w:ind w:left="448"/>
        <w:jc w:val="both"/>
        <w:rPr>
          <w:rFonts w:ascii="Times New Roman" w:hAnsi="Times New Roman" w:cs="Times New Roman"/>
          <w:b/>
          <w:color w:val="000000"/>
          <w:szCs w:val="24"/>
        </w:rPr>
      </w:pPr>
      <w:r>
        <w:rPr>
          <w:rFonts w:ascii="Times New Roman" w:hAnsi="Times New Roman" w:cs="Times New Roman"/>
          <w:b/>
          <w:color w:val="000000"/>
          <w:szCs w:val="24"/>
        </w:rPr>
        <w:t>Termín začatia a ukončenia PPK:</w:t>
      </w:r>
      <w:r w:rsidRPr="002704AC">
        <w:rPr>
          <w:rFonts w:ascii="Times New Roman" w:hAnsi="Times New Roman" w:cs="Times New Roman"/>
          <w:color w:val="000000"/>
          <w:szCs w:val="24"/>
        </w:rPr>
        <w:t xml:space="preserve"> 22.3.2011-30.3.2011  </w:t>
      </w:r>
    </w:p>
    <w:p w:rsidR="001C5C3E" w:rsidP="001C5C3E">
      <w:pPr>
        <w:jc w:val="both"/>
        <w:rPr>
          <w:rFonts w:ascii="Times New Roman" w:hAnsi="Times New Roman" w:cs="Times New Roman"/>
          <w:b/>
          <w:color w:val="000000"/>
          <w:szCs w:val="24"/>
        </w:rPr>
      </w:pPr>
    </w:p>
    <w:p w:rsidR="001C5C3E" w:rsidP="001C5C3E">
      <w:pPr>
        <w:jc w:val="both"/>
        <w:rPr>
          <w:rFonts w:ascii="Times New Roman" w:hAnsi="Times New Roman" w:cs="Times New Roman"/>
          <w:b/>
          <w:color w:val="000000"/>
          <w:szCs w:val="24"/>
        </w:rPr>
      </w:pPr>
      <w:r>
        <w:rPr>
          <w:rFonts w:ascii="Times New Roman" w:hAnsi="Times New Roman" w:cs="Times New Roman"/>
          <w:b/>
          <w:color w:val="000000"/>
          <w:szCs w:val="24"/>
        </w:rPr>
        <w:t>A.2. Vplyvy:</w:t>
      </w:r>
    </w:p>
    <w:tbl>
      <w:tblPr>
        <w:tblStyle w:val="TableNormal"/>
        <w:tblW w:w="5000" w:type="pct"/>
        <w:tblInd w:w="0"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0"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r>
              <w:rPr>
                <w:rFonts w:ascii="Times New Roman" w:hAnsi="Times New Roman" w:cs="Times New Roman"/>
                <w:color w:val="000000"/>
                <w:szCs w:val="24"/>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r>
              <w:rPr>
                <w:rFonts w:ascii="Times New Roman" w:hAnsi="Times New Roman" w:cs="Times New Roman"/>
                <w:color w:val="000000"/>
                <w:szCs w:val="24"/>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r>
              <w:rPr>
                <w:rFonts w:ascii="Times New Roman" w:hAnsi="Times New Roman" w:cs="Times New Roman"/>
                <w:color w:val="000000"/>
                <w:szCs w:val="24"/>
              </w:rPr>
              <w:t> Negatívne </w:t>
            </w: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rPr>
                <w:rFonts w:ascii="Times New Roman" w:hAnsi="Times New Roman" w:cs="Times New Roman"/>
                <w:color w:val="000000"/>
                <w:szCs w:val="24"/>
              </w:rPr>
            </w:pPr>
            <w:r>
              <w:rPr>
                <w:rFonts w:ascii="Times New Roman" w:hAnsi="Times New Roman" w:cs="Times New Roman"/>
                <w:color w:val="000000"/>
                <w:szCs w:val="24"/>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rPr>
                <w:rFonts w:ascii="Times New Roman" w:hAnsi="Times New Roman" w:cs="Times New Roman"/>
                <w:color w:val="000000"/>
                <w:szCs w:val="24"/>
              </w:rPr>
            </w:pPr>
            <w:r>
              <w:rPr>
                <w:rFonts w:ascii="Times New Roman" w:hAnsi="Times New Roman" w:cs="Times New Roman"/>
                <w:color w:val="000000"/>
                <w:szCs w:val="24"/>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rPr>
                <w:rFonts w:ascii="Times New Roman" w:hAnsi="Times New Roman" w:cs="Times New Roman"/>
                <w:color w:val="000000"/>
                <w:szCs w:val="24"/>
              </w:rPr>
            </w:pPr>
            <w:r>
              <w:rPr>
                <w:rFonts w:ascii="Times New Roman" w:hAnsi="Times New Roman" w:cs="Times New Roman"/>
                <w:color w:val="000000"/>
                <w:szCs w:val="24"/>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rPr>
                <w:rFonts w:ascii="Times New Roman" w:hAnsi="Times New Roman" w:cs="Times New Roman"/>
                <w:color w:val="000000"/>
                <w:szCs w:val="24"/>
              </w:rPr>
            </w:pPr>
            <w:r>
              <w:rPr>
                <w:rFonts w:ascii="Times New Roman" w:hAnsi="Times New Roman" w:cs="Times New Roman"/>
                <w:color w:val="000000"/>
                <w:szCs w:val="24"/>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rPr>
                <w:rFonts w:ascii="Times New Roman" w:hAnsi="Times New Roman" w:cs="Times New Roman"/>
                <w:color w:val="000000"/>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rPr>
                <w:rFonts w:ascii="Times New Roman" w:hAnsi="Times New Roman" w:cs="Times New Roman"/>
                <w:color w:val="000000"/>
                <w:szCs w:val="24"/>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rPr>
                <w:rFonts w:ascii="Times New Roman" w:hAnsi="Times New Roman" w:cs="Times New Roman"/>
                <w:color w:val="000000"/>
                <w:szCs w:val="24"/>
              </w:rPr>
            </w:pPr>
            <w:r>
              <w:rPr>
                <w:rFonts w:ascii="Times New Roman" w:hAnsi="Times New Roman" w:cs="Times New Roman"/>
                <w:color w:val="000000"/>
                <w:szCs w:val="24"/>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rPr>
                <w:rFonts w:ascii="Times New Roman" w:hAnsi="Times New Roman" w:cs="Times New Roman"/>
                <w:color w:val="000000"/>
                <w:szCs w:val="24"/>
              </w:rPr>
            </w:pPr>
            <w:r>
              <w:rPr>
                <w:rFonts w:ascii="Times New Roman" w:hAnsi="Times New Roman" w:cs="Times New Roman"/>
                <w:color w:val="000000"/>
                <w:szCs w:val="24"/>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rPr>
                <w:rFonts w:ascii="Times New Roman" w:hAnsi="Times New Roman" w:cs="Times New Roman"/>
                <w:color w:val="000000"/>
                <w:szCs w:val="24"/>
              </w:rPr>
            </w:pPr>
            <w:r>
              <w:rPr>
                <w:rFonts w:ascii="Times New Roman" w:hAnsi="Times New Roman" w:cs="Times New Roman"/>
                <w:color w:val="000000"/>
                <w:szCs w:val="24"/>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r>
      <w:tr>
        <w:tblPrEx>
          <w:tblW w:w="5000" w:type="pct"/>
          <w:tblInd w:w="0"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rPr>
                <w:rFonts w:ascii="Times New Roman" w:hAnsi="Times New Roman" w:cs="Times New Roman"/>
                <w:color w:val="000000"/>
                <w:szCs w:val="24"/>
              </w:rPr>
            </w:pPr>
            <w:r>
              <w:rPr>
                <w:rFonts w:ascii="Times New Roman" w:hAnsi="Times New Roman" w:cs="Times New Roman"/>
                <w:color w:val="000000"/>
                <w:szCs w:val="24"/>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r>
              <w:rPr>
                <w:rFonts w:ascii="Times New Roman" w:hAnsi="Times New Roman" w:cs="Times New Roman"/>
                <w:color w:val="000000"/>
                <w:szCs w:val="24"/>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1C5C3E" w:rsidP="003145A1">
            <w:pPr>
              <w:widowControl/>
              <w:jc w:val="center"/>
              <w:rPr>
                <w:rFonts w:ascii="Times New Roman" w:hAnsi="Times New Roman" w:cs="Times New Roman"/>
                <w:color w:val="000000"/>
                <w:szCs w:val="24"/>
              </w:rPr>
            </w:pPr>
          </w:p>
        </w:tc>
      </w:tr>
    </w:tbl>
    <w:p w:rsidR="001C5C3E" w:rsidP="001C5C3E">
      <w:pPr>
        <w:widowControl/>
        <w:rPr>
          <w:rFonts w:ascii="Times New Roman" w:hAnsi="Times New Roman" w:cs="Times New Roman"/>
          <w:color w:val="000000"/>
          <w:szCs w:val="24"/>
        </w:rPr>
      </w:pPr>
      <w:r>
        <w:rPr>
          <w:rFonts w:ascii="Times New Roman" w:hAnsi="Times New Roman" w:cs="Times New Roman"/>
          <w:color w:val="000000"/>
          <w:szCs w:val="24"/>
        </w:rPr>
        <w:t> </w:t>
      </w:r>
    </w:p>
    <w:p w:rsidR="001C5C3E" w:rsidP="001C5C3E">
      <w:pPr>
        <w:jc w:val="both"/>
        <w:rPr>
          <w:rFonts w:ascii="Times New Roman" w:hAnsi="Times New Roman" w:cs="Times New Roman"/>
          <w:b/>
          <w:color w:val="000000"/>
          <w:szCs w:val="24"/>
        </w:rPr>
      </w:pPr>
      <w:r>
        <w:rPr>
          <w:rFonts w:ascii="Times New Roman" w:hAnsi="Times New Roman" w:cs="Times New Roman"/>
          <w:b/>
          <w:color w:val="000000"/>
          <w:szCs w:val="24"/>
        </w:rPr>
        <w:t>A.3. Poznámky</w:t>
      </w:r>
    </w:p>
    <w:p w:rsidR="001C5C3E" w:rsidP="001C5C3E">
      <w:pPr>
        <w:widowControl/>
        <w:spacing w:after="120"/>
        <w:ind w:left="448"/>
        <w:jc w:val="both"/>
        <w:rPr>
          <w:rFonts w:ascii="Times New Roman" w:hAnsi="Times New Roman" w:cs="Times New Roman"/>
          <w:color w:val="000000"/>
          <w:szCs w:val="24"/>
        </w:rPr>
      </w:pPr>
      <w:r>
        <w:rPr>
          <w:rFonts w:ascii="Times New Roman" w:hAnsi="Times New Roman" w:cs="Times New Roman"/>
          <w:color w:val="000000"/>
          <w:szCs w:val="24"/>
        </w:rPr>
        <w:t xml:space="preserve">Nepredpokladá sa, že navrhovaná právna úprava bude mať vplyv  na rozpočet verejnej správy, vplyv na podnikateľské prostredie, sociálny vplyv, vplyv na životné prostredie a ani vplyv na informatizáciu spoločnosti.  </w:t>
      </w:r>
    </w:p>
    <w:p w:rsidR="001C5C3E" w:rsidP="001C5C3E">
      <w:pPr>
        <w:jc w:val="both"/>
        <w:rPr>
          <w:rFonts w:ascii="Times New Roman" w:hAnsi="Times New Roman" w:cs="Times New Roman"/>
          <w:i/>
          <w:color w:val="000000"/>
          <w:szCs w:val="24"/>
        </w:rPr>
      </w:pPr>
      <w:r>
        <w:rPr>
          <w:rFonts w:ascii="Times New Roman" w:hAnsi="Times New Roman" w:cs="Times New Roman"/>
          <w:i/>
          <w:color w:val="000000"/>
          <w:szCs w:val="24"/>
        </w:rPr>
        <w:t xml:space="preserve">      </w:t>
      </w:r>
    </w:p>
    <w:p w:rsidR="001C5C3E" w:rsidP="001C5C3E">
      <w:pPr>
        <w:jc w:val="both"/>
        <w:rPr>
          <w:rFonts w:ascii="Times New Roman" w:hAnsi="Times New Roman" w:cs="Times New Roman"/>
          <w:b/>
          <w:color w:val="000000"/>
          <w:szCs w:val="24"/>
        </w:rPr>
      </w:pPr>
      <w:r>
        <w:rPr>
          <w:rFonts w:ascii="Times New Roman" w:hAnsi="Times New Roman" w:cs="Times New Roman"/>
          <w:b/>
          <w:color w:val="000000"/>
          <w:szCs w:val="24"/>
        </w:rPr>
        <w:t>A.4. Alternatívne riešenia</w:t>
      </w:r>
    </w:p>
    <w:p w:rsidR="001C5C3E" w:rsidP="001C5C3E">
      <w:pPr>
        <w:jc w:val="both"/>
        <w:rPr>
          <w:rFonts w:ascii="Times New Roman" w:hAnsi="Times New Roman" w:cs="Times New Roman"/>
          <w:b/>
          <w:color w:val="000000"/>
          <w:szCs w:val="24"/>
        </w:rPr>
      </w:pPr>
      <w:r>
        <w:rPr>
          <w:rFonts w:ascii="Times New Roman" w:hAnsi="Times New Roman" w:cs="Times New Roman"/>
          <w:color w:val="000000"/>
          <w:szCs w:val="24"/>
        </w:rPr>
        <w:t>- </w:t>
      </w:r>
    </w:p>
    <w:p w:rsidR="001C5C3E" w:rsidP="001C5C3E">
      <w:pPr>
        <w:jc w:val="both"/>
        <w:rPr>
          <w:rFonts w:ascii="Times New Roman" w:hAnsi="Times New Roman" w:cs="Times New Roman"/>
          <w:b/>
          <w:color w:val="000000"/>
          <w:szCs w:val="24"/>
        </w:rPr>
      </w:pPr>
    </w:p>
    <w:p w:rsidR="001C5C3E" w:rsidP="001C5C3E">
      <w:pPr>
        <w:jc w:val="both"/>
        <w:rPr>
          <w:rFonts w:ascii="Times New Roman" w:hAnsi="Times New Roman" w:cs="Times New Roman"/>
          <w:b/>
          <w:color w:val="000000"/>
          <w:szCs w:val="24"/>
        </w:rPr>
      </w:pPr>
      <w:r>
        <w:rPr>
          <w:rFonts w:ascii="Times New Roman" w:hAnsi="Times New Roman" w:cs="Times New Roman"/>
          <w:b/>
          <w:color w:val="000000"/>
          <w:szCs w:val="24"/>
        </w:rPr>
        <w:t>A.5. Stanovisko gestorov</w:t>
      </w:r>
    </w:p>
    <w:p w:rsidR="001C5C3E" w:rsidP="001C5C3E">
      <w:pPr>
        <w:widowControl/>
        <w:spacing w:after="120"/>
        <w:ind w:left="462" w:hanging="14"/>
        <w:jc w:val="both"/>
        <w:rPr>
          <w:rFonts w:ascii="Times New Roman" w:hAnsi="Times New Roman" w:cs="Times New Roman"/>
          <w:b/>
          <w:color w:val="000000"/>
          <w:szCs w:val="24"/>
        </w:rPr>
      </w:pPr>
      <w:r>
        <w:rPr>
          <w:rFonts w:ascii="Times New Roman" w:hAnsi="Times New Roman" w:cs="Times New Roman"/>
          <w:color w:val="000000"/>
          <w:szCs w:val="24"/>
        </w:rPr>
        <w:t>Ministerstvo financií Slovenskej republiky nemá pripomienky k doložke vybraných vplyvov.   </w:t>
      </w:r>
    </w:p>
    <w:p w:rsidR="001C5C3E" w:rsidP="001C5C3E">
      <w:pPr>
        <w:widowControl/>
        <w:spacing w:after="120"/>
        <w:ind w:left="462" w:hanging="14"/>
        <w:jc w:val="both"/>
        <w:rPr>
          <w:rFonts w:ascii="Times New Roman" w:hAnsi="Times New Roman" w:cs="Times New Roman"/>
          <w:color w:val="000000"/>
          <w:szCs w:val="24"/>
        </w:rPr>
      </w:pPr>
      <w:r>
        <w:rPr>
          <w:rFonts w:ascii="Times New Roman" w:hAnsi="Times New Roman" w:cs="Times New Roman"/>
          <w:color w:val="000000"/>
          <w:szCs w:val="24"/>
        </w:rPr>
        <w:t xml:space="preserve">Ministerstvo životného prostredia Slovenskej republiky nemá pripomienky k doložke vybraných vplyvov. </w:t>
      </w:r>
    </w:p>
    <w:p w:rsidR="001C5C3E" w:rsidP="001C5C3E">
      <w:pPr>
        <w:widowControl/>
        <w:spacing w:after="120"/>
        <w:ind w:left="462" w:hanging="14"/>
        <w:jc w:val="both"/>
        <w:rPr>
          <w:rFonts w:ascii="Times New Roman" w:hAnsi="Times New Roman" w:cs="Times New Roman"/>
          <w:color w:val="000000"/>
          <w:szCs w:val="24"/>
        </w:rPr>
      </w:pPr>
      <w:r>
        <w:rPr>
          <w:rFonts w:ascii="Times New Roman" w:hAnsi="Times New Roman" w:cs="Times New Roman"/>
          <w:color w:val="000000"/>
          <w:szCs w:val="24"/>
        </w:rPr>
        <w:t xml:space="preserve">Ministerstvo hospodárstva Slovenskej republiky nemá pripomienky k doložke vybraných vplyvov. </w:t>
      </w:r>
    </w:p>
    <w:p w:rsidR="001C5C3E" w:rsidP="001C5C3E">
      <w:pPr>
        <w:widowControl/>
        <w:spacing w:after="120"/>
        <w:ind w:left="448"/>
        <w:jc w:val="both"/>
        <w:rPr>
          <w:rFonts w:ascii="Times New Roman" w:hAnsi="Times New Roman" w:cs="Times New Roman"/>
          <w:color w:val="000000"/>
          <w:szCs w:val="24"/>
        </w:rPr>
      </w:pPr>
      <w:r>
        <w:rPr>
          <w:rFonts w:ascii="Times New Roman" w:hAnsi="Times New Roman" w:cs="Times New Roman"/>
          <w:color w:val="000000"/>
          <w:szCs w:val="24"/>
        </w:rPr>
        <w:t xml:space="preserve">Ministerstvo práce, sociálnych vecí a rodiny Slovenskej republiky nemá pripomienky k doložke vybraných vplyvov. </w:t>
      </w:r>
    </w:p>
    <w:p w:rsidR="001C5C3E" w:rsidP="001C5C3E">
      <w:pPr>
        <w:widowControl/>
        <w:spacing w:after="280" w:afterAutospacing="1"/>
        <w:rPr>
          <w:rFonts w:ascii="Times New Roman" w:hAnsi="Times New Roman" w:cs="Times New Roman"/>
          <w:color w:val="000000"/>
          <w:szCs w:val="24"/>
        </w:rPr>
      </w:pPr>
      <w:r>
        <w:rPr>
          <w:rFonts w:ascii="Times New Roman" w:hAnsi="Times New Roman" w:cs="Times New Roman"/>
          <w:color w:val="000000"/>
          <w:szCs w:val="24"/>
        </w:rPr>
        <w:t> </w:t>
      </w:r>
    </w:p>
    <w:p w:rsidR="00FB1F56" w:rsidP="001C5C3E">
      <w:pPr>
        <w:jc w:val="center"/>
        <w:rPr>
          <w:rFonts w:ascii="Times New Roman" w:hAnsi="Times New Roman" w:cs="Times New Roman"/>
          <w:b/>
          <w:caps/>
          <w:spacing w:val="30"/>
          <w:szCs w:val="24"/>
        </w:rPr>
      </w:pPr>
    </w:p>
    <w:p w:rsidR="00FB1F56" w:rsidP="001C5C3E">
      <w:pPr>
        <w:jc w:val="center"/>
        <w:rPr>
          <w:rFonts w:ascii="Times New Roman" w:hAnsi="Times New Roman" w:cs="Times New Roman"/>
          <w:b/>
          <w:caps/>
          <w:spacing w:val="30"/>
          <w:szCs w:val="24"/>
        </w:rPr>
      </w:pPr>
    </w:p>
    <w:p w:rsidR="00FB1F56" w:rsidP="001C5C3E">
      <w:pPr>
        <w:jc w:val="center"/>
        <w:rPr>
          <w:rFonts w:ascii="Times New Roman" w:hAnsi="Times New Roman" w:cs="Times New Roman"/>
          <w:b/>
          <w:caps/>
          <w:spacing w:val="30"/>
          <w:szCs w:val="24"/>
        </w:rPr>
      </w:pPr>
    </w:p>
    <w:p w:rsidR="001C5C3E" w:rsidRPr="00113283" w:rsidP="001C5C3E">
      <w:pPr>
        <w:jc w:val="center"/>
        <w:rPr>
          <w:rFonts w:ascii="Times New Roman" w:hAnsi="Times New Roman" w:cs="Times New Roman"/>
          <w:b/>
          <w:caps/>
          <w:spacing w:val="30"/>
          <w:szCs w:val="24"/>
        </w:rPr>
      </w:pPr>
      <w:r w:rsidRPr="00113283">
        <w:rPr>
          <w:rFonts w:ascii="Times New Roman" w:hAnsi="Times New Roman" w:cs="Times New Roman"/>
          <w:b/>
          <w:caps/>
          <w:spacing w:val="30"/>
          <w:szCs w:val="24"/>
        </w:rPr>
        <w:t>Doložka zlučiteľnosti</w:t>
      </w:r>
    </w:p>
    <w:p w:rsidR="001C5C3E" w:rsidRPr="00113283" w:rsidP="001C5C3E">
      <w:pPr>
        <w:jc w:val="center"/>
        <w:rPr>
          <w:rFonts w:ascii="Times New Roman" w:hAnsi="Times New Roman" w:cs="Times New Roman"/>
          <w:b/>
          <w:szCs w:val="24"/>
        </w:rPr>
      </w:pPr>
      <w:r w:rsidRPr="00113283">
        <w:rPr>
          <w:rFonts w:ascii="Times New Roman" w:hAnsi="Times New Roman" w:cs="Times New Roman"/>
          <w:b/>
          <w:szCs w:val="24"/>
        </w:rPr>
        <w:t>právneho predpisu s právom Európskej únie </w:t>
      </w:r>
    </w:p>
    <w:p w:rsidR="001C5C3E" w:rsidRPr="00113283" w:rsidP="001C5C3E">
      <w:pPr>
        <w:rPr>
          <w:rFonts w:ascii="Times New Roman" w:hAnsi="Times New Roman" w:cs="Times New Roman"/>
          <w:szCs w:val="24"/>
        </w:rPr>
      </w:pPr>
    </w:p>
    <w:p w:rsidR="001C5C3E" w:rsidRPr="00113283" w:rsidP="001C5C3E">
      <w:pPr>
        <w:rPr>
          <w:rFonts w:ascii="Times New Roman" w:hAnsi="Times New Roman" w:cs="Times New Roman"/>
          <w:szCs w:val="24"/>
        </w:rPr>
      </w:pPr>
    </w:p>
    <w:p w:rsidR="001C5C3E" w:rsidRPr="00113283" w:rsidP="001C5C3E">
      <w:pPr>
        <w:ind w:left="360" w:hanging="360"/>
        <w:rPr>
          <w:rFonts w:ascii="Times New Roman" w:hAnsi="Times New Roman" w:cs="Times New Roman"/>
          <w:b/>
          <w:szCs w:val="24"/>
        </w:rPr>
      </w:pPr>
      <w:r w:rsidRPr="00113283">
        <w:rPr>
          <w:rFonts w:ascii="Times New Roman" w:hAnsi="Times New Roman" w:cs="Times New Roman"/>
          <w:b/>
          <w:szCs w:val="24"/>
        </w:rPr>
        <w:t>1.</w:t>
        <w:tab/>
        <w:t>Predkladateľ právneho predpisu:</w:t>
      </w:r>
      <w:r w:rsidRPr="00113283">
        <w:rPr>
          <w:rFonts w:ascii="Times New Roman" w:hAnsi="Times New Roman" w:cs="Times New Roman"/>
          <w:szCs w:val="24"/>
        </w:rPr>
        <w:t xml:space="preserve"> vláda Slovenskej republiky </w:t>
      </w:r>
    </w:p>
    <w:p w:rsidR="001C5C3E" w:rsidRPr="00113283" w:rsidP="001C5C3E">
      <w:pPr>
        <w:tabs>
          <w:tab w:val="left" w:pos="360"/>
        </w:tabs>
        <w:ind w:left="360"/>
        <w:rPr>
          <w:rFonts w:ascii="Times New Roman" w:hAnsi="Times New Roman" w:cs="Times New Roman"/>
          <w:szCs w:val="24"/>
        </w:rPr>
      </w:pPr>
      <w:r w:rsidRPr="00113283">
        <w:rPr>
          <w:rFonts w:ascii="Times New Roman" w:hAnsi="Times New Roman" w:cs="Times New Roman"/>
          <w:szCs w:val="24"/>
        </w:rPr>
        <w:t xml:space="preserve"> </w:t>
      </w:r>
    </w:p>
    <w:p w:rsidR="001C5C3E" w:rsidRPr="00113283" w:rsidP="001C5C3E">
      <w:pPr>
        <w:ind w:left="360" w:hanging="360"/>
        <w:rPr>
          <w:rFonts w:ascii="Times New Roman" w:hAnsi="Times New Roman" w:cs="Times New Roman"/>
          <w:b/>
          <w:szCs w:val="24"/>
        </w:rPr>
      </w:pPr>
      <w:r w:rsidRPr="00113283">
        <w:rPr>
          <w:rFonts w:ascii="Times New Roman" w:hAnsi="Times New Roman" w:cs="Times New Roman"/>
          <w:b/>
          <w:szCs w:val="24"/>
        </w:rPr>
        <w:t>2.</w:t>
        <w:tab/>
        <w:t>Názov návrhu právneho predpisu:</w:t>
      </w:r>
      <w:r w:rsidRPr="00113283">
        <w:rPr>
          <w:rFonts w:ascii="Times New Roman" w:hAnsi="Times New Roman" w:cs="Times New Roman"/>
          <w:szCs w:val="24"/>
        </w:rPr>
        <w:t xml:space="preserve"> Návrh zákona , ktorým sa mení a dopĺňa zákon č. 384/1997 Z. z. o divadelnej činnosti v znení neskorších predpisov </w:t>
      </w:r>
    </w:p>
    <w:p w:rsidR="001C5C3E" w:rsidRPr="00113283" w:rsidP="001C5C3E">
      <w:pPr>
        <w:rPr>
          <w:rFonts w:ascii="Times New Roman" w:hAnsi="Times New Roman" w:cs="Times New Roman"/>
          <w:szCs w:val="24"/>
        </w:rPr>
      </w:pPr>
    </w:p>
    <w:p w:rsidR="001C5C3E" w:rsidRPr="00113283" w:rsidP="001C5C3E">
      <w:pPr>
        <w:ind w:left="360" w:hanging="360"/>
        <w:rPr>
          <w:rFonts w:ascii="Times New Roman" w:hAnsi="Times New Roman" w:cs="Times New Roman"/>
          <w:b/>
          <w:szCs w:val="24"/>
        </w:rPr>
      </w:pPr>
      <w:r w:rsidRPr="00113283">
        <w:rPr>
          <w:rFonts w:ascii="Times New Roman" w:hAnsi="Times New Roman" w:cs="Times New Roman"/>
          <w:b/>
          <w:szCs w:val="24"/>
        </w:rPr>
        <w:t>3.</w:t>
        <w:tab/>
        <w:t>Problematika návrhu právneho predpisu:</w:t>
      </w:r>
    </w:p>
    <w:p w:rsidR="001C5C3E" w:rsidRPr="00113283" w:rsidP="001C5C3E">
      <w:pPr>
        <w:ind w:firstLine="360"/>
        <w:rPr>
          <w:rFonts w:ascii="Times New Roman" w:hAnsi="Times New Roman" w:cs="Times New Roman"/>
          <w:szCs w:val="24"/>
        </w:rPr>
      </w:pPr>
    </w:p>
    <w:p w:rsidR="001C5C3E" w:rsidRPr="00113283" w:rsidP="001C5C3E">
      <w:pPr>
        <w:ind w:left="709" w:hanging="349"/>
        <w:rPr>
          <w:rFonts w:ascii="Times New Roman" w:hAnsi="Times New Roman" w:cs="Times New Roman"/>
          <w:szCs w:val="24"/>
        </w:rPr>
      </w:pPr>
      <w:r w:rsidRPr="00113283">
        <w:rPr>
          <w:rFonts w:ascii="Times New Roman" w:hAnsi="Times New Roman" w:cs="Times New Roman"/>
          <w:szCs w:val="24"/>
        </w:rPr>
        <w:t>a)</w:t>
        <w:tab/>
        <w:t>nie je upravená v práve Európskej únie</w:t>
      </w:r>
    </w:p>
    <w:p w:rsidR="001C5C3E" w:rsidRPr="00113283" w:rsidP="001C5C3E">
      <w:pPr>
        <w:ind w:firstLine="360"/>
        <w:rPr>
          <w:rFonts w:ascii="Times New Roman" w:hAnsi="Times New Roman" w:cs="Times New Roman"/>
          <w:szCs w:val="24"/>
        </w:rPr>
      </w:pPr>
    </w:p>
    <w:p w:rsidR="001C5C3E" w:rsidRPr="00113283" w:rsidP="001C5C3E">
      <w:pPr>
        <w:ind w:left="709" w:hanging="349"/>
        <w:rPr>
          <w:rFonts w:ascii="Times New Roman" w:hAnsi="Times New Roman" w:cs="Times New Roman"/>
          <w:szCs w:val="24"/>
        </w:rPr>
      </w:pPr>
      <w:r w:rsidRPr="00113283">
        <w:rPr>
          <w:rFonts w:ascii="Times New Roman" w:hAnsi="Times New Roman" w:cs="Times New Roman"/>
          <w:szCs w:val="24"/>
        </w:rPr>
        <w:t>b)</w:t>
        <w:tab/>
        <w:t>nie je obsiahnutá v judikatúre Súdneho dvora Európskej únie.</w:t>
      </w:r>
    </w:p>
    <w:p w:rsidR="001C5C3E" w:rsidRPr="00113283" w:rsidP="001C5C3E">
      <w:pPr>
        <w:ind w:left="360"/>
        <w:rPr>
          <w:rFonts w:ascii="Times New Roman" w:hAnsi="Times New Roman" w:cs="Times New Roman"/>
          <w:szCs w:val="24"/>
        </w:rPr>
      </w:pPr>
    </w:p>
    <w:p w:rsidR="001C5C3E" w:rsidRPr="00113283" w:rsidP="001C5C3E">
      <w:pPr>
        <w:rPr>
          <w:rFonts w:ascii="Times New Roman" w:hAnsi="Times New Roman" w:cs="Times New Roman"/>
          <w:szCs w:val="24"/>
        </w:rPr>
      </w:pPr>
    </w:p>
    <w:p w:rsidR="001C5C3E" w:rsidRPr="00113283" w:rsidP="001C5C3E">
      <w:pPr>
        <w:rPr>
          <w:rFonts w:ascii="Times New Roman" w:hAnsi="Times New Roman" w:cs="Times New Roman"/>
          <w:b/>
          <w:szCs w:val="24"/>
        </w:rPr>
      </w:pPr>
      <w:r w:rsidRPr="00113283">
        <w:rPr>
          <w:rFonts w:ascii="Times New Roman" w:hAnsi="Times New Roman" w:cs="Times New Roman"/>
          <w:b/>
          <w:szCs w:val="24"/>
        </w:rPr>
        <w:t>Vzhľadom na vnútroštátny charakter navrhovaného právneho predpisu je bezpredmetné vyjadrovať sa k bodom 4., 5. a 6. doložky zlučiteľnosti.</w:t>
      </w:r>
    </w:p>
    <w:p w:rsidR="001C5C3E" w:rsidRPr="00113283" w:rsidP="001C5C3E">
      <w:pPr>
        <w:rPr>
          <w:rFonts w:ascii="Times New Roman" w:hAnsi="Times New Roman" w:cs="Times New Roman"/>
          <w:b/>
          <w:szCs w:val="24"/>
        </w:rPr>
      </w:pPr>
    </w:p>
    <w:p w:rsidR="001C5C3E" w:rsidP="001C5C3E">
      <w:pPr>
        <w:jc w:val="center"/>
        <w:rPr>
          <w:rFonts w:ascii="Times New Roman" w:hAnsi="Times New Roman" w:cs="Times New Roman"/>
          <w:b/>
          <w:szCs w:val="24"/>
        </w:rPr>
      </w:pPr>
    </w:p>
    <w:p w:rsidR="0015201D" w:rsidP="001C5C3E">
      <w:pPr>
        <w:jc w:val="center"/>
        <w:rPr>
          <w:rFonts w:ascii="Times New Roman" w:hAnsi="Times New Roman" w:cs="Times New Roman"/>
          <w:b/>
          <w:szCs w:val="24"/>
        </w:rPr>
      </w:pPr>
    </w:p>
    <w:p w:rsidR="001C5C3E" w:rsidRPr="00C45BE2" w:rsidP="0015201D">
      <w:pPr>
        <w:spacing w:after="360"/>
        <w:jc w:val="center"/>
        <w:rPr>
          <w:rFonts w:ascii="Times New Roman" w:hAnsi="Times New Roman" w:cs="Times New Roman"/>
          <w:b/>
          <w:szCs w:val="24"/>
        </w:rPr>
      </w:pPr>
      <w:r w:rsidRPr="00C45BE2">
        <w:rPr>
          <w:rFonts w:ascii="Times New Roman" w:hAnsi="Times New Roman" w:cs="Times New Roman"/>
          <w:b/>
          <w:szCs w:val="24"/>
        </w:rPr>
        <w:t>Dôvodová správa</w:t>
      </w:r>
    </w:p>
    <w:p w:rsidR="001C5C3E" w:rsidRPr="004B5AFB" w:rsidP="0015201D">
      <w:pPr>
        <w:widowControl/>
        <w:spacing w:after="240"/>
        <w:jc w:val="both"/>
        <w:rPr>
          <w:rFonts w:ascii="Times New Roman" w:hAnsi="Times New Roman" w:cs="Times New Roman"/>
          <w:b/>
          <w:color w:val="000000"/>
          <w:szCs w:val="24"/>
        </w:rPr>
      </w:pPr>
      <w:r w:rsidRPr="004B5AFB">
        <w:rPr>
          <w:rFonts w:ascii="Times New Roman" w:hAnsi="Times New Roman" w:cs="Times New Roman"/>
          <w:b/>
          <w:color w:val="000000"/>
          <w:szCs w:val="24"/>
        </w:rPr>
        <w:t>B. Osobitná časť</w:t>
      </w:r>
    </w:p>
    <w:p w:rsidR="001C5C3E" w:rsidRPr="004B5AFB" w:rsidP="001C5C3E">
      <w:pPr>
        <w:widowControl/>
        <w:jc w:val="both"/>
        <w:rPr>
          <w:rFonts w:ascii="Times New Roman" w:hAnsi="Times New Roman" w:cs="Times New Roman"/>
          <w:color w:val="000000"/>
          <w:szCs w:val="24"/>
        </w:rPr>
      </w:pPr>
    </w:p>
    <w:p w:rsidR="001C5C3E" w:rsidRPr="004B5AFB" w:rsidP="0015201D">
      <w:pPr>
        <w:widowControl/>
        <w:spacing w:after="240"/>
        <w:jc w:val="both"/>
        <w:rPr>
          <w:rFonts w:ascii="Times New Roman" w:hAnsi="Times New Roman" w:cs="Times New Roman"/>
          <w:color w:val="000000"/>
          <w:szCs w:val="24"/>
        </w:rPr>
      </w:pPr>
      <w:r w:rsidRPr="009C26F5">
        <w:rPr>
          <w:rStyle w:val="PlaceholderText"/>
          <w:b/>
          <w:color w:val="000000"/>
          <w:szCs w:val="24"/>
          <w:u w:val="single"/>
        </w:rPr>
        <w:t xml:space="preserve">K bodu 1 </w:t>
      </w:r>
    </w:p>
    <w:p w:rsidR="001C5C3E" w:rsidRPr="009C26F5" w:rsidP="0015201D">
      <w:pPr>
        <w:widowControl/>
        <w:spacing w:after="360"/>
        <w:jc w:val="both"/>
        <w:rPr>
          <w:rStyle w:val="PlaceholderText"/>
          <w:color w:val="000000"/>
          <w:szCs w:val="24"/>
        </w:rPr>
      </w:pPr>
      <w:r w:rsidRPr="009C26F5">
        <w:rPr>
          <w:rStyle w:val="PlaceholderText"/>
          <w:color w:val="000000"/>
          <w:szCs w:val="24"/>
        </w:rPr>
        <w:t>            Legislatívno-technická úprava sa navrhuje s ohľadom na novelizačný bod 3.</w:t>
      </w:r>
    </w:p>
    <w:p w:rsidR="001C5C3E" w:rsidRPr="009C26F5" w:rsidP="0015201D">
      <w:pPr>
        <w:widowControl/>
        <w:spacing w:after="240"/>
        <w:jc w:val="both"/>
        <w:rPr>
          <w:rStyle w:val="PlaceholderText"/>
          <w:color w:val="000000"/>
          <w:szCs w:val="24"/>
        </w:rPr>
      </w:pPr>
      <w:r w:rsidRPr="009C26F5">
        <w:rPr>
          <w:rStyle w:val="PlaceholderText"/>
          <w:b/>
          <w:color w:val="000000"/>
          <w:szCs w:val="24"/>
          <w:u w:val="single"/>
        </w:rPr>
        <w:t xml:space="preserve">K bodu 2 </w:t>
      </w:r>
    </w:p>
    <w:p w:rsidR="001C5C3E" w:rsidRPr="009C26F5" w:rsidP="0015201D">
      <w:pPr>
        <w:widowControl/>
        <w:spacing w:after="360"/>
        <w:jc w:val="both"/>
        <w:rPr>
          <w:rStyle w:val="PlaceholderText"/>
          <w:color w:val="000000"/>
          <w:szCs w:val="24"/>
        </w:rPr>
      </w:pPr>
      <w:r w:rsidRPr="009C26F5">
        <w:rPr>
          <w:rStyle w:val="PlaceholderText"/>
          <w:color w:val="000000"/>
          <w:szCs w:val="24"/>
        </w:rPr>
        <w:t xml:space="preserve">            Vymedzuje sa oprávnenie orgánu štátnej správy rozhodovať o nároku na osobitný príspevok, keďže bez takéhoto vymedzenia by bola ďalšia rozhodovacia činnosť o nároku na osobitný príspevok spochybniteľná, aj s ohľadom na článok 2 ods. 2 zákona č. 460/1992 Zb. Ústavy Slovenskej republiky v znení neskorších predpisov, podľa ktorého orgány štátnej správy môžu konať iba na základe ústavy, v jej medziach a v rozsahu a spôsobom, ktorý ustanoví zákon. </w:t>
      </w:r>
    </w:p>
    <w:p w:rsidR="001C5C3E" w:rsidRPr="009C26F5" w:rsidP="0015201D">
      <w:pPr>
        <w:widowControl/>
        <w:spacing w:after="240"/>
        <w:jc w:val="both"/>
        <w:rPr>
          <w:rStyle w:val="PlaceholderText"/>
          <w:color w:val="000000"/>
          <w:szCs w:val="24"/>
        </w:rPr>
      </w:pPr>
      <w:r w:rsidRPr="009C26F5">
        <w:rPr>
          <w:rStyle w:val="PlaceholderText"/>
          <w:b/>
          <w:color w:val="000000"/>
          <w:szCs w:val="24"/>
          <w:u w:val="single"/>
        </w:rPr>
        <w:t xml:space="preserve">K bodu 3 </w:t>
      </w:r>
    </w:p>
    <w:p w:rsidR="001C5C3E" w:rsidRPr="009C26F5" w:rsidP="0015201D">
      <w:pPr>
        <w:widowControl/>
        <w:spacing w:after="360"/>
        <w:jc w:val="both"/>
        <w:rPr>
          <w:rStyle w:val="PlaceholderText"/>
          <w:color w:val="000000"/>
          <w:szCs w:val="24"/>
        </w:rPr>
      </w:pPr>
      <w:r w:rsidRPr="009C26F5">
        <w:rPr>
          <w:rStyle w:val="PlaceholderText"/>
          <w:color w:val="000000"/>
          <w:szCs w:val="24"/>
        </w:rPr>
        <w:t xml:space="preserve">            Ustanovuje sa, že štátnu správu na úseku divadelnej činnosti vo vzťahu k Tanečnému divadlu Ifjú Szivek vykonáva Úrad vlády Slovenskej republiky, v mene ktorého túto pôsobnosť vykonáva podpredseda vlády, ktorý neriadi ministerstvo. </w:t>
      </w:r>
    </w:p>
    <w:p w:rsidR="0015201D" w:rsidP="0015201D">
      <w:pPr>
        <w:widowControl/>
        <w:spacing w:after="240"/>
        <w:jc w:val="both"/>
        <w:rPr>
          <w:rStyle w:val="PlaceholderText"/>
          <w:b/>
          <w:color w:val="000000"/>
          <w:szCs w:val="24"/>
          <w:u w:val="single"/>
        </w:rPr>
      </w:pPr>
    </w:p>
    <w:p w:rsidR="001C5C3E" w:rsidRPr="009C26F5" w:rsidP="0015201D">
      <w:pPr>
        <w:widowControl/>
        <w:spacing w:after="240"/>
        <w:jc w:val="both"/>
        <w:rPr>
          <w:rStyle w:val="PlaceholderText"/>
          <w:color w:val="000000"/>
          <w:szCs w:val="24"/>
        </w:rPr>
      </w:pPr>
      <w:r w:rsidRPr="009C26F5">
        <w:rPr>
          <w:rStyle w:val="PlaceholderText"/>
          <w:b/>
          <w:color w:val="000000"/>
          <w:szCs w:val="24"/>
          <w:u w:val="single"/>
        </w:rPr>
        <w:t xml:space="preserve">K bodu 4 </w:t>
      </w:r>
    </w:p>
    <w:p w:rsidR="001C5C3E" w:rsidRPr="009C26F5" w:rsidP="0015201D">
      <w:pPr>
        <w:widowControl/>
        <w:spacing w:after="360"/>
        <w:jc w:val="both"/>
        <w:rPr>
          <w:rStyle w:val="PlaceholderText"/>
          <w:color w:val="000000"/>
          <w:szCs w:val="24"/>
        </w:rPr>
      </w:pPr>
      <w:r w:rsidRPr="009C26F5">
        <w:rPr>
          <w:rStyle w:val="PlaceholderText"/>
          <w:color w:val="000000"/>
          <w:szCs w:val="24"/>
        </w:rPr>
        <w:t>            Precizujú sa odkazy pod čiarou s ohľadom na prijaté legislatívne zmeny, ktorými boli pôvodne uvádzané právne predpisy k týmto odkazom zrušené a nahradené novými.</w:t>
      </w:r>
    </w:p>
    <w:p w:rsidR="001C5C3E" w:rsidRPr="009C26F5" w:rsidP="0015201D">
      <w:pPr>
        <w:widowControl/>
        <w:spacing w:after="240"/>
        <w:jc w:val="both"/>
        <w:rPr>
          <w:rStyle w:val="PlaceholderText"/>
          <w:color w:val="000000"/>
          <w:szCs w:val="24"/>
        </w:rPr>
      </w:pPr>
      <w:r w:rsidRPr="009C26F5">
        <w:rPr>
          <w:rStyle w:val="PlaceholderText"/>
          <w:b/>
          <w:color w:val="000000"/>
          <w:szCs w:val="24"/>
          <w:u w:val="single"/>
        </w:rPr>
        <w:t xml:space="preserve">K bodu 5 </w:t>
      </w:r>
    </w:p>
    <w:p w:rsidR="001C5C3E" w:rsidRPr="009C26F5" w:rsidP="0015201D">
      <w:pPr>
        <w:widowControl/>
        <w:spacing w:after="360"/>
        <w:jc w:val="both"/>
        <w:rPr>
          <w:rStyle w:val="PlaceholderText"/>
          <w:color w:val="000000"/>
          <w:szCs w:val="24"/>
        </w:rPr>
      </w:pPr>
      <w:r w:rsidRPr="009C26F5">
        <w:rPr>
          <w:rStyle w:val="PlaceholderText"/>
          <w:color w:val="000000"/>
          <w:szCs w:val="24"/>
        </w:rPr>
        <w:t>            Legislatívno-technická úprava.</w:t>
      </w:r>
    </w:p>
    <w:p w:rsidR="001C5C3E" w:rsidRPr="009C26F5" w:rsidP="0015201D">
      <w:pPr>
        <w:widowControl/>
        <w:spacing w:after="240"/>
        <w:jc w:val="both"/>
        <w:rPr>
          <w:rStyle w:val="PlaceholderText"/>
          <w:color w:val="000000"/>
          <w:szCs w:val="24"/>
        </w:rPr>
      </w:pPr>
      <w:r w:rsidRPr="009C26F5">
        <w:rPr>
          <w:rStyle w:val="PlaceholderText"/>
          <w:b/>
          <w:color w:val="000000"/>
          <w:szCs w:val="24"/>
          <w:u w:val="single"/>
        </w:rPr>
        <w:t>K bodu 6</w:t>
      </w:r>
    </w:p>
    <w:p w:rsidR="001C5C3E" w:rsidRPr="009C26F5" w:rsidP="0015201D">
      <w:pPr>
        <w:widowControl/>
        <w:spacing w:after="360"/>
        <w:jc w:val="both"/>
        <w:rPr>
          <w:rStyle w:val="PlaceholderText"/>
          <w:color w:val="000000"/>
          <w:szCs w:val="24"/>
        </w:rPr>
      </w:pPr>
      <w:r w:rsidRPr="009C26F5">
        <w:rPr>
          <w:rStyle w:val="PlaceholderText"/>
          <w:color w:val="000000"/>
          <w:szCs w:val="24"/>
        </w:rPr>
        <w:t>            Legislatívno-technická úprava a zároveň sa precizuje odkaz pod čiarou s ohľadom na prijaté legislatívne zmeny, ktorými boli pôvodne uvádzané právne predpisy k tomuto odkazu zrušené a nahradené novými.</w:t>
      </w:r>
    </w:p>
    <w:p w:rsidR="001C5C3E" w:rsidRPr="009C26F5" w:rsidP="0015201D">
      <w:pPr>
        <w:widowControl/>
        <w:spacing w:after="240"/>
        <w:rPr>
          <w:rStyle w:val="PlaceholderText"/>
          <w:color w:val="000000"/>
          <w:szCs w:val="24"/>
        </w:rPr>
      </w:pPr>
      <w:r w:rsidRPr="009C26F5">
        <w:rPr>
          <w:rStyle w:val="PlaceholderText"/>
          <w:b/>
          <w:color w:val="000000"/>
          <w:szCs w:val="24"/>
          <w:u w:val="single"/>
        </w:rPr>
        <w:t xml:space="preserve">K bodu 7 a 8 </w:t>
      </w:r>
    </w:p>
    <w:p w:rsidR="001C5C3E" w:rsidRPr="009C26F5" w:rsidP="0015201D">
      <w:pPr>
        <w:widowControl/>
        <w:spacing w:after="360"/>
        <w:jc w:val="both"/>
        <w:rPr>
          <w:rStyle w:val="PlaceholderText"/>
          <w:color w:val="000000"/>
          <w:szCs w:val="24"/>
        </w:rPr>
      </w:pPr>
      <w:r w:rsidRPr="009C26F5">
        <w:rPr>
          <w:rStyle w:val="PlaceholderText"/>
          <w:color w:val="000000"/>
          <w:szCs w:val="24"/>
        </w:rPr>
        <w:t>            Vzhľadom na ustanovenie § 11 zákona, ktorým sa z pôsobnosti zákona vylučujú umelci, ktorí vykonávajú divadelnú činnosť v pracovnoprávnom pomere, sa precizuje pôvodné ustanovenie §11a a pôvodný pojem „zamestnanie“ sa nahrádza novým. Zároveň sa aktualizuje názov umeleckej inštitúcie, ktorý sa na základe zriaďovacej listiny Úradu vlády Slovenskej republiky zo dňa 29. októbra 2010 zmenil s účinnosťou od 1. novembra 2010 na „Tanečné divadlo Ifjú Szivek“. Divadelný umelci vymedzení v § 11a ods. 1, ktorí sú členmi Tanečného divadla Ifjú Szivek podávajú žiadosť o osobitný príspevok úradu vlády.  </w:t>
      </w:r>
    </w:p>
    <w:p w:rsidR="001C5C3E" w:rsidRPr="009C26F5" w:rsidP="0015201D">
      <w:pPr>
        <w:widowControl/>
        <w:spacing w:after="240"/>
        <w:rPr>
          <w:rStyle w:val="PlaceholderText"/>
          <w:color w:val="000000"/>
          <w:szCs w:val="24"/>
        </w:rPr>
      </w:pPr>
      <w:r w:rsidRPr="009C26F5">
        <w:rPr>
          <w:rStyle w:val="PlaceholderText"/>
          <w:b/>
          <w:color w:val="000000"/>
          <w:szCs w:val="24"/>
          <w:u w:val="single"/>
        </w:rPr>
        <w:t>K bodu 9</w:t>
      </w:r>
    </w:p>
    <w:p w:rsidR="001C5C3E" w:rsidRPr="009C26F5" w:rsidP="0015201D">
      <w:pPr>
        <w:widowControl/>
        <w:spacing w:after="360"/>
        <w:jc w:val="both"/>
        <w:rPr>
          <w:rStyle w:val="PlaceholderText"/>
          <w:color w:val="000000"/>
          <w:szCs w:val="24"/>
        </w:rPr>
      </w:pPr>
      <w:r w:rsidRPr="009C26F5">
        <w:rPr>
          <w:rStyle w:val="PlaceholderText"/>
          <w:color w:val="000000"/>
          <w:szCs w:val="24"/>
        </w:rPr>
        <w:t>            Vzhľadom na delenie výkonu štátnej správy na úseku divadelnej činnosti  sa ustanovuje orgán štátnej správy poverený vyplácaním osobitného príspevku vo vzťahu k Tanečnému divadlu Ifjú Szivek.</w:t>
      </w:r>
    </w:p>
    <w:p w:rsidR="001C5C3E" w:rsidRPr="009C26F5" w:rsidP="0015201D">
      <w:pPr>
        <w:widowControl/>
        <w:spacing w:after="240"/>
        <w:jc w:val="both"/>
        <w:rPr>
          <w:rStyle w:val="PlaceholderText"/>
          <w:color w:val="000000"/>
          <w:szCs w:val="24"/>
        </w:rPr>
      </w:pPr>
      <w:r w:rsidRPr="009C26F5">
        <w:rPr>
          <w:rStyle w:val="PlaceholderText"/>
          <w:b/>
          <w:color w:val="000000"/>
          <w:szCs w:val="24"/>
          <w:u w:val="single"/>
        </w:rPr>
        <w:t xml:space="preserve">K bodu 10 </w:t>
      </w:r>
    </w:p>
    <w:p w:rsidR="001C5C3E" w:rsidRPr="009C26F5" w:rsidP="0015201D">
      <w:pPr>
        <w:widowControl/>
        <w:spacing w:after="360"/>
        <w:jc w:val="both"/>
        <w:rPr>
          <w:rStyle w:val="PlaceholderText"/>
          <w:color w:val="000000"/>
          <w:szCs w:val="24"/>
        </w:rPr>
      </w:pPr>
      <w:r w:rsidRPr="009C26F5">
        <w:rPr>
          <w:rStyle w:val="PlaceholderText"/>
          <w:color w:val="000000"/>
          <w:szCs w:val="24"/>
        </w:rPr>
        <w:t xml:space="preserve">            Rozhodovacie právomoci o nároku na osobitný príspevok sa rozširujú vo vzťahu k Tanečnému divadlu Ifjú Szivek na Úrad vlády Slovenskej republiky, v mene ktorého bude túto pôsobnosť vykonávať podpredseda vlády, ktorý neriadi ministerstvo. </w:t>
      </w:r>
    </w:p>
    <w:p w:rsidR="009C26F5" w:rsidP="0015201D">
      <w:pPr>
        <w:widowControl/>
        <w:spacing w:after="240"/>
        <w:jc w:val="both"/>
        <w:rPr>
          <w:rStyle w:val="PlaceholderText"/>
          <w:b/>
          <w:color w:val="000000"/>
          <w:szCs w:val="24"/>
          <w:u w:val="single"/>
        </w:rPr>
      </w:pPr>
      <w:r w:rsidRPr="009C26F5" w:rsidR="001C5C3E">
        <w:rPr>
          <w:rStyle w:val="PlaceholderText"/>
          <w:color w:val="000000"/>
          <w:szCs w:val="24"/>
        </w:rPr>
        <w:t> </w:t>
      </w:r>
      <w:r w:rsidRPr="009C26F5" w:rsidR="001C5C3E">
        <w:rPr>
          <w:rStyle w:val="PlaceholderText"/>
          <w:b/>
          <w:color w:val="000000"/>
          <w:szCs w:val="24"/>
          <w:u w:val="single"/>
        </w:rPr>
        <w:t xml:space="preserve">K bodu 11 </w:t>
      </w:r>
    </w:p>
    <w:p w:rsidR="001C5C3E" w:rsidRPr="009C26F5" w:rsidP="0015201D">
      <w:pPr>
        <w:widowControl/>
        <w:spacing w:after="360"/>
        <w:ind w:firstLine="708"/>
        <w:jc w:val="both"/>
        <w:rPr>
          <w:rStyle w:val="PlaceholderText"/>
          <w:color w:val="000000"/>
          <w:szCs w:val="24"/>
        </w:rPr>
      </w:pPr>
      <w:r w:rsidRPr="009C26F5">
        <w:rPr>
          <w:rStyle w:val="PlaceholderText"/>
          <w:color w:val="000000"/>
          <w:szCs w:val="24"/>
        </w:rPr>
        <w:t>Ustanovuje sa procesnoprávny predpis, na základe ktorého bude poverený orgán štátnej správy rozhodovať o nároku na osobitný príspevok.  Keďže rozhodnutie orgánu verejnej správy má záväzné právne následky, ktorými môže byť o.i. aj nepriznanie nároku na osobitný príspevok ustanovením procesnoprávneho predpisu sa právo osoby oprávnenej na podanie žiadosti o priznanie nároku v súlade s článkom 46 zákona č. 460/1992 Zb. Ústavy Slovenskej republiky v znení neskorších predpisov, ktorý garantuje uplatnenie práva na právnu ochranu, rozširuje o právo brániť sa voči rozhodnutiu, ktorým jej bol nárok na osobitný príspevok zamietnutý.</w:t>
      </w:r>
      <w:r w:rsidRPr="009C26F5">
        <w:rPr>
          <w:rStyle w:val="PlaceholderText"/>
          <w:b/>
          <w:color w:val="000000"/>
          <w:szCs w:val="24"/>
        </w:rPr>
        <w:t xml:space="preserve"> </w:t>
      </w:r>
    </w:p>
    <w:p w:rsidR="001C5C3E" w:rsidRPr="009C26F5" w:rsidP="0015201D">
      <w:pPr>
        <w:widowControl/>
        <w:spacing w:after="240"/>
        <w:jc w:val="both"/>
        <w:rPr>
          <w:rStyle w:val="PlaceholderText"/>
          <w:color w:val="000000"/>
          <w:szCs w:val="24"/>
        </w:rPr>
      </w:pPr>
      <w:r w:rsidRPr="009C26F5">
        <w:rPr>
          <w:rStyle w:val="PlaceholderText"/>
          <w:b/>
          <w:color w:val="000000"/>
          <w:szCs w:val="24"/>
          <w:u w:val="single"/>
        </w:rPr>
        <w:t xml:space="preserve">K bodu 12 </w:t>
      </w:r>
    </w:p>
    <w:p w:rsidR="001C5C3E" w:rsidRPr="009C26F5" w:rsidP="0015201D">
      <w:pPr>
        <w:widowControl/>
        <w:spacing w:after="360"/>
        <w:jc w:val="both"/>
        <w:rPr>
          <w:rStyle w:val="PlaceholderText"/>
          <w:color w:val="000000"/>
          <w:szCs w:val="24"/>
        </w:rPr>
      </w:pPr>
      <w:r w:rsidRPr="009C26F5">
        <w:rPr>
          <w:rStyle w:val="PlaceholderText"/>
          <w:color w:val="000000"/>
          <w:szCs w:val="24"/>
        </w:rPr>
        <w:t xml:space="preserve">            Ustanovuje sa účinnosť zákona. </w:t>
      </w:r>
      <w:r w:rsidRPr="009C26F5">
        <w:rPr>
          <w:rStyle w:val="PlaceholderText"/>
          <w:b/>
          <w:color w:val="000000"/>
          <w:szCs w:val="24"/>
        </w:rPr>
        <w:t> </w:t>
      </w:r>
    </w:p>
    <w:p w:rsidR="001C5C3E" w:rsidP="001C5C3E">
      <w:pPr>
        <w:jc w:val="both"/>
        <w:rPr>
          <w:rFonts w:ascii="Times New Roman" w:hAnsi="Times New Roman" w:cs="Times New Roman"/>
          <w:szCs w:val="24"/>
        </w:rPr>
      </w:pPr>
    </w:p>
    <w:p w:rsidR="001C5C3E" w:rsidP="001C5C3E">
      <w:pPr>
        <w:jc w:val="both"/>
        <w:rPr>
          <w:rFonts w:ascii="Times New Roman" w:hAnsi="Times New Roman" w:cs="Times New Roman"/>
          <w:szCs w:val="24"/>
        </w:rPr>
      </w:pPr>
      <w:r w:rsidRPr="0069323E">
        <w:rPr>
          <w:rFonts w:ascii="Times New Roman" w:hAnsi="Times New Roman" w:cs="Times New Roman"/>
          <w:szCs w:val="24"/>
        </w:rPr>
        <w:t xml:space="preserve">V Bratislave </w:t>
      </w:r>
      <w:r>
        <w:rPr>
          <w:rFonts w:ascii="Times New Roman" w:hAnsi="Times New Roman" w:cs="Times New Roman"/>
          <w:szCs w:val="24"/>
        </w:rPr>
        <w:t>6</w:t>
      </w:r>
      <w:r w:rsidRPr="0069323E">
        <w:rPr>
          <w:rFonts w:ascii="Times New Roman" w:hAnsi="Times New Roman" w:cs="Times New Roman"/>
          <w:szCs w:val="24"/>
        </w:rPr>
        <w:t xml:space="preserve">. </w:t>
      </w:r>
      <w:r>
        <w:rPr>
          <w:rFonts w:ascii="Times New Roman" w:hAnsi="Times New Roman" w:cs="Times New Roman"/>
          <w:szCs w:val="24"/>
        </w:rPr>
        <w:t>júla</w:t>
      </w:r>
      <w:r w:rsidRPr="0069323E">
        <w:rPr>
          <w:rFonts w:ascii="Times New Roman" w:hAnsi="Times New Roman" w:cs="Times New Roman"/>
          <w:szCs w:val="24"/>
        </w:rPr>
        <w:t xml:space="preserve"> 2011</w:t>
      </w:r>
    </w:p>
    <w:p w:rsidR="009C26F5" w:rsidRPr="0069323E" w:rsidP="001C5C3E">
      <w:pPr>
        <w:jc w:val="both"/>
        <w:rPr>
          <w:rFonts w:ascii="Times New Roman" w:hAnsi="Times New Roman" w:cs="Times New Roman"/>
          <w:szCs w:val="24"/>
        </w:rPr>
      </w:pPr>
    </w:p>
    <w:p w:rsidR="001C5C3E" w:rsidRPr="009C26F5" w:rsidP="001C5C3E">
      <w:pPr>
        <w:widowControl/>
        <w:spacing w:after="120"/>
        <w:jc w:val="both"/>
        <w:rPr>
          <w:rStyle w:val="PlaceholderText"/>
          <w:color w:val="000000"/>
          <w:szCs w:val="24"/>
        </w:rPr>
      </w:pPr>
      <w:r w:rsidRPr="009C26F5">
        <w:rPr>
          <w:rStyle w:val="PlaceholderText"/>
          <w:color w:val="000000"/>
          <w:szCs w:val="24"/>
        </w:rPr>
        <w:t> </w:t>
      </w:r>
    </w:p>
    <w:p w:rsidR="009C26F5" w:rsidP="001C5C3E">
      <w:pPr>
        <w:widowControl/>
        <w:rPr>
          <w:rStyle w:val="PlaceholderText"/>
          <w:color w:val="000000"/>
          <w:szCs w:val="24"/>
        </w:rPr>
      </w:pPr>
      <w:r w:rsidRPr="009C26F5" w:rsidR="001C5C3E">
        <w:rPr>
          <w:rStyle w:val="PlaceholderText"/>
          <w:color w:val="000000"/>
          <w:szCs w:val="24"/>
        </w:rPr>
        <w:t> </w:t>
        <w:tab/>
        <w:tab/>
        <w:tab/>
      </w:r>
    </w:p>
    <w:p w:rsidR="001C5C3E" w:rsidRPr="009C26F5" w:rsidP="001C5C3E">
      <w:pPr>
        <w:widowControl/>
        <w:rPr>
          <w:rStyle w:val="PlaceholderText"/>
          <w:b/>
          <w:color w:val="000000"/>
          <w:szCs w:val="24"/>
        </w:rPr>
      </w:pPr>
      <w:r w:rsidR="009C26F5">
        <w:rPr>
          <w:rStyle w:val="PlaceholderText"/>
          <w:color w:val="000000"/>
          <w:szCs w:val="24"/>
        </w:rPr>
        <w:tab/>
        <w:tab/>
        <w:tab/>
      </w:r>
      <w:r w:rsidRPr="009C26F5">
        <w:rPr>
          <w:rStyle w:val="PlaceholderText"/>
          <w:color w:val="000000"/>
          <w:szCs w:val="24"/>
        </w:rPr>
        <w:tab/>
        <w:tab/>
        <w:tab/>
        <w:tab/>
      </w:r>
      <w:r w:rsidR="000C63CE">
        <w:rPr>
          <w:rStyle w:val="PlaceholderText"/>
          <w:color w:val="000000"/>
          <w:szCs w:val="24"/>
        </w:rPr>
        <w:t xml:space="preserve"> </w:t>
      </w:r>
      <w:r w:rsidR="000C63CE">
        <w:rPr>
          <w:rStyle w:val="PlaceholderText"/>
          <w:b/>
          <w:color w:val="000000"/>
          <w:szCs w:val="24"/>
        </w:rPr>
        <w:t>Iveta Radičová</w:t>
      </w:r>
      <w:r w:rsidR="00E81848">
        <w:rPr>
          <w:rStyle w:val="PlaceholderText"/>
          <w:b/>
          <w:color w:val="000000"/>
          <w:szCs w:val="24"/>
        </w:rPr>
        <w:t xml:space="preserve"> v.r.</w:t>
      </w:r>
    </w:p>
    <w:p w:rsidR="001C5C3E" w:rsidRPr="009C26F5" w:rsidP="001C5C3E">
      <w:pPr>
        <w:widowControl/>
        <w:ind w:left="4320" w:firstLine="720"/>
        <w:rPr>
          <w:rStyle w:val="PlaceholderText"/>
          <w:color w:val="000000"/>
          <w:szCs w:val="24"/>
        </w:rPr>
      </w:pPr>
      <w:r w:rsidRPr="009C26F5">
        <w:rPr>
          <w:rStyle w:val="PlaceholderText"/>
          <w:color w:val="000000"/>
          <w:szCs w:val="24"/>
        </w:rPr>
        <w:t>predsedníčka vlády</w:t>
      </w:r>
    </w:p>
    <w:p w:rsidR="001C5C3E" w:rsidRPr="009C26F5" w:rsidP="001C5C3E">
      <w:pPr>
        <w:widowControl/>
        <w:ind w:left="4320" w:firstLine="720"/>
        <w:rPr>
          <w:rStyle w:val="PlaceholderText"/>
          <w:color w:val="000000"/>
          <w:szCs w:val="24"/>
        </w:rPr>
      </w:pPr>
      <w:r w:rsidRPr="009C26F5">
        <w:rPr>
          <w:rStyle w:val="PlaceholderText"/>
          <w:color w:val="000000"/>
          <w:szCs w:val="24"/>
        </w:rPr>
        <w:t>Slovenskej republiky</w:t>
      </w:r>
    </w:p>
    <w:p w:rsidR="001C5C3E" w:rsidRPr="009C26F5" w:rsidP="001C5C3E">
      <w:pPr>
        <w:widowControl/>
        <w:ind w:left="4320" w:firstLine="720"/>
        <w:rPr>
          <w:rStyle w:val="PlaceholderText"/>
          <w:color w:val="000000"/>
          <w:szCs w:val="24"/>
        </w:rPr>
      </w:pPr>
    </w:p>
    <w:p w:rsidR="001C5C3E" w:rsidRPr="009C26F5" w:rsidP="001C5C3E">
      <w:pPr>
        <w:widowControl/>
        <w:ind w:left="4320" w:firstLine="720"/>
        <w:rPr>
          <w:rStyle w:val="PlaceholderText"/>
          <w:color w:val="000000"/>
          <w:szCs w:val="24"/>
        </w:rPr>
      </w:pPr>
    </w:p>
    <w:p w:rsidR="001C5C3E" w:rsidRPr="009C26F5" w:rsidP="001C5C3E">
      <w:pPr>
        <w:widowControl/>
        <w:ind w:left="4320" w:firstLine="720"/>
        <w:rPr>
          <w:rStyle w:val="PlaceholderText"/>
          <w:color w:val="000000"/>
          <w:szCs w:val="24"/>
        </w:rPr>
      </w:pPr>
    </w:p>
    <w:p w:rsidR="001C5C3E" w:rsidRPr="009C26F5" w:rsidP="001C5C3E">
      <w:pPr>
        <w:widowControl/>
        <w:ind w:left="4320" w:firstLine="720"/>
        <w:rPr>
          <w:rStyle w:val="PlaceholderText"/>
          <w:color w:val="000000"/>
          <w:szCs w:val="24"/>
        </w:rPr>
      </w:pPr>
    </w:p>
    <w:p w:rsidR="001C5C3E" w:rsidRPr="009C26F5" w:rsidP="001C5C3E">
      <w:pPr>
        <w:widowControl/>
        <w:ind w:left="4320" w:firstLine="720"/>
        <w:rPr>
          <w:rStyle w:val="PlaceholderText"/>
          <w:color w:val="000000"/>
          <w:szCs w:val="24"/>
        </w:rPr>
      </w:pPr>
    </w:p>
    <w:p w:rsidR="001C5C3E" w:rsidRPr="009C26F5" w:rsidP="001C5C3E">
      <w:pPr>
        <w:widowControl/>
        <w:ind w:left="4320" w:firstLine="720"/>
        <w:rPr>
          <w:rStyle w:val="PlaceholderText"/>
          <w:b/>
          <w:color w:val="000000"/>
          <w:szCs w:val="24"/>
        </w:rPr>
      </w:pPr>
      <w:r w:rsidR="000C63CE">
        <w:rPr>
          <w:rStyle w:val="PlaceholderText"/>
          <w:b/>
          <w:color w:val="000000"/>
          <w:szCs w:val="24"/>
        </w:rPr>
        <w:t>Daniel Krajcer</w:t>
      </w:r>
      <w:r w:rsidR="00E81848">
        <w:rPr>
          <w:rStyle w:val="PlaceholderText"/>
          <w:b/>
          <w:color w:val="000000"/>
          <w:szCs w:val="24"/>
        </w:rPr>
        <w:t xml:space="preserve"> v.r.</w:t>
      </w:r>
    </w:p>
    <w:p w:rsidR="001C5C3E" w:rsidP="001C5C3E">
      <w:pPr>
        <w:widowControl/>
        <w:ind w:left="4320" w:firstLine="720"/>
        <w:rPr>
          <w:rStyle w:val="PlaceholderText"/>
          <w:color w:val="000000"/>
          <w:szCs w:val="24"/>
          <w:lang w:val="en-US"/>
        </w:rPr>
      </w:pPr>
      <w:r>
        <w:rPr>
          <w:rStyle w:val="PlaceholderText"/>
          <w:color w:val="000000"/>
          <w:szCs w:val="24"/>
          <w:lang w:val="en-US"/>
        </w:rPr>
        <w:t xml:space="preserve">minister kultúry </w:t>
      </w:r>
    </w:p>
    <w:p w:rsidR="001C5C3E" w:rsidRPr="003D38EF" w:rsidP="001C5C3E">
      <w:pPr>
        <w:widowControl/>
        <w:ind w:left="4320" w:firstLine="720"/>
        <w:rPr>
          <w:rStyle w:val="PlaceholderText"/>
          <w:color w:val="000000"/>
          <w:szCs w:val="24"/>
          <w:lang w:val="en-US"/>
        </w:rPr>
      </w:pPr>
      <w:r>
        <w:rPr>
          <w:rStyle w:val="PlaceholderText"/>
          <w:color w:val="000000"/>
          <w:szCs w:val="24"/>
          <w:lang w:val="en-US"/>
        </w:rPr>
        <w:t xml:space="preserve">Slovenskej republiky </w:t>
      </w:r>
    </w:p>
    <w:p w:rsidR="001C5C3E" w:rsidP="001C5C3E">
      <w:pPr>
        <w:widowControl/>
        <w:jc w:val="both"/>
        <w:rPr>
          <w:rStyle w:val="PlaceholderText"/>
          <w:color w:val="000000"/>
          <w:szCs w:val="24"/>
          <w:lang w:val="en-US"/>
        </w:rPr>
      </w:pPr>
      <w:r>
        <w:rPr>
          <w:rStyle w:val="PlaceholderText"/>
          <w:color w:val="000000"/>
          <w:szCs w:val="24"/>
          <w:lang w:val="en-US"/>
        </w:rPr>
        <w:t> </w:t>
      </w:r>
    </w:p>
    <w:p w:rsidR="001C5C3E" w:rsidP="001C5C3E">
      <w:pPr>
        <w:widowControl/>
        <w:spacing w:after="280" w:afterAutospacing="1"/>
        <w:rPr>
          <w:rStyle w:val="PlaceholderText"/>
          <w:color w:val="000000"/>
          <w:szCs w:val="24"/>
          <w:lang w:val="en-US"/>
        </w:rPr>
      </w:pPr>
      <w:r>
        <w:rPr>
          <w:rStyle w:val="PlaceholderText"/>
          <w:color w:val="000000"/>
          <w:szCs w:val="24"/>
          <w:lang w:val="en-US"/>
        </w:rPr>
        <w:t> </w:t>
      </w:r>
    </w:p>
    <w:p w:rsidR="001C5C3E" w:rsidP="001C5C3E">
      <w:pPr>
        <w:widowControl/>
        <w:spacing w:after="280" w:afterAutospacing="1"/>
        <w:rPr>
          <w:rStyle w:val="PlaceholderText"/>
          <w:color w:val="000000"/>
          <w:szCs w:val="24"/>
          <w:lang w:val="en-US"/>
        </w:rPr>
      </w:pPr>
      <w:r>
        <w:rPr>
          <w:rStyle w:val="PlaceholderText"/>
          <w:color w:val="000000"/>
          <w:szCs w:val="24"/>
          <w:lang w:val="en-US"/>
        </w:rPr>
        <w:t> </w:t>
      </w:r>
    </w:p>
    <w:p w:rsidR="00520039">
      <w:pPr>
        <w:rPr>
          <w:rFonts w:ascii="Times New Roman" w:hAnsi="Times New Roman" w:cs="Times New Roman"/>
          <w:szCs w:val="24"/>
        </w:rPr>
      </w:pPr>
    </w:p>
    <w:sectPr>
      <w:pgMar w:top="1417" w:right="1440" w:bottom="1417" w:left="1440"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Tahoma">
    <w:altName w:val="Tahoma"/>
    <w:panose1 w:val="020B0604030504040204"/>
    <w:charset w:val="EE"/>
    <w:family w:val="swiss"/>
    <w:pitch w:val="variable"/>
    <w:sig w:usb0="00000000" w:usb1="00000000" w:usb2="00000000"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oNotHyphenateCaps/>
  <w:noPunctuationKerning/>
  <w:characterSpacingControl w:val="doNotCompress"/>
  <w:compat>
    <w:useWord2002TableStyleRules/>
    <w:growAutofit/>
    <w:doNotUseIndentAsNumberingTabStop/>
    <w:allowSpaceOfSameStyleInTable/>
    <w:splitPgBreakAndParaMark/>
    <w:useAnsiKerningPairs/>
  </w:compat>
  <w:rsids>
    <w:rsidRoot w:val="001C5C3E"/>
    <w:rsid w:val="00001861"/>
    <w:rsid w:val="000032E1"/>
    <w:rsid w:val="00017F7D"/>
    <w:rsid w:val="00026E55"/>
    <w:rsid w:val="000276F4"/>
    <w:rsid w:val="0005343C"/>
    <w:rsid w:val="00061BAF"/>
    <w:rsid w:val="00066957"/>
    <w:rsid w:val="00070668"/>
    <w:rsid w:val="00076CFA"/>
    <w:rsid w:val="00086217"/>
    <w:rsid w:val="00096358"/>
    <w:rsid w:val="000A15ED"/>
    <w:rsid w:val="000C63CE"/>
    <w:rsid w:val="000C6B70"/>
    <w:rsid w:val="000D5881"/>
    <w:rsid w:val="000E099E"/>
    <w:rsid w:val="00113283"/>
    <w:rsid w:val="001217AE"/>
    <w:rsid w:val="00122500"/>
    <w:rsid w:val="00124857"/>
    <w:rsid w:val="0013408E"/>
    <w:rsid w:val="00134C18"/>
    <w:rsid w:val="0013705A"/>
    <w:rsid w:val="001404CB"/>
    <w:rsid w:val="00142EB3"/>
    <w:rsid w:val="00147E72"/>
    <w:rsid w:val="0015201D"/>
    <w:rsid w:val="00156E66"/>
    <w:rsid w:val="0016047E"/>
    <w:rsid w:val="00181FA4"/>
    <w:rsid w:val="001A7461"/>
    <w:rsid w:val="001B4561"/>
    <w:rsid w:val="001B5DF9"/>
    <w:rsid w:val="001B7074"/>
    <w:rsid w:val="001B7B2B"/>
    <w:rsid w:val="001C5C3E"/>
    <w:rsid w:val="001D109B"/>
    <w:rsid w:val="001D1725"/>
    <w:rsid w:val="001D1D4B"/>
    <w:rsid w:val="001D40B1"/>
    <w:rsid w:val="001D7E75"/>
    <w:rsid w:val="001F7D8E"/>
    <w:rsid w:val="00206C95"/>
    <w:rsid w:val="002369E1"/>
    <w:rsid w:val="00242CAA"/>
    <w:rsid w:val="00251D33"/>
    <w:rsid w:val="002704AC"/>
    <w:rsid w:val="002832F0"/>
    <w:rsid w:val="002935AB"/>
    <w:rsid w:val="00295012"/>
    <w:rsid w:val="002C131A"/>
    <w:rsid w:val="002C73B4"/>
    <w:rsid w:val="002D1955"/>
    <w:rsid w:val="002F2863"/>
    <w:rsid w:val="002F600F"/>
    <w:rsid w:val="002F7849"/>
    <w:rsid w:val="003106D7"/>
    <w:rsid w:val="003145A1"/>
    <w:rsid w:val="003230A2"/>
    <w:rsid w:val="0032604A"/>
    <w:rsid w:val="003302B4"/>
    <w:rsid w:val="00330B54"/>
    <w:rsid w:val="00331541"/>
    <w:rsid w:val="00333076"/>
    <w:rsid w:val="003649A1"/>
    <w:rsid w:val="00375F9A"/>
    <w:rsid w:val="00382B43"/>
    <w:rsid w:val="003859DB"/>
    <w:rsid w:val="003A440E"/>
    <w:rsid w:val="003A5FDC"/>
    <w:rsid w:val="003B4003"/>
    <w:rsid w:val="003B6C5D"/>
    <w:rsid w:val="003D335C"/>
    <w:rsid w:val="003D38EF"/>
    <w:rsid w:val="0041214A"/>
    <w:rsid w:val="004228CE"/>
    <w:rsid w:val="004326F9"/>
    <w:rsid w:val="00432A35"/>
    <w:rsid w:val="00444868"/>
    <w:rsid w:val="0045040F"/>
    <w:rsid w:val="00454681"/>
    <w:rsid w:val="00454E44"/>
    <w:rsid w:val="0046045F"/>
    <w:rsid w:val="0048387F"/>
    <w:rsid w:val="004959F4"/>
    <w:rsid w:val="00495A56"/>
    <w:rsid w:val="004A031E"/>
    <w:rsid w:val="004A2E9D"/>
    <w:rsid w:val="004A5A43"/>
    <w:rsid w:val="004A5BB1"/>
    <w:rsid w:val="004B5251"/>
    <w:rsid w:val="004B5AFB"/>
    <w:rsid w:val="004C0DCB"/>
    <w:rsid w:val="004D2893"/>
    <w:rsid w:val="004E739F"/>
    <w:rsid w:val="004F1170"/>
    <w:rsid w:val="004F720B"/>
    <w:rsid w:val="004F79B4"/>
    <w:rsid w:val="005026D7"/>
    <w:rsid w:val="00503614"/>
    <w:rsid w:val="00512180"/>
    <w:rsid w:val="00516B6D"/>
    <w:rsid w:val="00520039"/>
    <w:rsid w:val="00526A16"/>
    <w:rsid w:val="00527C7B"/>
    <w:rsid w:val="00542E9E"/>
    <w:rsid w:val="00545DD6"/>
    <w:rsid w:val="005606D4"/>
    <w:rsid w:val="005956D2"/>
    <w:rsid w:val="005B3C1D"/>
    <w:rsid w:val="005C45BE"/>
    <w:rsid w:val="005D0875"/>
    <w:rsid w:val="005D3C0B"/>
    <w:rsid w:val="005D4272"/>
    <w:rsid w:val="005D42F5"/>
    <w:rsid w:val="005E040E"/>
    <w:rsid w:val="005E357F"/>
    <w:rsid w:val="005F5663"/>
    <w:rsid w:val="006107C3"/>
    <w:rsid w:val="006110EF"/>
    <w:rsid w:val="00614F3E"/>
    <w:rsid w:val="00632E7A"/>
    <w:rsid w:val="00645D52"/>
    <w:rsid w:val="006511A1"/>
    <w:rsid w:val="00687E6B"/>
    <w:rsid w:val="0069171B"/>
    <w:rsid w:val="0069323E"/>
    <w:rsid w:val="00696CDB"/>
    <w:rsid w:val="00697D80"/>
    <w:rsid w:val="006A4995"/>
    <w:rsid w:val="006A5854"/>
    <w:rsid w:val="006B0F9E"/>
    <w:rsid w:val="006B392C"/>
    <w:rsid w:val="006B598E"/>
    <w:rsid w:val="006C1A42"/>
    <w:rsid w:val="006D16BB"/>
    <w:rsid w:val="006D6F0B"/>
    <w:rsid w:val="006E432B"/>
    <w:rsid w:val="006F250D"/>
    <w:rsid w:val="006F76CB"/>
    <w:rsid w:val="00730284"/>
    <w:rsid w:val="00730A67"/>
    <w:rsid w:val="00731CD9"/>
    <w:rsid w:val="0073697A"/>
    <w:rsid w:val="007421C0"/>
    <w:rsid w:val="007575F8"/>
    <w:rsid w:val="007604A9"/>
    <w:rsid w:val="007608B2"/>
    <w:rsid w:val="0076565E"/>
    <w:rsid w:val="007714AF"/>
    <w:rsid w:val="00775C45"/>
    <w:rsid w:val="007833D5"/>
    <w:rsid w:val="007B5C55"/>
    <w:rsid w:val="007B5F8E"/>
    <w:rsid w:val="007C1EC0"/>
    <w:rsid w:val="007D2C35"/>
    <w:rsid w:val="007E0945"/>
    <w:rsid w:val="007E1730"/>
    <w:rsid w:val="007E1D35"/>
    <w:rsid w:val="007E49D8"/>
    <w:rsid w:val="007F369E"/>
    <w:rsid w:val="007F6F40"/>
    <w:rsid w:val="007F7DB4"/>
    <w:rsid w:val="008017F5"/>
    <w:rsid w:val="0080210F"/>
    <w:rsid w:val="00803FF0"/>
    <w:rsid w:val="008053DB"/>
    <w:rsid w:val="00807419"/>
    <w:rsid w:val="00810A95"/>
    <w:rsid w:val="00820F86"/>
    <w:rsid w:val="0082357F"/>
    <w:rsid w:val="0082545F"/>
    <w:rsid w:val="00826CEA"/>
    <w:rsid w:val="00835533"/>
    <w:rsid w:val="008361C1"/>
    <w:rsid w:val="008370A0"/>
    <w:rsid w:val="008651EE"/>
    <w:rsid w:val="00872874"/>
    <w:rsid w:val="00880BD0"/>
    <w:rsid w:val="00882DE3"/>
    <w:rsid w:val="00894A00"/>
    <w:rsid w:val="008A1231"/>
    <w:rsid w:val="008A4A41"/>
    <w:rsid w:val="008A7759"/>
    <w:rsid w:val="008C1821"/>
    <w:rsid w:val="008C7988"/>
    <w:rsid w:val="008D7BEB"/>
    <w:rsid w:val="008E6C97"/>
    <w:rsid w:val="008F14C4"/>
    <w:rsid w:val="009070E9"/>
    <w:rsid w:val="009204A0"/>
    <w:rsid w:val="00921DDA"/>
    <w:rsid w:val="00925FCC"/>
    <w:rsid w:val="009309D7"/>
    <w:rsid w:val="00936E63"/>
    <w:rsid w:val="009448B6"/>
    <w:rsid w:val="009464D5"/>
    <w:rsid w:val="00956514"/>
    <w:rsid w:val="009612E4"/>
    <w:rsid w:val="00961FD4"/>
    <w:rsid w:val="009720EA"/>
    <w:rsid w:val="00973A70"/>
    <w:rsid w:val="009756BD"/>
    <w:rsid w:val="00976FF8"/>
    <w:rsid w:val="00983FD6"/>
    <w:rsid w:val="009B2E2C"/>
    <w:rsid w:val="009B2F03"/>
    <w:rsid w:val="009C26F5"/>
    <w:rsid w:val="009C539B"/>
    <w:rsid w:val="009D5A9B"/>
    <w:rsid w:val="009E0626"/>
    <w:rsid w:val="009E0F0D"/>
    <w:rsid w:val="009F7E07"/>
    <w:rsid w:val="00A108CB"/>
    <w:rsid w:val="00A11923"/>
    <w:rsid w:val="00A15645"/>
    <w:rsid w:val="00A22922"/>
    <w:rsid w:val="00A255F3"/>
    <w:rsid w:val="00A31587"/>
    <w:rsid w:val="00A31879"/>
    <w:rsid w:val="00A374BB"/>
    <w:rsid w:val="00A410C3"/>
    <w:rsid w:val="00A41B9E"/>
    <w:rsid w:val="00A64D2D"/>
    <w:rsid w:val="00A65852"/>
    <w:rsid w:val="00A65B4E"/>
    <w:rsid w:val="00A704E6"/>
    <w:rsid w:val="00A710F4"/>
    <w:rsid w:val="00A77DE6"/>
    <w:rsid w:val="00A90C4A"/>
    <w:rsid w:val="00AA1B06"/>
    <w:rsid w:val="00AA3090"/>
    <w:rsid w:val="00AA5602"/>
    <w:rsid w:val="00AD15E2"/>
    <w:rsid w:val="00AD4185"/>
    <w:rsid w:val="00AE2EA5"/>
    <w:rsid w:val="00AE7E8C"/>
    <w:rsid w:val="00AF5E7E"/>
    <w:rsid w:val="00B16A37"/>
    <w:rsid w:val="00B22A59"/>
    <w:rsid w:val="00B23885"/>
    <w:rsid w:val="00B24CED"/>
    <w:rsid w:val="00B334B5"/>
    <w:rsid w:val="00B50745"/>
    <w:rsid w:val="00B517FE"/>
    <w:rsid w:val="00B71CBA"/>
    <w:rsid w:val="00B73723"/>
    <w:rsid w:val="00B740CE"/>
    <w:rsid w:val="00B819AC"/>
    <w:rsid w:val="00B82F34"/>
    <w:rsid w:val="00B941FF"/>
    <w:rsid w:val="00B971A9"/>
    <w:rsid w:val="00BB79DB"/>
    <w:rsid w:val="00BC50F4"/>
    <w:rsid w:val="00BC6BF4"/>
    <w:rsid w:val="00BD125E"/>
    <w:rsid w:val="00BE0F79"/>
    <w:rsid w:val="00BE1B56"/>
    <w:rsid w:val="00BE56B1"/>
    <w:rsid w:val="00BF6D30"/>
    <w:rsid w:val="00C03E26"/>
    <w:rsid w:val="00C116FA"/>
    <w:rsid w:val="00C13288"/>
    <w:rsid w:val="00C21F65"/>
    <w:rsid w:val="00C239FC"/>
    <w:rsid w:val="00C27802"/>
    <w:rsid w:val="00C27922"/>
    <w:rsid w:val="00C37175"/>
    <w:rsid w:val="00C40D02"/>
    <w:rsid w:val="00C45BE2"/>
    <w:rsid w:val="00C469BF"/>
    <w:rsid w:val="00C521C3"/>
    <w:rsid w:val="00C52EDF"/>
    <w:rsid w:val="00C54989"/>
    <w:rsid w:val="00C6087A"/>
    <w:rsid w:val="00C608D1"/>
    <w:rsid w:val="00C7734B"/>
    <w:rsid w:val="00CA3D52"/>
    <w:rsid w:val="00CB6AAF"/>
    <w:rsid w:val="00CD0BA6"/>
    <w:rsid w:val="00CD0E28"/>
    <w:rsid w:val="00CE12E2"/>
    <w:rsid w:val="00CE201C"/>
    <w:rsid w:val="00CE65BC"/>
    <w:rsid w:val="00CE6CB2"/>
    <w:rsid w:val="00CF323E"/>
    <w:rsid w:val="00CF55EA"/>
    <w:rsid w:val="00D01784"/>
    <w:rsid w:val="00D04B63"/>
    <w:rsid w:val="00D33EEE"/>
    <w:rsid w:val="00D5209D"/>
    <w:rsid w:val="00D63FD7"/>
    <w:rsid w:val="00D65C35"/>
    <w:rsid w:val="00DA3999"/>
    <w:rsid w:val="00DB427A"/>
    <w:rsid w:val="00DB6591"/>
    <w:rsid w:val="00DE080B"/>
    <w:rsid w:val="00DE6923"/>
    <w:rsid w:val="00E05626"/>
    <w:rsid w:val="00E12F64"/>
    <w:rsid w:val="00E14913"/>
    <w:rsid w:val="00E15ED2"/>
    <w:rsid w:val="00E224A7"/>
    <w:rsid w:val="00E27996"/>
    <w:rsid w:val="00E45E18"/>
    <w:rsid w:val="00E47019"/>
    <w:rsid w:val="00E50452"/>
    <w:rsid w:val="00E51264"/>
    <w:rsid w:val="00E52AD6"/>
    <w:rsid w:val="00E66EA2"/>
    <w:rsid w:val="00E670DB"/>
    <w:rsid w:val="00E7502B"/>
    <w:rsid w:val="00E80B55"/>
    <w:rsid w:val="00E81848"/>
    <w:rsid w:val="00E9192E"/>
    <w:rsid w:val="00EE146C"/>
    <w:rsid w:val="00EE2077"/>
    <w:rsid w:val="00EF1527"/>
    <w:rsid w:val="00EF1F67"/>
    <w:rsid w:val="00F1007B"/>
    <w:rsid w:val="00F12A61"/>
    <w:rsid w:val="00F20F33"/>
    <w:rsid w:val="00F35321"/>
    <w:rsid w:val="00F44C94"/>
    <w:rsid w:val="00F45F73"/>
    <w:rsid w:val="00F636D6"/>
    <w:rsid w:val="00F66B30"/>
    <w:rsid w:val="00F75506"/>
    <w:rsid w:val="00F835E1"/>
    <w:rsid w:val="00F9089C"/>
    <w:rsid w:val="00FA3ADE"/>
    <w:rsid w:val="00FA7EC1"/>
    <w:rsid w:val="00FB1F56"/>
    <w:rsid w:val="00FC440D"/>
    <w:rsid w:val="00FD06FA"/>
    <w:rsid w:val="00FD297E"/>
    <w:rsid w:val="00FD4AD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1C5C3E"/>
    <w:pPr>
      <w:widowControl w:val="0"/>
      <w:autoSpaceDE/>
      <w:autoSpaceDN/>
      <w:adjustRightInd w:val="0"/>
      <w:ind w:left="0" w:right="0"/>
      <w:jc w:val="left"/>
      <w:textAlignment w:val="auto"/>
    </w:pPr>
    <w:rPr>
      <w:sz w:val="24"/>
      <w:lang w:val="sk-SK" w:eastAsia="sk-SK"/>
    </w:rPr>
  </w:style>
  <w:style w:type="character" w:default="1" w:styleId="DefaultParagraphFont">
    <w:name w:val="Default Paragraph Font"/>
    <w:link w:val="CharChar"/>
    <w:uiPriority w:val="99"/>
    <w:semiHidden/>
    <w:locked/>
  </w:style>
  <w:style w:type="table" w:default="1" w:styleId="TableNormal">
    <w:name w:val="Normal Table"/>
    <w:uiPriority w:val="99"/>
    <w:semiHidden/>
    <w:tblPr>
      <w:tblCellMar>
        <w:top w:w="0" w:type="dxa"/>
        <w:left w:w="108" w:type="dxa"/>
        <w:bottom w:w="0" w:type="dxa"/>
        <w:right w:w="108" w:type="dxa"/>
      </w:tblCellMar>
    </w:tblPr>
  </w:style>
  <w:style w:type="character" w:styleId="PlaceholderText">
    <w:name w:val="Placeholder Text"/>
    <w:basedOn w:val="DefaultParagraphFont"/>
    <w:uiPriority w:val="99"/>
    <w:semiHidden/>
    <w:rsid w:val="001C5C3E"/>
    <w:rPr>
      <w:rFonts w:ascii="Times New Roman" w:hAnsi="Times New Roman" w:cs="Times New Roman"/>
      <w:color w:val="808080"/>
    </w:rPr>
  </w:style>
  <w:style w:type="paragraph" w:customStyle="1" w:styleId="CharChar">
    <w:name w:val="Char Char"/>
    <w:basedOn w:val="Normal"/>
    <w:link w:val="DefaultParagraphFont"/>
    <w:uiPriority w:val="99"/>
    <w:rsid w:val="001C5C3E"/>
    <w:pPr>
      <w:spacing w:after="160" w:line="240" w:lineRule="exact"/>
      <w:jc w:val="both"/>
      <w:textAlignment w:val="baseline"/>
    </w:pPr>
    <w:rPr>
      <w:rFonts w:ascii="Tahoma" w:hAnsi="Tahoma" w:cs="Tahoma"/>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1238</Words>
  <Characters>7063</Characters>
  <Application>Microsoft Office Word</Application>
  <DocSecurity>0</DocSecurity>
  <Lines>0</Lines>
  <Paragraphs>0</Paragraphs>
  <ScaleCrop>false</ScaleCrop>
  <Company>MKSR</Company>
  <LinksUpToDate>false</LinksUpToDate>
  <CharactersWithSpaces>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kollarova</dc:creator>
  <cp:lastModifiedBy>kollarova</cp:lastModifiedBy>
  <cp:revision>2</cp:revision>
  <dcterms:created xsi:type="dcterms:W3CDTF">2011-08-01T15:40:00Z</dcterms:created>
  <dcterms:modified xsi:type="dcterms:W3CDTF">2011-08-01T15:40:00Z</dcterms:modified>
</cp:coreProperties>
</file>