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64C7" w:rsidP="00CB0E59">
      <w:pPr>
        <w:jc w:val="center"/>
        <w:rPr>
          <w:rFonts w:cs="Calibri"/>
        </w:rPr>
      </w:pPr>
      <w:bookmarkStart w:id="0" w:name="_Toc88172381"/>
    </w:p>
    <w:p w:rsidR="00DF64C7" w:rsidP="00CB0E59">
      <w:pPr>
        <w:jc w:val="center"/>
        <w:rPr>
          <w:rFonts w:cs="Calibri"/>
        </w:rPr>
      </w:pPr>
    </w:p>
    <w:p w:rsidR="00DF64C7" w:rsidP="00CB0E59">
      <w:pPr>
        <w:jc w:val="center"/>
        <w:rPr>
          <w:rFonts w:cs="Calibri"/>
        </w:rPr>
      </w:pPr>
    </w:p>
    <w:p w:rsidR="00DF64C7" w:rsidP="00CB0E59">
      <w:pPr>
        <w:jc w:val="center"/>
        <w:rPr>
          <w:rFonts w:cs="Calibri"/>
        </w:rPr>
      </w:pPr>
    </w:p>
    <w:p w:rsidR="00DF64C7" w:rsidP="00CB0E59">
      <w:pPr>
        <w:jc w:val="center"/>
        <w:rPr>
          <w:rFonts w:cs="Calibri"/>
        </w:rPr>
      </w:pPr>
    </w:p>
    <w:p w:rsidR="00DF64C7" w:rsidP="00CB0E59">
      <w:pPr>
        <w:jc w:val="center"/>
        <w:rPr>
          <w:rFonts w:cs="Calibri"/>
        </w:rPr>
      </w:pPr>
    </w:p>
    <w:p w:rsidR="00DF64C7" w:rsidP="00CB0E59">
      <w:pPr>
        <w:jc w:val="center"/>
        <w:rPr>
          <w:rFonts w:cs="Calibri"/>
        </w:rPr>
      </w:pPr>
    </w:p>
    <w:p w:rsidR="00DF64C7" w:rsidP="00CB0E59">
      <w:pPr>
        <w:jc w:val="center"/>
        <w:rPr>
          <w:rFonts w:cs="Calibri"/>
        </w:rPr>
      </w:pPr>
    </w:p>
    <w:p w:rsidR="00DF64C7" w:rsidP="00CB0E59">
      <w:pPr>
        <w:jc w:val="center"/>
        <w:rPr>
          <w:rFonts w:cs="Calibri"/>
        </w:rPr>
      </w:pPr>
    </w:p>
    <w:p w:rsidR="00DF64C7" w:rsidP="00CB0E59">
      <w:pPr>
        <w:jc w:val="center"/>
        <w:rPr>
          <w:rFonts w:cs="Calibri"/>
        </w:rPr>
      </w:pPr>
    </w:p>
    <w:p w:rsidR="00DF64C7" w:rsidP="00CB0E59">
      <w:pPr>
        <w:jc w:val="center"/>
        <w:rPr>
          <w:rFonts w:cs="Calibri"/>
        </w:rPr>
      </w:pPr>
    </w:p>
    <w:p w:rsidR="00DF64C7" w:rsidP="00CB0E59">
      <w:pPr>
        <w:jc w:val="center"/>
        <w:rPr>
          <w:rFonts w:cs="Calibri"/>
        </w:rPr>
      </w:pPr>
    </w:p>
    <w:p w:rsidR="00DF64C7" w:rsidP="00CB0E59">
      <w:pPr>
        <w:jc w:val="center"/>
        <w:rPr>
          <w:rFonts w:cs="Calibri"/>
        </w:rPr>
      </w:pPr>
    </w:p>
    <w:p w:rsidR="00DF64C7" w:rsidP="00CB0E59">
      <w:pPr>
        <w:jc w:val="center"/>
        <w:rPr>
          <w:rFonts w:cs="Calibri"/>
        </w:rPr>
      </w:pPr>
    </w:p>
    <w:p w:rsidR="00230A8C" w:rsidP="00CB0E59">
      <w:pPr>
        <w:jc w:val="center"/>
        <w:rPr>
          <w:rFonts w:cs="Calibri"/>
        </w:rPr>
      </w:pPr>
      <w:r>
        <w:rPr>
          <w:rFonts w:cs="Calibri"/>
        </w:rPr>
        <w:t>z</w:t>
      </w:r>
      <w:r w:rsidR="003652CB">
        <w:rPr>
          <w:rFonts w:cs="Calibri"/>
        </w:rPr>
        <w:t>o</w:t>
      </w:r>
      <w:r>
        <w:rPr>
          <w:rFonts w:cs="Calibri"/>
        </w:rPr>
        <w:t xml:space="preserve"> </w:t>
      </w:r>
      <w:r w:rsidR="003652CB">
        <w:rPr>
          <w:rFonts w:cs="Calibri"/>
        </w:rPr>
        <w:t>7. júla</w:t>
      </w:r>
      <w:r>
        <w:rPr>
          <w:rFonts w:cs="Calibri"/>
        </w:rPr>
        <w:t xml:space="preserve"> 2011</w:t>
      </w:r>
    </w:p>
    <w:p w:rsidR="00230A8C" w:rsidP="00CB0E59">
      <w:pPr>
        <w:keepNext/>
        <w:jc w:val="center"/>
        <w:outlineLvl w:val="4"/>
        <w:rPr>
          <w:rFonts w:cs="Calibri"/>
          <w:b/>
          <w:bCs/>
        </w:rPr>
      </w:pPr>
      <w:bookmarkEnd w:id="0"/>
      <w:r>
        <w:rPr>
          <w:rFonts w:cs="Calibri"/>
          <w:b/>
          <w:bCs/>
        </w:rPr>
        <w:t xml:space="preserve">o poskytovaní dotácií na obstaranie náhradných nájomných bytov </w:t>
      </w:r>
    </w:p>
    <w:p w:rsidR="00230A8C" w:rsidP="00CB0E59">
      <w:pPr>
        <w:keepNext/>
        <w:jc w:val="center"/>
        <w:outlineLvl w:val="4"/>
        <w:rPr>
          <w:rFonts w:cs="Calibri"/>
          <w:b/>
          <w:bCs/>
        </w:rPr>
      </w:pPr>
    </w:p>
    <w:p w:rsidR="00230A8C" w:rsidP="00CB0E59">
      <w:pPr>
        <w:keepNext/>
        <w:jc w:val="center"/>
        <w:outlineLvl w:val="4"/>
        <w:rPr>
          <w:rFonts w:cs="Calibri"/>
          <w:b/>
          <w:bCs/>
        </w:rPr>
      </w:pPr>
    </w:p>
    <w:p w:rsidR="00230A8C" w:rsidP="00CB0E59">
      <w:pPr>
        <w:keepNext/>
        <w:jc w:val="center"/>
        <w:outlineLvl w:val="4"/>
        <w:rPr>
          <w:rFonts w:cs="Calibri"/>
          <w:b/>
          <w:bCs/>
        </w:rPr>
      </w:pPr>
    </w:p>
    <w:p w:rsidR="00230A8C" w:rsidP="00CB0E59">
      <w:pPr>
        <w:keepNext/>
        <w:outlineLvl w:val="4"/>
        <w:rPr>
          <w:rFonts w:cs="Calibri"/>
        </w:rPr>
      </w:pPr>
      <w:r>
        <w:rPr>
          <w:rFonts w:cs="Calibri"/>
        </w:rPr>
        <w:t>Národná rada Slovenskej republiky sa uzniesla na tomto zákone:</w:t>
      </w:r>
    </w:p>
    <w:p w:rsidR="00230A8C" w:rsidP="00CB0E59">
      <w:pPr>
        <w:keepNext/>
        <w:outlineLvl w:val="4"/>
        <w:rPr>
          <w:rFonts w:cs="Calibri"/>
        </w:rPr>
      </w:pPr>
    </w:p>
    <w:p w:rsidR="00230A8C" w:rsidP="00CB0E59">
      <w:pPr>
        <w:spacing w:before="144"/>
        <w:jc w:val="center"/>
        <w:rPr>
          <w:rFonts w:cs="Calibri"/>
        </w:rPr>
      </w:pPr>
      <w:r>
        <w:rPr>
          <w:rFonts w:cs="Calibri"/>
        </w:rPr>
        <w:t>§ 1</w:t>
      </w:r>
    </w:p>
    <w:p w:rsidR="00230A8C" w:rsidP="00CB0E59">
      <w:pPr>
        <w:jc w:val="center"/>
        <w:rPr>
          <w:rFonts w:cs="Calibri"/>
        </w:rPr>
      </w:pPr>
      <w:r>
        <w:rPr>
          <w:rFonts w:cs="Calibri"/>
        </w:rPr>
        <w:t>Predmet úpravy</w:t>
      </w:r>
    </w:p>
    <w:p w:rsidR="00230A8C" w:rsidP="00CB0E59">
      <w:pPr>
        <w:jc w:val="center"/>
        <w:rPr>
          <w:rFonts w:cs="Calibri"/>
        </w:rPr>
      </w:pPr>
    </w:p>
    <w:p w:rsidR="00230A8C" w:rsidP="00CB0E59">
      <w:pPr>
        <w:spacing w:before="144"/>
        <w:ind w:left="644"/>
        <w:jc w:val="both"/>
        <w:rPr>
          <w:rFonts w:cs="Calibri"/>
        </w:rPr>
      </w:pPr>
      <w:r>
        <w:rPr>
          <w:rFonts w:cs="Calibri"/>
        </w:rPr>
        <w:t xml:space="preserve">Tento zákon upravuje </w:t>
      </w:r>
    </w:p>
    <w:p w:rsidR="00230A8C" w:rsidP="00CB0E59">
      <w:pPr>
        <w:numPr>
          <w:ilvl w:val="0"/>
          <w:numId w:val="1"/>
        </w:numPr>
        <w:spacing w:before="144"/>
        <w:ind w:left="284" w:hanging="284"/>
        <w:jc w:val="both"/>
        <w:rPr>
          <w:rFonts w:cs="Calibri"/>
        </w:rPr>
      </w:pPr>
      <w:r>
        <w:rPr>
          <w:rFonts w:cs="Calibri"/>
        </w:rPr>
        <w:t xml:space="preserve">účel, rozsah a podmienky poskytovania dotácií na obstaranie náhradných nájomných bytov (ďalej len „náhradný byt“), technickej vybavenosti a pozemku pod budovu na bývanie s náhradnými bytmi (ďalej len „pozemok“) pri poskytovaní bytovej náhrady podľa osobitného </w:t>
      </w:r>
      <w:r w:rsidR="0051758B">
        <w:rPr>
          <w:rFonts w:cs="Calibri"/>
        </w:rPr>
        <w:t>predpisu</w:t>
      </w:r>
      <w:r w:rsidR="003221A7">
        <w:rPr>
          <w:rFonts w:cs="Calibri"/>
        </w:rPr>
        <w:t>,</w:t>
      </w:r>
      <w:r>
        <w:rPr>
          <w:rStyle w:val="FootnoteReference"/>
          <w:rtl w:val="0"/>
        </w:rPr>
        <w:footnoteReference w:id="2"/>
      </w:r>
      <w:r w:rsidRPr="003221A7" w:rsidR="00282625">
        <w:rPr>
          <w:rFonts w:cs="Calibri"/>
        </w:rPr>
        <w:t>)</w:t>
      </w:r>
    </w:p>
    <w:p w:rsidR="00230A8C" w:rsidP="00CB0E59">
      <w:pPr>
        <w:numPr>
          <w:ilvl w:val="0"/>
          <w:numId w:val="1"/>
        </w:numPr>
        <w:spacing w:before="144"/>
        <w:ind w:left="284" w:hanging="284"/>
        <w:jc w:val="both"/>
        <w:rPr>
          <w:rFonts w:cs="Calibri"/>
        </w:rPr>
      </w:pPr>
      <w:r>
        <w:rPr>
          <w:rFonts w:cs="Calibri"/>
        </w:rPr>
        <w:t xml:space="preserve">charakteristiku náhradného bytu. </w:t>
      </w:r>
    </w:p>
    <w:p w:rsidR="00230A8C" w:rsidP="00CB0E59">
      <w:pPr>
        <w:jc w:val="center"/>
        <w:rPr>
          <w:rFonts w:cs="Calibri"/>
        </w:rPr>
      </w:pPr>
    </w:p>
    <w:p w:rsidR="00230A8C" w:rsidP="00CB0E59">
      <w:pPr>
        <w:jc w:val="center"/>
        <w:rPr>
          <w:rFonts w:cs="Calibri"/>
        </w:rPr>
      </w:pPr>
      <w:r>
        <w:rPr>
          <w:rFonts w:cs="Calibri"/>
        </w:rPr>
        <w:t xml:space="preserve">§ </w:t>
      </w:r>
      <w:r>
        <w:rPr>
          <w:rFonts w:cs="Calibri"/>
        </w:rPr>
        <w:t xml:space="preserve">2 </w:t>
      </w:r>
    </w:p>
    <w:p w:rsidR="00230A8C" w:rsidP="00CB0E59">
      <w:pPr>
        <w:jc w:val="center"/>
        <w:rPr>
          <w:rFonts w:cs="Calibri"/>
        </w:rPr>
      </w:pPr>
      <w:r>
        <w:rPr>
          <w:rFonts w:cs="Calibri"/>
        </w:rPr>
        <w:t>Účel dotácií</w:t>
      </w:r>
    </w:p>
    <w:p w:rsidR="00230A8C" w:rsidP="00CB0E59">
      <w:pPr>
        <w:rPr>
          <w:rFonts w:cs="Calibri"/>
        </w:rPr>
      </w:pPr>
    </w:p>
    <w:p w:rsidR="00230A8C" w:rsidP="00CB0E59">
      <w:pPr>
        <w:ind w:firstLine="283"/>
        <w:rPr>
          <w:rFonts w:cs="Calibri"/>
        </w:rPr>
      </w:pPr>
      <w:r>
        <w:rPr>
          <w:rFonts w:cs="Calibri"/>
        </w:rPr>
        <w:t>Dotácie sa poskytujú na financovanie obstarania</w:t>
      </w:r>
    </w:p>
    <w:p w:rsidR="00230A8C" w:rsidP="00CB0E59">
      <w:pPr>
        <w:numPr>
          <w:ilvl w:val="0"/>
          <w:numId w:val="2"/>
        </w:numPr>
        <w:ind w:left="283" w:hanging="357"/>
        <w:jc w:val="both"/>
        <w:rPr>
          <w:rFonts w:cs="Calibri"/>
        </w:rPr>
      </w:pPr>
      <w:r>
        <w:rPr>
          <w:rFonts w:cs="Calibri"/>
        </w:rPr>
        <w:t>náhradného bytu,</w:t>
      </w:r>
    </w:p>
    <w:p w:rsidR="00230A8C" w:rsidP="00CB0E59">
      <w:pPr>
        <w:numPr>
          <w:ilvl w:val="0"/>
          <w:numId w:val="2"/>
        </w:numPr>
        <w:ind w:left="283" w:hanging="357"/>
        <w:jc w:val="both"/>
        <w:rPr>
          <w:rFonts w:cs="Calibri"/>
        </w:rPr>
      </w:pPr>
      <w:r>
        <w:rPr>
          <w:rFonts w:cs="Calibri"/>
        </w:rPr>
        <w:t>technickej vybavenosti, ktorou je</w:t>
      </w:r>
    </w:p>
    <w:p w:rsidR="00230A8C" w:rsidP="00CB0E59">
      <w:pPr>
        <w:ind w:left="284"/>
        <w:jc w:val="both"/>
        <w:rPr>
          <w:rFonts w:cs="Calibri"/>
        </w:rPr>
      </w:pPr>
      <w:r>
        <w:rPr>
          <w:rFonts w:cs="Calibri"/>
        </w:rPr>
        <w:t>1. vodovodná prípojka a verejný vodovod</w:t>
      </w:r>
      <w:r w:rsidR="003221A7">
        <w:rPr>
          <w:rFonts w:cs="Calibri"/>
        </w:rPr>
        <w:t>,</w:t>
      </w:r>
      <w:r>
        <w:rPr>
          <w:rStyle w:val="FootnoteReference"/>
          <w:rtl w:val="0"/>
        </w:rPr>
        <w:footnoteReference w:id="3"/>
      </w:r>
      <w:r w:rsidRPr="003221A7" w:rsidR="00282625">
        <w:rPr>
          <w:rFonts w:cs="Calibri"/>
        </w:rPr>
        <w:t>)</w:t>
      </w:r>
      <w:r>
        <w:rPr>
          <w:rFonts w:cs="Calibri"/>
        </w:rPr>
        <w:t xml:space="preserve"> </w:t>
      </w:r>
    </w:p>
    <w:p w:rsidR="00230A8C" w:rsidP="00CB0E59">
      <w:pPr>
        <w:ind w:left="284"/>
        <w:jc w:val="both"/>
        <w:rPr>
          <w:rFonts w:cs="Calibri"/>
        </w:rPr>
      </w:pPr>
      <w:r>
        <w:rPr>
          <w:rFonts w:cs="Calibri"/>
        </w:rPr>
        <w:t>2. kanalizačná prípojka a verejná kanalizácia</w:t>
      </w:r>
      <w:r>
        <w:rPr>
          <w:rStyle w:val="FootnoteReference"/>
          <w:rtl w:val="0"/>
        </w:rPr>
        <w:footnoteReference w:id="4"/>
      </w:r>
      <w:r w:rsidRPr="003221A7" w:rsidR="00282625">
        <w:rPr>
          <w:rFonts w:cs="Calibri"/>
        </w:rPr>
        <w:t>)</w:t>
      </w:r>
      <w:r>
        <w:rPr>
          <w:rFonts w:cs="Calibri"/>
        </w:rPr>
        <w:t xml:space="preserve"> vrátane čistiarne odpadových vôd</w:t>
      </w:r>
      <w:r w:rsidR="003221A7">
        <w:rPr>
          <w:rFonts w:cs="Calibri"/>
        </w:rPr>
        <w:t>,</w:t>
      </w:r>
      <w:r>
        <w:rPr>
          <w:rStyle w:val="FootnoteReference"/>
          <w:rtl w:val="0"/>
        </w:rPr>
        <w:footnoteReference w:id="5"/>
      </w:r>
      <w:r w:rsidRPr="003221A7" w:rsidR="00282625">
        <w:rPr>
          <w:rFonts w:cs="Calibri"/>
        </w:rPr>
        <w:t>)</w:t>
      </w:r>
      <w:r>
        <w:rPr>
          <w:rFonts w:cs="Calibri"/>
        </w:rPr>
        <w:t xml:space="preserve"> </w:t>
      </w:r>
    </w:p>
    <w:p w:rsidR="00230A8C" w:rsidP="00CB0E59">
      <w:pPr>
        <w:ind w:left="284"/>
        <w:jc w:val="both"/>
        <w:rPr>
          <w:rFonts w:cs="Calibri"/>
        </w:rPr>
      </w:pPr>
      <w:r>
        <w:rPr>
          <w:rFonts w:cs="Calibri"/>
        </w:rPr>
        <w:t>3. prípojka</w:t>
      </w:r>
      <w:r>
        <w:rPr>
          <w:rFonts w:cs="Calibri"/>
        </w:rPr>
        <w:t xml:space="preserve"> elektrickej energie,</w:t>
      </w:r>
    </w:p>
    <w:p w:rsidR="00230A8C" w:rsidP="00CB0E59">
      <w:pPr>
        <w:ind w:left="284"/>
        <w:jc w:val="both"/>
        <w:rPr>
          <w:rFonts w:cs="Calibri"/>
        </w:rPr>
      </w:pPr>
      <w:r>
        <w:rPr>
          <w:rFonts w:cs="Calibri"/>
        </w:rPr>
        <w:t xml:space="preserve">4. prípojka plynu alebo  </w:t>
      </w:r>
    </w:p>
    <w:p w:rsidR="00230A8C" w:rsidP="00CB0E59">
      <w:pPr>
        <w:ind w:left="284"/>
        <w:jc w:val="both"/>
        <w:rPr>
          <w:rFonts w:cs="Calibri"/>
        </w:rPr>
      </w:pPr>
      <w:r>
        <w:rPr>
          <w:rFonts w:cs="Calibri"/>
        </w:rPr>
        <w:t>5. miestna komunikácia vrátane verejného osvetlenia a odstavných plôch (ďalej len „miestna komunikácia“),</w:t>
      </w:r>
    </w:p>
    <w:p w:rsidR="00230A8C" w:rsidP="00CB0E59">
      <w:pPr>
        <w:ind w:hanging="142"/>
        <w:jc w:val="both"/>
        <w:rPr>
          <w:rFonts w:cs="Calibri"/>
        </w:rPr>
      </w:pPr>
      <w:r>
        <w:rPr>
          <w:rFonts w:cs="Calibri"/>
        </w:rPr>
        <w:t xml:space="preserve"> c)   pozemku.</w:t>
      </w:r>
    </w:p>
    <w:p w:rsidR="00230A8C" w:rsidP="00CB0E59">
      <w:pPr>
        <w:jc w:val="center"/>
        <w:outlineLvl w:val="3"/>
        <w:rPr>
          <w:rFonts w:cs="Calibri"/>
        </w:rPr>
      </w:pPr>
      <w:bookmarkStart w:id="1" w:name="_Dotácia_na_obstarávanie_nájomných_b"/>
      <w:bookmarkEnd w:id="1"/>
      <w:r>
        <w:rPr>
          <w:rFonts w:cs="Calibri"/>
        </w:rPr>
        <w:t>§ 3</w:t>
      </w:r>
    </w:p>
    <w:p w:rsidR="00230A8C" w:rsidP="00CB0E59">
      <w:pPr>
        <w:jc w:val="center"/>
        <w:outlineLvl w:val="3"/>
        <w:rPr>
          <w:rFonts w:cs="Calibri"/>
        </w:rPr>
      </w:pPr>
      <w:r>
        <w:rPr>
          <w:rFonts w:cs="Calibri"/>
        </w:rPr>
        <w:t>Obstaranie náhradného bytu</w:t>
      </w:r>
    </w:p>
    <w:p w:rsidR="00230A8C" w:rsidP="00CB0E59">
      <w:pPr>
        <w:numPr>
          <w:ilvl w:val="0"/>
          <w:numId w:val="3"/>
        </w:numPr>
        <w:tabs>
          <w:tab w:val="left" w:pos="720"/>
        </w:tabs>
        <w:spacing w:before="144"/>
        <w:jc w:val="both"/>
        <w:rPr>
          <w:rFonts w:cs="Calibri"/>
        </w:rPr>
      </w:pPr>
      <w:bookmarkStart w:id="2" w:name="_Ref239560642"/>
      <w:r>
        <w:rPr>
          <w:rFonts w:cs="Calibri"/>
        </w:rPr>
        <w:t>Dotácia na obstaranie náhradného bytu podľa § 2 písm. a)</w:t>
      </w:r>
      <w:r>
        <w:rPr>
          <w:rFonts w:cs="Calibri"/>
        </w:rPr>
        <w:t xml:space="preserve"> sa poskytuje na</w:t>
      </w:r>
      <w:bookmarkEnd w:id="2"/>
    </w:p>
    <w:p w:rsidR="00230A8C" w:rsidP="00CB0E59">
      <w:pPr>
        <w:numPr>
          <w:ilvl w:val="1"/>
          <w:numId w:val="3"/>
        </w:numPr>
        <w:tabs>
          <w:tab w:val="left" w:pos="360"/>
        </w:tabs>
        <w:ind w:left="340" w:hanging="340"/>
        <w:jc w:val="both"/>
        <w:rPr>
          <w:rFonts w:cs="Calibri"/>
        </w:rPr>
      </w:pPr>
      <w:r>
        <w:rPr>
          <w:rFonts w:cs="Calibri"/>
        </w:rPr>
        <w:t>výstavbu náhradného bytu v bytovom dome</w:t>
      </w:r>
      <w:r w:rsidR="003221A7">
        <w:rPr>
          <w:rFonts w:cs="Calibri"/>
        </w:rPr>
        <w:t>,</w:t>
      </w:r>
      <w:r>
        <w:rPr>
          <w:rStyle w:val="FootnoteReference"/>
          <w:rtl w:val="0"/>
        </w:rPr>
        <w:footnoteReference w:id="6"/>
      </w:r>
      <w:r w:rsidRPr="003221A7" w:rsidR="00282625">
        <w:rPr>
          <w:rFonts w:cs="Calibri"/>
        </w:rPr>
        <w:t>)</w:t>
      </w:r>
      <w:r>
        <w:rPr>
          <w:rFonts w:cs="Calibri"/>
        </w:rPr>
        <w:t xml:space="preserve"> v polyfunkčnom dome</w:t>
      </w:r>
      <w:r>
        <w:rPr>
          <w:rStyle w:val="FootnoteReference"/>
          <w:rtl w:val="0"/>
        </w:rPr>
        <w:footnoteReference w:id="7"/>
      </w:r>
      <w:r w:rsidRPr="003221A7" w:rsidR="00282625">
        <w:rPr>
          <w:rFonts w:cs="Calibri"/>
        </w:rPr>
        <w:t>)</w:t>
      </w:r>
      <w:r>
        <w:rPr>
          <w:rFonts w:cs="Calibri"/>
        </w:rPr>
        <w:t xml:space="preserve"> alebo v rodinnom dome</w:t>
      </w:r>
      <w:r w:rsidR="003652CB">
        <w:rPr>
          <w:rFonts w:cs="Calibri"/>
        </w:rPr>
        <w:t>,</w:t>
      </w:r>
      <w:r w:rsidR="00C22870">
        <w:rPr>
          <w:rStyle w:val="FootnoteReference"/>
        </w:rPr>
        <w:t>5</w:t>
      </w:r>
      <w:r w:rsidRPr="003652CB" w:rsidR="00282625">
        <w:rPr>
          <w:rFonts w:cs="Calibri"/>
        </w:rPr>
        <w:t>)</w:t>
      </w:r>
      <w:r>
        <w:rPr>
          <w:rFonts w:cs="Calibri"/>
        </w:rPr>
        <w:t xml:space="preserve"> </w:t>
      </w:r>
    </w:p>
    <w:p w:rsidR="00230A8C" w:rsidP="00CB0E59">
      <w:pPr>
        <w:numPr>
          <w:ilvl w:val="1"/>
          <w:numId w:val="3"/>
        </w:numPr>
        <w:tabs>
          <w:tab w:val="left" w:pos="360"/>
        </w:tabs>
        <w:jc w:val="both"/>
        <w:rPr>
          <w:rFonts w:cs="Calibri"/>
        </w:rPr>
      </w:pPr>
      <w:r>
        <w:rPr>
          <w:rFonts w:cs="Calibri"/>
        </w:rPr>
        <w:t>výstavbu náhradného bytu získaného nadstavbou alebo prístavbou v bytovom dome, v polyfunkčnom dome, v rodinnom dome alebo v nebytovej budove</w:t>
      </w:r>
      <w:r w:rsidR="003221A7">
        <w:rPr>
          <w:rFonts w:cs="Calibri"/>
        </w:rPr>
        <w:t>,</w:t>
      </w:r>
      <w:r>
        <w:rPr>
          <w:rStyle w:val="FootnoteReference"/>
          <w:rtl w:val="0"/>
        </w:rPr>
        <w:footnoteReference w:id="8"/>
      </w:r>
      <w:r w:rsidRPr="003221A7" w:rsidR="00282625">
        <w:rPr>
          <w:rFonts w:cs="Calibri"/>
        </w:rPr>
        <w:t>)</w:t>
      </w:r>
    </w:p>
    <w:p w:rsidR="00230A8C" w:rsidP="00CB0E59">
      <w:pPr>
        <w:numPr>
          <w:ilvl w:val="1"/>
          <w:numId w:val="3"/>
        </w:numPr>
        <w:tabs>
          <w:tab w:val="left" w:pos="360"/>
        </w:tabs>
        <w:jc w:val="both"/>
        <w:rPr>
          <w:rFonts w:cs="Calibri"/>
        </w:rPr>
      </w:pPr>
      <w:r>
        <w:rPr>
          <w:rFonts w:cs="Calibri"/>
        </w:rPr>
        <w:t>stav</w:t>
      </w:r>
      <w:r>
        <w:rPr>
          <w:rFonts w:cs="Calibri"/>
        </w:rPr>
        <w:t>ebné úpravy ostatných budov na bývanie</w:t>
      </w:r>
      <w:r w:rsidR="003221A7">
        <w:rPr>
          <w:rFonts w:cs="Calibri"/>
        </w:rPr>
        <w:t>,</w:t>
      </w:r>
      <w:r w:rsidR="00C22870">
        <w:rPr>
          <w:rStyle w:val="FootnoteReference"/>
        </w:rPr>
        <w:t>5</w:t>
      </w:r>
      <w:r w:rsidRPr="003221A7" w:rsidR="00282625">
        <w:rPr>
          <w:rFonts w:cs="Calibri"/>
        </w:rPr>
        <w:t>)</w:t>
      </w:r>
      <w:r>
        <w:rPr>
          <w:rFonts w:cs="Calibri"/>
        </w:rPr>
        <w:t xml:space="preserve"> nebytových budov alebo stavebné úpravy nebytového priestoru, ktorými sa získa náhradný byt,</w:t>
      </w:r>
    </w:p>
    <w:p w:rsidR="00230A8C" w:rsidP="00CB0E59">
      <w:pPr>
        <w:numPr>
          <w:ilvl w:val="1"/>
          <w:numId w:val="3"/>
        </w:numPr>
        <w:tabs>
          <w:tab w:val="left" w:pos="360"/>
        </w:tabs>
        <w:jc w:val="both"/>
        <w:rPr>
          <w:rFonts w:cs="Calibri"/>
        </w:rPr>
      </w:pPr>
      <w:r>
        <w:rPr>
          <w:rFonts w:cs="Calibri"/>
        </w:rPr>
        <w:t>kúpu náhradného bytu v bytovom dome, v polyfunkčnom dome alebo v rodinnom dome,</w:t>
      </w:r>
    </w:p>
    <w:p w:rsidR="00230A8C" w:rsidP="00CB0E59">
      <w:pPr>
        <w:numPr>
          <w:ilvl w:val="1"/>
          <w:numId w:val="3"/>
        </w:numPr>
        <w:tabs>
          <w:tab w:val="left" w:pos="360"/>
        </w:tabs>
        <w:jc w:val="both"/>
        <w:rPr>
          <w:rFonts w:cs="Calibri"/>
        </w:rPr>
      </w:pPr>
      <w:r>
        <w:rPr>
          <w:rFonts w:cs="Calibri"/>
        </w:rPr>
        <w:t>kúpu a dokončenie rozostavaného náhradného bytu v bytovom dome, v polyfunkčnom dome alebo v rodinnom dome,</w:t>
      </w:r>
    </w:p>
    <w:p w:rsidR="00DF64C7" w:rsidP="00CB0E59">
      <w:pPr>
        <w:numPr>
          <w:ilvl w:val="1"/>
          <w:numId w:val="3"/>
        </w:numPr>
        <w:tabs>
          <w:tab w:val="left" w:pos="360"/>
        </w:tabs>
        <w:jc w:val="both"/>
        <w:rPr>
          <w:rFonts w:cs="Calibri"/>
        </w:rPr>
      </w:pPr>
      <w:r>
        <w:rPr>
          <w:rFonts w:cs="Calibri"/>
        </w:rPr>
        <w:t>kúpu a rekonštrukciu náhradného bytu v bytovom dome, v polyfunkčnom dome alebo v rodinnom dome,</w:t>
      </w:r>
    </w:p>
    <w:p w:rsidR="00DF64C7" w:rsidP="00CB0E59">
      <w:pPr>
        <w:numPr>
          <w:ilvl w:val="1"/>
          <w:numId w:val="3"/>
        </w:numPr>
        <w:tabs>
          <w:tab w:val="left" w:pos="360"/>
        </w:tabs>
        <w:jc w:val="both"/>
        <w:rPr>
          <w:rFonts w:cs="Calibri"/>
        </w:rPr>
      </w:pPr>
      <w:r>
        <w:rPr>
          <w:rFonts w:cs="Calibri"/>
        </w:rPr>
        <w:t xml:space="preserve"> kúpu nebytového priestoru a jeho rekonštrukciu, ktorou sa získa náhradný byt.</w:t>
      </w:r>
    </w:p>
    <w:p w:rsidR="00DF64C7" w:rsidP="00CB0E59">
      <w:pPr>
        <w:ind w:left="357"/>
        <w:jc w:val="both"/>
        <w:rPr>
          <w:rFonts w:cs="Calibri"/>
        </w:rPr>
      </w:pPr>
    </w:p>
    <w:p w:rsidR="00230A8C" w:rsidP="00CB0E59">
      <w:pPr>
        <w:numPr>
          <w:ilvl w:val="0"/>
          <w:numId w:val="3"/>
        </w:numPr>
        <w:tabs>
          <w:tab w:val="left" w:pos="0"/>
          <w:tab w:val="left" w:pos="720"/>
        </w:tabs>
        <w:jc w:val="both"/>
        <w:rPr>
          <w:rFonts w:cs="Calibri"/>
        </w:rPr>
      </w:pPr>
      <w:r>
        <w:rPr>
          <w:rFonts w:cs="Calibri"/>
        </w:rPr>
        <w:t>Na obstaranie náhradného bytu podľa odseku 1 písm. a), b), d)</w:t>
      </w:r>
      <w:r w:rsidR="00965C7A">
        <w:rPr>
          <w:rFonts w:cs="Calibri"/>
        </w:rPr>
        <w:t>,</w:t>
      </w:r>
      <w:r>
        <w:rPr>
          <w:rFonts w:cs="Calibri"/>
        </w:rPr>
        <w:t> e)</w:t>
      </w:r>
      <w:r w:rsidR="00965C7A">
        <w:rPr>
          <w:rFonts w:cs="Calibri"/>
        </w:rPr>
        <w:t>, f) a g)</w:t>
      </w:r>
      <w:r>
        <w:rPr>
          <w:rFonts w:cs="Calibri"/>
        </w:rPr>
        <w:t xml:space="preserve"> možno poskytnúť dotáciu v rozsahu 100 % oprávnených nákladov, najviac však do sumy 1 000 eur na </w:t>
      </w:r>
      <w:smartTag w:uri="urn:schemas-microsoft-com:office:smarttags" w:element="metricconverter">
        <w:smartTagPr>
          <w:attr w:name="ProductID" w:val="1 m2"/>
        </w:smartTagPr>
        <w:r>
          <w:rPr>
            <w:rFonts w:cs="Calibri"/>
          </w:rPr>
          <w:t>1 m</w:t>
        </w:r>
        <w:r>
          <w:rPr>
            <w:rFonts w:cs="Calibri"/>
            <w:vertAlign w:val="superscript"/>
          </w:rPr>
          <w:t>2</w:t>
        </w:r>
      </w:smartTag>
      <w:r>
        <w:rPr>
          <w:rFonts w:cs="Calibri"/>
        </w:rPr>
        <w:t xml:space="preserve"> podlahovej plochy náhradného bytu. </w:t>
      </w:r>
    </w:p>
    <w:p w:rsidR="00230A8C" w:rsidP="00CB0E59">
      <w:pPr>
        <w:numPr>
          <w:ilvl w:val="0"/>
          <w:numId w:val="3"/>
        </w:numPr>
        <w:tabs>
          <w:tab w:val="left" w:pos="0"/>
          <w:tab w:val="left" w:pos="720"/>
        </w:tabs>
        <w:spacing w:before="144"/>
        <w:jc w:val="both"/>
        <w:rPr>
          <w:rFonts w:cs="Calibri"/>
        </w:rPr>
      </w:pPr>
      <w:r>
        <w:rPr>
          <w:rFonts w:cs="Calibri"/>
        </w:rPr>
        <w:t xml:space="preserve">Na stavebné úpravy podľa odseku 1 písm. c) možno poskytnúť </w:t>
      </w:r>
      <w:r>
        <w:rPr>
          <w:rFonts w:cs="Calibri"/>
        </w:rPr>
        <w:t xml:space="preserve">dotáciu v rozsahu 100 % oprávnených nákladov, najviac však do sumy 800 eur na </w:t>
      </w:r>
      <w:smartTag w:uri="urn:schemas-microsoft-com:office:smarttags" w:element="metricconverter">
        <w:smartTagPr>
          <w:attr w:name="ProductID" w:val="1 m2"/>
        </w:smartTagPr>
        <w:r>
          <w:rPr>
            <w:rFonts w:cs="Calibri"/>
          </w:rPr>
          <w:t>1 m</w:t>
        </w:r>
        <w:r>
          <w:rPr>
            <w:rFonts w:cs="Calibri"/>
            <w:vertAlign w:val="superscript"/>
          </w:rPr>
          <w:t>2</w:t>
        </w:r>
      </w:smartTag>
      <w:r>
        <w:rPr>
          <w:rFonts w:cs="Calibri"/>
        </w:rPr>
        <w:t xml:space="preserve"> podlahovej plochy náhradného bytu. </w:t>
      </w:r>
    </w:p>
    <w:p w:rsidR="00230A8C" w:rsidP="00CB0E59">
      <w:pPr>
        <w:numPr>
          <w:ilvl w:val="0"/>
          <w:numId w:val="3"/>
        </w:numPr>
        <w:tabs>
          <w:tab w:val="left" w:pos="0"/>
          <w:tab w:val="left" w:pos="720"/>
        </w:tabs>
        <w:spacing w:before="144"/>
        <w:jc w:val="both"/>
        <w:rPr>
          <w:rFonts w:cs="Calibri"/>
        </w:rPr>
      </w:pPr>
      <w:r>
        <w:rPr>
          <w:rFonts w:cs="Calibri"/>
        </w:rPr>
        <w:t xml:space="preserve"> Ak sa náhradný byt obstaráva spoločne s nájomnými bytmi podľa osobitného predpisu</w:t>
      </w:r>
      <w:r w:rsidR="003221A7">
        <w:rPr>
          <w:rFonts w:cs="Calibri"/>
        </w:rPr>
        <w:t>,</w:t>
      </w:r>
      <w:r>
        <w:rPr>
          <w:rStyle w:val="FootnoteReference"/>
          <w:rtl w:val="0"/>
        </w:rPr>
        <w:footnoteReference w:id="9"/>
      </w:r>
      <w:r w:rsidRPr="003221A7" w:rsidR="00282625">
        <w:rPr>
          <w:rFonts w:cs="Calibri"/>
        </w:rPr>
        <w:t>)</w:t>
      </w:r>
      <w:r>
        <w:rPr>
          <w:rFonts w:cs="Calibri"/>
        </w:rPr>
        <w:t xml:space="preserve"> dotácia podľa tohto zákona sa poskytuje len na obst</w:t>
      </w:r>
      <w:r>
        <w:rPr>
          <w:rFonts w:cs="Calibri"/>
        </w:rPr>
        <w:t>aranie náhradného bytu</w:t>
      </w:r>
      <w:r w:rsidR="00874582">
        <w:rPr>
          <w:rFonts w:cs="Calibri"/>
        </w:rPr>
        <w:t>.</w:t>
      </w:r>
    </w:p>
    <w:p w:rsidR="00874582" w:rsidP="00CB0E59">
      <w:pPr>
        <w:tabs>
          <w:tab w:val="left" w:pos="0"/>
        </w:tabs>
        <w:spacing w:before="144"/>
        <w:ind w:left="360"/>
        <w:jc w:val="both"/>
        <w:rPr>
          <w:rFonts w:cs="Calibri"/>
        </w:rPr>
      </w:pPr>
    </w:p>
    <w:p w:rsidR="00230A8C" w:rsidP="00CB0E59">
      <w:pPr>
        <w:jc w:val="center"/>
        <w:rPr>
          <w:rFonts w:cs="Calibri"/>
        </w:rPr>
      </w:pPr>
      <w:r>
        <w:rPr>
          <w:rFonts w:cs="Calibri"/>
        </w:rPr>
        <w:t>§ 4</w:t>
      </w:r>
    </w:p>
    <w:p w:rsidR="00230A8C" w:rsidP="00CB0E59">
      <w:pPr>
        <w:jc w:val="center"/>
        <w:rPr>
          <w:rFonts w:cs="Calibri"/>
        </w:rPr>
      </w:pPr>
      <w:r>
        <w:rPr>
          <w:rFonts w:cs="Calibri"/>
        </w:rPr>
        <w:t>Obstaranie technickej vybavenosti</w:t>
      </w:r>
    </w:p>
    <w:p w:rsidR="00230A8C" w:rsidP="00CB0E59">
      <w:pPr>
        <w:jc w:val="center"/>
        <w:rPr>
          <w:rFonts w:cs="Calibri"/>
        </w:rPr>
      </w:pPr>
    </w:p>
    <w:p w:rsidR="00230A8C" w:rsidP="00CB0E59">
      <w:pPr>
        <w:spacing w:before="144"/>
        <w:ind w:firstLine="284"/>
        <w:jc w:val="both"/>
        <w:rPr>
          <w:rFonts w:cs="Calibri"/>
        </w:rPr>
      </w:pPr>
      <w:r>
        <w:rPr>
          <w:rFonts w:cs="Calibri"/>
        </w:rPr>
        <w:t>(1) Dotácia na obstaranie technickej vybavenosti podľa § 2 písm. b) sa poskytuje na</w:t>
      </w:r>
    </w:p>
    <w:p w:rsidR="00230A8C" w:rsidP="00CB0E59">
      <w:pPr>
        <w:numPr>
          <w:ilvl w:val="0"/>
          <w:numId w:val="4"/>
        </w:numPr>
        <w:tabs>
          <w:tab w:val="left" w:pos="426"/>
          <w:tab w:val="clear" w:pos="644"/>
        </w:tabs>
        <w:ind w:left="426" w:hanging="426"/>
        <w:jc w:val="both"/>
        <w:rPr>
          <w:rFonts w:cs="Calibri"/>
          <w:vertAlign w:val="superscript"/>
        </w:rPr>
      </w:pPr>
      <w:r>
        <w:rPr>
          <w:rFonts w:cs="Calibri"/>
        </w:rPr>
        <w:t xml:space="preserve">výstavbu technickej vybavenosti podmieňujúcej výstavbu a užívanie náhradných bytov, </w:t>
      </w:r>
    </w:p>
    <w:p w:rsidR="00230A8C" w:rsidP="00CB0E59">
      <w:pPr>
        <w:numPr>
          <w:ilvl w:val="0"/>
          <w:numId w:val="4"/>
        </w:numPr>
        <w:tabs>
          <w:tab w:val="left" w:pos="426"/>
          <w:tab w:val="clear" w:pos="644"/>
        </w:tabs>
        <w:ind w:left="426" w:hanging="426"/>
        <w:jc w:val="both"/>
        <w:rPr>
          <w:rFonts w:cs="Calibri"/>
          <w:vertAlign w:val="superscript"/>
        </w:rPr>
      </w:pPr>
      <w:r>
        <w:rPr>
          <w:rFonts w:cs="Calibri"/>
        </w:rPr>
        <w:t>kúpu a dokončenie technickej vybavenosti podmieňujúcej nadobudnutie a užívanie náhradných bytov.</w:t>
      </w:r>
    </w:p>
    <w:p w:rsidR="00230A8C" w:rsidP="00CB0E59">
      <w:pPr>
        <w:numPr>
          <w:ilvl w:val="0"/>
          <w:numId w:val="5"/>
        </w:numPr>
        <w:tabs>
          <w:tab w:val="left" w:pos="0"/>
          <w:tab w:val="left" w:pos="644"/>
        </w:tabs>
        <w:spacing w:before="144"/>
        <w:jc w:val="both"/>
        <w:rPr>
          <w:rFonts w:cs="Calibri"/>
        </w:rPr>
      </w:pPr>
      <w:r>
        <w:rPr>
          <w:rFonts w:cs="Calibri"/>
        </w:rPr>
        <w:t>Na obstaranie technickej vybavenosti podľa odseku 1 sa poskytuje dotácia v rozsahu 100 % oprávnených nákladov; na jeden náhradný byt možno poskytnúť dotáciu vo výške najviac</w:t>
      </w:r>
    </w:p>
    <w:p w:rsidR="00230A8C" w:rsidP="00CB0E59">
      <w:pPr>
        <w:numPr>
          <w:ilvl w:val="1"/>
          <w:numId w:val="5"/>
        </w:numPr>
        <w:tabs>
          <w:tab w:val="left" w:pos="0"/>
          <w:tab w:val="left" w:pos="360"/>
        </w:tabs>
        <w:jc w:val="both"/>
        <w:rPr>
          <w:rFonts w:cs="Calibri"/>
        </w:rPr>
      </w:pPr>
      <w:r>
        <w:rPr>
          <w:rFonts w:cs="Calibri"/>
        </w:rPr>
        <w:t xml:space="preserve">900 eur </w:t>
      </w:r>
      <w:r>
        <w:rPr>
          <w:rFonts w:cs="Calibri"/>
        </w:rPr>
        <w:t>na vodovodnú prípojku,</w:t>
      </w:r>
    </w:p>
    <w:p w:rsidR="00230A8C" w:rsidP="00CB0E59">
      <w:pPr>
        <w:numPr>
          <w:ilvl w:val="1"/>
          <w:numId w:val="5"/>
        </w:numPr>
        <w:tabs>
          <w:tab w:val="left" w:pos="0"/>
          <w:tab w:val="left" w:pos="360"/>
        </w:tabs>
        <w:jc w:val="both"/>
        <w:rPr>
          <w:rFonts w:cs="Calibri"/>
        </w:rPr>
      </w:pPr>
      <w:r>
        <w:rPr>
          <w:rFonts w:cs="Calibri"/>
        </w:rPr>
        <w:t>1 700 eur na kanalizačnú prípojku a čistiareň odpadových vôd,</w:t>
      </w:r>
    </w:p>
    <w:p w:rsidR="00230A8C" w:rsidP="00CB0E59">
      <w:pPr>
        <w:numPr>
          <w:ilvl w:val="1"/>
          <w:numId w:val="5"/>
        </w:numPr>
        <w:tabs>
          <w:tab w:val="left" w:pos="0"/>
          <w:tab w:val="left" w:pos="360"/>
        </w:tabs>
        <w:jc w:val="both"/>
        <w:rPr>
          <w:rFonts w:cs="Calibri"/>
        </w:rPr>
      </w:pPr>
      <w:r>
        <w:rPr>
          <w:rFonts w:cs="Calibri"/>
        </w:rPr>
        <w:t>1 600 eur na miestnu komunikáciu,</w:t>
      </w:r>
    </w:p>
    <w:p w:rsidR="00230A8C" w:rsidP="00CB0E59">
      <w:pPr>
        <w:numPr>
          <w:ilvl w:val="1"/>
          <w:numId w:val="5"/>
        </w:numPr>
        <w:tabs>
          <w:tab w:val="left" w:pos="0"/>
          <w:tab w:val="left" w:pos="360"/>
        </w:tabs>
        <w:jc w:val="both"/>
        <w:rPr>
          <w:rFonts w:cs="Calibri"/>
        </w:rPr>
      </w:pPr>
      <w:r>
        <w:rPr>
          <w:rFonts w:cs="Calibri"/>
        </w:rPr>
        <w:t>700 eur na prípojku elektrickej energie,</w:t>
      </w:r>
    </w:p>
    <w:p w:rsidR="00230A8C" w:rsidP="00CB0E59">
      <w:pPr>
        <w:numPr>
          <w:ilvl w:val="1"/>
          <w:numId w:val="5"/>
        </w:numPr>
        <w:tabs>
          <w:tab w:val="left" w:pos="0"/>
          <w:tab w:val="left" w:pos="360"/>
        </w:tabs>
        <w:jc w:val="both"/>
        <w:rPr>
          <w:rFonts w:cs="Calibri"/>
        </w:rPr>
      </w:pPr>
      <w:r>
        <w:rPr>
          <w:rFonts w:cs="Calibri"/>
        </w:rPr>
        <w:t>900 eur na prípojku plynu.</w:t>
      </w:r>
    </w:p>
    <w:p w:rsidR="003221A7" w:rsidP="00CB0E59">
      <w:pPr>
        <w:tabs>
          <w:tab w:val="left" w:pos="0"/>
        </w:tabs>
        <w:ind w:left="357"/>
        <w:jc w:val="both"/>
        <w:rPr>
          <w:rFonts w:cs="Calibri"/>
        </w:rPr>
      </w:pPr>
    </w:p>
    <w:p w:rsidR="00230A8C" w:rsidP="00CB0E59">
      <w:pPr>
        <w:tabs>
          <w:tab w:val="left" w:pos="0"/>
        </w:tabs>
        <w:rPr>
          <w:rFonts w:cs="Calibri"/>
        </w:rPr>
      </w:pPr>
      <w:r>
        <w:rPr>
          <w:rFonts w:cs="Calibri"/>
        </w:rPr>
        <w:t xml:space="preserve">     (3) Dotácia podľa odseku 1 sa poskytuje len na obstaranie technickej vybavenosti, ktorá je podmienkou užívania náhradného bytu, na ktorý bola poskytnutá </w:t>
      </w:r>
      <w:r w:rsidR="00DF64C7">
        <w:rPr>
          <w:rFonts w:cs="Calibri"/>
        </w:rPr>
        <w:t xml:space="preserve">dotácia </w:t>
      </w:r>
      <w:r>
        <w:rPr>
          <w:rFonts w:cs="Calibri"/>
        </w:rPr>
        <w:t>podľa § 3 ods. 1.</w:t>
      </w:r>
    </w:p>
    <w:p w:rsidR="00420F6E" w:rsidP="00CB0E59">
      <w:pPr>
        <w:tabs>
          <w:tab w:val="left" w:pos="0"/>
        </w:tabs>
        <w:jc w:val="center"/>
        <w:rPr>
          <w:rFonts w:cs="Calibri"/>
        </w:rPr>
      </w:pPr>
    </w:p>
    <w:p w:rsidR="00230A8C" w:rsidP="00CB0E59">
      <w:pPr>
        <w:tabs>
          <w:tab w:val="left" w:pos="0"/>
        </w:tabs>
        <w:jc w:val="center"/>
        <w:rPr>
          <w:rFonts w:cs="Calibri"/>
        </w:rPr>
      </w:pPr>
      <w:r>
        <w:rPr>
          <w:rFonts w:cs="Calibri"/>
        </w:rPr>
        <w:t>§ 5</w:t>
      </w:r>
    </w:p>
    <w:p w:rsidR="00230A8C" w:rsidP="00CB0E59">
      <w:pPr>
        <w:tabs>
          <w:tab w:val="left" w:pos="0"/>
        </w:tabs>
        <w:jc w:val="center"/>
        <w:rPr>
          <w:rFonts w:cs="Calibri"/>
        </w:rPr>
      </w:pPr>
      <w:r>
        <w:rPr>
          <w:rFonts w:cs="Calibri"/>
        </w:rPr>
        <w:t xml:space="preserve">Obstaranie pozemku </w:t>
      </w:r>
    </w:p>
    <w:p w:rsidR="00230A8C" w:rsidP="00CB0E59">
      <w:pPr>
        <w:tabs>
          <w:tab w:val="left" w:pos="0"/>
        </w:tabs>
        <w:jc w:val="center"/>
        <w:rPr>
          <w:rFonts w:cs="Calibri"/>
        </w:rPr>
      </w:pPr>
    </w:p>
    <w:p w:rsidR="00230A8C" w:rsidP="00CB0E59">
      <w:pPr>
        <w:jc w:val="both"/>
        <w:rPr>
          <w:rFonts w:cs="Calibri"/>
        </w:rPr>
      </w:pPr>
      <w:r w:rsidR="00420F6E">
        <w:rPr>
          <w:rFonts w:cs="Calibri"/>
        </w:rPr>
        <w:t xml:space="preserve">     (1)  </w:t>
      </w:r>
      <w:r>
        <w:rPr>
          <w:rFonts w:cs="Calibri"/>
        </w:rPr>
        <w:t>Dotácia na obstaranie pozemku podľa § 2 písm. c) sa poskytuje vo výške stanovenej znaleckým posudkom, na</w:t>
      </w:r>
      <w:r>
        <w:rPr>
          <w:rFonts w:cs="Calibri"/>
        </w:rPr>
        <w:t>jviac však</w:t>
      </w:r>
    </w:p>
    <w:p w:rsidR="00230A8C" w:rsidP="00CB0E59">
      <w:pPr>
        <w:numPr>
          <w:ilvl w:val="1"/>
          <w:numId w:val="15"/>
        </w:numPr>
        <w:ind w:left="284" w:hanging="284"/>
        <w:jc w:val="both"/>
        <w:rPr>
          <w:rFonts w:cs="Calibri"/>
        </w:rPr>
      </w:pPr>
      <w:r>
        <w:rPr>
          <w:rFonts w:cs="Calibri"/>
        </w:rPr>
        <w:t>108 000 eur na jednu budovu na bývanie s najviac desiatimi náhradnými bytmi,</w:t>
      </w:r>
    </w:p>
    <w:p w:rsidR="00230A8C" w:rsidP="00CB0E59">
      <w:pPr>
        <w:numPr>
          <w:ilvl w:val="1"/>
          <w:numId w:val="15"/>
        </w:numPr>
        <w:ind w:left="284" w:hanging="284"/>
        <w:jc w:val="both"/>
        <w:rPr>
          <w:rFonts w:cs="Calibri"/>
        </w:rPr>
      </w:pPr>
      <w:r>
        <w:rPr>
          <w:rFonts w:cs="Calibri"/>
        </w:rPr>
        <w:t>180 000 eur na jednu budovu na bývanie s 11 až 25 náhradnými bytmi,</w:t>
      </w:r>
    </w:p>
    <w:p w:rsidR="00230A8C" w:rsidP="00CB0E59">
      <w:pPr>
        <w:numPr>
          <w:ilvl w:val="1"/>
          <w:numId w:val="15"/>
        </w:numPr>
        <w:tabs>
          <w:tab w:val="left" w:pos="0"/>
        </w:tabs>
        <w:ind w:left="284" w:hanging="284"/>
        <w:jc w:val="both"/>
        <w:rPr>
          <w:rFonts w:cs="Calibri"/>
        </w:rPr>
      </w:pPr>
      <w:r>
        <w:rPr>
          <w:rFonts w:cs="Calibri"/>
        </w:rPr>
        <w:t>288 000 eur na jednu budovu na bývanie s 26 až 50 náhradnými bytmi,</w:t>
      </w:r>
    </w:p>
    <w:p w:rsidR="00230A8C" w:rsidP="00CB0E59">
      <w:pPr>
        <w:numPr>
          <w:ilvl w:val="1"/>
          <w:numId w:val="15"/>
        </w:numPr>
        <w:tabs>
          <w:tab w:val="left" w:pos="0"/>
        </w:tabs>
        <w:ind w:left="284" w:hanging="284"/>
        <w:jc w:val="both"/>
        <w:rPr>
          <w:rFonts w:cs="Calibri"/>
        </w:rPr>
      </w:pPr>
      <w:r>
        <w:rPr>
          <w:rFonts w:cs="Calibri"/>
        </w:rPr>
        <w:t>360 000 eur na jednu budovu na b</w:t>
      </w:r>
      <w:r>
        <w:rPr>
          <w:rFonts w:cs="Calibri"/>
        </w:rPr>
        <w:t>ývanie s viac ako 50 náhradnými bytmi.</w:t>
      </w:r>
    </w:p>
    <w:p w:rsidR="003221A7" w:rsidP="00CB0E59">
      <w:pPr>
        <w:tabs>
          <w:tab w:val="left" w:pos="0"/>
        </w:tabs>
        <w:ind w:left="357"/>
        <w:jc w:val="both"/>
        <w:rPr>
          <w:rFonts w:cs="Calibri"/>
        </w:rPr>
      </w:pPr>
    </w:p>
    <w:p w:rsidR="00230A8C" w:rsidP="00CB0E59">
      <w:pPr>
        <w:ind w:firstLine="284"/>
        <w:jc w:val="both"/>
        <w:rPr>
          <w:rFonts w:cs="Calibri"/>
        </w:rPr>
      </w:pPr>
      <w:r>
        <w:rPr>
          <w:rFonts w:cs="Calibri"/>
        </w:rPr>
        <w:t>(2) Celková plocha obstaraného pozemku  môže presiahnuť plochu zastavanú budovou na bývanie najviac o 20 %.</w:t>
      </w:r>
    </w:p>
    <w:p w:rsidR="008D08F8" w:rsidP="00CB0E59">
      <w:pPr>
        <w:ind w:firstLine="284"/>
        <w:jc w:val="both"/>
        <w:rPr>
          <w:rFonts w:cs="Calibri"/>
        </w:rPr>
      </w:pPr>
    </w:p>
    <w:p w:rsidR="00230A8C" w:rsidP="008D08F8">
      <w:pPr>
        <w:jc w:val="center"/>
        <w:outlineLvl w:val="3"/>
        <w:rPr>
          <w:rFonts w:cs="Calibri"/>
        </w:rPr>
      </w:pPr>
      <w:r>
        <w:rPr>
          <w:rFonts w:cs="Calibri"/>
        </w:rPr>
        <w:t>§ 6</w:t>
      </w:r>
    </w:p>
    <w:p w:rsidR="00230A8C" w:rsidP="008D08F8">
      <w:pPr>
        <w:jc w:val="center"/>
        <w:outlineLvl w:val="3"/>
        <w:rPr>
          <w:rFonts w:cs="Calibri"/>
        </w:rPr>
      </w:pPr>
      <w:r>
        <w:rPr>
          <w:rFonts w:cs="Calibri"/>
        </w:rPr>
        <w:t>Oprávnené náklady</w:t>
      </w:r>
    </w:p>
    <w:p w:rsidR="00230A8C" w:rsidP="00CB0E59">
      <w:pPr>
        <w:jc w:val="center"/>
        <w:rPr>
          <w:rFonts w:cs="Calibri"/>
          <w:b/>
        </w:rPr>
      </w:pPr>
    </w:p>
    <w:p w:rsidR="00230A8C" w:rsidP="00CB0E59">
      <w:pPr>
        <w:numPr>
          <w:ilvl w:val="0"/>
          <w:numId w:val="6"/>
        </w:numPr>
        <w:tabs>
          <w:tab w:val="left" w:pos="0"/>
          <w:tab w:val="left" w:pos="644"/>
        </w:tabs>
        <w:spacing w:before="144"/>
        <w:jc w:val="both"/>
        <w:rPr>
          <w:rFonts w:cs="Calibri"/>
          <w:b/>
          <w:bCs/>
        </w:rPr>
      </w:pPr>
      <w:r>
        <w:rPr>
          <w:rFonts w:cs="Calibri"/>
        </w:rPr>
        <w:t xml:space="preserve">Oprávnenými nákladmi na účel podľa § 3 ods. 1 písm. a) až c) a § 4 ods. 1 písm. a) sú náklady na uskutočnenie stavby, ktoré </w:t>
      </w:r>
      <w:r w:rsidR="0051758B">
        <w:rPr>
          <w:rFonts w:cs="Calibri"/>
        </w:rPr>
        <w:t xml:space="preserve">sa </w:t>
      </w:r>
      <w:r>
        <w:rPr>
          <w:rFonts w:cs="Calibri"/>
        </w:rPr>
        <w:t xml:space="preserve"> preukazuj</w:t>
      </w:r>
      <w:r w:rsidR="0051758B">
        <w:rPr>
          <w:rFonts w:cs="Calibri"/>
        </w:rPr>
        <w:t>ú</w:t>
      </w:r>
      <w:r>
        <w:rPr>
          <w:rFonts w:cs="Calibri"/>
        </w:rPr>
        <w:t xml:space="preserve"> rozpočtom stavby a zmluvou o dodávke stavebných prác</w:t>
      </w:r>
      <w:r w:rsidR="003652CB">
        <w:rPr>
          <w:rFonts w:cs="Calibri"/>
        </w:rPr>
        <w:t>,</w:t>
      </w:r>
      <w:r>
        <w:rPr>
          <w:rStyle w:val="FootnoteReference"/>
          <w:rtl w:val="0"/>
        </w:rPr>
        <w:footnoteReference w:id="10"/>
      </w:r>
      <w:r w:rsidRPr="003652CB" w:rsidR="00282625">
        <w:rPr>
          <w:rFonts w:cs="Calibri"/>
        </w:rPr>
        <w:t>)</w:t>
      </w:r>
      <w:r>
        <w:rPr>
          <w:rFonts w:cs="Calibri"/>
        </w:rPr>
        <w:t xml:space="preserve"> ktorej súčasťou je rozpočet stavby vypracovaný zhotoviteľom. Súčasťou oprávnených nákladov sú aj náklady na projektové práce.</w:t>
      </w:r>
    </w:p>
    <w:p w:rsidR="00230A8C" w:rsidP="00CB0E59">
      <w:pPr>
        <w:numPr>
          <w:ilvl w:val="0"/>
          <w:numId w:val="6"/>
        </w:numPr>
        <w:tabs>
          <w:tab w:val="left" w:pos="0"/>
          <w:tab w:val="left" w:pos="644"/>
        </w:tabs>
        <w:spacing w:before="144"/>
        <w:jc w:val="both"/>
        <w:rPr>
          <w:rFonts w:cs="Calibri"/>
          <w:b/>
          <w:bCs/>
        </w:rPr>
      </w:pPr>
      <w:r>
        <w:rPr>
          <w:rFonts w:cs="Calibri"/>
        </w:rPr>
        <w:t xml:space="preserve">Oprávnenými nákladmi na účel podľa § 3 ods. 1 písm. d) </w:t>
      </w:r>
      <w:r w:rsidRPr="007D2490">
        <w:rPr>
          <w:rFonts w:cs="Calibri"/>
        </w:rPr>
        <w:t>je cena</w:t>
      </w:r>
      <w:r>
        <w:rPr>
          <w:rFonts w:cs="Calibri"/>
        </w:rPr>
        <w:t>, ktor</w:t>
      </w:r>
      <w:r w:rsidR="0051758B">
        <w:rPr>
          <w:rFonts w:cs="Calibri"/>
        </w:rPr>
        <w:t>á sa</w:t>
      </w:r>
      <w:r>
        <w:rPr>
          <w:rFonts w:cs="Calibri"/>
        </w:rPr>
        <w:t xml:space="preserve">  preukazuje kúpnou zmluvou</w:t>
      </w:r>
      <w:r w:rsidR="003221A7">
        <w:rPr>
          <w:rFonts w:cs="Calibri"/>
        </w:rPr>
        <w:t>.</w:t>
      </w:r>
      <w:r>
        <w:rPr>
          <w:rStyle w:val="FootnoteReference"/>
          <w:rtl w:val="0"/>
        </w:rPr>
        <w:footnoteReference w:id="11"/>
      </w:r>
      <w:r w:rsidRPr="003221A7" w:rsidR="00282625">
        <w:rPr>
          <w:rFonts w:cs="Calibri"/>
        </w:rPr>
        <w:t>)</w:t>
      </w:r>
    </w:p>
    <w:p w:rsidR="00230A8C" w:rsidP="00CB0E59">
      <w:pPr>
        <w:numPr>
          <w:ilvl w:val="0"/>
          <w:numId w:val="6"/>
        </w:numPr>
        <w:tabs>
          <w:tab w:val="left" w:pos="0"/>
          <w:tab w:val="left" w:pos="644"/>
        </w:tabs>
        <w:spacing w:before="144"/>
        <w:jc w:val="both"/>
        <w:rPr>
          <w:rFonts w:cs="Calibri"/>
        </w:rPr>
      </w:pPr>
      <w:r>
        <w:rPr>
          <w:rFonts w:cs="Calibri"/>
        </w:rPr>
        <w:t xml:space="preserve">Oprávnenými nákladmi na účel podľa § 3 ods. 1 písm. e) a </w:t>
      </w:r>
      <w:r w:rsidRPr="007D2490">
        <w:rPr>
          <w:rFonts w:cs="Calibri"/>
        </w:rPr>
        <w:t xml:space="preserve">§ 4 ods. 1 písm. </w:t>
      </w:r>
      <w:r w:rsidR="007D2490">
        <w:rPr>
          <w:rFonts w:cs="Calibri"/>
        </w:rPr>
        <w:t>b</w:t>
      </w:r>
      <w:r w:rsidRPr="007D2490">
        <w:rPr>
          <w:rFonts w:cs="Calibri"/>
        </w:rPr>
        <w:t>)</w:t>
      </w:r>
      <w:r>
        <w:rPr>
          <w:rFonts w:cs="Calibri"/>
        </w:rPr>
        <w:t xml:space="preserve"> je dohodnutá cena, ktor</w:t>
      </w:r>
      <w:r w:rsidR="0051758B">
        <w:rPr>
          <w:rFonts w:cs="Calibri"/>
        </w:rPr>
        <w:t xml:space="preserve">á sa </w:t>
      </w:r>
      <w:r>
        <w:rPr>
          <w:rFonts w:cs="Calibri"/>
        </w:rPr>
        <w:t xml:space="preserve"> preukazuje kúpnou zmluvou</w:t>
      </w:r>
      <w:r w:rsidR="00B006A0">
        <w:rPr>
          <w:rFonts w:cs="Calibri"/>
        </w:rPr>
        <w:t>,</w:t>
      </w:r>
      <w:r>
        <w:rPr>
          <w:rFonts w:cs="Calibri"/>
        </w:rPr>
        <w:t xml:space="preserve"> a náklady na dokončenie stavby, ktoré </w:t>
      </w:r>
      <w:r w:rsidR="0051758B">
        <w:rPr>
          <w:rFonts w:cs="Calibri"/>
        </w:rPr>
        <w:t>s</w:t>
      </w:r>
      <w:r w:rsidR="0051758B">
        <w:rPr>
          <w:rFonts w:cs="Calibri"/>
        </w:rPr>
        <w:t>a</w:t>
      </w:r>
      <w:r>
        <w:rPr>
          <w:rFonts w:cs="Calibri"/>
        </w:rPr>
        <w:t xml:space="preserve"> preukazuj</w:t>
      </w:r>
      <w:r w:rsidR="0051758B">
        <w:rPr>
          <w:rFonts w:cs="Calibri"/>
        </w:rPr>
        <w:t>ú</w:t>
      </w:r>
      <w:r>
        <w:rPr>
          <w:rFonts w:cs="Calibri"/>
        </w:rPr>
        <w:t xml:space="preserve"> rozpočtom stavby a zmluvou o dodávke stavebných prác, ktorej súčasťou je rozpočet stavby vypracovaný zhotoviteľom. Súčasťou oprávnených nákladov sú aj náklady na projektové práce.</w:t>
      </w:r>
    </w:p>
    <w:p w:rsidR="00965C7A" w:rsidP="00CB0E59">
      <w:pPr>
        <w:numPr>
          <w:ilvl w:val="0"/>
          <w:numId w:val="6"/>
        </w:numPr>
        <w:tabs>
          <w:tab w:val="left" w:pos="0"/>
          <w:tab w:val="left" w:pos="644"/>
        </w:tabs>
        <w:spacing w:before="144"/>
        <w:jc w:val="both"/>
        <w:rPr>
          <w:rFonts w:cs="Calibri"/>
        </w:rPr>
      </w:pPr>
      <w:r>
        <w:rPr>
          <w:rFonts w:cs="Calibri"/>
        </w:rPr>
        <w:t>Oprávnenými nákladmi na účel podľa § 3 ods. 1 písm. f) a g) je dohodnutá cena, ktorá sa preukazuje kúpnou zmluvou, a náklady na rekonštrukciu náhradného bytu, ktoré sa preukazujú rozpočtom stavby a zmluvou o dodávke stavebných prác, ktorej súčasťou je rozpočet stavby vypracovaný zhotoviteľom. Súčasťou oprávnených nákl</w:t>
      </w:r>
      <w:r>
        <w:rPr>
          <w:rFonts w:cs="Calibri"/>
        </w:rPr>
        <w:t xml:space="preserve">adov sú aj náklady na projektové práce. </w:t>
      </w:r>
    </w:p>
    <w:p w:rsidR="00230A8C" w:rsidP="00CB0E59">
      <w:pPr>
        <w:numPr>
          <w:ilvl w:val="0"/>
          <w:numId w:val="6"/>
        </w:numPr>
        <w:tabs>
          <w:tab w:val="left" w:pos="0"/>
          <w:tab w:val="left" w:pos="644"/>
        </w:tabs>
        <w:spacing w:before="144"/>
        <w:jc w:val="both"/>
        <w:rPr>
          <w:rFonts w:cs="Calibri"/>
        </w:rPr>
      </w:pPr>
      <w:r>
        <w:rPr>
          <w:rFonts w:cs="Calibri"/>
        </w:rPr>
        <w:t xml:space="preserve">Do oprávnených nákladov podľa odsekov 1 až </w:t>
      </w:r>
      <w:r w:rsidR="00965C7A">
        <w:rPr>
          <w:rFonts w:cs="Calibri"/>
        </w:rPr>
        <w:t>4</w:t>
      </w:r>
      <w:r>
        <w:rPr>
          <w:rFonts w:cs="Calibri"/>
        </w:rPr>
        <w:t xml:space="preserve"> sa nezahŕňajú náklady na pozemok, inžiniersku činnosť, expertízne posudky, výstavbu garáže, výstavbu nebytového priestoru, a ani náklady nesúvisiace s účelom dotácie.</w:t>
      </w:r>
    </w:p>
    <w:p w:rsidR="00230A8C" w:rsidP="00CB0E59">
      <w:pPr>
        <w:numPr>
          <w:ilvl w:val="0"/>
          <w:numId w:val="6"/>
        </w:numPr>
        <w:tabs>
          <w:tab w:val="left" w:pos="0"/>
          <w:tab w:val="left" w:pos="644"/>
        </w:tabs>
        <w:spacing w:before="144"/>
        <w:jc w:val="both"/>
        <w:rPr>
          <w:rFonts w:cs="Calibri"/>
        </w:rPr>
      </w:pPr>
      <w:r>
        <w:rPr>
          <w:rFonts w:cs="Calibri"/>
        </w:rPr>
        <w:t>Suma dotácie vypočítaná podľa § 3 až 5 sa zaokrúhli na celé desiatky eur smerom nadol.</w:t>
      </w:r>
    </w:p>
    <w:p w:rsidR="00230A8C" w:rsidP="00CB0E59">
      <w:pPr>
        <w:numPr>
          <w:ilvl w:val="0"/>
          <w:numId w:val="6"/>
        </w:numPr>
        <w:tabs>
          <w:tab w:val="left" w:pos="0"/>
          <w:tab w:val="left" w:pos="644"/>
        </w:tabs>
        <w:spacing w:before="144"/>
        <w:jc w:val="both"/>
        <w:rPr>
          <w:rFonts w:cs="Calibri"/>
        </w:rPr>
      </w:pPr>
      <w:r>
        <w:rPr>
          <w:rFonts w:cs="Calibri"/>
        </w:rPr>
        <w:t xml:space="preserve">Suma dotácie a výška limitov oprávnených nákladov uvedená v § </w:t>
      </w:r>
      <w:smartTag w:uri="urn:schemas-microsoft-com:office:smarttags" w:element="metricconverter">
        <w:smartTagPr>
          <w:attr w:name="ProductID" w:val="3 a"/>
        </w:smartTagPr>
        <w:r>
          <w:rPr>
            <w:rFonts w:cs="Calibri"/>
          </w:rPr>
          <w:t>3 a</w:t>
        </w:r>
      </w:smartTag>
      <w:r>
        <w:rPr>
          <w:rFonts w:cs="Calibri"/>
        </w:rPr>
        <w:t xml:space="preserve"> 4 sa upraví </w:t>
      </w:r>
      <w:r w:rsidR="00E003E6">
        <w:rPr>
          <w:rFonts w:cs="Calibri"/>
        </w:rPr>
        <w:t xml:space="preserve">každoročne </w:t>
      </w:r>
      <w:r>
        <w:rPr>
          <w:rFonts w:cs="Calibri"/>
        </w:rPr>
        <w:t>vždy k 1. januáru kalendárneho roka indexom zmeny cien stavebných prác príslušnej s</w:t>
      </w:r>
      <w:r>
        <w:rPr>
          <w:rFonts w:cs="Calibri"/>
        </w:rPr>
        <w:t>kupiny klasifikácie stavieb zisteným Štatistickým úradom Slovenskej republiky za obdobie I. polroka kalendárneho roka v porovnaní s I. polrokom predchádzajúceho kalendárneho roka.</w:t>
      </w:r>
    </w:p>
    <w:p w:rsidR="00230A8C" w:rsidP="00CB0E59">
      <w:pPr>
        <w:numPr>
          <w:ilvl w:val="0"/>
          <w:numId w:val="6"/>
        </w:numPr>
        <w:tabs>
          <w:tab w:val="left" w:pos="0"/>
          <w:tab w:val="left" w:pos="644"/>
        </w:tabs>
        <w:spacing w:before="144"/>
        <w:jc w:val="both"/>
        <w:rPr>
          <w:rFonts w:cs="Calibri"/>
        </w:rPr>
      </w:pPr>
      <w:r>
        <w:rPr>
          <w:rFonts w:cs="Calibri"/>
        </w:rPr>
        <w:t xml:space="preserve">Ak index zmeny cien stavebných prác príslušnej skupiny klasifikácie stavieb </w:t>
      </w:r>
      <w:r>
        <w:rPr>
          <w:rFonts w:cs="Calibri"/>
        </w:rPr>
        <w:t xml:space="preserve">zistený Štatistickým úradom Slovenskej republiky za obdobie I. polroka kalendárneho roka v porovnaní s I. polrokom predchádzajúceho kalendárneho roka je vyšší ako 101,0 alebo nižší ako 99,0, vykoná sa úprava podľa odseku </w:t>
      </w:r>
      <w:r w:rsidR="00965C7A">
        <w:rPr>
          <w:rFonts w:cs="Calibri"/>
        </w:rPr>
        <w:t>7</w:t>
      </w:r>
      <w:r>
        <w:rPr>
          <w:rFonts w:cs="Calibri"/>
        </w:rPr>
        <w:t xml:space="preserve"> tak, že sa suma dotácie a výška l</w:t>
      </w:r>
      <w:r>
        <w:rPr>
          <w:rFonts w:cs="Calibri"/>
        </w:rPr>
        <w:t xml:space="preserve">imitov oprávnených nákladov uvedená v § 3 a 4 upraví indexom zmeny cien stavebných prác príslušnej skupiny klasifikácie stavieb zisteným Štatistickým úradom Slovenskej republiky za obdobie I. polroka  kalendárneho roka v porovnaní s I. polrokom predchádzajúceho kalendárneho roka. </w:t>
      </w:r>
    </w:p>
    <w:p w:rsidR="00230A8C" w:rsidP="00CB0E59">
      <w:pPr>
        <w:numPr>
          <w:ilvl w:val="0"/>
          <w:numId w:val="6"/>
        </w:numPr>
        <w:tabs>
          <w:tab w:val="left" w:pos="0"/>
          <w:tab w:val="left" w:pos="644"/>
        </w:tabs>
        <w:spacing w:before="144"/>
        <w:jc w:val="both"/>
        <w:rPr>
          <w:rFonts w:cs="Calibri"/>
        </w:rPr>
      </w:pPr>
      <w:r>
        <w:rPr>
          <w:rFonts w:cs="Calibri"/>
        </w:rPr>
        <w:t xml:space="preserve">Suma dotácie a výška limitov oprávnených nákladov vypočítaná podľa odseku </w:t>
      </w:r>
      <w:r w:rsidR="00B006A0">
        <w:rPr>
          <w:rFonts w:cs="Calibri"/>
        </w:rPr>
        <w:t>7</w:t>
      </w:r>
      <w:r>
        <w:rPr>
          <w:rFonts w:cs="Calibri"/>
        </w:rPr>
        <w:t xml:space="preserve"> sa zaokrúhľuje na celé eurá smerom nadol.</w:t>
      </w:r>
    </w:p>
    <w:p w:rsidR="00230A8C" w:rsidP="00CB0E59">
      <w:pPr>
        <w:numPr>
          <w:ilvl w:val="0"/>
          <w:numId w:val="6"/>
        </w:numPr>
        <w:tabs>
          <w:tab w:val="left" w:pos="0"/>
          <w:tab w:val="left" w:pos="644"/>
        </w:tabs>
        <w:spacing w:before="144"/>
        <w:jc w:val="both"/>
        <w:rPr>
          <w:rFonts w:cs="Calibri"/>
        </w:rPr>
      </w:pPr>
      <w:r>
        <w:rPr>
          <w:rFonts w:cs="Calibri"/>
        </w:rPr>
        <w:t xml:space="preserve">Suma dotácie a výška limitov oprávnených nákladov podľa odseku </w:t>
      </w:r>
      <w:r w:rsidR="00965C7A">
        <w:rPr>
          <w:rFonts w:cs="Calibri"/>
        </w:rPr>
        <w:t>8</w:t>
      </w:r>
      <w:r>
        <w:rPr>
          <w:rFonts w:cs="Calibri"/>
        </w:rPr>
        <w:t xml:space="preserve"> sa ustanoví opatrením, ktoré vydá Ministerstvo dopravy, výstavby a regionálneho rozvoja Slovenskej republiky (ďalej len „ministerstvo“) podľa údajov zistených Štatistickým úradom Slovenskej republiky a vyhlási jeho úplné znenie uverejnením v Zbierke zákonov Slovenskej republiky.</w:t>
      </w:r>
    </w:p>
    <w:p w:rsidR="00230A8C" w:rsidP="00CB0E59">
      <w:pPr>
        <w:jc w:val="center"/>
        <w:rPr>
          <w:rFonts w:cs="Calibri"/>
        </w:rPr>
      </w:pPr>
    </w:p>
    <w:p w:rsidR="00230A8C" w:rsidP="00CB0E59">
      <w:pPr>
        <w:jc w:val="center"/>
        <w:rPr>
          <w:rFonts w:cs="Calibri"/>
          <w:b/>
          <w:bCs/>
        </w:rPr>
      </w:pPr>
      <w:r>
        <w:rPr>
          <w:rFonts w:cs="Calibri"/>
        </w:rPr>
        <w:t>§ 7</w:t>
      </w:r>
    </w:p>
    <w:p w:rsidR="00230A8C" w:rsidP="00CB0E59">
      <w:pPr>
        <w:jc w:val="center"/>
        <w:rPr>
          <w:rFonts w:cs="Calibri"/>
        </w:rPr>
      </w:pPr>
      <w:r>
        <w:rPr>
          <w:rFonts w:cs="Calibri"/>
        </w:rPr>
        <w:t>Po</w:t>
      </w:r>
      <w:r w:rsidR="00017D16">
        <w:rPr>
          <w:rFonts w:cs="Calibri"/>
        </w:rPr>
        <w:t>dmienky poskytnutia dotácie</w:t>
      </w:r>
    </w:p>
    <w:p w:rsidR="00230A8C" w:rsidP="00CB0E59">
      <w:pPr>
        <w:jc w:val="center"/>
        <w:rPr>
          <w:rFonts w:cs="Calibri"/>
        </w:rPr>
      </w:pPr>
    </w:p>
    <w:p w:rsidR="00230A8C" w:rsidP="00CB0E59">
      <w:pPr>
        <w:rPr>
          <w:rFonts w:cs="Calibri"/>
        </w:rPr>
      </w:pPr>
      <w:r>
        <w:rPr>
          <w:rFonts w:cs="Calibri"/>
        </w:rPr>
        <w:t xml:space="preserve">     (1)  Žiadateľom </w:t>
      </w:r>
      <w:r w:rsidR="00017D16">
        <w:rPr>
          <w:rFonts w:cs="Calibri"/>
        </w:rPr>
        <w:t>o poskytnuti</w:t>
      </w:r>
      <w:r w:rsidR="009E3DBF">
        <w:rPr>
          <w:rFonts w:cs="Calibri"/>
        </w:rPr>
        <w:t>e</w:t>
      </w:r>
      <w:r w:rsidR="00017D16">
        <w:rPr>
          <w:rFonts w:cs="Calibri"/>
        </w:rPr>
        <w:t xml:space="preserve"> dotácie podľa § 2 (ďalej len „žiadateľ“)</w:t>
      </w:r>
      <w:r w:rsidR="00B664DE">
        <w:rPr>
          <w:rFonts w:cs="Calibri"/>
        </w:rPr>
        <w:t xml:space="preserve"> </w:t>
      </w:r>
      <w:r>
        <w:rPr>
          <w:rFonts w:cs="Calibri"/>
        </w:rPr>
        <w:t>je obec.</w:t>
      </w:r>
    </w:p>
    <w:p w:rsidR="00230A8C" w:rsidP="00CB0E59">
      <w:pPr>
        <w:tabs>
          <w:tab w:val="left" w:pos="0"/>
        </w:tabs>
        <w:spacing w:before="144"/>
        <w:ind w:left="284"/>
        <w:jc w:val="both"/>
        <w:rPr>
          <w:rFonts w:cs="Calibri"/>
        </w:rPr>
      </w:pPr>
      <w:r>
        <w:rPr>
          <w:rFonts w:cs="Calibri"/>
        </w:rPr>
        <w:t xml:space="preserve">(2) </w:t>
      </w:r>
      <w:r w:rsidR="00E50475">
        <w:rPr>
          <w:rFonts w:cs="Calibri"/>
        </w:rPr>
        <w:t>Podmienkou na poskytnutie d</w:t>
      </w:r>
      <w:r w:rsidR="00036E7C">
        <w:rPr>
          <w:rFonts w:cs="Calibri"/>
        </w:rPr>
        <w:t>otáci</w:t>
      </w:r>
      <w:r w:rsidR="00E50475">
        <w:rPr>
          <w:rFonts w:cs="Calibri"/>
        </w:rPr>
        <w:t>e</w:t>
      </w:r>
      <w:r w:rsidR="00036E7C">
        <w:rPr>
          <w:rFonts w:cs="Calibri"/>
        </w:rPr>
        <w:t xml:space="preserve"> podľa § 2 </w:t>
      </w:r>
      <w:r w:rsidR="00E50475">
        <w:rPr>
          <w:rFonts w:cs="Calibri"/>
        </w:rPr>
        <w:t>je</w:t>
      </w:r>
      <w:r w:rsidR="00036E7C">
        <w:rPr>
          <w:rFonts w:cs="Calibri"/>
        </w:rPr>
        <w:t xml:space="preserve">, </w:t>
      </w:r>
      <w:r w:rsidR="00E50475">
        <w:rPr>
          <w:rFonts w:cs="Calibri"/>
        </w:rPr>
        <w:t>že</w:t>
      </w:r>
      <w:r w:rsidR="00036E7C">
        <w:rPr>
          <w:rFonts w:cs="Calibri"/>
        </w:rPr>
        <w:t xml:space="preserve"> žiadateľ</w:t>
      </w:r>
    </w:p>
    <w:p w:rsidR="00230A8C" w:rsidP="00CB0E59">
      <w:pPr>
        <w:numPr>
          <w:ilvl w:val="1"/>
          <w:numId w:val="6"/>
        </w:numPr>
        <w:tabs>
          <w:tab w:val="left" w:pos="0"/>
          <w:tab w:val="left" w:pos="360"/>
        </w:tabs>
        <w:jc w:val="both"/>
        <w:rPr>
          <w:rFonts w:cs="Calibri"/>
        </w:rPr>
      </w:pPr>
      <w:r>
        <w:rPr>
          <w:rFonts w:cs="Calibri"/>
        </w:rPr>
        <w:t>preuká</w:t>
      </w:r>
      <w:r w:rsidR="00036E7C">
        <w:rPr>
          <w:rFonts w:cs="Calibri"/>
        </w:rPr>
        <w:t>že</w:t>
      </w:r>
      <w:r>
        <w:rPr>
          <w:rFonts w:cs="Calibri"/>
        </w:rPr>
        <w:t xml:space="preserve">, že obstarávaním náhradných bytov zabezpečuje plnenie povinnosti vyplývajúcej z osobitného </w:t>
      </w:r>
      <w:r w:rsidR="00036E7C">
        <w:rPr>
          <w:rFonts w:cs="Calibri"/>
        </w:rPr>
        <w:t>predpisu</w:t>
      </w:r>
      <w:r w:rsidR="003221A7">
        <w:rPr>
          <w:rFonts w:cs="Calibri"/>
        </w:rPr>
        <w:t>,</w:t>
      </w:r>
      <w:r>
        <w:rPr>
          <w:rStyle w:val="FootnoteReference"/>
          <w:rtl w:val="0"/>
        </w:rPr>
        <w:footnoteReference w:id="12"/>
      </w:r>
      <w:r w:rsidRPr="003221A7" w:rsidR="00282625">
        <w:rPr>
          <w:rFonts w:cs="Calibri"/>
        </w:rPr>
        <w:t>)</w:t>
      </w:r>
      <w:r w:rsidRPr="003221A7">
        <w:rPr>
          <w:rFonts w:cs="Calibri"/>
        </w:rPr>
        <w:t xml:space="preserve"> </w:t>
      </w:r>
    </w:p>
    <w:p w:rsidR="00230A8C" w:rsidP="00CB0E59">
      <w:pPr>
        <w:numPr>
          <w:ilvl w:val="1"/>
          <w:numId w:val="6"/>
        </w:numPr>
        <w:tabs>
          <w:tab w:val="left" w:pos="0"/>
          <w:tab w:val="left" w:pos="360"/>
        </w:tabs>
        <w:jc w:val="both"/>
        <w:rPr>
          <w:rFonts w:cs="Calibri"/>
        </w:rPr>
      </w:pPr>
      <w:r>
        <w:rPr>
          <w:rFonts w:cs="Calibri"/>
        </w:rPr>
        <w:t>prenaj</w:t>
      </w:r>
      <w:r w:rsidR="00036E7C">
        <w:rPr>
          <w:rFonts w:cs="Calibri"/>
        </w:rPr>
        <w:t>m</w:t>
      </w:r>
      <w:r w:rsidR="00036E7C">
        <w:rPr>
          <w:rFonts w:cs="Calibri"/>
        </w:rPr>
        <w:t>e</w:t>
      </w:r>
      <w:r>
        <w:rPr>
          <w:rFonts w:cs="Calibri"/>
        </w:rPr>
        <w:t xml:space="preserve"> náhradné byty len nájomcom podľa osobitného </w:t>
      </w:r>
      <w:r w:rsidR="00036E7C">
        <w:rPr>
          <w:rFonts w:cs="Calibri"/>
        </w:rPr>
        <w:t>predpisu</w:t>
      </w:r>
      <w:r w:rsidR="003221A7">
        <w:rPr>
          <w:rFonts w:cs="Calibri"/>
        </w:rPr>
        <w:t>,</w:t>
      </w:r>
      <w:r>
        <w:rPr>
          <w:rStyle w:val="FootnoteReference"/>
          <w:rtl w:val="0"/>
        </w:rPr>
        <w:footnoteReference w:id="13"/>
      </w:r>
      <w:r w:rsidRPr="003221A7" w:rsidR="00282625">
        <w:rPr>
          <w:rFonts w:cs="Calibri"/>
        </w:rPr>
        <w:t>)</w:t>
      </w:r>
    </w:p>
    <w:p w:rsidR="00230A8C" w:rsidP="00CB0E59">
      <w:pPr>
        <w:numPr>
          <w:ilvl w:val="1"/>
          <w:numId w:val="6"/>
        </w:numPr>
        <w:tabs>
          <w:tab w:val="left" w:pos="0"/>
          <w:tab w:val="left" w:pos="360"/>
        </w:tabs>
        <w:jc w:val="both"/>
        <w:rPr>
          <w:rFonts w:cs="Calibri"/>
        </w:rPr>
      </w:pPr>
      <w:r>
        <w:rPr>
          <w:rFonts w:cs="Calibri"/>
        </w:rPr>
        <w:t>neprev</w:t>
      </w:r>
      <w:r w:rsidR="00036E7C">
        <w:rPr>
          <w:rFonts w:cs="Calibri"/>
        </w:rPr>
        <w:t>edie</w:t>
      </w:r>
      <w:r>
        <w:rPr>
          <w:rFonts w:cs="Calibri"/>
        </w:rPr>
        <w:t xml:space="preserve"> vlastnícke právo k náhradnému bytu okrem nájomcu na inú osobu, nezriadi ani inej osobe neumožn</w:t>
      </w:r>
      <w:r w:rsidR="00036E7C">
        <w:rPr>
          <w:rFonts w:cs="Calibri"/>
        </w:rPr>
        <w:t>í</w:t>
      </w:r>
      <w:r>
        <w:rPr>
          <w:rFonts w:cs="Calibri"/>
        </w:rPr>
        <w:t xml:space="preserve"> zriadiť k bytu záložné právo alebo vecné bremeno, nepouži</w:t>
      </w:r>
      <w:r w:rsidR="00036E7C">
        <w:rPr>
          <w:rFonts w:cs="Calibri"/>
        </w:rPr>
        <w:t>je</w:t>
      </w:r>
      <w:r>
        <w:rPr>
          <w:rFonts w:cs="Calibri"/>
        </w:rPr>
        <w:t xml:space="preserve"> náhradný byt na iný účel ako na</w:t>
      </w:r>
      <w:r>
        <w:rPr>
          <w:rFonts w:cs="Calibri"/>
        </w:rPr>
        <w:t xml:space="preserve"> bývanie a neprev</w:t>
      </w:r>
      <w:r w:rsidR="00036E7C">
        <w:rPr>
          <w:rFonts w:cs="Calibri"/>
        </w:rPr>
        <w:t>edie</w:t>
      </w:r>
      <w:r>
        <w:rPr>
          <w:rFonts w:cs="Calibri"/>
        </w:rPr>
        <w:t xml:space="preserve"> náhradný byt ako vklad do obchodnej spoločnosti,</w:t>
      </w:r>
    </w:p>
    <w:p w:rsidR="00230A8C" w:rsidP="00CB0E59">
      <w:pPr>
        <w:numPr>
          <w:ilvl w:val="1"/>
          <w:numId w:val="6"/>
        </w:numPr>
        <w:tabs>
          <w:tab w:val="left" w:pos="0"/>
          <w:tab w:val="left" w:pos="360"/>
        </w:tabs>
        <w:jc w:val="both"/>
        <w:rPr>
          <w:rFonts w:cs="Calibri"/>
        </w:rPr>
      </w:pPr>
      <w:r>
        <w:rPr>
          <w:rFonts w:cs="Calibri"/>
        </w:rPr>
        <w:t>pri realizácii zabezpeč</w:t>
      </w:r>
      <w:r w:rsidR="00CD64B6">
        <w:rPr>
          <w:rFonts w:cs="Calibri"/>
        </w:rPr>
        <w:t>í</w:t>
      </w:r>
      <w:r>
        <w:rPr>
          <w:rFonts w:cs="Calibri"/>
        </w:rPr>
        <w:t xml:space="preserve"> na stavbe dohľad odborným technickým dozorom, ktorý vykonáva fyzická osoba oprávnená vykonávať stavebný dozor podľa osobitného predpisu</w:t>
      </w:r>
      <w:r w:rsidR="003652CB">
        <w:rPr>
          <w:rFonts w:cs="Calibri"/>
        </w:rPr>
        <w:t>,</w:t>
      </w:r>
      <w:r>
        <w:rPr>
          <w:rStyle w:val="FootnoteReference"/>
          <w:rtl w:val="0"/>
        </w:rPr>
        <w:footnoteReference w:id="14"/>
      </w:r>
      <w:r w:rsidRPr="003652CB" w:rsidR="00282625">
        <w:rPr>
          <w:rFonts w:cs="Calibri"/>
        </w:rPr>
        <w:t>)</w:t>
      </w:r>
      <w:r>
        <w:rPr>
          <w:rFonts w:cs="Calibri"/>
        </w:rPr>
        <w:t xml:space="preserve"> ktorá nemá zmluvný vzťah, pracovnoprávny vzťah a ani iný obdobný vzťah so zhotoviteľom stavby,</w:t>
      </w:r>
    </w:p>
    <w:p w:rsidR="00230A8C" w:rsidP="00CB0E59">
      <w:pPr>
        <w:numPr>
          <w:ilvl w:val="1"/>
          <w:numId w:val="6"/>
        </w:numPr>
        <w:tabs>
          <w:tab w:val="left" w:pos="0"/>
          <w:tab w:val="left" w:pos="360"/>
        </w:tabs>
        <w:jc w:val="both"/>
        <w:rPr>
          <w:rFonts w:cs="Calibri"/>
        </w:rPr>
      </w:pPr>
      <w:r>
        <w:rPr>
          <w:rFonts w:cs="Calibri"/>
        </w:rPr>
        <w:t>súčasne s kolaudačným rozhodnutím predlož</w:t>
      </w:r>
      <w:r w:rsidR="00CD64B6">
        <w:rPr>
          <w:rFonts w:cs="Calibri"/>
        </w:rPr>
        <w:t>í</w:t>
      </w:r>
      <w:r>
        <w:rPr>
          <w:rFonts w:cs="Calibri"/>
        </w:rPr>
        <w:t xml:space="preserve"> ministerstvu záverečné technicko-ekonomické hodnotenie stavby s menným zoznamom nájomcov a členov, ktorí žijú spoločne v domácnosti jednotl</w:t>
      </w:r>
      <w:r>
        <w:rPr>
          <w:rFonts w:cs="Calibri"/>
        </w:rPr>
        <w:t>ivých bytov</w:t>
      </w:r>
      <w:r w:rsidR="00CD64B6">
        <w:rPr>
          <w:rFonts w:cs="Calibri"/>
        </w:rPr>
        <w:t>,</w:t>
      </w:r>
    </w:p>
    <w:p w:rsidR="003930FC" w:rsidP="00CB0E59">
      <w:pPr>
        <w:numPr>
          <w:ilvl w:val="1"/>
          <w:numId w:val="6"/>
        </w:numPr>
        <w:tabs>
          <w:tab w:val="left" w:pos="0"/>
          <w:tab w:val="left" w:pos="360"/>
        </w:tabs>
        <w:jc w:val="both"/>
        <w:rPr>
          <w:rFonts w:cs="Calibri"/>
        </w:rPr>
      </w:pPr>
      <w:r w:rsidR="00CD64B6">
        <w:rPr>
          <w:rFonts w:cs="Calibri"/>
        </w:rPr>
        <w:t xml:space="preserve">preukáže oprávnenosť nákladov spôsobom podľa § 6 ods. 1 až </w:t>
      </w:r>
      <w:r w:rsidR="007E324C">
        <w:rPr>
          <w:rFonts w:cs="Calibri"/>
        </w:rPr>
        <w:t>4</w:t>
      </w:r>
      <w:r w:rsidR="00CD64B6">
        <w:rPr>
          <w:rFonts w:cs="Calibri"/>
        </w:rPr>
        <w:t>.</w:t>
      </w:r>
    </w:p>
    <w:p w:rsidR="003221A7" w:rsidP="00CB0E59">
      <w:pPr>
        <w:tabs>
          <w:tab w:val="left" w:pos="0"/>
        </w:tabs>
        <w:ind w:left="357"/>
        <w:jc w:val="both"/>
        <w:rPr>
          <w:rFonts w:cs="Calibri"/>
        </w:rPr>
      </w:pPr>
    </w:p>
    <w:p w:rsidR="00CD64B6" w:rsidRPr="00270876" w:rsidP="00CB0E59">
      <w:pPr>
        <w:numPr>
          <w:ilvl w:val="0"/>
          <w:numId w:val="5"/>
        </w:numPr>
        <w:tabs>
          <w:tab w:val="left" w:pos="0"/>
          <w:tab w:val="left" w:pos="644"/>
        </w:tabs>
        <w:jc w:val="both"/>
        <w:rPr>
          <w:rFonts w:cs="Calibri"/>
        </w:rPr>
      </w:pPr>
      <w:r w:rsidRPr="00270876" w:rsidR="00904BFF">
        <w:rPr>
          <w:rFonts w:cs="Calibri"/>
        </w:rPr>
        <w:t>Splnenie podmienok poskytnutia dotácie žiadateľ preukazuje</w:t>
      </w:r>
    </w:p>
    <w:p w:rsidR="00904BFF" w:rsidRPr="00270876" w:rsidP="00CB0E59">
      <w:pPr>
        <w:numPr>
          <w:ilvl w:val="1"/>
          <w:numId w:val="5"/>
        </w:numPr>
        <w:tabs>
          <w:tab w:val="left" w:pos="0"/>
          <w:tab w:val="left" w:pos="360"/>
        </w:tabs>
        <w:jc w:val="both"/>
        <w:rPr>
          <w:rFonts w:cs="Calibri"/>
        </w:rPr>
      </w:pPr>
      <w:r w:rsidRPr="00270876">
        <w:rPr>
          <w:rFonts w:cs="Calibri"/>
        </w:rPr>
        <w:t>rozhodnutím o priznaní nároku</w:t>
      </w:r>
      <w:r w:rsidRPr="00270876" w:rsidR="00185290">
        <w:rPr>
          <w:rFonts w:cs="Calibri"/>
        </w:rPr>
        <w:t xml:space="preserve"> na bytovú náhradu</w:t>
      </w:r>
      <w:r w:rsidR="003221A7">
        <w:rPr>
          <w:rFonts w:cs="Calibri"/>
        </w:rPr>
        <w:t>,</w:t>
      </w:r>
      <w:r>
        <w:rPr>
          <w:rStyle w:val="FootnoteReference"/>
          <w:rtl w:val="0"/>
        </w:rPr>
        <w:footnoteReference w:id="15"/>
      </w:r>
      <w:r w:rsidRPr="003221A7" w:rsidR="00185290">
        <w:rPr>
          <w:rFonts w:cs="Calibri"/>
        </w:rPr>
        <w:t>)</w:t>
      </w:r>
      <w:r w:rsidRPr="00270876" w:rsidR="00185290">
        <w:rPr>
          <w:rFonts w:cs="Calibri"/>
        </w:rPr>
        <w:t xml:space="preserve"> ak ide o splnenie povinnosti podľa odseku 2 písm. a)</w:t>
      </w:r>
      <w:r w:rsidR="00B006A0">
        <w:rPr>
          <w:rFonts w:cs="Calibri"/>
        </w:rPr>
        <w:t>,</w:t>
      </w:r>
    </w:p>
    <w:p w:rsidR="00904BFF" w:rsidRPr="00270876" w:rsidP="00CB0E59">
      <w:pPr>
        <w:numPr>
          <w:ilvl w:val="1"/>
          <w:numId w:val="5"/>
        </w:numPr>
        <w:tabs>
          <w:tab w:val="left" w:pos="0"/>
          <w:tab w:val="left" w:pos="360"/>
        </w:tabs>
        <w:jc w:val="both"/>
        <w:rPr>
          <w:rFonts w:cs="Calibri"/>
        </w:rPr>
      </w:pPr>
      <w:r w:rsidRPr="00270876" w:rsidR="00185290">
        <w:rPr>
          <w:rFonts w:cs="Calibri"/>
        </w:rPr>
        <w:t xml:space="preserve">kópiou nájomnej </w:t>
      </w:r>
      <w:r w:rsidRPr="00270876" w:rsidR="00185290">
        <w:rPr>
          <w:rFonts w:cs="Calibri"/>
        </w:rPr>
        <w:t>zmluvy</w:t>
      </w:r>
      <w:r w:rsidR="003221A7">
        <w:rPr>
          <w:rFonts w:cs="Calibri"/>
        </w:rPr>
        <w:t>,</w:t>
      </w:r>
      <w:r>
        <w:rPr>
          <w:rStyle w:val="FootnoteReference"/>
          <w:rtl w:val="0"/>
        </w:rPr>
        <w:footnoteReference w:id="16"/>
      </w:r>
      <w:r w:rsidRPr="003221A7" w:rsidR="00353D75">
        <w:rPr>
          <w:rFonts w:cs="Calibri"/>
        </w:rPr>
        <w:t>)</w:t>
      </w:r>
      <w:r w:rsidRPr="00270876" w:rsidR="004C489D">
        <w:rPr>
          <w:rFonts w:cs="Calibri"/>
        </w:rPr>
        <w:t xml:space="preserve"> ak ide o splnenie povinnosti podľa odseku 2 písm. b)</w:t>
      </w:r>
      <w:r w:rsidRPr="00270876" w:rsidR="00B03C07">
        <w:rPr>
          <w:rFonts w:cs="Calibri"/>
        </w:rPr>
        <w:t>,</w:t>
      </w:r>
    </w:p>
    <w:p w:rsidR="002F5562" w:rsidRPr="00270876" w:rsidP="00CB0E59">
      <w:pPr>
        <w:numPr>
          <w:ilvl w:val="1"/>
          <w:numId w:val="5"/>
        </w:numPr>
        <w:tabs>
          <w:tab w:val="left" w:pos="0"/>
          <w:tab w:val="left" w:pos="360"/>
        </w:tabs>
        <w:jc w:val="both"/>
        <w:rPr>
          <w:rFonts w:cs="Calibri"/>
        </w:rPr>
      </w:pPr>
      <w:r w:rsidRPr="00270876">
        <w:rPr>
          <w:rFonts w:cs="Calibri"/>
        </w:rPr>
        <w:t>doklad</w:t>
      </w:r>
      <w:r w:rsidRPr="00270876" w:rsidR="00687CA7">
        <w:rPr>
          <w:rFonts w:cs="Calibri"/>
        </w:rPr>
        <w:t>om</w:t>
      </w:r>
      <w:r w:rsidRPr="00270876">
        <w:rPr>
          <w:rFonts w:cs="Calibri"/>
        </w:rPr>
        <w:t xml:space="preserve"> o zabezpečení odborného technického dozoru</w:t>
      </w:r>
      <w:r w:rsidRPr="00270876" w:rsidR="005B0250">
        <w:rPr>
          <w:rFonts w:cs="Calibri"/>
        </w:rPr>
        <w:t>, ak ide o splnenie povinnosti</w:t>
      </w:r>
      <w:r w:rsidRPr="00270876">
        <w:rPr>
          <w:rFonts w:cs="Calibri"/>
        </w:rPr>
        <w:t xml:space="preserve"> podľa odseku 2 písm.</w:t>
      </w:r>
      <w:r w:rsidRPr="00270876" w:rsidR="00687CA7">
        <w:rPr>
          <w:rFonts w:cs="Calibri"/>
        </w:rPr>
        <w:t xml:space="preserve"> </w:t>
      </w:r>
      <w:r w:rsidRPr="00270876">
        <w:rPr>
          <w:rFonts w:cs="Calibri"/>
        </w:rPr>
        <w:t>d)</w:t>
      </w:r>
      <w:r w:rsidRPr="00270876" w:rsidR="009E3DBF">
        <w:rPr>
          <w:rFonts w:cs="Calibri"/>
        </w:rPr>
        <w:t>.</w:t>
      </w:r>
    </w:p>
    <w:p w:rsidR="004C489D" w:rsidRPr="0015275B" w:rsidP="00CB0E59">
      <w:pPr>
        <w:tabs>
          <w:tab w:val="left" w:pos="360"/>
        </w:tabs>
        <w:jc w:val="center"/>
        <w:rPr>
          <w:rFonts w:cs="Calibri"/>
          <w:color w:val="FF0000"/>
        </w:rPr>
      </w:pPr>
    </w:p>
    <w:p w:rsidR="00230A8C" w:rsidP="00CB0E59">
      <w:pPr>
        <w:tabs>
          <w:tab w:val="left" w:pos="360"/>
        </w:tabs>
        <w:jc w:val="center"/>
        <w:rPr>
          <w:rFonts w:cs="Calibri"/>
        </w:rPr>
      </w:pPr>
      <w:r>
        <w:rPr>
          <w:rFonts w:cs="Calibri"/>
        </w:rPr>
        <w:t>§ 8</w:t>
      </w:r>
    </w:p>
    <w:p w:rsidR="00230A8C" w:rsidP="00CB0E59">
      <w:pPr>
        <w:tabs>
          <w:tab w:val="left" w:pos="360"/>
        </w:tabs>
        <w:jc w:val="center"/>
        <w:rPr>
          <w:rFonts w:cs="Calibri"/>
        </w:rPr>
      </w:pPr>
      <w:r>
        <w:rPr>
          <w:rFonts w:cs="Calibri"/>
        </w:rPr>
        <w:t>Žiadosť o poskytnutie dotácie</w:t>
      </w:r>
    </w:p>
    <w:p w:rsidR="00230A8C" w:rsidP="00CB0E59">
      <w:pPr>
        <w:numPr>
          <w:ilvl w:val="0"/>
          <w:numId w:val="7"/>
        </w:numPr>
        <w:spacing w:before="144"/>
        <w:ind w:left="0" w:firstLine="284"/>
        <w:jc w:val="both"/>
        <w:rPr>
          <w:rFonts w:cs="Calibri"/>
        </w:rPr>
      </w:pPr>
      <w:r>
        <w:rPr>
          <w:rFonts w:cs="Calibri"/>
        </w:rPr>
        <w:t>Písomnú žiadosť o </w:t>
      </w:r>
      <w:r>
        <w:rPr>
          <w:rFonts w:cs="Calibri"/>
        </w:rPr>
        <w:t xml:space="preserve">poskytnutie dotácie (ďalej len „žiadosť“) podáva žiadateľ ministerstvu prostredníctvom krajského stavebného úradu, príslušného podľa miesta stavby (ďalej len „úrad“). Úrad overí úplnosť náležitostí žiadosti, ktorými sú </w:t>
      </w:r>
    </w:p>
    <w:p w:rsidR="00230A8C" w:rsidP="00CB0E59">
      <w:pPr>
        <w:numPr>
          <w:ilvl w:val="1"/>
          <w:numId w:val="8"/>
        </w:numPr>
        <w:tabs>
          <w:tab w:val="left" w:pos="0"/>
          <w:tab w:val="clear" w:pos="360"/>
          <w:tab w:val="left" w:pos="426"/>
        </w:tabs>
        <w:ind w:left="426" w:hanging="426"/>
        <w:jc w:val="both"/>
        <w:rPr>
          <w:rFonts w:cs="Calibri"/>
        </w:rPr>
      </w:pPr>
      <w:r>
        <w:rPr>
          <w:rFonts w:cs="Calibri"/>
        </w:rPr>
        <w:t>identifikačné údaje žiadateľa,</w:t>
      </w:r>
    </w:p>
    <w:p w:rsidR="00230A8C" w:rsidP="00CB0E59">
      <w:pPr>
        <w:numPr>
          <w:ilvl w:val="1"/>
          <w:numId w:val="8"/>
        </w:numPr>
        <w:tabs>
          <w:tab w:val="left" w:pos="0"/>
          <w:tab w:val="clear" w:pos="360"/>
          <w:tab w:val="left" w:pos="426"/>
        </w:tabs>
        <w:ind w:left="426" w:hanging="426"/>
        <w:jc w:val="both"/>
        <w:rPr>
          <w:rFonts w:cs="Calibri"/>
        </w:rPr>
      </w:pPr>
      <w:r>
        <w:rPr>
          <w:rFonts w:cs="Calibri"/>
        </w:rPr>
        <w:t>údaje o stavbe,</w:t>
      </w:r>
    </w:p>
    <w:p w:rsidR="00230A8C" w:rsidP="00CB0E59">
      <w:pPr>
        <w:numPr>
          <w:ilvl w:val="1"/>
          <w:numId w:val="8"/>
        </w:numPr>
        <w:tabs>
          <w:tab w:val="left" w:pos="0"/>
          <w:tab w:val="clear" w:pos="360"/>
          <w:tab w:val="left" w:pos="426"/>
        </w:tabs>
        <w:ind w:left="426" w:hanging="426"/>
        <w:jc w:val="both"/>
        <w:rPr>
          <w:rFonts w:cs="Calibri"/>
        </w:rPr>
      </w:pPr>
      <w:r>
        <w:rPr>
          <w:rFonts w:cs="Calibri"/>
        </w:rPr>
        <w:t>výpočet požadovanej výšky dotácie,</w:t>
      </w:r>
    </w:p>
    <w:p w:rsidR="00230A8C" w:rsidP="00CB0E59">
      <w:pPr>
        <w:numPr>
          <w:ilvl w:val="1"/>
          <w:numId w:val="8"/>
        </w:numPr>
        <w:tabs>
          <w:tab w:val="clear" w:pos="360"/>
          <w:tab w:val="left" w:pos="426"/>
        </w:tabs>
        <w:ind w:left="426" w:hanging="426"/>
        <w:jc w:val="both"/>
        <w:rPr>
          <w:rFonts w:cs="Calibri"/>
        </w:rPr>
      </w:pPr>
      <w:r>
        <w:rPr>
          <w:rFonts w:cs="Calibri"/>
        </w:rPr>
        <w:t xml:space="preserve">súhlas žiadateľa so spracovaním a zverejňovaním údajov uvedených v žiadosti podľa osobitného </w:t>
      </w:r>
      <w:r w:rsidR="00070B31">
        <w:rPr>
          <w:rFonts w:cs="Calibri"/>
        </w:rPr>
        <w:t>predpisu</w:t>
      </w:r>
      <w:r w:rsidR="003221A7">
        <w:rPr>
          <w:rFonts w:cs="Calibri"/>
        </w:rPr>
        <w:t>,</w:t>
      </w:r>
      <w:r>
        <w:rPr>
          <w:rStyle w:val="FootnoteReference"/>
          <w:rtl w:val="0"/>
        </w:rPr>
        <w:footnoteReference w:id="17"/>
      </w:r>
      <w:r w:rsidRPr="003221A7" w:rsidR="00282625">
        <w:rPr>
          <w:rFonts w:cs="Calibri"/>
        </w:rPr>
        <w:t>)</w:t>
      </w:r>
    </w:p>
    <w:p w:rsidR="00230A8C" w:rsidP="00CB0E59">
      <w:pPr>
        <w:numPr>
          <w:ilvl w:val="1"/>
          <w:numId w:val="8"/>
        </w:numPr>
        <w:tabs>
          <w:tab w:val="clear" w:pos="360"/>
          <w:tab w:val="left" w:pos="426"/>
        </w:tabs>
        <w:ind w:left="426" w:hanging="426"/>
        <w:jc w:val="both"/>
        <w:rPr>
          <w:rFonts w:cs="Calibri"/>
        </w:rPr>
      </w:pPr>
      <w:r>
        <w:rPr>
          <w:rFonts w:cs="Calibri"/>
        </w:rPr>
        <w:t>údaje o počte a izbovitosti náhradných bytov v stavbe.</w:t>
      </w:r>
    </w:p>
    <w:p w:rsidR="00BF06D5" w:rsidP="00CB0E59">
      <w:pPr>
        <w:numPr>
          <w:ilvl w:val="0"/>
          <w:numId w:val="8"/>
        </w:numPr>
        <w:tabs>
          <w:tab w:val="clear" w:pos="900"/>
        </w:tabs>
        <w:spacing w:before="120"/>
        <w:ind w:left="0"/>
        <w:jc w:val="both"/>
        <w:rPr>
          <w:rFonts w:cs="Calibri"/>
        </w:rPr>
      </w:pPr>
      <w:r>
        <w:rPr>
          <w:rFonts w:cs="Calibri"/>
        </w:rPr>
        <w:t>Prílohou k žiadosti sú doklady, ktoré preukazujú splnenie podmienok ustanovených týmto zákonom.</w:t>
      </w:r>
    </w:p>
    <w:p w:rsidR="00230A8C" w:rsidP="00CB0E59">
      <w:pPr>
        <w:numPr>
          <w:ilvl w:val="0"/>
          <w:numId w:val="8"/>
        </w:numPr>
        <w:tabs>
          <w:tab w:val="clear" w:pos="900"/>
        </w:tabs>
        <w:spacing w:before="144"/>
        <w:ind w:left="0"/>
        <w:jc w:val="both"/>
        <w:rPr>
          <w:rFonts w:cs="Calibri"/>
        </w:rPr>
      </w:pPr>
      <w:r>
        <w:rPr>
          <w:rFonts w:cs="Calibri"/>
        </w:rPr>
        <w:t>Žiadosť sa podáva na tlačive, ktorého vzor ustanoví ministerstvo opatrením vydaným v Zbierke zákonov Slovenskej republiky. Opatrenie ustanoví aj doklady, ktoré je žiadateľ povinný priložiť k žiadosti. Doklady sa prikladajú v origináli alebo ako úradne osvedčené kópie.</w:t>
      </w:r>
    </w:p>
    <w:p w:rsidR="00230A8C" w:rsidP="00CB0E59">
      <w:pPr>
        <w:numPr>
          <w:ilvl w:val="0"/>
          <w:numId w:val="8"/>
        </w:numPr>
        <w:tabs>
          <w:tab w:val="left" w:pos="709"/>
          <w:tab w:val="left" w:pos="851"/>
          <w:tab w:val="clear" w:pos="900"/>
        </w:tabs>
        <w:spacing w:before="144"/>
        <w:ind w:left="0"/>
        <w:jc w:val="both"/>
        <w:rPr>
          <w:rFonts w:cs="Calibri"/>
        </w:rPr>
      </w:pPr>
      <w:r>
        <w:rPr>
          <w:rFonts w:cs="Calibri"/>
        </w:rPr>
        <w:t xml:space="preserve">Žiadosť sa úradu podáva každoročne od 15. januára do 28. februára. </w:t>
      </w:r>
    </w:p>
    <w:p w:rsidR="00230A8C" w:rsidP="00CB0E59">
      <w:pPr>
        <w:numPr>
          <w:ilvl w:val="0"/>
          <w:numId w:val="8"/>
        </w:numPr>
        <w:tabs>
          <w:tab w:val="clear" w:pos="900"/>
        </w:tabs>
        <w:spacing w:before="144"/>
        <w:ind w:left="0"/>
        <w:jc w:val="both"/>
        <w:rPr>
          <w:rFonts w:cs="Calibri"/>
        </w:rPr>
      </w:pPr>
      <w:r>
        <w:rPr>
          <w:rFonts w:cs="Calibri"/>
        </w:rPr>
        <w:t>Ak obstaranie náhradných bytov podmieňuje aj obstaranie súvisiacej technickej vybavenosti a pozemku, predloží žiadateľ súčasne so žiadosťou o poskytnutie dotácie na obstaranie náhradných bytov aj žiadosť o poskytnutie dotácie na obstaranie technickej vybavenosti a pozemku; to neplatí, ak žiadateľ vyhlási, že obstaranie súvisiacej technickej vybavenosti a pozemku zabezpečí bez dotácie podľa tohto zákona.</w:t>
      </w:r>
    </w:p>
    <w:p w:rsidR="00230A8C" w:rsidP="00CB0E59">
      <w:pPr>
        <w:numPr>
          <w:ilvl w:val="0"/>
          <w:numId w:val="8"/>
        </w:numPr>
        <w:tabs>
          <w:tab w:val="clear" w:pos="900"/>
        </w:tabs>
        <w:spacing w:before="144"/>
        <w:ind w:left="0"/>
        <w:jc w:val="both"/>
        <w:rPr>
          <w:rFonts w:cs="Calibri"/>
        </w:rPr>
      </w:pPr>
      <w:r>
        <w:rPr>
          <w:rFonts w:cs="Calibri"/>
        </w:rPr>
        <w:t xml:space="preserve">Úrad odtlačkom úradnej pečiatky a podpisom jeho zodpovedného zamestnanca potvrdí na žiadosti overenie splnenia podmienok pre poskytnutie dotácie. </w:t>
      </w:r>
    </w:p>
    <w:p w:rsidR="00230A8C" w:rsidP="00CB0E59">
      <w:pPr>
        <w:numPr>
          <w:ilvl w:val="0"/>
          <w:numId w:val="8"/>
        </w:numPr>
        <w:tabs>
          <w:tab w:val="left" w:pos="709"/>
          <w:tab w:val="left" w:pos="851"/>
          <w:tab w:val="clear" w:pos="900"/>
        </w:tabs>
        <w:spacing w:before="144"/>
        <w:ind w:left="0"/>
        <w:jc w:val="both"/>
        <w:rPr>
          <w:rFonts w:cs="Calibri"/>
        </w:rPr>
      </w:pPr>
      <w:r>
        <w:rPr>
          <w:rFonts w:cs="Calibri"/>
        </w:rPr>
        <w:t xml:space="preserve">Žiadosti, ktoré splnili podmienky na poskytnutie dotácie, zaradí úrad v zozname žiadostí podľa dátumu ich doručenia. </w:t>
      </w:r>
    </w:p>
    <w:p w:rsidR="00230A8C" w:rsidP="00CB0E59">
      <w:pPr>
        <w:numPr>
          <w:ilvl w:val="0"/>
          <w:numId w:val="8"/>
        </w:numPr>
        <w:tabs>
          <w:tab w:val="clear" w:pos="900"/>
        </w:tabs>
        <w:spacing w:before="144"/>
        <w:ind w:left="0"/>
        <w:jc w:val="both"/>
        <w:rPr>
          <w:rFonts w:cs="Calibri"/>
        </w:rPr>
      </w:pPr>
      <w:r>
        <w:rPr>
          <w:rFonts w:cs="Calibri"/>
        </w:rPr>
        <w:t xml:space="preserve">Úrad zašle ministerstvu každoročne do 31. marca žiadosti do výšky limitu určeného ministerstvom nadväzne na výšku sumy vyčlenenej na účely podľa § 2 na príslušný rozpočtový rok, a to pri dodržaní poradia ustanoveného podľa odseku </w:t>
      </w:r>
      <w:r w:rsidR="00EC5724">
        <w:rPr>
          <w:rFonts w:cs="Calibri"/>
        </w:rPr>
        <w:t>7</w:t>
      </w:r>
      <w:r>
        <w:rPr>
          <w:rFonts w:cs="Calibri"/>
        </w:rPr>
        <w:t xml:space="preserve">. </w:t>
      </w:r>
    </w:p>
    <w:p w:rsidR="00230A8C" w:rsidP="00CB0E59">
      <w:pPr>
        <w:numPr>
          <w:ilvl w:val="0"/>
          <w:numId w:val="8"/>
        </w:numPr>
        <w:tabs>
          <w:tab w:val="clear" w:pos="900"/>
        </w:tabs>
        <w:spacing w:before="144"/>
        <w:ind w:left="0"/>
        <w:jc w:val="both"/>
        <w:rPr>
          <w:rFonts w:cs="Calibri"/>
        </w:rPr>
      </w:pPr>
      <w:r>
        <w:rPr>
          <w:rFonts w:cs="Calibri"/>
        </w:rPr>
        <w:t>Žiadosti, ktoré splnili podmienky pre poskytnutie dotácie, ale boli nad výšku limitu určeného ministerstvom, si úrad ponechá v evidencii a bude ich posudzovať v nasledujúcom kalendárnom roku.</w:t>
      </w:r>
    </w:p>
    <w:p w:rsidR="00230A8C" w:rsidP="00CB0E59">
      <w:pPr>
        <w:numPr>
          <w:ilvl w:val="0"/>
          <w:numId w:val="8"/>
        </w:numPr>
        <w:tabs>
          <w:tab w:val="clear" w:pos="900"/>
        </w:tabs>
        <w:spacing w:before="144"/>
        <w:ind w:left="0"/>
        <w:jc w:val="both"/>
        <w:rPr>
          <w:rFonts w:cs="Calibri"/>
        </w:rPr>
      </w:pPr>
      <w:r w:rsidR="00E1355D">
        <w:rPr>
          <w:rFonts w:cs="Calibri"/>
        </w:rPr>
        <w:t xml:space="preserve"> </w:t>
      </w:r>
      <w:r>
        <w:rPr>
          <w:rFonts w:cs="Calibri"/>
        </w:rPr>
        <w:t xml:space="preserve">Žiadosti, ktoré nesplnili podmienky pre poskytnutie dotácie, vráti úrad žiadateľovi každoročne do 30. apríla. </w:t>
      </w:r>
    </w:p>
    <w:p w:rsidR="00230A8C" w:rsidP="00CB0E59">
      <w:pPr>
        <w:numPr>
          <w:ilvl w:val="0"/>
          <w:numId w:val="8"/>
        </w:numPr>
        <w:tabs>
          <w:tab w:val="clear" w:pos="900"/>
        </w:tabs>
        <w:spacing w:before="144"/>
        <w:ind w:left="0"/>
        <w:jc w:val="both"/>
        <w:rPr>
          <w:rFonts w:cs="Calibri"/>
        </w:rPr>
      </w:pPr>
      <w:r>
        <w:rPr>
          <w:rFonts w:cs="Calibri"/>
        </w:rPr>
        <w:t xml:space="preserve"> Žiadateľ, ktorému bola žiadosť vrátená podľa odseku </w:t>
      </w:r>
      <w:r w:rsidR="00EC5724">
        <w:rPr>
          <w:rFonts w:cs="Calibri"/>
        </w:rPr>
        <w:t>10</w:t>
      </w:r>
      <w:r>
        <w:rPr>
          <w:rFonts w:cs="Calibri"/>
        </w:rPr>
        <w:t xml:space="preserve">, môže podať podnet na preskúmanie správnosti postupu úradu. Podnet sa predkladá ministerstvu prostredníctvom úradu v lehote do 30 dní odo dňa vrátenia žiadosti. </w:t>
      </w:r>
    </w:p>
    <w:p w:rsidR="00230A8C" w:rsidP="00CB0E59">
      <w:pPr>
        <w:numPr>
          <w:ilvl w:val="0"/>
          <w:numId w:val="8"/>
        </w:numPr>
        <w:tabs>
          <w:tab w:val="left" w:pos="709"/>
          <w:tab w:val="left" w:pos="851"/>
          <w:tab w:val="clear" w:pos="900"/>
        </w:tabs>
        <w:spacing w:before="144"/>
        <w:ind w:left="0"/>
        <w:jc w:val="both"/>
        <w:rPr>
          <w:rFonts w:cs="Calibri"/>
        </w:rPr>
      </w:pPr>
      <w:r>
        <w:rPr>
          <w:rFonts w:cs="Calibri"/>
        </w:rPr>
        <w:t xml:space="preserve"> Ministerstvo preskúma v lehote do 30 dní odo dňa doručenia podnetu postup úradu pri posudzovaní žiadostí a v prípade zistenia jeho nesprávneho postupu vyzve úrad na opätovné zaradenie žiadosti do zoznamu žiadostí podľa pôvodného termínu jej doručenia.</w:t>
      </w:r>
    </w:p>
    <w:p w:rsidR="00230A8C" w:rsidP="00CB0E59">
      <w:pPr>
        <w:numPr>
          <w:ilvl w:val="0"/>
          <w:numId w:val="8"/>
        </w:numPr>
        <w:tabs>
          <w:tab w:val="clear" w:pos="900"/>
        </w:tabs>
        <w:spacing w:before="144"/>
        <w:ind w:left="0"/>
        <w:jc w:val="both"/>
        <w:rPr>
          <w:rFonts w:cs="Calibri"/>
        </w:rPr>
      </w:pPr>
      <w:r>
        <w:rPr>
          <w:rFonts w:cs="Calibri"/>
        </w:rPr>
        <w:t xml:space="preserve"> Ministerstvo po posúdení žiadostí poskytne dotácie do výšky sumy vyčlenenej na  účely podľa § 2 na príslušný rozpočtový rok. </w:t>
      </w:r>
    </w:p>
    <w:p w:rsidR="00CB0E59" w:rsidP="00CB0E59">
      <w:pPr>
        <w:spacing w:before="144"/>
        <w:jc w:val="center"/>
        <w:rPr>
          <w:rFonts w:cs="Calibri"/>
        </w:rPr>
      </w:pPr>
    </w:p>
    <w:p w:rsidR="00230A8C" w:rsidP="00CB0E59">
      <w:pPr>
        <w:jc w:val="center"/>
        <w:rPr>
          <w:rFonts w:cs="Calibri"/>
        </w:rPr>
      </w:pPr>
      <w:r>
        <w:rPr>
          <w:rFonts w:cs="Calibri"/>
        </w:rPr>
        <w:t>§ 9</w:t>
      </w:r>
    </w:p>
    <w:p w:rsidR="00230A8C" w:rsidP="00CB0E59">
      <w:pPr>
        <w:jc w:val="center"/>
        <w:rPr>
          <w:rFonts w:cs="Calibri"/>
        </w:rPr>
      </w:pPr>
      <w:r>
        <w:rPr>
          <w:rFonts w:cs="Calibri"/>
        </w:rPr>
        <w:t>Zmluva o poskytnutí dotácie</w:t>
      </w:r>
    </w:p>
    <w:p w:rsidR="008D08F8" w:rsidP="00CB0E59">
      <w:pPr>
        <w:jc w:val="center"/>
        <w:rPr>
          <w:rFonts w:cs="Calibri"/>
        </w:rPr>
      </w:pPr>
    </w:p>
    <w:p w:rsidR="00230A8C" w:rsidP="00CB0E59">
      <w:pPr>
        <w:numPr>
          <w:ilvl w:val="0"/>
          <w:numId w:val="9"/>
        </w:numPr>
        <w:tabs>
          <w:tab w:val="left" w:pos="0"/>
        </w:tabs>
        <w:spacing w:before="144"/>
        <w:jc w:val="both"/>
        <w:rPr>
          <w:rFonts w:cs="Calibri"/>
        </w:rPr>
      </w:pPr>
      <w:r>
        <w:rPr>
          <w:rFonts w:cs="Calibri"/>
        </w:rPr>
        <w:t xml:space="preserve">Dotáciu poskytuje ministerstvo na základe zmluvy uzavretej medzi žiadateľom a ministerstvom. </w:t>
      </w:r>
    </w:p>
    <w:p w:rsidR="00230A8C" w:rsidP="00CB0E59">
      <w:pPr>
        <w:numPr>
          <w:ilvl w:val="0"/>
          <w:numId w:val="9"/>
        </w:numPr>
        <w:tabs>
          <w:tab w:val="left" w:pos="0"/>
        </w:tabs>
        <w:spacing w:before="144"/>
        <w:jc w:val="both"/>
        <w:rPr>
          <w:rFonts w:cs="Calibri"/>
        </w:rPr>
      </w:pPr>
      <w:r>
        <w:rPr>
          <w:rFonts w:cs="Calibri"/>
        </w:rPr>
        <w:t>Zmluva o poskytnutí dotácie ( ďalej len „zmluva“) obsahuje najmä</w:t>
      </w:r>
    </w:p>
    <w:p w:rsidR="00230A8C" w:rsidP="00CB0E59">
      <w:pPr>
        <w:numPr>
          <w:ilvl w:val="1"/>
          <w:numId w:val="9"/>
        </w:numPr>
        <w:tabs>
          <w:tab w:val="left" w:pos="0"/>
          <w:tab w:val="left" w:pos="340"/>
        </w:tabs>
        <w:jc w:val="both"/>
        <w:rPr>
          <w:rFonts w:cs="Calibri"/>
        </w:rPr>
      </w:pPr>
      <w:r>
        <w:rPr>
          <w:rFonts w:cs="Calibri"/>
        </w:rPr>
        <w:t>údaje o zmluvných stranách,</w:t>
      </w:r>
    </w:p>
    <w:p w:rsidR="00230A8C" w:rsidP="00CB0E59">
      <w:pPr>
        <w:numPr>
          <w:ilvl w:val="1"/>
          <w:numId w:val="9"/>
        </w:numPr>
        <w:tabs>
          <w:tab w:val="left" w:pos="0"/>
          <w:tab w:val="left" w:pos="340"/>
        </w:tabs>
        <w:jc w:val="both"/>
        <w:rPr>
          <w:rFonts w:cs="Calibri"/>
        </w:rPr>
      </w:pPr>
      <w:r>
        <w:rPr>
          <w:rFonts w:cs="Calibri"/>
        </w:rPr>
        <w:t>údaje o stavbe,</w:t>
      </w:r>
    </w:p>
    <w:p w:rsidR="00230A8C" w:rsidP="00CB0E59">
      <w:pPr>
        <w:numPr>
          <w:ilvl w:val="1"/>
          <w:numId w:val="9"/>
        </w:numPr>
        <w:tabs>
          <w:tab w:val="left" w:pos="0"/>
          <w:tab w:val="left" w:pos="340"/>
        </w:tabs>
        <w:jc w:val="both"/>
        <w:rPr>
          <w:rFonts w:cs="Calibri"/>
        </w:rPr>
      </w:pPr>
      <w:r>
        <w:rPr>
          <w:rFonts w:cs="Calibri"/>
        </w:rPr>
        <w:t>výšku poskytnutej dotácie a podmienky jej čerpania,</w:t>
      </w:r>
    </w:p>
    <w:p w:rsidR="00230A8C" w:rsidP="00CB0E59">
      <w:pPr>
        <w:numPr>
          <w:ilvl w:val="1"/>
          <w:numId w:val="9"/>
        </w:numPr>
        <w:tabs>
          <w:tab w:val="left" w:pos="0"/>
          <w:tab w:val="left" w:pos="340"/>
        </w:tabs>
        <w:jc w:val="both"/>
        <w:rPr>
          <w:rFonts w:cs="Calibri"/>
        </w:rPr>
      </w:pPr>
      <w:r>
        <w:rPr>
          <w:rFonts w:cs="Calibri"/>
        </w:rPr>
        <w:t>spôsob plnenia záväzkov zmluvných strán,</w:t>
      </w:r>
    </w:p>
    <w:p w:rsidR="00230A8C" w:rsidP="00CB0E59">
      <w:pPr>
        <w:numPr>
          <w:ilvl w:val="1"/>
          <w:numId w:val="9"/>
        </w:numPr>
        <w:tabs>
          <w:tab w:val="left" w:pos="0"/>
          <w:tab w:val="left" w:pos="340"/>
        </w:tabs>
        <w:jc w:val="both"/>
        <w:rPr>
          <w:rFonts w:cs="Calibri"/>
        </w:rPr>
      </w:pPr>
      <w:r>
        <w:rPr>
          <w:rFonts w:cs="Calibri"/>
        </w:rPr>
        <w:t>spôsob použitia dotácie podľa osobitného predpisu</w:t>
      </w:r>
      <w:r w:rsidR="003221A7">
        <w:rPr>
          <w:rFonts w:cs="Calibri"/>
        </w:rPr>
        <w:t>,</w:t>
      </w:r>
      <w:r>
        <w:rPr>
          <w:rStyle w:val="FootnoteReference"/>
          <w:rtl w:val="0"/>
        </w:rPr>
        <w:footnoteReference w:id="18"/>
      </w:r>
      <w:r w:rsidRPr="003221A7" w:rsidR="00282625">
        <w:rPr>
          <w:rFonts w:cs="Calibri"/>
        </w:rPr>
        <w:t>)</w:t>
      </w:r>
    </w:p>
    <w:p w:rsidR="00230A8C" w:rsidP="00CB0E59">
      <w:pPr>
        <w:numPr>
          <w:ilvl w:val="1"/>
          <w:numId w:val="9"/>
        </w:numPr>
        <w:tabs>
          <w:tab w:val="left" w:pos="0"/>
          <w:tab w:val="left" w:pos="340"/>
        </w:tabs>
        <w:jc w:val="both"/>
        <w:rPr>
          <w:rFonts w:cs="Calibri"/>
        </w:rPr>
      </w:pPr>
      <w:r>
        <w:rPr>
          <w:rFonts w:cs="Calibri"/>
        </w:rPr>
        <w:t>spôsob nakladania s náhradnými bytmi financovanými podľa tohto zákona,</w:t>
      </w:r>
    </w:p>
    <w:p w:rsidR="00230A8C" w:rsidP="00CB0E59">
      <w:pPr>
        <w:numPr>
          <w:ilvl w:val="1"/>
          <w:numId w:val="9"/>
        </w:numPr>
        <w:tabs>
          <w:tab w:val="left" w:pos="0"/>
          <w:tab w:val="left" w:pos="340"/>
        </w:tabs>
        <w:rPr>
          <w:rFonts w:cs="Calibri"/>
        </w:rPr>
      </w:pPr>
      <w:r>
        <w:rPr>
          <w:rFonts w:cs="Calibri"/>
        </w:rPr>
        <w:t xml:space="preserve">údaje o počte a izbovitosti náhradných bytov v stavbe. </w:t>
      </w:r>
    </w:p>
    <w:p w:rsidR="00230A8C" w:rsidP="00CB0E59">
      <w:pPr>
        <w:jc w:val="center"/>
        <w:rPr>
          <w:rFonts w:cs="Calibri"/>
        </w:rPr>
      </w:pPr>
    </w:p>
    <w:p w:rsidR="00230A8C" w:rsidP="00CB0E59">
      <w:pPr>
        <w:jc w:val="center"/>
        <w:rPr>
          <w:rFonts w:cs="Calibri"/>
        </w:rPr>
      </w:pPr>
      <w:r>
        <w:rPr>
          <w:rFonts w:cs="Calibri"/>
        </w:rPr>
        <w:t>§ 10</w:t>
      </w:r>
    </w:p>
    <w:p w:rsidR="00230A8C" w:rsidP="00CB0E59">
      <w:pPr>
        <w:tabs>
          <w:tab w:val="left" w:pos="360"/>
        </w:tabs>
        <w:jc w:val="center"/>
        <w:rPr>
          <w:rFonts w:cs="Calibri"/>
        </w:rPr>
      </w:pPr>
      <w:r>
        <w:rPr>
          <w:rFonts w:cs="Calibri"/>
        </w:rPr>
        <w:t>Informačný systém</w:t>
      </w:r>
    </w:p>
    <w:p w:rsidR="00230A8C" w:rsidP="00CB0E59">
      <w:pPr>
        <w:numPr>
          <w:ilvl w:val="0"/>
          <w:numId w:val="10"/>
        </w:numPr>
        <w:tabs>
          <w:tab w:val="left" w:pos="0"/>
        </w:tabs>
        <w:spacing w:before="144"/>
        <w:jc w:val="both"/>
        <w:rPr>
          <w:rFonts w:cs="Calibri"/>
        </w:rPr>
      </w:pPr>
      <w:r>
        <w:rPr>
          <w:rFonts w:cs="Calibri"/>
        </w:rPr>
        <w:t xml:space="preserve">Ministerstvo spravuje informačný systém, ktorý obsahuje </w:t>
      </w:r>
    </w:p>
    <w:p w:rsidR="00230A8C" w:rsidP="00CB0E59">
      <w:pPr>
        <w:numPr>
          <w:ilvl w:val="1"/>
          <w:numId w:val="10"/>
        </w:numPr>
        <w:tabs>
          <w:tab w:val="left" w:pos="0"/>
          <w:tab w:val="left" w:pos="340"/>
        </w:tabs>
        <w:jc w:val="both"/>
        <w:rPr>
          <w:rFonts w:cs="Calibri"/>
        </w:rPr>
      </w:pPr>
      <w:r>
        <w:rPr>
          <w:rFonts w:cs="Calibri"/>
        </w:rPr>
        <w:t>údaje uvádzané v žiadosti a prílohách k žiadosti,</w:t>
      </w:r>
    </w:p>
    <w:p w:rsidR="00230A8C" w:rsidP="00CB0E59">
      <w:pPr>
        <w:numPr>
          <w:ilvl w:val="1"/>
          <w:numId w:val="10"/>
        </w:numPr>
        <w:tabs>
          <w:tab w:val="left" w:pos="0"/>
          <w:tab w:val="left" w:pos="340"/>
        </w:tabs>
        <w:jc w:val="both"/>
        <w:rPr>
          <w:rFonts w:cs="Calibri"/>
        </w:rPr>
      </w:pPr>
      <w:r>
        <w:rPr>
          <w:rFonts w:cs="Calibri"/>
        </w:rPr>
        <w:t>výšku poskytnutej dotácie,</w:t>
      </w:r>
    </w:p>
    <w:p w:rsidR="00230A8C" w:rsidP="00CB0E59">
      <w:pPr>
        <w:numPr>
          <w:ilvl w:val="1"/>
          <w:numId w:val="10"/>
        </w:numPr>
        <w:tabs>
          <w:tab w:val="left" w:pos="0"/>
          <w:tab w:val="left" w:pos="340"/>
        </w:tabs>
        <w:jc w:val="both"/>
        <w:rPr>
          <w:rFonts w:cs="Calibri"/>
        </w:rPr>
      </w:pPr>
      <w:r>
        <w:rPr>
          <w:rFonts w:cs="Calibri"/>
        </w:rPr>
        <w:t>plnenie zmluvných podmienok.</w:t>
      </w:r>
    </w:p>
    <w:p w:rsidR="00CB0E59" w:rsidP="00CB0E59">
      <w:pPr>
        <w:numPr>
          <w:ilvl w:val="0"/>
          <w:numId w:val="10"/>
        </w:numPr>
        <w:tabs>
          <w:tab w:val="left" w:pos="0"/>
        </w:tabs>
        <w:spacing w:before="144"/>
        <w:jc w:val="both"/>
        <w:rPr>
          <w:rFonts w:cs="Calibri"/>
        </w:rPr>
      </w:pPr>
      <w:r w:rsidR="00230A8C">
        <w:rPr>
          <w:rFonts w:cs="Calibri"/>
        </w:rPr>
        <w:t>Informácie podľa odseku 1 ministerstvo zbiera a uchováva najmenej desať rokov po ukončení zmluvného vzťahu.</w:t>
      </w:r>
    </w:p>
    <w:p w:rsidR="00230A8C" w:rsidP="00CB0E59">
      <w:pPr>
        <w:jc w:val="both"/>
        <w:rPr>
          <w:rFonts w:cs="Calibri"/>
          <w:bCs/>
        </w:rPr>
      </w:pPr>
      <w:r>
        <w:rPr>
          <w:rFonts w:cs="Calibri"/>
          <w:bCs/>
        </w:rPr>
        <w:t xml:space="preserve">     (3)  Ministerstvo zverejňuje na svojom webovom sídle</w:t>
      </w:r>
    </w:p>
    <w:p w:rsidR="00230A8C" w:rsidP="00CB0E59">
      <w:pPr>
        <w:numPr>
          <w:ilvl w:val="1"/>
          <w:numId w:val="11"/>
        </w:numPr>
        <w:tabs>
          <w:tab w:val="left" w:pos="340"/>
        </w:tabs>
        <w:jc w:val="both"/>
        <w:rPr>
          <w:rFonts w:cs="Calibri"/>
          <w:bCs/>
        </w:rPr>
      </w:pPr>
      <w:r>
        <w:rPr>
          <w:rFonts w:cs="Calibri"/>
          <w:bCs/>
        </w:rPr>
        <w:t>úplné znenia všeobecne záväzných právnych predpisov upravujúcich poskytovanie dotácií v jeho pôsobnosti,</w:t>
      </w:r>
    </w:p>
    <w:p w:rsidR="00230A8C" w:rsidP="00CB0E59">
      <w:pPr>
        <w:numPr>
          <w:ilvl w:val="1"/>
          <w:numId w:val="11"/>
        </w:numPr>
        <w:tabs>
          <w:tab w:val="left" w:pos="340"/>
        </w:tabs>
        <w:jc w:val="both"/>
        <w:rPr>
          <w:rFonts w:cs="Calibri"/>
          <w:bCs/>
        </w:rPr>
      </w:pPr>
      <w:r>
        <w:rPr>
          <w:rFonts w:cs="Calibri"/>
          <w:bCs/>
        </w:rPr>
        <w:t>schválený rozpočet na dotácie podľa ich účelu pre daný rozpočtový rok a návrh rozpočtu na nasledujúce dva roky,</w:t>
      </w:r>
    </w:p>
    <w:p w:rsidR="00230A8C" w:rsidP="00CB0E59">
      <w:pPr>
        <w:numPr>
          <w:ilvl w:val="1"/>
          <w:numId w:val="11"/>
        </w:numPr>
        <w:tabs>
          <w:tab w:val="left" w:pos="340"/>
        </w:tabs>
        <w:jc w:val="both"/>
        <w:rPr>
          <w:rFonts w:cs="Calibri"/>
          <w:bCs/>
        </w:rPr>
      </w:pPr>
      <w:r>
        <w:rPr>
          <w:rFonts w:cs="Calibri"/>
          <w:bCs/>
        </w:rPr>
        <w:t>každoročne do 31.decembra informačný materiál obsahujúci informácie pre žiadateľa nevyhnutné pre podanie žiadosti v nasledujúcom roku,</w:t>
      </w:r>
    </w:p>
    <w:p w:rsidR="00230A8C" w:rsidP="00CB0E59">
      <w:pPr>
        <w:numPr>
          <w:ilvl w:val="1"/>
          <w:numId w:val="11"/>
        </w:numPr>
        <w:tabs>
          <w:tab w:val="left" w:pos="340"/>
        </w:tabs>
        <w:jc w:val="both"/>
        <w:rPr>
          <w:rFonts w:cs="Calibri"/>
          <w:bCs/>
        </w:rPr>
      </w:pPr>
      <w:r>
        <w:rPr>
          <w:rFonts w:cs="Calibri"/>
          <w:bCs/>
        </w:rPr>
        <w:t>všetky schválené žiadosti aj so sumami žiadaných a poskytnutých dotácií vrátane dátumu schválenia, výšky, účelu dotácie a identifikácie žiadateľa, a to do 60 dní od schválenia žiadosti,</w:t>
      </w:r>
    </w:p>
    <w:p w:rsidR="00230A8C" w:rsidP="00CB0E59">
      <w:pPr>
        <w:numPr>
          <w:ilvl w:val="1"/>
          <w:numId w:val="11"/>
        </w:numPr>
        <w:tabs>
          <w:tab w:val="left" w:pos="340"/>
        </w:tabs>
        <w:jc w:val="both"/>
        <w:rPr>
          <w:rFonts w:cs="Calibri"/>
          <w:bCs/>
        </w:rPr>
      </w:pPr>
      <w:r>
        <w:rPr>
          <w:rFonts w:cs="Calibri"/>
          <w:bCs/>
        </w:rPr>
        <w:t xml:space="preserve"> všetky neschválené žiadosti vrátane dátumu a dôvodu neschválenia žiadosti, a to do 60 dní od neschválenia žiadosti,</w:t>
      </w:r>
    </w:p>
    <w:p w:rsidR="00230A8C" w:rsidP="00CB0E59">
      <w:pPr>
        <w:numPr>
          <w:ilvl w:val="1"/>
          <w:numId w:val="11"/>
        </w:numPr>
        <w:tabs>
          <w:tab w:val="left" w:pos="340"/>
        </w:tabs>
        <w:jc w:val="both"/>
        <w:rPr>
          <w:rFonts w:cs="Calibri"/>
          <w:bCs/>
        </w:rPr>
      </w:pPr>
      <w:r>
        <w:rPr>
          <w:rFonts w:cs="Calibri"/>
          <w:bCs/>
        </w:rPr>
        <w:t xml:space="preserve">vyhodnotenie výsledkov už poskytnutých dotácií, </w:t>
      </w:r>
    </w:p>
    <w:p w:rsidR="00230A8C" w:rsidP="00CB0E59">
      <w:pPr>
        <w:numPr>
          <w:ilvl w:val="1"/>
          <w:numId w:val="11"/>
        </w:numPr>
        <w:tabs>
          <w:tab w:val="left" w:pos="340"/>
        </w:tabs>
        <w:jc w:val="both"/>
        <w:rPr>
          <w:rFonts w:cs="Calibri"/>
          <w:bCs/>
        </w:rPr>
      </w:pPr>
      <w:r>
        <w:rPr>
          <w:rFonts w:cs="Calibri"/>
          <w:bCs/>
        </w:rPr>
        <w:t>často kladené otázky súvisiace s dotáciami,</w:t>
      </w:r>
    </w:p>
    <w:p w:rsidR="00230A8C" w:rsidP="00CB0E59">
      <w:pPr>
        <w:numPr>
          <w:ilvl w:val="1"/>
          <w:numId w:val="11"/>
        </w:numPr>
        <w:tabs>
          <w:tab w:val="left" w:pos="340"/>
        </w:tabs>
        <w:jc w:val="both"/>
        <w:rPr>
          <w:rFonts w:cs="Calibri"/>
          <w:bCs/>
        </w:rPr>
      </w:pPr>
      <w:r>
        <w:rPr>
          <w:rFonts w:cs="Calibri"/>
          <w:bCs/>
        </w:rPr>
        <w:t>zoznam uzavretých zmlúv.</w:t>
      </w:r>
    </w:p>
    <w:p w:rsidR="008D08F8" w:rsidP="008D08F8">
      <w:pPr>
        <w:ind w:left="340"/>
        <w:jc w:val="both"/>
        <w:rPr>
          <w:rFonts w:cs="Calibri"/>
          <w:bCs/>
        </w:rPr>
      </w:pPr>
    </w:p>
    <w:p w:rsidR="00230A8C" w:rsidP="00CB0E59">
      <w:pPr>
        <w:jc w:val="center"/>
        <w:rPr>
          <w:rFonts w:cs="Calibri"/>
        </w:rPr>
      </w:pPr>
      <w:r>
        <w:rPr>
          <w:rFonts w:cs="Calibri"/>
        </w:rPr>
        <w:t>§ 11</w:t>
      </w:r>
    </w:p>
    <w:p w:rsidR="00230A8C" w:rsidP="00CB0E59">
      <w:pPr>
        <w:jc w:val="center"/>
        <w:rPr>
          <w:rFonts w:cs="Calibri"/>
        </w:rPr>
      </w:pPr>
      <w:r>
        <w:rPr>
          <w:rFonts w:cs="Calibri"/>
        </w:rPr>
        <w:t xml:space="preserve">Vymedzenie charakteristiky náhradných bytov </w:t>
      </w:r>
    </w:p>
    <w:p w:rsidR="00230A8C" w:rsidP="00CB0E59">
      <w:pPr>
        <w:rPr>
          <w:rFonts w:cs="Calibri"/>
        </w:rPr>
      </w:pPr>
    </w:p>
    <w:p w:rsidR="00230A8C" w:rsidP="00CB0E59">
      <w:pPr>
        <w:numPr>
          <w:ilvl w:val="0"/>
          <w:numId w:val="12"/>
        </w:numPr>
        <w:tabs>
          <w:tab w:val="left" w:pos="540"/>
        </w:tabs>
        <w:rPr>
          <w:rFonts w:cs="Calibri"/>
        </w:rPr>
      </w:pPr>
      <w:r>
        <w:rPr>
          <w:rFonts w:cs="Calibri"/>
        </w:rPr>
        <w:t>Náhradným bytom je byt, ktorého podlahová plocha je najviac</w:t>
      </w:r>
    </w:p>
    <w:p w:rsidR="00230A8C" w:rsidP="00CB0E59">
      <w:pPr>
        <w:numPr>
          <w:ilvl w:val="1"/>
          <w:numId w:val="12"/>
        </w:numPr>
        <w:tabs>
          <w:tab w:val="left" w:pos="0"/>
          <w:tab w:val="left" w:pos="360"/>
        </w:tabs>
        <w:jc w:val="both"/>
        <w:rPr>
          <w:rFonts w:cs="Calibri"/>
        </w:rPr>
      </w:pPr>
      <w:smartTag w:uri="urn:schemas-microsoft-com:office:smarttags" w:element="metricconverter">
        <w:smartTagPr>
          <w:attr w:name="ProductID" w:val="90 m2"/>
        </w:smartTagPr>
        <w:r>
          <w:rPr>
            <w:rFonts w:cs="Calibri"/>
          </w:rPr>
          <w:t>90 m</w:t>
        </w:r>
        <w:r>
          <w:rPr>
            <w:rFonts w:cs="Calibri"/>
            <w:vertAlign w:val="superscript"/>
          </w:rPr>
          <w:t>2</w:t>
        </w:r>
      </w:smartTag>
      <w:r>
        <w:rPr>
          <w:rFonts w:cs="Calibri"/>
        </w:rPr>
        <w:t xml:space="preserve"> pre byt so štyrmi obytnými miestnosťami,</w:t>
      </w:r>
    </w:p>
    <w:p w:rsidR="00230A8C" w:rsidP="00CB0E59">
      <w:pPr>
        <w:numPr>
          <w:ilvl w:val="1"/>
          <w:numId w:val="12"/>
        </w:numPr>
        <w:tabs>
          <w:tab w:val="left" w:pos="0"/>
          <w:tab w:val="left" w:pos="360"/>
        </w:tabs>
        <w:jc w:val="both"/>
        <w:rPr>
          <w:rFonts w:cs="Calibri"/>
        </w:rPr>
      </w:pPr>
      <w:smartTag w:uri="urn:schemas-microsoft-com:office:smarttags" w:element="metricconverter">
        <w:smartTagPr>
          <w:attr w:name="ProductID" w:val="75 m2"/>
        </w:smartTagPr>
        <w:r>
          <w:rPr>
            <w:rFonts w:cs="Calibri"/>
          </w:rPr>
          <w:t>75 m</w:t>
        </w:r>
        <w:r>
          <w:rPr>
            <w:rFonts w:cs="Calibri"/>
            <w:vertAlign w:val="superscript"/>
          </w:rPr>
          <w:t>2</w:t>
        </w:r>
      </w:smartTag>
      <w:r>
        <w:rPr>
          <w:rFonts w:cs="Calibri"/>
        </w:rPr>
        <w:t xml:space="preserve"> pre byt s tromi obytnými miestnosťami,</w:t>
      </w:r>
    </w:p>
    <w:p w:rsidR="00230A8C" w:rsidP="00CB0E59">
      <w:pPr>
        <w:numPr>
          <w:ilvl w:val="1"/>
          <w:numId w:val="12"/>
        </w:numPr>
        <w:tabs>
          <w:tab w:val="left" w:pos="0"/>
          <w:tab w:val="left" w:pos="360"/>
        </w:tabs>
        <w:jc w:val="both"/>
        <w:rPr>
          <w:rFonts w:cs="Calibri"/>
        </w:rPr>
      </w:pPr>
      <w:smartTag w:uri="urn:schemas-microsoft-com:office:smarttags" w:element="metricconverter">
        <w:smartTagPr>
          <w:attr w:name="ProductID" w:val="60 m2"/>
        </w:smartTagPr>
        <w:r>
          <w:rPr>
            <w:rFonts w:cs="Calibri"/>
          </w:rPr>
          <w:t>60 m</w:t>
        </w:r>
        <w:r>
          <w:rPr>
            <w:rFonts w:cs="Calibri"/>
            <w:vertAlign w:val="superscript"/>
          </w:rPr>
          <w:t>2</w:t>
        </w:r>
      </w:smartTag>
      <w:r>
        <w:rPr>
          <w:rFonts w:cs="Calibri"/>
        </w:rPr>
        <w:t xml:space="preserve"> pre byt s dvomi obytnými miestnosťami,</w:t>
      </w:r>
    </w:p>
    <w:p w:rsidR="00230A8C" w:rsidP="00CB0E59">
      <w:pPr>
        <w:numPr>
          <w:ilvl w:val="1"/>
          <w:numId w:val="12"/>
        </w:numPr>
        <w:tabs>
          <w:tab w:val="left" w:pos="0"/>
          <w:tab w:val="left" w:pos="360"/>
        </w:tabs>
        <w:jc w:val="both"/>
        <w:rPr>
          <w:rFonts w:cs="Calibri"/>
        </w:rPr>
      </w:pPr>
      <w:smartTag w:uri="urn:schemas-microsoft-com:office:smarttags" w:element="metricconverter">
        <w:smartTagPr>
          <w:attr w:name="ProductID" w:val="45 m2"/>
        </w:smartTagPr>
        <w:r>
          <w:rPr>
            <w:rFonts w:cs="Calibri"/>
          </w:rPr>
          <w:t>45 m</w:t>
        </w:r>
        <w:r>
          <w:rPr>
            <w:rFonts w:cs="Calibri"/>
            <w:vertAlign w:val="superscript"/>
          </w:rPr>
          <w:t>2</w:t>
        </w:r>
      </w:smartTag>
      <w:r>
        <w:rPr>
          <w:rFonts w:cs="Calibri"/>
        </w:rPr>
        <w:t xml:space="preserve"> pre byt s jednou obytnou miestnosťou.</w:t>
      </w:r>
    </w:p>
    <w:p w:rsidR="003221A7" w:rsidP="00CB0E59">
      <w:pPr>
        <w:tabs>
          <w:tab w:val="left" w:pos="0"/>
        </w:tabs>
        <w:ind w:left="357"/>
        <w:jc w:val="both"/>
        <w:rPr>
          <w:rFonts w:cs="Calibri"/>
        </w:rPr>
      </w:pPr>
    </w:p>
    <w:p w:rsidR="00230A8C" w:rsidP="00CB0E59">
      <w:pPr>
        <w:numPr>
          <w:ilvl w:val="0"/>
          <w:numId w:val="12"/>
        </w:numPr>
        <w:tabs>
          <w:tab w:val="left" w:pos="0"/>
          <w:tab w:val="left" w:pos="540"/>
        </w:tabs>
        <w:jc w:val="both"/>
        <w:rPr>
          <w:rFonts w:cs="Calibri"/>
        </w:rPr>
      </w:pPr>
      <w:r>
        <w:rPr>
          <w:rFonts w:cs="Calibri"/>
        </w:rPr>
        <w:t xml:space="preserve">Do podlahovej plochy bytu sa okrem obytných miestností započítava aj plocha balkónu, lodžie alebo terasy a plocha príslušenstva bytu. Náhradné byty musia okrem obytných miestností obsahovať </w:t>
      </w:r>
    </w:p>
    <w:p w:rsidR="00230A8C" w:rsidP="00CB0E59">
      <w:pPr>
        <w:numPr>
          <w:ilvl w:val="1"/>
          <w:numId w:val="12"/>
        </w:numPr>
        <w:tabs>
          <w:tab w:val="left" w:pos="0"/>
          <w:tab w:val="left" w:pos="360"/>
        </w:tabs>
        <w:jc w:val="both"/>
        <w:rPr>
          <w:rFonts w:cs="Calibri"/>
        </w:rPr>
      </w:pPr>
      <w:r>
        <w:rPr>
          <w:rFonts w:cs="Calibri"/>
        </w:rPr>
        <w:t>vstupný priestor,</w:t>
      </w:r>
    </w:p>
    <w:p w:rsidR="00230A8C" w:rsidP="00CB0E59">
      <w:pPr>
        <w:numPr>
          <w:ilvl w:val="1"/>
          <w:numId w:val="12"/>
        </w:numPr>
        <w:tabs>
          <w:tab w:val="left" w:pos="0"/>
          <w:tab w:val="left" w:pos="360"/>
        </w:tabs>
        <w:jc w:val="both"/>
        <w:rPr>
          <w:rFonts w:cs="Calibri"/>
        </w:rPr>
      </w:pPr>
      <w:r>
        <w:rPr>
          <w:rFonts w:cs="Calibri"/>
        </w:rPr>
        <w:t>priestor na varenie,</w:t>
      </w:r>
    </w:p>
    <w:p w:rsidR="00230A8C" w:rsidP="00CB0E59">
      <w:pPr>
        <w:numPr>
          <w:ilvl w:val="1"/>
          <w:numId w:val="12"/>
        </w:numPr>
        <w:tabs>
          <w:tab w:val="left" w:pos="0"/>
          <w:tab w:val="left" w:pos="360"/>
        </w:tabs>
        <w:jc w:val="both"/>
        <w:rPr>
          <w:rFonts w:cs="Calibri"/>
        </w:rPr>
      </w:pPr>
      <w:r>
        <w:rPr>
          <w:rFonts w:cs="Calibri"/>
        </w:rPr>
        <w:t>priestor na uskladnenie potravín,</w:t>
      </w:r>
    </w:p>
    <w:p w:rsidR="00230A8C" w:rsidP="00CB0E59">
      <w:pPr>
        <w:numPr>
          <w:ilvl w:val="1"/>
          <w:numId w:val="12"/>
        </w:numPr>
        <w:tabs>
          <w:tab w:val="left" w:pos="0"/>
          <w:tab w:val="left" w:pos="360"/>
        </w:tabs>
        <w:jc w:val="both"/>
        <w:rPr>
          <w:rFonts w:cs="Calibri"/>
        </w:rPr>
      </w:pPr>
      <w:r>
        <w:rPr>
          <w:rFonts w:cs="Calibri"/>
        </w:rPr>
        <w:t xml:space="preserve">priestor na osobnú hygienu. </w:t>
      </w:r>
    </w:p>
    <w:p w:rsidR="003221A7" w:rsidP="00CB0E59">
      <w:pPr>
        <w:tabs>
          <w:tab w:val="left" w:pos="0"/>
        </w:tabs>
        <w:ind w:left="357"/>
        <w:jc w:val="both"/>
        <w:rPr>
          <w:rFonts w:cs="Calibri"/>
        </w:rPr>
      </w:pPr>
    </w:p>
    <w:p w:rsidR="00230A8C" w:rsidP="00CB0E59">
      <w:pPr>
        <w:numPr>
          <w:ilvl w:val="0"/>
          <w:numId w:val="12"/>
        </w:numPr>
        <w:tabs>
          <w:tab w:val="left" w:pos="0"/>
          <w:tab w:val="left" w:pos="540"/>
        </w:tabs>
        <w:jc w:val="both"/>
        <w:rPr>
          <w:rFonts w:cs="Calibri"/>
        </w:rPr>
      </w:pPr>
      <w:r>
        <w:rPr>
          <w:rFonts w:cs="Calibri"/>
        </w:rPr>
        <w:t>Plocha balkónu, lodžie alebo terasy prislúchajúca k náhradnému bytu nemôže presiahnuť 10 % z podlahovej plochy bytu.</w:t>
      </w:r>
    </w:p>
    <w:p w:rsidR="003221A7" w:rsidP="00CB0E59">
      <w:pPr>
        <w:tabs>
          <w:tab w:val="left" w:pos="0"/>
        </w:tabs>
        <w:ind w:left="180"/>
        <w:jc w:val="both"/>
        <w:rPr>
          <w:rFonts w:cs="Calibri"/>
        </w:rPr>
      </w:pPr>
    </w:p>
    <w:p w:rsidR="00230A8C" w:rsidP="00CB0E59">
      <w:pPr>
        <w:numPr>
          <w:ilvl w:val="0"/>
          <w:numId w:val="12"/>
        </w:numPr>
        <w:tabs>
          <w:tab w:val="left" w:pos="0"/>
          <w:tab w:val="left" w:pos="540"/>
        </w:tabs>
        <w:jc w:val="both"/>
        <w:rPr>
          <w:rFonts w:cs="Calibri"/>
        </w:rPr>
      </w:pPr>
      <w:r>
        <w:rPr>
          <w:rFonts w:cs="Calibri"/>
        </w:rPr>
        <w:t xml:space="preserve">Náhradné byty musia mať centrálne alebo diaľkové vykurovanie alebo elektrické alebo plynové etážové vykurovanie obsluhované z jedného miesta v byte. </w:t>
      </w:r>
    </w:p>
    <w:p w:rsidR="003221A7" w:rsidP="00CB0E59">
      <w:pPr>
        <w:pStyle w:val="Odsekzoznamu"/>
        <w:rPr>
          <w:rFonts w:cs="Calibri"/>
        </w:rPr>
      </w:pPr>
    </w:p>
    <w:p w:rsidR="00230A8C" w:rsidP="00CB0E59">
      <w:pPr>
        <w:numPr>
          <w:ilvl w:val="0"/>
          <w:numId w:val="12"/>
        </w:numPr>
        <w:tabs>
          <w:tab w:val="left" w:pos="0"/>
          <w:tab w:val="left" w:pos="540"/>
        </w:tabs>
        <w:jc w:val="both"/>
        <w:rPr>
          <w:rFonts w:cs="Calibri"/>
        </w:rPr>
      </w:pPr>
      <w:r>
        <w:rPr>
          <w:rFonts w:cs="Calibri"/>
        </w:rPr>
        <w:t xml:space="preserve">Priestor na osobnú hygienu musí byť vybavený splachovacím záchodom a vaňou alebo sprchovacím kútom. </w:t>
      </w:r>
    </w:p>
    <w:p w:rsidR="003221A7" w:rsidP="00CB0E59">
      <w:pPr>
        <w:tabs>
          <w:tab w:val="left" w:pos="0"/>
        </w:tabs>
        <w:ind w:left="180"/>
        <w:jc w:val="both"/>
        <w:rPr>
          <w:rFonts w:cs="Calibri"/>
        </w:rPr>
      </w:pPr>
    </w:p>
    <w:p w:rsidR="00230A8C" w:rsidP="00CB0E59">
      <w:pPr>
        <w:numPr>
          <w:ilvl w:val="0"/>
          <w:numId w:val="12"/>
        </w:numPr>
        <w:tabs>
          <w:tab w:val="left" w:pos="0"/>
          <w:tab w:val="left" w:pos="540"/>
        </w:tabs>
        <w:jc w:val="both"/>
        <w:rPr>
          <w:rFonts w:cs="Calibri"/>
        </w:rPr>
      </w:pPr>
      <w:r>
        <w:rPr>
          <w:rFonts w:cs="Calibri"/>
        </w:rPr>
        <w:t>Priestor na varenie musí byť vybavený zariadením na varenie a pečenie jedál a na uskladnenie riadu a jeho umývanie s výtokom teplej a studenej vody.</w:t>
      </w:r>
    </w:p>
    <w:p w:rsidR="003221A7" w:rsidP="00CB0E59">
      <w:pPr>
        <w:tabs>
          <w:tab w:val="left" w:pos="0"/>
        </w:tabs>
        <w:jc w:val="both"/>
        <w:rPr>
          <w:rFonts w:cs="Calibri"/>
        </w:rPr>
      </w:pPr>
    </w:p>
    <w:p w:rsidR="00230A8C" w:rsidP="00CB0E59">
      <w:pPr>
        <w:numPr>
          <w:ilvl w:val="0"/>
          <w:numId w:val="12"/>
        </w:numPr>
        <w:tabs>
          <w:tab w:val="left" w:pos="0"/>
          <w:tab w:val="left" w:pos="540"/>
        </w:tabs>
        <w:jc w:val="both"/>
        <w:rPr>
          <w:rFonts w:cs="Calibri"/>
        </w:rPr>
      </w:pPr>
      <w:r>
        <w:rPr>
          <w:rFonts w:cs="Calibri"/>
        </w:rPr>
        <w:t>Povrchová úprava stien vnútorných konštrukcií v priestore na osobnú hygienu a v priestore na varenie musí byť z keramických obkladov</w:t>
      </w:r>
      <w:r w:rsidR="006631EC">
        <w:rPr>
          <w:rFonts w:cs="Calibri"/>
        </w:rPr>
        <w:t>;</w:t>
      </w:r>
      <w:r>
        <w:rPr>
          <w:rFonts w:cs="Calibri"/>
        </w:rPr>
        <w:t xml:space="preserve"> v ostatných priestoroch príslušenstva bytu a obytných miestnostiach musia byť hladké omietky s dvojnásobným náterom disperznou bielou farbou.</w:t>
      </w:r>
    </w:p>
    <w:p w:rsidR="003221A7" w:rsidP="00CB0E59">
      <w:pPr>
        <w:tabs>
          <w:tab w:val="left" w:pos="0"/>
        </w:tabs>
        <w:jc w:val="both"/>
        <w:rPr>
          <w:rFonts w:cs="Calibri"/>
        </w:rPr>
      </w:pPr>
    </w:p>
    <w:p w:rsidR="00230A8C" w:rsidP="00CB0E59">
      <w:pPr>
        <w:numPr>
          <w:ilvl w:val="0"/>
          <w:numId w:val="12"/>
        </w:numPr>
        <w:tabs>
          <w:tab w:val="left" w:pos="0"/>
          <w:tab w:val="left" w:pos="540"/>
        </w:tabs>
        <w:jc w:val="both"/>
        <w:rPr>
          <w:rFonts w:cs="Calibri"/>
        </w:rPr>
      </w:pPr>
      <w:r>
        <w:rPr>
          <w:rFonts w:cs="Calibri"/>
        </w:rPr>
        <w:t>Povrchová úprava podláh musí byť realizovaná v konečnom prevedení  keramickou dlažbou, plávajúcou podlahou alebo podlahovou krytinou.</w:t>
      </w:r>
    </w:p>
    <w:p w:rsidR="00230A8C" w:rsidP="00CB0E59">
      <w:pPr>
        <w:tabs>
          <w:tab w:val="left" w:pos="360"/>
        </w:tabs>
        <w:jc w:val="center"/>
        <w:rPr>
          <w:rFonts w:cs="Calibri"/>
        </w:rPr>
      </w:pPr>
    </w:p>
    <w:p w:rsidR="00230A8C" w:rsidP="00CB0E59">
      <w:pPr>
        <w:tabs>
          <w:tab w:val="left" w:pos="0"/>
        </w:tabs>
        <w:spacing w:before="144"/>
        <w:jc w:val="center"/>
        <w:rPr>
          <w:rFonts w:cs="Calibri"/>
        </w:rPr>
      </w:pPr>
      <w:r>
        <w:rPr>
          <w:rFonts w:cs="Calibri"/>
        </w:rPr>
        <w:t>§ 12</w:t>
      </w:r>
    </w:p>
    <w:p w:rsidR="00230A8C" w:rsidP="00CB0E59">
      <w:pPr>
        <w:tabs>
          <w:tab w:val="left" w:pos="0"/>
        </w:tabs>
        <w:spacing w:before="144"/>
        <w:jc w:val="center"/>
        <w:rPr>
          <w:rFonts w:cs="Calibri"/>
        </w:rPr>
      </w:pPr>
      <w:r>
        <w:rPr>
          <w:rFonts w:cs="Calibri"/>
        </w:rPr>
        <w:t>Splnomocňovacie ustanovenie</w:t>
      </w:r>
    </w:p>
    <w:p w:rsidR="00230A8C" w:rsidP="00CB0E59">
      <w:pPr>
        <w:spacing w:before="144"/>
        <w:ind w:left="-142"/>
        <w:jc w:val="both"/>
        <w:rPr>
          <w:rFonts w:cs="Calibri"/>
        </w:rPr>
      </w:pPr>
      <w:r>
        <w:rPr>
          <w:rFonts w:cs="Calibri"/>
        </w:rPr>
        <w:tab/>
      </w:r>
      <w:r w:rsidR="00A51AEA">
        <w:rPr>
          <w:rFonts w:cs="Calibri"/>
        </w:rPr>
        <w:tab/>
        <w:t>O</w:t>
      </w:r>
      <w:r>
        <w:rPr>
          <w:rFonts w:cs="Calibri"/>
        </w:rPr>
        <w:t>bsah záverečného technicko-ekonomického hodnotenia stavby predkladaného podľa § 7</w:t>
      </w:r>
      <w:r w:rsidR="00B17404">
        <w:rPr>
          <w:rFonts w:cs="Calibri"/>
        </w:rPr>
        <w:t xml:space="preserve"> ods. 2 </w:t>
      </w:r>
      <w:r>
        <w:rPr>
          <w:rFonts w:cs="Calibri"/>
        </w:rPr>
        <w:t xml:space="preserve"> písm. e)</w:t>
      </w:r>
      <w:r w:rsidR="00A51AEA">
        <w:rPr>
          <w:rFonts w:cs="Calibri"/>
        </w:rPr>
        <w:t xml:space="preserve"> ustanoví všeobecne záväzný právny predpis, ktorý vydá ministerstvo.</w:t>
      </w:r>
    </w:p>
    <w:p w:rsidR="00230A8C" w:rsidP="00CB0E59">
      <w:pPr>
        <w:tabs>
          <w:tab w:val="left" w:pos="0"/>
        </w:tabs>
        <w:spacing w:before="144"/>
        <w:jc w:val="center"/>
        <w:rPr>
          <w:rFonts w:cs="Calibri"/>
        </w:rPr>
      </w:pPr>
      <w:r>
        <w:rPr>
          <w:rFonts w:cs="Calibri"/>
        </w:rPr>
        <w:t>§ 13</w:t>
      </w:r>
    </w:p>
    <w:p w:rsidR="00230A8C" w:rsidP="00CB0E59">
      <w:pPr>
        <w:tabs>
          <w:tab w:val="left" w:pos="0"/>
        </w:tabs>
        <w:spacing w:before="144"/>
        <w:jc w:val="center"/>
        <w:rPr>
          <w:rFonts w:cs="Calibri"/>
        </w:rPr>
      </w:pPr>
      <w:r>
        <w:rPr>
          <w:rFonts w:cs="Calibri"/>
        </w:rPr>
        <w:t>Prechodné ustanovenie</w:t>
      </w:r>
    </w:p>
    <w:p w:rsidR="00230A8C" w:rsidP="00CB0E59">
      <w:pPr>
        <w:tabs>
          <w:tab w:val="left" w:pos="0"/>
        </w:tabs>
        <w:spacing w:before="144"/>
        <w:rPr>
          <w:rFonts w:cs="Calibri"/>
        </w:rPr>
      </w:pPr>
      <w:r>
        <w:rPr>
          <w:rFonts w:cs="Calibri"/>
        </w:rPr>
        <w:tab/>
        <w:t>Úprava podľa § 6 ods</w:t>
      </w:r>
      <w:r w:rsidR="00C562AA">
        <w:rPr>
          <w:rFonts w:cs="Calibri"/>
        </w:rPr>
        <w:t>.</w:t>
      </w:r>
      <w:r>
        <w:rPr>
          <w:rFonts w:cs="Calibri"/>
        </w:rPr>
        <w:t xml:space="preserve"> </w:t>
      </w:r>
      <w:r w:rsidR="00F95A03">
        <w:rPr>
          <w:rFonts w:cs="Calibri"/>
        </w:rPr>
        <w:t>7</w:t>
      </w:r>
      <w:r>
        <w:rPr>
          <w:rFonts w:cs="Calibri"/>
        </w:rPr>
        <w:t xml:space="preserve"> sa prvýkrát vykoná k 1. januáru 2013.</w:t>
      </w:r>
    </w:p>
    <w:p w:rsidR="00CB0E59" w:rsidP="00CB0E59">
      <w:pPr>
        <w:tabs>
          <w:tab w:val="left" w:pos="0"/>
        </w:tabs>
        <w:spacing w:before="144"/>
        <w:rPr>
          <w:rFonts w:cs="Calibri"/>
        </w:rPr>
      </w:pPr>
    </w:p>
    <w:p w:rsidR="003221A7" w:rsidP="00CB0E59">
      <w:pPr>
        <w:tabs>
          <w:tab w:val="left" w:pos="0"/>
        </w:tabs>
        <w:spacing w:before="144"/>
        <w:rPr>
          <w:rFonts w:cs="Calibri"/>
        </w:rPr>
      </w:pPr>
    </w:p>
    <w:p w:rsidR="00230A8C" w:rsidP="00CB0E59">
      <w:pPr>
        <w:tabs>
          <w:tab w:val="left" w:pos="0"/>
        </w:tabs>
        <w:spacing w:before="144"/>
        <w:jc w:val="center"/>
        <w:rPr>
          <w:rFonts w:cs="Calibri"/>
        </w:rPr>
      </w:pPr>
      <w:r>
        <w:rPr>
          <w:rFonts w:cs="Calibri"/>
        </w:rPr>
        <w:t>§ 14</w:t>
      </w:r>
    </w:p>
    <w:p w:rsidR="00230A8C" w:rsidP="00CB0E59">
      <w:pPr>
        <w:tabs>
          <w:tab w:val="left" w:pos="0"/>
        </w:tabs>
        <w:spacing w:before="144"/>
        <w:jc w:val="center"/>
        <w:rPr>
          <w:rFonts w:cs="Calibri"/>
        </w:rPr>
      </w:pPr>
      <w:r>
        <w:rPr>
          <w:rFonts w:cs="Calibri"/>
        </w:rPr>
        <w:t>Účinnosť</w:t>
      </w:r>
    </w:p>
    <w:p w:rsidR="00230A8C" w:rsidP="00CB0E59">
      <w:pPr>
        <w:tabs>
          <w:tab w:val="left" w:pos="0"/>
        </w:tabs>
        <w:jc w:val="center"/>
        <w:outlineLvl w:val="3"/>
        <w:rPr>
          <w:rFonts w:cs="Calibri"/>
        </w:rPr>
      </w:pPr>
    </w:p>
    <w:p w:rsidR="00230A8C" w:rsidP="00AA4DBD">
      <w:pPr>
        <w:spacing w:before="144"/>
        <w:jc w:val="both"/>
        <w:rPr>
          <w:rFonts w:cs="Calibri"/>
        </w:rPr>
      </w:pPr>
      <w:r>
        <w:rPr>
          <w:rFonts w:cs="Calibri"/>
        </w:rPr>
        <w:t>Tento zákon nadobúda účinnosť 1. septembra 2011.</w:t>
      </w:r>
    </w:p>
    <w:p w:rsidR="00AA4DBD" w:rsidP="00CB0E59">
      <w:pPr>
        <w:spacing w:before="144"/>
        <w:ind w:firstLine="709"/>
        <w:jc w:val="both"/>
        <w:rPr>
          <w:rFonts w:cs="Calibri"/>
        </w:rPr>
      </w:pPr>
    </w:p>
    <w:p w:rsidR="00AA4DBD" w:rsidP="00CB0E59">
      <w:pPr>
        <w:spacing w:before="144"/>
        <w:ind w:firstLine="709"/>
        <w:jc w:val="both"/>
        <w:rPr>
          <w:rFonts w:cs="Calibri"/>
        </w:rPr>
      </w:pPr>
    </w:p>
    <w:p w:rsidR="00AA4DBD" w:rsidP="00CB0E59">
      <w:pPr>
        <w:spacing w:before="144"/>
        <w:ind w:firstLine="709"/>
        <w:jc w:val="both"/>
        <w:rPr>
          <w:rFonts w:cs="Calibri"/>
        </w:rPr>
      </w:pPr>
    </w:p>
    <w:p w:rsidR="00AA4DBD" w:rsidP="00CB0E59">
      <w:pPr>
        <w:spacing w:before="144"/>
        <w:ind w:firstLine="709"/>
        <w:jc w:val="both"/>
        <w:rPr>
          <w:rFonts w:cs="Calibri"/>
        </w:rPr>
      </w:pPr>
    </w:p>
    <w:p w:rsidR="00AA4DBD" w:rsidP="008E3756">
      <w:pPr>
        <w:spacing w:before="144"/>
        <w:jc w:val="both"/>
        <w:rPr>
          <w:rFonts w:cs="Calibri"/>
        </w:rPr>
      </w:pPr>
    </w:p>
    <w:p w:rsidR="00AA4DBD" w:rsidP="00CB0E59">
      <w:pPr>
        <w:spacing w:before="144"/>
        <w:ind w:firstLine="709"/>
        <w:jc w:val="both"/>
        <w:rPr>
          <w:rFonts w:cs="Calibri"/>
        </w:rPr>
      </w:pPr>
    </w:p>
    <w:p w:rsidR="00AA4DBD" w:rsidP="00AA4DBD">
      <w:pPr>
        <w:spacing w:before="144"/>
        <w:ind w:firstLine="709"/>
        <w:jc w:val="center"/>
        <w:rPr>
          <w:rFonts w:cs="Calibri"/>
        </w:rPr>
      </w:pPr>
    </w:p>
    <w:p w:rsidR="00AA4DBD" w:rsidP="00AA4DBD">
      <w:pPr>
        <w:spacing w:before="144"/>
        <w:ind w:firstLine="709"/>
        <w:jc w:val="center"/>
        <w:rPr>
          <w:rFonts w:cs="Calibri"/>
        </w:rPr>
      </w:pPr>
      <w:r>
        <w:rPr>
          <w:rFonts w:cs="Calibri"/>
        </w:rPr>
        <w:t>prezident Slovenskej republiky</w:t>
      </w:r>
    </w:p>
    <w:p w:rsidR="00AA4DBD" w:rsidP="00AA4DBD">
      <w:pPr>
        <w:spacing w:before="144"/>
        <w:ind w:firstLine="709"/>
        <w:jc w:val="center"/>
        <w:rPr>
          <w:rFonts w:cs="Calibri"/>
        </w:rPr>
      </w:pPr>
    </w:p>
    <w:p w:rsidR="00AA4DBD" w:rsidP="00AA4DBD">
      <w:pPr>
        <w:spacing w:before="144"/>
        <w:ind w:firstLine="709"/>
        <w:jc w:val="center"/>
        <w:rPr>
          <w:rFonts w:cs="Calibri"/>
        </w:rPr>
      </w:pPr>
    </w:p>
    <w:p w:rsidR="00AA4DBD" w:rsidP="00AA4DBD">
      <w:pPr>
        <w:spacing w:before="144"/>
        <w:ind w:firstLine="709"/>
        <w:jc w:val="center"/>
        <w:rPr>
          <w:rFonts w:cs="Calibri"/>
        </w:rPr>
      </w:pPr>
    </w:p>
    <w:p w:rsidR="00AA4DBD" w:rsidP="00AA4DBD">
      <w:pPr>
        <w:spacing w:before="144"/>
        <w:ind w:firstLine="709"/>
        <w:jc w:val="center"/>
        <w:rPr>
          <w:rFonts w:cs="Calibri"/>
        </w:rPr>
      </w:pPr>
    </w:p>
    <w:p w:rsidR="008E3756" w:rsidP="00AA4DBD">
      <w:pPr>
        <w:spacing w:before="144"/>
        <w:ind w:firstLine="709"/>
        <w:jc w:val="center"/>
        <w:rPr>
          <w:rFonts w:cs="Calibri"/>
        </w:rPr>
      </w:pPr>
    </w:p>
    <w:p w:rsidR="008E3756" w:rsidP="00AA4DBD">
      <w:pPr>
        <w:spacing w:before="144"/>
        <w:ind w:firstLine="709"/>
        <w:jc w:val="center"/>
        <w:rPr>
          <w:rFonts w:cs="Calibri"/>
        </w:rPr>
      </w:pPr>
    </w:p>
    <w:p w:rsidR="00AA4DBD" w:rsidP="00AA4DBD">
      <w:pPr>
        <w:spacing w:before="144"/>
        <w:ind w:firstLine="709"/>
        <w:jc w:val="center"/>
        <w:rPr>
          <w:rFonts w:cs="Calibri"/>
        </w:rPr>
      </w:pPr>
    </w:p>
    <w:p w:rsidR="00AA4DBD" w:rsidP="00AA4DBD">
      <w:pPr>
        <w:spacing w:before="144"/>
        <w:ind w:firstLine="709"/>
        <w:jc w:val="center"/>
        <w:rPr>
          <w:rFonts w:cs="Calibri"/>
        </w:rPr>
      </w:pPr>
      <w:r>
        <w:rPr>
          <w:rFonts w:cs="Calibri"/>
        </w:rPr>
        <w:t>predseda Národnej rady Slovenskej republiky</w:t>
      </w:r>
    </w:p>
    <w:p w:rsidR="00AA4DBD" w:rsidP="00AA4DBD">
      <w:pPr>
        <w:spacing w:before="144"/>
        <w:ind w:firstLine="709"/>
        <w:jc w:val="center"/>
        <w:rPr>
          <w:rFonts w:cs="Calibri"/>
        </w:rPr>
      </w:pPr>
    </w:p>
    <w:p w:rsidR="00AA4DBD" w:rsidP="00AA4DBD">
      <w:pPr>
        <w:spacing w:before="144"/>
        <w:ind w:firstLine="709"/>
        <w:jc w:val="center"/>
        <w:rPr>
          <w:rFonts w:cs="Calibri"/>
        </w:rPr>
      </w:pPr>
    </w:p>
    <w:p w:rsidR="00AA4DBD" w:rsidP="00AA4DBD">
      <w:pPr>
        <w:spacing w:before="144"/>
        <w:ind w:firstLine="709"/>
        <w:jc w:val="center"/>
        <w:rPr>
          <w:rFonts w:cs="Calibri"/>
        </w:rPr>
      </w:pPr>
    </w:p>
    <w:p w:rsidR="00AA4DBD" w:rsidP="00AA4DBD">
      <w:pPr>
        <w:spacing w:before="144"/>
        <w:ind w:firstLine="709"/>
        <w:jc w:val="center"/>
        <w:rPr>
          <w:rFonts w:cs="Calibri"/>
        </w:rPr>
      </w:pPr>
    </w:p>
    <w:p w:rsidR="00AA4DBD" w:rsidP="00AA4DBD">
      <w:pPr>
        <w:spacing w:before="144"/>
        <w:ind w:firstLine="709"/>
        <w:jc w:val="center"/>
        <w:rPr>
          <w:rFonts w:cs="Calibri"/>
        </w:rPr>
      </w:pPr>
    </w:p>
    <w:p w:rsidR="00AA4DBD" w:rsidP="00AA4DBD">
      <w:pPr>
        <w:spacing w:before="144"/>
        <w:ind w:firstLine="709"/>
        <w:jc w:val="center"/>
        <w:rPr>
          <w:rFonts w:cs="Calibri"/>
        </w:rPr>
      </w:pPr>
    </w:p>
    <w:p w:rsidR="00AA4DBD" w:rsidP="00AA4DBD">
      <w:pPr>
        <w:spacing w:before="144"/>
        <w:ind w:firstLine="709"/>
        <w:jc w:val="center"/>
        <w:rPr>
          <w:rFonts w:cs="Calibri"/>
        </w:rPr>
      </w:pPr>
    </w:p>
    <w:p w:rsidR="00AA4DBD" w:rsidP="00AA4DBD">
      <w:pPr>
        <w:spacing w:before="144"/>
        <w:ind w:firstLine="709"/>
        <w:jc w:val="center"/>
        <w:rPr>
          <w:rFonts w:cs="Calibri"/>
        </w:rPr>
      </w:pPr>
      <w:r>
        <w:rPr>
          <w:rFonts w:cs="Calibri"/>
        </w:rPr>
        <w:t>predsedníčka vlády Slovenskej republiky</w:t>
      </w:r>
    </w:p>
    <w:sectPr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37E">
    <w:pPr>
      <w:pStyle w:val="Footer"/>
      <w:jc w:val="right"/>
      <w:rPr>
        <w:rFonts w:cs="Calibri"/>
      </w:rPr>
    </w:pPr>
    <w:r w:rsidR="003968E8">
      <w:rPr>
        <w:rFonts w:cs="Calibri"/>
      </w:rPr>
      <w:fldChar w:fldCharType="begin"/>
    </w:r>
    <w:r w:rsidR="003968E8">
      <w:rPr>
        <w:rFonts w:cs="Calibri"/>
      </w:rPr>
      <w:instrText xml:space="preserve"> PAGE   \* MERGEFORMAT </w:instrText>
    </w:r>
    <w:r w:rsidR="003968E8">
      <w:rPr>
        <w:rFonts w:cs="Calibri"/>
      </w:rPr>
      <w:fldChar w:fldCharType="separate"/>
    </w:r>
    <w:r w:rsidR="008E3756">
      <w:rPr>
        <w:rFonts w:cs="Calibri"/>
        <w:noProof/>
      </w:rPr>
      <w:t>8</w:t>
    </w:r>
    <w:r w:rsidR="003968E8">
      <w:rPr>
        <w:rFonts w:cs="Calibri"/>
      </w:rPr>
      <w:fldChar w:fldCharType="end"/>
    </w:r>
  </w:p>
  <w:p w:rsidR="0019337E">
    <w:pPr>
      <w:pStyle w:val="Footer"/>
      <w:rPr>
        <w:rFonts w:cs="Calibri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1003" w:rsidP="00230A8C">
      <w:pPr>
        <w:rPr>
          <w:rFonts w:cs="Calibri"/>
        </w:rPr>
      </w:pPr>
      <w:r>
        <w:rPr>
          <w:rFonts w:cs="Calibri"/>
        </w:rPr>
        <w:separator/>
      </w:r>
    </w:p>
  </w:footnote>
  <w:footnote w:type="continuationSeparator" w:id="1">
    <w:p w:rsidR="00CF1003" w:rsidP="00230A8C">
      <w:pPr>
        <w:rPr>
          <w:rFonts w:cs="Calibri"/>
        </w:rPr>
      </w:pPr>
      <w:r>
        <w:rPr>
          <w:rFonts w:cs="Calibri"/>
        </w:rPr>
        <w:continuationSeparator/>
      </w:r>
    </w:p>
  </w:footnote>
  <w:footnote w:id="2">
    <w:p>
      <w:pPr>
        <w:pStyle w:val="FootnoteText"/>
        <w:rPr>
          <w:rFonts w:cs="Calibri"/>
        </w:rPr>
      </w:pPr>
      <w:r w:rsidR="00230A8C">
        <w:rPr>
          <w:rStyle w:val="FootnoteReference"/>
        </w:rPr>
        <w:footnoteRef/>
      </w:r>
      <w:r w:rsidRPr="003221A7" w:rsidR="00282625">
        <w:rPr>
          <w:rFonts w:cs="Calibri"/>
        </w:rPr>
        <w:t>)</w:t>
      </w:r>
      <w:r w:rsidR="00230A8C">
        <w:rPr>
          <w:rFonts w:cs="Calibri"/>
        </w:rPr>
        <w:t xml:space="preserve"> </w:t>
      </w:r>
      <w:r w:rsidR="00874582">
        <w:rPr>
          <w:rFonts w:cs="Calibri"/>
        </w:rPr>
        <w:tab/>
      </w:r>
      <w:r w:rsidRPr="00874582" w:rsidR="00874582">
        <w:rPr>
          <w:rFonts w:cs="Calibri"/>
          <w:sz w:val="18"/>
          <w:szCs w:val="18"/>
        </w:rPr>
        <w:t xml:space="preserve">§ 5 zákona č...../2011 Z. z. o ukončení a spôsobe usporiadania niektorých nájomných vzťahov k bytom a o zmene a doplnení zákona </w:t>
      </w:r>
      <w:r w:rsidR="00965C7A">
        <w:rPr>
          <w:rFonts w:cs="Calibri"/>
          <w:sz w:val="18"/>
          <w:szCs w:val="18"/>
        </w:rPr>
        <w:t xml:space="preserve">Národnej rady Slovenskej republiky </w:t>
      </w:r>
      <w:r w:rsidRPr="00874582" w:rsidR="00874582">
        <w:rPr>
          <w:rFonts w:cs="Calibri"/>
          <w:sz w:val="18"/>
          <w:szCs w:val="18"/>
        </w:rPr>
        <w:t>č. 18/1996 Z. z. o cenách v znení neskorších predpisov</w:t>
      </w:r>
      <w:r w:rsidR="00CB0E59">
        <w:rPr>
          <w:rFonts w:cs="Calibri"/>
          <w:sz w:val="18"/>
          <w:szCs w:val="18"/>
        </w:rPr>
        <w:t>.</w:t>
      </w:r>
    </w:p>
  </w:footnote>
  <w:footnote w:id="3">
    <w:p>
      <w:pPr>
        <w:pStyle w:val="FootnoteText"/>
        <w:rPr>
          <w:rFonts w:cs="Calibri"/>
        </w:rPr>
      </w:pPr>
      <w:r w:rsidR="00874582">
        <w:rPr>
          <w:rStyle w:val="FootnoteReference"/>
        </w:rPr>
        <w:footnoteRef/>
      </w:r>
      <w:r w:rsidRPr="003221A7" w:rsidR="00282625">
        <w:rPr>
          <w:rFonts w:cs="Calibri"/>
        </w:rPr>
        <w:t>)</w:t>
      </w:r>
      <w:r w:rsidR="00874582">
        <w:rPr>
          <w:rFonts w:cs="Calibri"/>
        </w:rPr>
        <w:t xml:space="preserve"> </w:t>
        <w:tab/>
      </w:r>
      <w:r w:rsidRPr="00874582" w:rsidR="00874582">
        <w:rPr>
          <w:rFonts w:cs="Calibri"/>
        </w:rPr>
        <w:t>§ 2 písm. a) zákona č. 442/2002 Z. z. o verejných vodovodoch a verejných kanalizáciách a o zmene a doplnení zákona č. 276/2001 Z. z. o regulácii v sieťových odvetviach v znení neskorších predpisov</w:t>
      </w:r>
      <w:r w:rsidR="00B006A0">
        <w:rPr>
          <w:rFonts w:cs="Calibri"/>
        </w:rPr>
        <w:t>.</w:t>
      </w:r>
    </w:p>
  </w:footnote>
  <w:footnote w:id="4">
    <w:p>
      <w:pPr>
        <w:pStyle w:val="FootnoteText"/>
        <w:rPr>
          <w:rFonts w:cs="Calibri"/>
        </w:rPr>
      </w:pPr>
      <w:r w:rsidR="00874582">
        <w:rPr>
          <w:rStyle w:val="FootnoteReference"/>
        </w:rPr>
        <w:footnoteRef/>
      </w:r>
      <w:r w:rsidRPr="003221A7" w:rsidR="00282625">
        <w:rPr>
          <w:rFonts w:cs="Calibri"/>
        </w:rPr>
        <w:t>)</w:t>
      </w:r>
      <w:r w:rsidR="00874582">
        <w:rPr>
          <w:rFonts w:cs="Calibri"/>
        </w:rPr>
        <w:t xml:space="preserve"> </w:t>
        <w:tab/>
      </w:r>
      <w:r w:rsidRPr="00874582" w:rsidR="00874582">
        <w:rPr>
          <w:rFonts w:cs="Calibri"/>
        </w:rPr>
        <w:t>§ 2 písm. b) zákona č. 442/2002 Z. z.</w:t>
      </w:r>
    </w:p>
  </w:footnote>
  <w:footnote w:id="5">
    <w:p>
      <w:pPr>
        <w:pStyle w:val="FootnoteText"/>
        <w:rPr>
          <w:rFonts w:cs="Calibri"/>
        </w:rPr>
      </w:pPr>
      <w:r w:rsidR="00874582">
        <w:rPr>
          <w:rStyle w:val="FootnoteReference"/>
        </w:rPr>
        <w:footnoteRef/>
      </w:r>
      <w:r w:rsidRPr="003221A7" w:rsidR="00282625">
        <w:rPr>
          <w:rFonts w:cs="Calibri"/>
        </w:rPr>
        <w:t>)</w:t>
      </w:r>
      <w:r w:rsidR="00874582">
        <w:rPr>
          <w:rFonts w:cs="Calibri"/>
        </w:rPr>
        <w:t xml:space="preserve"> </w:t>
        <w:tab/>
      </w:r>
      <w:r w:rsidRPr="00FF0396" w:rsidR="00874582">
        <w:rPr>
          <w:rFonts w:cs="Calibri"/>
        </w:rPr>
        <w:t>§ 2 písm. o) zákona č. 364/2004 Z. z. o vodách a o zmene zákona Slovenskej národnej rady č. 372/1990 Zb. o priestupkoch v znení neskorších predpisov (vodný zákon) v znení neskorších predpisov</w:t>
      </w:r>
      <w:r w:rsidR="00B006A0">
        <w:rPr>
          <w:rFonts w:cs="Calibri"/>
        </w:rPr>
        <w:t>.</w:t>
      </w:r>
    </w:p>
  </w:footnote>
  <w:footnote w:id="6">
    <w:p>
      <w:pPr>
        <w:pStyle w:val="FootnoteText"/>
        <w:rPr>
          <w:rFonts w:cs="Calibri"/>
        </w:rPr>
      </w:pPr>
      <w:r w:rsidR="00C22870">
        <w:rPr>
          <w:rStyle w:val="FootnoteReference"/>
        </w:rPr>
        <w:footnoteRef/>
      </w:r>
      <w:r w:rsidRPr="003221A7" w:rsidR="00282625">
        <w:rPr>
          <w:rFonts w:cs="Calibri"/>
        </w:rPr>
        <w:t>)</w:t>
      </w:r>
      <w:r w:rsidR="00C22870">
        <w:rPr>
          <w:rFonts w:cs="Calibri"/>
        </w:rPr>
        <w:t xml:space="preserve"> </w:t>
        <w:tab/>
      </w:r>
      <w:r w:rsidRPr="00FF0396" w:rsidR="00C22870">
        <w:rPr>
          <w:rFonts w:cs="Calibri"/>
        </w:rPr>
        <w:t>§ 43b zákona č. 50/1976 Zb. o územnom plánovaní a stavebnom poriadku (stavebný zákon) v znení neskorších predpisov</w:t>
      </w:r>
      <w:r w:rsidR="003221A7">
        <w:rPr>
          <w:rFonts w:cs="Calibri"/>
        </w:rPr>
        <w:t>.</w:t>
      </w:r>
    </w:p>
  </w:footnote>
  <w:footnote w:id="7">
    <w:p>
      <w:pPr>
        <w:pStyle w:val="FootnoteText"/>
        <w:rPr>
          <w:rFonts w:cs="Calibri"/>
        </w:rPr>
      </w:pPr>
      <w:r w:rsidR="00C22870">
        <w:rPr>
          <w:rStyle w:val="FootnoteReference"/>
        </w:rPr>
        <w:footnoteRef/>
      </w:r>
      <w:r w:rsidRPr="003221A7" w:rsidR="00282625">
        <w:rPr>
          <w:rFonts w:cs="Calibri"/>
        </w:rPr>
        <w:t>)</w:t>
      </w:r>
      <w:r w:rsidR="00C22870">
        <w:rPr>
          <w:rFonts w:cs="Calibri"/>
        </w:rPr>
        <w:t xml:space="preserve"> </w:t>
        <w:tab/>
      </w:r>
      <w:r w:rsidRPr="00C22870" w:rsidR="00C22870">
        <w:rPr>
          <w:rFonts w:cs="Calibri"/>
        </w:rPr>
        <w:t>§ 5 ods. 2 zákona č. 607/2003 Z. z. o Štátnom fonde rozvoja bývania v znení neskorších predpisov</w:t>
      </w:r>
      <w:r w:rsidR="003221A7">
        <w:rPr>
          <w:rFonts w:cs="Calibri"/>
        </w:rPr>
        <w:t>.</w:t>
      </w:r>
    </w:p>
  </w:footnote>
  <w:footnote w:id="8">
    <w:p>
      <w:pPr>
        <w:pStyle w:val="FootnoteText"/>
        <w:rPr>
          <w:rFonts w:cs="Calibri"/>
        </w:rPr>
      </w:pPr>
      <w:r w:rsidR="00C22870">
        <w:rPr>
          <w:rStyle w:val="FootnoteReference"/>
        </w:rPr>
        <w:footnoteRef/>
      </w:r>
      <w:r w:rsidRPr="003221A7" w:rsidR="00282625">
        <w:rPr>
          <w:rFonts w:cs="Calibri"/>
        </w:rPr>
        <w:t>)</w:t>
      </w:r>
      <w:r w:rsidR="00C22870">
        <w:rPr>
          <w:rFonts w:cs="Calibri"/>
        </w:rPr>
        <w:t xml:space="preserve"> </w:t>
        <w:tab/>
      </w:r>
      <w:r w:rsidRPr="00C22870" w:rsidR="00C22870">
        <w:rPr>
          <w:rFonts w:cs="Calibri"/>
        </w:rPr>
        <w:t xml:space="preserve">§ 43c zákona č. 50/1976 Zb. </w:t>
      </w:r>
    </w:p>
  </w:footnote>
  <w:footnote w:id="9">
    <w:p>
      <w:pPr>
        <w:pStyle w:val="FootnoteText"/>
        <w:rPr>
          <w:rFonts w:cs="Calibri"/>
        </w:rPr>
      </w:pPr>
      <w:r w:rsidR="00C22870">
        <w:rPr>
          <w:rStyle w:val="FootnoteReference"/>
        </w:rPr>
        <w:footnoteRef/>
      </w:r>
      <w:r w:rsidRPr="003221A7" w:rsidR="00282625">
        <w:rPr>
          <w:rFonts w:cs="Calibri"/>
        </w:rPr>
        <w:t>)</w:t>
      </w:r>
      <w:r w:rsidR="00C22870">
        <w:rPr>
          <w:rFonts w:cs="Calibri"/>
        </w:rPr>
        <w:t xml:space="preserve"> </w:t>
      </w:r>
      <w:r w:rsidR="00F308DE">
        <w:rPr>
          <w:rFonts w:cs="Calibri"/>
        </w:rPr>
        <w:tab/>
      </w:r>
      <w:r w:rsidRPr="00FF0396" w:rsidR="00F308DE">
        <w:rPr>
          <w:rFonts w:cs="Calibri"/>
        </w:rPr>
        <w:t>§ 4 zákona č. 443/2010 Z. z. o dotáciách na rozvoj bývania a o sociálnom bývaní</w:t>
      </w:r>
      <w:r w:rsidR="003221A7">
        <w:rPr>
          <w:rFonts w:cs="Calibri"/>
        </w:rPr>
        <w:t>.</w:t>
      </w:r>
    </w:p>
  </w:footnote>
  <w:footnote w:id="10">
    <w:p>
      <w:pPr>
        <w:pStyle w:val="FootnoteText"/>
        <w:rPr>
          <w:rFonts w:cs="Calibri"/>
        </w:rPr>
      </w:pPr>
      <w:r w:rsidR="00F308DE">
        <w:rPr>
          <w:rStyle w:val="FootnoteReference"/>
        </w:rPr>
        <w:footnoteRef/>
      </w:r>
      <w:r w:rsidRPr="003221A7" w:rsidR="00282625">
        <w:rPr>
          <w:rFonts w:cs="Calibri"/>
        </w:rPr>
        <w:t>)</w:t>
      </w:r>
      <w:r w:rsidR="00F308DE">
        <w:rPr>
          <w:rFonts w:cs="Calibri"/>
        </w:rPr>
        <w:t xml:space="preserve"> </w:t>
        <w:tab/>
      </w:r>
      <w:r w:rsidRPr="00FF0396" w:rsidR="00F308DE">
        <w:rPr>
          <w:rFonts w:cs="Calibri"/>
        </w:rPr>
        <w:t>§ 536 až 565 Obchodného zákonníka</w:t>
      </w:r>
      <w:r w:rsidR="003221A7">
        <w:rPr>
          <w:rFonts w:cs="Calibri"/>
        </w:rPr>
        <w:t>.</w:t>
      </w:r>
    </w:p>
  </w:footnote>
  <w:footnote w:id="11">
    <w:p>
      <w:pPr>
        <w:pStyle w:val="FootnoteText"/>
        <w:rPr>
          <w:rFonts w:cs="Calibri"/>
        </w:rPr>
      </w:pPr>
      <w:r w:rsidR="00F308DE">
        <w:rPr>
          <w:rStyle w:val="FootnoteReference"/>
        </w:rPr>
        <w:footnoteRef/>
      </w:r>
      <w:r w:rsidRPr="003221A7" w:rsidR="00282625">
        <w:rPr>
          <w:rFonts w:cs="Calibri"/>
        </w:rPr>
        <w:t>)</w:t>
      </w:r>
      <w:r w:rsidR="00F308DE">
        <w:rPr>
          <w:rFonts w:cs="Calibri"/>
        </w:rPr>
        <w:t xml:space="preserve"> </w:t>
      </w:r>
      <w:r w:rsidRPr="00FF0396" w:rsidR="00F308DE">
        <w:rPr>
          <w:rFonts w:cs="Calibri"/>
        </w:rPr>
        <w:t>§ 588 až 610 Občianskeho zákonníka</w:t>
      </w:r>
      <w:r w:rsidR="003221A7">
        <w:rPr>
          <w:rFonts w:cs="Calibri"/>
        </w:rPr>
        <w:t>.</w:t>
      </w:r>
    </w:p>
  </w:footnote>
  <w:footnote w:id="12">
    <w:p>
      <w:pPr>
        <w:pStyle w:val="FootnoteText"/>
        <w:rPr>
          <w:rFonts w:cs="Calibri"/>
        </w:rPr>
      </w:pPr>
      <w:r w:rsidR="00F308DE">
        <w:rPr>
          <w:rStyle w:val="FootnoteReference"/>
        </w:rPr>
        <w:footnoteRef/>
      </w:r>
      <w:r w:rsidRPr="003221A7" w:rsidR="00282625">
        <w:rPr>
          <w:rFonts w:cs="Calibri"/>
        </w:rPr>
        <w:t>)</w:t>
      </w:r>
      <w:r w:rsidR="00F308DE">
        <w:rPr>
          <w:rFonts w:cs="Calibri"/>
        </w:rPr>
        <w:t xml:space="preserve"> </w:t>
      </w:r>
      <w:r w:rsidR="008F1135">
        <w:rPr>
          <w:rFonts w:cs="Calibri"/>
        </w:rPr>
        <w:t>§ 12 ods. 1 z</w:t>
      </w:r>
      <w:r w:rsidRPr="00FF0396" w:rsidR="00F308DE">
        <w:rPr>
          <w:rFonts w:cs="Calibri"/>
        </w:rPr>
        <w:t>ákon</w:t>
      </w:r>
      <w:r w:rsidR="008F1135">
        <w:rPr>
          <w:rFonts w:cs="Calibri"/>
        </w:rPr>
        <w:t>a</w:t>
      </w:r>
      <w:r w:rsidRPr="00FF0396" w:rsidR="00F308DE">
        <w:rPr>
          <w:rFonts w:cs="Calibri"/>
        </w:rPr>
        <w:t xml:space="preserve"> č.../2011 Z. z.</w:t>
      </w:r>
    </w:p>
  </w:footnote>
  <w:footnote w:id="13">
    <w:p>
      <w:pPr>
        <w:pStyle w:val="FootnoteText"/>
        <w:rPr>
          <w:rFonts w:cs="Calibri"/>
        </w:rPr>
      </w:pPr>
      <w:r w:rsidR="00F308DE">
        <w:rPr>
          <w:rStyle w:val="FootnoteReference"/>
        </w:rPr>
        <w:footnoteRef/>
      </w:r>
      <w:r w:rsidRPr="003221A7" w:rsidR="00282625">
        <w:rPr>
          <w:rFonts w:cs="Calibri"/>
        </w:rPr>
        <w:t>)</w:t>
      </w:r>
      <w:r w:rsidR="00F308DE">
        <w:rPr>
          <w:rFonts w:cs="Calibri"/>
        </w:rPr>
        <w:t xml:space="preserve"> § 2 ods. 3 písm. a) zákona č. .../2011 Z. z.</w:t>
      </w:r>
    </w:p>
  </w:footnote>
  <w:footnote w:id="14">
    <w:p>
      <w:pPr>
        <w:pStyle w:val="FootnoteText"/>
        <w:rPr>
          <w:rFonts w:cs="Calibri"/>
        </w:rPr>
      </w:pPr>
      <w:r w:rsidR="008F1135">
        <w:rPr>
          <w:rStyle w:val="FootnoteReference"/>
        </w:rPr>
        <w:footnoteRef/>
      </w:r>
      <w:r w:rsidRPr="003221A7" w:rsidR="00282625">
        <w:rPr>
          <w:rFonts w:cs="Calibri"/>
        </w:rPr>
        <w:t>)</w:t>
      </w:r>
      <w:r w:rsidR="008F1135">
        <w:rPr>
          <w:rFonts w:cs="Calibri"/>
        </w:rPr>
        <w:t xml:space="preserve"> § 2 zákona č. 136/ 1995 Z. z. o odbornej spôsobilosti na vybrané činnosti vo výstavbe a o zmene a doplnení zákona č. 50/1976 Zb. o územnom plánovaní a stavebnom poriadku (stavebný zákon) v znení neskorších predpisov</w:t>
      </w:r>
      <w:r w:rsidR="003221A7">
        <w:rPr>
          <w:rFonts w:cs="Calibri"/>
        </w:rPr>
        <w:t>.</w:t>
      </w:r>
    </w:p>
  </w:footnote>
  <w:footnote w:id="15">
    <w:p>
      <w:pPr>
        <w:pStyle w:val="FootnoteText"/>
        <w:rPr>
          <w:rFonts w:cs="Calibri"/>
        </w:rPr>
      </w:pPr>
      <w:r w:rsidR="00185290">
        <w:rPr>
          <w:rStyle w:val="FootnoteReference"/>
        </w:rPr>
        <w:footnoteRef/>
      </w:r>
      <w:r w:rsidRPr="003221A7" w:rsidR="00185290">
        <w:rPr>
          <w:rFonts w:cs="Calibri"/>
        </w:rPr>
        <w:t>)</w:t>
      </w:r>
      <w:r w:rsidR="003221A7">
        <w:rPr>
          <w:rFonts w:cs="Calibri"/>
          <w:vertAlign w:val="superscript"/>
        </w:rPr>
        <w:t xml:space="preserve"> </w:t>
      </w:r>
      <w:r w:rsidR="00185290">
        <w:rPr>
          <w:rFonts w:cs="Calibri"/>
        </w:rPr>
        <w:t>§ 9 zákona č.../2011 Z. z.</w:t>
      </w:r>
    </w:p>
  </w:footnote>
  <w:footnote w:id="16">
    <w:p>
      <w:pPr>
        <w:pStyle w:val="FootnoteText"/>
        <w:rPr>
          <w:rFonts w:cs="Calibri"/>
        </w:rPr>
      </w:pPr>
      <w:r w:rsidR="00353D75">
        <w:rPr>
          <w:rStyle w:val="FootnoteReference"/>
        </w:rPr>
        <w:footnoteRef/>
      </w:r>
      <w:r w:rsidRPr="003221A7" w:rsidR="00353D75">
        <w:rPr>
          <w:rFonts w:cs="Calibri"/>
        </w:rPr>
        <w:t>)</w:t>
      </w:r>
      <w:r w:rsidRPr="003221A7" w:rsidR="003221A7">
        <w:rPr>
          <w:rFonts w:cs="Calibri"/>
        </w:rPr>
        <w:t xml:space="preserve"> </w:t>
      </w:r>
      <w:r w:rsidR="00353D75">
        <w:rPr>
          <w:rFonts w:cs="Calibri"/>
        </w:rPr>
        <w:t>§ 13 zákona č.../2011 Z.</w:t>
      </w:r>
      <w:r w:rsidR="0015275B">
        <w:rPr>
          <w:rFonts w:cs="Calibri"/>
        </w:rPr>
        <w:t xml:space="preserve"> </w:t>
      </w:r>
      <w:r w:rsidR="00353D75">
        <w:rPr>
          <w:rFonts w:cs="Calibri"/>
        </w:rPr>
        <w:t>z.</w:t>
      </w:r>
    </w:p>
  </w:footnote>
  <w:footnote w:id="17">
    <w:p>
      <w:pPr>
        <w:pStyle w:val="FootnoteText"/>
        <w:rPr>
          <w:rFonts w:cs="Calibri"/>
        </w:rPr>
      </w:pPr>
      <w:r w:rsidR="008F1135">
        <w:rPr>
          <w:rStyle w:val="FootnoteReference"/>
        </w:rPr>
        <w:footnoteRef/>
      </w:r>
      <w:r w:rsidRPr="003221A7" w:rsidR="00282625">
        <w:rPr>
          <w:rFonts w:cs="Calibri"/>
        </w:rPr>
        <w:t>)</w:t>
      </w:r>
      <w:r w:rsidR="008F1135">
        <w:rPr>
          <w:rFonts w:cs="Calibri"/>
        </w:rPr>
        <w:t xml:space="preserve"> § 7 </w:t>
      </w:r>
      <w:r w:rsidRPr="00FF0396" w:rsidR="008F1135">
        <w:rPr>
          <w:rFonts w:cs="Calibri"/>
        </w:rPr>
        <w:t>zákon</w:t>
      </w:r>
      <w:r w:rsidR="008F1135">
        <w:rPr>
          <w:rFonts w:cs="Calibri"/>
        </w:rPr>
        <w:t>a</w:t>
      </w:r>
      <w:r w:rsidRPr="00FF0396" w:rsidR="008F1135">
        <w:rPr>
          <w:rFonts w:cs="Calibri"/>
        </w:rPr>
        <w:t xml:space="preserve"> č. 428/2002 Z. z. o ochrane osobných údajov v znení neskorších predpisov</w:t>
      </w:r>
      <w:r w:rsidR="003221A7">
        <w:rPr>
          <w:rFonts w:cs="Calibri"/>
        </w:rPr>
        <w:t>.</w:t>
      </w:r>
    </w:p>
  </w:footnote>
  <w:footnote w:id="18">
    <w:p>
      <w:pPr>
        <w:pStyle w:val="FootnoteText"/>
        <w:rPr>
          <w:rFonts w:cs="Calibri"/>
        </w:rPr>
      </w:pPr>
      <w:r w:rsidR="008F1135">
        <w:rPr>
          <w:rStyle w:val="FootnoteReference"/>
        </w:rPr>
        <w:footnoteRef/>
      </w:r>
      <w:r w:rsidRPr="003221A7" w:rsidR="00282625">
        <w:rPr>
          <w:rFonts w:cs="Calibri"/>
        </w:rPr>
        <w:t>)</w:t>
      </w:r>
      <w:r w:rsidR="003221A7">
        <w:rPr>
          <w:rFonts w:cs="Calibri"/>
        </w:rPr>
        <w:t xml:space="preserve"> </w:t>
      </w:r>
      <w:r w:rsidR="008F1135">
        <w:rPr>
          <w:rFonts w:cs="Calibri"/>
        </w:rPr>
        <w:t>§ 4 ods. 1 písm. c) zákona č.  608/2003 Z. z. o štátnej správe pre územné plánovanie, stavebný poriadok a bývanie a o zmene a doplnení zákona č. 50/1976 Zb. o územnom plánovaní a stavebnom poriadku (stavebný zákon) v znení neskorších predpisov</w:t>
      </w:r>
      <w:r w:rsidR="003221A7">
        <w:rPr>
          <w:rFonts w:cs="Calibri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A272E"/>
    <w:multiLevelType w:val="multilevel"/>
    <w:tmpl w:val="359285FA"/>
    <w:lvl w:ilvl="0">
      <w:start w:val="1"/>
      <w:numFmt w:val="decimal"/>
      <w:lvlText w:val="(%1)"/>
      <w:lvlJc w:val="left"/>
      <w:pPr>
        <w:tabs>
          <w:tab w:val="num" w:pos="0"/>
        </w:tabs>
        <w:ind w:left="0" w:firstLine="284"/>
      </w:pPr>
      <w:rPr>
        <w:rFonts w:cs="Times New Roman"/>
        <w:rtl w:val="0"/>
      </w:rPr>
    </w:lvl>
    <w:lvl w:ilvl="1">
      <w:start w:val="1"/>
      <w:numFmt w:val="lowerLetter"/>
      <w:lvlText w:val="%2)"/>
      <w:lvlJc w:val="left"/>
      <w:pPr>
        <w:tabs>
          <w:tab w:val="num" w:pos="340"/>
        </w:tabs>
        <w:ind w:left="340" w:hanging="340"/>
      </w:pPr>
      <w:rPr>
        <w:rFonts w:cs="Times New Roman"/>
        <w:rtl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  <w:rtl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</w:rPr>
    </w:lvl>
  </w:abstractNum>
  <w:abstractNum w:abstractNumId="1">
    <w:nsid w:val="06BB57F0"/>
    <w:multiLevelType w:val="multilevel"/>
    <w:tmpl w:val="359285FA"/>
    <w:lvl w:ilvl="0">
      <w:start w:val="1"/>
      <w:numFmt w:val="decimal"/>
      <w:lvlText w:val="(%1)"/>
      <w:lvlJc w:val="left"/>
      <w:pPr>
        <w:tabs>
          <w:tab w:val="num" w:pos="0"/>
        </w:tabs>
        <w:ind w:left="0" w:firstLine="284"/>
      </w:pPr>
      <w:rPr>
        <w:rFonts w:cs="Times New Roman"/>
        <w:rtl w:val="0"/>
      </w:rPr>
    </w:lvl>
    <w:lvl w:ilvl="1">
      <w:start w:val="1"/>
      <w:numFmt w:val="lowerLetter"/>
      <w:lvlText w:val="%2)"/>
      <w:lvlJc w:val="left"/>
      <w:pPr>
        <w:tabs>
          <w:tab w:val="num" w:pos="340"/>
        </w:tabs>
        <w:ind w:left="340" w:hanging="340"/>
      </w:pPr>
      <w:rPr>
        <w:rFonts w:cs="Times New Roman"/>
        <w:rtl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  <w:rtl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</w:rPr>
    </w:lvl>
  </w:abstractNum>
  <w:abstractNum w:abstractNumId="2">
    <w:nsid w:val="0E630DE4"/>
    <w:multiLevelType w:val="hybridMultilevel"/>
    <w:tmpl w:val="0CE4E4D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E616D8"/>
    <w:multiLevelType w:val="multilevel"/>
    <w:tmpl w:val="7B6A1204"/>
    <w:lvl w:ilvl="0">
      <w:start w:val="1"/>
      <w:numFmt w:val="decimal"/>
      <w:lvlText w:val="(%1)"/>
      <w:lvlJc w:val="left"/>
      <w:pPr>
        <w:tabs>
          <w:tab w:val="num" w:pos="900"/>
        </w:tabs>
        <w:ind w:left="256" w:firstLine="284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  <w:rtl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  <w:rtl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rtl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  <w:rtl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</w:rPr>
    </w:lvl>
  </w:abstractNum>
  <w:abstractNum w:abstractNumId="4">
    <w:nsid w:val="40886267"/>
    <w:multiLevelType w:val="hybridMultilevel"/>
    <w:tmpl w:val="E8A0E64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auto"/>
        <w:rtl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</w:rPr>
    </w:lvl>
  </w:abstractNum>
  <w:abstractNum w:abstractNumId="5">
    <w:nsid w:val="51DD435F"/>
    <w:multiLevelType w:val="multilevel"/>
    <w:tmpl w:val="548019F0"/>
    <w:lvl w:ilvl="0">
      <w:start w:val="1"/>
      <w:numFmt w:val="lowerLetter"/>
      <w:lvlText w:val="%1)"/>
      <w:lvlJc w:val="left"/>
      <w:pPr>
        <w:tabs>
          <w:tab w:val="num" w:pos="644"/>
        </w:tabs>
        <w:ind w:left="0" w:firstLine="284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  <w:rtl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  <w:rtl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  <w:rtl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</w:rPr>
    </w:lvl>
  </w:abstractNum>
  <w:abstractNum w:abstractNumId="6">
    <w:nsid w:val="53BC07CC"/>
    <w:multiLevelType w:val="multilevel"/>
    <w:tmpl w:val="359285FA"/>
    <w:lvl w:ilvl="0">
      <w:start w:val="1"/>
      <w:numFmt w:val="decimal"/>
      <w:lvlText w:val="(%1)"/>
      <w:lvlJc w:val="left"/>
      <w:pPr>
        <w:tabs>
          <w:tab w:val="num" w:pos="0"/>
        </w:tabs>
        <w:ind w:left="0" w:firstLine="284"/>
      </w:pPr>
      <w:rPr>
        <w:rFonts w:cs="Times New Roman"/>
        <w:rtl w:val="0"/>
      </w:rPr>
    </w:lvl>
    <w:lvl w:ilvl="1">
      <w:start w:val="1"/>
      <w:numFmt w:val="lowerLetter"/>
      <w:lvlText w:val="%2)"/>
      <w:lvlJc w:val="left"/>
      <w:pPr>
        <w:tabs>
          <w:tab w:val="num" w:pos="340"/>
        </w:tabs>
        <w:ind w:left="340" w:hanging="340"/>
      </w:pPr>
      <w:rPr>
        <w:rFonts w:cs="Times New Roman"/>
        <w:rtl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  <w:rtl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</w:rPr>
    </w:lvl>
  </w:abstractNum>
  <w:abstractNum w:abstractNumId="7">
    <w:nsid w:val="5BC43E16"/>
    <w:multiLevelType w:val="hybridMultilevel"/>
    <w:tmpl w:val="B4E42740"/>
    <w:lvl w:ilvl="0">
      <w:start w:val="1"/>
      <w:numFmt w:val="decimal"/>
      <w:lvlText w:val="(%1)"/>
      <w:lvlJc w:val="left"/>
      <w:pPr>
        <w:ind w:left="360" w:hanging="360"/>
      </w:pPr>
      <w:rPr>
        <w:rFonts w:cs="Times New Roman"/>
        <w:color w:val="auto"/>
        <w:rtl w:val="0"/>
      </w:rPr>
    </w:lvl>
    <w:lvl w:ilvl="1">
      <w:start w:val="1"/>
      <w:numFmt w:val="lowerLetter"/>
      <w:lvlText w:val="%2."/>
      <w:lvlJc w:val="left"/>
      <w:pPr>
        <w:ind w:left="2436" w:hanging="360"/>
      </w:pPr>
      <w:rPr>
        <w:rFonts w:cs="Times New Roman"/>
        <w:rtl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</w:rPr>
    </w:lvl>
  </w:abstractNum>
  <w:abstractNum w:abstractNumId="8">
    <w:nsid w:val="66982CAB"/>
    <w:multiLevelType w:val="hybridMultilevel"/>
    <w:tmpl w:val="BEA44036"/>
    <w:lvl w:ilvl="0">
      <w:start w:val="1"/>
      <w:numFmt w:val="lowerLetter"/>
      <w:lvlText w:val="%1)"/>
      <w:lvlJc w:val="left"/>
      <w:pPr>
        <w:ind w:left="1004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  <w:rtl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</w:rPr>
    </w:lvl>
  </w:abstractNum>
  <w:abstractNum w:abstractNumId="9">
    <w:nsid w:val="695E124D"/>
    <w:multiLevelType w:val="multilevel"/>
    <w:tmpl w:val="E10E9436"/>
    <w:lvl w:ilvl="0">
      <w:start w:val="1"/>
      <w:numFmt w:val="decimal"/>
      <w:lvlText w:val="(%1)"/>
      <w:lvlJc w:val="left"/>
      <w:pPr>
        <w:tabs>
          <w:tab w:val="num" w:pos="540"/>
        </w:tabs>
        <w:ind w:left="-104" w:firstLine="284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  <w:rtl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  <w:rtl w:val="0"/>
      </w:rPr>
    </w:lvl>
    <w:lvl w:ilvl="2">
      <w:start w:val="1"/>
      <w:numFmt w:val="decimal"/>
      <w:lvlText w:val="%3."/>
      <w:lvlJc w:val="left"/>
      <w:pPr>
        <w:tabs>
          <w:tab w:val="num" w:pos="976"/>
        </w:tabs>
        <w:ind w:left="976" w:hanging="360"/>
      </w:pPr>
      <w:rPr>
        <w:rFonts w:cs="Times New Roman"/>
        <w:rtl w:val="0"/>
      </w:rPr>
    </w:lvl>
    <w:lvl w:ilvl="3">
      <w:start w:val="1"/>
      <w:numFmt w:val="decimal"/>
      <w:lvlText w:val="(%4)"/>
      <w:lvlJc w:val="left"/>
      <w:pPr>
        <w:tabs>
          <w:tab w:val="num" w:pos="1336"/>
        </w:tabs>
        <w:ind w:left="1336" w:hanging="360"/>
      </w:pPr>
      <w:rPr>
        <w:rFonts w:cs="Times New Roman"/>
        <w:rtl w:val="0"/>
      </w:rPr>
    </w:lvl>
    <w:lvl w:ilvl="4">
      <w:start w:val="1"/>
      <w:numFmt w:val="lowerLetter"/>
      <w:lvlText w:val="(%5)"/>
      <w:lvlJc w:val="left"/>
      <w:pPr>
        <w:tabs>
          <w:tab w:val="num" w:pos="1696"/>
        </w:tabs>
        <w:ind w:left="1696" w:hanging="360"/>
      </w:pPr>
      <w:rPr>
        <w:rFonts w:cs="Times New Roman"/>
        <w:rtl w:val="0"/>
      </w:rPr>
    </w:lvl>
    <w:lvl w:ilvl="5">
      <w:start w:val="1"/>
      <w:numFmt w:val="lowerRoman"/>
      <w:lvlText w:val="(%6)"/>
      <w:lvlJc w:val="left"/>
      <w:pPr>
        <w:tabs>
          <w:tab w:val="num" w:pos="2056"/>
        </w:tabs>
        <w:ind w:left="2056" w:hanging="36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2416"/>
        </w:tabs>
        <w:ind w:left="2416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2776"/>
        </w:tabs>
        <w:ind w:left="2776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left"/>
      <w:pPr>
        <w:tabs>
          <w:tab w:val="num" w:pos="3136"/>
        </w:tabs>
        <w:ind w:left="3136" w:hanging="360"/>
      </w:pPr>
      <w:rPr>
        <w:rFonts w:cs="Times New Roman"/>
        <w:rtl w:val="0"/>
      </w:rPr>
    </w:lvl>
  </w:abstractNum>
  <w:abstractNum w:abstractNumId="10">
    <w:nsid w:val="726F4CA5"/>
    <w:multiLevelType w:val="multilevel"/>
    <w:tmpl w:val="2C10D86C"/>
    <w:lvl w:ilvl="0">
      <w:start w:val="1"/>
      <w:numFmt w:val="decimal"/>
      <w:lvlText w:val="(%1)"/>
      <w:lvlJc w:val="left"/>
      <w:pPr>
        <w:tabs>
          <w:tab w:val="num" w:pos="720"/>
        </w:tabs>
        <w:ind w:left="76" w:firstLine="284"/>
      </w:pPr>
      <w:rPr>
        <w:rFonts w:ascii="Times New Roman" w:hAnsi="Times New Roman" w:cs="Times New Roman"/>
        <w:b w:val="0"/>
        <w:bCs w:val="0"/>
        <w:i w:val="0"/>
        <w:iCs w:val="0"/>
        <w:color w:val="auto"/>
        <w:sz w:val="22"/>
        <w:szCs w:val="22"/>
        <w:rtl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  <w:rtl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  <w:rtl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</w:rPr>
    </w:lvl>
  </w:abstractNum>
  <w:abstractNum w:abstractNumId="11">
    <w:nsid w:val="77500683"/>
    <w:multiLevelType w:val="multilevel"/>
    <w:tmpl w:val="98B4A664"/>
    <w:lvl w:ilvl="0">
      <w:start w:val="2"/>
      <w:numFmt w:val="decimal"/>
      <w:lvlText w:val="(%1)"/>
      <w:lvlJc w:val="left"/>
      <w:pPr>
        <w:tabs>
          <w:tab w:val="num" w:pos="644"/>
        </w:tabs>
        <w:ind w:left="0" w:firstLine="284"/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sz w:val="24"/>
        <w:szCs w:val="24"/>
        <w:u w:val="none"/>
        <w:effect w:val="none"/>
        <w:rtl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  <w:rtl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  <w:rtl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</w:rPr>
    </w:lvl>
  </w:abstractNum>
  <w:abstractNum w:abstractNumId="12">
    <w:nsid w:val="77BA6FBA"/>
    <w:multiLevelType w:val="hybridMultilevel"/>
    <w:tmpl w:val="E3AAA79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40072D"/>
    <w:multiLevelType w:val="multilevel"/>
    <w:tmpl w:val="7870FE1E"/>
    <w:lvl w:ilvl="0">
      <w:start w:val="1"/>
      <w:numFmt w:val="decimal"/>
      <w:lvlText w:val="(%1)"/>
      <w:lvlJc w:val="left"/>
      <w:pPr>
        <w:tabs>
          <w:tab w:val="num" w:pos="644"/>
        </w:tabs>
        <w:ind w:left="0" w:firstLine="284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z w:val="22"/>
        <w:szCs w:val="22"/>
        <w:u w:val="none"/>
        <w:effect w:val="none"/>
        <w:rtl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  <w:rtl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  <w:rtl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2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displayHorizontalDrawingGridEvery w:val="2"/>
  <w:characterSpacingControl w:val="doNotCompress"/>
  <w:footnotePr>
    <w:footnote w:id="0"/>
    <w:footnote w:id="1"/>
  </w:footnotePr>
  <w:compat>
    <w:doNotUseIndentAsNumberingTabStop/>
    <w:allowSpaceOfSameStyleInTable/>
    <w:splitPgBreakAndParaMark/>
    <w:useAnsiKerningPairs/>
  </w:compat>
  <w:rsids>
    <w:rsidRoot w:val="00000000"/>
    <w:rsid w:val="00017D16"/>
    <w:rsid w:val="00036E7C"/>
    <w:rsid w:val="00070B31"/>
    <w:rsid w:val="0015275B"/>
    <w:rsid w:val="00185290"/>
    <w:rsid w:val="0019337E"/>
    <w:rsid w:val="00230A8C"/>
    <w:rsid w:val="00270876"/>
    <w:rsid w:val="00282625"/>
    <w:rsid w:val="002F5562"/>
    <w:rsid w:val="003221A7"/>
    <w:rsid w:val="00353D75"/>
    <w:rsid w:val="003652CB"/>
    <w:rsid w:val="003930FC"/>
    <w:rsid w:val="003968E8"/>
    <w:rsid w:val="00420F6E"/>
    <w:rsid w:val="004C489D"/>
    <w:rsid w:val="0051758B"/>
    <w:rsid w:val="005B0250"/>
    <w:rsid w:val="006631EC"/>
    <w:rsid w:val="00687CA7"/>
    <w:rsid w:val="007D2490"/>
    <w:rsid w:val="007E324C"/>
    <w:rsid w:val="00874582"/>
    <w:rsid w:val="008D08F8"/>
    <w:rsid w:val="008E3756"/>
    <w:rsid w:val="008F1135"/>
    <w:rsid w:val="00904BFF"/>
    <w:rsid w:val="00965C7A"/>
    <w:rsid w:val="009E3DBF"/>
    <w:rsid w:val="00A51AEA"/>
    <w:rsid w:val="00AA4DBD"/>
    <w:rsid w:val="00B006A0"/>
    <w:rsid w:val="00B03C07"/>
    <w:rsid w:val="00B17404"/>
    <w:rsid w:val="00B664DE"/>
    <w:rsid w:val="00BF06D5"/>
    <w:rsid w:val="00C22870"/>
    <w:rsid w:val="00C562AA"/>
    <w:rsid w:val="00CB0E59"/>
    <w:rsid w:val="00CD64B6"/>
    <w:rsid w:val="00DF64C7"/>
    <w:rsid w:val="00E003E6"/>
    <w:rsid w:val="00E1355D"/>
    <w:rsid w:val="00E50475"/>
    <w:rsid w:val="00EC5724"/>
    <w:rsid w:val="00F308DE"/>
    <w:rsid w:val="00F95A03"/>
    <w:rsid w:val="00FF0396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semiHidden="1" w:uiPriority="99" w:unhideWhenUsed="1"/>
    <w:lsdException w:name="header" w:uiPriority="99"/>
    <w:lsdException w:name="footer" w:uiPriority="99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10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11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uiPriority="99"/>
    <w:lsdException w:name="annotation subject" w:semiHidden="1" w:uiPriority="99" w:unhideWhenUsed="1"/>
    <w:lsdException w:name="No List" w:uiPriority="99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uiPriority="99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0A8C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Times New Roman" w:hAnsi="Times New Roman"/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paragraph" w:styleId="FootnoteText">
    <w:name w:val="footnote text"/>
    <w:basedOn w:val="Normal"/>
    <w:link w:val="CharChar3"/>
    <w:rsid w:val="00230A8C"/>
    <w:pPr>
      <w:ind w:left="227" w:hanging="227"/>
      <w:jc w:val="both"/>
    </w:pPr>
    <w:rPr>
      <w:sz w:val="20"/>
      <w:szCs w:val="20"/>
    </w:rPr>
  </w:style>
  <w:style w:type="character" w:styleId="FootnoteReference">
    <w:name w:val="footnote reference"/>
    <w:basedOn w:val="DefaultParagraphFont"/>
    <w:rsid w:val="00230A8C"/>
    <w:rPr>
      <w:rFonts w:cs="Times New Roman"/>
      <w:vertAlign w:val="superscript"/>
      <w:rtl w:val="0"/>
    </w:rPr>
  </w:style>
  <w:style w:type="character" w:customStyle="1" w:styleId="CharChar3">
    <w:name w:val="Char Char3"/>
    <w:basedOn w:val="DefaultParagraphFont"/>
    <w:link w:val="FootnoteText"/>
    <w:semiHidden/>
    <w:locked/>
    <w:rsid w:val="00230A8C"/>
    <w:rPr>
      <w:rFonts w:ascii="Times New Roman" w:hAnsi="Times New Roman" w:cs="Times New Roman"/>
      <w:sz w:val="20"/>
      <w:szCs w:val="20"/>
      <w:rtl w:val="0"/>
      <w:lang w:val="x-none"/>
    </w:rPr>
  </w:style>
  <w:style w:type="paragraph" w:customStyle="1" w:styleId="Odsekzoznamu">
    <w:name w:val="Odsek zoznamu"/>
    <w:basedOn w:val="Normal"/>
    <w:uiPriority w:val="34"/>
    <w:qFormat/>
    <w:rsid w:val="00420F6E"/>
    <w:pPr>
      <w:ind w:left="720"/>
      <w:contextualSpacing/>
      <w:jc w:val="left"/>
    </w:pPr>
  </w:style>
  <w:style w:type="paragraph" w:styleId="Header">
    <w:name w:val="header"/>
    <w:basedOn w:val="Normal"/>
    <w:link w:val="CharChar2"/>
    <w:uiPriority w:val="99"/>
    <w:rsid w:val="0019337E"/>
    <w:pPr>
      <w:tabs>
        <w:tab w:val="center" w:pos="4536"/>
        <w:tab w:val="right" w:pos="9072"/>
      </w:tabs>
      <w:jc w:val="left"/>
    </w:pPr>
  </w:style>
  <w:style w:type="paragraph" w:styleId="Footer">
    <w:name w:val="footer"/>
    <w:basedOn w:val="Normal"/>
    <w:link w:val="CharChar1"/>
    <w:uiPriority w:val="99"/>
    <w:rsid w:val="0019337E"/>
    <w:pPr>
      <w:tabs>
        <w:tab w:val="center" w:pos="4536"/>
        <w:tab w:val="right" w:pos="9072"/>
      </w:tabs>
      <w:jc w:val="left"/>
    </w:pPr>
  </w:style>
  <w:style w:type="character" w:customStyle="1" w:styleId="CharChar2">
    <w:name w:val="Char Char2"/>
    <w:basedOn w:val="DefaultParagraphFont"/>
    <w:link w:val="Header"/>
    <w:uiPriority w:val="99"/>
    <w:semiHidden/>
    <w:locked/>
    <w:rsid w:val="0019337E"/>
    <w:rPr>
      <w:rFonts w:ascii="Times New Roman" w:hAnsi="Times New Roman" w:cs="Times New Roman"/>
      <w:sz w:val="24"/>
      <w:szCs w:val="24"/>
      <w:rtl w:val="0"/>
      <w:lang w:val="x-none"/>
    </w:rPr>
  </w:style>
  <w:style w:type="paragraph" w:styleId="BalloonText">
    <w:name w:val="Balloon Text"/>
    <w:basedOn w:val="Normal"/>
    <w:link w:val="CharChar"/>
    <w:uiPriority w:val="99"/>
    <w:rsid w:val="00DF64C7"/>
    <w:pPr>
      <w:jc w:val="left"/>
    </w:pPr>
    <w:rPr>
      <w:rFonts w:ascii="Tahoma" w:hAnsi="Tahoma" w:cs="Tahoma"/>
      <w:sz w:val="16"/>
      <w:szCs w:val="16"/>
    </w:rPr>
  </w:style>
  <w:style w:type="character" w:customStyle="1" w:styleId="CharChar1">
    <w:name w:val="Char Char1"/>
    <w:basedOn w:val="DefaultParagraphFont"/>
    <w:link w:val="Footer"/>
    <w:uiPriority w:val="99"/>
    <w:locked/>
    <w:rsid w:val="0019337E"/>
    <w:rPr>
      <w:rFonts w:ascii="Times New Roman" w:hAnsi="Times New Roman" w:cs="Times New Roman"/>
      <w:sz w:val="24"/>
      <w:szCs w:val="24"/>
      <w:rtl w:val="0"/>
      <w:lang w:val="x-none"/>
    </w:rPr>
  </w:style>
  <w:style w:type="character" w:customStyle="1" w:styleId="CharChar">
    <w:name w:val="Char Char"/>
    <w:basedOn w:val="DefaultParagraphFont"/>
    <w:link w:val="BalloonText"/>
    <w:uiPriority w:val="99"/>
    <w:semiHidden/>
    <w:rsid w:val="00DF64C7"/>
    <w:rPr>
      <w:rFonts w:ascii="Tahoma" w:hAnsi="Tahoma" w:cs="Tahoma"/>
      <w:sz w:val="16"/>
      <w:szCs w:val="16"/>
      <w:rtl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</Pages>
  <Words>2170</Words>
  <Characters>12371</Characters>
  <Application>Microsoft Office Word</Application>
  <DocSecurity>0</DocSecurity>
  <Lines>0</Lines>
  <Paragraphs>0</Paragraphs>
  <ScaleCrop>false</ScaleCrop>
  <Company>Kancelaria NR SR</Company>
  <LinksUpToDate>false</LinksUpToDate>
  <CharactersWithSpaces>14512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 7</dc:title>
  <dc:creator>hajdin</dc:creator>
  <cp:lastModifiedBy>svorvero</cp:lastModifiedBy>
  <cp:revision>3</cp:revision>
  <cp:lastPrinted>2011-07-07T11:52:00Z</cp:lastPrinted>
  <dcterms:created xsi:type="dcterms:W3CDTF">2011-07-07T11:51:00Z</dcterms:created>
  <dcterms:modified xsi:type="dcterms:W3CDTF">2011-07-07T11:53:00Z</dcterms:modified>
</cp:coreProperties>
</file>