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074BC5">
      <w:pPr>
        <w:pStyle w:val="Title"/>
        <w:pBdr>
          <w:bottom w:val="single" w:sz="12" w:space="1" w:color="auto"/>
        </w:pBdr>
        <w:rPr>
          <w:rFonts w:ascii="Arial" w:hAnsi="Arial"/>
        </w:rPr>
      </w:pPr>
      <w:r w:rsidRPr="00074BC5">
        <w:rPr>
          <w:rFonts w:ascii="Arial" w:hAnsi="Arial"/>
        </w:rPr>
        <w:t>Národná rada Slovenskej republiky</w:t>
      </w:r>
    </w:p>
    <w:p w:rsidR="00074BC5" w:rsidRPr="00074BC5">
      <w:pPr>
        <w:jc w:val="center"/>
      </w:pPr>
    </w:p>
    <w:p w:rsidR="000C3652" w:rsidRPr="00074BC5">
      <w:pPr>
        <w:pStyle w:val="Heading2"/>
        <w:keepNext/>
        <w:jc w:val="center"/>
        <w:rPr>
          <w:b/>
          <w:bCs/>
          <w:sz w:val="28"/>
          <w:szCs w:val="28"/>
        </w:rPr>
      </w:pPr>
      <w:r w:rsidRPr="00074BC5" w:rsidR="006E1191">
        <w:rPr>
          <w:b/>
          <w:bCs/>
          <w:sz w:val="28"/>
          <w:szCs w:val="28"/>
        </w:rPr>
        <w:t>V</w:t>
      </w:r>
      <w:r w:rsidRPr="00074BC5">
        <w:rPr>
          <w:b/>
          <w:bCs/>
          <w:sz w:val="28"/>
          <w:szCs w:val="28"/>
        </w:rPr>
        <w:t>. volebné  obdobie</w:t>
      </w:r>
    </w:p>
    <w:p w:rsidR="00B11A19" w:rsidRPr="00074BC5">
      <w:r w:rsidRPr="00074BC5" w:rsidR="000C3652">
        <w:t xml:space="preserve"> Číslo: </w:t>
      </w:r>
      <w:r w:rsidRPr="00074BC5" w:rsidR="00265908">
        <w:t>CRD-</w:t>
      </w:r>
      <w:r w:rsidR="00751D84">
        <w:t>1</w:t>
      </w:r>
      <w:r w:rsidR="0081322E">
        <w:t>73</w:t>
      </w:r>
      <w:r w:rsidR="00940F1E">
        <w:t>9</w:t>
      </w:r>
      <w:r w:rsidRPr="00074BC5" w:rsidR="000C3652">
        <w:t>/20</w:t>
      </w:r>
      <w:r w:rsidRPr="00074BC5" w:rsidR="00884628">
        <w:t>1</w:t>
      </w:r>
      <w:r w:rsidR="0097393D">
        <w:t>1</w:t>
      </w:r>
    </w:p>
    <w:p w:rsidR="00B71A0B" w:rsidRPr="00074BC5"/>
    <w:p w:rsidR="000C3652" w:rsidRPr="00074BC5" w:rsidP="00B71A0B">
      <w:pPr>
        <w:jc w:val="center"/>
        <w:rPr>
          <w:b/>
          <w:bCs/>
          <w:sz w:val="32"/>
          <w:szCs w:val="32"/>
        </w:rPr>
      </w:pPr>
      <w:r w:rsidR="00A72B70">
        <w:rPr>
          <w:b/>
          <w:bCs/>
          <w:sz w:val="32"/>
          <w:szCs w:val="32"/>
        </w:rPr>
        <w:t>3</w:t>
      </w:r>
      <w:r w:rsidR="00940F1E">
        <w:rPr>
          <w:b/>
          <w:bCs/>
          <w:sz w:val="32"/>
          <w:szCs w:val="32"/>
        </w:rPr>
        <w:t>28</w:t>
      </w:r>
      <w:r w:rsidRPr="00074BC5" w:rsidR="009D0E4A">
        <w:rPr>
          <w:b/>
          <w:bCs/>
          <w:sz w:val="32"/>
          <w:szCs w:val="32"/>
        </w:rPr>
        <w:t>a</w:t>
      </w:r>
    </w:p>
    <w:p w:rsidR="00B71A0B" w:rsidRPr="00074BC5" w:rsidP="00B71A0B">
      <w:pPr>
        <w:jc w:val="center"/>
        <w:rPr>
          <w:b/>
          <w:bCs/>
          <w:sz w:val="32"/>
          <w:szCs w:val="32"/>
        </w:rPr>
      </w:pPr>
    </w:p>
    <w:p w:rsidR="000C3652" w:rsidRPr="00074BC5" w:rsidP="00B71A0B">
      <w:pPr>
        <w:pStyle w:val="Heading1"/>
        <w:keepNext/>
        <w:jc w:val="center"/>
        <w:rPr>
          <w:b/>
          <w:bCs/>
          <w:sz w:val="28"/>
          <w:szCs w:val="28"/>
        </w:rPr>
      </w:pPr>
      <w:r w:rsidRPr="00074BC5">
        <w:rPr>
          <w:b/>
          <w:bCs/>
          <w:sz w:val="28"/>
          <w:szCs w:val="28"/>
        </w:rPr>
        <w:t>S p o l o č n á   s p r á v</w:t>
      </w:r>
      <w:r w:rsidRPr="00074BC5" w:rsidR="00B71A0B">
        <w:rPr>
          <w:b/>
          <w:bCs/>
          <w:sz w:val="28"/>
          <w:szCs w:val="28"/>
        </w:rPr>
        <w:t> </w:t>
      </w:r>
      <w:r w:rsidRPr="00074BC5">
        <w:rPr>
          <w:b/>
          <w:bCs/>
          <w:sz w:val="28"/>
          <w:szCs w:val="28"/>
        </w:rPr>
        <w:t>a</w:t>
      </w:r>
    </w:p>
    <w:p w:rsidR="00B71A0B" w:rsidRPr="00074BC5" w:rsidP="00A6195F">
      <w:pPr>
        <w:jc w:val="center"/>
        <w:rPr>
          <w:u w:val="single"/>
        </w:rPr>
      </w:pPr>
    </w:p>
    <w:p w:rsidR="000C3652" w:rsidRPr="00074BC5" w:rsidP="00F752EE">
      <w:pPr>
        <w:adjustRightInd/>
        <w:jc w:val="center"/>
      </w:pPr>
      <w:r w:rsidRPr="00074BC5">
        <w:t xml:space="preserve">výborov Národnej rady Slovenskej republiky o výsledku prerokovania </w:t>
      </w:r>
      <w:r w:rsidRPr="00074BC5" w:rsidR="001A2A6E">
        <w:t>vl</w:t>
      </w:r>
      <w:r w:rsidRPr="00E153C6" w:rsidR="001A2A6E">
        <w:t xml:space="preserve">ádneho </w:t>
      </w:r>
      <w:r w:rsidRPr="00E153C6" w:rsidR="002F440F">
        <w:t xml:space="preserve">návrhu </w:t>
      </w:r>
      <w:r w:rsidRPr="003B733D" w:rsidR="00940F1E">
        <w:t>zákona o prepravovateľných tlakových zariadeniach a o zmen</w:t>
      </w:r>
      <w:r w:rsidRPr="003B733D" w:rsidR="00940F1E">
        <w:t>e a doplnení niektorých zákonov</w:t>
      </w:r>
      <w:r w:rsidRPr="003B733D" w:rsidR="00940F1E">
        <w:rPr>
          <w:bCs/>
        </w:rPr>
        <w:t xml:space="preserve">  </w:t>
      </w:r>
      <w:r w:rsidRPr="003B733D" w:rsidR="00940F1E">
        <w:t xml:space="preserve">(tlač </w:t>
      </w:r>
      <w:r w:rsidRPr="003B733D" w:rsidR="00940F1E">
        <w:rPr>
          <w:b/>
        </w:rPr>
        <w:t>328</w:t>
      </w:r>
      <w:r w:rsidRPr="003B733D" w:rsidR="00940F1E">
        <w:t>)</w:t>
      </w:r>
      <w:r w:rsidRPr="00F05CD0" w:rsidR="003B1512">
        <w:t xml:space="preserve"> </w:t>
      </w:r>
      <w:r w:rsidRPr="00074BC5">
        <w:t>v druhom čítaní</w:t>
      </w:r>
    </w:p>
    <w:p w:rsidR="000C3652" w:rsidRPr="00074BC5">
      <w:pPr>
        <w:pBdr>
          <w:bottom w:val="single" w:sz="4" w:space="1" w:color="auto"/>
        </w:pBdr>
        <w:tabs>
          <w:tab w:val="left" w:pos="0"/>
        </w:tabs>
        <w:jc w:val="both"/>
        <w:rPr>
          <w:u w:val="single"/>
        </w:rPr>
      </w:pPr>
    </w:p>
    <w:p w:rsidR="00B71A0B" w:rsidRPr="00074BC5">
      <w:pPr>
        <w:tabs>
          <w:tab w:val="left" w:pos="-1985"/>
          <w:tab w:val="left" w:pos="709"/>
          <w:tab w:val="left" w:pos="1077"/>
        </w:tabs>
        <w:jc w:val="both"/>
        <w:rPr>
          <w:u w:val="single"/>
        </w:rPr>
      </w:pPr>
    </w:p>
    <w:p w:rsidR="000C3652" w:rsidRPr="00074BC5">
      <w:pPr>
        <w:tabs>
          <w:tab w:val="left" w:pos="-1985"/>
          <w:tab w:val="left" w:pos="709"/>
          <w:tab w:val="left" w:pos="1077"/>
        </w:tabs>
        <w:jc w:val="both"/>
      </w:pPr>
      <w:r w:rsidRPr="00074BC5">
        <w:tab/>
        <w:t xml:space="preserve">Výbor Národnej rady Slovenskej republiky pre </w:t>
      </w:r>
      <w:r w:rsidRPr="00074BC5" w:rsidR="00265908">
        <w:t>hospodárstvo, výstavbu a dopravu</w:t>
      </w:r>
      <w:r w:rsidRPr="00074BC5">
        <w:t xml:space="preserve"> ako gestorský výbor k vládnemu </w:t>
      </w:r>
      <w:r w:rsidRPr="00050568" w:rsidR="00AF4654">
        <w:t>návrh</w:t>
      </w:r>
      <w:r w:rsidR="00AF4654">
        <w:t>u</w:t>
      </w:r>
      <w:r w:rsidR="00A72B70">
        <w:t xml:space="preserve"> </w:t>
      </w:r>
      <w:r w:rsidRPr="003B733D" w:rsidR="00940F1E">
        <w:t>zákona o prepravovateľných tlakových zariadeniach a o zmene a doplnení niekto</w:t>
      </w:r>
      <w:r w:rsidRPr="003B733D" w:rsidR="00940F1E">
        <w:t>rých zákonov</w:t>
      </w:r>
      <w:r w:rsidRPr="003B733D" w:rsidR="00940F1E">
        <w:rPr>
          <w:bCs/>
        </w:rPr>
        <w:t xml:space="preserve">  </w:t>
      </w:r>
      <w:r w:rsidRPr="003B733D" w:rsidR="00940F1E">
        <w:t xml:space="preserve">(tlač </w:t>
      </w:r>
      <w:r w:rsidRPr="003B733D" w:rsidR="00940F1E">
        <w:rPr>
          <w:b/>
        </w:rPr>
        <w:t>328</w:t>
      </w:r>
      <w:r w:rsidRPr="003B733D" w:rsidR="00940F1E">
        <w:t>)</w:t>
      </w:r>
      <w:r w:rsidR="0023061A">
        <w:t xml:space="preserve"> </w:t>
      </w:r>
      <w:r w:rsidRPr="00074BC5" w:rsidR="00AD7403">
        <w:t xml:space="preserve"> </w:t>
      </w:r>
      <w:r w:rsidRPr="00074BC5" w:rsidR="00A6195F">
        <w:t>(ďalej len „gestorský výbor“) podáva Národnej rade Slovenskej republiky podľa</w:t>
      </w:r>
      <w:r w:rsidRPr="00074BC5">
        <w:t xml:space="preserve"> § 79 </w:t>
      </w:r>
      <w:r w:rsidRPr="00074BC5" w:rsidR="00A6195F">
        <w:t xml:space="preserve">ods. 1 </w:t>
      </w:r>
      <w:r w:rsidRPr="00074BC5">
        <w:t>zákona N</w:t>
      </w:r>
      <w:r w:rsidRPr="00074BC5" w:rsidR="00A6195F">
        <w:t>árodnej rady Slovenskej republiky</w:t>
      </w:r>
      <w:r w:rsidRPr="00074BC5">
        <w:t xml:space="preserve"> č. 350/1996 Z. z. o rokovacom poriadku Národnej rady Slovenskej republiky </w:t>
      </w:r>
      <w:r w:rsidRPr="00074BC5" w:rsidR="00A6195F">
        <w:t>v znení neskorších predp</w:t>
      </w:r>
      <w:r w:rsidRPr="00074BC5" w:rsidR="00A6195F">
        <w:t xml:space="preserve">isov </w:t>
      </w:r>
      <w:r w:rsidRPr="00074BC5">
        <w:t>(ďalej len „rokovací poriadok“) spoločnú správu výborov Národnej rady Slovenskej republiky.</w:t>
      </w:r>
    </w:p>
    <w:p w:rsidR="000C3652" w:rsidRPr="00074BC5">
      <w:pPr>
        <w:tabs>
          <w:tab w:val="left" w:pos="-1985"/>
          <w:tab w:val="left" w:pos="709"/>
          <w:tab w:val="left" w:pos="1077"/>
        </w:tabs>
        <w:jc w:val="both"/>
      </w:pPr>
    </w:p>
    <w:p w:rsidR="000C3652" w:rsidRPr="00074BC5">
      <w:pPr>
        <w:jc w:val="center"/>
        <w:rPr>
          <w:b/>
          <w:bCs/>
        </w:rPr>
      </w:pPr>
      <w:r w:rsidRPr="00074BC5">
        <w:rPr>
          <w:b/>
          <w:bCs/>
        </w:rPr>
        <w:t>I.</w:t>
      </w:r>
    </w:p>
    <w:p w:rsidR="00CA7C7E" w:rsidRPr="00074BC5">
      <w:pPr>
        <w:jc w:val="center"/>
        <w:rPr>
          <w:b/>
          <w:bCs/>
        </w:rPr>
      </w:pPr>
    </w:p>
    <w:p w:rsidR="000C3652" w:rsidRPr="00074BC5">
      <w:pPr>
        <w:tabs>
          <w:tab w:val="left" w:pos="0"/>
        </w:tabs>
        <w:ind w:firstLine="540"/>
        <w:jc w:val="both"/>
      </w:pPr>
      <w:r w:rsidRPr="00074BC5">
        <w:t>Národná rada Slovenskej republiky uznesením</w:t>
      </w:r>
      <w:r w:rsidRPr="00074BC5" w:rsidR="007F6A30">
        <w:t xml:space="preserve"> </w:t>
      </w:r>
      <w:r w:rsidRPr="00BE4924" w:rsidR="00A61603">
        <w:t>z</w:t>
      </w:r>
      <w:r w:rsidRPr="00BE4924" w:rsidR="00E153C6">
        <w:t xml:space="preserve"> </w:t>
      </w:r>
      <w:r w:rsidR="005C499D">
        <w:t>1</w:t>
      </w:r>
      <w:r w:rsidR="0081322E">
        <w:t>9</w:t>
      </w:r>
      <w:r w:rsidRPr="00BE4924" w:rsidR="00CD0504">
        <w:t xml:space="preserve">. </w:t>
      </w:r>
      <w:r w:rsidR="005C499D">
        <w:t>mája</w:t>
      </w:r>
      <w:r w:rsidRPr="00BE4924" w:rsidR="0016707B">
        <w:t xml:space="preserve"> </w:t>
      </w:r>
      <w:r w:rsidRPr="00BE4924" w:rsidR="00BB70A3">
        <w:t>20</w:t>
      </w:r>
      <w:r w:rsidRPr="00BE4924" w:rsidR="00884628">
        <w:t>1</w:t>
      </w:r>
      <w:r w:rsidRPr="00BE4924" w:rsidR="0097393D">
        <w:t>1</w:t>
      </w:r>
      <w:r w:rsidRPr="00BE4924">
        <w:t xml:space="preserve"> </w:t>
      </w:r>
      <w:r w:rsidRPr="00BE4924" w:rsidR="00E569F0">
        <w:t>č.</w:t>
      </w:r>
      <w:r w:rsidRPr="00BE4924" w:rsidR="002D5F04">
        <w:t xml:space="preserve"> </w:t>
      </w:r>
      <w:r w:rsidR="005C499D">
        <w:t>427</w:t>
      </w:r>
      <w:r w:rsidRPr="00BE4924" w:rsidR="00E569F0">
        <w:t xml:space="preserve"> </w:t>
      </w:r>
      <w:r w:rsidRPr="00BE4924">
        <w:t>p</w:t>
      </w:r>
      <w:r w:rsidRPr="00074BC5">
        <w:t>ridelila</w:t>
      </w:r>
      <w:r w:rsidR="00263251">
        <w:t xml:space="preserve"> predmetný </w:t>
      </w:r>
      <w:r w:rsidRPr="00074BC5">
        <w:t xml:space="preserve"> návrh</w:t>
      </w:r>
      <w:r w:rsidRPr="00074BC5" w:rsidR="00C04A6D">
        <w:t xml:space="preserve"> </w:t>
      </w:r>
      <w:r w:rsidR="00263251">
        <w:t xml:space="preserve">zákona </w:t>
      </w:r>
      <w:r w:rsidRPr="00074BC5">
        <w:t xml:space="preserve">na prerokovanie </w:t>
      </w:r>
      <w:r w:rsidRPr="00074BC5" w:rsidR="002D5F04">
        <w:t>týmto výborom</w:t>
      </w:r>
      <w:r w:rsidRPr="00074BC5">
        <w:t>:</w:t>
      </w:r>
    </w:p>
    <w:p w:rsidR="003B1512" w:rsidP="003B1512">
      <w:pPr>
        <w:jc w:val="both"/>
        <w:rPr>
          <w:sz w:val="22"/>
        </w:rPr>
      </w:pPr>
    </w:p>
    <w:p w:rsidR="00940F1E" w:rsidRPr="00940F1E" w:rsidP="00940F1E">
      <w:pPr>
        <w:tabs>
          <w:tab w:val="left" w:pos="1080"/>
        </w:tabs>
        <w:jc w:val="both"/>
      </w:pPr>
      <w:r w:rsidRPr="00940F1E" w:rsidR="003B1512">
        <w:tab/>
      </w:r>
      <w:r w:rsidRPr="00940F1E">
        <w:t>Ústavnoprávnemu výbo</w:t>
      </w:r>
      <w:r w:rsidRPr="00940F1E">
        <w:t>ru Národnej rady Slovenskej republiky</w:t>
      </w:r>
    </w:p>
    <w:p w:rsidR="00940F1E" w:rsidRPr="00940F1E" w:rsidP="00940F1E">
      <w:pPr>
        <w:tabs>
          <w:tab w:val="left" w:pos="1080"/>
        </w:tabs>
        <w:jc w:val="both"/>
      </w:pPr>
      <w:r w:rsidRPr="00940F1E">
        <w:tab/>
        <w:t>Výboru Národnej rady Slovenskej republiky pre financie a rozpočet</w:t>
      </w:r>
    </w:p>
    <w:p w:rsidR="00940F1E" w:rsidRPr="00940F1E" w:rsidP="00940F1E">
      <w:pPr>
        <w:tabs>
          <w:tab w:val="left" w:pos="1080"/>
        </w:tabs>
        <w:ind w:left="1080"/>
        <w:jc w:val="both"/>
      </w:pPr>
      <w:r w:rsidRPr="00940F1E">
        <w:t>Výboru Národnej rady Slovenskej republiky pre hospodárstvo, výstavbu a dopravu a</w:t>
      </w:r>
    </w:p>
    <w:p w:rsidR="003B1512" w:rsidRPr="00940F1E" w:rsidP="00940F1E">
      <w:pPr>
        <w:tabs>
          <w:tab w:val="left" w:pos="-284"/>
        </w:tabs>
        <w:ind w:left="1134"/>
        <w:jc w:val="both"/>
      </w:pPr>
      <w:r w:rsidRPr="00940F1E" w:rsidR="00940F1E">
        <w:t>Výboru Národnej rady Slovenskej republiky pre verejnú správu a regioná</w:t>
      </w:r>
      <w:r w:rsidRPr="00940F1E" w:rsidR="00940F1E">
        <w:t>lny rozvoj</w:t>
      </w:r>
      <w:r w:rsidR="00940F1E">
        <w:t>.</w:t>
      </w:r>
    </w:p>
    <w:p w:rsidR="00F768C6" w:rsidP="00D54775">
      <w:pPr>
        <w:ind w:firstLine="540"/>
        <w:jc w:val="both"/>
      </w:pPr>
    </w:p>
    <w:p w:rsidR="00065871" w:rsidP="00D54775">
      <w:pPr>
        <w:ind w:firstLine="540"/>
        <w:jc w:val="both"/>
      </w:pPr>
      <w:r>
        <w:t>Výbory prerokovali návrh zákona v lehote určenej uznesením Národnej rady Slovenskej republiky.</w:t>
      </w:r>
    </w:p>
    <w:p w:rsidR="007D1331">
      <w:pPr>
        <w:jc w:val="center"/>
        <w:rPr>
          <w:b/>
          <w:bCs/>
        </w:rPr>
      </w:pPr>
    </w:p>
    <w:p w:rsidR="000C3652" w:rsidRPr="00074BC5">
      <w:pPr>
        <w:jc w:val="center"/>
        <w:rPr>
          <w:b/>
          <w:bCs/>
        </w:rPr>
      </w:pPr>
      <w:r w:rsidRPr="00074BC5">
        <w:rPr>
          <w:b/>
          <w:bCs/>
        </w:rPr>
        <w:t>II.</w:t>
      </w:r>
    </w:p>
    <w:p w:rsidR="00CA7C7E" w:rsidRPr="00074BC5">
      <w:pPr>
        <w:jc w:val="center"/>
        <w:rPr>
          <w:b/>
          <w:bCs/>
        </w:rPr>
      </w:pPr>
    </w:p>
    <w:p w:rsidR="000C3652" w:rsidRPr="00074BC5">
      <w:pPr>
        <w:ind w:firstLine="567"/>
        <w:jc w:val="both"/>
      </w:pPr>
      <w:r w:rsidRPr="00074BC5">
        <w:t>Poslanci Národnej rady Slovenskej republiky, ktorí nie sú členmi výborov, ktorým bol návrh zákona pridelený, neoznámili v určenej lehote gestorskému výboru žiadne stanovisko k predmetnému návrhu zákona (§ 75 ods. 2 rokovacieho poriadku).</w:t>
      </w:r>
    </w:p>
    <w:p w:rsidR="007D1331">
      <w:pPr>
        <w:jc w:val="center"/>
        <w:rPr>
          <w:b/>
          <w:bCs/>
        </w:rPr>
      </w:pPr>
    </w:p>
    <w:p w:rsidR="00291144">
      <w:pPr>
        <w:jc w:val="center"/>
        <w:rPr>
          <w:b/>
          <w:bCs/>
        </w:rPr>
      </w:pPr>
    </w:p>
    <w:p w:rsidR="00291144">
      <w:pPr>
        <w:jc w:val="center"/>
        <w:rPr>
          <w:b/>
          <w:bCs/>
        </w:rPr>
      </w:pPr>
    </w:p>
    <w:p w:rsidR="000C3652" w:rsidRPr="00074BC5">
      <w:pPr>
        <w:jc w:val="center"/>
        <w:rPr>
          <w:b/>
          <w:bCs/>
        </w:rPr>
      </w:pPr>
      <w:r w:rsidRPr="00074BC5">
        <w:rPr>
          <w:b/>
          <w:bCs/>
        </w:rPr>
        <w:t>III.</w:t>
      </w:r>
    </w:p>
    <w:p w:rsidR="00CA7C7E" w:rsidRPr="00074BC5">
      <w:pPr>
        <w:jc w:val="center"/>
        <w:rPr>
          <w:b/>
          <w:bCs/>
        </w:rPr>
      </w:pPr>
    </w:p>
    <w:p w:rsidR="00D14D36" w:rsidP="00D14D36">
      <w:pPr>
        <w:ind w:firstLine="360"/>
        <w:jc w:val="both"/>
        <w:rPr>
          <w:bCs/>
        </w:rPr>
      </w:pPr>
      <w:r w:rsidRPr="00074BC5" w:rsidR="0016707B">
        <w:t>N</w:t>
      </w:r>
      <w:r w:rsidRPr="00074BC5">
        <w:t>ávrh zákona</w:t>
      </w:r>
      <w:r w:rsidRPr="00074BC5">
        <w:rPr>
          <w:b/>
          <w:bCs/>
        </w:rPr>
        <w:t xml:space="preserve"> </w:t>
      </w:r>
      <w:r w:rsidRPr="00074BC5">
        <w:rPr>
          <w:bCs/>
        </w:rPr>
        <w:t>odporúčali</w:t>
      </w:r>
      <w:r w:rsidRPr="00074BC5">
        <w:t xml:space="preserve"> Národnej rade Slovenskej republiky </w:t>
      </w:r>
      <w:r w:rsidRPr="00074BC5">
        <w:rPr>
          <w:bCs/>
        </w:rPr>
        <w:t>schváliť:</w:t>
      </w:r>
    </w:p>
    <w:p w:rsidR="00065871" w:rsidRPr="00074BC5" w:rsidP="00D14D36">
      <w:pPr>
        <w:ind w:firstLine="360"/>
        <w:jc w:val="both"/>
        <w:rPr>
          <w:bCs/>
        </w:rPr>
      </w:pPr>
    </w:p>
    <w:p w:rsidR="00E64F63" w:rsidRPr="00E64F63" w:rsidP="00147E97">
      <w:pPr>
        <w:numPr>
          <w:ilvl w:val="0"/>
          <w:numId w:val="2"/>
        </w:numPr>
        <w:tabs>
          <w:tab w:val="left" w:pos="720"/>
        </w:tabs>
        <w:jc w:val="both"/>
        <w:rPr>
          <w:bCs/>
          <w:u w:val="single"/>
        </w:rPr>
      </w:pPr>
      <w:r w:rsidR="00940F1E">
        <w:t>V</w:t>
      </w:r>
      <w:r w:rsidRPr="00074BC5" w:rsidR="00D14D36">
        <w:t xml:space="preserve">ýbor Národnej rady Slovenskej republiky </w:t>
      </w:r>
      <w:r w:rsidR="00940F1E">
        <w:t xml:space="preserve">pre </w:t>
      </w:r>
      <w:r w:rsidRPr="00940F1E" w:rsidR="00940F1E">
        <w:t>financie a rozpočet</w:t>
      </w:r>
      <w:r w:rsidRPr="00074BC5" w:rsidR="00940F1E">
        <w:rPr>
          <w:bCs/>
        </w:rPr>
        <w:t xml:space="preserve"> </w:t>
      </w:r>
      <w:r w:rsidRPr="00074BC5" w:rsidR="00D14D36">
        <w:rPr>
          <w:bCs/>
        </w:rPr>
        <w:t xml:space="preserve">uznesením </w:t>
      </w:r>
      <w:r w:rsidRPr="00074BC5" w:rsidR="001935FB">
        <w:rPr>
          <w:bCs/>
        </w:rPr>
        <w:t>z</w:t>
      </w:r>
      <w:r w:rsidR="00C47C33">
        <w:rPr>
          <w:bCs/>
        </w:rPr>
        <w:t>o</w:t>
      </w:r>
      <w:r w:rsidR="0033613D">
        <w:rPr>
          <w:bCs/>
        </w:rPr>
        <w:t> </w:t>
      </w:r>
      <w:r w:rsidR="00127F03">
        <w:rPr>
          <w:bCs/>
        </w:rPr>
        <w:t>14</w:t>
      </w:r>
      <w:r w:rsidR="0033613D">
        <w:rPr>
          <w:bCs/>
        </w:rPr>
        <w:t>.</w:t>
      </w:r>
      <w:r w:rsidR="0033613D">
        <w:rPr>
          <w:bCs/>
        </w:rPr>
        <w:t xml:space="preserve"> </w:t>
      </w:r>
      <w:r>
        <w:rPr>
          <w:bCs/>
        </w:rPr>
        <w:t>júna</w:t>
      </w:r>
      <w:r w:rsidRPr="00074BC5" w:rsidR="00D14D36">
        <w:rPr>
          <w:bCs/>
        </w:rPr>
        <w:t xml:space="preserve"> 20</w:t>
      </w:r>
      <w:r w:rsidR="00415693">
        <w:rPr>
          <w:bCs/>
        </w:rPr>
        <w:t>11</w:t>
      </w:r>
      <w:r w:rsidRPr="00074BC5" w:rsidR="00F1221E">
        <w:rPr>
          <w:bCs/>
        </w:rPr>
        <w:t xml:space="preserve"> č. </w:t>
      </w:r>
      <w:r w:rsidR="00127F03">
        <w:rPr>
          <w:bCs/>
        </w:rPr>
        <w:t>198</w:t>
      </w:r>
      <w:r w:rsidR="0054265F">
        <w:rPr>
          <w:bCs/>
        </w:rPr>
        <w:t>.</w:t>
      </w:r>
    </w:p>
    <w:p w:rsidR="00F768C6" w:rsidRPr="00415693" w:rsidP="00147E97">
      <w:pPr>
        <w:numPr>
          <w:ilvl w:val="0"/>
          <w:numId w:val="2"/>
        </w:numPr>
        <w:tabs>
          <w:tab w:val="left" w:pos="720"/>
        </w:tabs>
        <w:jc w:val="both"/>
        <w:rPr>
          <w:b/>
          <w:bCs/>
        </w:rPr>
      </w:pPr>
      <w:r w:rsidRPr="00074BC5">
        <w:t>Výbor Národnej rady Slovenskej republiky pre hospodárstvo, výstavbu a</w:t>
      </w:r>
      <w:r>
        <w:t> </w:t>
      </w:r>
      <w:r w:rsidRPr="00074BC5">
        <w:t>dopravu</w:t>
      </w:r>
      <w:r>
        <w:t xml:space="preserve"> </w:t>
      </w:r>
      <w:r w:rsidRPr="00074BC5">
        <w:rPr>
          <w:bCs/>
        </w:rPr>
        <w:t>uznesením z</w:t>
      </w:r>
      <w:r w:rsidR="00E64F63">
        <w:rPr>
          <w:bCs/>
        </w:rPr>
        <w:t>o</w:t>
      </w:r>
      <w:r w:rsidRPr="00074BC5">
        <w:rPr>
          <w:bCs/>
        </w:rPr>
        <w:t> </w:t>
      </w:r>
      <w:r w:rsidR="00E64F63">
        <w:rPr>
          <w:bCs/>
        </w:rPr>
        <w:t>16</w:t>
      </w:r>
      <w:r w:rsidRPr="00074BC5">
        <w:rPr>
          <w:bCs/>
        </w:rPr>
        <w:t>.</w:t>
      </w:r>
      <w:r w:rsidR="00E64F63">
        <w:rPr>
          <w:bCs/>
        </w:rPr>
        <w:t xml:space="preserve"> júna</w:t>
      </w:r>
      <w:r w:rsidRPr="00074BC5">
        <w:rPr>
          <w:bCs/>
        </w:rPr>
        <w:t xml:space="preserve"> 20</w:t>
      </w:r>
      <w:r>
        <w:rPr>
          <w:bCs/>
        </w:rPr>
        <w:t>11</w:t>
      </w:r>
      <w:r w:rsidRPr="00074BC5">
        <w:rPr>
          <w:bCs/>
        </w:rPr>
        <w:t xml:space="preserve"> č</w:t>
      </w:r>
      <w:r>
        <w:rPr>
          <w:bCs/>
        </w:rPr>
        <w:t xml:space="preserve">. </w:t>
      </w:r>
      <w:r w:rsidR="00C47C33">
        <w:rPr>
          <w:bCs/>
        </w:rPr>
        <w:t>1</w:t>
      </w:r>
      <w:r w:rsidR="00E64F63">
        <w:rPr>
          <w:bCs/>
        </w:rPr>
        <w:t>4</w:t>
      </w:r>
      <w:r w:rsidR="0054265F">
        <w:rPr>
          <w:bCs/>
        </w:rPr>
        <w:t>6</w:t>
      </w:r>
      <w:r w:rsidRPr="00074BC5">
        <w:rPr>
          <w:bCs/>
        </w:rPr>
        <w:t>.</w:t>
      </w:r>
    </w:p>
    <w:p w:rsidR="0054265F" w:rsidRPr="00E64F63" w:rsidP="00147E97">
      <w:pPr>
        <w:numPr>
          <w:ilvl w:val="0"/>
          <w:numId w:val="2"/>
        </w:numPr>
        <w:tabs>
          <w:tab w:val="left" w:pos="720"/>
        </w:tabs>
        <w:jc w:val="both"/>
        <w:rPr>
          <w:bCs/>
          <w:u w:val="single"/>
        </w:rPr>
      </w:pPr>
      <w:r>
        <w:t>V</w:t>
      </w:r>
      <w:r w:rsidRPr="00074BC5">
        <w:t xml:space="preserve">ýbor Národnej rady Slovenskej republiky </w:t>
      </w:r>
      <w:r w:rsidRPr="00940F1E">
        <w:t>pre verejnú správu a regionálny rozvoj</w:t>
      </w:r>
      <w:r w:rsidRPr="00074BC5">
        <w:rPr>
          <w:bCs/>
        </w:rPr>
        <w:t xml:space="preserve"> uznesením z</w:t>
      </w:r>
      <w:r>
        <w:rPr>
          <w:bCs/>
        </w:rPr>
        <w:t> </w:t>
      </w:r>
      <w:r w:rsidR="004A30F6">
        <w:rPr>
          <w:bCs/>
        </w:rPr>
        <w:t>15</w:t>
      </w:r>
      <w:r>
        <w:rPr>
          <w:bCs/>
        </w:rPr>
        <w:t>. júna</w:t>
      </w:r>
      <w:r w:rsidRPr="00074BC5">
        <w:rPr>
          <w:bCs/>
        </w:rPr>
        <w:t xml:space="preserve"> 20</w:t>
      </w:r>
      <w:r>
        <w:rPr>
          <w:bCs/>
        </w:rPr>
        <w:t>11</w:t>
      </w:r>
      <w:r w:rsidRPr="00074BC5">
        <w:rPr>
          <w:bCs/>
        </w:rPr>
        <w:t xml:space="preserve"> č. </w:t>
      </w:r>
      <w:r w:rsidR="004A30F6">
        <w:rPr>
          <w:bCs/>
        </w:rPr>
        <w:t>90</w:t>
      </w:r>
      <w:r w:rsidR="00291144">
        <w:rPr>
          <w:bCs/>
        </w:rPr>
        <w:t>.</w:t>
      </w:r>
    </w:p>
    <w:p w:rsidR="00265908" w:rsidP="00265908">
      <w:pPr>
        <w:ind w:left="360"/>
        <w:jc w:val="both"/>
        <w:rPr>
          <w:b/>
          <w:bCs/>
          <w:u w:val="single"/>
        </w:rPr>
      </w:pPr>
    </w:p>
    <w:p w:rsidR="0069646D" w:rsidRPr="00E64F63" w:rsidP="0069646D">
      <w:pPr>
        <w:jc w:val="both"/>
        <w:rPr>
          <w:bCs/>
          <w:u w:val="single"/>
        </w:rPr>
      </w:pPr>
      <w:r w:rsidRPr="00074BC5">
        <w:t>Ústavnoprá</w:t>
      </w:r>
      <w:r w:rsidRPr="00074BC5">
        <w:t xml:space="preserve">vny výbor Národnej rady Slovenskej republiky </w:t>
      </w:r>
      <w:r>
        <w:rPr>
          <w:bCs/>
        </w:rPr>
        <w:t>o návrhu rokoval 14. júna</w:t>
      </w:r>
      <w:r w:rsidRPr="00074BC5">
        <w:rPr>
          <w:bCs/>
        </w:rPr>
        <w:t xml:space="preserve"> 20</w:t>
      </w:r>
      <w:r>
        <w:rPr>
          <w:bCs/>
        </w:rPr>
        <w:t>11</w:t>
      </w:r>
      <w:r w:rsidRPr="00074BC5">
        <w:rPr>
          <w:bCs/>
        </w:rPr>
        <w:t xml:space="preserve"> </w:t>
      </w:r>
      <w:r>
        <w:rPr>
          <w:bCs/>
        </w:rPr>
        <w:t>a neprijal platné uznesenie, nakoľko návrh nezískal súhlas nadpolovičnej väčšiny prítomných poslancov.</w:t>
      </w:r>
    </w:p>
    <w:p w:rsidR="0069646D" w:rsidRPr="00074BC5" w:rsidP="00265908">
      <w:pPr>
        <w:ind w:left="360"/>
        <w:jc w:val="both"/>
        <w:rPr>
          <w:b/>
          <w:bCs/>
          <w:u w:val="single"/>
        </w:rPr>
      </w:pPr>
    </w:p>
    <w:p w:rsidR="000C3652" w:rsidRPr="00074BC5">
      <w:pPr>
        <w:jc w:val="center"/>
        <w:rPr>
          <w:b/>
          <w:bCs/>
        </w:rPr>
      </w:pPr>
      <w:r w:rsidRPr="00074BC5">
        <w:rPr>
          <w:b/>
          <w:bCs/>
        </w:rPr>
        <w:t>IV.</w:t>
      </w:r>
    </w:p>
    <w:p w:rsidR="00CA7C7E" w:rsidRPr="00074BC5">
      <w:pPr>
        <w:jc w:val="center"/>
        <w:rPr>
          <w:b/>
          <w:bCs/>
        </w:rPr>
      </w:pPr>
    </w:p>
    <w:p w:rsidR="0016707B" w:rsidRPr="00074BC5" w:rsidP="0016707B">
      <w:pPr>
        <w:ind w:firstLine="567"/>
        <w:jc w:val="both"/>
      </w:pPr>
      <w:r w:rsidRPr="00074BC5">
        <w:t>Z uznesení výborov Národnej rady Slovenskej republiky pod bodom III tejto správy vyplývajú nasledovné pozmeňujúce a doplňujúce návrhy:</w:t>
      </w:r>
    </w:p>
    <w:p w:rsidR="002A4765" w:rsidRPr="00074BC5" w:rsidP="00C51C57">
      <w:pPr>
        <w:ind w:firstLine="567"/>
        <w:jc w:val="both"/>
      </w:pPr>
    </w:p>
    <w:p w:rsidR="009A20F7" w:rsidRPr="003B733D" w:rsidP="00147E97">
      <w:pPr>
        <w:pStyle w:val="ListParagraph"/>
        <w:numPr>
          <w:ilvl w:val="0"/>
          <w:numId w:val="3"/>
        </w:numPr>
        <w:tabs>
          <w:tab w:val="left" w:pos="720"/>
        </w:tabs>
        <w:contextualSpacing/>
        <w:jc w:val="both"/>
        <w:rPr>
          <w:rFonts w:ascii="Arial" w:hAnsi="Arial" w:cs="Arial"/>
        </w:rPr>
      </w:pPr>
      <w:r w:rsidRPr="00CA4DCD">
        <w:rPr>
          <w:rFonts w:ascii="Arial" w:hAnsi="Arial" w:cs="Arial"/>
          <w:u w:val="single"/>
        </w:rPr>
        <w:t>V čl. I v § 1 písm. g)</w:t>
      </w:r>
      <w:r w:rsidRPr="003B733D">
        <w:rPr>
          <w:rFonts w:ascii="Arial" w:hAnsi="Arial" w:cs="Arial"/>
        </w:rPr>
        <w:t xml:space="preserve"> sa slová „ukladanie priestupkov a iných správnych deliktov“ nahrádzajú slovami „ukladanie sankci</w:t>
      </w:r>
      <w:r w:rsidR="00E74F2E">
        <w:rPr>
          <w:rFonts w:ascii="Arial" w:hAnsi="Arial" w:cs="Arial"/>
        </w:rPr>
        <w:t>í</w:t>
      </w:r>
      <w:r w:rsidRPr="003B733D">
        <w:rPr>
          <w:rFonts w:ascii="Arial" w:hAnsi="Arial" w:cs="Arial"/>
        </w:rPr>
        <w:t xml:space="preserve"> za priestupky a iné správne delikty“.</w:t>
      </w:r>
    </w:p>
    <w:p w:rsidR="009A20F7" w:rsidRPr="003B733D" w:rsidP="009A20F7">
      <w:pPr>
        <w:pStyle w:val="ListParagraph"/>
        <w:ind w:left="2832" w:firstLine="708"/>
        <w:rPr>
          <w:rFonts w:ascii="Arial" w:hAnsi="Arial" w:cs="Arial"/>
        </w:rPr>
      </w:pPr>
    </w:p>
    <w:p w:rsidR="009A20F7" w:rsidRPr="003B733D" w:rsidP="009A20F7">
      <w:pPr>
        <w:pStyle w:val="ListParagraph"/>
        <w:ind w:left="2340"/>
        <w:rPr>
          <w:rFonts w:ascii="Arial" w:hAnsi="Arial" w:cs="Arial"/>
        </w:rPr>
      </w:pPr>
      <w:r w:rsidRPr="003B733D">
        <w:rPr>
          <w:rFonts w:ascii="Arial" w:hAnsi="Arial" w:cs="Arial"/>
        </w:rPr>
        <w:t>Precizuje sa znenie tohto ustan</w:t>
      </w:r>
      <w:r w:rsidRPr="003B733D">
        <w:rPr>
          <w:rFonts w:ascii="Arial" w:hAnsi="Arial" w:cs="Arial"/>
        </w:rPr>
        <w:t>ovenia.</w:t>
      </w:r>
    </w:p>
    <w:p w:rsidR="009A20F7" w:rsidP="009A20F7">
      <w:pPr>
        <w:pStyle w:val="ListParagraph"/>
        <w:ind w:left="2124"/>
        <w:rPr>
          <w:rFonts w:ascii="Arial" w:hAnsi="Arial" w:cs="Arial"/>
        </w:rPr>
      </w:pPr>
    </w:p>
    <w:p w:rsidR="009A20F7" w:rsidRPr="004A30F6" w:rsidP="009A20F7">
      <w:pPr>
        <w:ind w:left="2410"/>
        <w:jc w:val="both"/>
        <w:rPr>
          <w:b/>
        </w:rPr>
      </w:pPr>
      <w:r w:rsidRPr="004A30F6">
        <w:rPr>
          <w:b/>
        </w:rPr>
        <w:t>Výbor NR SR pre financie a rozpočet</w:t>
      </w:r>
    </w:p>
    <w:p w:rsidR="009A20F7" w:rsidRPr="004A30F6" w:rsidP="009A20F7">
      <w:pPr>
        <w:ind w:left="2410"/>
        <w:jc w:val="both"/>
        <w:rPr>
          <w:b/>
        </w:rPr>
      </w:pPr>
      <w:r w:rsidRPr="004A30F6">
        <w:rPr>
          <w:b/>
        </w:rPr>
        <w:t>Výbor NR SR pre hospodárstvo, výstavbu a dopravu</w:t>
      </w:r>
    </w:p>
    <w:p w:rsidR="009A20F7" w:rsidRPr="004A30F6" w:rsidP="009A20F7">
      <w:pPr>
        <w:ind w:left="2410"/>
        <w:jc w:val="both"/>
        <w:rPr>
          <w:b/>
        </w:rPr>
      </w:pPr>
      <w:r w:rsidRPr="004A30F6">
        <w:rPr>
          <w:b/>
        </w:rPr>
        <w:t>Výbor NR SR pre verejnú správu a regionálny rozvoj</w:t>
      </w:r>
    </w:p>
    <w:p w:rsidR="009A20F7" w:rsidRPr="004A30F6" w:rsidP="009A20F7">
      <w:pPr>
        <w:ind w:left="2410"/>
        <w:rPr>
          <w:b/>
          <w:i/>
          <w:iCs/>
        </w:rPr>
      </w:pPr>
    </w:p>
    <w:p w:rsidR="009A20F7" w:rsidRPr="004A30F6" w:rsidP="009A20F7">
      <w:pPr>
        <w:ind w:left="2410"/>
        <w:rPr>
          <w:b/>
          <w:i/>
          <w:iCs/>
        </w:rPr>
      </w:pPr>
      <w:r w:rsidRPr="004A30F6">
        <w:rPr>
          <w:b/>
          <w:i/>
          <w:iCs/>
        </w:rPr>
        <w:t>Gestorský výbor odporúča schváliť</w:t>
      </w:r>
    </w:p>
    <w:p w:rsidR="00F873A0" w:rsidP="00F873A0">
      <w:pPr>
        <w:rPr>
          <w:b/>
          <w:i/>
          <w:iCs/>
          <w:u w:val="single"/>
        </w:rPr>
      </w:pPr>
    </w:p>
    <w:p w:rsidR="00F873A0" w:rsidRPr="00CA4DCD" w:rsidP="00F873A0">
      <w:pPr>
        <w:pStyle w:val="ListParagraph"/>
        <w:keepNext/>
        <w:keepLines/>
        <w:numPr>
          <w:ilvl w:val="0"/>
          <w:numId w:val="3"/>
        </w:numPr>
        <w:tabs>
          <w:tab w:val="left" w:pos="720"/>
        </w:tabs>
        <w:jc w:val="both"/>
        <w:rPr>
          <w:rFonts w:ascii="Arial" w:hAnsi="Arial" w:cs="Arial"/>
        </w:rPr>
      </w:pPr>
      <w:r w:rsidRPr="00CA4DCD">
        <w:rPr>
          <w:rFonts w:ascii="Arial" w:hAnsi="Arial" w:cs="Arial"/>
          <w:u w:val="single"/>
        </w:rPr>
        <w:t>V čl. I § 2 ods. 1 písm. a)</w:t>
      </w:r>
      <w:r w:rsidRPr="00CA4DCD">
        <w:rPr>
          <w:rFonts w:ascii="Arial" w:hAnsi="Arial" w:cs="Arial"/>
        </w:rPr>
        <w:t xml:space="preserve"> sa nad slovami „sprístupnenia na trhu“ vypúšťa odkaz 8 vrátane poznámky pod čiarou k odkazu 8. </w:t>
      </w:r>
    </w:p>
    <w:p w:rsidR="00F873A0" w:rsidRPr="00CA4DCD" w:rsidP="00F873A0">
      <w:pPr>
        <w:pStyle w:val="ListParagraph"/>
        <w:keepNext/>
        <w:keepLines/>
        <w:ind w:left="360" w:firstLine="348"/>
        <w:jc w:val="both"/>
        <w:rPr>
          <w:rFonts w:ascii="Arial" w:hAnsi="Arial" w:cs="Arial"/>
        </w:rPr>
      </w:pPr>
      <w:r w:rsidRPr="00CA4DCD">
        <w:rPr>
          <w:rFonts w:ascii="Arial" w:hAnsi="Arial" w:cs="Arial"/>
        </w:rPr>
        <w:t>Doterajšie odkazy 9 až 27 sa označujú ako odkazy 8 až 26.</w:t>
      </w:r>
    </w:p>
    <w:p w:rsidR="00F873A0" w:rsidRPr="00CA4DCD" w:rsidP="00F873A0">
      <w:pPr>
        <w:pStyle w:val="ListParagraph"/>
        <w:keepNext/>
        <w:keepLines/>
        <w:ind w:left="360"/>
        <w:jc w:val="both"/>
        <w:rPr>
          <w:rFonts w:ascii="Arial" w:hAnsi="Arial" w:cs="Arial"/>
        </w:rPr>
      </w:pPr>
    </w:p>
    <w:p w:rsidR="00F873A0" w:rsidRPr="00CA4DCD" w:rsidP="00F873A0">
      <w:pPr>
        <w:pStyle w:val="ListParagraph"/>
        <w:keepNext/>
        <w:keepLines/>
        <w:ind w:left="2340"/>
        <w:jc w:val="both"/>
        <w:rPr>
          <w:rFonts w:ascii="Arial" w:hAnsi="Arial" w:cs="Arial"/>
        </w:rPr>
      </w:pPr>
      <w:r w:rsidRPr="00CA4DCD">
        <w:rPr>
          <w:rFonts w:ascii="Arial" w:hAnsi="Arial" w:cs="Arial"/>
        </w:rPr>
        <w:t>Odkaz na definíciu pojmu „sprístupnenie na trhu“ z nariadenia č. 765/2008/ES sa stal nadbytočný vzhľadom na zmenu uvedenú v druhom bode, čiže prevza</w:t>
      </w:r>
      <w:r w:rsidRPr="00CA4DCD">
        <w:rPr>
          <w:rFonts w:ascii="Arial" w:hAnsi="Arial" w:cs="Arial"/>
        </w:rPr>
        <w:t>tie definície uvedeného pojmu priamo zo smernice 2010/35/EÚ.</w:t>
      </w:r>
    </w:p>
    <w:p w:rsidR="00F873A0" w:rsidRPr="00F873A0" w:rsidP="00F873A0">
      <w:pPr>
        <w:pStyle w:val="ListParagraph"/>
        <w:ind w:left="2124"/>
        <w:rPr>
          <w:rFonts w:ascii="Arial" w:hAnsi="Arial" w:cs="Arial"/>
        </w:rPr>
      </w:pPr>
    </w:p>
    <w:p w:rsidR="00F873A0" w:rsidRPr="00F873A0" w:rsidP="00F873A0">
      <w:pPr>
        <w:ind w:left="2410"/>
        <w:jc w:val="both"/>
        <w:rPr>
          <w:b/>
        </w:rPr>
      </w:pPr>
      <w:r w:rsidRPr="00F873A0">
        <w:rPr>
          <w:b/>
        </w:rPr>
        <w:t>Výbor NR SR pre hospodárstvo, výstavbu a dopravu</w:t>
      </w:r>
    </w:p>
    <w:p w:rsidR="00F873A0" w:rsidRPr="00F873A0" w:rsidP="00F873A0">
      <w:pPr>
        <w:ind w:left="2410"/>
        <w:rPr>
          <w:b/>
          <w:i/>
          <w:iCs/>
        </w:rPr>
      </w:pPr>
    </w:p>
    <w:p w:rsidR="00F873A0" w:rsidRPr="00F873A0" w:rsidP="00F873A0">
      <w:pPr>
        <w:ind w:left="2410"/>
        <w:rPr>
          <w:b/>
          <w:i/>
          <w:iCs/>
        </w:rPr>
      </w:pPr>
      <w:r w:rsidRPr="00F873A0">
        <w:rPr>
          <w:b/>
          <w:i/>
          <w:iCs/>
        </w:rPr>
        <w:t>Gestorský výbor odporúča schváliť</w:t>
      </w:r>
    </w:p>
    <w:p w:rsidR="00F873A0" w:rsidRPr="00F873A0" w:rsidP="00F873A0">
      <w:pPr>
        <w:ind w:left="2410"/>
        <w:rPr>
          <w:b/>
          <w:i/>
          <w:iCs/>
        </w:rPr>
      </w:pPr>
    </w:p>
    <w:p w:rsidR="009A20F7" w:rsidRPr="00CA4DCD" w:rsidP="00F873A0">
      <w:pPr>
        <w:pStyle w:val="ListParagraph"/>
        <w:keepNext/>
        <w:keepLines/>
        <w:numPr>
          <w:ilvl w:val="0"/>
          <w:numId w:val="3"/>
        </w:numPr>
        <w:tabs>
          <w:tab w:val="left" w:pos="720"/>
        </w:tabs>
        <w:jc w:val="both"/>
        <w:rPr>
          <w:rFonts w:ascii="Arial" w:hAnsi="Arial" w:cs="Arial"/>
          <w:u w:val="single"/>
        </w:rPr>
      </w:pPr>
      <w:r w:rsidRPr="00CA4DCD">
        <w:rPr>
          <w:rFonts w:ascii="Arial" w:hAnsi="Arial" w:cs="Arial"/>
          <w:u w:val="single"/>
        </w:rPr>
        <w:t>V čl. I § 3 sa za písmeno h) vkladá nové písmeno i), ktoré znie:</w:t>
      </w:r>
    </w:p>
    <w:p w:rsidR="00F873A0" w:rsidRPr="00CA4DCD" w:rsidP="00F873A0">
      <w:pPr>
        <w:pStyle w:val="ListParagraph"/>
        <w:keepNext/>
        <w:keepLines/>
        <w:ind w:left="720"/>
        <w:jc w:val="both"/>
        <w:rPr>
          <w:rFonts w:ascii="Arial" w:hAnsi="Arial" w:cs="Arial"/>
        </w:rPr>
      </w:pPr>
      <w:r w:rsidRPr="00CA4DCD" w:rsidR="009A20F7">
        <w:rPr>
          <w:rFonts w:ascii="Arial" w:hAnsi="Arial" w:cs="Arial"/>
        </w:rPr>
        <w:t>„i) sprístupnením na trhu dodávka zariadeni</w:t>
      </w:r>
      <w:r>
        <w:rPr>
          <w:rFonts w:ascii="Arial" w:hAnsi="Arial" w:cs="Arial"/>
        </w:rPr>
        <w:t xml:space="preserve">a určeného na distribúciu alebo </w:t>
      </w:r>
      <w:r w:rsidRPr="00CA4DCD" w:rsidR="009A20F7">
        <w:rPr>
          <w:rFonts w:ascii="Arial" w:hAnsi="Arial" w:cs="Arial"/>
        </w:rPr>
        <w:t>používanie na trhu Európskej únie v rámci obchodnej činnosti alebo pri vykonávaní verejnej služby, a to odplatne alebo bezodplatne.“.</w:t>
      </w:r>
    </w:p>
    <w:p w:rsidR="009A20F7" w:rsidRPr="00CA4DCD" w:rsidP="00F873A0">
      <w:pPr>
        <w:pStyle w:val="ListParagraph"/>
        <w:keepNext/>
        <w:keepLines/>
        <w:ind w:left="360"/>
        <w:jc w:val="both"/>
        <w:rPr>
          <w:rFonts w:ascii="Arial" w:hAnsi="Arial" w:cs="Arial"/>
        </w:rPr>
      </w:pPr>
    </w:p>
    <w:p w:rsidR="009A20F7" w:rsidRPr="00CA4DCD" w:rsidP="00F873A0">
      <w:pPr>
        <w:pStyle w:val="ListParagraph"/>
        <w:keepNext/>
        <w:keepLines/>
        <w:ind w:left="2340"/>
        <w:jc w:val="both"/>
        <w:rPr>
          <w:rFonts w:ascii="Arial" w:hAnsi="Arial" w:cs="Arial"/>
        </w:rPr>
      </w:pPr>
      <w:r w:rsidRPr="00CA4DCD">
        <w:rPr>
          <w:rFonts w:ascii="Arial" w:hAnsi="Arial" w:cs="Arial"/>
        </w:rPr>
        <w:t>Preberá sa definícia pojmu „sprístupnenie na trhu“ priamo zo smernice 2010/35/EÚ vzhľadom na to, že má širší obsah než definícia toho istého pojmu uvedená v nariadení č. 765/2008/ES.</w:t>
      </w:r>
    </w:p>
    <w:p w:rsidR="009A20F7" w:rsidRPr="00F873A0" w:rsidP="009A20F7">
      <w:pPr>
        <w:pStyle w:val="ListParagraph"/>
        <w:ind w:left="2124"/>
        <w:rPr>
          <w:rFonts w:ascii="Arial" w:hAnsi="Arial" w:cs="Arial"/>
        </w:rPr>
      </w:pPr>
    </w:p>
    <w:p w:rsidR="009A20F7" w:rsidRPr="00F873A0" w:rsidP="009A20F7">
      <w:pPr>
        <w:ind w:left="2410"/>
        <w:jc w:val="both"/>
        <w:rPr>
          <w:b/>
        </w:rPr>
      </w:pPr>
      <w:r w:rsidRPr="00F873A0">
        <w:rPr>
          <w:b/>
        </w:rPr>
        <w:t>Výbor NR SR pre hospodárstvo, výstavbu a dopravu</w:t>
      </w:r>
    </w:p>
    <w:p w:rsidR="009A20F7" w:rsidRPr="00F873A0" w:rsidP="009A20F7">
      <w:pPr>
        <w:ind w:left="2410"/>
        <w:rPr>
          <w:b/>
          <w:i/>
          <w:iCs/>
        </w:rPr>
      </w:pPr>
    </w:p>
    <w:p w:rsidR="009A20F7" w:rsidRPr="00F873A0" w:rsidP="009A20F7">
      <w:pPr>
        <w:ind w:left="2410"/>
        <w:rPr>
          <w:b/>
          <w:i/>
          <w:iCs/>
        </w:rPr>
      </w:pPr>
      <w:r w:rsidRPr="00F873A0">
        <w:rPr>
          <w:b/>
          <w:i/>
          <w:iCs/>
        </w:rPr>
        <w:t>Gestorský výbor odporúča schváliť</w:t>
      </w:r>
    </w:p>
    <w:p w:rsidR="009A20F7" w:rsidP="009A20F7">
      <w:pPr>
        <w:pStyle w:val="ListParagraph"/>
        <w:ind w:left="2124"/>
        <w:rPr>
          <w:rFonts w:ascii="Arial" w:hAnsi="Arial" w:cs="Arial"/>
        </w:rPr>
      </w:pPr>
    </w:p>
    <w:p w:rsidR="009A20F7" w:rsidRPr="003B733D" w:rsidP="00147E97">
      <w:pPr>
        <w:pStyle w:val="ListParagraph"/>
        <w:numPr>
          <w:ilvl w:val="0"/>
          <w:numId w:val="3"/>
        </w:numPr>
        <w:tabs>
          <w:tab w:val="left" w:pos="720"/>
        </w:tabs>
        <w:contextualSpacing/>
        <w:rPr>
          <w:rFonts w:ascii="Arial" w:hAnsi="Arial" w:cs="Arial"/>
        </w:rPr>
      </w:pPr>
      <w:r w:rsidRPr="00CA4DCD">
        <w:rPr>
          <w:rFonts w:ascii="Arial" w:hAnsi="Arial" w:cs="Arial"/>
          <w:u w:val="single"/>
        </w:rPr>
        <w:t>V čl. I v § 20 ods. 1 písm. e)</w:t>
      </w:r>
      <w:r w:rsidRPr="003B733D">
        <w:rPr>
          <w:rFonts w:ascii="Arial" w:hAnsi="Arial" w:cs="Arial"/>
        </w:rPr>
        <w:t xml:space="preserve"> sa za slová „§ 8“ vkladajú slová „ods. 2“.</w:t>
      </w:r>
    </w:p>
    <w:p w:rsidR="009A20F7" w:rsidRPr="003B733D" w:rsidP="009A20F7">
      <w:pPr>
        <w:ind w:left="3543" w:firstLine="705"/>
      </w:pPr>
    </w:p>
    <w:p w:rsidR="009A20F7" w:rsidP="009A20F7">
      <w:pPr>
        <w:ind w:left="2340"/>
      </w:pPr>
      <w:r w:rsidRPr="003B733D">
        <w:t>Sp</w:t>
      </w:r>
      <w:r w:rsidRPr="003B733D">
        <w:t>resnenie  ustanovenia.</w:t>
      </w:r>
    </w:p>
    <w:p w:rsidR="009A20F7" w:rsidP="009A20F7"/>
    <w:p w:rsidR="009A20F7" w:rsidRPr="004A30F6" w:rsidP="009A20F7">
      <w:pPr>
        <w:ind w:left="2410"/>
        <w:jc w:val="both"/>
        <w:rPr>
          <w:b/>
        </w:rPr>
      </w:pPr>
      <w:r w:rsidRPr="004A30F6">
        <w:rPr>
          <w:b/>
        </w:rPr>
        <w:t>Výbor NR SR pre financie a rozpočet</w:t>
      </w:r>
    </w:p>
    <w:p w:rsidR="009A20F7" w:rsidRPr="004A30F6" w:rsidP="009A20F7">
      <w:pPr>
        <w:ind w:left="2410"/>
        <w:jc w:val="both"/>
        <w:rPr>
          <w:b/>
        </w:rPr>
      </w:pPr>
      <w:r w:rsidRPr="004A30F6">
        <w:rPr>
          <w:b/>
        </w:rPr>
        <w:t>Výbor NR SR pre hospodárstvo, výstavbu a dopravu</w:t>
      </w:r>
    </w:p>
    <w:p w:rsidR="009A20F7" w:rsidRPr="004A30F6" w:rsidP="009A20F7">
      <w:pPr>
        <w:ind w:left="2410"/>
        <w:jc w:val="both"/>
        <w:rPr>
          <w:b/>
        </w:rPr>
      </w:pPr>
      <w:r w:rsidRPr="004A30F6">
        <w:rPr>
          <w:b/>
        </w:rPr>
        <w:t>Výbor NR SR pre verejnú správu a regionálny rozvoj</w:t>
      </w:r>
    </w:p>
    <w:p w:rsidR="009A20F7" w:rsidRPr="004A30F6" w:rsidP="009A20F7">
      <w:pPr>
        <w:ind w:left="2410"/>
        <w:rPr>
          <w:b/>
          <w:i/>
          <w:iCs/>
        </w:rPr>
      </w:pPr>
    </w:p>
    <w:p w:rsidR="009A20F7" w:rsidRPr="004A30F6" w:rsidP="009A20F7">
      <w:pPr>
        <w:ind w:left="2410"/>
        <w:rPr>
          <w:b/>
          <w:i/>
          <w:iCs/>
        </w:rPr>
      </w:pPr>
      <w:r w:rsidRPr="004A30F6">
        <w:rPr>
          <w:b/>
          <w:i/>
          <w:iCs/>
        </w:rPr>
        <w:t>Gestorský výbor odporúča schváliť</w:t>
      </w:r>
    </w:p>
    <w:p w:rsidR="009A20F7" w:rsidP="009A20F7"/>
    <w:p w:rsidR="009A20F7" w:rsidRPr="00CA4DCD" w:rsidP="00147E97">
      <w:pPr>
        <w:pStyle w:val="ListParagraph"/>
        <w:keepNext/>
        <w:keepLines/>
        <w:numPr>
          <w:ilvl w:val="0"/>
          <w:numId w:val="3"/>
        </w:numPr>
        <w:tabs>
          <w:tab w:val="left" w:pos="720"/>
        </w:tabs>
        <w:jc w:val="both"/>
        <w:rPr>
          <w:rFonts w:ascii="Arial" w:hAnsi="Arial" w:cs="Arial"/>
          <w:u w:val="single"/>
        </w:rPr>
      </w:pPr>
      <w:r w:rsidRPr="00CA4DCD">
        <w:rPr>
          <w:rFonts w:ascii="Arial" w:hAnsi="Arial" w:cs="Arial"/>
          <w:u w:val="single"/>
        </w:rPr>
        <w:t>V</w:t>
      </w:r>
      <w:r>
        <w:rPr>
          <w:rFonts w:ascii="Arial" w:hAnsi="Arial" w:cs="Arial"/>
          <w:u w:val="single"/>
        </w:rPr>
        <w:t xml:space="preserve"> čl. I </w:t>
      </w:r>
      <w:r w:rsidRPr="00CA4DCD">
        <w:rPr>
          <w:rFonts w:ascii="Arial" w:hAnsi="Arial" w:cs="Arial"/>
          <w:u w:val="single"/>
        </w:rPr>
        <w:t>§ 20 odsek 3 znie:</w:t>
      </w:r>
    </w:p>
    <w:p w:rsidR="009A20F7" w:rsidRPr="00CA4DCD" w:rsidP="009A20F7">
      <w:pPr>
        <w:pStyle w:val="ListParagraph"/>
        <w:keepNext/>
        <w:keepLines/>
        <w:ind w:left="720" w:hanging="720"/>
        <w:jc w:val="both"/>
        <w:rPr>
          <w:rFonts w:ascii="Arial" w:hAnsi="Arial" w:cs="Arial"/>
        </w:rPr>
      </w:pPr>
      <w:r w:rsidRPr="00CA4DCD">
        <w:rPr>
          <w:rFonts w:ascii="Arial" w:hAnsi="Arial" w:cs="Arial"/>
        </w:rPr>
        <w:t xml:space="preserve">      </w:t>
        <w:tab/>
        <w:t>„(3) Úrad uloží za priestupok podľa odseku 1 písm. a) pokutu od 500 eur do 10 000 eur.“.</w:t>
      </w:r>
    </w:p>
    <w:p w:rsidR="009A20F7" w:rsidRPr="00CA4DCD" w:rsidP="009A20F7">
      <w:pPr>
        <w:pStyle w:val="ListParagraph"/>
        <w:keepNext/>
        <w:keepLines/>
        <w:ind w:left="0"/>
        <w:jc w:val="both"/>
        <w:rPr>
          <w:rFonts w:ascii="Arial" w:hAnsi="Arial" w:cs="Arial"/>
          <w:color w:val="000000"/>
        </w:rPr>
      </w:pPr>
    </w:p>
    <w:p w:rsidR="009A20F7" w:rsidRPr="00CA4DCD" w:rsidP="009A20F7">
      <w:pPr>
        <w:pStyle w:val="ListParagraph"/>
        <w:keepNext/>
        <w:keepLines/>
        <w:ind w:left="2340"/>
        <w:jc w:val="both"/>
        <w:rPr>
          <w:rFonts w:ascii="Arial" w:hAnsi="Arial" w:cs="Arial"/>
          <w:color w:val="000000"/>
        </w:rPr>
      </w:pPr>
      <w:r w:rsidRPr="00CA4DCD">
        <w:rPr>
          <w:rFonts w:ascii="Arial" w:hAnsi="Arial" w:cs="Arial"/>
          <w:color w:val="000000"/>
        </w:rPr>
        <w:t>V novom znení ustanovenia upravujúcom výšku pokút sa precizuje výška pokuty, ktorá môže byť uložená fyzickej osobe úradom. V odseku 3 sa ustanovuje spodná hranica pokuty, ktorú môže úrad uložiť za porušenie príslušnej povinnosti.</w:t>
      </w:r>
    </w:p>
    <w:p w:rsidR="00F873A0" w:rsidRPr="00F873A0" w:rsidP="00F873A0">
      <w:pPr>
        <w:pStyle w:val="ListParagraph"/>
        <w:ind w:left="2124"/>
        <w:rPr>
          <w:rFonts w:ascii="Arial" w:hAnsi="Arial" w:cs="Arial"/>
        </w:rPr>
      </w:pPr>
    </w:p>
    <w:p w:rsidR="00F873A0" w:rsidRPr="00F873A0" w:rsidP="00F873A0">
      <w:pPr>
        <w:ind w:left="2410"/>
        <w:jc w:val="both"/>
        <w:rPr>
          <w:b/>
        </w:rPr>
      </w:pPr>
      <w:r w:rsidRPr="00F873A0">
        <w:rPr>
          <w:b/>
        </w:rPr>
        <w:t>Výbor NR SR pre hospodárstvo, výstavbu a dopravu</w:t>
      </w:r>
    </w:p>
    <w:p w:rsidR="00F873A0" w:rsidRPr="00F873A0" w:rsidP="00F873A0">
      <w:pPr>
        <w:ind w:left="2410"/>
        <w:rPr>
          <w:b/>
          <w:i/>
          <w:iCs/>
        </w:rPr>
      </w:pPr>
    </w:p>
    <w:p w:rsidR="00F873A0" w:rsidRPr="00F873A0" w:rsidP="00F873A0">
      <w:pPr>
        <w:ind w:left="2410"/>
        <w:rPr>
          <w:b/>
          <w:i/>
          <w:iCs/>
        </w:rPr>
      </w:pPr>
      <w:r w:rsidRPr="00F873A0">
        <w:rPr>
          <w:b/>
          <w:i/>
          <w:iCs/>
        </w:rPr>
        <w:t>Gestorský výbor odporúča schváliť</w:t>
      </w:r>
    </w:p>
    <w:p w:rsidR="009A20F7" w:rsidRPr="00CA4DCD" w:rsidP="009A20F7">
      <w:pPr>
        <w:pStyle w:val="ListParagraph"/>
        <w:keepNext/>
        <w:keepLines/>
        <w:ind w:left="0"/>
        <w:jc w:val="both"/>
        <w:rPr>
          <w:rFonts w:ascii="Arial" w:hAnsi="Arial" w:cs="Arial"/>
          <w:color w:val="000000"/>
        </w:rPr>
      </w:pPr>
    </w:p>
    <w:p w:rsidR="009A20F7" w:rsidRPr="00CA4DCD" w:rsidP="00147E97">
      <w:pPr>
        <w:pStyle w:val="ListParagraph"/>
        <w:keepNext/>
        <w:keepLines/>
        <w:numPr>
          <w:ilvl w:val="0"/>
          <w:numId w:val="3"/>
        </w:numPr>
        <w:tabs>
          <w:tab w:val="left" w:pos="720"/>
        </w:tabs>
        <w:jc w:val="both"/>
        <w:rPr>
          <w:rFonts w:ascii="Arial" w:hAnsi="Arial" w:cs="Arial"/>
          <w:u w:val="single"/>
        </w:rPr>
      </w:pPr>
      <w:r w:rsidRPr="00CA4DCD">
        <w:rPr>
          <w:rFonts w:ascii="Arial" w:hAnsi="Arial" w:cs="Arial"/>
          <w:u w:val="single"/>
        </w:rPr>
        <w:t xml:space="preserve">V § 20 sa za odsek 3 vkladajú nové odseky </w:t>
      </w:r>
      <w:smartTag w:uri="urn:schemas-microsoft-com:office:smarttags" w:element="metricconverter">
        <w:smartTagPr>
          <w:attr w:name="ProductID" w:val="4 a"/>
        </w:smartTagPr>
        <w:r w:rsidRPr="00CA4DCD">
          <w:rPr>
            <w:rFonts w:ascii="Arial" w:hAnsi="Arial" w:cs="Arial"/>
            <w:u w:val="single"/>
          </w:rPr>
          <w:t>4 a</w:t>
        </w:r>
      </w:smartTag>
      <w:r w:rsidRPr="00CA4DCD">
        <w:rPr>
          <w:rFonts w:ascii="Arial" w:hAnsi="Arial" w:cs="Arial"/>
          <w:u w:val="single"/>
        </w:rPr>
        <w:t xml:space="preserve"> 5, ktoré znejú:</w:t>
      </w:r>
    </w:p>
    <w:p w:rsidR="009A20F7" w:rsidRPr="00CA4DCD" w:rsidP="009A20F7">
      <w:pPr>
        <w:pStyle w:val="ListParagraph"/>
        <w:keepNext/>
        <w:keepLines/>
        <w:ind w:left="720"/>
        <w:jc w:val="both"/>
        <w:rPr>
          <w:rFonts w:ascii="Arial" w:hAnsi="Arial" w:cs="Arial"/>
        </w:rPr>
      </w:pPr>
      <w:r w:rsidRPr="00CA4DCD">
        <w:rPr>
          <w:rFonts w:ascii="Arial" w:hAnsi="Arial" w:cs="Arial"/>
        </w:rPr>
        <w:t>„(4) Orgán dohľadu nad trhom uloží pokutu od 200 eur do 5 000 eur fyzickej osobe, ak sa dopustí priestupku tým, že poruší povinnosť podľa odseku 1 písm. b), d) alebo e).</w:t>
      </w:r>
    </w:p>
    <w:p w:rsidR="009A20F7" w:rsidRPr="00CA4DCD" w:rsidP="009A20F7">
      <w:pPr>
        <w:pStyle w:val="ListParagraph"/>
        <w:keepNext/>
        <w:keepLines/>
        <w:ind w:left="720"/>
        <w:jc w:val="both"/>
        <w:rPr>
          <w:rFonts w:ascii="Arial" w:hAnsi="Arial" w:cs="Arial"/>
          <w:color w:val="000000"/>
        </w:rPr>
      </w:pPr>
      <w:r w:rsidRPr="00CA4DCD">
        <w:rPr>
          <w:rFonts w:ascii="Arial" w:hAnsi="Arial" w:cs="Arial"/>
        </w:rPr>
        <w:t xml:space="preserve"> (5) Orgán dohľadu nad trhom uloží pokutu od 500 eur do 10 000 eur fyzickej osobe, ak   sa dopustí priestupku </w:t>
      </w:r>
      <w:r w:rsidRPr="00CA4DCD">
        <w:rPr>
          <w:rFonts w:ascii="Arial" w:hAnsi="Arial" w:cs="Arial"/>
          <w:color w:val="000000"/>
        </w:rPr>
        <w:t>podľa odseku 1 písm. c).“.</w:t>
      </w:r>
    </w:p>
    <w:p w:rsidR="009A20F7" w:rsidP="009A20F7">
      <w:pPr>
        <w:pStyle w:val="ListParagraph"/>
        <w:keepNext/>
        <w:keepLines/>
        <w:ind w:left="720"/>
        <w:jc w:val="both"/>
        <w:rPr>
          <w:rFonts w:ascii="Arial" w:hAnsi="Arial" w:cs="Arial"/>
        </w:rPr>
      </w:pPr>
    </w:p>
    <w:p w:rsidR="000E1C6B" w:rsidRPr="00CA4DCD" w:rsidP="000E1C6B">
      <w:pPr>
        <w:pStyle w:val="ListParagraph"/>
        <w:keepNext/>
        <w:keepLines/>
        <w:ind w:left="720"/>
        <w:jc w:val="both"/>
        <w:rPr>
          <w:rFonts w:ascii="Arial" w:hAnsi="Arial" w:cs="Arial"/>
        </w:rPr>
      </w:pPr>
      <w:r>
        <w:rPr>
          <w:rFonts w:ascii="Arial" w:hAnsi="Arial" w:cs="Arial"/>
        </w:rPr>
        <w:t xml:space="preserve">Doterajšie odseky </w:t>
      </w:r>
      <w:r>
        <w:rPr>
          <w:rFonts w:ascii="Arial" w:hAnsi="Arial" w:cs="Arial"/>
        </w:rPr>
        <w:t>4</w:t>
      </w:r>
      <w:r w:rsidRPr="00CA4DCD">
        <w:rPr>
          <w:rFonts w:ascii="Arial" w:hAnsi="Arial" w:cs="Arial"/>
        </w:rPr>
        <w:t xml:space="preserve"> a </w:t>
      </w:r>
      <w:r>
        <w:rPr>
          <w:rFonts w:ascii="Arial" w:hAnsi="Arial" w:cs="Arial"/>
        </w:rPr>
        <w:t>5</w:t>
      </w:r>
      <w:r w:rsidRPr="00CA4DCD">
        <w:rPr>
          <w:rFonts w:ascii="Arial" w:hAnsi="Arial" w:cs="Arial"/>
        </w:rPr>
        <w:t xml:space="preserve"> sa označujú ako odseky 6 a 7.</w:t>
      </w:r>
    </w:p>
    <w:p w:rsidR="009A20F7" w:rsidRPr="00CA4DCD" w:rsidP="009A20F7">
      <w:pPr>
        <w:jc w:val="both"/>
        <w:rPr>
          <w:b/>
          <w:color w:val="000000"/>
        </w:rPr>
      </w:pPr>
    </w:p>
    <w:p w:rsidR="009A20F7" w:rsidRPr="00CA4DCD" w:rsidP="009A20F7">
      <w:pPr>
        <w:ind w:left="2340"/>
        <w:jc w:val="both"/>
      </w:pPr>
      <w:r w:rsidRPr="00CA4DCD">
        <w:rPr>
          <w:color w:val="000000"/>
        </w:rPr>
        <w:t>V novom znení ustanovenia upravujúcom výšku pokút sa precizovali minimá a maximá súm pokút, ktoré môžu byť uložené fyzickej osobe orgánom dohľadu nad trhom za porušenia jednotlivých ustanovení zákona. V odseku 4 a 5 sa ustanovuje spodná hranica pokuty a porušenia jednotlivých povinností sa rozdelili z hľadiska možného ná</w:t>
      </w:r>
      <w:r w:rsidRPr="00CA4DCD">
        <w:rPr>
          <w:color w:val="000000"/>
        </w:rPr>
        <w:t xml:space="preserve">sledku (ohrozenia života, zdravia alebo majetku, prípadne vzniku škody) porušením povinnosti subjektu ako aj závažnosti do dvoch skupín. Každá skupina má svoje rozhranie, v rámci ktorého je možné ukladať pokuty s prihliadnutím </w:t>
      </w:r>
      <w:r w:rsidRPr="00CA4DCD">
        <w:t xml:space="preserve">na závažnosť, spôsob, čas trvania a následky porušenia povinností. </w:t>
      </w:r>
    </w:p>
    <w:p w:rsidR="00F873A0" w:rsidRPr="00F873A0" w:rsidP="00F873A0">
      <w:pPr>
        <w:pStyle w:val="ListParagraph"/>
        <w:ind w:left="2124"/>
        <w:rPr>
          <w:rFonts w:ascii="Arial" w:hAnsi="Arial" w:cs="Arial"/>
        </w:rPr>
      </w:pPr>
    </w:p>
    <w:p w:rsidR="00F873A0" w:rsidRPr="00F873A0" w:rsidP="00F873A0">
      <w:pPr>
        <w:ind w:left="2410"/>
        <w:jc w:val="both"/>
        <w:rPr>
          <w:b/>
        </w:rPr>
      </w:pPr>
      <w:r w:rsidRPr="00F873A0">
        <w:rPr>
          <w:b/>
        </w:rPr>
        <w:t>Výbor NR SR pre hospodárstvo, výstavbu a dopravu</w:t>
      </w:r>
    </w:p>
    <w:p w:rsidR="00F873A0" w:rsidRPr="00F873A0" w:rsidP="00F873A0">
      <w:pPr>
        <w:ind w:left="2410"/>
        <w:rPr>
          <w:b/>
          <w:i/>
          <w:iCs/>
        </w:rPr>
      </w:pPr>
    </w:p>
    <w:p w:rsidR="00F873A0" w:rsidRPr="00F873A0" w:rsidP="00F873A0">
      <w:pPr>
        <w:ind w:left="2410"/>
        <w:rPr>
          <w:b/>
          <w:i/>
          <w:iCs/>
        </w:rPr>
      </w:pPr>
      <w:r w:rsidRPr="00F873A0">
        <w:rPr>
          <w:b/>
          <w:i/>
          <w:iCs/>
        </w:rPr>
        <w:t>Gestorský výbor odporúča schváliť</w:t>
      </w:r>
    </w:p>
    <w:p w:rsidR="009A20F7" w:rsidRPr="00CA4DCD" w:rsidP="009A20F7">
      <w:pPr>
        <w:keepNext/>
        <w:keepLines/>
        <w:jc w:val="both"/>
      </w:pPr>
    </w:p>
    <w:p w:rsidR="009A20F7" w:rsidRPr="00CA4DCD" w:rsidP="00147E97">
      <w:pPr>
        <w:pStyle w:val="ListParagraph"/>
        <w:keepNext/>
        <w:keepLines/>
        <w:numPr>
          <w:ilvl w:val="0"/>
          <w:numId w:val="3"/>
        </w:numPr>
        <w:tabs>
          <w:tab w:val="left" w:pos="720"/>
        </w:tabs>
        <w:jc w:val="both"/>
        <w:rPr>
          <w:rFonts w:ascii="Arial" w:hAnsi="Arial" w:cs="Arial"/>
          <w:u w:val="single"/>
        </w:rPr>
      </w:pPr>
      <w:r w:rsidRPr="00CA4DCD">
        <w:rPr>
          <w:rFonts w:ascii="Arial" w:hAnsi="Arial" w:cs="Arial"/>
          <w:u w:val="single"/>
        </w:rPr>
        <w:t xml:space="preserve">§ 21 vrátane nadpisu znie: </w:t>
      </w:r>
    </w:p>
    <w:p w:rsidR="009A20F7" w:rsidRPr="00CA4DCD" w:rsidP="009A20F7">
      <w:pPr>
        <w:pStyle w:val="Heading2"/>
        <w:rPr>
          <w:i/>
          <w:iCs/>
        </w:rPr>
      </w:pPr>
    </w:p>
    <w:p w:rsidR="009A20F7" w:rsidRPr="00CA4DCD" w:rsidP="009A20F7">
      <w:pPr>
        <w:pStyle w:val="Heading1"/>
        <w:jc w:val="center"/>
        <w:rPr>
          <w:b/>
        </w:rPr>
      </w:pPr>
      <w:r w:rsidRPr="00CA4DCD">
        <w:rPr>
          <w:b/>
        </w:rPr>
        <w:t>„§ 21</w:t>
      </w:r>
    </w:p>
    <w:p w:rsidR="009A20F7" w:rsidP="009A20F7">
      <w:pPr>
        <w:pStyle w:val="Heading1"/>
        <w:jc w:val="center"/>
        <w:rPr>
          <w:b/>
        </w:rPr>
      </w:pPr>
      <w:r w:rsidRPr="00CA4DCD">
        <w:rPr>
          <w:b/>
        </w:rPr>
        <w:t>Iné správne delikty</w:t>
      </w:r>
    </w:p>
    <w:p w:rsidR="009A20F7" w:rsidRPr="00CA4DCD" w:rsidP="009A20F7"/>
    <w:p w:rsidR="009A20F7" w:rsidRPr="00CA4DCD" w:rsidP="00147E97">
      <w:pPr>
        <w:numPr>
          <w:ilvl w:val="0"/>
          <w:numId w:val="6"/>
        </w:numPr>
        <w:tabs>
          <w:tab w:val="left" w:pos="720"/>
          <w:tab w:val="clear" w:pos="900"/>
        </w:tabs>
        <w:adjustRightInd/>
        <w:ind w:left="720" w:hanging="720"/>
        <w:jc w:val="both"/>
      </w:pPr>
      <w:r w:rsidRPr="00CA4DCD">
        <w:rPr>
          <w:color w:val="000000"/>
        </w:rPr>
        <w:t xml:space="preserve">Orgán dohľadu nad trhom uloží pokutu od 500 eur do 33 000 eur </w:t>
      </w:r>
      <w:r w:rsidRPr="00CA4DCD">
        <w:t xml:space="preserve">právnickej osobe alebo fyzickej osobe podnikateľovi, ktorá </w:t>
      </w:r>
    </w:p>
    <w:p w:rsidR="009A20F7" w:rsidRPr="00CA4DCD" w:rsidP="00147E97">
      <w:pPr>
        <w:numPr>
          <w:ilvl w:val="1"/>
          <w:numId w:val="4"/>
        </w:numPr>
        <w:tabs>
          <w:tab w:val="left" w:pos="720"/>
          <w:tab w:val="clear" w:pos="1080"/>
        </w:tabs>
        <w:adjustRightInd/>
        <w:ind w:left="720" w:hanging="720"/>
        <w:jc w:val="both"/>
        <w:rPr>
          <w:color w:val="000000"/>
        </w:rPr>
      </w:pPr>
      <w:r w:rsidRPr="00CA4DCD">
        <w:rPr>
          <w:color w:val="000000"/>
        </w:rPr>
        <w:t>poruší povinnosť podľa § 4 písm. g), § 5 ods. 2 písm. a) alebo písm. b), § 6 písm. d) alebo písm. j), § 7 písm. h), § 8 ods. 2 písm. e), § 9 ods. 2 písm. b) alebo písm. c) alebo § 13 ods. 2, ods. 4 alebo ods. 7,</w:t>
      </w:r>
    </w:p>
    <w:p w:rsidR="009A20F7" w:rsidRPr="00CA4DCD" w:rsidP="00147E97">
      <w:pPr>
        <w:numPr>
          <w:ilvl w:val="1"/>
          <w:numId w:val="4"/>
        </w:numPr>
        <w:tabs>
          <w:tab w:val="left" w:pos="720"/>
          <w:tab w:val="clear" w:pos="1080"/>
        </w:tabs>
        <w:adjustRightInd/>
        <w:ind w:left="720" w:hanging="720"/>
        <w:jc w:val="both"/>
        <w:rPr>
          <w:color w:val="000000"/>
        </w:rPr>
      </w:pPr>
      <w:r w:rsidRPr="00CA4DCD">
        <w:rPr>
          <w:color w:val="000000"/>
        </w:rPr>
        <w:t xml:space="preserve">neoprávnene alebo klamlivo použije označenie </w:t>
      </w:r>
      <w:r w:rsidRPr="00CA4DCD">
        <w:t>π</w:t>
      </w:r>
      <w:r w:rsidRPr="00CA4DCD">
        <w:rPr>
          <w:color w:val="000000"/>
        </w:rPr>
        <w:t xml:space="preserve"> alebo</w:t>
      </w:r>
    </w:p>
    <w:p w:rsidR="009A20F7" w:rsidRPr="00CA4DCD" w:rsidP="00147E97">
      <w:pPr>
        <w:numPr>
          <w:ilvl w:val="1"/>
          <w:numId w:val="4"/>
        </w:numPr>
        <w:tabs>
          <w:tab w:val="left" w:pos="720"/>
          <w:tab w:val="clear" w:pos="1080"/>
        </w:tabs>
        <w:adjustRightInd/>
        <w:ind w:left="720" w:hanging="720"/>
        <w:jc w:val="both"/>
        <w:rPr>
          <w:color w:val="000000"/>
        </w:rPr>
      </w:pPr>
      <w:r w:rsidRPr="00CA4DCD">
        <w:rPr>
          <w:color w:val="000000"/>
        </w:rPr>
        <w:t xml:space="preserve">uvedie na trh alebo sprístupní na trhu zariadenie bez označenia </w:t>
      </w:r>
      <w:r w:rsidRPr="00CA4DCD">
        <w:t>π</w:t>
      </w:r>
      <w:r w:rsidRPr="00CA4DCD">
        <w:rPr>
          <w:color w:val="000000"/>
        </w:rPr>
        <w:t>.</w:t>
      </w:r>
    </w:p>
    <w:p w:rsidR="009A20F7" w:rsidRPr="00CA4DCD" w:rsidP="00147E97">
      <w:pPr>
        <w:numPr>
          <w:ilvl w:val="0"/>
          <w:numId w:val="6"/>
        </w:numPr>
        <w:tabs>
          <w:tab w:val="left" w:pos="720"/>
          <w:tab w:val="clear" w:pos="900"/>
        </w:tabs>
        <w:adjustRightInd/>
        <w:ind w:left="720" w:hanging="720"/>
        <w:jc w:val="both"/>
      </w:pPr>
      <w:r w:rsidRPr="00CA4DCD">
        <w:rPr>
          <w:color w:val="000000"/>
        </w:rPr>
        <w:t xml:space="preserve">Orgán dohľadu nad trhom uloží pokutu od 500 eur do 70 000 eur </w:t>
      </w:r>
      <w:r w:rsidRPr="00CA4DCD">
        <w:t xml:space="preserve">právnickej osobe alebo fyzickej osobe podnikateľovi, ktorá </w:t>
      </w:r>
    </w:p>
    <w:p w:rsidR="009A20F7" w:rsidRPr="00CA4DCD" w:rsidP="00147E97">
      <w:pPr>
        <w:pStyle w:val="ListParagraph"/>
        <w:keepNext/>
        <w:keepLines/>
        <w:numPr>
          <w:ilvl w:val="0"/>
          <w:numId w:val="7"/>
        </w:numPr>
        <w:jc w:val="both"/>
        <w:rPr>
          <w:rFonts w:ascii="Arial" w:hAnsi="Arial" w:cs="Arial"/>
          <w:color w:val="000000"/>
        </w:rPr>
      </w:pPr>
      <w:r w:rsidRPr="00CA4DCD">
        <w:rPr>
          <w:rFonts w:ascii="Arial" w:hAnsi="Arial" w:cs="Arial"/>
        </w:rPr>
        <w:t>použije označenie π</w:t>
      </w:r>
      <w:r w:rsidRPr="00CA4DCD">
        <w:rPr>
          <w:rFonts w:ascii="Arial" w:hAnsi="Arial" w:cs="Arial"/>
          <w:color w:val="000000"/>
        </w:rPr>
        <w:t xml:space="preserve"> na označenie iného výrobku ako zariadenia podľa § 3 písm. a) alebo</w:t>
      </w:r>
    </w:p>
    <w:p w:rsidR="009A20F7" w:rsidRPr="00CA4DCD" w:rsidP="00147E97">
      <w:pPr>
        <w:numPr>
          <w:ilvl w:val="0"/>
          <w:numId w:val="7"/>
        </w:numPr>
        <w:adjustRightInd/>
        <w:jc w:val="both"/>
      </w:pPr>
      <w:r w:rsidRPr="00CA4DCD">
        <w:t>poruší povinnosť podľa § 4 písm. e) alebo písm. f), § 6 písm. e), g) až i), § 7 písm. d), písm. f) alebo písm. g), § 8 ods. 2 písm. a), písm. c) alebo písm. d) alebo § 13 ods. 1.</w:t>
      </w:r>
    </w:p>
    <w:p w:rsidR="009A20F7" w:rsidRPr="00CA4DCD" w:rsidP="00147E97">
      <w:pPr>
        <w:numPr>
          <w:ilvl w:val="0"/>
          <w:numId w:val="6"/>
        </w:numPr>
        <w:tabs>
          <w:tab w:val="left" w:pos="720"/>
          <w:tab w:val="clear" w:pos="900"/>
        </w:tabs>
        <w:adjustRightInd/>
        <w:ind w:left="720" w:hanging="720"/>
        <w:jc w:val="both"/>
      </w:pPr>
      <w:r w:rsidRPr="00CA4DCD">
        <w:rPr>
          <w:color w:val="000000"/>
        </w:rPr>
        <w:t xml:space="preserve">Orgán dohľadu nad trhom uloží pokutu od 1 500 eur do 110 000 eur </w:t>
      </w:r>
      <w:r w:rsidRPr="00CA4DCD">
        <w:t>právnickej osobe alebo fyzickej osobe podnikateľovi, ktorá poruší povinnosť podľa § 4 písm. a) až d), § 6 písm. a) až písm. c) alebo písm. f), § 7 písm. a) až písm. c) alebo písm. e), § 8 ods. 2 písm. b) alebo § 9 ods. 2 písm. a).</w:t>
      </w:r>
    </w:p>
    <w:p w:rsidR="009A20F7" w:rsidRPr="00CA4DCD" w:rsidP="00147E97">
      <w:pPr>
        <w:numPr>
          <w:ilvl w:val="0"/>
          <w:numId w:val="6"/>
        </w:numPr>
        <w:tabs>
          <w:tab w:val="left" w:pos="720"/>
          <w:tab w:val="clear" w:pos="900"/>
        </w:tabs>
        <w:adjustRightInd/>
        <w:ind w:left="720" w:hanging="720"/>
        <w:jc w:val="both"/>
      </w:pPr>
      <w:r w:rsidRPr="00CA4DCD">
        <w:rPr>
          <w:color w:val="000000"/>
        </w:rPr>
        <w:t xml:space="preserve">Orgán dohľadu nad trhom uloží pokutu od 20 000 eur do 150 000 eur </w:t>
      </w:r>
      <w:r w:rsidRPr="00CA4DCD">
        <w:t>právnickej osobe alebo fyzickej osobe podnikateľovi, ktorá poruší povinnosť podľa § 18 ods. 2 alebo ods. 12.</w:t>
      </w:r>
    </w:p>
    <w:p w:rsidR="009A20F7" w:rsidRPr="00CA4DCD" w:rsidP="00147E97">
      <w:pPr>
        <w:numPr>
          <w:ilvl w:val="0"/>
          <w:numId w:val="6"/>
        </w:numPr>
        <w:tabs>
          <w:tab w:val="left" w:pos="720"/>
          <w:tab w:val="clear" w:pos="900"/>
        </w:tabs>
        <w:adjustRightInd/>
        <w:ind w:left="720" w:hanging="720"/>
        <w:jc w:val="both"/>
        <w:rPr>
          <w:color w:val="000000"/>
        </w:rPr>
      </w:pPr>
      <w:r w:rsidRPr="00CA4DCD">
        <w:rPr>
          <w:color w:val="000000"/>
        </w:rPr>
        <w:t>Úrad uloží pokutu od 150 do 35 000 eur právnickej osobe alebo fyzickej osobe podnikateľovi, ktorá</w:t>
      </w:r>
    </w:p>
    <w:p w:rsidR="009A20F7" w:rsidRPr="00CA4DCD" w:rsidP="00147E97">
      <w:pPr>
        <w:numPr>
          <w:ilvl w:val="0"/>
          <w:numId w:val="5"/>
        </w:numPr>
        <w:tabs>
          <w:tab w:val="clear" w:pos="720"/>
        </w:tabs>
        <w:adjustRightInd/>
        <w:ind w:hanging="720"/>
        <w:jc w:val="both"/>
        <w:rPr>
          <w:color w:val="000000"/>
        </w:rPr>
      </w:pPr>
      <w:r w:rsidRPr="00CA4DCD">
        <w:rPr>
          <w:color w:val="000000"/>
        </w:rPr>
        <w:t xml:space="preserve">neoprávnene </w:t>
      </w:r>
      <w:r w:rsidRPr="00CA4DCD">
        <w:t>koná nad rozsah notifikácie</w:t>
      </w:r>
      <w:r w:rsidRPr="00CA4DCD">
        <w:rPr>
          <w:color w:val="000000"/>
        </w:rPr>
        <w:t>,</w:t>
      </w:r>
    </w:p>
    <w:p w:rsidR="009A20F7" w:rsidRPr="00CA4DCD" w:rsidP="00147E97">
      <w:pPr>
        <w:numPr>
          <w:ilvl w:val="0"/>
          <w:numId w:val="5"/>
        </w:numPr>
        <w:tabs>
          <w:tab w:val="clear" w:pos="720"/>
        </w:tabs>
        <w:adjustRightInd/>
        <w:ind w:hanging="720"/>
        <w:jc w:val="both"/>
        <w:rPr>
          <w:color w:val="000000"/>
        </w:rPr>
      </w:pPr>
      <w:r w:rsidRPr="00CA4DCD">
        <w:rPr>
          <w:color w:val="000000"/>
        </w:rPr>
        <w:t>neoprávnene vydá, pozmení alebo sfalšuje dokument vydaný na účely posudzovania zhody.</w:t>
      </w:r>
    </w:p>
    <w:p w:rsidR="009A20F7" w:rsidRPr="00CA4DCD" w:rsidP="00147E97">
      <w:pPr>
        <w:numPr>
          <w:ilvl w:val="0"/>
          <w:numId w:val="6"/>
        </w:numPr>
        <w:tabs>
          <w:tab w:val="left" w:pos="720"/>
          <w:tab w:val="clear" w:pos="900"/>
        </w:tabs>
        <w:adjustRightInd/>
        <w:ind w:left="720" w:hanging="720"/>
        <w:jc w:val="both"/>
        <w:rPr>
          <w:color w:val="000000"/>
        </w:rPr>
      </w:pPr>
      <w:r w:rsidRPr="00CA4DCD">
        <w:rPr>
          <w:color w:val="000000"/>
        </w:rPr>
        <w:t>Úrad uloží pokutu od 100 do 10 000 eur notifikovanej osobe, ktorá porušila povinnosť podľa § 16 ods. 2 písm. k) druhého bodu.</w:t>
      </w:r>
    </w:p>
    <w:p w:rsidR="009A20F7" w:rsidRPr="00CA4DCD" w:rsidP="00147E97">
      <w:pPr>
        <w:numPr>
          <w:ilvl w:val="0"/>
          <w:numId w:val="6"/>
        </w:numPr>
        <w:tabs>
          <w:tab w:val="left" w:pos="720"/>
          <w:tab w:val="clear" w:pos="900"/>
        </w:tabs>
        <w:adjustRightInd/>
        <w:ind w:left="720" w:hanging="720"/>
        <w:jc w:val="both"/>
        <w:rPr>
          <w:color w:val="000000"/>
        </w:rPr>
      </w:pPr>
      <w:r w:rsidRPr="00CA4DCD">
        <w:rPr>
          <w:color w:val="000000"/>
        </w:rPr>
        <w:t>Konanie o uložení pokuty možno začať do dvoch rokov odo dňa, keď úrad alebo orgán dohľadu nad trhom zistil porušenie povinnosti, najneskôr však do troch rokov odo dňa, keď k porušeniu povinnosti došlo.</w:t>
      </w:r>
    </w:p>
    <w:p w:rsidR="009A20F7" w:rsidRPr="00CA4DCD" w:rsidP="00147E97">
      <w:pPr>
        <w:numPr>
          <w:ilvl w:val="0"/>
          <w:numId w:val="6"/>
        </w:numPr>
        <w:tabs>
          <w:tab w:val="left" w:pos="720"/>
          <w:tab w:val="clear" w:pos="900"/>
        </w:tabs>
        <w:adjustRightInd/>
        <w:ind w:left="720" w:hanging="720"/>
        <w:jc w:val="both"/>
        <w:rPr>
          <w:color w:val="000000"/>
        </w:rPr>
      </w:pPr>
      <w:r w:rsidRPr="00CA4DCD">
        <w:rPr>
          <w:color w:val="000000"/>
        </w:rPr>
        <w:t>Pri ukladaní pokuty sa prihliada na závažnosť, spôsob, čas trvania a následky protiprávneho konania.</w:t>
      </w:r>
    </w:p>
    <w:p w:rsidR="009A20F7" w:rsidRPr="00CA4DCD" w:rsidP="00147E97">
      <w:pPr>
        <w:numPr>
          <w:ilvl w:val="0"/>
          <w:numId w:val="6"/>
        </w:numPr>
        <w:tabs>
          <w:tab w:val="left" w:pos="720"/>
          <w:tab w:val="clear" w:pos="900"/>
        </w:tabs>
        <w:adjustRightInd/>
        <w:ind w:left="720" w:hanging="720"/>
        <w:jc w:val="both"/>
        <w:rPr>
          <w:color w:val="000000"/>
        </w:rPr>
      </w:pPr>
      <w:r w:rsidRPr="00CA4DCD">
        <w:rPr>
          <w:color w:val="000000"/>
        </w:rPr>
        <w:t xml:space="preserve">Pri opakovanom porušení povinnosti podľa odsekov 1 až 6 orgán dohľadu </w:t>
      </w:r>
      <w:r w:rsidRPr="00CA4DCD">
        <w:t xml:space="preserve">nad trhom alebo úrad </w:t>
      </w:r>
      <w:r w:rsidRPr="00CA4DCD">
        <w:rPr>
          <w:color w:val="000000"/>
        </w:rPr>
        <w:t>môže uložiť pokutu do výšky dvojnásobku hornej hranice pokuty podľa odsekov 1 až 6.</w:t>
      </w:r>
    </w:p>
    <w:p w:rsidR="009A20F7" w:rsidRPr="00CA4DCD" w:rsidP="00147E97">
      <w:pPr>
        <w:numPr>
          <w:ilvl w:val="0"/>
          <w:numId w:val="6"/>
        </w:numPr>
        <w:tabs>
          <w:tab w:val="left" w:pos="720"/>
          <w:tab w:val="clear" w:pos="900"/>
        </w:tabs>
        <w:adjustRightInd/>
        <w:ind w:left="720" w:hanging="720"/>
        <w:jc w:val="both"/>
        <w:rPr>
          <w:color w:val="000000"/>
        </w:rPr>
      </w:pPr>
      <w:r w:rsidRPr="00CA4DCD">
        <w:rPr>
          <w:color w:val="000000"/>
        </w:rPr>
        <w:t>Výnos</w:t>
      </w:r>
      <w:r w:rsidRPr="00CA4DCD">
        <w:t> pokút je príjmom štátneho rozpočtu.“.</w:t>
      </w:r>
    </w:p>
    <w:p w:rsidR="009A20F7" w:rsidRPr="00CA4DCD" w:rsidP="009A20F7">
      <w:pPr>
        <w:jc w:val="both"/>
        <w:rPr>
          <w:color w:val="000000"/>
        </w:rPr>
      </w:pPr>
    </w:p>
    <w:p w:rsidR="009A20F7" w:rsidRPr="00CA4DCD" w:rsidP="009A20F7">
      <w:pPr>
        <w:jc w:val="both"/>
        <w:rPr>
          <w:b/>
          <w:color w:val="000000"/>
        </w:rPr>
      </w:pPr>
    </w:p>
    <w:p w:rsidR="009A20F7" w:rsidRPr="00CA4DCD" w:rsidP="009A20F7">
      <w:pPr>
        <w:ind w:left="2340"/>
        <w:jc w:val="both"/>
        <w:rPr>
          <w:color w:val="000000"/>
        </w:rPr>
      </w:pPr>
      <w:r w:rsidRPr="00CA4DCD">
        <w:rPr>
          <w:color w:val="000000"/>
        </w:rPr>
        <w:t xml:space="preserve">V novom znení ustanovenia upravujúcom výšku pokút sa precizovali minimá a maximá súm pokút, ktoré môžu byť uložené úradom alebo orgánom dohľadu nad trhom za porušenia jednotlivých ustanovení zákona. Podľa odsekov 5 až 7 sankcionuje porušenie povinností úrad, pričom v týchto odsekoch sa ustanovila spodná hranica pokuty. Pri určovaní spodnej a hornej hranice pokuty sa vychádzalo z charakteru povinnosti a možného následku vzniknutého jej porušením. </w:t>
      </w:r>
    </w:p>
    <w:p w:rsidR="009A20F7" w:rsidRPr="00CA4DCD" w:rsidP="009A20F7">
      <w:pPr>
        <w:ind w:left="2340"/>
        <w:jc w:val="both"/>
      </w:pPr>
      <w:r w:rsidRPr="00CA4DCD">
        <w:rPr>
          <w:color w:val="000000"/>
        </w:rPr>
        <w:t>Porušenie povinností, ktoré sankcionuje orgán dohľadu nad trhom (odseky 1 až 5) sú rozdelené do piatich skupín, pričom rozdelenie jednotlivých povinností do piatich skupín a určenie spodnej a hornej hranice pokút sa odvíja od charakteru povinnosti a možného následku porušenia povinnosti. Najvyššou sumou je sankcionované porušenie povinnosti spočívajúcej v tom, keď príslušný hospodársky subjekt nesplní povinnosť uloženú orgánom dohľadu nad trhom a orgán dohľadu nad trhom musí príslušné opatrenie vykonať sám. Nesplnenie si tejto povinnosti (vykonanie opatrenia uloženého orgánom dohľadu nad trhom) je chápané ako najzávažnejšie, nakoľko je znakom nerešpektovania povinnosti uloženej orgánom dohľadu nad trhom a zvyšuje už tak hroziace riziko ohrozenia života, zdravia alebo majetku.</w:t>
      </w:r>
    </w:p>
    <w:p w:rsidR="00B1484A" w:rsidP="00B1484A">
      <w:pPr>
        <w:jc w:val="both"/>
      </w:pPr>
    </w:p>
    <w:p w:rsidR="00F873A0" w:rsidRPr="00F873A0" w:rsidP="00F873A0">
      <w:pPr>
        <w:ind w:left="2410"/>
        <w:jc w:val="both"/>
        <w:rPr>
          <w:b/>
        </w:rPr>
      </w:pPr>
      <w:r w:rsidRPr="00F873A0">
        <w:rPr>
          <w:b/>
        </w:rPr>
        <w:t>Výbor NR SR pre hospodárstvo, výstavbu a dopravu</w:t>
      </w:r>
    </w:p>
    <w:p w:rsidR="00F873A0" w:rsidRPr="00F873A0" w:rsidP="00F873A0">
      <w:pPr>
        <w:ind w:left="2410"/>
        <w:rPr>
          <w:b/>
          <w:i/>
          <w:iCs/>
        </w:rPr>
      </w:pPr>
    </w:p>
    <w:p w:rsidR="00F873A0" w:rsidRPr="00F873A0" w:rsidP="00F873A0">
      <w:pPr>
        <w:ind w:left="2410"/>
        <w:rPr>
          <w:b/>
          <w:i/>
          <w:iCs/>
        </w:rPr>
      </w:pPr>
      <w:r w:rsidRPr="00F873A0">
        <w:rPr>
          <w:b/>
          <w:i/>
          <w:iCs/>
        </w:rPr>
        <w:t>Gestorský výbor odporúča schváliť</w:t>
      </w:r>
    </w:p>
    <w:p w:rsidR="00B1484A" w:rsidRPr="00464E71" w:rsidP="00B1484A">
      <w:pPr>
        <w:jc w:val="both"/>
      </w:pPr>
    </w:p>
    <w:p w:rsidR="00F87BA4" w:rsidRPr="00074BC5" w:rsidP="00F87BA4">
      <w:pPr>
        <w:ind w:firstLine="567"/>
        <w:jc w:val="both"/>
      </w:pPr>
      <w:r w:rsidRPr="00074BC5">
        <w:t>Gestorský výbor odporúča hlasovať o pozmeňujúcich a doplňujúcich návrhoch nasledovne:</w:t>
      </w:r>
    </w:p>
    <w:p w:rsidR="00F87BA4" w:rsidRPr="009F0E19" w:rsidP="00F87BA4">
      <w:pPr>
        <w:tabs>
          <w:tab w:val="left" w:pos="7200"/>
        </w:tabs>
        <w:jc w:val="both"/>
        <w:rPr>
          <w:b/>
        </w:rPr>
      </w:pPr>
      <w:r w:rsidR="00B1484A">
        <w:rPr>
          <w:b/>
          <w:bCs/>
        </w:rPr>
        <w:t>o bodoch 1</w:t>
      </w:r>
      <w:r w:rsidR="009A20F7">
        <w:rPr>
          <w:b/>
          <w:bCs/>
        </w:rPr>
        <w:t xml:space="preserve"> </w:t>
      </w:r>
      <w:r w:rsidR="00B1484A">
        <w:rPr>
          <w:b/>
          <w:bCs/>
        </w:rPr>
        <w:t>a</w:t>
      </w:r>
      <w:r w:rsidR="009A20F7">
        <w:rPr>
          <w:b/>
          <w:bCs/>
        </w:rPr>
        <w:t>ž</w:t>
      </w:r>
      <w:r w:rsidR="00B1484A">
        <w:rPr>
          <w:b/>
          <w:bCs/>
        </w:rPr>
        <w:t xml:space="preserve"> </w:t>
      </w:r>
      <w:r w:rsidR="009A20F7">
        <w:rPr>
          <w:b/>
          <w:bCs/>
        </w:rPr>
        <w:t>7</w:t>
      </w:r>
      <w:r w:rsidRPr="009F0E19">
        <w:rPr>
          <w:b/>
          <w:bCs/>
        </w:rPr>
        <w:t xml:space="preserve"> </w:t>
      </w:r>
      <w:r w:rsidRPr="009F0E19">
        <w:t xml:space="preserve">hlasovať spoločne  s odporúčaním  </w:t>
      </w:r>
      <w:r w:rsidRPr="009F0E19">
        <w:rPr>
          <w:b/>
        </w:rPr>
        <w:t>s c h v á l i ť.</w:t>
      </w:r>
    </w:p>
    <w:p w:rsidR="00E153C6" w:rsidP="00C51C57">
      <w:pPr>
        <w:jc w:val="center"/>
        <w:rPr>
          <w:b/>
          <w:bCs/>
        </w:rPr>
      </w:pPr>
    </w:p>
    <w:p w:rsidR="000C3652" w:rsidRPr="00074BC5" w:rsidP="00C51C57">
      <w:pPr>
        <w:jc w:val="center"/>
        <w:rPr>
          <w:b/>
          <w:bCs/>
        </w:rPr>
      </w:pPr>
      <w:r w:rsidRPr="00074BC5">
        <w:rPr>
          <w:b/>
          <w:bCs/>
        </w:rPr>
        <w:t>V.</w:t>
      </w:r>
    </w:p>
    <w:p w:rsidR="00CA7C7E" w:rsidRPr="00074BC5" w:rsidP="00C51C57">
      <w:pPr>
        <w:jc w:val="center"/>
        <w:rPr>
          <w:b/>
          <w:bCs/>
        </w:rPr>
      </w:pPr>
    </w:p>
    <w:p w:rsidR="00D91485" w:rsidRPr="00074BC5" w:rsidP="00C51C57">
      <w:pPr>
        <w:ind w:firstLine="540"/>
        <w:jc w:val="both"/>
      </w:pPr>
      <w:r w:rsidRPr="00074BC5" w:rsidR="000C3652">
        <w:t>Gestorský výbor na základe stanovísk výborov</w:t>
      </w:r>
      <w:r w:rsidR="00065871">
        <w:t xml:space="preserve"> k predmetnému návrhu zákona</w:t>
      </w:r>
      <w:r w:rsidRPr="00074BC5" w:rsidR="000C3652">
        <w:t xml:space="preserve"> </w:t>
      </w:r>
      <w:r w:rsidRPr="00074BC5">
        <w:t>vyjadrených v ich uzneseniach uvedených pod bodom III tejto správy a</w:t>
      </w:r>
      <w:r w:rsidR="00065871">
        <w:t xml:space="preserve"> v </w:t>
      </w:r>
      <w:r w:rsidRPr="00074BC5">
        <w:t>stanov</w:t>
      </w:r>
      <w:r w:rsidR="00065871">
        <w:t>i</w:t>
      </w:r>
      <w:r w:rsidRPr="00074BC5">
        <w:t>sk</w:t>
      </w:r>
      <w:r w:rsidR="00065871">
        <w:t>ách</w:t>
      </w:r>
      <w:r w:rsidRPr="00074BC5">
        <w:t xml:space="preserve"> poslancov gestorského výboru vyjadrených v rozprave k tomuto návrhu zákona</w:t>
      </w:r>
      <w:r w:rsidR="00065871">
        <w:t xml:space="preserve"> </w:t>
      </w:r>
    </w:p>
    <w:p w:rsidR="000C3652" w:rsidRPr="00074BC5" w:rsidP="00C51C57">
      <w:pPr>
        <w:ind w:firstLine="540"/>
        <w:jc w:val="both"/>
      </w:pPr>
    </w:p>
    <w:p w:rsidR="000C3652" w:rsidRPr="00074BC5" w:rsidP="00C51C57">
      <w:pPr>
        <w:ind w:firstLine="540"/>
        <w:jc w:val="both"/>
        <w:rPr>
          <w:b/>
          <w:bCs/>
        </w:rPr>
      </w:pPr>
      <w:r w:rsidRPr="00074BC5">
        <w:rPr>
          <w:b/>
          <w:bCs/>
        </w:rPr>
        <w:t>odporúča Národnej rade Slovenskej republiky</w:t>
      </w:r>
    </w:p>
    <w:p w:rsidR="000C3652" w:rsidRPr="00074BC5" w:rsidP="00C51C57">
      <w:pPr>
        <w:ind w:firstLine="540"/>
        <w:jc w:val="both"/>
        <w:rPr>
          <w:b/>
          <w:bCs/>
          <w:u w:val="single"/>
        </w:rPr>
      </w:pPr>
    </w:p>
    <w:p w:rsidR="00B71A0B" w:rsidRPr="00074BC5" w:rsidP="00C51C57">
      <w:pPr>
        <w:ind w:firstLine="540"/>
        <w:jc w:val="both"/>
      </w:pPr>
      <w:r w:rsidRPr="00074BC5" w:rsidR="000C3652">
        <w:t xml:space="preserve">vládny </w:t>
      </w:r>
      <w:r w:rsidRPr="00050568" w:rsidR="00AF4654">
        <w:t>návrh</w:t>
      </w:r>
      <w:r w:rsidRPr="00106567" w:rsidR="00AF4654">
        <w:t xml:space="preserve"> </w:t>
      </w:r>
      <w:r w:rsidRPr="003B733D" w:rsidR="009A20F7">
        <w:t>zákona o prepravovateľných tlakových zariadeniach a o zmene a doplnení niektorých zákonov</w:t>
      </w:r>
      <w:r w:rsidRPr="003B733D" w:rsidR="009A20F7">
        <w:rPr>
          <w:bCs/>
        </w:rPr>
        <w:t xml:space="preserve">  </w:t>
      </w:r>
      <w:r w:rsidRPr="00F87BA4" w:rsidR="00F87BA4">
        <w:rPr>
          <w:rStyle w:val="Textzstupnhosymbolu"/>
          <w:rFonts w:ascii="Arial" w:hAnsi="Arial"/>
          <w:color w:val="auto"/>
        </w:rPr>
        <w:t xml:space="preserve"> </w:t>
      </w:r>
      <w:r w:rsidRPr="00F87BA4" w:rsidR="00F87BA4">
        <w:rPr>
          <w:bCs/>
        </w:rPr>
        <w:t xml:space="preserve">  </w:t>
      </w:r>
      <w:r w:rsidRPr="00F05CD0" w:rsidR="00F87BA4">
        <w:t xml:space="preserve"> </w:t>
      </w:r>
      <w:r w:rsidRPr="00074BC5" w:rsidR="00AD7403">
        <w:t xml:space="preserve"> </w:t>
      </w:r>
    </w:p>
    <w:p w:rsidR="00CD0504" w:rsidRPr="00074BC5" w:rsidP="00C51C57">
      <w:pPr>
        <w:ind w:firstLine="540"/>
        <w:jc w:val="both"/>
      </w:pPr>
    </w:p>
    <w:p w:rsidR="00F7638F" w:rsidRPr="00015611" w:rsidP="00C51C57">
      <w:pPr>
        <w:ind w:firstLine="540"/>
        <w:jc w:val="both"/>
        <w:rPr>
          <w:b/>
          <w:bCs/>
        </w:rPr>
      </w:pPr>
      <w:r w:rsidRPr="00015611" w:rsidR="000C3652">
        <w:rPr>
          <w:b/>
          <w:bCs/>
        </w:rPr>
        <w:t>s c h v á l i</w:t>
      </w:r>
      <w:r w:rsidRPr="00015611" w:rsidR="00D91485">
        <w:rPr>
          <w:b/>
          <w:bCs/>
        </w:rPr>
        <w:t> </w:t>
      </w:r>
      <w:r w:rsidRPr="00015611" w:rsidR="000C3652">
        <w:rPr>
          <w:b/>
          <w:bCs/>
        </w:rPr>
        <w:t>ť</w:t>
      </w:r>
      <w:r w:rsidRPr="00015611">
        <w:rPr>
          <w:b/>
          <w:bCs/>
        </w:rPr>
        <w:t xml:space="preserve">  v </w:t>
      </w:r>
      <w:r w:rsidRPr="00015611">
        <w:rPr>
          <w:bCs/>
        </w:rPr>
        <w:t>znení schválen</w:t>
      </w:r>
      <w:r w:rsidR="00F87BA4">
        <w:rPr>
          <w:bCs/>
        </w:rPr>
        <w:t>ých</w:t>
      </w:r>
      <w:r w:rsidRPr="00015611">
        <w:rPr>
          <w:bCs/>
        </w:rPr>
        <w:t xml:space="preserve"> pozmeňujúc</w:t>
      </w:r>
      <w:r w:rsidR="00F87BA4">
        <w:rPr>
          <w:bCs/>
        </w:rPr>
        <w:t>ich</w:t>
      </w:r>
      <w:r w:rsidRPr="00015611">
        <w:rPr>
          <w:bCs/>
        </w:rPr>
        <w:t xml:space="preserve"> návrh</w:t>
      </w:r>
      <w:r w:rsidR="00F87BA4">
        <w:rPr>
          <w:bCs/>
        </w:rPr>
        <w:t>ov</w:t>
      </w:r>
      <w:r w:rsidR="003B1512">
        <w:rPr>
          <w:bCs/>
        </w:rPr>
        <w:t xml:space="preserve"> uveden</w:t>
      </w:r>
      <w:r w:rsidR="00F87BA4">
        <w:rPr>
          <w:bCs/>
        </w:rPr>
        <w:t>ých</w:t>
      </w:r>
      <w:r w:rsidRPr="00015611">
        <w:rPr>
          <w:bCs/>
        </w:rPr>
        <w:t xml:space="preserve"> v tejto  správe</w:t>
      </w:r>
      <w:r w:rsidRPr="00015611">
        <w:rPr>
          <w:b/>
          <w:bCs/>
        </w:rPr>
        <w:t>.</w:t>
      </w:r>
    </w:p>
    <w:p w:rsidR="00A32372" w:rsidRPr="00074BC5" w:rsidP="00C51C57">
      <w:pPr>
        <w:jc w:val="both"/>
        <w:rPr>
          <w:b/>
          <w:bCs/>
        </w:rPr>
      </w:pPr>
    </w:p>
    <w:p w:rsidR="000C3652" w:rsidRPr="007402A8" w:rsidP="00C51C57">
      <w:pPr>
        <w:jc w:val="both"/>
      </w:pPr>
      <w:r w:rsidRPr="00074BC5">
        <w:t xml:space="preserve">        Spoločná správa výborov Národnej rady Slovenskej repub</w:t>
      </w:r>
      <w:r w:rsidR="00F64C90">
        <w:t xml:space="preserve">liky o výsledku prerokovania  </w:t>
      </w:r>
      <w:r w:rsidRPr="00074BC5">
        <w:t xml:space="preserve">návrhu </w:t>
      </w:r>
      <w:r w:rsidRPr="00E153C6" w:rsidR="00E153C6">
        <w:t>zákona</w:t>
      </w:r>
      <w:r w:rsidRPr="00074BC5" w:rsidR="00AD7403">
        <w:t xml:space="preserve"> </w:t>
      </w:r>
      <w:r w:rsidRPr="00074BC5">
        <w:t xml:space="preserve">v druhom čítaní bola schválená uznesením  </w:t>
      </w:r>
      <w:r w:rsidR="00EB218C">
        <w:t>z</w:t>
      </w:r>
      <w:r w:rsidR="00BC0C65">
        <w:t> </w:t>
      </w:r>
      <w:r w:rsidR="00E64F63">
        <w:t>23</w:t>
      </w:r>
      <w:r w:rsidRPr="007402A8" w:rsidR="00BC0C65">
        <w:t xml:space="preserve">. </w:t>
      </w:r>
      <w:r w:rsidR="00E64F63">
        <w:t>júna</w:t>
      </w:r>
      <w:r w:rsidRPr="00316AEB" w:rsidR="00265908">
        <w:rPr>
          <w:u w:val="single"/>
        </w:rPr>
        <w:t xml:space="preserve"> </w:t>
      </w:r>
      <w:r w:rsidRPr="007402A8" w:rsidR="00BB70A3">
        <w:t>20</w:t>
      </w:r>
      <w:r w:rsidRPr="007402A8" w:rsidR="001A416F">
        <w:t>11</w:t>
      </w:r>
      <w:r w:rsidRPr="007402A8" w:rsidR="00F1221E">
        <w:t xml:space="preserve"> č. </w:t>
      </w:r>
      <w:r w:rsidR="00FE155E">
        <w:t>176</w:t>
      </w:r>
      <w:r w:rsidRPr="007402A8">
        <w:t xml:space="preserve">. </w:t>
      </w:r>
    </w:p>
    <w:p w:rsidR="00065871" w:rsidRPr="00074BC5" w:rsidP="00C51C57">
      <w:pPr>
        <w:jc w:val="both"/>
      </w:pPr>
    </w:p>
    <w:p w:rsidR="00F1221E" w:rsidRPr="00074BC5" w:rsidP="00C51C57">
      <w:pPr>
        <w:ind w:firstLine="567"/>
        <w:jc w:val="both"/>
        <w:rPr>
          <w:bCs/>
        </w:rPr>
      </w:pPr>
      <w:r w:rsidRPr="00074BC5">
        <w:rPr>
          <w:bCs/>
        </w:rPr>
        <w:t xml:space="preserve">Týmto uznesením výbor zároveň poveril spravodajcu predložiť návrhy podľa §  81 ods. 2, § 83 ods. 4, § 84 ods. 2 a § 86 </w:t>
      </w:r>
      <w:r w:rsidRPr="00074BC5" w:rsidR="005125FA">
        <w:rPr>
          <w:bCs/>
        </w:rPr>
        <w:t xml:space="preserve">rokovacieho </w:t>
      </w:r>
      <w:r w:rsidRPr="00074BC5">
        <w:rPr>
          <w:bCs/>
        </w:rPr>
        <w:t>poriadku Národnej rady Slovenskej republiky.</w:t>
      </w:r>
    </w:p>
    <w:p w:rsidR="00B70483" w:rsidP="00C51C57">
      <w:pPr>
        <w:ind w:firstLine="567"/>
        <w:jc w:val="both"/>
        <w:rPr>
          <w:bCs/>
        </w:rPr>
      </w:pPr>
    </w:p>
    <w:p w:rsidR="000C3652" w:rsidP="00C51C57">
      <w:pPr>
        <w:jc w:val="both"/>
      </w:pPr>
      <w:r w:rsidRPr="00074BC5">
        <w:t xml:space="preserve">Bratislava </w:t>
      </w:r>
      <w:r w:rsidR="00E64F63">
        <w:t>23</w:t>
      </w:r>
      <w:r w:rsidR="00316AEB">
        <w:t xml:space="preserve">. </w:t>
      </w:r>
      <w:r w:rsidR="00E64F63">
        <w:t>júna</w:t>
      </w:r>
      <w:r w:rsidRPr="00074BC5" w:rsidR="004C0D13">
        <w:t xml:space="preserve"> </w:t>
      </w:r>
      <w:r w:rsidRPr="00074BC5" w:rsidR="00BB70A3">
        <w:t>20</w:t>
      </w:r>
      <w:r w:rsidR="001A416F">
        <w:t>11</w:t>
      </w:r>
    </w:p>
    <w:p w:rsidR="00065871" w:rsidP="00C51C57">
      <w:pPr>
        <w:jc w:val="both"/>
      </w:pPr>
    </w:p>
    <w:p w:rsidR="00065871" w:rsidP="00C51C57">
      <w:pPr>
        <w:jc w:val="both"/>
      </w:pPr>
    </w:p>
    <w:p w:rsidR="00065871" w:rsidRPr="00074BC5" w:rsidP="00C51C57">
      <w:pPr>
        <w:jc w:val="both"/>
      </w:pPr>
    </w:p>
    <w:p w:rsidR="000C3652" w:rsidRPr="00074BC5" w:rsidP="00C51C57">
      <w:pPr>
        <w:jc w:val="center"/>
        <w:rPr>
          <w:bCs/>
          <w:lang w:eastAsia="cs-CZ"/>
        </w:rPr>
      </w:pPr>
      <w:r w:rsidRPr="00074BC5" w:rsidR="004C0D13">
        <w:rPr>
          <w:lang w:eastAsia="cs-CZ"/>
        </w:rPr>
        <w:t>Stanislav</w:t>
      </w:r>
      <w:r w:rsidRPr="00074BC5" w:rsidR="008D010E">
        <w:rPr>
          <w:lang w:eastAsia="cs-CZ"/>
        </w:rPr>
        <w:t xml:space="preserve"> </w:t>
      </w:r>
      <w:r w:rsidRPr="00074BC5">
        <w:rPr>
          <w:lang w:eastAsia="cs-CZ"/>
        </w:rPr>
        <w:t xml:space="preserve"> </w:t>
      </w:r>
      <w:r w:rsidRPr="00074BC5" w:rsidR="004C0D13">
        <w:rPr>
          <w:b/>
          <w:bCs/>
          <w:lang w:eastAsia="cs-CZ"/>
        </w:rPr>
        <w:t>J a n i</w:t>
      </w:r>
      <w:r w:rsidR="00A8591A">
        <w:rPr>
          <w:b/>
          <w:bCs/>
          <w:lang w:eastAsia="cs-CZ"/>
        </w:rPr>
        <w:t> </w:t>
      </w:r>
      <w:r w:rsidRPr="00074BC5" w:rsidR="004C0D13">
        <w:rPr>
          <w:b/>
          <w:bCs/>
          <w:lang w:eastAsia="cs-CZ"/>
        </w:rPr>
        <w:t>š</w:t>
      </w:r>
      <w:r w:rsidRPr="00A8591A" w:rsidR="00A8591A">
        <w:rPr>
          <w:bCs/>
          <w:lang w:eastAsia="cs-CZ"/>
        </w:rPr>
        <w:t>, v.r.</w:t>
      </w:r>
      <w:r w:rsidRPr="00074BC5">
        <w:rPr>
          <w:b/>
          <w:lang w:eastAsia="cs-CZ"/>
        </w:rPr>
        <w:t xml:space="preserve">  </w:t>
      </w:r>
    </w:p>
    <w:p w:rsidR="000C3652" w:rsidRPr="00074BC5" w:rsidP="00C51C57">
      <w:pPr>
        <w:jc w:val="center"/>
        <w:rPr>
          <w:lang w:eastAsia="cs-CZ"/>
        </w:rPr>
      </w:pPr>
      <w:r w:rsidRPr="00074BC5">
        <w:rPr>
          <w:lang w:eastAsia="cs-CZ"/>
        </w:rPr>
        <w:t>predseda Výboru NR SR pre</w:t>
      </w:r>
    </w:p>
    <w:p w:rsidR="000C3652" w:rsidRPr="00074BC5">
      <w:pPr>
        <w:jc w:val="center"/>
      </w:pPr>
      <w:r w:rsidRPr="00074BC5" w:rsidR="004C0D13">
        <w:rPr>
          <w:lang w:eastAsia="cs-CZ"/>
        </w:rPr>
        <w:t>hospodárstvo, výstavbu a dopravu</w:t>
      </w:r>
      <w:r w:rsidRPr="00074BC5" w:rsidR="00221366">
        <w:rPr>
          <w:lang w:eastAsia="cs-CZ"/>
        </w:rPr>
        <w:t xml:space="preserve"> </w:t>
      </w:r>
    </w:p>
    <w:sectPr>
      <w:footerReference w:type="even" r:id="rId4"/>
      <w:footerReference w:type="default" r:id="rId5"/>
      <w:pgSz w:w="12240" w:h="15840"/>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EUAlbertina+20">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D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4F2E">
      <w:rPr>
        <w:rStyle w:val="PageNumber"/>
        <w:noProof/>
      </w:rPr>
      <w:t>2</w:t>
    </w:r>
    <w:r>
      <w:rPr>
        <w:rStyle w:val="PageNumber"/>
      </w:rPr>
      <w:fldChar w:fldCharType="end"/>
    </w:r>
  </w:p>
  <w:p w:rsidR="00E53D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3F73"/>
    <w:multiLevelType w:val="hybridMultilevel"/>
    <w:tmpl w:val="5AEC92AA"/>
    <w:lvl w:ilvl="0">
      <w:start w:val="1"/>
      <w:numFmt w:val="decimal"/>
      <w:lvlText w:val="(%1)"/>
      <w:lvlJc w:val="left"/>
      <w:pPr>
        <w:tabs>
          <w:tab w:val="num" w:pos="735"/>
        </w:tabs>
        <w:ind w:left="735" w:hanging="375"/>
      </w:pPr>
      <w:rPr>
        <w:rFonts w:cs="Times New Roman"/>
        <w:rtl w:val="0"/>
      </w:rPr>
    </w:lvl>
    <w:lvl w:ilvl="1">
      <w:start w:val="1"/>
      <w:numFmt w:val="lowerLetter"/>
      <w:lvlText w:val="%2)"/>
      <w:lvlJc w:val="left"/>
      <w:pPr>
        <w:tabs>
          <w:tab w:val="num" w:pos="1080"/>
        </w:tabs>
        <w:ind w:left="1080" w:hanging="360"/>
      </w:pPr>
      <w:rPr>
        <w:rFonts w:cs="Times New Roman"/>
        <w:color w:val="auto"/>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
    <w:nsid w:val="1AD509C5"/>
    <w:multiLevelType w:val="hybridMultilevel"/>
    <w:tmpl w:val="D6F646E6"/>
    <w:lvl w:ilvl="0">
      <w:start w:val="1"/>
      <w:numFmt w:val="decimal"/>
      <w:lvlText w:val="(%1)"/>
      <w:lvlJc w:val="left"/>
      <w:pPr>
        <w:tabs>
          <w:tab w:val="num" w:pos="900"/>
        </w:tabs>
        <w:ind w:left="90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
    <w:nsid w:val="2758222E"/>
    <w:multiLevelType w:val="hybridMultilevel"/>
    <w:tmpl w:val="6C069414"/>
    <w:lvl w:ilvl="0">
      <w:start w:val="1"/>
      <w:numFmt w:val="lowerLetter"/>
      <w:lvlText w:val="%1)"/>
      <w:lvlJc w:val="left"/>
      <w:pPr>
        <w:tabs>
          <w:tab w:val="num" w:pos="720"/>
        </w:tabs>
        <w:ind w:left="720" w:hanging="360"/>
      </w:pPr>
      <w:rPr>
        <w:rFonts w:cs="Times New Roman"/>
        <w:rtl w:val="0"/>
      </w:rPr>
    </w:lvl>
    <w:lvl w:ilvl="1">
      <w:start w:val="6"/>
      <w:numFmt w:val="bullet"/>
      <w:lvlText w:val="—"/>
      <w:lvlJc w:val="left"/>
      <w:pPr>
        <w:tabs>
          <w:tab w:val="num" w:pos="360"/>
        </w:tabs>
        <w:ind w:left="360" w:hanging="360"/>
      </w:pPr>
      <w:rPr>
        <w:rFonts w:ascii="EUAlbertina+20" w:hAnsi="EUAlbertina+20"/>
        <w:b w:val="0"/>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
    <w:nsid w:val="3FBB35E9"/>
    <w:multiLevelType w:val="hybridMultilevel"/>
    <w:tmpl w:val="5B4007B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B8B68D1"/>
    <w:multiLevelType w:val="hybridMultilevel"/>
    <w:tmpl w:val="32CE771A"/>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5B9363AC"/>
    <w:multiLevelType w:val="hybridMultilevel"/>
    <w:tmpl w:val="D766F30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6">
    <w:nsid w:val="5ECE4BD5"/>
    <w:multiLevelType w:val="hybridMultilevel"/>
    <w:tmpl w:val="D5DC0670"/>
    <w:lvl w:ilvl="0">
      <w:start w:val="1"/>
      <w:numFmt w:val="decimal"/>
      <w:lvlText w:val="%1."/>
      <w:lvlJc w:val="left"/>
      <w:pPr>
        <w:tabs>
          <w:tab w:val="num" w:pos="360"/>
        </w:tabs>
        <w:ind w:left="360" w:hanging="360"/>
      </w:pPr>
    </w:lvl>
    <w:lvl w:ilvl="1">
      <w:start w:val="1"/>
      <w:numFmt w:val="lowerLetter"/>
      <w:pStyle w:val="adda"/>
      <w:lvlText w:val="%2)"/>
      <w:lvlJc w:val="left"/>
      <w:pPr>
        <w:tabs>
          <w:tab w:val="num" w:pos="1077"/>
        </w:tabs>
        <w:ind w:left="1077" w:hanging="357"/>
      </w:pPr>
      <w:rPr>
        <w:u w:val="none"/>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5611"/>
    <w:rsid w:val="00050568"/>
    <w:rsid w:val="00065871"/>
    <w:rsid w:val="00074BC5"/>
    <w:rsid w:val="000C3652"/>
    <w:rsid w:val="000E1C6B"/>
    <w:rsid w:val="00106567"/>
    <w:rsid w:val="00127F03"/>
    <w:rsid w:val="00147E97"/>
    <w:rsid w:val="0016707B"/>
    <w:rsid w:val="001935FB"/>
    <w:rsid w:val="001A2A6E"/>
    <w:rsid w:val="001A416F"/>
    <w:rsid w:val="00221366"/>
    <w:rsid w:val="0023061A"/>
    <w:rsid w:val="00263251"/>
    <w:rsid w:val="00265908"/>
    <w:rsid w:val="00291144"/>
    <w:rsid w:val="002A4765"/>
    <w:rsid w:val="002D5F04"/>
    <w:rsid w:val="002F440F"/>
    <w:rsid w:val="00316AEB"/>
    <w:rsid w:val="0033613D"/>
    <w:rsid w:val="003B1512"/>
    <w:rsid w:val="003B733D"/>
    <w:rsid w:val="00415693"/>
    <w:rsid w:val="00464E71"/>
    <w:rsid w:val="004A30F6"/>
    <w:rsid w:val="004C0D13"/>
    <w:rsid w:val="005125FA"/>
    <w:rsid w:val="0054265F"/>
    <w:rsid w:val="005C499D"/>
    <w:rsid w:val="0069646D"/>
    <w:rsid w:val="006E1191"/>
    <w:rsid w:val="007402A8"/>
    <w:rsid w:val="00751D84"/>
    <w:rsid w:val="007D1331"/>
    <w:rsid w:val="007F6A30"/>
    <w:rsid w:val="0081322E"/>
    <w:rsid w:val="00884628"/>
    <w:rsid w:val="008D010E"/>
    <w:rsid w:val="00940F1E"/>
    <w:rsid w:val="0097393D"/>
    <w:rsid w:val="009A20F7"/>
    <w:rsid w:val="009D0E4A"/>
    <w:rsid w:val="009F0E19"/>
    <w:rsid w:val="00A32372"/>
    <w:rsid w:val="00A61603"/>
    <w:rsid w:val="00A6195F"/>
    <w:rsid w:val="00A72B70"/>
    <w:rsid w:val="00A8591A"/>
    <w:rsid w:val="00AD7403"/>
    <w:rsid w:val="00AF4654"/>
    <w:rsid w:val="00B11A19"/>
    <w:rsid w:val="00B1484A"/>
    <w:rsid w:val="00B70483"/>
    <w:rsid w:val="00B71A0B"/>
    <w:rsid w:val="00BB70A3"/>
    <w:rsid w:val="00BC0C65"/>
    <w:rsid w:val="00BE4924"/>
    <w:rsid w:val="00C04A6D"/>
    <w:rsid w:val="00C47C33"/>
    <w:rsid w:val="00C51C57"/>
    <w:rsid w:val="00CA4DCD"/>
    <w:rsid w:val="00CA7C7E"/>
    <w:rsid w:val="00CD0504"/>
    <w:rsid w:val="00D14D36"/>
    <w:rsid w:val="00D54775"/>
    <w:rsid w:val="00D91485"/>
    <w:rsid w:val="00E153C6"/>
    <w:rsid w:val="00E53D2D"/>
    <w:rsid w:val="00E569F0"/>
    <w:rsid w:val="00E64F63"/>
    <w:rsid w:val="00E74F2E"/>
    <w:rsid w:val="00EB218C"/>
    <w:rsid w:val="00F05CD0"/>
    <w:rsid w:val="00F1221E"/>
    <w:rsid w:val="00F64C90"/>
    <w:rsid w:val="00F752EE"/>
    <w:rsid w:val="00F7638F"/>
    <w:rsid w:val="00F768C6"/>
    <w:rsid w:val="00F873A0"/>
    <w:rsid w:val="00F87BA4"/>
    <w:rsid w:val="00FE155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uiPriority="99"/>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uiPriority="99"/>
    <w:lsdException w:name="Body Text 3" w:uiPriority="99"/>
    <w:lsdException w:name="Body Text Indent 2" w:uiPriority="99"/>
    <w:lsdException w:name="Body Text Indent 3" w:uiPriority="99"/>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autoSpaceDN/>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uiPriority w:val="9"/>
    <w:qFormat/>
    <w:pPr>
      <w:jc w:val="left"/>
      <w:outlineLvl w:val="0"/>
    </w:pPr>
  </w:style>
  <w:style w:type="paragraph" w:styleId="Heading2">
    <w:name w:val="heading 2"/>
    <w:basedOn w:val="Normal"/>
    <w:next w:val="Normal"/>
    <w:uiPriority w:val="9"/>
    <w:qFormat/>
    <w:pPr>
      <w:jc w:val="left"/>
      <w:outlineLvl w:val="1"/>
    </w:pPr>
  </w:style>
  <w:style w:type="paragraph" w:styleId="Heading3">
    <w:name w:val="heading 3"/>
    <w:basedOn w:val="Normal"/>
    <w:next w:val="Normal"/>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uiPriority w:val="9"/>
    <w:qFormat/>
    <w:pPr>
      <w:keepNext/>
      <w:ind w:left="3969"/>
      <w:jc w:val="left"/>
      <w:outlineLvl w:val="3"/>
    </w:pPr>
    <w:rPr>
      <w:rFonts w:ascii="AT*Toronto" w:hAnsi="AT*Toronto"/>
      <w:b/>
      <w:bCs/>
      <w:i/>
      <w:iCs/>
    </w:rPr>
  </w:style>
  <w:style w:type="paragraph" w:styleId="Heading5">
    <w:name w:val="heading 5"/>
    <w:basedOn w:val="Normal"/>
    <w:next w:val="Normal"/>
    <w:uiPriority w:val="9"/>
    <w:qFormat/>
    <w:pPr>
      <w:keepNext/>
      <w:ind w:left="3969"/>
      <w:jc w:val="both"/>
      <w:outlineLvl w:val="4"/>
    </w:pPr>
    <w:rPr>
      <w:rFonts w:ascii="Times New Roman" w:hAnsi="Times New Roman"/>
      <w:b/>
      <w:bCs/>
    </w:rPr>
  </w:style>
  <w:style w:type="paragraph" w:styleId="Heading6">
    <w:name w:val="heading 6"/>
    <w:basedOn w:val="Normal"/>
    <w:next w:val="Normal"/>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paragraph" w:styleId="BodyTextIndent">
    <w:name w:val="Body Text Indent"/>
    <w:basedOn w:val="Normal"/>
    <w:uiPriority w:val="99"/>
    <w:pPr>
      <w:ind w:left="3960"/>
      <w:jc w:val="left"/>
    </w:pPr>
    <w:rPr>
      <w:rFonts w:ascii="Times New Roman" w:hAnsi="Times New Roman" w:cs="Times New Roman"/>
    </w:rPr>
  </w:style>
  <w:style w:type="paragraph" w:styleId="BodyTextIndent2">
    <w:name w:val="Body Text Indent 2"/>
    <w:basedOn w:val="Normal"/>
    <w:uiPriority w:val="99"/>
    <w:pPr>
      <w:ind w:left="2880"/>
      <w:jc w:val="both"/>
    </w:pPr>
    <w:rPr>
      <w:rFonts w:ascii="Times New Roman" w:hAnsi="Times New Roman" w:cs="Times New Roman"/>
    </w:rPr>
  </w:style>
  <w:style w:type="paragraph" w:styleId="BodyText">
    <w:name w:val="Body Text"/>
    <w:basedOn w:val="Normal"/>
    <w:uiPriority w:val="99"/>
    <w:pPr>
      <w:jc w:val="both"/>
    </w:pPr>
    <w:rPr>
      <w:rFonts w:ascii="Times New Roman" w:hAnsi="Times New Roman" w:cs="Times New Roman"/>
    </w:rPr>
  </w:style>
  <w:style w:type="paragraph" w:styleId="BodyTextIndent3">
    <w:name w:val="Body Text Indent 3"/>
    <w:basedOn w:val="Normal"/>
    <w:uiPriority w:val="99"/>
    <w:pPr>
      <w:ind w:left="2835"/>
      <w:jc w:val="left"/>
    </w:pPr>
    <w:rPr>
      <w:rFonts w:ascii="Times New Roman" w:hAnsi="Times New Roman" w:cs="Times New Roman"/>
    </w:rPr>
  </w:style>
  <w:style w:type="paragraph" w:styleId="BodyText2">
    <w:name w:val="Body Text 2"/>
    <w:basedOn w:val="Normal"/>
    <w:uiPriority w:val="99"/>
    <w:pPr>
      <w:adjustRightInd/>
      <w:spacing w:after="120" w:line="480" w:lineRule="auto"/>
      <w:jc w:val="left"/>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b/>
      <w:bCs/>
      <w:rtl w:val="0"/>
    </w:rPr>
  </w:style>
  <w:style w:type="paragraph" w:styleId="BodyText3">
    <w:name w:val="Body Text 3"/>
    <w:basedOn w:val="Normal"/>
    <w:uiPriority w:val="99"/>
    <w:pPr>
      <w:spacing w:after="120"/>
      <w:jc w:val="left"/>
    </w:pPr>
    <w:rPr>
      <w:sz w:val="16"/>
      <w:szCs w:val="16"/>
    </w:rPr>
  </w:style>
  <w:style w:type="paragraph" w:styleId="BalloonText">
    <w:name w:val="Balloon Text"/>
    <w:basedOn w:val="Normal"/>
    <w:uiPriority w:val="99"/>
    <w:pPr>
      <w:jc w:val="left"/>
    </w:pPr>
    <w:rPr>
      <w:rFonts w:ascii="Tahoma" w:hAnsi="Tahoma" w:cs="Tahoma"/>
      <w:sz w:val="16"/>
      <w:szCs w:val="16"/>
    </w:rPr>
  </w:style>
  <w:style w:type="paragraph" w:styleId="Footer">
    <w:name w:val="footer"/>
    <w:basedOn w:val="Normal"/>
    <w:uiPriority w:val="99"/>
    <w:pPr>
      <w:tabs>
        <w:tab w:val="center" w:pos="4536"/>
        <w:tab w:val="right" w:pos="9072"/>
      </w:tabs>
      <w:adjustRightInd/>
      <w:jc w:val="left"/>
    </w:pPr>
    <w:rPr>
      <w:rFonts w:ascii="Times New Roman" w:hAnsi="Times New Roman" w:cs="Times New Roman"/>
    </w:rPr>
  </w:style>
  <w:style w:type="paragraph" w:customStyle="1" w:styleId="odsek">
    <w:name w:val="odsek"/>
    <w:basedOn w:val="Normal"/>
    <w:pPr>
      <w:keepNext/>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numPr>
        <w:ilvl w:val="1"/>
        <w:numId w:val="1"/>
      </w:numPr>
      <w:tabs>
        <w:tab w:val="left" w:pos="1077"/>
      </w:tabs>
      <w:adjustRightInd/>
      <w:spacing w:before="60" w:after="60"/>
      <w:ind w:left="1077" w:hanging="357"/>
      <w:jc w:val="both"/>
    </w:pPr>
    <w:rPr>
      <w:rFonts w:ascii="Times New Roman" w:hAnsi="Times New Roman" w:cs="Times New Roman"/>
    </w:rPr>
  </w:style>
  <w:style w:type="paragraph" w:styleId="Title">
    <w:name w:val="Title"/>
    <w:basedOn w:val="Normal"/>
    <w:link w:val="CharChar"/>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uiPriority w:val="99"/>
  </w:style>
  <w:style w:type="paragraph" w:customStyle="1" w:styleId="Odstavec">
    <w:name w:val="Odstavec"/>
    <w:basedOn w:val="Normal"/>
    <w:rsid w:val="0084768B"/>
    <w:pPr>
      <w:tabs>
        <w:tab w:val="left" w:pos="567"/>
      </w:tabs>
      <w:overflowPunct w:val="0"/>
      <w:spacing w:before="180" w:line="360" w:lineRule="auto"/>
      <w:jc w:val="both"/>
      <w:textAlignment w:val="baseline"/>
    </w:pPr>
    <w:rPr>
      <w:rFonts w:ascii="Times New Roman" w:hAnsi="Times New Roman" w:cs="Times New Roman"/>
      <w:szCs w:val="20"/>
    </w:rPr>
  </w:style>
  <w:style w:type="paragraph" w:styleId="NormalWeb">
    <w:name w:val="Normal (Web)"/>
    <w:basedOn w:val="Normal"/>
    <w:uiPriority w:val="99"/>
    <w:rsid w:val="0084768B"/>
    <w:pPr>
      <w:adjustRightInd/>
      <w:spacing w:before="100" w:beforeAutospacing="1" w:after="100" w:afterAutospacing="1"/>
      <w:jc w:val="left"/>
    </w:pPr>
    <w:rPr>
      <w:rFonts w:ascii="Times New Roman" w:hAnsi="Times New Roman" w:cs="Times New Roman"/>
    </w:rPr>
  </w:style>
  <w:style w:type="paragraph" w:customStyle="1" w:styleId="Odsekzoznamu">
    <w:name w:val="Odsek zoznamu"/>
    <w:basedOn w:val="Normal"/>
    <w:qFormat/>
    <w:rsid w:val="00E569F0"/>
    <w:pPr>
      <w:adjustRightInd/>
      <w:ind w:left="720"/>
      <w:contextualSpacing/>
      <w:jc w:val="left"/>
    </w:pPr>
    <w:rPr>
      <w:rFonts w:ascii="Times New Roman" w:hAnsi="Times New Roman" w:cs="Times New Roman"/>
    </w:rPr>
  </w:style>
  <w:style w:type="paragraph" w:customStyle="1" w:styleId="CharCharCharCharChar">
    <w:name w:val="Char Char Char Char Char"/>
    <w:basedOn w:val="Normal"/>
    <w:rsid w:val="00272E1C"/>
    <w:pPr>
      <w:adjustRightInd/>
      <w:spacing w:after="160" w:line="240" w:lineRule="exact"/>
      <w:jc w:val="left"/>
    </w:pPr>
    <w:rPr>
      <w:rFonts w:ascii="Tahoma" w:hAnsi="Tahoma" w:cs="Tahoma"/>
      <w:sz w:val="20"/>
      <w:szCs w:val="20"/>
      <w:lang w:val="en-US"/>
    </w:rPr>
  </w:style>
  <w:style w:type="character" w:styleId="PlaceholderText">
    <w:name w:val="Placeholder Text"/>
    <w:basedOn w:val="DefaultParagraphFont"/>
    <w:semiHidden/>
    <w:rsid w:val="00CD0504"/>
    <w:rPr>
      <w:rFonts w:ascii="Times New Roman" w:hAnsi="Times New Roman" w:cs="Times New Roman"/>
      <w:color w:val="808080"/>
      <w:rtl w:val="0"/>
    </w:rPr>
  </w:style>
  <w:style w:type="paragraph" w:customStyle="1" w:styleId="msolistparagraph">
    <w:name w:val="msolistparagraph"/>
    <w:basedOn w:val="Normal"/>
    <w:rsid w:val="00CB1E5A"/>
    <w:pPr>
      <w:adjustRightInd/>
      <w:ind w:left="720"/>
      <w:jc w:val="left"/>
    </w:pPr>
    <w:rPr>
      <w:rFonts w:ascii="Calibri" w:hAnsi="Calibri" w:cs="Times New Roman"/>
      <w:sz w:val="22"/>
      <w:szCs w:val="22"/>
    </w:rPr>
  </w:style>
  <w:style w:type="character" w:styleId="Emphasis">
    <w:name w:val="Emphasis"/>
    <w:basedOn w:val="DefaultParagraphFont"/>
    <w:qFormat/>
    <w:rsid w:val="001060EF"/>
    <w:rPr>
      <w:i/>
      <w:iCs/>
      <w:rtl w:val="0"/>
    </w:rPr>
  </w:style>
  <w:style w:type="character" w:customStyle="1" w:styleId="CharChar">
    <w:name w:val="Char Char"/>
    <w:basedOn w:val="DefaultParagraphFont"/>
    <w:link w:val="Title"/>
    <w:rsid w:val="0004759F"/>
    <w:rPr>
      <w:rFonts w:ascii="AT*Toronto" w:hAnsi="AT*Toronto" w:cs="Arial"/>
      <w:b/>
      <w:bCs/>
      <w:sz w:val="32"/>
      <w:szCs w:val="32"/>
      <w:rtl w:val="0"/>
    </w:rPr>
  </w:style>
  <w:style w:type="character" w:customStyle="1" w:styleId="ppp-msummppp-box-common">
    <w:name w:val="ppp-msumm ppp-box-common"/>
    <w:basedOn w:val="DefaultParagraphFont"/>
    <w:rsid w:val="002F440F"/>
  </w:style>
  <w:style w:type="character" w:customStyle="1" w:styleId="ppp-input-value">
    <w:name w:val="ppp-input-value"/>
    <w:basedOn w:val="DefaultParagraphFont"/>
    <w:rsid w:val="00A14F9C"/>
    <w:rPr>
      <w:rFonts w:cs="Times New Roman"/>
      <w:rtl w:val="0"/>
    </w:rPr>
  </w:style>
  <w:style w:type="character" w:customStyle="1" w:styleId="Textzstupnhosymbolu">
    <w:name w:val="Text zástupného symbolu"/>
    <w:basedOn w:val="DefaultParagraphFont"/>
    <w:semiHidden/>
    <w:rsid w:val="00E73AB6"/>
    <w:rPr>
      <w:rFonts w:ascii="Times New Roman" w:hAnsi="Times New Roman"/>
      <w:color w:val="808080"/>
      <w:rtl w:val="0"/>
    </w:rPr>
  </w:style>
  <w:style w:type="paragraph" w:customStyle="1" w:styleId="tl7">
    <w:name w:val="Štýl7"/>
    <w:basedOn w:val="Normal"/>
    <w:rsid w:val="00C47C33"/>
    <w:pPr>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tl w:val="0"/>
    </w:rPr>
  </w:style>
  <w:style w:type="paragraph" w:styleId="ListParagraph">
    <w:name w:val="List Paragraph"/>
    <w:basedOn w:val="Normal"/>
    <w:rsid w:val="00B1484A"/>
    <w:pPr>
      <w:adjustRightInd/>
      <w:ind w:left="708"/>
      <w:jc w:val="left"/>
    </w:pPr>
    <w:rPr>
      <w:rFonts w:ascii="Times New Roman" w:hAnsi="Times New Roman" w:cs="Times New Roman"/>
      <w:noProof/>
    </w:rPr>
  </w:style>
  <w:style w:type="paragraph" w:styleId="Header">
    <w:name w:val="header"/>
    <w:basedOn w:val="Normal"/>
    <w:uiPriority w:val="99"/>
    <w:rsid w:val="00F873A0"/>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Pages>1</Pages>
  <Words>1533</Words>
  <Characters>8742</Characters>
  <Application>Microsoft Office Word</Application>
  <DocSecurity>0</DocSecurity>
  <Lines>0</Lines>
  <Paragraphs>0</Paragraphs>
  <ScaleCrop>false</ScaleCrop>
  <Company>Kancelária NR SR</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prokgabr</cp:lastModifiedBy>
  <cp:revision>14</cp:revision>
  <cp:lastPrinted>2011-01-26T12:07:00Z</cp:lastPrinted>
  <dcterms:created xsi:type="dcterms:W3CDTF">2011-06-19T14:50:00Z</dcterms:created>
  <dcterms:modified xsi:type="dcterms:W3CDTF">2011-06-22T13:56:00Z</dcterms:modified>
</cp:coreProperties>
</file>