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242C8" w:rsidRPr="003B733D" w:rsidP="005242C8">
      <w:pPr>
        <w:pStyle w:val="Heading1"/>
        <w:spacing w:line="240" w:lineRule="auto"/>
        <w:ind w:firstLine="540"/>
        <w:rPr>
          <w:rFonts w:ascii="Arial" w:hAnsi="Arial" w:cs="Arial"/>
          <w:b w:val="0"/>
          <w:bCs/>
          <w:i/>
          <w:iCs/>
        </w:rPr>
      </w:pPr>
      <w:r w:rsidRPr="003B733D">
        <w:rPr>
          <w:rFonts w:ascii="Arial" w:hAnsi="Arial" w:cs="Arial"/>
          <w:b w:val="0"/>
          <w:bCs/>
          <w:i/>
          <w:iCs/>
        </w:rPr>
        <w:t xml:space="preserve">              Výbor</w:t>
      </w:r>
    </w:p>
    <w:p w:rsidR="005242C8" w:rsidRPr="003B733D" w:rsidP="005242C8">
      <w:pPr>
        <w:jc w:val="both"/>
        <w:rPr>
          <w:rFonts w:ascii="Arial" w:hAnsi="Arial" w:cs="Arial"/>
          <w:i/>
        </w:rPr>
      </w:pPr>
      <w:r w:rsidRPr="003B733D">
        <w:rPr>
          <w:rFonts w:ascii="Arial" w:hAnsi="Arial" w:cs="Arial"/>
          <w:i/>
        </w:rPr>
        <w:t xml:space="preserve"> Národnej rady Slovenskej republiky</w:t>
      </w:r>
    </w:p>
    <w:p w:rsidR="005242C8" w:rsidRPr="003B733D" w:rsidP="005242C8">
      <w:pPr>
        <w:jc w:val="both"/>
        <w:rPr>
          <w:rFonts w:ascii="Arial" w:hAnsi="Arial" w:cs="Arial"/>
        </w:rPr>
      </w:pPr>
      <w:r w:rsidRPr="003B733D">
        <w:rPr>
          <w:rFonts w:ascii="Arial" w:hAnsi="Arial" w:cs="Arial"/>
          <w:i/>
        </w:rPr>
        <w:t xml:space="preserve">pre hospodárstvo, výstavbu a dopravu </w:t>
      </w:r>
      <w:r w:rsidRPr="003B733D">
        <w:rPr>
          <w:rFonts w:ascii="Arial" w:hAnsi="Arial" w:cs="Arial"/>
        </w:rPr>
        <w:t xml:space="preserve">              </w:t>
      </w:r>
    </w:p>
    <w:p w:rsidR="005242C8" w:rsidRPr="003B733D" w:rsidP="005242C8">
      <w:pPr>
        <w:jc w:val="both"/>
        <w:rPr>
          <w:rFonts w:ascii="Arial" w:hAnsi="Arial" w:cs="Arial"/>
        </w:rPr>
      </w:pPr>
      <w:r w:rsidRPr="003B733D">
        <w:rPr>
          <w:rFonts w:ascii="Arial" w:hAnsi="Arial" w:cs="Arial"/>
        </w:rPr>
        <w:t xml:space="preserve">                                                     </w:t>
      </w:r>
      <w:r w:rsidRPr="003B733D" w:rsidR="004B21BB">
        <w:rPr>
          <w:rFonts w:ascii="Arial" w:hAnsi="Arial" w:cs="Arial"/>
        </w:rPr>
        <w:t xml:space="preserve">                               </w:t>
      </w:r>
      <w:r w:rsidRPr="003B733D" w:rsidR="002F0468">
        <w:rPr>
          <w:rFonts w:ascii="Arial" w:hAnsi="Arial" w:cs="Arial"/>
        </w:rPr>
        <w:t>30</w:t>
      </w:r>
      <w:r w:rsidRPr="003B733D">
        <w:rPr>
          <w:rFonts w:ascii="Arial" w:hAnsi="Arial" w:cs="Arial"/>
        </w:rPr>
        <w:t>. schôdza výboru</w:t>
      </w:r>
    </w:p>
    <w:p w:rsidR="005242C8" w:rsidRPr="003B733D" w:rsidP="005242C8">
      <w:pPr>
        <w:pStyle w:val="BodyTextIndent"/>
        <w:rPr>
          <w:rFonts w:ascii="Arial" w:hAnsi="Arial" w:cs="Arial"/>
          <w:iCs/>
          <w:color w:val="auto"/>
          <w:lang w:val="sk-SK"/>
        </w:rPr>
      </w:pPr>
      <w:r w:rsidRPr="003B733D">
        <w:rPr>
          <w:rFonts w:ascii="Arial" w:hAnsi="Arial" w:cs="Arial"/>
          <w:color w:val="auto"/>
          <w:lang w:val="sk-SK"/>
        </w:rPr>
        <w:t xml:space="preserve">                                                                           </w:t>
      </w:r>
      <w:r w:rsidRPr="003B733D">
        <w:rPr>
          <w:rFonts w:ascii="Arial" w:hAnsi="Arial" w:cs="Arial"/>
          <w:color w:val="auto"/>
          <w:lang w:val="sk-SK"/>
        </w:rPr>
        <w:t xml:space="preserve">Číslo: CRD -  </w:t>
      </w:r>
      <w:r w:rsidRPr="003B733D" w:rsidR="002F0468">
        <w:rPr>
          <w:rFonts w:ascii="Arial" w:hAnsi="Arial" w:cs="Arial"/>
          <w:color w:val="auto"/>
          <w:lang w:val="sk-SK"/>
        </w:rPr>
        <w:t>1</w:t>
      </w:r>
      <w:r w:rsidRPr="003B733D" w:rsidR="002E7F2E">
        <w:rPr>
          <w:rFonts w:ascii="Arial" w:hAnsi="Arial" w:cs="Arial"/>
          <w:color w:val="auto"/>
          <w:lang w:val="sk-SK"/>
        </w:rPr>
        <w:t>73</w:t>
      </w:r>
      <w:r w:rsidRPr="003B733D" w:rsidR="00345B39">
        <w:rPr>
          <w:rFonts w:ascii="Arial" w:hAnsi="Arial" w:cs="Arial"/>
          <w:color w:val="auto"/>
          <w:lang w:val="sk-SK"/>
        </w:rPr>
        <w:t>9</w:t>
      </w:r>
      <w:r w:rsidRPr="003B733D">
        <w:rPr>
          <w:rFonts w:ascii="Arial" w:hAnsi="Arial" w:cs="Arial"/>
          <w:iCs/>
          <w:color w:val="auto"/>
          <w:lang w:val="sk-SK"/>
        </w:rPr>
        <w:t>/201</w:t>
      </w:r>
      <w:r w:rsidRPr="003B733D" w:rsidR="00050568">
        <w:rPr>
          <w:rFonts w:ascii="Arial" w:hAnsi="Arial" w:cs="Arial"/>
          <w:iCs/>
          <w:color w:val="auto"/>
          <w:lang w:val="sk-SK"/>
        </w:rPr>
        <w:t>1</w:t>
      </w:r>
      <w:r w:rsidRPr="003B733D">
        <w:rPr>
          <w:rFonts w:ascii="Arial" w:hAnsi="Arial" w:cs="Arial"/>
          <w:iCs/>
          <w:color w:val="auto"/>
          <w:lang w:val="sk-SK"/>
        </w:rPr>
        <w:t xml:space="preserve"> - VHVD  </w:t>
      </w:r>
    </w:p>
    <w:p w:rsidR="005242C8" w:rsidRPr="003B733D" w:rsidP="005242C8">
      <w:pPr>
        <w:jc w:val="center"/>
        <w:rPr>
          <w:rFonts w:ascii="Arial" w:hAnsi="Arial" w:cs="Arial"/>
          <w:b/>
          <w:sz w:val="32"/>
          <w:szCs w:val="28"/>
        </w:rPr>
      </w:pPr>
      <w:r w:rsidRPr="003B733D" w:rsidR="00275D7F">
        <w:rPr>
          <w:rFonts w:ascii="Arial" w:hAnsi="Arial" w:cs="Arial"/>
          <w:b/>
          <w:sz w:val="32"/>
          <w:szCs w:val="28"/>
        </w:rPr>
        <w:t>146</w:t>
      </w:r>
    </w:p>
    <w:p w:rsidR="005242C8" w:rsidRPr="003B733D" w:rsidP="005242C8">
      <w:pPr>
        <w:pStyle w:val="Heading2"/>
        <w:spacing w:line="240" w:lineRule="auto"/>
        <w:rPr>
          <w:rFonts w:ascii="Arial" w:hAnsi="Arial" w:cs="Arial"/>
          <w:color w:val="auto"/>
          <w:lang w:val="sk-SK"/>
        </w:rPr>
      </w:pPr>
      <w:r w:rsidRPr="003B733D">
        <w:rPr>
          <w:rFonts w:ascii="Arial" w:hAnsi="Arial" w:cs="Arial"/>
          <w:color w:val="auto"/>
          <w:lang w:val="sk-SK"/>
        </w:rPr>
        <w:t>U z n e s e n i e</w:t>
      </w:r>
    </w:p>
    <w:p w:rsidR="005242C8" w:rsidRPr="003B733D" w:rsidP="005242C8">
      <w:pPr>
        <w:jc w:val="center"/>
        <w:rPr>
          <w:rFonts w:ascii="Arial" w:hAnsi="Arial" w:cs="Arial"/>
          <w:b/>
        </w:rPr>
      </w:pPr>
      <w:r w:rsidRPr="003B733D">
        <w:rPr>
          <w:rFonts w:ascii="Arial" w:hAnsi="Arial" w:cs="Arial"/>
          <w:b/>
        </w:rPr>
        <w:t>Výboru Národnej rady Slovenskej republiky</w:t>
      </w:r>
    </w:p>
    <w:p w:rsidR="005242C8" w:rsidRPr="003B733D" w:rsidP="005242C8">
      <w:pPr>
        <w:jc w:val="center"/>
        <w:rPr>
          <w:rFonts w:ascii="Arial" w:hAnsi="Arial" w:cs="Arial"/>
          <w:b/>
        </w:rPr>
      </w:pPr>
      <w:r w:rsidRPr="003B733D">
        <w:rPr>
          <w:rFonts w:ascii="Arial" w:hAnsi="Arial" w:cs="Arial"/>
          <w:b/>
        </w:rPr>
        <w:t>pre hospodárstvo, výstavbu a dopravu</w:t>
      </w:r>
    </w:p>
    <w:p w:rsidR="005242C8" w:rsidRPr="003B733D" w:rsidP="005242C8">
      <w:pPr>
        <w:jc w:val="center"/>
        <w:rPr>
          <w:rFonts w:ascii="Arial" w:hAnsi="Arial" w:cs="Arial"/>
        </w:rPr>
      </w:pPr>
      <w:r w:rsidRPr="003B733D" w:rsidR="008743DC">
        <w:rPr>
          <w:rFonts w:ascii="Arial" w:hAnsi="Arial" w:cs="Arial"/>
        </w:rPr>
        <w:t>z</w:t>
      </w:r>
      <w:r w:rsidRPr="003B733D" w:rsidR="002F0468">
        <w:rPr>
          <w:rFonts w:ascii="Arial" w:hAnsi="Arial" w:cs="Arial"/>
        </w:rPr>
        <w:t>o</w:t>
      </w:r>
      <w:r w:rsidRPr="003B733D" w:rsidR="008743DC">
        <w:rPr>
          <w:rFonts w:ascii="Arial" w:hAnsi="Arial" w:cs="Arial"/>
        </w:rPr>
        <w:t xml:space="preserve"> </w:t>
      </w:r>
      <w:r w:rsidRPr="003B733D" w:rsidR="002F0468">
        <w:rPr>
          <w:rFonts w:ascii="Arial" w:hAnsi="Arial" w:cs="Arial"/>
        </w:rPr>
        <w:t>16</w:t>
      </w:r>
      <w:r w:rsidRPr="003B733D">
        <w:rPr>
          <w:rFonts w:ascii="Arial" w:hAnsi="Arial" w:cs="Arial"/>
        </w:rPr>
        <w:t xml:space="preserve">. </w:t>
      </w:r>
      <w:r w:rsidRPr="003B733D" w:rsidR="002F0468">
        <w:rPr>
          <w:rFonts w:ascii="Arial" w:hAnsi="Arial" w:cs="Arial"/>
        </w:rPr>
        <w:t>júna</w:t>
      </w:r>
      <w:r w:rsidRPr="003B733D">
        <w:rPr>
          <w:rFonts w:ascii="Arial" w:hAnsi="Arial" w:cs="Arial"/>
        </w:rPr>
        <w:t xml:space="preserve"> 201</w:t>
      </w:r>
      <w:r w:rsidRPr="003B733D" w:rsidR="004B21BB">
        <w:rPr>
          <w:rFonts w:ascii="Arial" w:hAnsi="Arial" w:cs="Arial"/>
        </w:rPr>
        <w:t>1</w:t>
      </w:r>
    </w:p>
    <w:p w:rsidR="005242C8" w:rsidRPr="003B733D" w:rsidP="005242C8">
      <w:pPr>
        <w:tabs>
          <w:tab w:val="left" w:pos="-1985"/>
          <w:tab w:val="left" w:pos="709"/>
          <w:tab w:val="left" w:pos="1077"/>
        </w:tabs>
        <w:jc w:val="both"/>
        <w:rPr>
          <w:rFonts w:ascii="Arial" w:hAnsi="Arial" w:cs="Arial"/>
        </w:rPr>
      </w:pPr>
    </w:p>
    <w:p w:rsidR="005242C8" w:rsidRPr="003B733D" w:rsidP="005242C8">
      <w:pPr>
        <w:pStyle w:val="BodyTextIndent"/>
        <w:ind w:firstLine="360"/>
        <w:rPr>
          <w:rFonts w:ascii="Arial" w:hAnsi="Arial" w:cs="Arial"/>
          <w:color w:val="auto"/>
          <w:lang w:val="sk-SK"/>
        </w:rPr>
      </w:pPr>
      <w:r w:rsidRPr="003B733D">
        <w:rPr>
          <w:rFonts w:ascii="Arial" w:hAnsi="Arial" w:cs="Arial"/>
          <w:color w:val="auto"/>
          <w:lang w:val="sk-SK"/>
        </w:rPr>
        <w:t xml:space="preserve">     k</w:t>
      </w:r>
      <w:r w:rsidRPr="003B733D" w:rsidR="00050568">
        <w:rPr>
          <w:rFonts w:ascii="Arial" w:hAnsi="Arial" w:cs="Arial"/>
          <w:color w:val="auto"/>
          <w:lang w:val="sk-SK"/>
        </w:rPr>
        <w:t xml:space="preserve"> vládnemu návrhu </w:t>
      </w:r>
      <w:r w:rsidRPr="003B733D" w:rsidR="00345B39">
        <w:rPr>
          <w:rFonts w:ascii="Arial" w:hAnsi="Arial" w:cs="Arial"/>
          <w:color w:val="auto"/>
          <w:lang w:val="sk-SK"/>
        </w:rPr>
        <w:t>zákona o prepravovateľných tlakových zariadeniach a o zmene a doplnení niektorých</w:t>
      </w:r>
      <w:r w:rsidRPr="003B733D" w:rsidR="00345B39">
        <w:rPr>
          <w:rFonts w:ascii="Arial" w:hAnsi="Arial" w:cs="Arial"/>
          <w:color w:val="auto"/>
          <w:lang w:val="sk-SK"/>
        </w:rPr>
        <w:t xml:space="preserve"> zákonov</w:t>
      </w:r>
      <w:r w:rsidRPr="003B733D" w:rsidR="004626E2">
        <w:rPr>
          <w:rFonts w:ascii="Arial" w:hAnsi="Arial" w:cs="Arial"/>
          <w:bCs/>
          <w:color w:val="auto"/>
          <w:lang w:val="sk-SK"/>
        </w:rPr>
        <w:t xml:space="preserve"> </w:t>
      </w:r>
      <w:r w:rsidRPr="003B733D" w:rsidR="008E6727">
        <w:rPr>
          <w:rFonts w:ascii="Arial" w:hAnsi="Arial" w:cs="Arial"/>
          <w:bCs/>
          <w:color w:val="auto"/>
          <w:lang w:val="sk-SK"/>
        </w:rPr>
        <w:t xml:space="preserve"> </w:t>
      </w:r>
      <w:r w:rsidRPr="003B733D" w:rsidR="008E6727">
        <w:rPr>
          <w:rFonts w:ascii="Arial" w:hAnsi="Arial" w:cs="Arial"/>
          <w:color w:val="auto"/>
          <w:lang w:val="sk-SK"/>
        </w:rPr>
        <w:t xml:space="preserve">(tlač </w:t>
      </w:r>
      <w:r w:rsidRPr="003B733D" w:rsidR="004626E2">
        <w:rPr>
          <w:rFonts w:ascii="Arial" w:hAnsi="Arial" w:cs="Arial"/>
          <w:b/>
          <w:color w:val="auto"/>
          <w:lang w:val="sk-SK"/>
        </w:rPr>
        <w:t>3</w:t>
      </w:r>
      <w:r w:rsidRPr="003B733D" w:rsidR="005008C8">
        <w:rPr>
          <w:rFonts w:ascii="Arial" w:hAnsi="Arial" w:cs="Arial"/>
          <w:b/>
          <w:color w:val="auto"/>
          <w:lang w:val="sk-SK"/>
        </w:rPr>
        <w:t>2</w:t>
      </w:r>
      <w:r w:rsidRPr="003B733D" w:rsidR="00345B39">
        <w:rPr>
          <w:rFonts w:ascii="Arial" w:hAnsi="Arial" w:cs="Arial"/>
          <w:b/>
          <w:color w:val="auto"/>
          <w:lang w:val="sk-SK"/>
        </w:rPr>
        <w:t>8</w:t>
      </w:r>
      <w:r w:rsidRPr="003B733D" w:rsidR="008E6727">
        <w:rPr>
          <w:rFonts w:ascii="Arial" w:hAnsi="Arial" w:cs="Arial"/>
          <w:color w:val="auto"/>
          <w:lang w:val="sk-SK"/>
        </w:rPr>
        <w:t>)</w:t>
      </w:r>
      <w:r w:rsidRPr="003B733D">
        <w:rPr>
          <w:rFonts w:ascii="Arial" w:hAnsi="Arial" w:cs="Arial"/>
          <w:color w:val="auto"/>
          <w:lang w:val="sk-SK"/>
        </w:rPr>
        <w:t>;</w:t>
      </w:r>
    </w:p>
    <w:p w:rsidR="005242C8" w:rsidRPr="003B733D" w:rsidP="005242C8">
      <w:pPr>
        <w:pStyle w:val="BodyTextIndent"/>
        <w:ind w:firstLine="360"/>
        <w:rPr>
          <w:rFonts w:ascii="Arial" w:hAnsi="Arial" w:cs="Arial"/>
          <w:b/>
          <w:bCs/>
          <w:color w:val="auto"/>
          <w:lang w:val="sk-SK"/>
        </w:rPr>
      </w:pPr>
    </w:p>
    <w:p w:rsidR="005242C8" w:rsidRPr="003B733D" w:rsidP="005242C8">
      <w:pPr>
        <w:pStyle w:val="BodyTextIndent"/>
        <w:ind w:firstLine="360"/>
        <w:rPr>
          <w:rFonts w:ascii="Arial" w:hAnsi="Arial" w:cs="Arial"/>
          <w:b/>
          <w:bCs/>
          <w:color w:val="auto"/>
          <w:lang w:val="sk-SK"/>
        </w:rPr>
      </w:pPr>
      <w:r w:rsidRPr="003B733D">
        <w:rPr>
          <w:rFonts w:ascii="Arial" w:hAnsi="Arial" w:cs="Arial"/>
          <w:b/>
          <w:bCs/>
          <w:color w:val="auto"/>
          <w:lang w:val="sk-SK"/>
        </w:rPr>
        <w:t xml:space="preserve">Výbor Národnej rady Slovenskej republiky </w:t>
      </w:r>
    </w:p>
    <w:p w:rsidR="005242C8" w:rsidRPr="003B733D" w:rsidP="005242C8">
      <w:pPr>
        <w:pStyle w:val="BodyTextIndent2"/>
        <w:ind w:firstLine="360"/>
        <w:rPr>
          <w:rFonts w:ascii="Arial" w:hAnsi="Arial" w:cs="Arial"/>
          <w:color w:val="auto"/>
          <w:lang w:val="sk-SK"/>
        </w:rPr>
      </w:pPr>
      <w:r w:rsidRPr="003B733D">
        <w:rPr>
          <w:rFonts w:ascii="Arial" w:hAnsi="Arial" w:cs="Arial"/>
          <w:b/>
          <w:color w:val="auto"/>
          <w:lang w:val="sk-SK"/>
        </w:rPr>
        <w:t>pre hospodárstvo, výstavbu a dopravu</w:t>
      </w:r>
      <w:r w:rsidRPr="003B733D">
        <w:rPr>
          <w:rFonts w:ascii="Arial" w:hAnsi="Arial" w:cs="Arial"/>
          <w:color w:val="auto"/>
          <w:lang w:val="sk-SK"/>
        </w:rPr>
        <w:t xml:space="preserve"> </w:t>
      </w:r>
    </w:p>
    <w:p w:rsidR="00345B39" w:rsidRPr="003B733D" w:rsidP="005242C8">
      <w:pPr>
        <w:pStyle w:val="BodyTextIndent2"/>
        <w:ind w:firstLine="360"/>
        <w:rPr>
          <w:rFonts w:ascii="Arial" w:hAnsi="Arial" w:cs="Arial"/>
          <w:color w:val="auto"/>
          <w:lang w:val="sk-SK"/>
        </w:rPr>
      </w:pPr>
    </w:p>
    <w:p w:rsidR="005242C8" w:rsidRPr="003B733D" w:rsidP="005242C8">
      <w:pPr>
        <w:pStyle w:val="Heading3"/>
        <w:numPr>
          <w:numId w:val="10"/>
        </w:numPr>
        <w:tabs>
          <w:tab w:val="left" w:pos="720"/>
        </w:tabs>
        <w:rPr>
          <w:rFonts w:ascii="Arial" w:hAnsi="Arial" w:cs="Arial"/>
          <w:color w:val="auto"/>
          <w:lang w:val="sk-SK"/>
        </w:rPr>
      </w:pPr>
      <w:r w:rsidRPr="003B733D">
        <w:rPr>
          <w:rFonts w:ascii="Arial" w:hAnsi="Arial" w:cs="Arial"/>
          <w:color w:val="auto"/>
          <w:lang w:val="sk-SK"/>
        </w:rPr>
        <w:t>s ú h l a s</w:t>
      </w:r>
      <w:r w:rsidRPr="003B733D" w:rsidR="00345B39">
        <w:rPr>
          <w:rFonts w:ascii="Arial" w:hAnsi="Arial" w:cs="Arial"/>
          <w:color w:val="auto"/>
          <w:lang w:val="sk-SK"/>
        </w:rPr>
        <w:t> </w:t>
      </w:r>
      <w:r w:rsidRPr="003B733D">
        <w:rPr>
          <w:rFonts w:ascii="Arial" w:hAnsi="Arial" w:cs="Arial"/>
          <w:color w:val="auto"/>
          <w:lang w:val="sk-SK"/>
        </w:rPr>
        <w:t>í</w:t>
      </w:r>
    </w:p>
    <w:p w:rsidR="005242C8" w:rsidRPr="003B733D" w:rsidP="005242C8">
      <w:pPr>
        <w:pStyle w:val="BodyTextIndent2"/>
        <w:rPr>
          <w:rFonts w:ascii="Arial" w:hAnsi="Arial" w:cs="Arial"/>
          <w:color w:val="auto"/>
          <w:u w:val="single"/>
          <w:lang w:val="sk-SK"/>
        </w:rPr>
      </w:pPr>
      <w:r w:rsidRPr="003B733D">
        <w:rPr>
          <w:rFonts w:ascii="Arial" w:hAnsi="Arial" w:cs="Arial"/>
          <w:color w:val="auto"/>
          <w:lang w:val="sk-SK"/>
        </w:rPr>
        <w:t xml:space="preserve">     s</w:t>
      </w:r>
      <w:r w:rsidRPr="003B733D" w:rsidR="00A96D39">
        <w:rPr>
          <w:rFonts w:ascii="Arial" w:hAnsi="Arial" w:cs="Arial"/>
          <w:color w:val="auto"/>
          <w:lang w:val="sk-SK"/>
        </w:rPr>
        <w:t xml:space="preserve"> vládnym </w:t>
      </w:r>
      <w:r w:rsidRPr="003B733D">
        <w:rPr>
          <w:rFonts w:ascii="Arial" w:hAnsi="Arial" w:cs="Arial"/>
          <w:color w:val="auto"/>
          <w:lang w:val="sk-SK"/>
        </w:rPr>
        <w:t xml:space="preserve">návrhom </w:t>
      </w:r>
      <w:r w:rsidRPr="003B733D" w:rsidR="00345B39">
        <w:rPr>
          <w:rFonts w:ascii="Arial" w:hAnsi="Arial" w:cs="Arial"/>
          <w:color w:val="auto"/>
          <w:lang w:val="sk-SK"/>
        </w:rPr>
        <w:t>zákona o prepravovateľných tlakových zariadeniach a o zmene a doplnení niektorých zákonov</w:t>
      </w:r>
      <w:r w:rsidRPr="003B733D" w:rsidR="005008C8">
        <w:rPr>
          <w:rFonts w:ascii="Arial" w:hAnsi="Arial" w:cs="Arial"/>
          <w:bCs/>
          <w:color w:val="auto"/>
          <w:lang w:val="sk-SK"/>
        </w:rPr>
        <w:t xml:space="preserve"> </w:t>
      </w:r>
      <w:r w:rsidRPr="003B733D" w:rsidR="008E6727">
        <w:rPr>
          <w:rFonts w:ascii="Arial" w:hAnsi="Arial" w:cs="Arial"/>
          <w:color w:val="auto"/>
          <w:lang w:val="sk-SK"/>
        </w:rPr>
        <w:t xml:space="preserve">(tlač </w:t>
      </w:r>
      <w:r w:rsidRPr="003B733D" w:rsidR="004626E2">
        <w:rPr>
          <w:rFonts w:ascii="Arial" w:hAnsi="Arial" w:cs="Arial"/>
          <w:b/>
          <w:color w:val="auto"/>
          <w:lang w:val="sk-SK"/>
        </w:rPr>
        <w:t>3</w:t>
      </w:r>
      <w:r w:rsidRPr="003B733D" w:rsidR="005008C8">
        <w:rPr>
          <w:rFonts w:ascii="Arial" w:hAnsi="Arial" w:cs="Arial"/>
          <w:b/>
          <w:color w:val="auto"/>
          <w:lang w:val="sk-SK"/>
        </w:rPr>
        <w:t>2</w:t>
      </w:r>
      <w:r w:rsidRPr="003B733D" w:rsidR="00345B39">
        <w:rPr>
          <w:rFonts w:ascii="Arial" w:hAnsi="Arial" w:cs="Arial"/>
          <w:b/>
          <w:color w:val="auto"/>
          <w:lang w:val="sk-SK"/>
        </w:rPr>
        <w:t>8</w:t>
      </w:r>
      <w:r w:rsidRPr="003B733D" w:rsidR="008E6727">
        <w:rPr>
          <w:rFonts w:ascii="Arial" w:hAnsi="Arial" w:cs="Arial"/>
          <w:color w:val="auto"/>
          <w:lang w:val="sk-SK"/>
        </w:rPr>
        <w:t>)</w:t>
      </w:r>
      <w:r w:rsidRPr="003B733D">
        <w:rPr>
          <w:rFonts w:ascii="Arial" w:hAnsi="Arial" w:cs="Arial"/>
          <w:color w:val="auto"/>
          <w:lang w:val="sk-SK"/>
        </w:rPr>
        <w:t xml:space="preserve">; </w:t>
      </w:r>
    </w:p>
    <w:p w:rsidR="005242C8" w:rsidRPr="003B733D" w:rsidP="005242C8">
      <w:pPr>
        <w:tabs>
          <w:tab w:val="left" w:pos="-1985"/>
          <w:tab w:val="left" w:pos="709"/>
          <w:tab w:val="left" w:pos="1077"/>
        </w:tabs>
        <w:jc w:val="both"/>
        <w:rPr>
          <w:rFonts w:ascii="Arial" w:hAnsi="Arial" w:cs="Arial"/>
        </w:rPr>
      </w:pPr>
    </w:p>
    <w:p w:rsidR="005242C8" w:rsidRPr="003B733D" w:rsidP="005242C8">
      <w:pPr>
        <w:pStyle w:val="Heading4"/>
        <w:numPr>
          <w:ilvl w:val="0"/>
          <w:numId w:val="9"/>
        </w:numPr>
        <w:tabs>
          <w:tab w:val="left" w:pos="720"/>
        </w:tabs>
        <w:rPr>
          <w:rFonts w:ascii="Arial" w:hAnsi="Arial" w:cs="Arial"/>
          <w:color w:val="auto"/>
          <w:lang w:val="sk-SK"/>
        </w:rPr>
      </w:pPr>
      <w:r w:rsidRPr="003B733D">
        <w:rPr>
          <w:rFonts w:ascii="Arial" w:hAnsi="Arial" w:cs="Arial"/>
          <w:color w:val="auto"/>
          <w:lang w:val="sk-SK"/>
        </w:rPr>
        <w:t>o d p o r ú č a</w:t>
      </w:r>
    </w:p>
    <w:p w:rsidR="005242C8" w:rsidRPr="003B733D" w:rsidP="005242C8">
      <w:pPr>
        <w:pStyle w:val="Heading1"/>
        <w:spacing w:line="240" w:lineRule="auto"/>
        <w:ind w:firstLine="360"/>
        <w:rPr>
          <w:rFonts w:ascii="Arial" w:hAnsi="Arial" w:cs="Arial"/>
        </w:rPr>
      </w:pPr>
      <w:r w:rsidRPr="003B733D">
        <w:rPr>
          <w:rFonts w:ascii="Arial" w:hAnsi="Arial" w:cs="Arial"/>
        </w:rPr>
        <w:t xml:space="preserve">     Národnej rade Slovenskej republiky</w:t>
      </w:r>
    </w:p>
    <w:p w:rsidR="005242C8" w:rsidRPr="00552051" w:rsidP="005242C8">
      <w:pPr>
        <w:pStyle w:val="BodyTextIndent2"/>
        <w:ind w:firstLine="360"/>
        <w:rPr>
          <w:rFonts w:ascii="Arial" w:hAnsi="Arial" w:cs="Arial"/>
          <w:color w:val="auto"/>
          <w:u w:val="single"/>
          <w:lang w:val="sk-SK"/>
        </w:rPr>
      </w:pPr>
      <w:r w:rsidRPr="003B733D">
        <w:rPr>
          <w:rFonts w:ascii="Arial" w:hAnsi="Arial" w:cs="Arial"/>
          <w:color w:val="auto"/>
          <w:lang w:val="sk-SK"/>
        </w:rPr>
        <w:t xml:space="preserve">     </w:t>
      </w:r>
      <w:r w:rsidRPr="003B733D" w:rsidR="00A96D39">
        <w:rPr>
          <w:rFonts w:ascii="Arial" w:hAnsi="Arial" w:cs="Arial"/>
          <w:color w:val="auto"/>
          <w:lang w:val="sk-SK"/>
        </w:rPr>
        <w:t xml:space="preserve">vládny </w:t>
      </w:r>
      <w:r w:rsidRPr="003B733D" w:rsidR="00154657">
        <w:rPr>
          <w:rFonts w:ascii="Arial" w:hAnsi="Arial" w:cs="Arial"/>
          <w:color w:val="auto"/>
          <w:lang w:val="sk-SK"/>
        </w:rPr>
        <w:t xml:space="preserve">návrh </w:t>
      </w:r>
      <w:r w:rsidRPr="003B733D" w:rsidR="00FF3C83">
        <w:rPr>
          <w:rFonts w:ascii="Arial" w:hAnsi="Arial" w:cs="Arial"/>
          <w:color w:val="auto"/>
          <w:lang w:val="sk-SK"/>
        </w:rPr>
        <w:t xml:space="preserve">zákona o prepravovateľných tlakových zariadeniach a o zmene a doplnení niektorých zákonov </w:t>
      </w:r>
      <w:r w:rsidRPr="003B733D" w:rsidR="008E6727">
        <w:rPr>
          <w:rFonts w:ascii="Arial" w:hAnsi="Arial" w:cs="Arial"/>
          <w:color w:val="auto"/>
          <w:lang w:val="sk-SK"/>
        </w:rPr>
        <w:t xml:space="preserve">(tlač </w:t>
      </w:r>
      <w:r w:rsidRPr="003B733D" w:rsidR="008E6727">
        <w:rPr>
          <w:rFonts w:ascii="Arial" w:hAnsi="Arial" w:cs="Arial"/>
          <w:b/>
          <w:color w:val="auto"/>
          <w:lang w:val="sk-SK"/>
        </w:rPr>
        <w:t>3</w:t>
      </w:r>
      <w:r w:rsidRPr="003B733D" w:rsidR="005008C8">
        <w:rPr>
          <w:rFonts w:ascii="Arial" w:hAnsi="Arial" w:cs="Arial"/>
          <w:b/>
          <w:color w:val="auto"/>
          <w:lang w:val="sk-SK"/>
        </w:rPr>
        <w:t>2</w:t>
      </w:r>
      <w:r w:rsidRPr="003B733D" w:rsidR="00345B39">
        <w:rPr>
          <w:rFonts w:ascii="Arial" w:hAnsi="Arial" w:cs="Arial"/>
          <w:b/>
          <w:color w:val="auto"/>
          <w:lang w:val="sk-SK"/>
        </w:rPr>
        <w:t>8</w:t>
      </w:r>
      <w:r w:rsidRPr="00552051" w:rsidR="008E6727">
        <w:rPr>
          <w:rFonts w:ascii="Arial" w:hAnsi="Arial" w:cs="Arial"/>
          <w:color w:val="auto"/>
          <w:u w:val="single"/>
          <w:lang w:val="sk-SK"/>
        </w:rPr>
        <w:t>)</w:t>
      </w:r>
      <w:r w:rsidRPr="00552051" w:rsidR="00106567">
        <w:rPr>
          <w:rFonts w:ascii="Arial" w:hAnsi="Arial" w:cs="Arial"/>
          <w:color w:val="auto"/>
          <w:u w:val="single"/>
          <w:lang w:val="sk-SK"/>
        </w:rPr>
        <w:t xml:space="preserve"> </w:t>
      </w:r>
      <w:r w:rsidRPr="00552051">
        <w:rPr>
          <w:rFonts w:ascii="Arial" w:hAnsi="Arial" w:cs="Arial"/>
          <w:color w:val="auto"/>
          <w:u w:val="single"/>
          <w:lang w:val="sk-SK"/>
        </w:rPr>
        <w:t>s</w:t>
      </w:r>
      <w:r w:rsidRPr="00552051">
        <w:rPr>
          <w:rFonts w:ascii="Arial" w:hAnsi="Arial" w:cs="Arial"/>
          <w:bCs/>
          <w:color w:val="auto"/>
          <w:u w:val="single"/>
          <w:lang w:val="sk-SK"/>
        </w:rPr>
        <w:t xml:space="preserve">chváliť s pozmeňujúcimi a doplňujúcimi návrhmi; </w:t>
      </w:r>
    </w:p>
    <w:p w:rsidR="005242C8" w:rsidRPr="003B733D" w:rsidP="005242C8">
      <w:pPr>
        <w:ind w:firstLine="360"/>
        <w:jc w:val="both"/>
        <w:rPr>
          <w:rFonts w:ascii="Arial" w:hAnsi="Arial" w:cs="Arial"/>
        </w:rPr>
      </w:pPr>
    </w:p>
    <w:p w:rsidR="005242C8" w:rsidRPr="003B733D" w:rsidP="005242C8">
      <w:pPr>
        <w:pStyle w:val="Heading4"/>
        <w:numPr>
          <w:ilvl w:val="0"/>
          <w:numId w:val="8"/>
        </w:numPr>
        <w:tabs>
          <w:tab w:val="left" w:pos="720"/>
        </w:tabs>
        <w:rPr>
          <w:rFonts w:ascii="Arial" w:hAnsi="Arial" w:cs="Arial"/>
          <w:color w:val="auto"/>
          <w:lang w:val="sk-SK"/>
        </w:rPr>
      </w:pPr>
      <w:r w:rsidRPr="003B733D">
        <w:rPr>
          <w:rFonts w:ascii="Arial" w:hAnsi="Arial" w:cs="Arial"/>
          <w:color w:val="auto"/>
          <w:lang w:val="sk-SK"/>
        </w:rPr>
        <w:t>p o v e r u j e</w:t>
      </w:r>
    </w:p>
    <w:p w:rsidR="005242C8" w:rsidRPr="003B733D" w:rsidP="005242C8">
      <w:pPr>
        <w:numPr>
          <w:ilvl w:val="0"/>
          <w:numId w:val="3"/>
        </w:numPr>
        <w:tabs>
          <w:tab w:val="left" w:pos="720"/>
        </w:tabs>
        <w:jc w:val="both"/>
        <w:rPr>
          <w:rFonts w:ascii="Arial" w:hAnsi="Arial" w:cs="Arial"/>
        </w:rPr>
      </w:pPr>
      <w:r w:rsidRPr="003B733D">
        <w:rPr>
          <w:rFonts w:ascii="Arial" w:hAnsi="Arial" w:cs="Arial"/>
        </w:rPr>
        <w:t>predsedu výboru, aby výsl</w:t>
      </w:r>
      <w:r w:rsidRPr="003B733D">
        <w:rPr>
          <w:rFonts w:ascii="Arial" w:hAnsi="Arial" w:cs="Arial"/>
        </w:rPr>
        <w:t>edky rokova</w:t>
      </w:r>
      <w:r w:rsidRPr="003B733D" w:rsidR="002F0468">
        <w:rPr>
          <w:rFonts w:ascii="Arial" w:hAnsi="Arial" w:cs="Arial"/>
        </w:rPr>
        <w:t>nia  výboru  v  druhom čítaní zo 16</w:t>
      </w:r>
      <w:r w:rsidRPr="003B733D" w:rsidR="00C62C12">
        <w:rPr>
          <w:rFonts w:ascii="Arial" w:hAnsi="Arial" w:cs="Arial"/>
        </w:rPr>
        <w:t>.</w:t>
      </w:r>
      <w:r w:rsidRPr="003B733D">
        <w:rPr>
          <w:rFonts w:ascii="Arial" w:hAnsi="Arial" w:cs="Arial"/>
        </w:rPr>
        <w:t xml:space="preserve"> </w:t>
      </w:r>
      <w:r w:rsidRPr="003B733D" w:rsidR="002F0468">
        <w:rPr>
          <w:rFonts w:ascii="Arial" w:hAnsi="Arial" w:cs="Arial"/>
        </w:rPr>
        <w:t>júna</w:t>
      </w:r>
      <w:r w:rsidRPr="003B733D" w:rsidR="004B21BB">
        <w:rPr>
          <w:rFonts w:ascii="Arial" w:hAnsi="Arial" w:cs="Arial"/>
        </w:rPr>
        <w:t xml:space="preserve"> 2011</w:t>
      </w:r>
      <w:r w:rsidRPr="003B733D">
        <w:rPr>
          <w:rFonts w:ascii="Arial" w:hAnsi="Arial" w:cs="Arial"/>
        </w:rPr>
        <w:t xml:space="preserve"> spolu s výsledkami rokovania ostatných výborov spracoval do písomnej spoločnej správy výborov v súlade s § 79 ods. 1 zákona Národnej rady Slovenskej republiky </w:t>
      </w:r>
      <w:r w:rsidRPr="003B733D">
        <w:rPr>
          <w:rFonts w:ascii="Arial" w:hAnsi="Arial" w:cs="Arial"/>
          <w:bCs/>
        </w:rPr>
        <w:t>č. 350/1996 Z. z. o</w:t>
      </w:r>
      <w:r w:rsidRPr="003B733D">
        <w:rPr>
          <w:rFonts w:ascii="Arial" w:hAnsi="Arial" w:cs="Arial"/>
        </w:rPr>
        <w:t xml:space="preserve"> rokovacom poriadku Národnej rady Slovenskej republiky v znení neskorších predpisov a predložil ju na schválenie gestorskému výboru,</w:t>
      </w:r>
    </w:p>
    <w:p w:rsidR="00345B39" w:rsidRPr="003B733D" w:rsidP="00345B39">
      <w:pPr>
        <w:ind w:left="360"/>
        <w:jc w:val="both"/>
        <w:rPr>
          <w:rFonts w:ascii="Arial" w:hAnsi="Arial" w:cs="Arial"/>
        </w:rPr>
      </w:pPr>
    </w:p>
    <w:p w:rsidR="005242C8" w:rsidRPr="003B733D" w:rsidP="005242C8">
      <w:pPr>
        <w:numPr>
          <w:ilvl w:val="0"/>
          <w:numId w:val="3"/>
        </w:numPr>
        <w:tabs>
          <w:tab w:val="left" w:pos="720"/>
        </w:tabs>
        <w:jc w:val="both"/>
        <w:rPr>
          <w:rFonts w:ascii="Arial" w:hAnsi="Arial" w:cs="Arial"/>
          <w:bCs/>
        </w:rPr>
      </w:pPr>
      <w:r w:rsidRPr="003B733D">
        <w:rPr>
          <w:rFonts w:ascii="Arial" w:hAnsi="Arial" w:cs="Arial"/>
          <w:bCs/>
        </w:rPr>
        <w:t xml:space="preserve">spoločného spravodajcu výborov </w:t>
      </w:r>
      <w:r w:rsidRPr="003B733D" w:rsidR="00345B39">
        <w:rPr>
          <w:rFonts w:ascii="Arial" w:hAnsi="Arial" w:cs="Arial"/>
          <w:bCs/>
        </w:rPr>
        <w:t>M. Kondróta</w:t>
      </w:r>
      <w:r w:rsidRPr="003B733D" w:rsidR="002F0468">
        <w:rPr>
          <w:rFonts w:ascii="Arial" w:hAnsi="Arial" w:cs="Arial"/>
          <w:bCs/>
        </w:rPr>
        <w:t xml:space="preserve"> </w:t>
      </w:r>
      <w:r w:rsidRPr="003B733D">
        <w:rPr>
          <w:rFonts w:ascii="Arial" w:hAnsi="Arial" w:cs="Arial"/>
          <w:bCs/>
        </w:rPr>
        <w:t>(</w:t>
      </w:r>
      <w:r w:rsidRPr="003B733D" w:rsidR="00345B39">
        <w:rPr>
          <w:rFonts w:ascii="Arial" w:hAnsi="Arial" w:cs="Arial"/>
          <w:bCs/>
        </w:rPr>
        <w:t>P. Žigu</w:t>
      </w:r>
      <w:r w:rsidRPr="003B733D">
        <w:rPr>
          <w:rFonts w:ascii="Arial" w:hAnsi="Arial" w:cs="Arial"/>
          <w:bCs/>
        </w:rPr>
        <w:t>), aby v súlade s § 80 ods. 2 zákona Národnej rady Slovenskej republiky č. 350/1996 Z. z. o</w:t>
      </w:r>
      <w:r w:rsidRPr="003B733D">
        <w:rPr>
          <w:rFonts w:ascii="Arial" w:hAnsi="Arial" w:cs="Arial"/>
          <w:bCs/>
        </w:rPr>
        <w:t xml:space="preserve"> rokovacom poriadku Národnej rady Slovenskej republiky v znení neskorších  predpisov  informoval  o výsledku rokovania výborov a aby odôvodnil návrh a stanovisko</w:t>
      </w:r>
      <w:r w:rsidRPr="003B733D">
        <w:rPr>
          <w:rFonts w:ascii="Arial" w:hAnsi="Arial" w:cs="Arial"/>
        </w:rPr>
        <w:t xml:space="preserve"> </w:t>
      </w:r>
      <w:r w:rsidRPr="003B733D">
        <w:rPr>
          <w:rFonts w:ascii="Arial" w:hAnsi="Arial" w:cs="Arial"/>
          <w:bCs/>
        </w:rPr>
        <w:t>gestorského výboru k návrhu zákona uvedené v spoločnej správe výborov na schôdzi Národnej rady</w:t>
      </w:r>
      <w:r w:rsidRPr="003B733D">
        <w:rPr>
          <w:rFonts w:ascii="Arial" w:hAnsi="Arial" w:cs="Arial"/>
          <w:bCs/>
        </w:rPr>
        <w:t xml:space="preserve"> Slovenskej republiky.</w:t>
      </w:r>
    </w:p>
    <w:p w:rsidR="005242C8" w:rsidRPr="003B733D" w:rsidP="005242C8">
      <w:pPr>
        <w:jc w:val="both"/>
        <w:rPr>
          <w:rFonts w:ascii="Arial" w:hAnsi="Arial" w:cs="Arial"/>
          <w:bCs/>
        </w:rPr>
      </w:pPr>
    </w:p>
    <w:p w:rsidR="005242C8" w:rsidRPr="003B733D" w:rsidP="005242C8">
      <w:pPr>
        <w:jc w:val="both"/>
        <w:rPr>
          <w:rFonts w:ascii="Arial" w:hAnsi="Arial" w:cs="Arial"/>
          <w:bCs/>
        </w:rPr>
      </w:pPr>
    </w:p>
    <w:p w:rsidR="004626E2" w:rsidRPr="003B733D" w:rsidP="005242C8">
      <w:pPr>
        <w:jc w:val="both"/>
        <w:rPr>
          <w:rFonts w:ascii="Arial" w:hAnsi="Arial" w:cs="Arial"/>
          <w:bCs/>
        </w:rPr>
      </w:pPr>
    </w:p>
    <w:p w:rsidR="008E6727" w:rsidRPr="003B733D" w:rsidP="005242C8">
      <w:pPr>
        <w:jc w:val="both"/>
        <w:rPr>
          <w:rFonts w:ascii="Arial" w:hAnsi="Arial" w:cs="Arial"/>
          <w:bCs/>
        </w:rPr>
      </w:pPr>
    </w:p>
    <w:p w:rsidR="0085008B" w:rsidRPr="003B733D" w:rsidP="005242C8">
      <w:pPr>
        <w:jc w:val="both"/>
        <w:rPr>
          <w:rFonts w:ascii="Arial" w:hAnsi="Arial" w:cs="Arial"/>
        </w:rPr>
      </w:pPr>
    </w:p>
    <w:p w:rsidR="005242C8" w:rsidRPr="003B733D" w:rsidP="005242C8">
      <w:pPr>
        <w:jc w:val="both"/>
        <w:rPr>
          <w:rFonts w:ascii="Arial" w:hAnsi="Arial" w:cs="Arial"/>
          <w:b/>
        </w:rPr>
      </w:pPr>
      <w:r w:rsidRPr="003B733D">
        <w:rPr>
          <w:rFonts w:ascii="Arial" w:hAnsi="Arial" w:cs="Arial"/>
        </w:rPr>
        <w:t xml:space="preserve">                                                                                                      Stanislav  </w:t>
      </w:r>
      <w:r w:rsidRPr="003B733D">
        <w:rPr>
          <w:rFonts w:ascii="Arial" w:hAnsi="Arial" w:cs="Arial"/>
          <w:b/>
          <w:bCs/>
        </w:rPr>
        <w:t>J a n i š</w:t>
      </w:r>
      <w:r w:rsidRPr="003B733D">
        <w:rPr>
          <w:rFonts w:ascii="Arial" w:hAnsi="Arial" w:cs="Arial"/>
          <w:b/>
        </w:rPr>
        <w:t xml:space="preserve"> </w:t>
      </w:r>
    </w:p>
    <w:p w:rsidR="005242C8" w:rsidRPr="003B733D" w:rsidP="005242C8">
      <w:pPr>
        <w:jc w:val="both"/>
        <w:rPr>
          <w:rFonts w:ascii="Arial" w:hAnsi="Arial" w:cs="Arial"/>
        </w:rPr>
      </w:pPr>
      <w:r w:rsidRPr="003B733D">
        <w:rPr>
          <w:rFonts w:ascii="Arial" w:hAnsi="Arial" w:cs="Arial"/>
        </w:rPr>
        <w:t xml:space="preserve">                                                                                                        predseda výboru</w:t>
      </w:r>
    </w:p>
    <w:p w:rsidR="005242C8" w:rsidRPr="003B733D" w:rsidP="005242C8">
      <w:pPr>
        <w:jc w:val="both"/>
        <w:rPr>
          <w:rFonts w:ascii="Arial" w:hAnsi="Arial" w:cs="Arial"/>
        </w:rPr>
      </w:pPr>
      <w:r w:rsidRPr="003B733D">
        <w:rPr>
          <w:rFonts w:ascii="Arial" w:hAnsi="Arial" w:cs="Arial"/>
        </w:rPr>
        <w:t>overovateľ výboru</w:t>
      </w:r>
    </w:p>
    <w:p w:rsidR="00154657" w:rsidRPr="003B733D" w:rsidP="005242C8">
      <w:pPr>
        <w:jc w:val="both"/>
        <w:rPr>
          <w:rFonts w:ascii="Arial" w:hAnsi="Arial" w:cs="Arial"/>
          <w:b/>
          <w:bCs/>
        </w:rPr>
      </w:pPr>
      <w:r w:rsidRPr="003B733D" w:rsidR="003E1932">
        <w:rPr>
          <w:rFonts w:ascii="Arial" w:hAnsi="Arial" w:cs="Arial"/>
        </w:rPr>
        <w:t>Maroš</w:t>
      </w:r>
      <w:r w:rsidRPr="003B733D" w:rsidR="00DC2F07">
        <w:rPr>
          <w:rFonts w:ascii="Arial" w:hAnsi="Arial" w:cs="Arial"/>
        </w:rPr>
        <w:t xml:space="preserve"> </w:t>
      </w:r>
      <w:r w:rsidRPr="003B733D" w:rsidR="006A3860">
        <w:rPr>
          <w:rFonts w:ascii="Arial" w:hAnsi="Arial" w:cs="Arial"/>
        </w:rPr>
        <w:t xml:space="preserve"> </w:t>
      </w:r>
      <w:r w:rsidRPr="003B733D" w:rsidR="003E1932">
        <w:rPr>
          <w:rFonts w:ascii="Arial" w:hAnsi="Arial" w:cs="Arial"/>
          <w:b/>
          <w:bCs/>
        </w:rPr>
        <w:t>K o n d r ó t</w:t>
      </w:r>
    </w:p>
    <w:p w:rsidR="005242C8" w:rsidRPr="003B733D" w:rsidP="005242C8">
      <w:pPr>
        <w:pStyle w:val="Heading2"/>
        <w:ind w:left="708" w:firstLine="708"/>
        <w:jc w:val="both"/>
        <w:rPr>
          <w:rFonts w:ascii="Arial" w:hAnsi="Arial" w:cs="Arial"/>
          <w:bCs/>
          <w:i/>
          <w:color w:val="auto"/>
          <w:sz w:val="24"/>
          <w:szCs w:val="24"/>
          <w:lang w:val="sk-SK"/>
        </w:rPr>
      </w:pPr>
      <w:r w:rsidRPr="003B733D">
        <w:rPr>
          <w:rFonts w:ascii="Arial" w:hAnsi="Arial" w:cs="Arial"/>
          <w:bCs/>
          <w:i/>
          <w:color w:val="auto"/>
          <w:sz w:val="24"/>
          <w:szCs w:val="24"/>
          <w:lang w:val="sk-SK"/>
        </w:rPr>
        <w:t xml:space="preserve"> Výbor</w:t>
      </w:r>
    </w:p>
    <w:p w:rsidR="005242C8" w:rsidRPr="003B733D" w:rsidP="005242C8">
      <w:pPr>
        <w:spacing w:line="240" w:lineRule="atLeast"/>
        <w:jc w:val="both"/>
        <w:rPr>
          <w:rFonts w:ascii="Arial" w:hAnsi="Arial" w:cs="Arial"/>
          <w:bCs/>
          <w:i/>
          <w:iCs/>
        </w:rPr>
      </w:pPr>
      <w:r w:rsidRPr="003B733D">
        <w:rPr>
          <w:rFonts w:ascii="Arial" w:hAnsi="Arial" w:cs="Arial"/>
          <w:bCs/>
          <w:i/>
          <w:iCs/>
        </w:rPr>
        <w:t xml:space="preserve">  Národnej rady Slovenskej republiky</w:t>
      </w:r>
    </w:p>
    <w:p w:rsidR="005242C8" w:rsidRPr="003B733D" w:rsidP="005242C8">
      <w:pPr>
        <w:spacing w:line="240" w:lineRule="atLeast"/>
        <w:jc w:val="both"/>
        <w:rPr>
          <w:rFonts w:ascii="Arial" w:hAnsi="Arial" w:cs="Arial"/>
          <w:bCs/>
          <w:i/>
          <w:iCs/>
        </w:rPr>
      </w:pPr>
      <w:r w:rsidRPr="003B733D">
        <w:rPr>
          <w:rFonts w:ascii="Arial" w:hAnsi="Arial" w:cs="Arial"/>
          <w:i/>
        </w:rPr>
        <w:t xml:space="preserve">pre hospodárstvo, výstavbu a dopravu </w:t>
      </w:r>
    </w:p>
    <w:p w:rsidR="005242C8" w:rsidRPr="003B733D" w:rsidP="005242C8">
      <w:pPr>
        <w:spacing w:line="240" w:lineRule="atLeast"/>
        <w:ind w:firstLine="6840"/>
        <w:jc w:val="both"/>
        <w:rPr>
          <w:rFonts w:ascii="Arial" w:hAnsi="Arial" w:cs="Arial"/>
          <w:bCs/>
        </w:rPr>
      </w:pPr>
      <w:r w:rsidRPr="003B733D">
        <w:rPr>
          <w:rFonts w:ascii="Arial" w:hAnsi="Arial" w:cs="Arial"/>
          <w:bCs/>
        </w:rPr>
        <w:t xml:space="preserve">Príloha </w:t>
      </w:r>
    </w:p>
    <w:p w:rsidR="005242C8" w:rsidRPr="003B733D" w:rsidP="005242C8">
      <w:pPr>
        <w:spacing w:line="240" w:lineRule="atLeast"/>
        <w:ind w:left="6840"/>
        <w:jc w:val="both"/>
        <w:rPr>
          <w:rFonts w:ascii="Arial" w:hAnsi="Arial" w:cs="Arial"/>
          <w:bCs/>
        </w:rPr>
      </w:pPr>
      <w:r w:rsidRPr="003B733D" w:rsidR="003C4821">
        <w:rPr>
          <w:rFonts w:ascii="Arial" w:hAnsi="Arial" w:cs="Arial"/>
          <w:bCs/>
        </w:rPr>
        <w:t xml:space="preserve">k uzneseniu č. </w:t>
      </w:r>
      <w:r w:rsidRPr="003B733D" w:rsidR="00275D7F">
        <w:rPr>
          <w:rFonts w:ascii="Arial" w:hAnsi="Arial" w:cs="Arial"/>
          <w:bCs/>
        </w:rPr>
        <w:t>146</w:t>
      </w:r>
    </w:p>
    <w:p w:rsidR="005242C8" w:rsidRPr="003B733D" w:rsidP="005242C8">
      <w:pPr>
        <w:spacing w:line="240" w:lineRule="atLeast"/>
        <w:ind w:left="6840"/>
        <w:jc w:val="both"/>
        <w:rPr>
          <w:rFonts w:ascii="Arial" w:hAnsi="Arial" w:cs="Arial"/>
          <w:bCs/>
        </w:rPr>
      </w:pPr>
    </w:p>
    <w:p w:rsidR="005242C8" w:rsidRPr="003B733D" w:rsidP="005242C8">
      <w:pPr>
        <w:pStyle w:val="Heading5"/>
        <w:rPr>
          <w:rFonts w:ascii="Arial" w:hAnsi="Arial" w:cs="Arial"/>
          <w:bCs/>
        </w:rPr>
      </w:pPr>
      <w:r w:rsidRPr="003B733D">
        <w:rPr>
          <w:rFonts w:ascii="Arial" w:hAnsi="Arial" w:cs="Arial"/>
        </w:rPr>
        <w:t>Z m e n y  a  d o p l n k y</w:t>
      </w:r>
    </w:p>
    <w:p w:rsidR="005242C8" w:rsidRPr="003B733D" w:rsidP="005242C8">
      <w:pPr>
        <w:pBdr>
          <w:bottom w:val="single" w:sz="12" w:space="1" w:color="auto"/>
        </w:pBdr>
        <w:tabs>
          <w:tab w:val="left" w:pos="-1985"/>
          <w:tab w:val="left" w:pos="709"/>
          <w:tab w:val="left" w:pos="1077"/>
        </w:tabs>
        <w:jc w:val="center"/>
        <w:rPr>
          <w:rStyle w:val="Strong"/>
          <w:rFonts w:ascii="Arial" w:hAnsi="Arial" w:cs="Arial"/>
          <w:b w:val="0"/>
          <w:color w:val="000000"/>
        </w:rPr>
      </w:pPr>
      <w:r w:rsidRPr="003B733D">
        <w:rPr>
          <w:rFonts w:ascii="Arial" w:hAnsi="Arial" w:cs="Arial"/>
        </w:rPr>
        <w:t>k</w:t>
      </w:r>
      <w:r w:rsidRPr="003B733D" w:rsidR="00A96D39">
        <w:rPr>
          <w:rFonts w:ascii="Arial" w:hAnsi="Arial" w:cs="Arial"/>
        </w:rPr>
        <w:t xml:space="preserve"> vládnemu návrhu </w:t>
      </w:r>
      <w:r w:rsidRPr="003B733D" w:rsidR="00FF3C83">
        <w:rPr>
          <w:rFonts w:ascii="Arial" w:hAnsi="Arial" w:cs="Arial"/>
        </w:rPr>
        <w:t xml:space="preserve">zákona o prepravovateľných tlakových zariadeniach a o zmene </w:t>
      </w:r>
      <w:r w:rsidRPr="003B733D" w:rsidR="00FF3C83">
        <w:rPr>
          <w:rFonts w:ascii="Arial" w:hAnsi="Arial" w:cs="Arial"/>
        </w:rPr>
        <w:t xml:space="preserve">a doplnení niektorých zákonov </w:t>
      </w:r>
      <w:r w:rsidRPr="003B733D" w:rsidR="008E6727">
        <w:rPr>
          <w:rFonts w:ascii="Arial" w:hAnsi="Arial" w:cs="Arial"/>
        </w:rPr>
        <w:t xml:space="preserve">(tlač </w:t>
      </w:r>
      <w:r w:rsidRPr="003B733D" w:rsidR="008E6727">
        <w:rPr>
          <w:rFonts w:ascii="Arial" w:hAnsi="Arial" w:cs="Arial"/>
          <w:b/>
        </w:rPr>
        <w:t>3</w:t>
      </w:r>
      <w:r w:rsidRPr="003B733D" w:rsidR="005008C8">
        <w:rPr>
          <w:rFonts w:ascii="Arial" w:hAnsi="Arial" w:cs="Arial"/>
          <w:b/>
        </w:rPr>
        <w:t>2</w:t>
      </w:r>
      <w:r w:rsidRPr="003B733D" w:rsidR="00345B39">
        <w:rPr>
          <w:rFonts w:ascii="Arial" w:hAnsi="Arial" w:cs="Arial"/>
          <w:b/>
        </w:rPr>
        <w:t>8</w:t>
      </w:r>
      <w:r w:rsidRPr="003B733D" w:rsidR="008E6727">
        <w:rPr>
          <w:rFonts w:ascii="Arial" w:hAnsi="Arial" w:cs="Arial"/>
        </w:rPr>
        <w:t>)</w:t>
      </w:r>
    </w:p>
    <w:p w:rsidR="007B4455" w:rsidRPr="003B733D" w:rsidP="00A36A70">
      <w:pPr>
        <w:pStyle w:val="BodyTextIndent"/>
        <w:ind w:firstLine="360"/>
        <w:rPr>
          <w:rFonts w:ascii="Arial" w:hAnsi="Arial" w:cs="Arial"/>
          <w:b/>
          <w:color w:val="auto"/>
          <w:szCs w:val="24"/>
          <w:lang w:val="sk-SK"/>
        </w:rPr>
      </w:pPr>
    </w:p>
    <w:p w:rsidR="00F4034B" w:rsidRPr="003B733D" w:rsidP="00F4034B">
      <w:pPr>
        <w:pStyle w:val="ListParagraph"/>
        <w:numPr>
          <w:ilvl w:val="0"/>
          <w:numId w:val="42"/>
        </w:numPr>
        <w:tabs>
          <w:tab w:val="left" w:pos="720"/>
        </w:tabs>
        <w:contextualSpacing/>
        <w:jc w:val="both"/>
        <w:rPr>
          <w:rFonts w:ascii="Arial" w:hAnsi="Arial" w:cs="Arial"/>
        </w:rPr>
      </w:pPr>
      <w:r w:rsidRPr="00CA4DCD">
        <w:rPr>
          <w:rFonts w:ascii="Arial" w:hAnsi="Arial" w:cs="Arial"/>
          <w:u w:val="single"/>
        </w:rPr>
        <w:t>V čl. I v § 1 písm. g)</w:t>
      </w:r>
      <w:r w:rsidRPr="003B733D">
        <w:rPr>
          <w:rFonts w:ascii="Arial" w:hAnsi="Arial" w:cs="Arial"/>
        </w:rPr>
        <w:t xml:space="preserve"> sa slová „ukladanie priestupkov a iných správnych deliktov“ nahrádzajú slovami „ukladanie sankcii za priestupky a iné správne delikty“.</w:t>
      </w:r>
    </w:p>
    <w:p w:rsidR="00F4034B" w:rsidRPr="003B733D" w:rsidP="00F4034B">
      <w:pPr>
        <w:pStyle w:val="ListParagraph"/>
        <w:ind w:left="2832" w:firstLine="708"/>
        <w:rPr>
          <w:rFonts w:ascii="Arial" w:hAnsi="Arial" w:cs="Arial"/>
        </w:rPr>
      </w:pPr>
    </w:p>
    <w:p w:rsidR="00F4034B" w:rsidRPr="003B733D" w:rsidP="00F4034B">
      <w:pPr>
        <w:pStyle w:val="ListParagraph"/>
        <w:ind w:left="2340"/>
        <w:rPr>
          <w:rFonts w:ascii="Arial" w:hAnsi="Arial" w:cs="Arial"/>
        </w:rPr>
      </w:pPr>
      <w:r w:rsidRPr="003B733D">
        <w:rPr>
          <w:rFonts w:ascii="Arial" w:hAnsi="Arial" w:cs="Arial"/>
        </w:rPr>
        <w:t>Precizuje sa znenie tohto ustanovenia.</w:t>
      </w:r>
    </w:p>
    <w:p w:rsidR="00F4034B" w:rsidP="00F4034B">
      <w:pPr>
        <w:pStyle w:val="ListParagraph"/>
        <w:ind w:left="2124"/>
        <w:rPr>
          <w:rFonts w:ascii="Arial" w:hAnsi="Arial" w:cs="Arial"/>
        </w:rPr>
      </w:pPr>
    </w:p>
    <w:p w:rsidR="00CA4DCD" w:rsidRPr="00CA4DCD" w:rsidP="00CA4DCD">
      <w:pPr>
        <w:pStyle w:val="ListParagraph"/>
        <w:keepNext/>
        <w:keepLines/>
        <w:numPr>
          <w:ilvl w:val="0"/>
          <w:numId w:val="42"/>
        </w:numPr>
        <w:tabs>
          <w:tab w:val="left" w:pos="720"/>
        </w:tabs>
        <w:jc w:val="both"/>
        <w:rPr>
          <w:rFonts w:ascii="Arial" w:hAnsi="Arial" w:cs="Arial"/>
        </w:rPr>
      </w:pPr>
      <w:r w:rsidRPr="00CA4DCD">
        <w:rPr>
          <w:rFonts w:ascii="Arial" w:hAnsi="Arial" w:cs="Arial"/>
          <w:u w:val="single"/>
        </w:rPr>
        <w:t>V čl. I § 2 od</w:t>
      </w:r>
      <w:r w:rsidRPr="00CA4DCD">
        <w:rPr>
          <w:rFonts w:ascii="Arial" w:hAnsi="Arial" w:cs="Arial"/>
          <w:u w:val="single"/>
        </w:rPr>
        <w:t>s. 1 písm. a)</w:t>
      </w:r>
      <w:r w:rsidRPr="00CA4DCD">
        <w:rPr>
          <w:rFonts w:ascii="Arial" w:hAnsi="Arial" w:cs="Arial"/>
        </w:rPr>
        <w:t xml:space="preserve"> sa nad slovami „sprístupnenia na trhu“ vypúšťa odkaz 8 vrátane poznámky pod čiarou k odkazu 8. </w:t>
      </w:r>
    </w:p>
    <w:p w:rsidR="00CA4DCD" w:rsidRPr="00CA4DCD" w:rsidP="00CA4DCD">
      <w:pPr>
        <w:pStyle w:val="ListParagraph"/>
        <w:keepNext/>
        <w:keepLines/>
        <w:ind w:left="360" w:firstLine="348"/>
        <w:jc w:val="both"/>
        <w:rPr>
          <w:rFonts w:ascii="Arial" w:hAnsi="Arial" w:cs="Arial"/>
        </w:rPr>
      </w:pPr>
      <w:r w:rsidRPr="00CA4DCD">
        <w:rPr>
          <w:rFonts w:ascii="Arial" w:hAnsi="Arial" w:cs="Arial"/>
        </w:rPr>
        <w:t>Doterajšie odkazy 9 až 27 sa označujú ako odkazy 8 až 26.</w:t>
      </w:r>
    </w:p>
    <w:p w:rsidR="00CA4DCD" w:rsidRPr="00CA4DCD" w:rsidP="00CA4DCD">
      <w:pPr>
        <w:pStyle w:val="ListParagraph"/>
        <w:keepNext/>
        <w:keepLines/>
        <w:ind w:left="360"/>
        <w:jc w:val="both"/>
        <w:rPr>
          <w:rFonts w:ascii="Arial" w:hAnsi="Arial" w:cs="Arial"/>
        </w:rPr>
      </w:pPr>
    </w:p>
    <w:p w:rsidR="00CA4DCD" w:rsidRPr="00CA4DCD" w:rsidP="00CA4DCD">
      <w:pPr>
        <w:pStyle w:val="ListParagraph"/>
        <w:keepNext/>
        <w:keepLines/>
        <w:ind w:left="2340"/>
        <w:jc w:val="both"/>
        <w:rPr>
          <w:rFonts w:ascii="Arial" w:hAnsi="Arial" w:cs="Arial"/>
        </w:rPr>
      </w:pPr>
      <w:r w:rsidRPr="00CA4DCD">
        <w:rPr>
          <w:rFonts w:ascii="Arial" w:hAnsi="Arial" w:cs="Arial"/>
        </w:rPr>
        <w:t>Odkaz na definíciu pojmu „sprístupnenie na trhu“ z nariadenia č. 765/2008/ES sa stal nadbytočný vzhľadom na zmenu uvedenú v druhom bode, čiže prevzatie definície uvedeného pojmu priamo zo smernice 2010/35/EÚ.</w:t>
      </w:r>
    </w:p>
    <w:p w:rsidR="00CA4DCD" w:rsidRPr="00CA4DCD" w:rsidP="00CA4DCD">
      <w:pPr>
        <w:pStyle w:val="ListParagraph"/>
        <w:keepNext/>
        <w:keepLines/>
        <w:ind w:left="360"/>
        <w:jc w:val="both"/>
        <w:rPr>
          <w:rFonts w:ascii="Arial" w:hAnsi="Arial" w:cs="Arial"/>
        </w:rPr>
      </w:pPr>
    </w:p>
    <w:p w:rsidR="00CA4DCD" w:rsidRPr="00CA4DCD" w:rsidP="00CA4DCD">
      <w:pPr>
        <w:pStyle w:val="ListParagraph"/>
        <w:keepNext/>
        <w:keepLines/>
        <w:numPr>
          <w:ilvl w:val="0"/>
          <w:numId w:val="42"/>
        </w:numPr>
        <w:tabs>
          <w:tab w:val="left" w:pos="720"/>
        </w:tabs>
        <w:jc w:val="both"/>
        <w:rPr>
          <w:rFonts w:ascii="Arial" w:hAnsi="Arial" w:cs="Arial"/>
          <w:u w:val="single"/>
        </w:rPr>
      </w:pPr>
      <w:r w:rsidRPr="00CA4DCD">
        <w:rPr>
          <w:rFonts w:ascii="Arial" w:hAnsi="Arial" w:cs="Arial"/>
          <w:u w:val="single"/>
        </w:rPr>
        <w:t>V čl. I § 3 sa za písmeno h) vkladá nové písmeno i), ktoré znie:</w:t>
      </w:r>
    </w:p>
    <w:p w:rsidR="00CA4DCD" w:rsidRPr="00CA4DCD" w:rsidP="00CA4DCD">
      <w:pPr>
        <w:pStyle w:val="ListParagraph"/>
        <w:keepNext/>
        <w:keepLines/>
        <w:ind w:left="720"/>
        <w:jc w:val="both"/>
        <w:rPr>
          <w:rFonts w:ascii="Arial" w:hAnsi="Arial" w:cs="Arial"/>
        </w:rPr>
      </w:pPr>
      <w:r w:rsidRPr="00CA4DCD">
        <w:rPr>
          <w:rFonts w:ascii="Arial" w:hAnsi="Arial" w:cs="Arial"/>
        </w:rPr>
        <w:t>„i) sprístupnením na trhu dodávka zariadenia určeného na distribúciu alebo používanie na trhu Európskej únie v rámci obchodnej činnosti alebo pri vykonávaní verejnej služby, a to odplatne alebo bezodplatne.“.</w:t>
      </w:r>
    </w:p>
    <w:p w:rsidR="00CA4DCD" w:rsidRPr="00CA4DCD" w:rsidP="00CA4DCD">
      <w:pPr>
        <w:pStyle w:val="ListParagraph"/>
        <w:keepNext/>
        <w:keepLines/>
        <w:ind w:left="360"/>
        <w:jc w:val="both"/>
        <w:rPr>
          <w:rFonts w:ascii="Arial" w:hAnsi="Arial" w:cs="Arial"/>
        </w:rPr>
      </w:pPr>
    </w:p>
    <w:p w:rsidR="00CA4DCD" w:rsidRPr="00CA4DCD" w:rsidP="00CA4DCD">
      <w:pPr>
        <w:pStyle w:val="ListParagraph"/>
        <w:keepNext/>
        <w:keepLines/>
        <w:ind w:left="2340"/>
        <w:jc w:val="both"/>
        <w:rPr>
          <w:rFonts w:ascii="Arial" w:hAnsi="Arial" w:cs="Arial"/>
        </w:rPr>
      </w:pPr>
      <w:r w:rsidRPr="00CA4DCD">
        <w:rPr>
          <w:rFonts w:ascii="Arial" w:hAnsi="Arial" w:cs="Arial"/>
        </w:rPr>
        <w:t>Preberá sa definícia pojmu „sprístupnenie na trhu“ priamo zo smernice 2010/35/EÚ vzhľadom na to, že má širší obsah než definícia toho istého pojmu uvedená v nariadení č. 765/2008/ES.</w:t>
      </w:r>
    </w:p>
    <w:p w:rsidR="00CA4DCD" w:rsidP="00F4034B">
      <w:pPr>
        <w:pStyle w:val="ListParagraph"/>
        <w:ind w:left="2124"/>
        <w:rPr>
          <w:rFonts w:ascii="Arial" w:hAnsi="Arial" w:cs="Arial"/>
        </w:rPr>
      </w:pPr>
    </w:p>
    <w:p w:rsidR="00F4034B" w:rsidRPr="003B733D" w:rsidP="00BE35CF">
      <w:pPr>
        <w:pStyle w:val="ListParagraph"/>
        <w:numPr>
          <w:ilvl w:val="0"/>
          <w:numId w:val="42"/>
        </w:numPr>
        <w:tabs>
          <w:tab w:val="left" w:pos="720"/>
        </w:tabs>
        <w:contextualSpacing/>
        <w:rPr>
          <w:rFonts w:ascii="Arial" w:hAnsi="Arial" w:cs="Arial"/>
        </w:rPr>
      </w:pPr>
      <w:r w:rsidRPr="00CA4DCD">
        <w:rPr>
          <w:rFonts w:ascii="Arial" w:hAnsi="Arial" w:cs="Arial"/>
          <w:u w:val="single"/>
        </w:rPr>
        <w:t>V čl. I v § 20 ods. 1 písm. e)</w:t>
      </w:r>
      <w:r w:rsidRPr="003B733D">
        <w:rPr>
          <w:rFonts w:ascii="Arial" w:hAnsi="Arial" w:cs="Arial"/>
        </w:rPr>
        <w:t xml:space="preserve"> </w:t>
      </w:r>
      <w:r w:rsidRPr="003B733D" w:rsidR="00BE35CF">
        <w:rPr>
          <w:rFonts w:ascii="Arial" w:hAnsi="Arial" w:cs="Arial"/>
        </w:rPr>
        <w:t>s</w:t>
      </w:r>
      <w:r w:rsidRPr="003B733D">
        <w:rPr>
          <w:rFonts w:ascii="Arial" w:hAnsi="Arial" w:cs="Arial"/>
        </w:rPr>
        <w:t>a za slová „§ 8“ vkladajú slová „ods. 2“.</w:t>
      </w:r>
    </w:p>
    <w:p w:rsidR="00F4034B" w:rsidRPr="003B733D" w:rsidP="00F4034B">
      <w:pPr>
        <w:ind w:left="3543" w:firstLine="705"/>
        <w:rPr>
          <w:rFonts w:ascii="Arial" w:hAnsi="Arial" w:cs="Arial"/>
        </w:rPr>
      </w:pPr>
    </w:p>
    <w:p w:rsidR="00F4034B" w:rsidP="00F4034B">
      <w:pPr>
        <w:ind w:left="2340"/>
        <w:rPr>
          <w:rFonts w:ascii="Arial" w:hAnsi="Arial" w:cs="Arial"/>
        </w:rPr>
      </w:pPr>
      <w:r w:rsidRPr="003B733D">
        <w:rPr>
          <w:rFonts w:ascii="Arial" w:hAnsi="Arial" w:cs="Arial"/>
        </w:rPr>
        <w:t>Spresnenie  ustanovenia.</w:t>
      </w:r>
    </w:p>
    <w:p w:rsidR="00AE5242" w:rsidP="00AE5242">
      <w:pPr>
        <w:rPr>
          <w:rFonts w:ascii="Arial" w:hAnsi="Arial" w:cs="Arial"/>
        </w:rPr>
      </w:pPr>
    </w:p>
    <w:p w:rsidR="00AE5242" w:rsidRPr="00CA4DCD" w:rsidP="00AE5242">
      <w:pPr>
        <w:pStyle w:val="ListParagraph"/>
        <w:keepNext/>
        <w:keepLines/>
        <w:numPr>
          <w:ilvl w:val="0"/>
          <w:numId w:val="42"/>
        </w:numPr>
        <w:tabs>
          <w:tab w:val="left" w:pos="720"/>
        </w:tabs>
        <w:jc w:val="both"/>
        <w:rPr>
          <w:rFonts w:ascii="Arial" w:hAnsi="Arial" w:cs="Arial"/>
          <w:u w:val="single"/>
        </w:rPr>
      </w:pPr>
      <w:r w:rsidRPr="00CA4DCD">
        <w:rPr>
          <w:rFonts w:ascii="Arial" w:hAnsi="Arial" w:cs="Arial"/>
          <w:u w:val="single"/>
        </w:rPr>
        <w:t>V</w:t>
      </w:r>
      <w:r>
        <w:rPr>
          <w:rFonts w:ascii="Arial" w:hAnsi="Arial" w:cs="Arial"/>
          <w:u w:val="single"/>
        </w:rPr>
        <w:t xml:space="preserve"> čl. I </w:t>
      </w:r>
      <w:r w:rsidRPr="00CA4DCD">
        <w:rPr>
          <w:rFonts w:ascii="Arial" w:hAnsi="Arial" w:cs="Arial"/>
          <w:u w:val="single"/>
        </w:rPr>
        <w:t>§ 20 odsek 3 znie:</w:t>
      </w:r>
    </w:p>
    <w:p w:rsidR="00AE5242" w:rsidRPr="00CA4DCD" w:rsidP="00AE5242">
      <w:pPr>
        <w:pStyle w:val="ListParagraph"/>
        <w:keepNext/>
        <w:keepLines/>
        <w:ind w:left="720" w:hanging="720"/>
        <w:jc w:val="both"/>
        <w:rPr>
          <w:rFonts w:ascii="Arial" w:hAnsi="Arial" w:cs="Arial"/>
        </w:rPr>
      </w:pPr>
      <w:r w:rsidRPr="00CA4DCD">
        <w:rPr>
          <w:rFonts w:ascii="Arial" w:hAnsi="Arial" w:cs="Arial"/>
        </w:rPr>
        <w:t xml:space="preserve">      </w:t>
        <w:tab/>
        <w:t xml:space="preserve">„(3) Úrad uloží za priestupok podľa odseku 1 písm. </w:t>
      </w:r>
      <w:r w:rsidRPr="00CA4DCD">
        <w:rPr>
          <w:rFonts w:ascii="Arial" w:hAnsi="Arial" w:cs="Arial"/>
        </w:rPr>
        <w:t>a) pokutu od 500 eur do 10 000 eur.“.</w:t>
      </w:r>
    </w:p>
    <w:p w:rsidR="00AE5242" w:rsidRPr="00CA4DCD" w:rsidP="00AE5242">
      <w:pPr>
        <w:pStyle w:val="ListParagraph"/>
        <w:keepNext/>
        <w:keepLines/>
        <w:ind w:left="0"/>
        <w:jc w:val="both"/>
        <w:rPr>
          <w:rFonts w:ascii="Arial" w:hAnsi="Arial" w:cs="Arial"/>
          <w:color w:val="000000"/>
        </w:rPr>
      </w:pPr>
    </w:p>
    <w:p w:rsidR="00AE5242" w:rsidRPr="00CA4DCD" w:rsidP="00AE5242">
      <w:pPr>
        <w:pStyle w:val="ListParagraph"/>
        <w:keepNext/>
        <w:keepLines/>
        <w:ind w:left="2340"/>
        <w:jc w:val="both"/>
        <w:rPr>
          <w:rFonts w:ascii="Arial" w:hAnsi="Arial" w:cs="Arial"/>
          <w:color w:val="000000"/>
        </w:rPr>
      </w:pPr>
      <w:r w:rsidRPr="00CA4DCD">
        <w:rPr>
          <w:rFonts w:ascii="Arial" w:hAnsi="Arial" w:cs="Arial"/>
          <w:color w:val="000000"/>
        </w:rPr>
        <w:t>V novom znení ustanovenia upravujúcom výšku pokút sa precizuje výška pokuty, ktorá môže byť uložená fyzickej osobe úradom. V odseku 3 sa ustanovuje spodná hranica pokuty, ktorú môže úrad uložiť za porušenie príslušnej</w:t>
      </w:r>
      <w:r w:rsidRPr="00CA4DCD">
        <w:rPr>
          <w:rFonts w:ascii="Arial" w:hAnsi="Arial" w:cs="Arial"/>
          <w:color w:val="000000"/>
        </w:rPr>
        <w:t xml:space="preserve"> povinnosti.</w:t>
      </w:r>
    </w:p>
    <w:p w:rsidR="00AE5242" w:rsidRPr="003B733D" w:rsidP="00AE5242">
      <w:pPr>
        <w:rPr>
          <w:rFonts w:ascii="Arial" w:hAnsi="Arial" w:cs="Arial"/>
        </w:rPr>
      </w:pPr>
    </w:p>
    <w:p w:rsidR="00CA4DCD" w:rsidRPr="00CA4DCD" w:rsidP="00CA4DCD">
      <w:pPr>
        <w:pStyle w:val="ListParagraph"/>
        <w:keepNext/>
        <w:keepLines/>
        <w:ind w:left="0"/>
        <w:jc w:val="both"/>
        <w:rPr>
          <w:rFonts w:ascii="Arial" w:hAnsi="Arial" w:cs="Arial"/>
          <w:color w:val="000000"/>
        </w:rPr>
      </w:pPr>
    </w:p>
    <w:p w:rsidR="00CA4DCD" w:rsidRPr="00CA4DCD" w:rsidP="00CA4DCD">
      <w:pPr>
        <w:pStyle w:val="ListParagraph"/>
        <w:keepNext/>
        <w:keepLines/>
        <w:numPr>
          <w:ilvl w:val="0"/>
          <w:numId w:val="42"/>
        </w:numPr>
        <w:tabs>
          <w:tab w:val="left" w:pos="720"/>
        </w:tabs>
        <w:jc w:val="both"/>
        <w:rPr>
          <w:rFonts w:ascii="Arial" w:hAnsi="Arial" w:cs="Arial"/>
          <w:u w:val="single"/>
        </w:rPr>
      </w:pPr>
      <w:r w:rsidRPr="00CA4DCD">
        <w:rPr>
          <w:rFonts w:ascii="Arial" w:hAnsi="Arial" w:cs="Arial"/>
          <w:u w:val="single"/>
        </w:rPr>
        <w:t xml:space="preserve">V § 20 sa za odsek 3 vkladajú nové odseky </w:t>
      </w:r>
      <w:smartTag w:uri="urn:schemas-microsoft-com:office:smarttags" w:element="metricconverter">
        <w:smartTagPr>
          <w:attr w:name="ProductID" w:val="4 a"/>
        </w:smartTagPr>
        <w:r w:rsidRPr="00CA4DCD">
          <w:rPr>
            <w:rFonts w:ascii="Arial" w:hAnsi="Arial" w:cs="Arial"/>
            <w:u w:val="single"/>
          </w:rPr>
          <w:t>4 a</w:t>
        </w:r>
      </w:smartTag>
      <w:r w:rsidRPr="00CA4DCD">
        <w:rPr>
          <w:rFonts w:ascii="Arial" w:hAnsi="Arial" w:cs="Arial"/>
          <w:u w:val="single"/>
        </w:rPr>
        <w:t xml:space="preserve"> 5, ktoré znejú:</w:t>
      </w:r>
    </w:p>
    <w:p w:rsidR="00CA4DCD" w:rsidRPr="00CA4DCD" w:rsidP="00CA4DCD">
      <w:pPr>
        <w:pStyle w:val="ListParagraph"/>
        <w:keepNext/>
        <w:keepLines/>
        <w:ind w:left="720"/>
        <w:jc w:val="both"/>
        <w:rPr>
          <w:rFonts w:ascii="Arial" w:hAnsi="Arial" w:cs="Arial"/>
        </w:rPr>
      </w:pPr>
      <w:r w:rsidRPr="00CA4DCD">
        <w:rPr>
          <w:rFonts w:ascii="Arial" w:hAnsi="Arial" w:cs="Arial"/>
        </w:rPr>
        <w:t>„(4) Orgán dohľadu nad trhom uloží pokutu od 200 eur do 5 000 eur fyzickej osobe, ak sa dopustí priestupku tým, že poruší povinnosť podľa odseku 1 písm. b), d) alebo e).</w:t>
      </w:r>
    </w:p>
    <w:p w:rsidR="00CA4DCD" w:rsidRPr="00CA4DCD" w:rsidP="00CA4DCD">
      <w:pPr>
        <w:pStyle w:val="ListParagraph"/>
        <w:keepNext/>
        <w:keepLines/>
        <w:ind w:left="720"/>
        <w:jc w:val="both"/>
        <w:rPr>
          <w:rFonts w:ascii="Arial" w:hAnsi="Arial" w:cs="Arial"/>
          <w:color w:val="000000"/>
        </w:rPr>
      </w:pPr>
      <w:r w:rsidRPr="00CA4DCD">
        <w:rPr>
          <w:rFonts w:ascii="Arial" w:hAnsi="Arial" w:cs="Arial"/>
        </w:rPr>
        <w:t xml:space="preserve"> (5) Orgán dohľadu nad trhom uloží pokutu od 500 eur do 10 000 eur fyzickej osobe, ak   sa dopustí priestupku </w:t>
      </w:r>
      <w:r w:rsidRPr="00CA4DCD">
        <w:rPr>
          <w:rFonts w:ascii="Arial" w:hAnsi="Arial" w:cs="Arial"/>
          <w:color w:val="000000"/>
        </w:rPr>
        <w:t>podľa odseku 1 písm. c).“.</w:t>
      </w:r>
    </w:p>
    <w:p w:rsidR="00CA4DCD" w:rsidP="00CA4DCD">
      <w:pPr>
        <w:pStyle w:val="ListParagraph"/>
        <w:keepNext/>
        <w:keepLines/>
        <w:ind w:left="720"/>
        <w:jc w:val="both"/>
        <w:rPr>
          <w:rFonts w:ascii="Arial" w:hAnsi="Arial" w:cs="Arial"/>
        </w:rPr>
      </w:pPr>
    </w:p>
    <w:p w:rsidR="00CA4DCD" w:rsidRPr="00CA4DCD" w:rsidP="00CA4DCD">
      <w:pPr>
        <w:pStyle w:val="ListParagraph"/>
        <w:keepNext/>
        <w:keepLines/>
        <w:ind w:left="720"/>
        <w:jc w:val="both"/>
        <w:rPr>
          <w:rFonts w:ascii="Arial" w:hAnsi="Arial" w:cs="Arial"/>
        </w:rPr>
      </w:pPr>
      <w:r w:rsidR="00BF75C5">
        <w:rPr>
          <w:rFonts w:ascii="Arial" w:hAnsi="Arial" w:cs="Arial"/>
        </w:rPr>
        <w:t>Doterajšie odseky 4</w:t>
      </w:r>
      <w:r w:rsidRPr="00CA4DCD">
        <w:rPr>
          <w:rFonts w:ascii="Arial" w:hAnsi="Arial" w:cs="Arial"/>
        </w:rPr>
        <w:t xml:space="preserve"> a </w:t>
      </w:r>
      <w:r w:rsidR="00BF75C5">
        <w:rPr>
          <w:rFonts w:ascii="Arial" w:hAnsi="Arial" w:cs="Arial"/>
        </w:rPr>
        <w:t>5</w:t>
      </w:r>
      <w:r w:rsidRPr="00CA4DCD">
        <w:rPr>
          <w:rFonts w:ascii="Arial" w:hAnsi="Arial" w:cs="Arial"/>
        </w:rPr>
        <w:t xml:space="preserve"> sa označujú ako odseky 6 a 7.</w:t>
      </w:r>
    </w:p>
    <w:p w:rsidR="00CA4DCD" w:rsidRPr="00CA4DCD" w:rsidP="00CA4DCD">
      <w:pPr>
        <w:jc w:val="both"/>
        <w:rPr>
          <w:rFonts w:ascii="Arial" w:hAnsi="Arial" w:cs="Arial"/>
          <w:b/>
          <w:color w:val="000000"/>
        </w:rPr>
      </w:pPr>
    </w:p>
    <w:p w:rsidR="00CA4DCD" w:rsidRPr="00CA4DCD" w:rsidP="00CA4DCD">
      <w:pPr>
        <w:ind w:left="2340"/>
        <w:jc w:val="both"/>
        <w:rPr>
          <w:rFonts w:ascii="Arial" w:hAnsi="Arial" w:cs="Arial"/>
        </w:rPr>
      </w:pPr>
      <w:r w:rsidRPr="00CA4DCD">
        <w:rPr>
          <w:rFonts w:ascii="Arial" w:hAnsi="Arial" w:cs="Arial"/>
          <w:color w:val="000000"/>
        </w:rPr>
        <w:t>V novom znení ustanovenia upravujúcom výšku pokút sa precizovali m</w:t>
      </w:r>
      <w:r w:rsidRPr="00CA4DCD">
        <w:rPr>
          <w:rFonts w:ascii="Arial" w:hAnsi="Arial" w:cs="Arial"/>
          <w:color w:val="000000"/>
        </w:rPr>
        <w:t xml:space="preserve">inimá a maximá súm pokút, ktoré môžu byť uložené fyzickej osobe orgánom dohľadu nad trhom za porušenia jednotlivých ustanovení zákona. V odseku 4 a 5 sa ustanovuje spodná hranica pokuty a porušenia jednotlivých povinností sa rozdelili z hľadiska možného následku (ohrozenia života, zdravia alebo majetku, prípadne vzniku škody) porušením povinnosti subjektu ako aj závažnosti do dvoch skupín. Každá skupina má svoje rozhranie, v rámci ktorého je možné ukladať pokuty s prihliadnutím </w:t>
      </w:r>
      <w:r w:rsidRPr="00CA4DCD">
        <w:rPr>
          <w:rFonts w:ascii="Arial" w:hAnsi="Arial" w:cs="Arial"/>
        </w:rPr>
        <w:t xml:space="preserve">na závažnosť, spôsob, čas trvania a následky porušenia povinností. </w:t>
      </w:r>
    </w:p>
    <w:p w:rsidR="00CA4DCD" w:rsidRPr="00CA4DCD" w:rsidP="00CA4DCD">
      <w:pPr>
        <w:keepNext/>
        <w:keepLines/>
        <w:jc w:val="both"/>
        <w:rPr>
          <w:rFonts w:ascii="Arial" w:hAnsi="Arial" w:cs="Arial"/>
        </w:rPr>
      </w:pPr>
    </w:p>
    <w:p w:rsidR="00CA4DCD" w:rsidRPr="00CA4DCD" w:rsidP="00CA4DCD">
      <w:pPr>
        <w:pStyle w:val="ListParagraph"/>
        <w:keepNext/>
        <w:keepLines/>
        <w:numPr>
          <w:ilvl w:val="0"/>
          <w:numId w:val="42"/>
        </w:numPr>
        <w:tabs>
          <w:tab w:val="left" w:pos="720"/>
        </w:tabs>
        <w:jc w:val="both"/>
        <w:rPr>
          <w:rFonts w:ascii="Arial" w:hAnsi="Arial" w:cs="Arial"/>
          <w:u w:val="single"/>
        </w:rPr>
      </w:pPr>
      <w:r w:rsidRPr="00CA4DCD">
        <w:rPr>
          <w:rFonts w:ascii="Arial" w:hAnsi="Arial" w:cs="Arial"/>
          <w:u w:val="single"/>
        </w:rPr>
        <w:t xml:space="preserve">§ 21 vrátane nadpisu znie: </w:t>
      </w:r>
    </w:p>
    <w:p w:rsidR="00CA4DCD" w:rsidRPr="00CA4DCD" w:rsidP="00CA4DCD">
      <w:pPr>
        <w:pStyle w:val="Heading2"/>
        <w:rPr>
          <w:rFonts w:ascii="Arial" w:hAnsi="Arial" w:cs="Arial"/>
          <w:i/>
          <w:iCs/>
          <w:sz w:val="24"/>
          <w:szCs w:val="24"/>
        </w:rPr>
      </w:pPr>
    </w:p>
    <w:p w:rsidR="00CA4DCD" w:rsidRPr="00CA4DCD" w:rsidP="00CA4DCD">
      <w:pPr>
        <w:pStyle w:val="Heading1"/>
        <w:jc w:val="center"/>
        <w:rPr>
          <w:rFonts w:ascii="Arial" w:hAnsi="Arial" w:cs="Arial"/>
          <w:b w:val="0"/>
        </w:rPr>
      </w:pPr>
      <w:r w:rsidRPr="00CA4DCD">
        <w:rPr>
          <w:rFonts w:ascii="Arial" w:hAnsi="Arial" w:cs="Arial"/>
          <w:b w:val="0"/>
        </w:rPr>
        <w:t>„§ 21</w:t>
      </w:r>
    </w:p>
    <w:p w:rsidR="00CA4DCD" w:rsidP="00CA4DCD">
      <w:pPr>
        <w:pStyle w:val="Heading1"/>
        <w:jc w:val="center"/>
        <w:rPr>
          <w:rFonts w:ascii="Arial" w:hAnsi="Arial" w:cs="Arial"/>
          <w:b w:val="0"/>
        </w:rPr>
      </w:pPr>
      <w:r w:rsidRPr="00CA4DCD">
        <w:rPr>
          <w:rFonts w:ascii="Arial" w:hAnsi="Arial" w:cs="Arial"/>
          <w:b w:val="0"/>
        </w:rPr>
        <w:t>Iné správne delikty</w:t>
      </w:r>
    </w:p>
    <w:p w:rsidR="00CA4DCD" w:rsidRPr="00CA4DCD" w:rsidP="00CA4DCD">
      <w:pPr>
        <w:rPr>
          <w:rFonts w:ascii="Times New Roman" w:hAnsi="Times New Roman" w:cs="Times New Roman"/>
        </w:rPr>
      </w:pPr>
    </w:p>
    <w:p w:rsidR="00CA4DCD" w:rsidRPr="00CA4DCD" w:rsidP="00CA4DCD">
      <w:pPr>
        <w:numPr>
          <w:ilvl w:val="0"/>
          <w:numId w:val="46"/>
        </w:numPr>
        <w:tabs>
          <w:tab w:val="left" w:pos="720"/>
          <w:tab w:val="clear" w:pos="900"/>
        </w:tabs>
        <w:ind w:left="720" w:hanging="720"/>
        <w:jc w:val="both"/>
        <w:rPr>
          <w:rFonts w:ascii="Arial" w:hAnsi="Arial" w:cs="Arial"/>
        </w:rPr>
      </w:pPr>
      <w:r w:rsidRPr="00CA4DCD">
        <w:rPr>
          <w:rFonts w:ascii="Arial" w:hAnsi="Arial" w:cs="Arial"/>
          <w:color w:val="000000"/>
        </w:rPr>
        <w:t xml:space="preserve">Orgán dohľadu nad trhom uloží pokutu od 500 eur do 33 000 eur </w:t>
      </w:r>
      <w:r w:rsidRPr="00CA4DCD">
        <w:rPr>
          <w:rFonts w:ascii="Arial" w:hAnsi="Arial" w:cs="Arial"/>
        </w:rPr>
        <w:t xml:space="preserve">právnickej osobe alebo fyzickej osobe podnikateľovi, ktorá </w:t>
      </w:r>
    </w:p>
    <w:p w:rsidR="00CA4DCD" w:rsidRPr="00CA4DCD" w:rsidP="00CA4DCD">
      <w:pPr>
        <w:numPr>
          <w:ilvl w:val="1"/>
          <w:numId w:val="44"/>
        </w:numPr>
        <w:tabs>
          <w:tab w:val="left" w:pos="720"/>
          <w:tab w:val="clear" w:pos="1080"/>
        </w:tabs>
        <w:ind w:left="720" w:hanging="720"/>
        <w:jc w:val="both"/>
        <w:rPr>
          <w:rFonts w:ascii="Arial" w:hAnsi="Arial" w:cs="Arial"/>
          <w:color w:val="000000"/>
        </w:rPr>
      </w:pPr>
      <w:r w:rsidRPr="00CA4DCD">
        <w:rPr>
          <w:rFonts w:ascii="Arial" w:hAnsi="Arial" w:cs="Arial"/>
          <w:color w:val="000000"/>
        </w:rPr>
        <w:t>poruší povinnosť podľa § 4 písm. g), § 5 ods. 2 písm. a) alebo písm. b), § 6 písm. d) alebo písm. j), § 7 písm. h), § 8 ods. 2 písm. e), § 9 ods. 2 písm. b) alebo písm. c) alebo § 13 ods. 2, ods. 4 alebo ods. 7,</w:t>
      </w:r>
    </w:p>
    <w:p w:rsidR="00CA4DCD" w:rsidRPr="00CA4DCD" w:rsidP="00CA4DCD">
      <w:pPr>
        <w:numPr>
          <w:ilvl w:val="1"/>
          <w:numId w:val="44"/>
        </w:numPr>
        <w:tabs>
          <w:tab w:val="left" w:pos="720"/>
          <w:tab w:val="clear" w:pos="1080"/>
        </w:tabs>
        <w:ind w:left="720" w:hanging="720"/>
        <w:jc w:val="both"/>
        <w:rPr>
          <w:rFonts w:ascii="Arial" w:hAnsi="Arial" w:cs="Arial"/>
          <w:color w:val="000000"/>
        </w:rPr>
      </w:pPr>
      <w:r w:rsidRPr="00CA4DCD">
        <w:rPr>
          <w:rFonts w:ascii="Arial" w:hAnsi="Arial" w:cs="Arial"/>
          <w:color w:val="000000"/>
        </w:rPr>
        <w:t xml:space="preserve">neoprávnene alebo klamlivo použije označenie </w:t>
      </w:r>
      <w:r w:rsidRPr="00CA4DCD">
        <w:rPr>
          <w:rFonts w:ascii="Arial" w:hAnsi="Arial" w:cs="Arial"/>
        </w:rPr>
        <w:t>π</w:t>
      </w:r>
      <w:r w:rsidRPr="00CA4DCD">
        <w:rPr>
          <w:rFonts w:ascii="Arial" w:hAnsi="Arial" w:cs="Arial"/>
          <w:color w:val="000000"/>
        </w:rPr>
        <w:t xml:space="preserve"> alebo</w:t>
      </w:r>
    </w:p>
    <w:p w:rsidR="00CA4DCD" w:rsidRPr="00CA4DCD" w:rsidP="00CA4DCD">
      <w:pPr>
        <w:numPr>
          <w:ilvl w:val="1"/>
          <w:numId w:val="44"/>
        </w:numPr>
        <w:tabs>
          <w:tab w:val="left" w:pos="720"/>
          <w:tab w:val="clear" w:pos="1080"/>
        </w:tabs>
        <w:ind w:left="720" w:hanging="720"/>
        <w:jc w:val="both"/>
        <w:rPr>
          <w:rFonts w:ascii="Arial" w:hAnsi="Arial" w:cs="Arial"/>
          <w:color w:val="000000"/>
        </w:rPr>
      </w:pPr>
      <w:r w:rsidRPr="00CA4DCD">
        <w:rPr>
          <w:rFonts w:ascii="Arial" w:hAnsi="Arial" w:cs="Arial"/>
          <w:color w:val="000000"/>
        </w:rPr>
        <w:t xml:space="preserve">uvedie na trh alebo sprístupní na trhu zariadenie bez označenia </w:t>
      </w:r>
      <w:r w:rsidRPr="00CA4DCD">
        <w:rPr>
          <w:rFonts w:ascii="Arial" w:hAnsi="Arial" w:cs="Arial"/>
        </w:rPr>
        <w:t>π</w:t>
      </w:r>
      <w:r w:rsidRPr="00CA4DCD">
        <w:rPr>
          <w:rFonts w:ascii="Arial" w:hAnsi="Arial" w:cs="Arial"/>
          <w:color w:val="000000"/>
        </w:rPr>
        <w:t>.</w:t>
      </w:r>
    </w:p>
    <w:p w:rsidR="00CA4DCD" w:rsidRPr="00CA4DCD" w:rsidP="00CA4DCD">
      <w:pPr>
        <w:numPr>
          <w:ilvl w:val="0"/>
          <w:numId w:val="46"/>
        </w:numPr>
        <w:tabs>
          <w:tab w:val="left" w:pos="720"/>
          <w:tab w:val="clear" w:pos="900"/>
        </w:tabs>
        <w:ind w:left="720" w:hanging="720"/>
        <w:jc w:val="both"/>
        <w:rPr>
          <w:rFonts w:ascii="Arial" w:hAnsi="Arial" w:cs="Arial"/>
        </w:rPr>
      </w:pPr>
      <w:r w:rsidRPr="00CA4DCD">
        <w:rPr>
          <w:rFonts w:ascii="Arial" w:hAnsi="Arial" w:cs="Arial"/>
          <w:color w:val="000000"/>
        </w:rPr>
        <w:t xml:space="preserve">Orgán dohľadu nad trhom uloží pokutu od 500 eur do 70 000 eur </w:t>
      </w:r>
      <w:r w:rsidRPr="00CA4DCD">
        <w:rPr>
          <w:rFonts w:ascii="Arial" w:hAnsi="Arial" w:cs="Arial"/>
        </w:rPr>
        <w:t xml:space="preserve">právnickej osobe alebo fyzickej osobe podnikateľovi, ktorá </w:t>
      </w:r>
    </w:p>
    <w:p w:rsidR="00CA4DCD" w:rsidRPr="00CA4DCD" w:rsidP="00CA4DCD">
      <w:pPr>
        <w:pStyle w:val="ListParagraph"/>
        <w:keepNext/>
        <w:keepLines/>
        <w:numPr>
          <w:ilvl w:val="0"/>
          <w:numId w:val="47"/>
        </w:numPr>
        <w:jc w:val="both"/>
        <w:rPr>
          <w:rFonts w:ascii="Arial" w:hAnsi="Arial" w:cs="Arial"/>
          <w:color w:val="000000"/>
        </w:rPr>
      </w:pPr>
      <w:r w:rsidRPr="00CA4DCD">
        <w:rPr>
          <w:rFonts w:ascii="Arial" w:hAnsi="Arial" w:cs="Arial"/>
        </w:rPr>
        <w:t>použije označenie π</w:t>
      </w:r>
      <w:r w:rsidRPr="00CA4DCD">
        <w:rPr>
          <w:rFonts w:ascii="Arial" w:hAnsi="Arial" w:cs="Arial"/>
          <w:color w:val="000000"/>
        </w:rPr>
        <w:t xml:space="preserve"> na označenie iného výrobku ako zariadenia podľa § 3 písm. a) alebo</w:t>
      </w:r>
    </w:p>
    <w:p w:rsidR="00CA4DCD" w:rsidRPr="00CA4DCD" w:rsidP="00CA4DCD">
      <w:pPr>
        <w:numPr>
          <w:ilvl w:val="0"/>
          <w:numId w:val="47"/>
        </w:numPr>
        <w:jc w:val="both"/>
        <w:rPr>
          <w:rFonts w:ascii="Arial" w:hAnsi="Arial" w:cs="Arial"/>
        </w:rPr>
      </w:pPr>
      <w:r w:rsidRPr="00CA4DCD">
        <w:rPr>
          <w:rFonts w:ascii="Arial" w:hAnsi="Arial" w:cs="Arial"/>
        </w:rPr>
        <w:t>poruší povinnosť podľa § 4 písm. e) alebo písm. f), § 6 písm. e), g) až i), § 7 písm. d), písm. f) alebo písm. g), § 8 ods. 2 písm. a), písm. c) alebo písm. d) alebo § 13 ods. 1.</w:t>
      </w:r>
    </w:p>
    <w:p w:rsidR="00CA4DCD" w:rsidRPr="00CA4DCD" w:rsidP="00CA4DCD">
      <w:pPr>
        <w:numPr>
          <w:ilvl w:val="0"/>
          <w:numId w:val="46"/>
        </w:numPr>
        <w:tabs>
          <w:tab w:val="left" w:pos="720"/>
          <w:tab w:val="clear" w:pos="900"/>
        </w:tabs>
        <w:ind w:left="720" w:hanging="720"/>
        <w:jc w:val="both"/>
        <w:rPr>
          <w:rFonts w:ascii="Arial" w:hAnsi="Arial" w:cs="Arial"/>
        </w:rPr>
      </w:pPr>
      <w:r w:rsidRPr="00CA4DCD">
        <w:rPr>
          <w:rFonts w:ascii="Arial" w:hAnsi="Arial" w:cs="Arial"/>
          <w:color w:val="000000"/>
        </w:rPr>
        <w:t xml:space="preserve">Orgán dohľadu nad trhom uloží pokutu od 1 500 eur do 110 000 eur </w:t>
      </w:r>
      <w:r w:rsidRPr="00CA4DCD">
        <w:rPr>
          <w:rFonts w:ascii="Arial" w:hAnsi="Arial" w:cs="Arial"/>
        </w:rPr>
        <w:t>právnickej osobe alebo fyzickej osobe podnikateľovi, ktorá poruší povinnosť podľa § 4 písm. a) až d), § 6 písm. a) až písm. c) alebo písm. f), § 7 písm. a) až písm. c) alebo písm. e), § 8 ods. 2 písm. b) alebo § 9 ods. 2 písm. a).</w:t>
      </w:r>
    </w:p>
    <w:p w:rsidR="00CA4DCD" w:rsidRPr="00CA4DCD" w:rsidP="00CA4DCD">
      <w:pPr>
        <w:numPr>
          <w:ilvl w:val="0"/>
          <w:numId w:val="46"/>
        </w:numPr>
        <w:tabs>
          <w:tab w:val="left" w:pos="720"/>
          <w:tab w:val="clear" w:pos="900"/>
        </w:tabs>
        <w:ind w:left="720" w:hanging="720"/>
        <w:jc w:val="both"/>
        <w:rPr>
          <w:rFonts w:ascii="Arial" w:hAnsi="Arial" w:cs="Arial"/>
        </w:rPr>
      </w:pPr>
      <w:r w:rsidRPr="00CA4DCD">
        <w:rPr>
          <w:rFonts w:ascii="Arial" w:hAnsi="Arial" w:cs="Arial"/>
          <w:color w:val="000000"/>
        </w:rPr>
        <w:t xml:space="preserve">Orgán dohľadu nad trhom uloží pokutu od 20 000 eur do 150 000 eur </w:t>
      </w:r>
      <w:r w:rsidRPr="00CA4DCD">
        <w:rPr>
          <w:rFonts w:ascii="Arial" w:hAnsi="Arial" w:cs="Arial"/>
        </w:rPr>
        <w:t>právnickej osobe alebo fyzickej osobe podnikateľovi, ktorá poruší povinnosť podľa § 18 ods. 2 alebo ods. 12.</w:t>
      </w:r>
    </w:p>
    <w:p w:rsidR="00CA4DCD" w:rsidRPr="00CA4DCD" w:rsidP="00CA4DCD">
      <w:pPr>
        <w:numPr>
          <w:ilvl w:val="0"/>
          <w:numId w:val="46"/>
        </w:numPr>
        <w:tabs>
          <w:tab w:val="left" w:pos="720"/>
          <w:tab w:val="clear" w:pos="900"/>
        </w:tabs>
        <w:ind w:left="720" w:hanging="720"/>
        <w:jc w:val="both"/>
        <w:rPr>
          <w:rFonts w:ascii="Arial" w:hAnsi="Arial" w:cs="Arial"/>
          <w:color w:val="000000"/>
        </w:rPr>
      </w:pPr>
      <w:r w:rsidRPr="00CA4DCD">
        <w:rPr>
          <w:rFonts w:ascii="Arial" w:hAnsi="Arial" w:cs="Arial"/>
          <w:color w:val="000000"/>
        </w:rPr>
        <w:t>Úrad uloží pokutu od 150 do 35 000 eur právnickej osobe alebo fyzickej osobe podnikateľovi, ktorá</w:t>
      </w:r>
    </w:p>
    <w:p w:rsidR="00CA4DCD" w:rsidRPr="00CA4DCD" w:rsidP="00CA4DCD">
      <w:pPr>
        <w:numPr>
          <w:ilvl w:val="0"/>
          <w:numId w:val="45"/>
        </w:numPr>
        <w:tabs>
          <w:tab w:val="clear" w:pos="720"/>
        </w:tabs>
        <w:ind w:hanging="720"/>
        <w:jc w:val="both"/>
        <w:rPr>
          <w:rFonts w:ascii="Arial" w:hAnsi="Arial" w:cs="Arial"/>
          <w:color w:val="000000"/>
        </w:rPr>
      </w:pPr>
      <w:r w:rsidRPr="00CA4DCD">
        <w:rPr>
          <w:rFonts w:ascii="Arial" w:hAnsi="Arial" w:cs="Arial"/>
          <w:color w:val="000000"/>
        </w:rPr>
        <w:t xml:space="preserve">neoprávnene </w:t>
      </w:r>
      <w:r w:rsidRPr="00CA4DCD">
        <w:rPr>
          <w:rFonts w:ascii="Arial" w:hAnsi="Arial" w:cs="Arial"/>
        </w:rPr>
        <w:t>koná nad rozsah notifikácie</w:t>
      </w:r>
      <w:r w:rsidRPr="00CA4DCD">
        <w:rPr>
          <w:rFonts w:ascii="Arial" w:hAnsi="Arial" w:cs="Arial"/>
          <w:color w:val="000000"/>
        </w:rPr>
        <w:t>,</w:t>
      </w:r>
    </w:p>
    <w:p w:rsidR="00CA4DCD" w:rsidRPr="00CA4DCD" w:rsidP="00CA4DCD">
      <w:pPr>
        <w:numPr>
          <w:ilvl w:val="0"/>
          <w:numId w:val="45"/>
        </w:numPr>
        <w:tabs>
          <w:tab w:val="clear" w:pos="720"/>
        </w:tabs>
        <w:ind w:hanging="720"/>
        <w:jc w:val="both"/>
        <w:rPr>
          <w:rFonts w:ascii="Arial" w:hAnsi="Arial" w:cs="Arial"/>
          <w:color w:val="000000"/>
        </w:rPr>
      </w:pPr>
      <w:r w:rsidRPr="00CA4DCD">
        <w:rPr>
          <w:rFonts w:ascii="Arial" w:hAnsi="Arial" w:cs="Arial"/>
          <w:color w:val="000000"/>
        </w:rPr>
        <w:t>neoprávnene vydá, pozmení alebo sfalšuje dokument vydaný na účely posudzovania zhody.</w:t>
      </w:r>
    </w:p>
    <w:p w:rsidR="00CA4DCD" w:rsidRPr="00CA4DCD" w:rsidP="00CA4DCD">
      <w:pPr>
        <w:numPr>
          <w:ilvl w:val="0"/>
          <w:numId w:val="46"/>
        </w:numPr>
        <w:tabs>
          <w:tab w:val="left" w:pos="720"/>
          <w:tab w:val="clear" w:pos="900"/>
        </w:tabs>
        <w:ind w:left="720" w:hanging="720"/>
        <w:jc w:val="both"/>
        <w:rPr>
          <w:rFonts w:ascii="Arial" w:hAnsi="Arial" w:cs="Arial"/>
          <w:color w:val="000000"/>
        </w:rPr>
      </w:pPr>
      <w:r w:rsidRPr="00CA4DCD">
        <w:rPr>
          <w:rFonts w:ascii="Arial" w:hAnsi="Arial" w:cs="Arial"/>
          <w:color w:val="000000"/>
        </w:rPr>
        <w:t>Úrad uloží pokutu od 100 do 10 000 eur notifikovanej osobe, ktorá porušila povinnosť podľa § 16 ods. 2 písm. k) druhého bodu.</w:t>
      </w:r>
    </w:p>
    <w:p w:rsidR="00CA4DCD" w:rsidRPr="00CA4DCD" w:rsidP="00CA4DCD">
      <w:pPr>
        <w:numPr>
          <w:ilvl w:val="0"/>
          <w:numId w:val="46"/>
        </w:numPr>
        <w:tabs>
          <w:tab w:val="left" w:pos="720"/>
          <w:tab w:val="clear" w:pos="900"/>
        </w:tabs>
        <w:ind w:left="720" w:hanging="720"/>
        <w:jc w:val="both"/>
        <w:rPr>
          <w:rFonts w:ascii="Arial" w:hAnsi="Arial" w:cs="Arial"/>
          <w:color w:val="000000"/>
        </w:rPr>
      </w:pPr>
      <w:r w:rsidRPr="00CA4DCD">
        <w:rPr>
          <w:rFonts w:ascii="Arial" w:hAnsi="Arial" w:cs="Arial"/>
          <w:color w:val="000000"/>
        </w:rPr>
        <w:t>Konanie o uložení pokuty možno začať do dvoch rokov odo dňa, keď úrad alebo orgán dohľadu nad trhom zistil porušenie povinnosti, najneskôr však do troch rokov odo dňa, keď k porušeniu povinnosti došlo.</w:t>
      </w:r>
    </w:p>
    <w:p w:rsidR="00CA4DCD" w:rsidRPr="00CA4DCD" w:rsidP="00CA4DCD">
      <w:pPr>
        <w:numPr>
          <w:ilvl w:val="0"/>
          <w:numId w:val="46"/>
        </w:numPr>
        <w:tabs>
          <w:tab w:val="left" w:pos="720"/>
          <w:tab w:val="clear" w:pos="900"/>
        </w:tabs>
        <w:ind w:left="720" w:hanging="720"/>
        <w:jc w:val="both"/>
        <w:rPr>
          <w:rFonts w:ascii="Arial" w:hAnsi="Arial" w:cs="Arial"/>
          <w:color w:val="000000"/>
        </w:rPr>
      </w:pPr>
      <w:r w:rsidRPr="00CA4DCD">
        <w:rPr>
          <w:rFonts w:ascii="Arial" w:hAnsi="Arial" w:cs="Arial"/>
          <w:color w:val="000000"/>
        </w:rPr>
        <w:t>Pri ukladaní pokuty sa prihliada na závažnosť, spôsob, čas trvania a následky protiprávneho konania.</w:t>
      </w:r>
    </w:p>
    <w:p w:rsidR="00CA4DCD" w:rsidRPr="00CA4DCD" w:rsidP="00CA4DCD">
      <w:pPr>
        <w:numPr>
          <w:ilvl w:val="0"/>
          <w:numId w:val="46"/>
        </w:numPr>
        <w:tabs>
          <w:tab w:val="left" w:pos="720"/>
          <w:tab w:val="clear" w:pos="900"/>
        </w:tabs>
        <w:ind w:left="720" w:hanging="720"/>
        <w:jc w:val="both"/>
        <w:rPr>
          <w:rFonts w:ascii="Arial" w:hAnsi="Arial" w:cs="Arial"/>
          <w:color w:val="000000"/>
        </w:rPr>
      </w:pPr>
      <w:r w:rsidRPr="00CA4DCD">
        <w:rPr>
          <w:rFonts w:ascii="Arial" w:hAnsi="Arial" w:cs="Arial"/>
          <w:color w:val="000000"/>
        </w:rPr>
        <w:t xml:space="preserve">Pri opakovanom porušení povinnosti podľa odsekov 1 až 6 orgán dohľadu </w:t>
      </w:r>
      <w:r w:rsidRPr="00CA4DCD">
        <w:rPr>
          <w:rFonts w:ascii="Arial" w:hAnsi="Arial" w:cs="Arial"/>
        </w:rPr>
        <w:t xml:space="preserve">nad trhom alebo úrad </w:t>
      </w:r>
      <w:r w:rsidRPr="00CA4DCD">
        <w:rPr>
          <w:rFonts w:ascii="Arial" w:hAnsi="Arial" w:cs="Arial"/>
          <w:color w:val="000000"/>
        </w:rPr>
        <w:t>môže uložiť pokutu do výšky dvojnásobku hornej hranice pokuty podľa odsekov 1 až 6.</w:t>
      </w:r>
    </w:p>
    <w:p w:rsidR="00CA4DCD" w:rsidRPr="00CA4DCD" w:rsidP="00CA4DCD">
      <w:pPr>
        <w:numPr>
          <w:ilvl w:val="0"/>
          <w:numId w:val="46"/>
        </w:numPr>
        <w:tabs>
          <w:tab w:val="left" w:pos="720"/>
          <w:tab w:val="clear" w:pos="900"/>
        </w:tabs>
        <w:ind w:left="720" w:hanging="720"/>
        <w:jc w:val="both"/>
        <w:rPr>
          <w:rFonts w:ascii="Arial" w:hAnsi="Arial" w:cs="Arial"/>
          <w:color w:val="000000"/>
        </w:rPr>
      </w:pPr>
      <w:r w:rsidRPr="00CA4DCD">
        <w:rPr>
          <w:rFonts w:ascii="Arial" w:hAnsi="Arial" w:cs="Arial"/>
          <w:color w:val="000000"/>
        </w:rPr>
        <w:t>Výnos</w:t>
      </w:r>
      <w:r w:rsidRPr="00CA4DCD">
        <w:rPr>
          <w:rFonts w:ascii="Arial" w:hAnsi="Arial" w:cs="Arial"/>
        </w:rPr>
        <w:t> pokút je príjmom štátneho rozpočtu.“.</w:t>
      </w:r>
    </w:p>
    <w:p w:rsidR="00CA4DCD" w:rsidRPr="00CA4DCD" w:rsidP="00CA4DCD">
      <w:pPr>
        <w:jc w:val="both"/>
        <w:rPr>
          <w:rFonts w:ascii="Arial" w:hAnsi="Arial" w:cs="Arial"/>
          <w:color w:val="000000"/>
        </w:rPr>
      </w:pPr>
    </w:p>
    <w:p w:rsidR="00CA4DCD" w:rsidRPr="00CA4DCD" w:rsidP="00CA4DCD">
      <w:pPr>
        <w:jc w:val="both"/>
        <w:rPr>
          <w:rFonts w:ascii="Arial" w:hAnsi="Arial" w:cs="Arial"/>
          <w:b/>
          <w:color w:val="000000"/>
        </w:rPr>
      </w:pPr>
    </w:p>
    <w:p w:rsidR="00CA4DCD" w:rsidRPr="00CA4DCD" w:rsidP="00CA4DCD">
      <w:pPr>
        <w:ind w:left="2340"/>
        <w:jc w:val="both"/>
        <w:rPr>
          <w:rFonts w:ascii="Arial" w:hAnsi="Arial" w:cs="Arial"/>
          <w:color w:val="000000"/>
        </w:rPr>
      </w:pPr>
      <w:r w:rsidRPr="00CA4DCD">
        <w:rPr>
          <w:rFonts w:ascii="Arial" w:hAnsi="Arial" w:cs="Arial"/>
          <w:color w:val="000000"/>
        </w:rPr>
        <w:t xml:space="preserve">V novom znení ustanovenia upravujúcom výšku pokút sa precizovali minimá a maximá súm pokút, ktoré môžu byť uložené úradom alebo orgánom dohľadu nad trhom za porušenia jednotlivých ustanovení zákona. Podľa odsekov 5 až 7 sankcionuje porušenie povinností úrad, pričom v týchto odsekoch sa ustanovila spodná hranica pokuty. Pri určovaní spodnej a hornej hranice pokuty sa vychádzalo z charakteru povinnosti a možného následku vzniknutého jej porušením. </w:t>
      </w:r>
    </w:p>
    <w:p w:rsidR="00CA4DCD" w:rsidRPr="00CA4DCD" w:rsidP="00CA4DCD">
      <w:pPr>
        <w:ind w:left="2340"/>
        <w:jc w:val="both"/>
        <w:rPr>
          <w:rFonts w:ascii="Arial" w:hAnsi="Arial" w:cs="Arial"/>
        </w:rPr>
      </w:pPr>
      <w:r w:rsidRPr="00CA4DCD">
        <w:rPr>
          <w:rFonts w:ascii="Arial" w:hAnsi="Arial" w:cs="Arial"/>
          <w:color w:val="000000"/>
        </w:rPr>
        <w:t>Porušenie povinností, ktoré sankcionuje orgán dohľadu nad trhom (odseky 1 až 5) sú rozdelené do piatich skupín, pričom rozdelenie jednotlivých povinností do piatich skupín a určenie spodnej a hornej hranice pokút sa odvíja od charakteru povinnosti a možného následku porušenia povinnosti. Najvyššou sumou je sankcionované porušenie povinnosti spočívajúcej v tom, keď príslušný hospodársky subjekt nesplní povinnosť uloženú orgánom dohľadu nad trhom a orgán dohľadu nad trhom musí príslušné opatrenie vykonať sám. Nesplnenie si tejto povinnosti (vykonanie opatrenia uloženého orgánom dohľadu nad trhom) je chápané ako najzávažnejšie, nakoľko je znakom nerešpektovania povinnosti uloženej orgánom dohľadu nad trhom a zvyšuje už tak hroziace riziko ohrozenia života, zdravia alebo majetku.</w:t>
      </w:r>
    </w:p>
    <w:p w:rsidR="00F4034B" w:rsidRPr="00CA4DCD" w:rsidP="00F4034B">
      <w:pPr>
        <w:spacing w:line="360" w:lineRule="auto"/>
        <w:rPr>
          <w:rFonts w:ascii="Arial" w:hAnsi="Arial" w:cs="Arial"/>
        </w:rPr>
      </w:pPr>
    </w:p>
    <w:p w:rsidR="005D4A58" w:rsidRPr="00CA4DCD" w:rsidP="005D4A58">
      <w:pPr>
        <w:rPr>
          <w:rFonts w:ascii="Arial" w:hAnsi="Arial" w:cs="Arial"/>
        </w:rPr>
      </w:pP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EUAlbertina+20">
    <w:panose1 w:val="00000000000000000000"/>
    <w:charset w:val="00"/>
    <w:family w:val="auto"/>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42" w:rsidP="00B31C1B">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AE5242" w:rsidP="00B12DA5">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42" w:rsidP="00B31C1B">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BF75C5">
      <w:rPr>
        <w:rStyle w:val="PageNumber"/>
        <w:rFonts w:ascii="Times New Roman" w:hAnsi="Times New Roman" w:cs="Times New Roman"/>
        <w:noProof/>
      </w:rPr>
      <w:t>3</w:t>
    </w:r>
    <w:r>
      <w:rPr>
        <w:rStyle w:val="PageNumber"/>
        <w:rFonts w:ascii="Times New Roman" w:hAnsi="Times New Roman" w:cs="Times New Roman"/>
      </w:rPr>
      <w:fldChar w:fldCharType="end"/>
    </w:r>
  </w:p>
  <w:p w:rsidR="00AE5242" w:rsidP="00B12DA5">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493C"/>
    <w:multiLevelType w:val="hybridMultilevel"/>
    <w:tmpl w:val="1D743EA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2A10504"/>
    <w:multiLevelType w:val="hybridMultilevel"/>
    <w:tmpl w:val="2904FE02"/>
    <w:lvl w:ilvl="0">
      <w:start w:val="1"/>
      <w:numFmt w:val="decimal"/>
      <w:lvlText w:val="%1."/>
      <w:lvlJc w:val="left"/>
      <w:pPr>
        <w:tabs>
          <w:tab w:val="num" w:pos="360"/>
        </w:tabs>
        <w:ind w:left="360" w:hanging="360"/>
      </w:pPr>
      <w:rPr>
        <w:b w:val="0"/>
        <w:rtl w:val="0"/>
      </w:rPr>
    </w:lvl>
    <w:lvl w:ilvl="1">
      <w:start w:val="1"/>
      <w:numFmt w:val="decimal"/>
      <w:lvlText w:val="%2."/>
      <w:lvlJc w:val="left"/>
      <w:pPr>
        <w:tabs>
          <w:tab w:val="num" w:pos="1440"/>
        </w:tabs>
        <w:ind w:left="1440" w:hanging="360"/>
      </w:pPr>
      <w:rPr>
        <w:b w:val="0"/>
        <w:rtl w:val="0"/>
      </w:rPr>
    </w:lvl>
    <w:lvl w:ilvl="2">
      <w:start w:val="0"/>
      <w:numFmt w:val="bullet"/>
      <w:lvlText w:val="-"/>
      <w:lvlJc w:val="left"/>
      <w:pPr>
        <w:tabs>
          <w:tab w:val="num" w:pos="2340"/>
        </w:tabs>
        <w:ind w:left="2340" w:hanging="360"/>
      </w:pPr>
      <w:rPr>
        <w:rFonts w:ascii="Times New Roman" w:hAnsi="Times New Roman" w:cs="Times New Roman"/>
        <w:rtl w:val="0"/>
      </w:rPr>
    </w:lvl>
    <w:lvl w:ilvl="3">
      <w:start w:val="1"/>
      <w:numFmt w:val="decimal"/>
      <w:lvlText w:val="%4."/>
      <w:lvlJc w:val="left"/>
      <w:pPr>
        <w:tabs>
          <w:tab w:val="num" w:pos="2880"/>
        </w:tabs>
        <w:ind w:left="2880" w:hanging="360"/>
      </w:pPr>
      <w:rPr>
        <w:b w:val="0"/>
        <w:rtl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3A6D8D"/>
    <w:multiLevelType w:val="hybridMultilevel"/>
    <w:tmpl w:val="F2484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900724D"/>
    <w:multiLevelType w:val="hybridMultilevel"/>
    <w:tmpl w:val="CC9CFAE6"/>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
    <w:nsid w:val="09C741D8"/>
    <w:multiLevelType w:val="hybridMultilevel"/>
    <w:tmpl w:val="1CBCB0CA"/>
    <w:lvl w:ilvl="0">
      <w:start w:val="1"/>
      <w:numFmt w:val="lowerLetter"/>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DA23F73"/>
    <w:multiLevelType w:val="hybridMultilevel"/>
    <w:tmpl w:val="5AEC92AA"/>
    <w:lvl w:ilvl="0">
      <w:start w:val="1"/>
      <w:numFmt w:val="decimal"/>
      <w:lvlText w:val="(%1)"/>
      <w:lvlJc w:val="left"/>
      <w:pPr>
        <w:tabs>
          <w:tab w:val="num" w:pos="735"/>
        </w:tabs>
        <w:ind w:left="735" w:hanging="375"/>
      </w:pPr>
      <w:rPr>
        <w:rFonts w:cs="Times New Roman"/>
        <w:rtl w:val="0"/>
      </w:rPr>
    </w:lvl>
    <w:lvl w:ilvl="1">
      <w:start w:val="1"/>
      <w:numFmt w:val="lowerLetter"/>
      <w:lvlText w:val="%2)"/>
      <w:lvlJc w:val="left"/>
      <w:pPr>
        <w:tabs>
          <w:tab w:val="num" w:pos="1080"/>
        </w:tabs>
        <w:ind w:left="1080" w:hanging="360"/>
      </w:pPr>
      <w:rPr>
        <w:rFonts w:cs="Times New Roman"/>
        <w:color w:val="auto"/>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
    <w:nsid w:val="0E2B28EF"/>
    <w:multiLevelType w:val="hybridMultilevel"/>
    <w:tmpl w:val="A064C5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37B0A38"/>
    <w:multiLevelType w:val="hybridMultilevel"/>
    <w:tmpl w:val="EAC05BAE"/>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
    <w:nsid w:val="18494CB2"/>
    <w:multiLevelType w:val="hybridMultilevel"/>
    <w:tmpl w:val="01765F4C"/>
    <w:lvl w:ilvl="0">
      <w:start w:val="1"/>
      <w:numFmt w:val="decimal"/>
      <w:lvlText w:val="%1."/>
      <w:lvlJc w:val="left"/>
      <w:pPr>
        <w:tabs>
          <w:tab w:val="num" w:pos="672"/>
        </w:tabs>
        <w:ind w:left="672" w:hanging="360"/>
      </w:pPr>
    </w:lvl>
    <w:lvl w:ilvl="1">
      <w:start w:val="1"/>
      <w:numFmt w:val="lowerLetter"/>
      <w:lvlText w:val="%2."/>
      <w:lvlJc w:val="left"/>
      <w:pPr>
        <w:tabs>
          <w:tab w:val="num" w:pos="1392"/>
        </w:tabs>
        <w:ind w:left="1392" w:hanging="360"/>
      </w:pPr>
    </w:lvl>
    <w:lvl w:ilvl="2">
      <w:start w:val="1"/>
      <w:numFmt w:val="lowerRoman"/>
      <w:lvlText w:val="%3."/>
      <w:lvlJc w:val="right"/>
      <w:pPr>
        <w:tabs>
          <w:tab w:val="num" w:pos="2112"/>
        </w:tabs>
        <w:ind w:left="2112" w:hanging="180"/>
      </w:pPr>
    </w:lvl>
    <w:lvl w:ilvl="3">
      <w:start w:val="1"/>
      <w:numFmt w:val="decimal"/>
      <w:lvlText w:val="%4."/>
      <w:lvlJc w:val="left"/>
      <w:pPr>
        <w:tabs>
          <w:tab w:val="num" w:pos="2832"/>
        </w:tabs>
        <w:ind w:left="2832" w:hanging="360"/>
      </w:pPr>
    </w:lvl>
    <w:lvl w:ilvl="4">
      <w:start w:val="1"/>
      <w:numFmt w:val="lowerLetter"/>
      <w:lvlText w:val="%5."/>
      <w:lvlJc w:val="left"/>
      <w:pPr>
        <w:tabs>
          <w:tab w:val="num" w:pos="3552"/>
        </w:tabs>
        <w:ind w:left="3552" w:hanging="360"/>
      </w:pPr>
    </w:lvl>
    <w:lvl w:ilvl="5">
      <w:start w:val="1"/>
      <w:numFmt w:val="lowerRoman"/>
      <w:lvlText w:val="%6."/>
      <w:lvlJc w:val="right"/>
      <w:pPr>
        <w:tabs>
          <w:tab w:val="num" w:pos="4272"/>
        </w:tabs>
        <w:ind w:left="4272" w:hanging="180"/>
      </w:pPr>
    </w:lvl>
    <w:lvl w:ilvl="6">
      <w:start w:val="1"/>
      <w:numFmt w:val="decimal"/>
      <w:lvlText w:val="%7."/>
      <w:lvlJc w:val="left"/>
      <w:pPr>
        <w:tabs>
          <w:tab w:val="num" w:pos="4992"/>
        </w:tabs>
        <w:ind w:left="4992" w:hanging="360"/>
      </w:pPr>
    </w:lvl>
    <w:lvl w:ilvl="7">
      <w:start w:val="1"/>
      <w:numFmt w:val="lowerLetter"/>
      <w:lvlText w:val="%8."/>
      <w:lvlJc w:val="left"/>
      <w:pPr>
        <w:tabs>
          <w:tab w:val="num" w:pos="5712"/>
        </w:tabs>
        <w:ind w:left="5712" w:hanging="360"/>
      </w:pPr>
    </w:lvl>
    <w:lvl w:ilvl="8">
      <w:start w:val="1"/>
      <w:numFmt w:val="lowerRoman"/>
      <w:lvlText w:val="%9."/>
      <w:lvlJc w:val="right"/>
      <w:pPr>
        <w:tabs>
          <w:tab w:val="num" w:pos="6432"/>
        </w:tabs>
        <w:ind w:left="6432" w:hanging="180"/>
      </w:pPr>
    </w:lvl>
  </w:abstractNum>
  <w:abstractNum w:abstractNumId="9">
    <w:nsid w:val="1AD509C5"/>
    <w:multiLevelType w:val="hybridMultilevel"/>
    <w:tmpl w:val="D6F646E6"/>
    <w:lvl w:ilvl="0">
      <w:start w:val="1"/>
      <w:numFmt w:val="decimal"/>
      <w:lvlText w:val="(%1)"/>
      <w:lvlJc w:val="left"/>
      <w:pPr>
        <w:tabs>
          <w:tab w:val="num" w:pos="900"/>
        </w:tabs>
        <w:ind w:left="90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
    <w:nsid w:val="1BB23881"/>
    <w:multiLevelType w:val="hybridMultilevel"/>
    <w:tmpl w:val="86783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C6B6195"/>
    <w:multiLevelType w:val="hybridMultilevel"/>
    <w:tmpl w:val="EF288D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0EF1942"/>
    <w:multiLevelType w:val="hybridMultilevel"/>
    <w:tmpl w:val="5BDCA3E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1295B8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1D06A01"/>
    <w:multiLevelType w:val="hybridMultilevel"/>
    <w:tmpl w:val="F0F0BE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24797853"/>
    <w:multiLevelType w:val="hybridMultilevel"/>
    <w:tmpl w:val="765662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4AA5690"/>
    <w:multiLevelType w:val="hybridMultilevel"/>
    <w:tmpl w:val="0C125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5DB7E74"/>
    <w:multiLevelType w:val="singleLevel"/>
    <w:tmpl w:val="39F038C2"/>
    <w:lvl w:ilvl="0">
      <w:start w:val="1"/>
      <w:numFmt w:val="upperLetter"/>
      <w:pStyle w:val="Heading3"/>
      <w:lvlText w:val="%1."/>
      <w:lvlJc w:val="left"/>
      <w:pPr>
        <w:tabs>
          <w:tab w:val="num" w:pos="420"/>
        </w:tabs>
        <w:ind w:left="420" w:hanging="420"/>
      </w:pPr>
    </w:lvl>
  </w:abstractNum>
  <w:abstractNum w:abstractNumId="18">
    <w:nsid w:val="2758222E"/>
    <w:multiLevelType w:val="hybridMultilevel"/>
    <w:tmpl w:val="6C069414"/>
    <w:lvl w:ilvl="0">
      <w:start w:val="1"/>
      <w:numFmt w:val="lowerLetter"/>
      <w:lvlText w:val="%1)"/>
      <w:lvlJc w:val="left"/>
      <w:pPr>
        <w:tabs>
          <w:tab w:val="num" w:pos="720"/>
        </w:tabs>
        <w:ind w:left="720" w:hanging="360"/>
      </w:pPr>
      <w:rPr>
        <w:rFonts w:cs="Times New Roman"/>
        <w:rtl w:val="0"/>
      </w:rPr>
    </w:lvl>
    <w:lvl w:ilvl="1">
      <w:start w:val="6"/>
      <w:numFmt w:val="bullet"/>
      <w:lvlText w:val="—"/>
      <w:lvlJc w:val="left"/>
      <w:pPr>
        <w:tabs>
          <w:tab w:val="num" w:pos="360"/>
        </w:tabs>
        <w:ind w:left="360" w:hanging="360"/>
      </w:pPr>
      <w:rPr>
        <w:rFonts w:ascii="EUAlbertina+20" w:hAnsi="EUAlbertina+20"/>
        <w:b w:val="0"/>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9">
    <w:nsid w:val="2A23417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D63709B"/>
    <w:multiLevelType w:val="hybridMultilevel"/>
    <w:tmpl w:val="8E96A3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E777C6"/>
    <w:multiLevelType w:val="hybridMultilevel"/>
    <w:tmpl w:val="AB463B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27D2D0E"/>
    <w:multiLevelType w:val="hybridMultilevel"/>
    <w:tmpl w:val="7AF8F368"/>
    <w:lvl w:ilvl="0">
      <w:start w:val="1"/>
      <w:numFmt w:val="decimal"/>
      <w:lvlText w:val="%1."/>
      <w:lvlJc w:val="left"/>
      <w:pPr>
        <w:tabs>
          <w:tab w:val="num" w:pos="1170"/>
        </w:tabs>
        <w:ind w:left="1170" w:hanging="360"/>
      </w:pPr>
    </w:lvl>
    <w:lvl w:ilvl="1">
      <w:start w:val="1"/>
      <w:numFmt w:val="lowerLetter"/>
      <w:lvlText w:val="%2."/>
      <w:lvlJc w:val="left"/>
      <w:pPr>
        <w:tabs>
          <w:tab w:val="num" w:pos="1890"/>
        </w:tabs>
        <w:ind w:left="1890" w:hanging="360"/>
      </w:pPr>
    </w:lvl>
    <w:lvl w:ilvl="2">
      <w:start w:val="1"/>
      <w:numFmt w:val="lowerRoman"/>
      <w:lvlText w:val="%3."/>
      <w:lvlJc w:val="right"/>
      <w:pPr>
        <w:tabs>
          <w:tab w:val="num" w:pos="2610"/>
        </w:tabs>
        <w:ind w:left="2610" w:hanging="180"/>
      </w:pPr>
    </w:lvl>
    <w:lvl w:ilvl="3">
      <w:start w:val="1"/>
      <w:numFmt w:val="decimal"/>
      <w:lvlText w:val="%4."/>
      <w:lvlJc w:val="left"/>
      <w:pPr>
        <w:tabs>
          <w:tab w:val="num" w:pos="3330"/>
        </w:tabs>
        <w:ind w:left="333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770"/>
        </w:tabs>
        <w:ind w:left="4770" w:hanging="180"/>
      </w:pPr>
    </w:lvl>
    <w:lvl w:ilvl="6">
      <w:start w:val="1"/>
      <w:numFmt w:val="decimal"/>
      <w:lvlText w:val="%7."/>
      <w:lvlJc w:val="left"/>
      <w:pPr>
        <w:tabs>
          <w:tab w:val="num" w:pos="5490"/>
        </w:tabs>
        <w:ind w:left="5490" w:hanging="360"/>
      </w:pPr>
    </w:lvl>
    <w:lvl w:ilvl="7">
      <w:start w:val="1"/>
      <w:numFmt w:val="lowerLetter"/>
      <w:lvlText w:val="%8."/>
      <w:lvlJc w:val="left"/>
      <w:pPr>
        <w:tabs>
          <w:tab w:val="num" w:pos="6210"/>
        </w:tabs>
        <w:ind w:left="6210" w:hanging="360"/>
      </w:pPr>
    </w:lvl>
    <w:lvl w:ilvl="8">
      <w:start w:val="1"/>
      <w:numFmt w:val="lowerRoman"/>
      <w:lvlText w:val="%9."/>
      <w:lvlJc w:val="right"/>
      <w:pPr>
        <w:tabs>
          <w:tab w:val="num" w:pos="6930"/>
        </w:tabs>
        <w:ind w:left="6930" w:hanging="180"/>
      </w:pPr>
    </w:lvl>
  </w:abstractNum>
  <w:abstractNum w:abstractNumId="23">
    <w:nsid w:val="33980ADC"/>
    <w:multiLevelType w:val="hybridMultilevel"/>
    <w:tmpl w:val="2EF4D29E"/>
    <w:lvl w:ilvl="0">
      <w:start w:val="1"/>
      <w:numFmt w:val="decimal"/>
      <w:lvlText w:val="%1."/>
      <w:lvlJc w:val="left"/>
      <w:pPr>
        <w:tabs>
          <w:tab w:val="num" w:pos="1080"/>
        </w:tabs>
        <w:ind w:left="1080" w:hanging="360"/>
      </w:pPr>
      <w:rPr>
        <w:b w:val="0"/>
        <w:i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345F6298"/>
    <w:multiLevelType w:val="hybridMultilevel"/>
    <w:tmpl w:val="8E224C9E"/>
    <w:lvl w:ilvl="0">
      <w:start w:val="1"/>
      <w:numFmt w:val="decimal"/>
      <w:lvlText w:val="%1."/>
      <w:lvlJc w:val="left"/>
      <w:pPr>
        <w:tabs>
          <w:tab w:val="num" w:pos="720"/>
        </w:tabs>
        <w:ind w:left="720" w:hanging="36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AD72CB"/>
    <w:multiLevelType w:val="hybridMultilevel"/>
    <w:tmpl w:val="7AFED67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nsid w:val="36B443BE"/>
    <w:multiLevelType w:val="hybridMultilevel"/>
    <w:tmpl w:val="AA888FD2"/>
    <w:lvl w:ilvl="0">
      <w:start w:val="1"/>
      <w:numFmt w:val="decimal"/>
      <w:lvlText w:val="%1."/>
      <w:lvlJc w:val="left"/>
      <w:pPr>
        <w:ind w:left="786" w:hanging="360"/>
      </w:pPr>
      <w:rPr>
        <w:rFonts w:cs="Times New Roman"/>
        <w:rtl w:val="0"/>
      </w:rPr>
    </w:lvl>
    <w:lvl w:ilvl="1">
      <w:start w:val="1"/>
      <w:numFmt w:val="lowerLetter"/>
      <w:lvlText w:val="%2."/>
      <w:lvlJc w:val="left"/>
      <w:pPr>
        <w:ind w:left="1506" w:hanging="360"/>
      </w:pPr>
      <w:rPr>
        <w:rFonts w:cs="Times New Roman"/>
        <w:rtl w:val="0"/>
      </w:rPr>
    </w:lvl>
    <w:lvl w:ilvl="2">
      <w:start w:val="1"/>
      <w:numFmt w:val="lowerRoman"/>
      <w:lvlText w:val="%3."/>
      <w:lvlJc w:val="right"/>
      <w:pPr>
        <w:ind w:left="2226" w:hanging="180"/>
      </w:pPr>
      <w:rPr>
        <w:rFonts w:cs="Times New Roman"/>
        <w:rtl w:val="0"/>
      </w:rPr>
    </w:lvl>
    <w:lvl w:ilvl="3">
      <w:start w:val="1"/>
      <w:numFmt w:val="decimal"/>
      <w:lvlText w:val="%4."/>
      <w:lvlJc w:val="left"/>
      <w:pPr>
        <w:ind w:left="2946" w:hanging="360"/>
      </w:pPr>
      <w:rPr>
        <w:rFonts w:cs="Times New Roman"/>
        <w:rtl w:val="0"/>
      </w:rPr>
    </w:lvl>
    <w:lvl w:ilvl="4">
      <w:start w:val="1"/>
      <w:numFmt w:val="lowerLetter"/>
      <w:lvlText w:val="%5."/>
      <w:lvlJc w:val="left"/>
      <w:pPr>
        <w:ind w:left="3666" w:hanging="360"/>
      </w:pPr>
      <w:rPr>
        <w:rFonts w:cs="Times New Roman"/>
        <w:rtl w:val="0"/>
      </w:rPr>
    </w:lvl>
    <w:lvl w:ilvl="5">
      <w:start w:val="1"/>
      <w:numFmt w:val="lowerRoman"/>
      <w:lvlText w:val="%6."/>
      <w:lvlJc w:val="right"/>
      <w:pPr>
        <w:ind w:left="4386" w:hanging="180"/>
      </w:pPr>
      <w:rPr>
        <w:rFonts w:cs="Times New Roman"/>
        <w:rtl w:val="0"/>
      </w:rPr>
    </w:lvl>
    <w:lvl w:ilvl="6">
      <w:start w:val="1"/>
      <w:numFmt w:val="decimal"/>
      <w:lvlText w:val="%7."/>
      <w:lvlJc w:val="left"/>
      <w:pPr>
        <w:ind w:left="5106" w:hanging="360"/>
      </w:pPr>
      <w:rPr>
        <w:rFonts w:cs="Times New Roman"/>
        <w:rtl w:val="0"/>
      </w:rPr>
    </w:lvl>
    <w:lvl w:ilvl="7">
      <w:start w:val="1"/>
      <w:numFmt w:val="lowerLetter"/>
      <w:lvlText w:val="%8."/>
      <w:lvlJc w:val="left"/>
      <w:pPr>
        <w:ind w:left="5826" w:hanging="360"/>
      </w:pPr>
      <w:rPr>
        <w:rFonts w:cs="Times New Roman"/>
        <w:rtl w:val="0"/>
      </w:rPr>
    </w:lvl>
    <w:lvl w:ilvl="8">
      <w:start w:val="1"/>
      <w:numFmt w:val="lowerRoman"/>
      <w:lvlText w:val="%9."/>
      <w:lvlJc w:val="right"/>
      <w:pPr>
        <w:ind w:left="6546" w:hanging="180"/>
      </w:pPr>
      <w:rPr>
        <w:rFonts w:cs="Times New Roman"/>
        <w:rtl w:val="0"/>
      </w:rPr>
    </w:lvl>
  </w:abstractNum>
  <w:abstractNum w:abstractNumId="27">
    <w:nsid w:val="3FBB35E9"/>
    <w:multiLevelType w:val="hybridMultilevel"/>
    <w:tmpl w:val="5B4007BC"/>
    <w:lvl w:ilvl="0">
      <w:start w:val="1"/>
      <w:numFmt w:val="lowerLetter"/>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nsid w:val="4053733B"/>
    <w:multiLevelType w:val="hybridMultilevel"/>
    <w:tmpl w:val="023AA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6E202EF"/>
    <w:multiLevelType w:val="hybridMultilevel"/>
    <w:tmpl w:val="60726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75B3203"/>
    <w:multiLevelType w:val="multilevel"/>
    <w:tmpl w:val="7AE040EE"/>
    <w:lvl w:ilvl="0">
      <w:start w:val="1"/>
      <w:numFmt w:val="none"/>
      <w:pStyle w:val="AODocTxt"/>
      <w:suff w:val="nothing"/>
      <w:lvlJc w:val="left"/>
      <w:pPr>
        <w:ind w:left="720" w:firstLine="0"/>
      </w:pPr>
    </w:lvl>
    <w:lvl w:ilvl="1">
      <w:start w:val="1"/>
      <w:numFmt w:val="none"/>
      <w:pStyle w:val="AODocTxtL1"/>
      <w:suff w:val="nothing"/>
      <w:lvlJc w:val="left"/>
      <w:pPr>
        <w:ind w:left="1440" w:firstLine="0"/>
      </w:pPr>
    </w:lvl>
    <w:lvl w:ilvl="2">
      <w:start w:val="1"/>
      <w:numFmt w:val="none"/>
      <w:pStyle w:val="AODocTxtL2"/>
      <w:suff w:val="nothing"/>
      <w:lvlJc w:val="left"/>
      <w:pPr>
        <w:ind w:left="2160" w:firstLine="0"/>
      </w:pPr>
    </w:lvl>
    <w:lvl w:ilvl="3">
      <w:start w:val="1"/>
      <w:numFmt w:val="none"/>
      <w:pStyle w:val="AODocTxtL3"/>
      <w:suff w:val="nothing"/>
      <w:lvlJc w:val="left"/>
      <w:pPr>
        <w:ind w:left="2880" w:firstLine="0"/>
      </w:pPr>
    </w:lvl>
    <w:lvl w:ilvl="4">
      <w:start w:val="1"/>
      <w:numFmt w:val="none"/>
      <w:pStyle w:val="AODocTxtL4"/>
      <w:suff w:val="nothing"/>
      <w:lvlJc w:val="left"/>
      <w:pPr>
        <w:ind w:left="3600" w:firstLine="0"/>
      </w:pPr>
    </w:lvl>
    <w:lvl w:ilvl="5">
      <w:start w:val="1"/>
      <w:numFmt w:val="none"/>
      <w:pStyle w:val="AODocTxtL5"/>
      <w:suff w:val="nothing"/>
      <w:lvlJc w:val="left"/>
      <w:pPr>
        <w:ind w:left="4320" w:firstLine="0"/>
      </w:pPr>
    </w:lvl>
    <w:lvl w:ilvl="6">
      <w:start w:val="1"/>
      <w:numFmt w:val="none"/>
      <w:pStyle w:val="AODocTxtL6"/>
      <w:suff w:val="nothing"/>
      <w:lvlJc w:val="left"/>
      <w:pPr>
        <w:ind w:left="5040" w:firstLine="0"/>
      </w:pPr>
    </w:lvl>
    <w:lvl w:ilvl="7">
      <w:start w:val="1"/>
      <w:numFmt w:val="none"/>
      <w:pStyle w:val="AODocTxtL7"/>
      <w:suff w:val="nothing"/>
      <w:lvlJc w:val="left"/>
      <w:pPr>
        <w:ind w:left="5760" w:firstLine="0"/>
      </w:pPr>
    </w:lvl>
    <w:lvl w:ilvl="8">
      <w:start w:val="1"/>
      <w:numFmt w:val="none"/>
      <w:pStyle w:val="AODocTxtL8"/>
      <w:suff w:val="nothing"/>
      <w:lvlJc w:val="left"/>
      <w:pPr>
        <w:ind w:left="6480" w:firstLine="0"/>
      </w:pPr>
    </w:lvl>
  </w:abstractNum>
  <w:abstractNum w:abstractNumId="31">
    <w:nsid w:val="49533F80"/>
    <w:multiLevelType w:val="hybridMultilevel"/>
    <w:tmpl w:val="9C46C6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4CA355B8"/>
    <w:multiLevelType w:val="hybridMultilevel"/>
    <w:tmpl w:val="E0A6FA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5974247"/>
    <w:multiLevelType w:val="hybridMultilevel"/>
    <w:tmpl w:val="8A100D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B9363AC"/>
    <w:multiLevelType w:val="hybridMultilevel"/>
    <w:tmpl w:val="D766F30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5">
    <w:nsid w:val="5DC34264"/>
    <w:multiLevelType w:val="hybridMultilevel"/>
    <w:tmpl w:val="94C4B654"/>
    <w:lvl w:ilvl="0">
      <w:start w:val="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1472388"/>
    <w:multiLevelType w:val="hybridMultilevel"/>
    <w:tmpl w:val="049083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676789C"/>
    <w:multiLevelType w:val="hybridMultilevel"/>
    <w:tmpl w:val="424014CE"/>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nsid w:val="66994E29"/>
    <w:multiLevelType w:val="hybridMultilevel"/>
    <w:tmpl w:val="3122750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6D84C1A"/>
    <w:multiLevelType w:val="hybridMultilevel"/>
    <w:tmpl w:val="8C94B0F0"/>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upp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89F5E34"/>
    <w:multiLevelType w:val="hybridMultilevel"/>
    <w:tmpl w:val="D07223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19C363B"/>
    <w:multiLevelType w:val="hybridMultilevel"/>
    <w:tmpl w:val="AA4CB3A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1FD5567"/>
    <w:multiLevelType w:val="hybridMultilevel"/>
    <w:tmpl w:val="BE0C462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3">
    <w:nsid w:val="7D2F5268"/>
    <w:multiLevelType w:val="hybridMultilevel"/>
    <w:tmpl w:val="7862D1E0"/>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F827311"/>
    <w:multiLevelType w:val="hybridMultilevel"/>
    <w:tmpl w:val="B524AA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30"/>
  </w:num>
  <w:num w:numId="3">
    <w:abstractNumId w:val="2"/>
  </w:num>
  <w:num w:numId="4">
    <w:abstractNumId w:val="33"/>
  </w:num>
  <w:num w:numId="5">
    <w:abstractNumId w:val="40"/>
  </w:num>
  <w:num w:numId="6">
    <w:abstractNumId w:val="1"/>
  </w:num>
  <w:num w:numId="7">
    <w:abstractNumId w:val="36"/>
  </w:num>
  <w:num w:numId="8">
    <w:abstractNumId w:val="39"/>
  </w:num>
  <w:num w:numId="9">
    <w:abstractNumId w:val="35"/>
  </w:num>
  <w:num w:numId="10">
    <w:abstractNumId w:val="12"/>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
  </w:num>
  <w:num w:numId="14">
    <w:abstractNumId w:val="2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15"/>
  </w:num>
  <w:num w:numId="18">
    <w:abstractNumId w:val="11"/>
  </w:num>
  <w:num w:numId="19">
    <w:abstractNumId w:val="41"/>
  </w:num>
  <w:num w:numId="20">
    <w:abstractNumId w:val="8"/>
  </w:num>
  <w:num w:numId="21">
    <w:abstractNumId w:val="43"/>
  </w:num>
  <w:num w:numId="22">
    <w:abstractNumId w:val="10"/>
  </w:num>
  <w:num w:numId="23">
    <w:abstractNumId w:val="23"/>
  </w:num>
  <w:num w:numId="24">
    <w:abstractNumId w:val="24"/>
  </w:num>
  <w:num w:numId="25">
    <w:abstractNumId w:val="44"/>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4"/>
  </w:num>
  <w:num w:numId="31">
    <w:abstractNumId w:val="31"/>
  </w:num>
  <w:num w:numId="32">
    <w:abstractNumId w:val="16"/>
  </w:num>
  <w:num w:numId="33">
    <w:abstractNumId w:val="29"/>
  </w:num>
  <w:num w:numId="34">
    <w:abstractNumId w:val="20"/>
  </w:num>
  <w:num w:numId="35">
    <w:abstractNumId w:val="42"/>
  </w:num>
  <w:num w:numId="36">
    <w:abstractNumId w:val="28"/>
  </w:num>
  <w:num w:numId="37">
    <w:abstractNumId w:val="37"/>
  </w:num>
  <w:num w:numId="38">
    <w:abstractNumId w:val="32"/>
  </w:num>
  <w:num w:numId="39">
    <w:abstractNumId w:val="22"/>
  </w:num>
  <w:num w:numId="40">
    <w:abstractNumId w:val="0"/>
  </w:num>
  <w:num w:numId="41">
    <w:abstractNumId w:val="6"/>
  </w:num>
  <w:num w:numId="42">
    <w:abstractNumId w:val="34"/>
  </w:num>
  <w:num w:numId="43">
    <w:abstractNumId w:val="26"/>
  </w:num>
  <w:num w:numId="44">
    <w:abstractNumId w:val="5"/>
  </w:num>
  <w:num w:numId="45">
    <w:abstractNumId w:val="18"/>
  </w:num>
  <w:num w:numId="46">
    <w:abstractNumId w:val="9"/>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50568"/>
    <w:rsid w:val="00106567"/>
    <w:rsid w:val="00154657"/>
    <w:rsid w:val="00275D7F"/>
    <w:rsid w:val="002E7F2E"/>
    <w:rsid w:val="002F0468"/>
    <w:rsid w:val="00345B39"/>
    <w:rsid w:val="003B733D"/>
    <w:rsid w:val="003C4821"/>
    <w:rsid w:val="003E1932"/>
    <w:rsid w:val="004626E2"/>
    <w:rsid w:val="004B21BB"/>
    <w:rsid w:val="005008C8"/>
    <w:rsid w:val="005242C8"/>
    <w:rsid w:val="00552051"/>
    <w:rsid w:val="005D4A58"/>
    <w:rsid w:val="006A3860"/>
    <w:rsid w:val="007B4455"/>
    <w:rsid w:val="0085008B"/>
    <w:rsid w:val="008743DC"/>
    <w:rsid w:val="008E6727"/>
    <w:rsid w:val="00A36A70"/>
    <w:rsid w:val="00A96D39"/>
    <w:rsid w:val="00AE5242"/>
    <w:rsid w:val="00B12DA5"/>
    <w:rsid w:val="00B31C1B"/>
    <w:rsid w:val="00BE35CF"/>
    <w:rsid w:val="00BF75C5"/>
    <w:rsid w:val="00C62C12"/>
    <w:rsid w:val="00CA4DCD"/>
    <w:rsid w:val="00DC2F07"/>
    <w:rsid w:val="00F4034B"/>
    <w:rsid w:val="00FF3C8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line="240" w:lineRule="atLeast"/>
      <w:jc w:val="both"/>
      <w:outlineLvl w:val="0"/>
    </w:pPr>
    <w:rPr>
      <w:b/>
    </w:rPr>
  </w:style>
  <w:style w:type="paragraph" w:styleId="Heading2">
    <w:name w:val="heading 2"/>
    <w:basedOn w:val="Normal"/>
    <w:next w:val="Normal"/>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qFormat/>
    <w:pPr>
      <w:keepNext/>
      <w:numPr>
        <w:ilvl w:val="0"/>
        <w:numId w:val="1"/>
      </w:numPr>
      <w:tabs>
        <w:tab w:val="left" w:pos="420"/>
      </w:tabs>
      <w:ind w:left="420" w:hanging="420"/>
      <w:jc w:val="both"/>
      <w:outlineLvl w:val="2"/>
    </w:pPr>
    <w:rPr>
      <w:rFonts w:ascii="AT*Toronto" w:hAnsi="AT*Toronto"/>
      <w:b/>
      <w:color w:val="0000FF"/>
      <w:szCs w:val="20"/>
      <w:lang w:val="cs-CZ"/>
    </w:rPr>
  </w:style>
  <w:style w:type="paragraph" w:styleId="Heading4">
    <w:name w:val="heading 4"/>
    <w:basedOn w:val="Normal"/>
    <w:next w:val="Normal"/>
    <w:qFormat/>
    <w:pPr>
      <w:keepNext/>
      <w:jc w:val="both"/>
      <w:outlineLvl w:val="3"/>
    </w:pPr>
    <w:rPr>
      <w:rFonts w:ascii="AT*Toronto" w:hAnsi="AT*Toronto"/>
      <w:b/>
      <w:color w:val="0000FF"/>
      <w:szCs w:val="20"/>
      <w:lang w:val="cs-CZ"/>
    </w:rPr>
  </w:style>
  <w:style w:type="paragraph" w:styleId="Heading5">
    <w:name w:val="heading 5"/>
    <w:basedOn w:val="Normal"/>
    <w:next w:val="Normal"/>
    <w:qFormat/>
    <w:pPr>
      <w:keepNext/>
      <w:spacing w:line="240" w:lineRule="atLeast"/>
      <w:jc w:val="center"/>
      <w:outlineLvl w:val="4"/>
    </w:pPr>
    <w:rPr>
      <w:b/>
    </w:rPr>
  </w:style>
  <w:style w:type="paragraph" w:styleId="Heading6">
    <w:name w:val="heading 6"/>
    <w:basedOn w:val="Normal"/>
    <w:next w:val="Normal"/>
    <w:qFormat/>
    <w:pPr>
      <w:keepNext/>
      <w:spacing w:line="240" w:lineRule="atLeast"/>
      <w:jc w:val="both"/>
      <w:outlineLvl w:val="5"/>
    </w:pPr>
    <w:rPr>
      <w:bCs/>
      <w:i/>
      <w:iCs/>
    </w:rPr>
  </w:style>
  <w:style w:type="paragraph" w:styleId="Heading7">
    <w:name w:val="heading 7"/>
    <w:basedOn w:val="Normal"/>
    <w:next w:val="Normal"/>
    <w:qFormat/>
    <w:rsid w:val="00487B16"/>
    <w:pPr>
      <w:spacing w:before="240" w:after="60"/>
      <w:jc w:val="left"/>
      <w:outlineLvl w:val="6"/>
    </w:pPr>
  </w:style>
  <w:style w:type="character" w:default="1" w:styleId="DefaultParagraphFont">
    <w:name w:val="Default Paragraph Font"/>
    <w:semiHidden/>
  </w:style>
  <w:style w:type="paragraph" w:styleId="BodyTextIndent">
    <w:name w:val="Body Text Indent"/>
    <w:basedOn w:val="Normal"/>
    <w:pPr>
      <w:ind w:firstLine="567"/>
      <w:jc w:val="both"/>
    </w:pPr>
    <w:rPr>
      <w:rFonts w:ascii="AT*Toronto" w:hAnsi="AT*Toronto"/>
      <w:color w:val="0000FF"/>
      <w:szCs w:val="20"/>
      <w:lang w:val="cs-CZ"/>
    </w:rPr>
  </w:style>
  <w:style w:type="paragraph" w:styleId="BodyTextIndent2">
    <w:name w:val="Body Text Indent 2"/>
    <w:basedOn w:val="Normal"/>
    <w:pPr>
      <w:ind w:firstLine="426"/>
      <w:jc w:val="both"/>
    </w:pPr>
    <w:rPr>
      <w:rFonts w:ascii="AT*Toronto" w:hAnsi="AT*Toronto"/>
      <w:color w:val="0000FF"/>
      <w:szCs w:val="20"/>
      <w:lang w:val="cs-CZ"/>
    </w:rPr>
  </w:style>
  <w:style w:type="paragraph" w:styleId="BodyText">
    <w:name w:val="Body Text"/>
    <w:basedOn w:val="Normal"/>
    <w:pPr>
      <w:jc w:val="both"/>
    </w:pPr>
    <w:rPr>
      <w:rFonts w:ascii="AT*Toronto" w:hAnsi="AT*Toronto"/>
      <w:szCs w:val="20"/>
    </w:rPr>
  </w:style>
  <w:style w:type="paragraph" w:styleId="BodyTextIndent3">
    <w:name w:val="Body Text Indent 3"/>
    <w:basedOn w:val="Normal"/>
    <w:pPr>
      <w:ind w:left="3960"/>
      <w:jc w:val="both"/>
    </w:pPr>
  </w:style>
  <w:style w:type="paragraph" w:styleId="BodyText2">
    <w:name w:val="Body Text 2"/>
    <w:basedOn w:val="Normal"/>
    <w:pPr>
      <w:jc w:val="left"/>
    </w:pPr>
    <w:rPr>
      <w:sz w:val="32"/>
    </w:rPr>
  </w:style>
  <w:style w:type="paragraph" w:styleId="PlainText">
    <w:name w:val="Plain Text"/>
    <w:basedOn w:val="Normal"/>
    <w:pPr>
      <w:jc w:val="left"/>
    </w:pPr>
    <w:rPr>
      <w:rFonts w:ascii="Courier New" w:hAnsi="Courier New" w:cs="Courier New"/>
      <w:sz w:val="20"/>
      <w:szCs w:val="20"/>
    </w:rPr>
  </w:style>
  <w:style w:type="paragraph" w:styleId="FootnoteText">
    <w:name w:val="footnote text"/>
    <w:basedOn w:val="Normal"/>
    <w:semiHidden/>
    <w:pPr>
      <w:spacing w:before="40"/>
      <w:jc w:val="both"/>
    </w:pPr>
    <w:rPr>
      <w:sz w:val="20"/>
      <w:szCs w:val="20"/>
    </w:rPr>
  </w:style>
  <w:style w:type="paragraph" w:customStyle="1" w:styleId="AONormal">
    <w:name w:val="AONormal"/>
    <w:pPr>
      <w:widowControl w:val="0"/>
      <w:autoSpaceDE w:val="0"/>
      <w:autoSpaceDN w:val="0"/>
      <w:bidi w:val="0"/>
      <w:adjustRightInd w:val="0"/>
      <w:spacing w:line="260" w:lineRule="atLeast"/>
      <w:ind w:left="0" w:right="0"/>
      <w:jc w:val="left"/>
      <w:textAlignment w:val="auto"/>
    </w:pPr>
    <w:rPr>
      <w:sz w:val="22"/>
      <w:szCs w:val="20"/>
      <w:rtl w:val="0"/>
      <w:lang w:val="sk-SK" w:bidi="ar-SA"/>
    </w:rPr>
  </w:style>
  <w:style w:type="paragraph" w:customStyle="1" w:styleId="AODocTxt">
    <w:name w:val="AODocTxt"/>
    <w:basedOn w:val="Normal"/>
    <w:pPr>
      <w:numPr>
        <w:ilvl w:val="0"/>
        <w:numId w:val="2"/>
      </w:numPr>
      <w:spacing w:before="240" w:line="260" w:lineRule="atLeast"/>
      <w:ind w:left="720" w:firstLine="0"/>
      <w:jc w:val="both"/>
    </w:pPr>
    <w:rPr>
      <w:sz w:val="22"/>
      <w:szCs w:val="20"/>
    </w:rPr>
  </w:style>
  <w:style w:type="paragraph" w:customStyle="1" w:styleId="AODocTxtL1">
    <w:name w:val="AODocTxtL1"/>
    <w:basedOn w:val="AODocTxt"/>
    <w:pPr>
      <w:numPr>
        <w:ilvl w:val="1"/>
      </w:numPr>
      <w:tabs>
        <w:tab w:val="left" w:pos="1080"/>
      </w:tabs>
      <w:ind w:left="1080" w:hanging="360"/>
      <w:jc w:val="both"/>
    </w:pPr>
  </w:style>
  <w:style w:type="paragraph" w:customStyle="1" w:styleId="AODocTxtL2">
    <w:name w:val="AODocTxtL2"/>
    <w:basedOn w:val="AODocTxt"/>
    <w:pPr>
      <w:numPr>
        <w:ilvl w:val="2"/>
      </w:numPr>
      <w:tabs>
        <w:tab w:val="left" w:pos="1800"/>
      </w:tabs>
      <w:ind w:left="1800" w:hanging="180"/>
      <w:jc w:val="both"/>
    </w:pPr>
  </w:style>
  <w:style w:type="paragraph" w:customStyle="1" w:styleId="AODocTxtL3">
    <w:name w:val="AODocTxtL3"/>
    <w:basedOn w:val="AODocTxt"/>
    <w:pPr>
      <w:numPr>
        <w:ilvl w:val="3"/>
      </w:numPr>
      <w:tabs>
        <w:tab w:val="left" w:pos="2520"/>
      </w:tabs>
      <w:ind w:left="2520" w:hanging="360"/>
      <w:jc w:val="both"/>
    </w:pPr>
  </w:style>
  <w:style w:type="paragraph" w:customStyle="1" w:styleId="AODocTxtL4">
    <w:name w:val="AODocTxtL4"/>
    <w:basedOn w:val="AODocTxt"/>
    <w:pPr>
      <w:numPr>
        <w:ilvl w:val="4"/>
      </w:numPr>
      <w:tabs>
        <w:tab w:val="left" w:pos="3240"/>
      </w:tabs>
      <w:ind w:left="3240" w:hanging="360"/>
      <w:jc w:val="both"/>
    </w:pPr>
  </w:style>
  <w:style w:type="paragraph" w:customStyle="1" w:styleId="AODocTxtL5">
    <w:name w:val="AODocTxtL5"/>
    <w:basedOn w:val="AODocTxt"/>
    <w:pPr>
      <w:numPr>
        <w:ilvl w:val="5"/>
      </w:numPr>
      <w:tabs>
        <w:tab w:val="left" w:pos="3960"/>
      </w:tabs>
      <w:ind w:left="3960" w:hanging="180"/>
      <w:jc w:val="both"/>
    </w:pPr>
  </w:style>
  <w:style w:type="paragraph" w:customStyle="1" w:styleId="AODocTxtL6">
    <w:name w:val="AODocTxtL6"/>
    <w:basedOn w:val="AODocTxt"/>
    <w:pPr>
      <w:numPr>
        <w:ilvl w:val="6"/>
      </w:numPr>
      <w:tabs>
        <w:tab w:val="left" w:pos="4680"/>
      </w:tabs>
      <w:ind w:left="4680" w:hanging="360"/>
      <w:jc w:val="both"/>
    </w:pPr>
  </w:style>
  <w:style w:type="paragraph" w:customStyle="1" w:styleId="AODocTxtL7">
    <w:name w:val="AODocTxtL7"/>
    <w:basedOn w:val="AODocTxt"/>
    <w:pPr>
      <w:numPr>
        <w:ilvl w:val="7"/>
      </w:numPr>
      <w:tabs>
        <w:tab w:val="left" w:pos="5400"/>
      </w:tabs>
      <w:ind w:left="5400" w:hanging="360"/>
      <w:jc w:val="both"/>
    </w:pPr>
  </w:style>
  <w:style w:type="paragraph" w:customStyle="1" w:styleId="AODocTxtL8">
    <w:name w:val="AODocTxtL8"/>
    <w:basedOn w:val="AODocTxt"/>
    <w:pPr>
      <w:numPr>
        <w:ilvl w:val="8"/>
      </w:numPr>
      <w:tabs>
        <w:tab w:val="left" w:pos="6120"/>
      </w:tabs>
      <w:ind w:left="6120" w:hanging="180"/>
      <w:jc w:val="both"/>
    </w:pPr>
  </w:style>
  <w:style w:type="character" w:styleId="Strong">
    <w:name w:val="Strong"/>
    <w:basedOn w:val="DefaultParagraphFont"/>
    <w:qFormat/>
    <w:rPr>
      <w:b/>
      <w:bCs/>
      <w:rtl w:val="0"/>
    </w:rPr>
  </w:style>
  <w:style w:type="character" w:styleId="CommentReference">
    <w:name w:val="annotation reference"/>
    <w:basedOn w:val="DefaultParagraphFont"/>
    <w:semiHidden/>
    <w:rPr>
      <w:sz w:val="16"/>
      <w:szCs w:val="16"/>
      <w:rtl w:val="0"/>
    </w:rPr>
  </w:style>
  <w:style w:type="paragraph" w:styleId="CommentText">
    <w:name w:val="annotation text"/>
    <w:basedOn w:val="Normal"/>
    <w:semiHidden/>
    <w:pPr>
      <w:jc w:val="left"/>
    </w:pPr>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487B16"/>
    <w:pPr>
      <w:tabs>
        <w:tab w:val="center" w:pos="4536"/>
        <w:tab w:val="right" w:pos="9072"/>
      </w:tabs>
      <w:jc w:val="left"/>
    </w:pPr>
  </w:style>
  <w:style w:type="character" w:customStyle="1" w:styleId="tw4winMark">
    <w:name w:val="tw4winMark"/>
    <w:rsid w:val="00487B16"/>
    <w:rPr>
      <w:rFonts w:ascii="Courier New" w:hAnsi="Courier New" w:cs="Courier New"/>
      <w:vanish/>
      <w:color w:val="800080"/>
      <w:sz w:val="24"/>
      <w:vertAlign w:val="subscript"/>
      <w:rtl w:val="0"/>
    </w:rPr>
  </w:style>
  <w:style w:type="character" w:styleId="LineNumber">
    <w:name w:val="line number"/>
    <w:basedOn w:val="DefaultParagraphFont"/>
    <w:rsid w:val="005D46AC"/>
  </w:style>
  <w:style w:type="paragraph" w:styleId="NormalWeb">
    <w:name w:val="Normal (Web)"/>
    <w:basedOn w:val="Normal"/>
    <w:rsid w:val="00106191"/>
    <w:pPr>
      <w:spacing w:before="100" w:beforeAutospacing="1" w:after="100" w:afterAutospacing="1"/>
      <w:jc w:val="left"/>
    </w:pPr>
  </w:style>
  <w:style w:type="paragraph" w:customStyle="1" w:styleId="Odsekzoznamu">
    <w:name w:val="Odsek zoznamu"/>
    <w:basedOn w:val="Normal"/>
    <w:qFormat/>
    <w:rsid w:val="00106191"/>
    <w:pPr>
      <w:ind w:left="720"/>
      <w:contextualSpacing/>
      <w:jc w:val="left"/>
    </w:pPr>
  </w:style>
  <w:style w:type="paragraph" w:styleId="BalloonText">
    <w:name w:val="Balloon Text"/>
    <w:basedOn w:val="Normal"/>
    <w:semiHidden/>
    <w:rsid w:val="000955AC"/>
    <w:pPr>
      <w:jc w:val="left"/>
    </w:pPr>
    <w:rPr>
      <w:rFonts w:ascii="Tahoma" w:hAnsi="Tahoma" w:cs="Tahoma"/>
      <w:sz w:val="16"/>
      <w:szCs w:val="16"/>
    </w:rPr>
  </w:style>
  <w:style w:type="character" w:styleId="PlaceholderText">
    <w:name w:val="Placeholder Text"/>
    <w:basedOn w:val="DefaultParagraphFont"/>
    <w:semiHidden/>
    <w:rsid w:val="00D113A5"/>
    <w:rPr>
      <w:rFonts w:ascii="Times New Roman" w:hAnsi="Times New Roman" w:cs="Times New Roman"/>
      <w:color w:val="808080"/>
      <w:rtl w:val="0"/>
    </w:rPr>
  </w:style>
  <w:style w:type="paragraph" w:customStyle="1" w:styleId="msolistparagraph">
    <w:name w:val="msolistparagraph"/>
    <w:basedOn w:val="Normal"/>
    <w:rsid w:val="00AD6BE7"/>
    <w:pPr>
      <w:ind w:left="720"/>
      <w:jc w:val="left"/>
    </w:pPr>
    <w:rPr>
      <w:rFonts w:ascii="Calibri" w:hAnsi="Calibri"/>
      <w:sz w:val="22"/>
      <w:szCs w:val="22"/>
    </w:rPr>
  </w:style>
  <w:style w:type="paragraph" w:styleId="ListParagraph">
    <w:name w:val="List Paragraph"/>
    <w:basedOn w:val="Normal"/>
    <w:rsid w:val="00E92076"/>
    <w:pPr>
      <w:ind w:left="708"/>
      <w:jc w:val="left"/>
    </w:pPr>
    <w:rPr>
      <w:noProof/>
    </w:rPr>
  </w:style>
  <w:style w:type="paragraph" w:customStyle="1" w:styleId="Default">
    <w:name w:val="Default"/>
    <w:rsid w:val="00A36A70"/>
    <w:pPr>
      <w:widowControl w:val="0"/>
      <w:autoSpaceDE/>
      <w:autoSpaceDN/>
      <w:bidi w:val="0"/>
      <w:adjustRightInd w:val="0"/>
      <w:ind w:left="0" w:right="0"/>
      <w:jc w:val="left"/>
      <w:textAlignment w:val="auto"/>
    </w:pPr>
    <w:rPr>
      <w:color w:val="000000"/>
      <w:sz w:val="24"/>
      <w:szCs w:val="24"/>
      <w:rtl w:val="0"/>
      <w:lang w:val="sk-SK" w:bidi="ar-SA"/>
    </w:rPr>
  </w:style>
  <w:style w:type="character" w:styleId="Emphasis">
    <w:name w:val="Emphasis"/>
    <w:basedOn w:val="DefaultParagraphFont"/>
    <w:qFormat/>
    <w:rsid w:val="004C39AC"/>
    <w:rPr>
      <w:rFonts w:cs="Times New Roman"/>
      <w:i/>
      <w:iCs/>
      <w:rtl w:val="0"/>
    </w:rPr>
  </w:style>
  <w:style w:type="character" w:styleId="PageNumber">
    <w:name w:val="page number"/>
    <w:basedOn w:val="DefaultParagraphFont"/>
    <w:rsid w:val="00B12DA5"/>
  </w:style>
  <w:style w:type="paragraph" w:customStyle="1" w:styleId="tl7">
    <w:name w:val="Štýl7"/>
    <w:basedOn w:val="Normal"/>
    <w:rsid w:val="008F4B38"/>
    <w:pPr>
      <w:jc w:val="both"/>
    </w:pPr>
  </w:style>
  <w:style w:type="character" w:customStyle="1" w:styleId="Textzstupnhosymbolu">
    <w:name w:val="Text zástupného symbolu"/>
    <w:basedOn w:val="DefaultParagraphFont"/>
    <w:semiHidden/>
    <w:rsid w:val="008E6727"/>
    <w:rPr>
      <w:rFonts w:ascii="Times New Roman" w:hAnsi="Times New Roman"/>
      <w:color w:val="808080"/>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TotalTime>
  <Pages>1</Pages>
  <Words>1257</Words>
  <Characters>7171</Characters>
  <Application>Microsoft Office Word</Application>
  <DocSecurity>0</DocSecurity>
  <Lines>0</Lines>
  <Paragraphs>0</Paragraphs>
  <ScaleCrop>false</ScaleCrop>
  <Company>Kancelaria NR SR</Company>
  <LinksUpToDate>false</LinksUpToDate>
  <CharactersWithSpaces>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prokgabr</cp:lastModifiedBy>
  <cp:revision>12</cp:revision>
  <cp:lastPrinted>2011-06-15T07:40:00Z</cp:lastPrinted>
  <dcterms:created xsi:type="dcterms:W3CDTF">2011-05-31T07:49:00Z</dcterms:created>
  <dcterms:modified xsi:type="dcterms:W3CDTF">2011-06-20T07:04:00Z</dcterms:modified>
</cp:coreProperties>
</file>