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1576" w:rsidP="00C81576">
      <w:pPr>
        <w:bidi w:val="0"/>
        <w:ind w:right="-108"/>
        <w:jc w:val="center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  <w:b/>
          <w:bCs/>
        </w:rPr>
        <w:t>Doložka vybraných vplyvov</w:t>
      </w:r>
    </w:p>
    <w:p w:rsidR="00C81576" w:rsidP="00C81576">
      <w:pPr>
        <w:bidi w:val="0"/>
        <w:rPr>
          <w:rFonts w:ascii="Iskoola Pota" w:hAnsi="Iskoola Pota" w:cs="Iskoola Pota"/>
          <w:b/>
          <w:bCs/>
        </w:rPr>
      </w:pPr>
    </w:p>
    <w:p w:rsidR="00C81576" w:rsidP="00C81576">
      <w:pPr>
        <w:bidi w:val="0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  <w:b/>
          <w:bCs/>
        </w:rPr>
        <w:t>A.1. Názov materiálu:</w:t>
      </w:r>
    </w:p>
    <w:p w:rsidR="00C81576" w:rsidP="00C81576">
      <w:pPr>
        <w:bidi w:val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Návrh zákona o finančnej správ</w:t>
      </w:r>
      <w:r w:rsidRPr="00E34107">
        <w:rPr>
          <w:rFonts w:ascii="Iskoola Pota" w:hAnsi="Iskoola Pota" w:cs="Iskoola Pota"/>
        </w:rPr>
        <w:t>e.</w:t>
      </w:r>
    </w:p>
    <w:p w:rsidR="00C81576" w:rsidP="00C81576">
      <w:pPr>
        <w:bidi w:val="0"/>
        <w:rPr>
          <w:rFonts w:ascii="Iskoola Pota" w:hAnsi="Iskoola Pota" w:cs="Iskoola Pota"/>
          <w:b/>
          <w:bCs/>
        </w:rPr>
      </w:pPr>
    </w:p>
    <w:p w:rsidR="00C81576" w:rsidP="00C81576">
      <w:pPr>
        <w:bidi w:val="0"/>
        <w:ind w:firstLine="708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  <w:b/>
          <w:bCs/>
        </w:rPr>
        <w:t xml:space="preserve">Termín začatia a ukončenia PPK: </w:t>
      </w:r>
    </w:p>
    <w:p w:rsidR="00C81576" w:rsidP="00C81576">
      <w:pPr>
        <w:bidi w:val="0"/>
        <w:ind w:firstLine="708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</w:rPr>
        <w:t>21. 03. 2011 – 23. 03. 2011</w:t>
      </w:r>
    </w:p>
    <w:p w:rsidR="00C81576" w:rsidP="00C81576">
      <w:pPr>
        <w:bidi w:val="0"/>
        <w:rPr>
          <w:rFonts w:ascii="Times New Roman" w:hAnsi="Times New Roman"/>
        </w:rPr>
      </w:pPr>
    </w:p>
    <w:tbl>
      <w:tblPr>
        <w:tblStyle w:val="TableNormal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148"/>
        <w:gridCol w:w="1440"/>
        <w:gridCol w:w="1260"/>
        <w:gridCol w:w="1260"/>
      </w:tblGrid>
      <w:tr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Vplyvy na podnikateľské prostredie</w:t>
            </w:r>
          </w:p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Sociálne vplyvy </w:t>
            </w:r>
          </w:p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vplyvy na hospodárenie obyvateľstva,</w:t>
            </w:r>
          </w:p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sociálnu exklúziu,</w:t>
            </w:r>
          </w:p>
          <w:p w:rsidR="00C81576" w:rsidP="00AE5F41">
            <w:pPr>
              <w:bidi w:val="0"/>
              <w:spacing w:after="0" w:line="240" w:lineRule="auto"/>
              <w:ind w:left="170" w:hanging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81576" w:rsidP="00C81576">
      <w:pPr>
        <w:pStyle w:val="NormalWeb"/>
        <w:bidi w:val="0"/>
        <w:jc w:val="both"/>
        <w:rPr>
          <w:b/>
          <w:bCs/>
        </w:rPr>
      </w:pP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  <w:b/>
          <w:bCs/>
        </w:rPr>
        <w:t>A.3. Poznámky</w:t>
      </w:r>
    </w:p>
    <w:p w:rsidR="00C81576" w:rsidP="00C81576">
      <w:pPr>
        <w:pStyle w:val="NormalWeb"/>
        <w:bidi w:val="0"/>
        <w:jc w:val="both"/>
      </w:pPr>
      <w:r>
        <w:t>Pozitívne vplyvy sa predpokladajú najmä z predaja nehnuteľného majetku, ako aj znížením platových výdavkov. V rokoch 2013 až 2015 sa ďalšie úspory predpokladajú zavedením plnej elektronizácie finančnej správy ako aj pripojením výberu odvodov, avšak ich výšku nie je možné v súčasnosti relevantne kvantifikovať.</w:t>
      </w:r>
    </w:p>
    <w:p w:rsidR="00C81576" w:rsidP="00C81576">
      <w:pPr>
        <w:pStyle w:val="NormalWeb"/>
        <w:bidi w:val="0"/>
        <w:jc w:val="both"/>
      </w:pPr>
      <w:r>
        <w:t>Kontinuálne vplyvy  návrhu za relevantné obdobia sú vyčíslené aj v doložke vybraných vplyvov k návrhu zákona o orgánoch štátnej správy v oblasti daní, poplatkov a colníctva, keďže predmetné návrhy predstavujú komplexný nástroj na zabezpečenie spojenia daňovej a colnej správy.</w:t>
      </w: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  <w:b/>
          <w:bCs/>
        </w:rPr>
      </w:pP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  <w:b/>
          <w:bCs/>
        </w:rPr>
        <w:t xml:space="preserve">A.4. Alternatívne riešenia </w:t>
      </w: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Bezpredmetné</w:t>
      </w: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</w:rPr>
      </w:pP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  <w:b/>
          <w:bCs/>
        </w:rPr>
        <w:t xml:space="preserve">A.5. Stanovisko gestorov </w:t>
      </w:r>
    </w:p>
    <w:p w:rsidR="00C81576" w:rsidP="00C81576">
      <w:pPr>
        <w:pStyle w:val="NormalWeb"/>
        <w:bidi w:val="0"/>
        <w:jc w:val="both"/>
      </w:pPr>
      <w:r>
        <w:t>Ministerstvo životného prostredia Slovenskej republiky nemá k doložke  vplyvov žiadne pripomienky.</w:t>
      </w:r>
    </w:p>
    <w:p w:rsidR="00C81576" w:rsidP="00C81576">
      <w:pPr>
        <w:bidi w:val="0"/>
        <w:rPr>
          <w:rFonts w:ascii="Iskoola Pota" w:hAnsi="Iskoola Pota" w:cs="Iskoola Pota"/>
          <w:color w:val="000000"/>
        </w:rPr>
      </w:pPr>
      <w:r>
        <w:rPr>
          <w:rFonts w:ascii="Iskoola Pota" w:hAnsi="Iskoola Pota" w:cs="Iskoola Pota"/>
          <w:color w:val="000000"/>
        </w:rPr>
        <w:t>Pripomienky ostatných gestorov boli zapracované do textu doložky.</w:t>
      </w:r>
    </w:p>
    <w:p w:rsidR="00C81576" w:rsidP="00C81576">
      <w:pPr>
        <w:bidi w:val="0"/>
        <w:rPr>
          <w:rFonts w:ascii="Times New Roman" w:hAnsi="Times New Roman"/>
          <w:b/>
          <w:bCs/>
        </w:rPr>
      </w:pPr>
    </w:p>
    <w:p w:rsidR="00C81576" w:rsidP="00C81576">
      <w:pPr>
        <w:bidi w:val="0"/>
        <w:jc w:val="center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  <w:b/>
          <w:bCs/>
        </w:rPr>
        <w:t>Vplyvy na rozpočet verejnej správy,</w:t>
      </w:r>
    </w:p>
    <w:p w:rsidR="00C81576" w:rsidP="00C81576">
      <w:pPr>
        <w:bidi w:val="0"/>
        <w:jc w:val="center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  <w:b/>
          <w:bCs/>
        </w:rPr>
        <w:t>na zamestnanosť vo verejnej správe a financovanie návrhu</w:t>
      </w:r>
    </w:p>
    <w:p w:rsidR="00C81576" w:rsidP="00C81576">
      <w:pPr>
        <w:bidi w:val="0"/>
        <w:rPr>
          <w:rFonts w:ascii="Times New Roman" w:hAnsi="Times New Roman"/>
          <w:b/>
          <w:bCs/>
        </w:rPr>
      </w:pPr>
    </w:p>
    <w:p w:rsidR="00C81576" w:rsidP="00C8157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2.1. Zhrnutie vplyvov na rozpočet verejnej správy v návrhu</w:t>
      </w: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  <w:tblLook w:val="04A0"/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+5.150.000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+5.150.000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-3.791.000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+4.454.000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+743.000 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-3.791.000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+4.454.000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+743.000 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c>
          <w:tcPr>
            <w:tcW w:w="9729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Poznámka: * po roku 2015 je možné očakávať predovšetkým pozitívne vplyvy na rozpočet verejnej správy z dôvodu synergických efektov vyplývajúcich z reformy.</w:t>
            </w:r>
          </w:p>
        </w:tc>
      </w:tr>
    </w:tbl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2.2. Financovanie návrhu</w:t>
      </w:r>
    </w:p>
    <w:p w:rsidR="00C81576" w:rsidP="00C81576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  <w:tblLook w:val="04A0"/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-8.941.000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+4.454.000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+743.000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-8.941.000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+4.454.000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+743.000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-3.791.000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+4.454.000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+743.000 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Calibri" w:hAnsi="Calibri"/>
                <w:sz w:val="22"/>
                <w:szCs w:val="22"/>
                <w:lang w:bidi="si-LK"/>
              </w:rPr>
            </w:pP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c>
          <w:tcPr>
            <w:tcW w:w="43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Iskoola Pota" w:hAnsi="Iskoola Pota" w:cs="Iskoola Pota"/>
        </w:rPr>
        <w:sectPr>
          <w:pgSz w:w="12240" w:h="15840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</w:p>
    <w:p w:rsidR="00C81576" w:rsidP="00C81576">
      <w:pPr>
        <w:pStyle w:val="NormalWeb"/>
        <w:bidi w:val="0"/>
        <w:jc w:val="right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 xml:space="preserve">Tabuľka č. 4 </w:t>
      </w:r>
    </w:p>
    <w:tbl>
      <w:tblPr>
        <w:tblStyle w:val="TableNormal"/>
        <w:tblW w:w="139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73"/>
        <w:gridCol w:w="1500"/>
        <w:gridCol w:w="1486"/>
        <w:gridCol w:w="1486"/>
        <w:gridCol w:w="1391"/>
        <w:gridCol w:w="2914"/>
      </w:tblGrid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  <w:r>
              <w:rPr>
                <w:rFonts w:ascii="Iskoola Pota" w:hAnsi="Iskoola Pota" w:cs="Iskoola Pota"/>
                <w:b/>
                <w:bCs/>
                <w:color w:val="FFFFFF"/>
              </w:rPr>
              <w:t>Príjmy (v eurách)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/>
                <w:b/>
                <w:bCs/>
              </w:rPr>
              <w:t>2013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/>
                <w:b/>
                <w:bCs/>
              </w:rPr>
              <w:t>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/>
                <w:b/>
                <w:bCs/>
              </w:rPr>
              <w:t>2015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Daňové príjmy (100)</w:t>
            </w:r>
            <w:r>
              <w:rPr>
                <w:rFonts w:ascii="Iskoola Pota" w:hAnsi="Iskoola Pota" w:cs="Iskoola Pota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21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Bez vplyvu</w:t>
            </w:r>
          </w:p>
        </w:tc>
      </w:tr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Nedaňové príjmy (200)</w:t>
            </w:r>
            <w:r>
              <w:rPr>
                <w:rFonts w:ascii="Iskoola Pota" w:hAnsi="Iskoola Pota" w:cs="Iskoola Pota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b/>
                <w:bCs/>
                <w:iCs/>
              </w:rPr>
              <w:t>+5.150.000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Times New Roman" w:hAnsi="Times New Roman"/>
              </w:rPr>
              <w:t>Najmä z predaja nehnutelností</w:t>
            </w:r>
          </w:p>
        </w:tc>
      </w:tr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Granty a transfery (300)</w:t>
            </w:r>
            <w:r>
              <w:rPr>
                <w:rFonts w:ascii="Iskoola Pota" w:hAnsi="Iskoola Pota" w:cs="Iskoola Pota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Bez vplyvu</w:t>
            </w:r>
          </w:p>
        </w:tc>
      </w:tr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Bez vplyvu</w:t>
            </w:r>
          </w:p>
        </w:tc>
      </w:tr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Bez vplyvu</w:t>
            </w:r>
          </w:p>
        </w:tc>
      </w:tr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hanging="708"/>
              <w:jc w:val="center"/>
              <w:rPr>
                <w:rFonts w:ascii="Iskoola Pota" w:hAnsi="Iskoola Pota" w:cs="Iskoola Pota"/>
              </w:rPr>
            </w:pPr>
            <w:r>
              <w:rPr>
                <w:b/>
                <w:bCs/>
                <w:iCs/>
              </w:rPr>
              <w:t>+5.150.000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395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2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</w:tbl>
    <w:p w:rsidR="00C81576" w:rsidP="00C81576">
      <w:pPr>
        <w:pStyle w:val="NormalWeb"/>
        <w:bidi w:val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 xml:space="preserve">1 –  príjmy rozpísať až do položiek platnej ekonomickej klasifikácie </w:t>
      </w: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  <w:tblLook w:val="04A0"/>
      </w:tblPr>
      <w:tblGrid>
        <w:gridCol w:w="6374"/>
        <w:gridCol w:w="1764"/>
        <w:gridCol w:w="1944"/>
        <w:gridCol w:w="1824"/>
        <w:gridCol w:w="1341"/>
        <w:gridCol w:w="2203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2013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2014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2015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373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Bežné výdavky (600)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-3.791.000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+4.454.000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+743.000 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 Mzdy, platy, služobné príjmy a ostatné osobné vyrovnania (610)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7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-2.880.000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+2.925.000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+550.000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2013/2014 nárast o +3%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 Poistné a príspevok do poisťovní (620)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7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-1.013.000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+1.029.000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+193.000 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ako 35,2 % z objemu 610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 Tovary a služby (630)</w:t>
            </w:r>
            <w:r>
              <w:rPr>
                <w:rFonts w:ascii="Iskoola Pota" w:hAnsi="Iskoola Pota" w:cs="Iskoola Pota"/>
                <w:vertAlign w:val="superscript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+120.000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+1.000.000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Odhad DR SR a CR SR spolu (finančná správa)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 Bežné transfery (640)</w:t>
            </w:r>
            <w:r>
              <w:rPr>
                <w:rFonts w:ascii="Iskoola Pota" w:hAnsi="Iskoola Pota" w:cs="Iskoola Pota"/>
                <w:vertAlign w:val="superscript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-18.000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-500.000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Odhad DR SR a CR SR spolu (finančná správa)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 Splácanie úrokov a ostatné platby súvisiace s úvermi, pôžičkami a NFV (650)</w:t>
            </w:r>
            <w:r>
              <w:rPr>
                <w:rFonts w:ascii="Iskoola Pota" w:hAnsi="Iskoola Pota" w:cs="Iskoola Pota"/>
                <w:vertAlign w:val="superscript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Neuvádzame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Kapitálové výdavky (700)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Neuvádzame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 Obstarávanie kapitálových aktív (710)</w:t>
            </w:r>
            <w:r>
              <w:rPr>
                <w:rFonts w:ascii="Iskoola Pota" w:hAnsi="Iskoola Pota" w:cs="Iskoola Pota"/>
                <w:vertAlign w:val="superscript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Neuvádzame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 Kapitálové transfery (720)</w:t>
            </w:r>
            <w:r>
              <w:rPr>
                <w:rFonts w:ascii="Iskoola Pota" w:hAnsi="Iskoola Pota" w:cs="Iskoola Pota"/>
                <w:vertAlign w:val="superscript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Neuvádzame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Výdavky z transakcií s finančnými aktívami a finančnými pasívami (800)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Neuvádzame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Dopad na výdavky verejnej správy celkom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107" w:right="34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-3.791.000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+4.454.000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Cs/>
              </w:rPr>
              <w:t>+743.000 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olor w:val="FFFFFF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  z toho výdavky na ŠR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107" w:right="34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-3.791.000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+4.454.000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Cs/>
              </w:rPr>
              <w:t>+743.000 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  Bežné výdavky</w:t>
            </w:r>
            <w:r>
              <w:rPr>
                <w:rFonts w:ascii="Iskoola Pota" w:hAnsi="Iskoola Pota" w:cs="Iskoola Pota"/>
                <w:b/>
                <w:bCs/>
              </w:rPr>
              <w:t xml:space="preserve"> </w:t>
            </w:r>
            <w:r>
              <w:rPr>
                <w:rFonts w:ascii="Iskoola Pota" w:hAnsi="Iskoola Pota" w:cs="Iskoola Pota"/>
              </w:rPr>
              <w:t>(600)</w:t>
            </w:r>
            <w:r>
              <w:rPr>
                <w:rFonts w:ascii="Iskoola Pota" w:hAnsi="Iskoola Pota" w:cs="Iskoola Pota"/>
                <w:b/>
                <w:bCs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107" w:right="34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-3.791.000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+4.454.000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Cs/>
              </w:rPr>
              <w:t>+743.000 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319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    </w:t>
            </w:r>
            <w:r>
              <w:rPr>
                <w:rFonts w:ascii="Iskoola Pota" w:hAnsi="Iskoola Pota" w:cs="Iskoola Pota"/>
              </w:rPr>
              <w:t>Mzdy, platy, služobné príjmy a ostatné osobné vyrovnania (610)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7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-2.880.000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+2.925.000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+550.000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   Kapitálové výdavky (700)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Neuvádzame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   Výdavky z transakcií s finančnými aktívami a finančnými pasívami (800)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N/A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Neuvádzame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  <w:tblLook w:val="04A0"/>
        </w:tblPrEx>
        <w:tc>
          <w:tcPr>
            <w:tcW w:w="63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8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3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22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</w:tbl>
    <w:p w:rsidR="00C81576" w:rsidP="00C81576">
      <w:pPr>
        <w:pStyle w:val="NormalWeb"/>
        <w:bidi w:val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2 –  výdavky rozpísať až do položiek platnej ekonomickej klasifikácie</w:t>
      </w: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 xml:space="preserve">                                                                                                                                                                                                                       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31"/>
        <w:gridCol w:w="1787"/>
        <w:gridCol w:w="1813"/>
        <w:gridCol w:w="510"/>
        <w:gridCol w:w="1433"/>
        <w:gridCol w:w="1172"/>
        <w:gridCol w:w="181"/>
        <w:gridCol w:w="1227"/>
        <w:gridCol w:w="2161"/>
      </w:tblGrid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Zamestnanosť</w:t>
            </w:r>
          </w:p>
        </w:tc>
        <w:tc>
          <w:tcPr>
            <w:tcW w:w="67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5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poznámka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2013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2014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2015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726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Počet zamestnancov celkom*</w:t>
            </w:r>
            <w:r>
              <w:rPr>
                <w:rFonts w:ascii="Iskoola Pota" w:hAnsi="Iskoola Pota" w:cs="Iskoola Pota"/>
                <w:b/>
                <w:bCs/>
                <w:vertAlign w:val="superscript"/>
              </w:rPr>
              <w:t>,</w:t>
            </w:r>
            <w:r>
              <w:rPr>
                <w:rFonts w:ascii="Iskoola Pota" w:hAnsi="Iskoola Pota" w:cs="Iskoola Pota"/>
              </w:rPr>
              <w:t>**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Cs/>
              </w:rPr>
              <w:t>-521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0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Cs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   z toho vplyv na ŠR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-521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0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Priemerný mzdový výdavok (v eurách)*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Cs/>
              </w:rPr>
              <w:t>460,65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Cs/>
              </w:rPr>
              <w:t>28,5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Cs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   z toho vplyv na ŠR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460,65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28,5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  <w:color w:val="FFFFFF"/>
              </w:rPr>
              <w:t> 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-2.880.000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+2.925.000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+550.000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   z toho vplyv na ŠR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-2.880.000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+2.925.000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+550.000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Poistné a príspevok do poisťovní (620)*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12" w:hanging="12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-1.006.560 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+1.023.000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+193.000 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ako 34,95 % z objemu 610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   z toho vplyv na ŠR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ind w:left="181"/>
              <w:jc w:val="righ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-1.006.560 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+1.023.000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+193.000 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81576" w:rsidP="00AE5F41">
            <w:pPr>
              <w:pStyle w:val="NormalWeb"/>
              <w:bidi w:val="0"/>
              <w:spacing w:after="0" w:line="240" w:lineRule="auto"/>
              <w:ind w:right="-285"/>
              <w:rPr>
                <w:rFonts w:ascii="Iskoola Pota" w:hAnsi="Iskoola Pota" w:cs="Iskoola Pota"/>
              </w:rPr>
            </w:pPr>
          </w:p>
          <w:p w:rsidR="00C81576" w:rsidP="00AE5F41">
            <w:pPr>
              <w:pStyle w:val="NormalWeb"/>
              <w:bidi w:val="0"/>
              <w:spacing w:after="0" w:line="240" w:lineRule="auto"/>
              <w:ind w:right="-718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**Zmena vždy proti predchádzajúcemu roku.</w:t>
            </w: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18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1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11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35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0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  <w:b/>
                <w:bCs/>
              </w:rPr>
            </w:pPr>
          </w:p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  <w:bCs/>
              </w:rPr>
              <w:t>Poznámky:</w:t>
            </w: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18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1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11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35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175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35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5321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914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258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  <w:tc>
          <w:tcPr>
            <w:tcW w:w="2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C81576" w:rsidP="00AE5F41">
            <w:pPr>
              <w:pStyle w:val="NormalWeb"/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 </w:t>
            </w:r>
          </w:p>
        </w:tc>
      </w:tr>
      <w:tr>
        <w:tblPrEx>
          <w:tblW w:w="153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8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35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  <w:tc>
          <w:tcPr>
            <w:tcW w:w="2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</w:p>
        </w:tc>
      </w:tr>
    </w:tbl>
    <w:p w:rsidR="00C81576" w:rsidP="00C81576">
      <w:pPr>
        <w:pStyle w:val="NormalWeb"/>
        <w:bidi w:val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 </w:t>
      </w:r>
      <w:r>
        <w:rPr>
          <w:rFonts w:ascii="Iskoola Pota" w:hAnsi="Iskoola Pota" w:cs="Iskoola Pota"/>
          <w:b/>
          <w:bCs/>
        </w:rPr>
        <w:t>* počet zamestnancov,  mzdy a poistné rozpísať podľa spôsobu odmeňovania (napr. policajti, colníci ...)</w:t>
      </w:r>
    </w:p>
    <w:p w:rsidR="00C81576" w:rsidP="00C81576">
      <w:pPr>
        <w:bidi w:val="0"/>
        <w:rPr>
          <w:rFonts w:ascii="Iskoola Pota" w:hAnsi="Iskoola Pota" w:cs="Iskoola Pota"/>
        </w:rPr>
      </w:pPr>
      <w:r>
        <w:rPr>
          <w:rFonts w:ascii="Iskoola Pota" w:hAnsi="Iskoola Pota" w:cs="Iskoola Pota"/>
          <w:b/>
          <w:bCs/>
        </w:rPr>
        <w:t> </w:t>
      </w:r>
    </w:p>
    <w:p w:rsidR="00C81576" w:rsidP="00C81576">
      <w:pPr>
        <w:bidi w:val="0"/>
        <w:rPr>
          <w:rFonts w:ascii="Times New Roman" w:hAnsi="Times New Roman"/>
          <w:b/>
          <w:bCs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C81576" w:rsidP="00C815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1576" w:rsidP="00C81576">
      <w:pPr>
        <w:bidi w:val="0"/>
        <w:rPr>
          <w:rFonts w:ascii="Times New Roman" w:hAnsi="Times New Roman"/>
          <w:b/>
          <w:bCs/>
        </w:rPr>
      </w:pP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 Popis a charakteristika návrhu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1576" w:rsidP="00C8157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2.3.1. Popis návrhu:</w:t>
      </w:r>
    </w:p>
    <w:p w:rsidR="00C81576" w:rsidP="00C8157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1576" w:rsidP="00C8157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rieši organizačné, riadiace a priestorové usporiadanie Finančnej správy Slovenskej republiky po finalizácií procesu zlučovania Daňovej a Colnej správy od 01. 01. 2013. Návrh bude implementovať finančná správa, resp. Finančné riaditeľstvo Slovenskej republiky. Všetky služby sa budú poskytovať na území Slovenskej republiky.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2.3.2. Charakteristika návrhu podľa bodu  2.3.2. Metodiky :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zmena v nároku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nová služba alebo nariadenie (alebo ich zrušenie)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kombinovaný návrh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X  </w:t>
      </w:r>
      <w:r>
        <w:rPr>
          <w:rFonts w:ascii="Times New Roman" w:hAnsi="Times New Roman"/>
        </w:rPr>
        <w:t xml:space="preserve">  iné </w:t>
      </w: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2.3.3. Predpoklady vývoja objemu aktivít:</w:t>
      </w:r>
    </w:p>
    <w:p w:rsidR="00C81576" w:rsidP="00C815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1576" w:rsidRPr="004553FE" w:rsidP="00C81576">
      <w:pPr>
        <w:bidi w:val="0"/>
        <w:jc w:val="center"/>
        <w:rPr>
          <w:rFonts w:ascii="Times New Roman" w:hAnsi="Times New Roman"/>
          <w:b/>
          <w:bCs/>
        </w:rPr>
      </w:pPr>
      <w:r w:rsidRPr="004553FE">
        <w:rPr>
          <w:rFonts w:ascii="Times New Roman" w:hAnsi="Times New Roman"/>
          <w:b/>
          <w:bCs/>
        </w:rPr>
        <w:t>Vplyvy na podnikateľské prostredie</w:t>
      </w:r>
    </w:p>
    <w:p w:rsidR="00C81576" w:rsidRPr="004553FE" w:rsidP="00C81576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  <w:hideMark/>
          </w:tcPr>
          <w:p w:rsidR="00C81576" w:rsidRPr="004553FE" w:rsidP="00AE5F4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4553FE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3.1</w:t>
            </w:r>
            <w:r w:rsidRPr="004553FE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Ide o osoby zapísané v obchodnom registri, o osoby, ktoré podnikajú na základe živnostenského oprávnenia, o osoby, ktoré podnikajú na základe iného než živnostenského oprávnenia podľa osobitných predpisov, o fyzické osoby, ktoré vykonávajú poľnohospodársku výrobu a sú zapísané do evidencie podľa osobitného predpisu.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3.2</w:t>
            </w:r>
            <w:r w:rsidRPr="004553FE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4553FE">
              <w:rPr>
                <w:rFonts w:ascii="Times New Roman" w:hAnsi="Times New Roman"/>
                <w:lang w:val="pt-BR"/>
              </w:rPr>
              <w:t> </w:t>
            </w:r>
            <w:r w:rsidRPr="00056093">
              <w:rPr>
                <w:rFonts w:ascii="Times New Roman" w:hAnsi="Times New Roman"/>
                <w:lang w:val="pt-BR"/>
              </w:rPr>
              <w:t>Dostupnosť služieb finančnej správy a zrýchlenie procesov pri vybavovaní administratívnych úkonov pri správe a výbere daní, cla a poplatkov. Zjednodušenie a zefektívnenie vzájomnej komunikácie s daňovou správou prostredníctvou širokej implementácie využívania elektronických prostriedkov. Zníženie administratívnych nákladov, úspora času stráveného na úradoch prinesie podnikateľskému sektoru ročnú úsporu približne 110 mil. eur. *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3.3</w:t>
            </w:r>
            <w:r w:rsidRPr="004553FE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C81576" w:rsidRPr="004553FE" w:rsidP="00AE5F41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 Predpokladá sa zníženie administratívnej záťaže vplyvom zavedenia elektroni</w:t>
            </w:r>
            <w:r>
              <w:rPr>
                <w:rFonts w:ascii="Times New Roman" w:hAnsi="Times New Roman"/>
              </w:rPr>
              <w:t>ckej komunikácie v oblasti daní</w:t>
            </w:r>
            <w:r w:rsidRPr="004553FE">
              <w:rPr>
                <w:rFonts w:ascii="Times New Roman" w:hAnsi="Times New Roman"/>
              </w:rPr>
              <w:t xml:space="preserve"> a cla.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3.4</w:t>
            </w:r>
            <w:r w:rsidRPr="004553FE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C81576" w:rsidRPr="004553FE" w:rsidP="00AE5F41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 Zrýchlenie administrácie vo vzťahu k orgánom finančnej správy (služby pod jednou strechou, klientské zóny, správa daní a cla pod jednou strechou, eliminácia papierovej formy komunikácie)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  <w:b/>
              </w:rPr>
              <w:t>3.5</w:t>
            </w:r>
            <w:r w:rsidRPr="004553FE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 Reforma si klade za cieľ zabezpečiť maximálnu mieru elektronickej komunikácie,  čo v niektorých prípadoch môže predstavovať dočasné zvýšenie nákladov podnikateľských subjektov.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Na druhej strane podnikateľské subjekty zaznamenajú vplyvom reformy: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Zníženie administratívnej záťaže daňovej a colnej agendy;.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Časovú úsporu pri administrácii daňovej a colnej agendy a agendy poplatkov;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Zvýšenie dostupnosti daňovej a colnej správy (bez časového ohraničenia prostredníctvom elektronickej komunikácie);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Úsporu nákladov na transakčné bankové poplatky súvisiace so súčasnou  úhradou daní, cla a poplatkov na rôznych miestach;</w:t>
            </w:r>
          </w:p>
          <w:p w:rsidR="00C81576" w:rsidRPr="004553FE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3FE">
              <w:rPr>
                <w:rFonts w:ascii="Times New Roman" w:hAnsi="Times New Roman"/>
              </w:rPr>
              <w:t>• Úsporu nákladov na poštovné.</w:t>
            </w:r>
          </w:p>
        </w:tc>
      </w:tr>
    </w:tbl>
    <w:p w:rsidR="00C81576" w:rsidRPr="00056093" w:rsidP="00C81576">
      <w:pPr>
        <w:bidi w:val="0"/>
        <w:jc w:val="both"/>
        <w:rPr>
          <w:rFonts w:ascii="Times New Roman" w:hAnsi="Times New Roman"/>
        </w:rPr>
      </w:pPr>
      <w:r w:rsidRPr="00056093">
        <w:rPr>
          <w:rFonts w:ascii="Times New Roman" w:hAnsi="Times New Roman"/>
        </w:rPr>
        <w:t>Poznámka: * vyčíslené podľa Koncepcie reformy daňovej a colnej správy s výhľadom zjednotenia výberu daní, cla a poistných odvodov, ktorá bola schválená vládou SR dňa 7. mája 2008 uznesením č. 285/2008.</w:t>
      </w: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bidi w:val="0"/>
        <w:rPr>
          <w:rFonts w:ascii="Times New Roman" w:hAnsi="Times New Roman"/>
        </w:rPr>
      </w:pPr>
    </w:p>
    <w:p w:rsidR="00C81576" w:rsidP="00C81576">
      <w:pPr>
        <w:pStyle w:val="NormalWeb"/>
        <w:bidi w:val="0"/>
        <w:jc w:val="center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>Vplyvy na informatizáciu spoločnosti</w:t>
      </w:r>
    </w:p>
    <w:p w:rsidR="00C81576" w:rsidP="00C81576">
      <w:pPr>
        <w:pStyle w:val="NormalWeb"/>
        <w:bidi w:val="0"/>
        <w:jc w:val="both"/>
        <w:rPr>
          <w:rFonts w:ascii="Iskoola Pota" w:hAnsi="Iskoola Pota" w:cs="Iskoola Pota"/>
          <w:bCs/>
        </w:rPr>
      </w:pPr>
    </w:p>
    <w:tbl>
      <w:tblPr>
        <w:tblStyle w:val="TableNormal"/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4881"/>
        <w:gridCol w:w="4276"/>
      </w:tblGrid>
      <w:tr>
        <w:tblPrEx>
          <w:tblW w:w="9157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Budovanie základných pilierov informatizácie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b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Obsah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b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6.1.</w:t>
            </w:r>
            <w:r>
              <w:rPr>
                <w:rFonts w:ascii="Iskoola Pota" w:hAnsi="Iskoola Pota" w:cs="Iskoola Pota"/>
              </w:rPr>
              <w:t xml:space="preserve"> Rozširujú alebo inovujú  sa existujúce alebo vytvárajú sa či zavádzajú  sa nové elektronické služby?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(Popíšte ich funkciu a úroveň poskytovania.)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Táto zmena nemá priamy vplyv na nové elektronické služby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6.2.</w:t>
            </w:r>
            <w:r>
              <w:rPr>
                <w:rFonts w:ascii="Iskoola Pota" w:hAnsi="Iskoola Pota" w:cs="Iskoola Pota"/>
              </w:rPr>
              <w:t xml:space="preserve"> Vytvárajú sa podmienky pre sémantickú interoperabilitu?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(Popíšte spôsob jej zabezpečenia.)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b/>
                <w:color w:val="FFFFFF"/>
              </w:rPr>
            </w:pPr>
            <w:r>
              <w:rPr>
                <w:rFonts w:ascii="Iskoola Pota" w:hAnsi="Iskoola Pota" w:cs="Iskoola Pota"/>
                <w:b/>
              </w:rPr>
              <w:t>Ľudia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6.3.</w:t>
            </w:r>
            <w:r>
              <w:rPr>
                <w:rFonts w:ascii="Iskoola Pota" w:hAnsi="Iskoola Pota" w:cs="Iskoola Pota"/>
              </w:rPr>
              <w:t xml:space="preserve"> Zabezpečuje sa vzdelávanie v oblasti počítačovej gramotnosti a rozširovanie vedomostí o IKT?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spôsob, napr. projekty, školenia.)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6.4.</w:t>
            </w:r>
            <w:r>
              <w:rPr>
                <w:rFonts w:ascii="Iskoola Pota" w:hAnsi="Iskoola Pota" w:cs="Iskoola Pota"/>
              </w:rPr>
              <w:t xml:space="preserve"> Zabezpečuje sa rozvoj elektronického vzdelávania?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color w:val="FFFFFF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typ a spôsob zabezpečenia vzdelávacích aktivít.)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Áno (e-Learning)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6.5.</w:t>
            </w:r>
            <w:r>
              <w:rPr>
                <w:rFonts w:ascii="Iskoola Pota" w:hAnsi="Iskoola Pota" w:cs="Iskoola Pota"/>
              </w:rPr>
              <w:t xml:space="preserve"> Zabezpečuje sa podporná a propagačná aktivita zameraná na zvyšovanie povedomia o informatizácii a IKT?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color w:val="FFFFFF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typ a spôsob zabezpečenia propagačných aktivít.)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6.6.</w:t>
            </w:r>
            <w:r>
              <w:rPr>
                <w:rFonts w:ascii="Iskoola Pota" w:hAnsi="Iskoola Pota" w:cs="Iskoola Pota"/>
              </w:rPr>
              <w:t xml:space="preserve"> Zabezpečuje/zohľadňuje/zlepšuje sa prístup znevýhodnených osôb k službám informačnej spoločnosti?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spôsob sprístupnenia digitálneho prostredia.)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Infraštruktúra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6.7.</w:t>
            </w:r>
            <w:r>
              <w:rPr>
                <w:rFonts w:ascii="Iskoola Pota" w:hAnsi="Iskoola Pota" w:cs="Iskoola Pota"/>
              </w:rPr>
              <w:t xml:space="preserve"> Rozširuje, inovuje, vytvára alebo zavádza sa nový informačný systém?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jeho funkciu.)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6.8.</w:t>
            </w:r>
            <w:r>
              <w:rPr>
                <w:rFonts w:ascii="Iskoola Pota" w:hAnsi="Iskoola Pota" w:cs="Iskoola Pota"/>
              </w:rPr>
              <w:t xml:space="preserve"> Rozširuje sa prístupnosť k internetu?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spôsob rozširovania prístupnosti.)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6.9.</w:t>
            </w:r>
            <w:r>
              <w:rPr>
                <w:rFonts w:ascii="Iskoola Pota" w:hAnsi="Iskoola Pota" w:cs="Iskoola Pota"/>
              </w:rPr>
              <w:t xml:space="preserve"> Rozširuje sa prístupnosť k elektronickým službám?</w:t>
            </w:r>
          </w:p>
          <w:p w:rsidR="00C81576" w:rsidP="00AE5F41">
            <w:pPr>
              <w:bidi w:val="0"/>
              <w:spacing w:after="0" w:line="20" w:lineRule="atLeas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spôsob rozširovania prístupnosti.)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 w:rsidRPr="00056093">
              <w:rPr>
                <w:rFonts w:ascii="Times New Roman" w:hAnsi="Times New Roman"/>
              </w:rPr>
              <w:t xml:space="preserve">Áno </w:t>
            </w:r>
            <w:r>
              <w:rPr>
                <w:rFonts w:ascii="Times New Roman" w:hAnsi="Times New Roman"/>
              </w:rPr>
              <w:t>- centralizácia komplexných elektronických služieb daňovej a colnej správy. Subjekt bude môcť vykonať kompletnú komunikáciu voči dotknutým správam prostredníctvom jedného miesta.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6.10.</w:t>
            </w:r>
            <w:r>
              <w:rPr>
                <w:rFonts w:ascii="Iskoola Pota" w:hAnsi="Iskoola Pota" w:cs="Iskoola Pota"/>
              </w:rPr>
              <w:t xml:space="preserve"> Zabezpečuje sa technická interoperabilita?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spôsob jej zabezpečenia.)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6.11.</w:t>
            </w:r>
            <w:r>
              <w:rPr>
                <w:rFonts w:ascii="Iskoola Pota" w:hAnsi="Iskoola Pota" w:cs="Iskoola Pota"/>
              </w:rPr>
              <w:t xml:space="preserve"> Zvyšuje sa bezpečnosť IT?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(</w:t>
            </w:r>
            <w:r>
              <w:rPr>
                <w:rFonts w:ascii="Iskoola Pota" w:hAnsi="Iskoola Pota" w:cs="Iskoola Pota"/>
                <w:i/>
                <w:iCs/>
              </w:rPr>
              <w:t>Uveďte spôsob zvýšenia bezpečnosti a ochrany IT.)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6.12.</w:t>
            </w:r>
            <w:r>
              <w:rPr>
                <w:rFonts w:ascii="Iskoola Pota" w:hAnsi="Iskoola Pota" w:cs="Iskoola Pota"/>
              </w:rPr>
              <w:t xml:space="preserve"> Rozširuje sa technická infraštruktúra?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i/>
                <w:iCs/>
              </w:rPr>
            </w:pPr>
            <w:r>
              <w:rPr>
                <w:rFonts w:ascii="Iskoola Pota" w:hAnsi="Iskoola Pota" w:cs="Iskoola Pota"/>
              </w:rPr>
              <w:t>(</w:t>
            </w:r>
            <w:r>
              <w:rPr>
                <w:rFonts w:ascii="Iskoola Pota" w:hAnsi="Iskoola Pota" w:cs="Iskoola Pota"/>
                <w:i/>
                <w:iCs/>
              </w:rPr>
              <w:t>Uveďte stručný popis zavádzanej infraštruktúry.)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0" w:lineRule="atLeast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Riadenie procesu informatizácie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81576" w:rsidP="00AE5F41">
            <w:pPr>
              <w:bidi w:val="0"/>
              <w:spacing w:after="0" w:line="20" w:lineRule="atLeast"/>
              <w:rPr>
                <w:rFonts w:ascii="Iskoola Pota" w:hAnsi="Iskoola Pota" w:cs="Iskoola Pota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6.13.</w:t>
            </w:r>
            <w:r>
              <w:rPr>
                <w:rFonts w:ascii="Iskoola Pota" w:hAnsi="Iskoola Pota" w:cs="Iskoola Pota"/>
              </w:rPr>
              <w:t xml:space="preserve"> Predpokladajú sa zmeny v riadení procesu informatizácie?</w:t>
            </w:r>
          </w:p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(Uveďte popis zmien.)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Áno. Ustanovuje sa postavenie Ministerstva financií SR v procese vytvárania, spravovania, rozvíjania a prevádzkovania informačných systémov finančnej správy, pričom bude možné realizovať len tie zámery Finančného riaditeľstva SR, s ktorými vysloví súhlas Ministerstvo financií SR. </w:t>
            </w:r>
          </w:p>
          <w:p w:rsidR="00C81576" w:rsidP="00AE5F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Zároveň sa v oblasti informatizácie ustanovujú aj kompetencie Finančného riaditeľstva SR, v súčasnosti vykonávané Daňovým riaditeľstvom SR a Colným riaditeľstvom SR ako aj kompetencie kriminálneho úradu finančnej správy transformovaného z colného kriminálneho úradu a kompetencie finančných úradov, ktoré preberajú doterajšie kompetencie daňových a colných úradov.</w:t>
            </w:r>
          </w:p>
          <w:p w:rsidR="00C81576" w:rsidP="00AE5F41">
            <w:pPr>
              <w:bidi w:val="0"/>
              <w:spacing w:after="0" w:line="240" w:lineRule="auto"/>
              <w:jc w:val="both"/>
              <w:rPr>
                <w:rFonts w:ascii="Iskoola Pota" w:hAnsi="Iskoola Pota" w:cs="Iskoola Pota"/>
              </w:rPr>
            </w:pPr>
            <w:r>
              <w:rPr>
                <w:rFonts w:ascii="Times New Roman" w:hAnsi="Times New Roman"/>
              </w:rPr>
              <w:t>Ustanovujú sa oprávnenia a povinnosti finančnej správy, prevádzkovateľa a sprostredkovateľa informačného systému a tiež povinnosť finančnej správy prerokovať zriaďovanie nových informačných systémov s Úradom na ochranu osobných údajov SR v prípade, že by takéto systémy mohli predstavovať riziko z hľadiska ochrany súkromia, alebo by na účely trestného konania mali spracúvať osobitné kategórie osobných údajov.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Financovanie procesu informatizácie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6.14.</w:t>
            </w:r>
            <w:r>
              <w:rPr>
                <w:rFonts w:ascii="Iskoola Pota" w:hAnsi="Iskoola Pota" w:cs="Iskoola Pota"/>
              </w:rPr>
              <w:t xml:space="preserve"> Vyžaduje si proces informatizácie  finančné investície?</w:t>
            </w:r>
          </w:p>
          <w:p w:rsidR="00C81576" w:rsidP="00AE5F41">
            <w:pPr>
              <w:bidi w:val="0"/>
              <w:spacing w:after="0" w:line="20" w:lineRule="atLeas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(Popíšte príslušnú úroveň financovania.)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Legislatívne prostredie procesu informatizácie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81576" w:rsidP="00AE5F41">
            <w:pPr>
              <w:bidi w:val="0"/>
              <w:spacing w:after="0" w:line="20" w:lineRule="atLeast"/>
              <w:jc w:val="both"/>
              <w:rPr>
                <w:rFonts w:ascii="Iskoola Pota" w:hAnsi="Iskoola Pota" w:cs="Iskoola Pota"/>
              </w:rPr>
            </w:pPr>
          </w:p>
        </w:tc>
      </w:tr>
      <w:tr>
        <w:tblPrEx>
          <w:tblW w:w="9157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b/>
              </w:rPr>
              <w:t>6.15.</w:t>
            </w:r>
            <w:r>
              <w:rPr>
                <w:rFonts w:ascii="Iskoola Pota" w:hAnsi="Iskoola Pota" w:cs="Iskoola Pota"/>
              </w:rPr>
              <w:t xml:space="preserve"> Predpokladá nelegislatívny materiál potrebu úpravy legislatívneho prostredia  procesu informatizácie?</w:t>
            </w:r>
          </w:p>
          <w:p w:rsidR="00C81576" w:rsidP="00AE5F41">
            <w:pPr>
              <w:bidi w:val="0"/>
              <w:spacing w:after="0" w:line="20" w:lineRule="atLeast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i/>
                <w:iCs/>
              </w:rPr>
              <w:t>(Stručne popíšte navrhované legislatívne zmeny.)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C81576" w:rsidP="00AE5F41">
            <w:pPr>
              <w:bidi w:val="0"/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</w:rPr>
              <w:t>Nie</w:t>
            </w:r>
          </w:p>
        </w:tc>
      </w:tr>
    </w:tbl>
    <w:p w:rsidR="00A8025E" w:rsidRPr="00C81576" w:rsidP="00C81576">
      <w:pPr>
        <w:bidi w:val="0"/>
        <w:rPr>
          <w:rFonts w:ascii="Times New Roman" w:hAnsi="Times New Roman"/>
        </w:rPr>
      </w:pPr>
    </w:p>
    <w:sectPr w:rsidSect="00D3362A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93" w:rsidP="00B94909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81576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161D93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1D9D"/>
    <w:rsid w:val="00056093"/>
    <w:rsid w:val="00161D93"/>
    <w:rsid w:val="004553FE"/>
    <w:rsid w:val="006859C5"/>
    <w:rsid w:val="00781EE0"/>
    <w:rsid w:val="009A3BF5"/>
    <w:rsid w:val="00A8025E"/>
    <w:rsid w:val="00AE5F41"/>
    <w:rsid w:val="00B94909"/>
    <w:rsid w:val="00C81576"/>
    <w:rsid w:val="00D3362A"/>
    <w:rsid w:val="00E34107"/>
    <w:rsid w:val="00E71D9D"/>
  </w:rsids>
  <m:mathPr>
    <m:mathFont m:val="Times New Roman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71D9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71D9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E71D9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71D9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71D9D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71D9D"/>
    <w:pPr>
      <w:ind w:left="708"/>
      <w:jc w:val="left"/>
    </w:pPr>
  </w:style>
  <w:style w:type="paragraph" w:styleId="NormalWeb">
    <w:name w:val="Normal (Web)"/>
    <w:aliases w:val="webb"/>
    <w:basedOn w:val="Normal"/>
    <w:uiPriority w:val="99"/>
    <w:qFormat/>
    <w:rsid w:val="00E71D9D"/>
    <w:pPr>
      <w:jc w:val="left"/>
    </w:pPr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1713</Words>
  <Characters>11740</Characters>
  <Application>Microsoft Office Word</Application>
  <DocSecurity>0</DocSecurity>
  <Lines>0</Lines>
  <Paragraphs>0</Paragraphs>
  <ScaleCrop>false</ScaleCrop>
  <Company>MF SR</Company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tberan</dc:creator>
  <cp:lastModifiedBy>tberan</cp:lastModifiedBy>
  <cp:revision>2</cp:revision>
  <dcterms:created xsi:type="dcterms:W3CDTF">2011-06-09T11:26:00Z</dcterms:created>
  <dcterms:modified xsi:type="dcterms:W3CDTF">2011-06-09T11:26:00Z</dcterms:modified>
</cp:coreProperties>
</file>