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1C4F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Dôvodová správa</w:t>
      </w:r>
    </w:p>
    <w:p w:rsidR="00201C4F">
      <w:pPr>
        <w:bidi w:val="0"/>
        <w:jc w:val="center"/>
        <w:rPr>
          <w:rFonts w:ascii="Times New Roman" w:hAnsi="Times New Roman"/>
          <w:b/>
          <w:bCs/>
        </w:rPr>
      </w:pPr>
    </w:p>
    <w:p w:rsidR="003E553C">
      <w:pPr>
        <w:bidi w:val="0"/>
        <w:jc w:val="center"/>
        <w:rPr>
          <w:rFonts w:ascii="Times New Roman" w:hAnsi="Times New Roman"/>
          <w:b/>
          <w:bCs/>
        </w:rPr>
      </w:pPr>
    </w:p>
    <w:p w:rsidR="00201C4F" w:rsidP="006F694F">
      <w:pPr>
        <w:pStyle w:val="Subtitl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Všeobecná časť</w:t>
      </w:r>
    </w:p>
    <w:p w:rsidR="00201C4F">
      <w:pPr>
        <w:bidi w:val="0"/>
        <w:ind w:left="360"/>
        <w:jc w:val="both"/>
        <w:rPr>
          <w:rFonts w:ascii="Times New Roman" w:hAnsi="Times New Roman"/>
        </w:rPr>
      </w:pPr>
    </w:p>
    <w:p w:rsidR="00380D11">
      <w:pPr>
        <w:pStyle w:val="BodyText2"/>
        <w:bidi w:val="0"/>
        <w:rPr>
          <w:rFonts w:ascii="Times New Roman" w:hAnsi="Times New Roman"/>
        </w:rPr>
      </w:pPr>
      <w:r w:rsidR="00201C4F">
        <w:rPr>
          <w:rFonts w:ascii="Times New Roman" w:hAnsi="Times New Roman"/>
        </w:rPr>
        <w:tab/>
        <w:t>Návrh</w:t>
      </w:r>
      <w:r w:rsidR="00EF71CE">
        <w:rPr>
          <w:rFonts w:ascii="Times New Roman" w:hAnsi="Times New Roman"/>
        </w:rPr>
        <w:t>om zákona, ktorým sa mení a dopĺňa zákon Slovenskej národnej rady</w:t>
        <w:br/>
        <w:t>č. 310/1992 Zb. o stavebnom sporení v znení neskorších predpisov</w:t>
      </w:r>
      <w:r w:rsidR="00A90217">
        <w:rPr>
          <w:rFonts w:ascii="Times New Roman" w:hAnsi="Times New Roman"/>
        </w:rPr>
        <w:t xml:space="preserve"> </w:t>
      </w:r>
      <w:r w:rsidR="00A90217">
        <w:rPr>
          <w:rFonts w:ascii="Times New Roman" w:hAnsi="Times New Roman"/>
          <w:bCs/>
        </w:rPr>
        <w:t>(ďalej len „zákon</w:t>
      </w:r>
      <w:r w:rsidR="008E50A3">
        <w:rPr>
          <w:rFonts w:ascii="Times New Roman" w:hAnsi="Times New Roman"/>
          <w:bCs/>
        </w:rPr>
        <w:br/>
        <w:t xml:space="preserve">o </w:t>
      </w:r>
      <w:r w:rsidR="00A90217">
        <w:rPr>
          <w:rFonts w:ascii="Times New Roman" w:hAnsi="Times New Roman"/>
          <w:bCs/>
        </w:rPr>
        <w:t>stavebnom sporení“)</w:t>
      </w:r>
      <w:r w:rsidR="00EF71CE">
        <w:rPr>
          <w:rFonts w:ascii="Times New Roman" w:hAnsi="Times New Roman"/>
        </w:rPr>
        <w:t>, sa navrhuj</w:t>
      </w:r>
      <w:r>
        <w:rPr>
          <w:rFonts w:ascii="Times New Roman" w:hAnsi="Times New Roman"/>
        </w:rPr>
        <w:t>ú prijať legislatívne opatrenia na riešenie problémov identifikovaných v oblasti štátnej podpory financovania stavebného sporenia.</w:t>
      </w:r>
    </w:p>
    <w:p w:rsidR="00380D11">
      <w:pPr>
        <w:pStyle w:val="BodyText2"/>
        <w:bidi w:val="0"/>
        <w:rPr>
          <w:rFonts w:ascii="Times New Roman" w:hAnsi="Times New Roman"/>
        </w:rPr>
      </w:pPr>
    </w:p>
    <w:p w:rsidR="00A90217" w:rsidP="00380D11">
      <w:pPr>
        <w:pStyle w:val="BodyText2"/>
        <w:bidi w:val="0"/>
        <w:ind w:firstLine="709"/>
        <w:rPr>
          <w:rFonts w:ascii="Times New Roman" w:hAnsi="Times New Roman"/>
        </w:rPr>
      </w:pPr>
      <w:r w:rsidR="00380D11">
        <w:rPr>
          <w:rFonts w:ascii="Times New Roman" w:hAnsi="Times New Roman"/>
        </w:rPr>
        <w:t xml:space="preserve">Jedným z takýchto problémov je skutočnosť, že </w:t>
      </w:r>
      <w:r w:rsidR="00380D11">
        <w:rPr>
          <w:rFonts w:ascii="Times New Roman" w:hAnsi="Times New Roman"/>
          <w:szCs w:val="22"/>
        </w:rPr>
        <w:t>objem medziúverov výrazne pre</w:t>
      </w:r>
      <w:r w:rsidR="00D81FFA">
        <w:rPr>
          <w:rFonts w:ascii="Times New Roman" w:hAnsi="Times New Roman"/>
          <w:szCs w:val="22"/>
        </w:rPr>
        <w:t xml:space="preserve">vyšuje </w:t>
      </w:r>
      <w:r w:rsidR="00380D11">
        <w:rPr>
          <w:rFonts w:ascii="Times New Roman" w:hAnsi="Times New Roman"/>
          <w:szCs w:val="22"/>
        </w:rPr>
        <w:t xml:space="preserve">objem zvýhodnených stavebných úverov a štát tak prostredníctvom </w:t>
      </w:r>
      <w:r w:rsidRPr="00271998" w:rsidR="00380D11">
        <w:rPr>
          <w:rFonts w:ascii="Times New Roman" w:hAnsi="Times New Roman"/>
          <w:szCs w:val="22"/>
        </w:rPr>
        <w:t xml:space="preserve">štátnej prémie </w:t>
      </w:r>
      <w:r w:rsidR="00380D11">
        <w:rPr>
          <w:rFonts w:ascii="Times New Roman" w:hAnsi="Times New Roman"/>
          <w:szCs w:val="22"/>
        </w:rPr>
        <w:t xml:space="preserve">prevažne podporuje poskytovanie komerčných úverov na bývanie. </w:t>
      </w:r>
      <w:r>
        <w:rPr>
          <w:rFonts w:ascii="Times New Roman" w:hAnsi="Times New Roman"/>
        </w:rPr>
        <w:t xml:space="preserve">Medziúver je de facto stavebný úver poskytovaný </w:t>
      </w:r>
      <w:r w:rsidR="00D22FD3">
        <w:rPr>
          <w:rFonts w:ascii="Times New Roman" w:hAnsi="Times New Roman"/>
        </w:rPr>
        <w:t xml:space="preserve">za komerčných podmienok tým </w:t>
      </w:r>
      <w:r>
        <w:rPr>
          <w:rFonts w:ascii="Times New Roman" w:hAnsi="Times New Roman"/>
        </w:rPr>
        <w:t>stavebným sporiteľom, ktorí ešte len začali sporiť alebo ktorí síce splnili podmienky sporenia svojich vkladov, ale ďalšie podmienky na pridelenie zvýhodneného stavebného úveru ešte nespĺňajú (</w:t>
      </w:r>
      <w:r w:rsidR="00CC6EA4">
        <w:rPr>
          <w:rFonts w:ascii="Times New Roman" w:hAnsi="Times New Roman"/>
        </w:rPr>
        <w:t>§ 12 ods. 2 písm. a) zákona o stavebnom sporení)</w:t>
      </w:r>
      <w:r>
        <w:rPr>
          <w:rFonts w:ascii="Times New Roman" w:hAnsi="Times New Roman"/>
        </w:rPr>
        <w:t>.</w:t>
      </w:r>
    </w:p>
    <w:p w:rsidR="00A90217" w:rsidP="00380D11">
      <w:pPr>
        <w:pStyle w:val="BodyText2"/>
        <w:bidi w:val="0"/>
        <w:ind w:firstLine="709"/>
        <w:rPr>
          <w:rFonts w:ascii="Times New Roman" w:hAnsi="Times New Roman"/>
        </w:rPr>
      </w:pPr>
    </w:p>
    <w:p w:rsidR="00380D11" w:rsidP="00380D11">
      <w:pPr>
        <w:pStyle w:val="BodyText2"/>
        <w:bidi w:val="0"/>
        <w:ind w:firstLine="709"/>
        <w:rPr>
          <w:rFonts w:ascii="Times New Roman" w:hAnsi="Times New Roman"/>
        </w:rPr>
      </w:pPr>
      <w:r w:rsidR="004B78FF">
        <w:rPr>
          <w:rFonts w:ascii="Times New Roman" w:hAnsi="Times New Roman"/>
          <w:szCs w:val="22"/>
        </w:rPr>
        <w:t xml:space="preserve">V tejto súvislosti </w:t>
      </w:r>
      <w:r>
        <w:rPr>
          <w:rFonts w:ascii="Times New Roman" w:hAnsi="Times New Roman"/>
          <w:szCs w:val="22"/>
        </w:rPr>
        <w:t xml:space="preserve">sa navrhuje </w:t>
      </w:r>
      <w:r w:rsidR="00A90217">
        <w:rPr>
          <w:rFonts w:ascii="Times New Roman" w:hAnsi="Times New Roman"/>
          <w:szCs w:val="22"/>
        </w:rPr>
        <w:t xml:space="preserve">prijať také opatrenie, ktoré by demotivovalo stavebného sporiteľa zobrať si komerčný medziúver, a to tým, že sa </w:t>
      </w:r>
      <w:r w:rsidR="00D66F15">
        <w:rPr>
          <w:rFonts w:ascii="Times New Roman" w:hAnsi="Times New Roman"/>
          <w:szCs w:val="22"/>
        </w:rPr>
        <w:t xml:space="preserve">vylúči </w:t>
      </w:r>
      <w:r>
        <w:rPr>
          <w:rFonts w:ascii="Times New Roman" w:hAnsi="Times New Roman"/>
        </w:rPr>
        <w:t xml:space="preserve">nárok na štátnu prémiu pre </w:t>
      </w:r>
      <w:r w:rsidR="00D22FD3">
        <w:rPr>
          <w:rFonts w:ascii="Times New Roman" w:hAnsi="Times New Roman"/>
        </w:rPr>
        <w:t xml:space="preserve">stavebného </w:t>
      </w:r>
      <w:r>
        <w:rPr>
          <w:rFonts w:ascii="Times New Roman" w:hAnsi="Times New Roman"/>
        </w:rPr>
        <w:t>sporiteľa – fyzickú osobu</w:t>
      </w:r>
      <w:r w:rsidR="00D81F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počas </w:t>
      </w:r>
      <w:r w:rsidR="00457A1C">
        <w:rPr>
          <w:rFonts w:ascii="Times New Roman" w:hAnsi="Times New Roman"/>
        </w:rPr>
        <w:t xml:space="preserve">čerpania a </w:t>
      </w:r>
      <w:r>
        <w:rPr>
          <w:rFonts w:ascii="Times New Roman" w:hAnsi="Times New Roman"/>
        </w:rPr>
        <w:t>splácania medziúveru.</w:t>
      </w:r>
      <w:r w:rsidR="004D3B63">
        <w:rPr>
          <w:rFonts w:ascii="Times New Roman" w:hAnsi="Times New Roman"/>
        </w:rPr>
        <w:t xml:space="preserve"> Priemerná doba sp</w:t>
      </w:r>
      <w:r w:rsidR="0077040A">
        <w:rPr>
          <w:rFonts w:ascii="Times New Roman" w:hAnsi="Times New Roman"/>
        </w:rPr>
        <w:t>l</w:t>
      </w:r>
      <w:r w:rsidR="004D3B63">
        <w:rPr>
          <w:rFonts w:ascii="Times New Roman" w:hAnsi="Times New Roman"/>
        </w:rPr>
        <w:t>atn</w:t>
      </w:r>
      <w:r w:rsidR="0077040A">
        <w:rPr>
          <w:rFonts w:ascii="Times New Roman" w:hAnsi="Times New Roman"/>
        </w:rPr>
        <w:t>o</w:t>
      </w:r>
      <w:r w:rsidR="004D3B63">
        <w:rPr>
          <w:rFonts w:ascii="Times New Roman" w:hAnsi="Times New Roman"/>
        </w:rPr>
        <w:t xml:space="preserve">sti </w:t>
      </w:r>
      <w:r w:rsidR="0077040A">
        <w:rPr>
          <w:rFonts w:ascii="Times New Roman" w:hAnsi="Times New Roman"/>
        </w:rPr>
        <w:t xml:space="preserve">medziúverov sa pohybuje okolo </w:t>
      </w:r>
      <w:r w:rsidR="004B5093">
        <w:rPr>
          <w:rFonts w:ascii="Times New Roman" w:hAnsi="Times New Roman"/>
        </w:rPr>
        <w:t xml:space="preserve">10 </w:t>
      </w:r>
      <w:r w:rsidR="0077040A">
        <w:rPr>
          <w:rFonts w:ascii="Times New Roman" w:hAnsi="Times New Roman"/>
        </w:rPr>
        <w:t xml:space="preserve">rokov. </w:t>
      </w:r>
      <w:r w:rsidR="004D3B63">
        <w:rPr>
          <w:rFonts w:ascii="Times New Roman" w:hAnsi="Times New Roman"/>
        </w:rPr>
        <w:t xml:space="preserve"> </w:t>
      </w:r>
    </w:p>
    <w:p w:rsidR="00380D11" w:rsidP="00380D11">
      <w:pPr>
        <w:pStyle w:val="BodyText2"/>
        <w:bidi w:val="0"/>
        <w:ind w:firstLine="709"/>
        <w:rPr>
          <w:rFonts w:ascii="Times New Roman" w:hAnsi="Times New Roman"/>
        </w:rPr>
      </w:pPr>
    </w:p>
    <w:p w:rsidR="00380D11" w:rsidRPr="00CC6EA4" w:rsidP="00380D11">
      <w:pPr>
        <w:pStyle w:val="BodyText2"/>
        <w:bidi w:val="0"/>
        <w:ind w:firstLine="709"/>
        <w:rPr>
          <w:rFonts w:ascii="Times New Roman" w:hAnsi="Times New Roman"/>
        </w:rPr>
      </w:pPr>
      <w:r w:rsidR="00CC6EA4">
        <w:rPr>
          <w:rFonts w:ascii="Times New Roman" w:hAnsi="Times New Roman"/>
        </w:rPr>
        <w:t xml:space="preserve">Toto bude viesť sporiteľov k zodpovednému zadlžovaniu sa, pretože budú viac motivovaní k dlhodobému sporeniu, ktoré je podporované štátnou prémiou, a k prípadnému následnému získaniu zvýhodneného stavebného úveru, ako doposiaľ. </w:t>
      </w:r>
      <w:r w:rsidR="00A915EF">
        <w:rPr>
          <w:rFonts w:ascii="Times New Roman" w:hAnsi="Times New Roman"/>
        </w:rPr>
        <w:t>Celkovo by toto</w:t>
      </w:r>
      <w:r>
        <w:rPr>
          <w:rFonts w:ascii="Times New Roman" w:hAnsi="Times New Roman"/>
        </w:rPr>
        <w:t xml:space="preserve"> </w:t>
      </w:r>
      <w:r w:rsidRPr="00CC6EA4">
        <w:rPr>
          <w:rFonts w:ascii="Times New Roman" w:hAnsi="Times New Roman"/>
        </w:rPr>
        <w:t xml:space="preserve">opatrenie malo smerovať k postupnému znižovaniu objemu medziúverov, pretože </w:t>
      </w:r>
      <w:r w:rsidR="00A915EF">
        <w:rPr>
          <w:rFonts w:ascii="Times New Roman" w:hAnsi="Times New Roman"/>
        </w:rPr>
        <w:t xml:space="preserve">sa </w:t>
      </w:r>
      <w:r w:rsidR="00D81FFA">
        <w:rPr>
          <w:rFonts w:ascii="Times New Roman" w:hAnsi="Times New Roman"/>
        </w:rPr>
        <w:t xml:space="preserve">čiastočne </w:t>
      </w:r>
      <w:r w:rsidR="00A915EF">
        <w:rPr>
          <w:rFonts w:ascii="Times New Roman" w:hAnsi="Times New Roman"/>
        </w:rPr>
        <w:t>znevýhodnia podmienky pre stavebných sporiteľov</w:t>
      </w:r>
      <w:r w:rsidR="00995175">
        <w:rPr>
          <w:rFonts w:ascii="Times New Roman" w:hAnsi="Times New Roman"/>
        </w:rPr>
        <w:t xml:space="preserve"> </w:t>
      </w:r>
      <w:r w:rsidR="00A915EF">
        <w:rPr>
          <w:rFonts w:ascii="Times New Roman" w:hAnsi="Times New Roman"/>
        </w:rPr>
        <w:t>na čerpanie takýchto úverov. Zároveň by takéto opatrenie mohlo vytvoriť tlak na zníženie úrokových sadzieb medziúverov</w:t>
      </w:r>
      <w:r w:rsidR="00D22FD3">
        <w:rPr>
          <w:rFonts w:ascii="Times New Roman" w:hAnsi="Times New Roman"/>
        </w:rPr>
        <w:t xml:space="preserve">, a to jednak </w:t>
      </w:r>
      <w:r w:rsidR="00A915EF">
        <w:rPr>
          <w:rFonts w:ascii="Times New Roman" w:hAnsi="Times New Roman"/>
        </w:rPr>
        <w:t xml:space="preserve">z dôvodu </w:t>
      </w:r>
      <w:r w:rsidR="00667AC0">
        <w:rPr>
          <w:rFonts w:ascii="Times New Roman" w:hAnsi="Times New Roman"/>
        </w:rPr>
        <w:t xml:space="preserve">zníženia </w:t>
      </w:r>
      <w:r w:rsidR="00A915EF">
        <w:rPr>
          <w:rFonts w:ascii="Times New Roman" w:hAnsi="Times New Roman"/>
        </w:rPr>
        <w:t>dopytu po týchto úveroch</w:t>
      </w:r>
      <w:r w:rsidR="00667AC0">
        <w:rPr>
          <w:rFonts w:ascii="Times New Roman" w:hAnsi="Times New Roman"/>
        </w:rPr>
        <w:t>,</w:t>
      </w:r>
      <w:r w:rsidR="00D22FD3">
        <w:rPr>
          <w:rFonts w:ascii="Times New Roman" w:hAnsi="Times New Roman"/>
        </w:rPr>
        <w:t xml:space="preserve"> ako aj </w:t>
      </w:r>
      <w:r w:rsidR="00BF4A5B">
        <w:rPr>
          <w:rFonts w:ascii="Times New Roman" w:hAnsi="Times New Roman"/>
        </w:rPr>
        <w:t xml:space="preserve">z dôvodu </w:t>
      </w:r>
      <w:r w:rsidR="00D22FD3">
        <w:rPr>
          <w:rFonts w:ascii="Times New Roman" w:hAnsi="Times New Roman"/>
        </w:rPr>
        <w:t xml:space="preserve">samotného obmedzenia možnosti poberania štátnej podpory počas </w:t>
      </w:r>
      <w:r w:rsidR="00866285">
        <w:rPr>
          <w:rFonts w:ascii="Times New Roman" w:hAnsi="Times New Roman"/>
        </w:rPr>
        <w:t xml:space="preserve">čerpania a </w:t>
      </w:r>
      <w:r w:rsidR="00D22FD3">
        <w:rPr>
          <w:rFonts w:ascii="Times New Roman" w:hAnsi="Times New Roman"/>
        </w:rPr>
        <w:t>splácania medziúveru, ktorá určitým spôsobom kompenzuje zvýšenú úrokovú sadzbu tohto úveru</w:t>
      </w:r>
      <w:r w:rsidR="00BF4A5B">
        <w:rPr>
          <w:rFonts w:ascii="Times New Roman" w:hAnsi="Times New Roman"/>
        </w:rPr>
        <w:t xml:space="preserve">. Obmedzenie štátnej podpory pre stavebných sporiteľov počas </w:t>
      </w:r>
      <w:r w:rsidR="004740BE">
        <w:rPr>
          <w:rFonts w:ascii="Times New Roman" w:hAnsi="Times New Roman"/>
        </w:rPr>
        <w:t xml:space="preserve">čerpania a </w:t>
      </w:r>
      <w:r w:rsidR="00BF4A5B">
        <w:rPr>
          <w:rFonts w:ascii="Times New Roman" w:hAnsi="Times New Roman"/>
        </w:rPr>
        <w:t xml:space="preserve">splácania medziúveru </w:t>
      </w:r>
      <w:r w:rsidR="00667AC0">
        <w:rPr>
          <w:rFonts w:ascii="Times New Roman" w:hAnsi="Times New Roman"/>
        </w:rPr>
        <w:t>prispeje aj</w:t>
      </w:r>
      <w:r w:rsidR="00BF4A5B">
        <w:rPr>
          <w:rFonts w:ascii="Times New Roman" w:hAnsi="Times New Roman"/>
        </w:rPr>
        <w:t xml:space="preserve"> k postupnému znižovaniu nárokov na štátnu prémiu k stavebnému sporeniu v najbližších rokoch.</w:t>
      </w:r>
      <w:r w:rsidR="00D22FD3">
        <w:rPr>
          <w:rFonts w:ascii="Times New Roman" w:hAnsi="Times New Roman"/>
        </w:rPr>
        <w:t xml:space="preserve">     </w:t>
      </w:r>
      <w:r w:rsidR="00A915EF">
        <w:rPr>
          <w:rFonts w:ascii="Times New Roman" w:hAnsi="Times New Roman"/>
        </w:rPr>
        <w:t xml:space="preserve">   </w:t>
      </w:r>
      <w:r w:rsidRPr="00CC6EA4">
        <w:rPr>
          <w:rFonts w:ascii="Times New Roman" w:hAnsi="Times New Roman"/>
        </w:rPr>
        <w:t xml:space="preserve"> </w:t>
      </w:r>
    </w:p>
    <w:p w:rsidR="00380D11" w:rsidRPr="00CC6EA4" w:rsidP="00380D11">
      <w:pPr>
        <w:pStyle w:val="BodyText2"/>
        <w:bidi w:val="0"/>
        <w:ind w:firstLine="709"/>
        <w:rPr>
          <w:rFonts w:ascii="Times New Roman" w:hAnsi="Times New Roman"/>
        </w:rPr>
      </w:pPr>
    </w:p>
    <w:p w:rsidR="00380D11" w:rsidRPr="00CC6EA4" w:rsidP="00380D11">
      <w:pPr>
        <w:pStyle w:val="BodyText2"/>
        <w:bidi w:val="0"/>
        <w:ind w:firstLine="709"/>
        <w:rPr>
          <w:rFonts w:ascii="Times New Roman" w:hAnsi="Times New Roman"/>
        </w:rPr>
      </w:pPr>
      <w:r w:rsidRPr="00CC6EA4" w:rsidR="00CC6EA4">
        <w:rPr>
          <w:rFonts w:ascii="Times New Roman" w:hAnsi="Times New Roman"/>
        </w:rPr>
        <w:t>Toto opatrenie sa ne</w:t>
      </w:r>
      <w:r w:rsidR="00CC6EA4">
        <w:rPr>
          <w:rFonts w:ascii="Times New Roman" w:hAnsi="Times New Roman"/>
        </w:rPr>
        <w:t xml:space="preserve">bude </w:t>
      </w:r>
      <w:r w:rsidRPr="00CC6EA4" w:rsidR="00CC6EA4">
        <w:rPr>
          <w:rFonts w:ascii="Times New Roman" w:hAnsi="Times New Roman"/>
        </w:rPr>
        <w:t>týka</w:t>
      </w:r>
      <w:r w:rsidR="00CC6EA4">
        <w:rPr>
          <w:rFonts w:ascii="Times New Roman" w:hAnsi="Times New Roman"/>
        </w:rPr>
        <w:t>ť</w:t>
      </w:r>
      <w:r w:rsidRPr="00CC6EA4" w:rsidR="00CC6EA4">
        <w:rPr>
          <w:rFonts w:ascii="Times New Roman" w:hAnsi="Times New Roman"/>
        </w:rPr>
        <w:t xml:space="preserve"> stavebných sporiteľov – spoločenstiev vlastníkov bytov, ktor</w:t>
      </w:r>
      <w:r w:rsidR="00CC6EA4">
        <w:rPr>
          <w:rFonts w:ascii="Times New Roman" w:hAnsi="Times New Roman"/>
        </w:rPr>
        <w:t>í</w:t>
      </w:r>
      <w:r w:rsidRPr="00CC6EA4" w:rsidR="00CC6EA4">
        <w:rPr>
          <w:rFonts w:ascii="Times New Roman" w:hAnsi="Times New Roman"/>
        </w:rPr>
        <w:t xml:space="preserve"> používajú medziúvery na financovanie obnovy, rekonštrukcie, údržby</w:t>
      </w:r>
      <w:r w:rsidR="00D66F15">
        <w:rPr>
          <w:rFonts w:ascii="Times New Roman" w:hAnsi="Times New Roman"/>
        </w:rPr>
        <w:t>,</w:t>
      </w:r>
      <w:r w:rsidRPr="00CC6EA4" w:rsidR="00CC6EA4">
        <w:rPr>
          <w:rFonts w:ascii="Times New Roman" w:hAnsi="Times New Roman"/>
        </w:rPr>
        <w:t xml:space="preserve"> ako aj odstraňovania systémových a iných porúch spoločných častí a spoločných zariadení bytových domov.</w:t>
      </w:r>
    </w:p>
    <w:p w:rsidR="00380D11" w:rsidRPr="00CC6EA4" w:rsidP="00380D11">
      <w:pPr>
        <w:pStyle w:val="BodyText2"/>
        <w:bidi w:val="0"/>
        <w:ind w:firstLine="709"/>
        <w:rPr>
          <w:rFonts w:ascii="Times New Roman" w:hAnsi="Times New Roman"/>
        </w:rPr>
      </w:pPr>
    </w:p>
    <w:p w:rsidR="00380D11" w:rsidRPr="00CC6EA4" w:rsidP="00380D11">
      <w:pPr>
        <w:pStyle w:val="BodyText2"/>
        <w:bidi w:val="0"/>
        <w:ind w:firstLine="709"/>
        <w:rPr>
          <w:rFonts w:ascii="Times New Roman" w:hAnsi="Times New Roman"/>
        </w:rPr>
      </w:pPr>
      <w:r w:rsidR="00D22FD3">
        <w:rPr>
          <w:rFonts w:ascii="Times New Roman" w:hAnsi="Times New Roman"/>
        </w:rPr>
        <w:t xml:space="preserve">Ďalším identifikovaným problémom v oblasti stavebného sporenia je </w:t>
      </w:r>
      <w:r w:rsidR="00961FEC">
        <w:rPr>
          <w:rFonts w:ascii="Times New Roman" w:hAnsi="Times New Roman"/>
        </w:rPr>
        <w:t xml:space="preserve">to, že </w:t>
      </w:r>
      <w:r w:rsidR="00961FEC">
        <w:rPr>
          <w:rFonts w:ascii="Times New Roman" w:hAnsi="Times New Roman"/>
          <w:szCs w:val="22"/>
        </w:rPr>
        <w:t>neúmerná výška poplatkov stavebných sporiteľní znižuje stavebným sporiteľom celkový efekt a prínos štátnej podpory.</w:t>
      </w:r>
      <w:r w:rsidR="00D22FD3">
        <w:rPr>
          <w:rFonts w:ascii="Times New Roman" w:hAnsi="Times New Roman"/>
        </w:rPr>
        <w:t xml:space="preserve"> </w:t>
      </w:r>
    </w:p>
    <w:p w:rsidR="00380D11" w:rsidRPr="00CC6EA4" w:rsidP="00380D11">
      <w:pPr>
        <w:pStyle w:val="BodyText2"/>
        <w:bidi w:val="0"/>
        <w:ind w:firstLine="709"/>
        <w:rPr>
          <w:rFonts w:ascii="Times New Roman" w:hAnsi="Times New Roman"/>
        </w:rPr>
      </w:pPr>
    </w:p>
    <w:p w:rsidR="00380D11" w:rsidP="00380D11">
      <w:pPr>
        <w:pStyle w:val="BodyText2"/>
        <w:bidi w:val="0"/>
        <w:ind w:firstLine="709"/>
        <w:rPr>
          <w:rFonts w:ascii="Times New Roman" w:hAnsi="Times New Roman"/>
          <w:szCs w:val="22"/>
        </w:rPr>
      </w:pPr>
      <w:r w:rsidR="004B78FF">
        <w:rPr>
          <w:rFonts w:ascii="Times New Roman" w:hAnsi="Times New Roman"/>
          <w:szCs w:val="22"/>
        </w:rPr>
        <w:t xml:space="preserve">Preto sa navrhuje </w:t>
      </w:r>
      <w:r w:rsidR="0077040A">
        <w:rPr>
          <w:rFonts w:ascii="Times New Roman" w:hAnsi="Times New Roman"/>
          <w:szCs w:val="22"/>
        </w:rPr>
        <w:t xml:space="preserve">ustanoviť, aby </w:t>
      </w:r>
      <w:r w:rsidR="00A25699">
        <w:rPr>
          <w:rFonts w:ascii="Times New Roman" w:hAnsi="Times New Roman"/>
          <w:szCs w:val="22"/>
        </w:rPr>
        <w:t xml:space="preserve">uplatnenie nároku </w:t>
      </w:r>
      <w:r w:rsidR="0077040A">
        <w:rPr>
          <w:rFonts w:ascii="Times New Roman" w:hAnsi="Times New Roman"/>
          <w:szCs w:val="22"/>
        </w:rPr>
        <w:t>na štátnu prémiu</w:t>
      </w:r>
      <w:r w:rsidR="00A25699">
        <w:rPr>
          <w:rFonts w:ascii="Times New Roman" w:hAnsi="Times New Roman"/>
          <w:szCs w:val="22"/>
        </w:rPr>
        <w:t xml:space="preserve"> stavebnou sporiteľňou </w:t>
      </w:r>
      <w:r w:rsidR="0077040A">
        <w:rPr>
          <w:rFonts w:ascii="Times New Roman" w:hAnsi="Times New Roman"/>
          <w:szCs w:val="22"/>
        </w:rPr>
        <w:t xml:space="preserve">bolo pre stavebnú sporiteľňu podmienené dodržiavaním </w:t>
      </w:r>
      <w:r w:rsidR="005F7256">
        <w:rPr>
          <w:rFonts w:ascii="Times New Roman" w:hAnsi="Times New Roman"/>
          <w:szCs w:val="22"/>
        </w:rPr>
        <w:t xml:space="preserve">sadzby alebo výšky </w:t>
      </w:r>
      <w:r w:rsidR="0077040A">
        <w:rPr>
          <w:rFonts w:ascii="Times New Roman" w:hAnsi="Times New Roman"/>
          <w:szCs w:val="22"/>
        </w:rPr>
        <w:t>vybran</w:t>
      </w:r>
      <w:r w:rsidR="005F7256">
        <w:rPr>
          <w:rFonts w:ascii="Times New Roman" w:hAnsi="Times New Roman"/>
          <w:szCs w:val="22"/>
        </w:rPr>
        <w:t>ých</w:t>
      </w:r>
      <w:r w:rsidR="0077040A">
        <w:rPr>
          <w:rFonts w:ascii="Times New Roman" w:hAnsi="Times New Roman"/>
          <w:szCs w:val="22"/>
        </w:rPr>
        <w:t xml:space="preserve"> poplat</w:t>
      </w:r>
      <w:r w:rsidR="005F7256">
        <w:rPr>
          <w:rFonts w:ascii="Times New Roman" w:hAnsi="Times New Roman"/>
          <w:szCs w:val="22"/>
        </w:rPr>
        <w:t>kov</w:t>
      </w:r>
      <w:r w:rsidR="0077040A">
        <w:rPr>
          <w:rFonts w:ascii="Times New Roman" w:hAnsi="Times New Roman"/>
          <w:szCs w:val="22"/>
        </w:rPr>
        <w:t xml:space="preserve"> </w:t>
      </w:r>
      <w:r w:rsidR="008E50A3">
        <w:rPr>
          <w:rFonts w:ascii="Times New Roman" w:hAnsi="Times New Roman"/>
          <w:szCs w:val="22"/>
        </w:rPr>
        <w:t xml:space="preserve">(§ </w:t>
      </w:r>
      <w:r w:rsidR="00A25699">
        <w:rPr>
          <w:rFonts w:ascii="Times New Roman" w:hAnsi="Times New Roman"/>
          <w:szCs w:val="22"/>
        </w:rPr>
        <w:t>10</w:t>
      </w:r>
      <w:r w:rsidR="008E50A3">
        <w:rPr>
          <w:rFonts w:ascii="Times New Roman" w:hAnsi="Times New Roman"/>
          <w:szCs w:val="22"/>
        </w:rPr>
        <w:t xml:space="preserve"> ods. </w:t>
      </w:r>
      <w:r w:rsidR="00A25699">
        <w:rPr>
          <w:rFonts w:ascii="Times New Roman" w:hAnsi="Times New Roman"/>
          <w:szCs w:val="22"/>
        </w:rPr>
        <w:t>2</w:t>
      </w:r>
      <w:r w:rsidR="008E50A3">
        <w:rPr>
          <w:rFonts w:ascii="Times New Roman" w:hAnsi="Times New Roman"/>
          <w:szCs w:val="22"/>
        </w:rPr>
        <w:t xml:space="preserve"> </w:t>
      </w:r>
      <w:r w:rsidR="00802596">
        <w:rPr>
          <w:rFonts w:ascii="Times New Roman" w:hAnsi="Times New Roman"/>
          <w:szCs w:val="22"/>
        </w:rPr>
        <w:t xml:space="preserve">návrhu novely </w:t>
      </w:r>
      <w:r w:rsidR="008E50A3">
        <w:rPr>
          <w:rFonts w:ascii="Times New Roman" w:hAnsi="Times New Roman"/>
          <w:szCs w:val="22"/>
        </w:rPr>
        <w:t>zákona o stavebnom sporení)</w:t>
      </w:r>
      <w:r w:rsidR="0077040A">
        <w:rPr>
          <w:rFonts w:ascii="Times New Roman" w:hAnsi="Times New Roman"/>
          <w:szCs w:val="22"/>
        </w:rPr>
        <w:t xml:space="preserve">. </w:t>
      </w:r>
      <w:r w:rsidR="00802596">
        <w:rPr>
          <w:rFonts w:ascii="Times New Roman" w:hAnsi="Times New Roman"/>
          <w:szCs w:val="22"/>
        </w:rPr>
        <w:t>Pôjde o</w:t>
      </w:r>
      <w:r w:rsidR="0077040A">
        <w:rPr>
          <w:rFonts w:ascii="Times New Roman" w:hAnsi="Times New Roman"/>
          <w:szCs w:val="22"/>
        </w:rPr>
        <w:t xml:space="preserve"> dodržiavanie </w:t>
      </w:r>
      <w:r w:rsidR="005F7256">
        <w:rPr>
          <w:rFonts w:ascii="Times New Roman" w:hAnsi="Times New Roman"/>
          <w:szCs w:val="22"/>
        </w:rPr>
        <w:t xml:space="preserve">výšky alebo sadzby </w:t>
      </w:r>
      <w:r w:rsidR="00802596">
        <w:rPr>
          <w:rFonts w:ascii="Times New Roman" w:hAnsi="Times New Roman"/>
          <w:szCs w:val="22"/>
        </w:rPr>
        <w:t>poplatku za uzatvorenie zmluvy o stavebnom sporení</w:t>
      </w:r>
      <w:r w:rsidR="00641742">
        <w:rPr>
          <w:rFonts w:ascii="Times New Roman" w:hAnsi="Times New Roman"/>
          <w:szCs w:val="22"/>
        </w:rPr>
        <w:t>, poplatku za vedenie sporiaceho účtu, poplatku za vedenie úverového účtu a poplatku za poskytnutie stavebného úveru</w:t>
      </w:r>
      <w:r w:rsidR="007700F5">
        <w:rPr>
          <w:rFonts w:ascii="Times New Roman" w:hAnsi="Times New Roman"/>
          <w:szCs w:val="22"/>
        </w:rPr>
        <w:t>,</w:t>
      </w:r>
      <w:r w:rsidR="005F7256">
        <w:rPr>
          <w:rFonts w:ascii="Times New Roman" w:hAnsi="Times New Roman"/>
          <w:szCs w:val="22"/>
        </w:rPr>
        <w:t xml:space="preserve"> ustanovenej všeobecne záväzný</w:t>
      </w:r>
      <w:r w:rsidR="00A83BBD">
        <w:rPr>
          <w:rFonts w:ascii="Times New Roman" w:hAnsi="Times New Roman"/>
          <w:szCs w:val="22"/>
        </w:rPr>
        <w:t>m</w:t>
      </w:r>
      <w:r w:rsidR="005F7256">
        <w:rPr>
          <w:rFonts w:ascii="Times New Roman" w:hAnsi="Times New Roman"/>
          <w:szCs w:val="22"/>
        </w:rPr>
        <w:t xml:space="preserve"> právnym predpisom, ktorý vydá Ministerstvo financií SR.  </w:t>
      </w:r>
    </w:p>
    <w:p w:rsidR="00641742" w:rsidP="00380D11">
      <w:pPr>
        <w:pStyle w:val="BodyText2"/>
        <w:bidi w:val="0"/>
        <w:ind w:firstLine="709"/>
        <w:rPr>
          <w:rFonts w:ascii="Times New Roman" w:hAnsi="Times New Roman"/>
          <w:szCs w:val="22"/>
        </w:rPr>
      </w:pPr>
    </w:p>
    <w:p w:rsidR="005831D3" w:rsidRPr="00F93CE3">
      <w:pPr>
        <w:pStyle w:val="BodyText2"/>
        <w:bidi w:val="0"/>
        <w:rPr>
          <w:rFonts w:ascii="Times New Roman" w:hAnsi="Times New Roman"/>
        </w:rPr>
      </w:pPr>
      <w:r w:rsidR="00201C4F">
        <w:rPr>
          <w:rFonts w:ascii="Times New Roman" w:hAnsi="Times New Roman"/>
        </w:rPr>
        <w:tab/>
      </w:r>
      <w:r w:rsidR="009A4429">
        <w:rPr>
          <w:rFonts w:ascii="Times New Roman" w:hAnsi="Times New Roman"/>
        </w:rPr>
        <w:t xml:space="preserve">Z dôvodu potreby </w:t>
      </w:r>
      <w:r w:rsidR="00EA3ACA">
        <w:rPr>
          <w:rFonts w:ascii="Times New Roman" w:hAnsi="Times New Roman"/>
        </w:rPr>
        <w:t>včasného a presnejšieho odhadovania nárokov na štátnu prémiu, ktorá sa vypláca ročne vždy na začiatku kalendárneho roka za predchádzajúci rok, sa n</w:t>
      </w:r>
      <w:r w:rsidR="009A4429">
        <w:rPr>
          <w:rFonts w:ascii="Times New Roman" w:hAnsi="Times New Roman"/>
        </w:rPr>
        <w:t xml:space="preserve">avrhuje </w:t>
      </w:r>
      <w:r w:rsidR="00EA3ACA">
        <w:rPr>
          <w:rFonts w:ascii="Times New Roman" w:hAnsi="Times New Roman"/>
        </w:rPr>
        <w:t xml:space="preserve">osobitne upraviť určenie </w:t>
      </w:r>
      <w:r>
        <w:rPr>
          <w:rFonts w:ascii="Times New Roman" w:hAnsi="Times New Roman"/>
        </w:rPr>
        <w:t>výpoč</w:t>
      </w:r>
      <w:r w:rsidR="007700F5">
        <w:rPr>
          <w:rFonts w:ascii="Times New Roman" w:hAnsi="Times New Roman"/>
        </w:rPr>
        <w:t>tu</w:t>
      </w:r>
      <w:r>
        <w:rPr>
          <w:rFonts w:ascii="Times New Roman" w:hAnsi="Times New Roman"/>
        </w:rPr>
        <w:t xml:space="preserve"> </w:t>
      </w:r>
      <w:r w:rsidR="007700F5">
        <w:rPr>
          <w:rFonts w:ascii="Times New Roman" w:hAnsi="Times New Roman"/>
        </w:rPr>
        <w:t xml:space="preserve">nároku na </w:t>
      </w:r>
      <w:r w:rsidR="00EA3ACA">
        <w:rPr>
          <w:rFonts w:ascii="Times New Roman" w:hAnsi="Times New Roman"/>
        </w:rPr>
        <w:t>štátn</w:t>
      </w:r>
      <w:r w:rsidR="007700F5">
        <w:rPr>
          <w:rFonts w:ascii="Times New Roman" w:hAnsi="Times New Roman"/>
        </w:rPr>
        <w:t>u</w:t>
      </w:r>
      <w:r w:rsidR="00EA3ACA">
        <w:rPr>
          <w:rFonts w:ascii="Times New Roman" w:hAnsi="Times New Roman"/>
        </w:rPr>
        <w:t xml:space="preserve"> prémi</w:t>
      </w:r>
      <w:r w:rsidR="007700F5">
        <w:rPr>
          <w:rFonts w:ascii="Times New Roman" w:hAnsi="Times New Roman"/>
        </w:rPr>
        <w:t>u</w:t>
      </w:r>
      <w:r w:rsidR="00EA3ACA">
        <w:rPr>
          <w:rFonts w:ascii="Times New Roman" w:hAnsi="Times New Roman"/>
        </w:rPr>
        <w:t xml:space="preserve"> v tom kalendárnom roku, v ktorom došlo k uzavretiu zmluvy o stavebnom sporení, na ktorú sa uplatňuje nárok na štátnu prémiu. Podľa doterajšej právnej úpravy je totiž možné </w:t>
      </w:r>
      <w:r>
        <w:rPr>
          <w:rFonts w:ascii="Times New Roman" w:hAnsi="Times New Roman"/>
        </w:rPr>
        <w:t xml:space="preserve">na získanie plnej ročnej štátnej prémie </w:t>
      </w:r>
      <w:r w:rsidR="00EA3ACA">
        <w:rPr>
          <w:rFonts w:ascii="Times New Roman" w:hAnsi="Times New Roman"/>
        </w:rPr>
        <w:t xml:space="preserve">uzavrieť zmluvu o stavebnom sporení a vložiť celý ročný vklad </w:t>
      </w:r>
      <w:r>
        <w:rPr>
          <w:rFonts w:ascii="Times New Roman" w:hAnsi="Times New Roman"/>
        </w:rPr>
        <w:t xml:space="preserve">až </w:t>
      </w:r>
      <w:r w:rsidR="00EA3ACA">
        <w:rPr>
          <w:rFonts w:ascii="Times New Roman" w:hAnsi="Times New Roman"/>
        </w:rPr>
        <w:t xml:space="preserve">v decembri </w:t>
      </w:r>
      <w:r>
        <w:rPr>
          <w:rFonts w:ascii="Times New Roman" w:hAnsi="Times New Roman"/>
        </w:rPr>
        <w:t xml:space="preserve">kalendárneho roka, pričom táto štátna prémia je na účet stavebného sporiteľa pripísaná takmer </w:t>
      </w:r>
      <w:r w:rsidR="00693792">
        <w:rPr>
          <w:rFonts w:ascii="Times New Roman" w:hAnsi="Times New Roman"/>
        </w:rPr>
        <w:t xml:space="preserve">hneď </w:t>
      </w:r>
      <w:r>
        <w:rPr>
          <w:rFonts w:ascii="Times New Roman" w:hAnsi="Times New Roman"/>
        </w:rPr>
        <w:t>na začiatku nasledujúceho kalendárneho roka.</w:t>
      </w:r>
      <w:r w:rsidR="005F7256">
        <w:rPr>
          <w:rFonts w:ascii="Times New Roman" w:hAnsi="Times New Roman"/>
        </w:rPr>
        <w:t xml:space="preserve"> To znamená, že ak zoberieme do úvahy, že štátna prémia má charakter úrokovej prémie, súčasný </w:t>
      </w:r>
      <w:r w:rsidR="00693792">
        <w:rPr>
          <w:rFonts w:ascii="Times New Roman" w:hAnsi="Times New Roman"/>
        </w:rPr>
        <w:t xml:space="preserve">systém nezohľadňuje </w:t>
      </w:r>
      <w:r w:rsidR="00BF4A5B">
        <w:rPr>
          <w:rFonts w:ascii="Times New Roman" w:hAnsi="Times New Roman"/>
        </w:rPr>
        <w:t xml:space="preserve">potrebu adekvátnej časovej viazanosti </w:t>
      </w:r>
      <w:r w:rsidR="00693792">
        <w:rPr>
          <w:rFonts w:ascii="Times New Roman" w:hAnsi="Times New Roman"/>
        </w:rPr>
        <w:t>vkladov v prvom roku sporenia</w:t>
      </w:r>
      <w:r w:rsidR="00BF4A5B">
        <w:rPr>
          <w:rFonts w:ascii="Times New Roman" w:hAnsi="Times New Roman"/>
        </w:rPr>
        <w:t xml:space="preserve"> s cieľom získania plnej štátnej </w:t>
      </w:r>
      <w:r w:rsidRPr="00F93CE3" w:rsidR="00BF4A5B">
        <w:rPr>
          <w:rFonts w:ascii="Times New Roman" w:hAnsi="Times New Roman"/>
        </w:rPr>
        <w:t>prémie</w:t>
      </w:r>
      <w:r w:rsidRPr="00F93CE3" w:rsidR="00693792">
        <w:rPr>
          <w:rFonts w:ascii="Times New Roman" w:hAnsi="Times New Roman"/>
        </w:rPr>
        <w:t xml:space="preserve">. </w:t>
      </w:r>
      <w:r w:rsidRPr="00F93CE3" w:rsidR="00F93CE3">
        <w:rPr>
          <w:rFonts w:ascii="Times New Roman" w:hAnsi="Times New Roman"/>
        </w:rPr>
        <w:t xml:space="preserve">Preto </w:t>
      </w:r>
      <w:r w:rsidR="00F93CE3">
        <w:rPr>
          <w:rFonts w:ascii="Times New Roman" w:hAnsi="Times New Roman"/>
        </w:rPr>
        <w:t xml:space="preserve">Ministerstvo financií SR </w:t>
      </w:r>
      <w:r w:rsidRPr="00F93CE3" w:rsidR="00F93CE3">
        <w:rPr>
          <w:rFonts w:ascii="Times New Roman" w:hAnsi="Times New Roman"/>
        </w:rPr>
        <w:t xml:space="preserve">navrhuje prijať </w:t>
      </w:r>
      <w:r w:rsidR="00F93CE3">
        <w:rPr>
          <w:rFonts w:ascii="Times New Roman" w:hAnsi="Times New Roman"/>
        </w:rPr>
        <w:t xml:space="preserve">taký </w:t>
      </w:r>
      <w:r w:rsidRPr="00F93CE3" w:rsidR="00F93CE3">
        <w:rPr>
          <w:rFonts w:ascii="Times New Roman" w:hAnsi="Times New Roman"/>
        </w:rPr>
        <w:t>výpočet štátnej prémie za prvý rok sporenia, ktor</w:t>
      </w:r>
      <w:r w:rsidR="00F93CE3">
        <w:rPr>
          <w:rFonts w:ascii="Times New Roman" w:hAnsi="Times New Roman"/>
        </w:rPr>
        <w:t>ý</w:t>
      </w:r>
      <w:r w:rsidRPr="00F93CE3" w:rsidR="00F93CE3">
        <w:rPr>
          <w:rFonts w:ascii="Times New Roman" w:hAnsi="Times New Roman"/>
        </w:rPr>
        <w:t xml:space="preserve"> sa bude odvíjať od výšky a časovej viazanosti vkladov poukazovaných na účet stavebného sporiteľa.</w:t>
      </w:r>
      <w:r w:rsidRPr="00F93CE3" w:rsidR="005F7256">
        <w:rPr>
          <w:rFonts w:ascii="Times New Roman" w:hAnsi="Times New Roman"/>
        </w:rPr>
        <w:t xml:space="preserve">    </w:t>
      </w:r>
    </w:p>
    <w:p w:rsidR="00CE3368">
      <w:pPr>
        <w:pStyle w:val="BodyText2"/>
        <w:bidi w:val="0"/>
        <w:rPr>
          <w:rFonts w:ascii="Times New Roman" w:hAnsi="Times New Roman"/>
        </w:rPr>
      </w:pPr>
    </w:p>
    <w:p w:rsidR="00625B21" w:rsidP="00CE3368">
      <w:pPr>
        <w:pStyle w:val="BodyText2"/>
        <w:bidi w:val="0"/>
        <w:ind w:firstLine="709"/>
        <w:rPr>
          <w:rFonts w:ascii="Times New Roman" w:hAnsi="Times New Roman"/>
        </w:rPr>
      </w:pPr>
      <w:r w:rsidR="004B5093">
        <w:rPr>
          <w:rFonts w:ascii="Times New Roman" w:hAnsi="Times New Roman"/>
        </w:rPr>
        <w:t xml:space="preserve">Vzhľadom na to, že </w:t>
      </w:r>
      <w:r w:rsidR="00B94CD8">
        <w:rPr>
          <w:rFonts w:ascii="Times New Roman" w:hAnsi="Times New Roman"/>
        </w:rPr>
        <w:t>zámerom niektorých z navrhovaných opatrení je zefektívnenie štátnej podpory stavebného sporenia, ná</w:t>
      </w:r>
      <w:r w:rsidR="00201C4F">
        <w:rPr>
          <w:rFonts w:ascii="Times New Roman" w:hAnsi="Times New Roman"/>
        </w:rPr>
        <w:t xml:space="preserve">vrh novely zákona </w:t>
      </w:r>
      <w:r w:rsidR="00EF0169">
        <w:rPr>
          <w:rFonts w:ascii="Times New Roman" w:hAnsi="Times New Roman"/>
        </w:rPr>
        <w:t xml:space="preserve">o stavebnom sporení </w:t>
      </w:r>
      <w:r w:rsidR="00201C4F">
        <w:rPr>
          <w:rFonts w:ascii="Times New Roman" w:hAnsi="Times New Roman"/>
        </w:rPr>
        <w:t xml:space="preserve">predpokladá </w:t>
      </w:r>
      <w:r>
        <w:rPr>
          <w:rFonts w:ascii="Times New Roman" w:hAnsi="Times New Roman"/>
        </w:rPr>
        <w:t xml:space="preserve">pozitívny </w:t>
      </w:r>
      <w:r w:rsidR="00201C4F">
        <w:rPr>
          <w:rFonts w:ascii="Times New Roman" w:hAnsi="Times New Roman"/>
        </w:rPr>
        <w:t xml:space="preserve">finančný </w:t>
      </w:r>
      <w:r>
        <w:rPr>
          <w:rFonts w:ascii="Times New Roman" w:hAnsi="Times New Roman"/>
        </w:rPr>
        <w:t xml:space="preserve">vplyv na </w:t>
      </w:r>
      <w:r w:rsidR="00201C4F">
        <w:rPr>
          <w:rFonts w:ascii="Times New Roman" w:hAnsi="Times New Roman"/>
        </w:rPr>
        <w:t xml:space="preserve">rozpočet </w:t>
      </w:r>
      <w:r>
        <w:rPr>
          <w:rFonts w:ascii="Times New Roman" w:hAnsi="Times New Roman"/>
        </w:rPr>
        <w:t>verejnej správy</w:t>
      </w:r>
      <w:r w:rsidR="00EF0169">
        <w:rPr>
          <w:rFonts w:ascii="Times New Roman" w:hAnsi="Times New Roman"/>
        </w:rPr>
        <w:t xml:space="preserve">. Návrh novely zákona </w:t>
      </w:r>
      <w:r w:rsidR="00D81FFA">
        <w:rPr>
          <w:rFonts w:ascii="Times New Roman" w:hAnsi="Times New Roman"/>
        </w:rPr>
        <w:t xml:space="preserve">bude mať čiastočne negatívny </w:t>
      </w:r>
      <w:r w:rsidR="00EF0169">
        <w:rPr>
          <w:rFonts w:ascii="Times New Roman" w:hAnsi="Times New Roman"/>
        </w:rPr>
        <w:t>vplyv na podnikateľské prostredie</w:t>
      </w:r>
      <w:r w:rsidR="00D81FFA">
        <w:rPr>
          <w:rFonts w:ascii="Times New Roman" w:hAnsi="Times New Roman"/>
        </w:rPr>
        <w:t xml:space="preserve">. </w:t>
      </w:r>
      <w:r w:rsidR="00BB0CE0">
        <w:rPr>
          <w:rFonts w:ascii="Times New Roman" w:hAnsi="Times New Roman"/>
        </w:rPr>
        <w:t xml:space="preserve">Návrh novely zákona o stavebnom sporení bude mať sumárne </w:t>
      </w:r>
      <w:r w:rsidR="00292B29">
        <w:rPr>
          <w:rFonts w:ascii="Times New Roman" w:hAnsi="Times New Roman"/>
        </w:rPr>
        <w:t xml:space="preserve">pozitívne </w:t>
      </w:r>
      <w:r w:rsidR="00BB0CE0">
        <w:rPr>
          <w:rFonts w:ascii="Times New Roman" w:hAnsi="Times New Roman"/>
        </w:rPr>
        <w:t>sociálne vplyvy. Návrh novely zákona nebude mať vplyv na životné prostredie ani na informatizáciu spoločnosti.</w:t>
      </w:r>
    </w:p>
    <w:p w:rsidR="00CE3368" w:rsidP="0020568C">
      <w:pPr>
        <w:pStyle w:val="BodyText2"/>
        <w:bidi w:val="0"/>
        <w:rPr>
          <w:rFonts w:ascii="Times New Roman" w:hAnsi="Times New Roman"/>
        </w:rPr>
      </w:pPr>
      <w:r w:rsidR="00201C4F">
        <w:rPr>
          <w:rFonts w:ascii="Times New Roman" w:hAnsi="Times New Roman"/>
        </w:rPr>
        <w:tab/>
      </w:r>
    </w:p>
    <w:p w:rsidR="00201C4F" w:rsidP="00CE3368">
      <w:pPr>
        <w:pStyle w:val="BodyText2"/>
        <w:bidi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Návrh novely zákona je v súlade s Ústavou Slovenskej republiky a inými zákonmi Slovenskej republiky a medzinárodnými zmluvami, ktorými je Slovenská republika viazaná.</w:t>
      </w: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5F795F" w:rsidP="006F694F">
      <w:pPr>
        <w:pStyle w:val="BodyText2"/>
        <w:bidi w:val="0"/>
        <w:rPr>
          <w:rFonts w:ascii="Times New Roman" w:hAnsi="Times New Roman"/>
          <w:bCs/>
        </w:rPr>
      </w:pPr>
    </w:p>
    <w:p w:rsidR="009F3D46" w:rsidRPr="00D7504C" w:rsidP="009F3D4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D7504C">
        <w:rPr>
          <w:rFonts w:ascii="Times New Roman" w:hAnsi="Times New Roman"/>
          <w:b/>
          <w:bCs/>
        </w:rPr>
        <w:t>Doložka vybraných vplyvov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D7504C">
        <w:rPr>
          <w:rFonts w:ascii="Times New Roman" w:hAnsi="Times New Roman"/>
          <w:b/>
          <w:bCs/>
        </w:rPr>
        <w:t> 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7504C">
        <w:rPr>
          <w:rFonts w:ascii="Times New Roman" w:hAnsi="Times New Roman"/>
          <w:b/>
          <w:bCs/>
        </w:rPr>
        <w:t>  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ind w:left="2410" w:hanging="2410"/>
        <w:rPr>
          <w:rFonts w:ascii="Times New Roman" w:hAnsi="Times New Roman"/>
        </w:rPr>
      </w:pPr>
      <w:r w:rsidRPr="00D7504C">
        <w:rPr>
          <w:rFonts w:ascii="Times New Roman" w:hAnsi="Times New Roman"/>
          <w:b/>
          <w:bCs/>
        </w:rPr>
        <w:t xml:space="preserve">A.1. Názov materiálu:   </w:t>
      </w:r>
      <w:r w:rsidRPr="007C02EC">
        <w:rPr>
          <w:rFonts w:ascii="Times New Roman" w:hAnsi="Times New Roman"/>
          <w:bCs/>
        </w:rPr>
        <w:t>Návrh zákona, ktorým sa mení a dopĺňa zákon Slovenskej národnej rady č. 310/1992 Zb.  o stavebnom sporení v znení neskorších predpisov</w:t>
      </w:r>
      <w:r w:rsidRPr="00D7504C">
        <w:rPr>
          <w:rFonts w:ascii="Times New Roman" w:hAnsi="Times New Roman"/>
          <w:b/>
          <w:bCs/>
          <w:u w:val="single"/>
        </w:rPr>
        <w:t xml:space="preserve">  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 w:rsidRPr="00D7504C">
        <w:rPr>
          <w:rFonts w:ascii="Times New Roman" w:hAnsi="Times New Roman"/>
          <w:b/>
          <w:bCs/>
        </w:rPr>
        <w:t xml:space="preserve">        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ind w:firstLine="426"/>
        <w:rPr>
          <w:rFonts w:ascii="Times New Roman" w:hAnsi="Times New Roman"/>
        </w:rPr>
      </w:pPr>
      <w:r w:rsidRPr="00D7504C">
        <w:rPr>
          <w:rFonts w:ascii="Times New Roman" w:hAnsi="Times New Roman"/>
          <w:b/>
          <w:bCs/>
        </w:rPr>
        <w:t xml:space="preserve">Termín začatia a ukončenia PPK: </w:t>
      </w:r>
      <w:r>
        <w:rPr>
          <w:rFonts w:ascii="Times New Roman" w:hAnsi="Times New Roman"/>
          <w:b/>
          <w:bCs/>
        </w:rPr>
        <w:t xml:space="preserve">     </w:t>
      </w:r>
      <w:r w:rsidRPr="0018633C">
        <w:rPr>
          <w:rFonts w:ascii="Times New Roman" w:hAnsi="Times New Roman"/>
          <w:bCs/>
        </w:rPr>
        <w:t>3. mája 2011 – 6. mája 2011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7504C">
        <w:rPr>
          <w:rFonts w:ascii="Times New Roman" w:hAnsi="Times New Roman"/>
          <w:b/>
          <w:bCs/>
        </w:rPr>
        <w:t> 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9F3D46" w:rsidRPr="00D7504C" w:rsidP="009F3D4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7504C">
        <w:rPr>
          <w:rFonts w:ascii="Times New Roman" w:hAnsi="Times New Roman"/>
          <w:b/>
          <w:bCs/>
        </w:rPr>
        <w:t>A.2. Vplyvy: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7504C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Pozitívne</w:t>
            </w:r>
            <w:r w:rsidRPr="00D7504C">
              <w:rPr>
                <w:rFonts w:ascii="Times New Roman" w:hAnsi="Times New Roman"/>
                <w:vertAlign w:val="superscript"/>
              </w:rPr>
              <w:t>*</w:t>
            </w:r>
            <w:r w:rsidRPr="00D750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Žiadne</w:t>
            </w:r>
            <w:r w:rsidRPr="00D7504C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Negatívne</w:t>
            </w:r>
            <w:r w:rsidRPr="00D7504C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1. Vplyvy na rozpočet verejnej správy</w:t>
            </w:r>
          </w:p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Pr="00D7504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 xml:space="preserve">3, Sociálne vplyvy </w:t>
            </w:r>
          </w:p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– vplyvy  na hospodárenie obyvateľstva,</w:t>
            </w:r>
          </w:p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-sociálnu exklúziu,</w:t>
            </w:r>
          </w:p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 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F3D46" w:rsidRPr="00D7504C" w:rsidP="001157D1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D7504C">
              <w:rPr>
                <w:rFonts w:ascii="Times New Roman" w:hAnsi="Times New Roman"/>
              </w:rPr>
              <w:t> </w:t>
            </w:r>
          </w:p>
        </w:tc>
      </w:tr>
    </w:tbl>
    <w:p w:rsidR="009F3D46" w:rsidRPr="00D7504C" w:rsidP="009F3D4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7504C">
        <w:rPr>
          <w:rFonts w:ascii="Times New Roman" w:hAnsi="Times New Roman"/>
          <w:b/>
          <w:bCs/>
        </w:rPr>
        <w:t>*</w:t>
      </w:r>
      <w:r w:rsidRPr="00D7504C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7504C">
        <w:rPr>
          <w:rFonts w:ascii="Times New Roman" w:hAnsi="Times New Roman"/>
        </w:rPr>
        <w:t> 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7504C">
        <w:rPr>
          <w:rFonts w:ascii="Times New Roman" w:hAnsi="Times New Roman"/>
          <w:b/>
          <w:bCs/>
        </w:rPr>
        <w:t>A.3. Poznámky</w:t>
      </w:r>
    </w:p>
    <w:p w:rsidR="009F3D46" w:rsidRPr="00D7504C" w:rsidP="009F3D46">
      <w:pPr>
        <w:pStyle w:val="BodyText2"/>
        <w:tabs>
          <w:tab w:val="left" w:pos="0"/>
        </w:tabs>
        <w:bidi w:val="0"/>
        <w:rPr>
          <w:rFonts w:ascii="Times New Roman" w:hAnsi="Times New Roman"/>
        </w:rPr>
      </w:pPr>
    </w:p>
    <w:p w:rsidR="009F3D46" w:rsidP="009F3D46">
      <w:pPr>
        <w:pStyle w:val="BodyTextIndent3"/>
        <w:bidi w:val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Obmedzenie poskytovania štátnej prémie stavebnému sporiteľovi - fyzickej osobe za obdobie, počas ktorého spláca medziúver, bude znamenať zníženie nárokov na štátnu prémiu počnúc rokom 2012, za ktorý bude štátna prémia podľa zákona vyplatená v rozpočtovom  roku 2013. Z tohto titulu sa predpokladá pozitívny vplyv návrhu novely zákona o stavebnom sporení na rozpočet verejnej správy, ktorý vo finančnom vyjadrení predpokladá zníženie výdavkov štátneho rozpočtu na štátnu prémiu počnúc rozpočtovým rokom 2013 o 6 mil. eur, keďže približne 15 % z celkového ročného nároku na štátnu prémiu (cca 40 mil. eur) sa týka stavebných sporiteľov, ktorí čerpajú a splácajú medziúver.    </w:t>
      </w:r>
    </w:p>
    <w:p w:rsidR="009F3D46" w:rsidP="009F3D46">
      <w:pPr>
        <w:pStyle w:val="BodyTextIndent3"/>
        <w:bidi w:val="0"/>
        <w:ind w:left="0"/>
        <w:rPr>
          <w:rFonts w:ascii="Times New Roman" w:hAnsi="Times New Roman"/>
        </w:rPr>
      </w:pPr>
    </w:p>
    <w:p w:rsidR="009F3D46" w:rsidP="009F3D46">
      <w:pPr>
        <w:pStyle w:val="BodyTextIndent3"/>
        <w:bidi w:val="0"/>
        <w:ind w:left="0"/>
        <w:rPr>
          <w:rFonts w:ascii="Times New Roman" w:hAnsi="Times New Roman"/>
        </w:rPr>
      </w:pPr>
    </w:p>
    <w:p w:rsidR="009F3D46" w:rsidP="009F3D46">
      <w:pPr>
        <w:pStyle w:val="BodyTextIndent3"/>
        <w:bidi w:val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Osobitná úprava určovania štátnej prémie za kalendárny rok, v ktorom bola uzatvorená prémiovo zvýhodnená zmluva o stavebnom sporení, predpokladá ďalšiu úsporu výdavkov štátneho rozpočtu, a to tiež počnúc rozpočtovým rokom 2013. Tento pozitívny vplyv návrhu novely zákona o stavebnom sporení môže vo finančnom vyjadrení predstavovať ročné zníženie výdavkov na štátnu prémiu až o takmer 4 mil. eur oproti súčasnému stavu.         </w:t>
      </w:r>
    </w:p>
    <w:p w:rsidR="009F3D46" w:rsidP="009F3D46">
      <w:pPr>
        <w:pStyle w:val="BodyTextIndent3"/>
        <w:bidi w:val="0"/>
        <w:ind w:left="0"/>
        <w:rPr>
          <w:rFonts w:ascii="Times New Roman" w:hAnsi="Times New Roman"/>
        </w:rPr>
      </w:pPr>
    </w:p>
    <w:p w:rsidR="009F3D46" w:rsidP="009F3D46">
      <w:pPr>
        <w:pStyle w:val="BodyTextIndent3"/>
        <w:bidi w:val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Podmienenie uplatnenia nároku na štátnu prémiu stavebnou sporiteľňou dodržiavaním výšky alebo sadzby určitých poplatkov vyberaných stavebnými sporiteľňami zvýši reguláciu podmienok, na základe ktorých sa vykonáva stavebné sporenie. Týmto spôsobom dôjde k určitému zníženiu príjmov z poplatkov stavebných sporiteľní, ktoré sa prvýkrát prejaví za účtovné obdobie roka 2012. Toto zníženie bude ročne predstavovať približne 10 mil. eur.</w:t>
      </w:r>
    </w:p>
    <w:p w:rsidR="009F3D46" w:rsidP="009F3D46">
      <w:pPr>
        <w:pStyle w:val="BodyTextIndent3"/>
        <w:bidi w:val="0"/>
        <w:ind w:left="0"/>
        <w:rPr>
          <w:rFonts w:ascii="Times New Roman" w:hAnsi="Times New Roman"/>
        </w:rPr>
      </w:pPr>
    </w:p>
    <w:p w:rsidR="009F3D46" w:rsidP="009F3D4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Neutrálny sociálny vplyv v roku 2013 a pozitívny sumárny sociálny vplyv v sume 1, 2 mil. eur v roku 2014 a 2015, ktorý sa pri prvom opatrení týka približne 15 % stavebných sporiteľov – fyzických osôb z celkového počtu 830 tisíc, ktorí si uplatňujú nárok na štátnu prémiu a pri druhom opatrení sa tento vplyv týka pre rok 2012 (2013, 2014) 50% (40%, 30%) novouzavretých zmlúv o stavebnom sporení a skladá sa: </w:t>
      </w:r>
    </w:p>
    <w:p w:rsidR="009F3D46" w:rsidP="009F3D46">
      <w:pPr>
        <w:numPr>
          <w:numId w:val="14"/>
        </w:numPr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 súčtu negatívnych vplyvov 10 (9, 8) mil. eur spôsobených: </w:t>
      </w:r>
    </w:p>
    <w:p w:rsidR="009F3D46" w:rsidP="009F3D46">
      <w:pPr>
        <w:numPr>
          <w:ilvl w:val="1"/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stratou nároku na štátnu prémiu pri poskytnutí medziúveru v sume 6 mil. eur a </w:t>
      </w:r>
    </w:p>
    <w:p w:rsidR="009F3D46" w:rsidP="009F3D46">
      <w:pPr>
        <w:numPr>
          <w:ilvl w:val="1"/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osobitnou úpravou určovania štátnej prémie za kalendárny rok, v ktorom bude uzatvorená prémiovo zvýhodnená zmluva o stavebnom sporení,  ktorú nemusí stavebný sporiteľ splniť na získanie štátnej prémie v prvom roku od uzatvorenia zmluvy o stavebnom sporení v celkovej sume 4 (3, 2) mil. eur,</w:t>
      </w:r>
    </w:p>
    <w:p w:rsidR="009F3D46" w:rsidP="009F3D46">
      <w:pPr>
        <w:numPr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 z pozitívneho vplyvu vyvolaného návrhom na  podmienenie uplatnenia nároku na štátnu prémiu dodržiavaním výšky alebo sadzby určitých poplatkov vyberaných stavebnými sporiteľňami, ktorým sa znížia poplatky v celkovom objeme o 10 mil. eur.      </w:t>
      </w:r>
    </w:p>
    <w:p w:rsidR="009F3D46" w:rsidP="009F3D46">
      <w:pPr>
        <w:bidi w:val="0"/>
        <w:jc w:val="both"/>
        <w:rPr>
          <w:rFonts w:ascii="Times New Roman" w:hAnsi="Times New Roman"/>
        </w:rPr>
      </w:pPr>
    </w:p>
    <w:p w:rsidR="009F3D46" w:rsidP="009F3D46">
      <w:pPr>
        <w:bidi w:val="0"/>
        <w:jc w:val="both"/>
        <w:rPr>
          <w:rFonts w:ascii="Times New Roman" w:hAnsi="Times New Roman"/>
        </w:rPr>
      </w:pPr>
    </w:p>
    <w:p w:rsidR="009F3D46" w:rsidRPr="00D7504C" w:rsidP="009F3D4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356DF">
        <w:rPr>
          <w:rFonts w:ascii="Times New Roman" w:hAnsi="Times New Roman"/>
          <w:b/>
          <w:bCs/>
        </w:rPr>
        <w:t>A.4. Alternatívne riešenia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7504C">
        <w:rPr>
          <w:rFonts w:ascii="Times New Roman" w:hAnsi="Times New Roman"/>
        </w:rPr>
        <w:t> 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7504C">
        <w:rPr>
          <w:rFonts w:ascii="Times New Roman" w:hAnsi="Times New Roman"/>
        </w:rPr>
        <w:t>-</w:t>
      </w:r>
    </w:p>
    <w:p w:rsidR="009F3D46" w:rsidRPr="00CA165F" w:rsidP="009F3D4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9F3D46" w:rsidRPr="00D7504C" w:rsidP="009F3D4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7504C">
        <w:rPr>
          <w:rFonts w:ascii="Times New Roman" w:hAnsi="Times New Roman"/>
          <w:b/>
          <w:bCs/>
        </w:rPr>
        <w:t xml:space="preserve">A.5. Stanovisko gestorov </w:t>
      </w:r>
    </w:p>
    <w:p w:rsidR="009F3D46" w:rsidP="009F3D4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7504C">
        <w:rPr>
          <w:rFonts w:ascii="Times New Roman" w:hAnsi="Times New Roman"/>
        </w:rPr>
        <w:t> </w:t>
      </w:r>
    </w:p>
    <w:p w:rsidR="009F3D46" w:rsidP="009F3D4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rámci PPK malo k predloženej doložke vplyvov pripomienky Ministerstvo financií SR, ktoré požadovalo v doložke vplyvov </w:t>
      </w:r>
      <w:r w:rsidRPr="00BC29EC">
        <w:rPr>
          <w:rFonts w:ascii="Times New Roman" w:hAnsi="Times New Roman"/>
        </w:rPr>
        <w:t>na rozpočet verejnej správy</w:t>
      </w:r>
      <w:r>
        <w:rPr>
          <w:rFonts w:ascii="Times New Roman" w:hAnsi="Times New Roman"/>
        </w:rPr>
        <w:t xml:space="preserve"> v tab. 1 a tab. 2 doplniť údaje a aktualizovať rozpočtovú kapitolu a Ministerstvo práce, sociálnych vecí a rodiny SR, ktoré požadovalo vypracovať analýzu sociálnych vplyvov vrátane uvedenia počtu dotknutých obyvateľov (domácností). </w:t>
      </w:r>
    </w:p>
    <w:p w:rsidR="009F3D46" w:rsidRPr="00BC29EC" w:rsidP="009F3D4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Uvedené pripomienky boli do materiálu zapracované a sú súčasťou doložky vplyvov.</w:t>
      </w:r>
    </w:p>
    <w:p w:rsidR="009F3D46" w:rsidRPr="00BC29EC" w:rsidP="009F3D46">
      <w:pPr>
        <w:bidi w:val="0"/>
        <w:jc w:val="center"/>
        <w:rPr>
          <w:rFonts w:ascii="Times New Roman" w:hAnsi="Times New Roman"/>
          <w:b/>
        </w:rPr>
      </w:pPr>
      <w:r w:rsidRPr="00BC29EC">
        <w:rPr>
          <w:rFonts w:ascii="Times New Roman" w:hAnsi="Times New Roman"/>
          <w:b/>
        </w:rPr>
        <w:t> </w:t>
      </w:r>
    </w:p>
    <w:p w:rsidR="009F3D46" w:rsidRPr="00D7504C" w:rsidP="009F3D4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9F3D46" w:rsidP="006F694F">
      <w:pPr>
        <w:pStyle w:val="BodyText2"/>
        <w:bidi w:val="0"/>
        <w:rPr>
          <w:rFonts w:ascii="Times New Roman" w:hAnsi="Times New Roman"/>
          <w:bCs/>
        </w:rPr>
      </w:pPr>
    </w:p>
    <w:p w:rsidR="009F3D46" w:rsidP="006F694F">
      <w:pPr>
        <w:pStyle w:val="BodyText2"/>
        <w:bidi w:val="0"/>
        <w:rPr>
          <w:rFonts w:ascii="Times New Roman" w:hAnsi="Times New Roman"/>
          <w:bCs/>
        </w:rPr>
      </w:pPr>
    </w:p>
    <w:p w:rsidR="009F3D46" w:rsidP="006F694F">
      <w:pPr>
        <w:pStyle w:val="BodyText2"/>
        <w:bidi w:val="0"/>
        <w:rPr>
          <w:rFonts w:ascii="Times New Roman" w:hAnsi="Times New Roman"/>
          <w:bCs/>
        </w:rPr>
      </w:pPr>
    </w:p>
    <w:p w:rsidR="009F3D46" w:rsidP="006F694F">
      <w:pPr>
        <w:pStyle w:val="BodyText2"/>
        <w:bidi w:val="0"/>
        <w:rPr>
          <w:rFonts w:ascii="Times New Roman" w:hAnsi="Times New Roman"/>
          <w:bCs/>
        </w:rPr>
      </w:pPr>
    </w:p>
    <w:p w:rsidR="009F3D46" w:rsidP="006F694F">
      <w:pPr>
        <w:pStyle w:val="BodyText2"/>
        <w:bidi w:val="0"/>
        <w:rPr>
          <w:rFonts w:ascii="Times New Roman" w:hAnsi="Times New Roman"/>
          <w:bCs/>
        </w:rPr>
      </w:pPr>
    </w:p>
    <w:p w:rsidR="009F3D46" w:rsidP="006F694F">
      <w:pPr>
        <w:pStyle w:val="BodyText2"/>
        <w:bidi w:val="0"/>
        <w:rPr>
          <w:rFonts w:ascii="Times New Roman" w:hAnsi="Times New Roman"/>
          <w:bCs/>
        </w:rPr>
      </w:pPr>
    </w:p>
    <w:p w:rsidR="009F3D46" w:rsidP="006F694F">
      <w:pPr>
        <w:pStyle w:val="BodyText2"/>
        <w:bidi w:val="0"/>
        <w:rPr>
          <w:rFonts w:ascii="Times New Roman" w:hAnsi="Times New Roman"/>
          <w:bCs/>
        </w:rPr>
      </w:pPr>
    </w:p>
    <w:p w:rsidR="009F3D46" w:rsidP="006F694F">
      <w:pPr>
        <w:pStyle w:val="BodyText2"/>
        <w:bidi w:val="0"/>
        <w:rPr>
          <w:rFonts w:ascii="Times New Roman" w:hAnsi="Times New Roman"/>
          <w:bCs/>
        </w:rPr>
      </w:pPr>
    </w:p>
    <w:p w:rsidR="009F3D46" w:rsidP="009F3D46">
      <w:pPr>
        <w:bidi w:val="0"/>
        <w:jc w:val="center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9F3D46" w:rsidP="009F3D46">
      <w:pPr>
        <w:bidi w:val="0"/>
        <w:jc w:val="center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2.1. Zhrnutie vplyvov na rozpočet verejnej správy v návrhu</w:t>
      </w:r>
    </w:p>
    <w:p w:rsidR="009F3D46" w:rsidP="009F3D46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62" w:type="dxa"/>
        <w:tblCellMar>
          <w:left w:w="0" w:type="dxa"/>
          <w:right w:w="0" w:type="dxa"/>
        </w:tblCellMar>
      </w:tblPr>
      <w:tblGrid>
        <w:gridCol w:w="4661"/>
        <w:gridCol w:w="1267"/>
        <w:gridCol w:w="1280"/>
        <w:gridCol w:w="1267"/>
        <w:gridCol w:w="1287"/>
      </w:tblGrid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4161A1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94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4161A1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3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32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-1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 000 000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 000 000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 000 000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017 - program podpory rozvoja bývania, kapitola MDV RR SR</w:t>
            </w:r>
          </w:p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 06 Štátna prémia v stavebnom sporení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Cs/>
                <w:sz w:val="22"/>
                <w:szCs w:val="22"/>
              </w:rPr>
              <w:t>-1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Pr="00A7343E">
              <w:rPr>
                <w:rFonts w:ascii="Times New Roman" w:hAnsi="Times New Roman"/>
                <w:bCs/>
                <w:sz w:val="22"/>
                <w:szCs w:val="22"/>
              </w:rPr>
              <w:t> 000 000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  <w:r w:rsidRPr="00A7343E">
              <w:rPr>
                <w:rFonts w:ascii="Times New Roman" w:hAnsi="Times New Roman"/>
                <w:bCs/>
                <w:sz w:val="22"/>
                <w:szCs w:val="22"/>
              </w:rPr>
              <w:t> 000 000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Pr="00A7343E">
              <w:rPr>
                <w:rFonts w:ascii="Times New Roman" w:hAnsi="Times New Roman"/>
                <w:bCs/>
                <w:sz w:val="22"/>
                <w:szCs w:val="22"/>
              </w:rPr>
              <w:t> 000 000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-1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 000 000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 000 000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 000 000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25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125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343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blPrEx>
          <w:tblW w:w="9762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2.2. Financovanie návrhu</w:t>
      </w:r>
    </w:p>
    <w:p w:rsidR="009F3D46" w:rsidP="009F3D46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4080"/>
        <w:gridCol w:w="1212"/>
        <w:gridCol w:w="1212"/>
        <w:gridCol w:w="1639"/>
        <w:gridCol w:w="1217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4161A1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pStyle w:val="ListParagraph"/>
              <w:bidi w:val="0"/>
              <w:spacing w:after="0" w:line="70" w:lineRule="atLeast"/>
              <w:ind w:left="-2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pStyle w:val="ListParagraph"/>
              <w:bidi w:val="0"/>
              <w:spacing w:after="0" w:line="70" w:lineRule="atLeast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A7343E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51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51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3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135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pStyle w:val="ListParagraph"/>
              <w:bidi w:val="0"/>
              <w:spacing w:after="0" w:line="70" w:lineRule="atLeast"/>
              <w:ind w:left="-2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9F3D46" w:rsidP="009F3D46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9F3D46" w:rsidP="009F3D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9F3D46" w:rsidP="009F3D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9F3D46" w:rsidP="009F3D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9F3D46" w:rsidP="009F3D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9F3D46" w:rsidP="009F3D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9F3D46" w:rsidP="009F3D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</w:p>
    <w:p w:rsidR="009F3D46" w:rsidP="009F3D46">
      <w:pPr>
        <w:bidi w:val="0"/>
        <w:rPr>
          <w:rFonts w:ascii="Times New Roman" w:hAnsi="Times New Roman"/>
          <w:b/>
          <w:bCs/>
        </w:rPr>
      </w:pPr>
    </w:p>
    <w:p w:rsidR="009F3D46" w:rsidP="009F3D46">
      <w:pPr>
        <w:bidi w:val="0"/>
        <w:rPr>
          <w:rFonts w:ascii="Times New Roman" w:hAnsi="Times New Roman"/>
          <w:b/>
          <w:bCs/>
        </w:rPr>
      </w:pPr>
    </w:p>
    <w:p w:rsidR="009F3D46" w:rsidP="009F3D46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 Popis a charakteristika návrhu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jc w:val="both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2.3.1. Popis návrhu:</w:t>
      </w:r>
    </w:p>
    <w:p w:rsidR="009F3D46" w:rsidP="009F3D46">
      <w:pPr>
        <w:bidi w:val="0"/>
        <w:jc w:val="both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 </w:t>
      </w:r>
    </w:p>
    <w:p w:rsidR="009F3D46" w:rsidRPr="005436C9" w:rsidP="009F3D46">
      <w:pPr>
        <w:bidi w:val="0"/>
        <w:rPr>
          <w:rFonts w:ascii="Times New Roman" w:hAnsi="Times New Roman"/>
          <w:sz w:val="22"/>
          <w:szCs w:val="22"/>
        </w:rPr>
      </w:pPr>
      <w:r w:rsidRPr="005436C9">
        <w:rPr>
          <w:rFonts w:ascii="Times New Roman" w:hAnsi="Times New Roman"/>
          <w:sz w:val="22"/>
          <w:szCs w:val="22"/>
        </w:rPr>
        <w:t xml:space="preserve">Návrh zákona, ktorým sa mení a dopĺňa zákon Slovenskej národnej rady č. 310/1992 Zb. o stavebnom sporení v znení neskorších predpisov sa predkladá na základe bodu B.2. uznesenia vlády SR č. 170 z 9. marca 2011 k návrhom na zmeny v systéme financovania podpory bývania v SR, ktorým vláda uložila podpredsedovi vlády a ministrovi financií predložiť na rokovanie vlády návrhy legislatívnych úprav, týkajúcich sa financovania podpory bývania. </w:t>
      </w:r>
    </w:p>
    <w:p w:rsidR="009F3D46" w:rsidRPr="005436C9" w:rsidP="009F3D46">
      <w:pPr>
        <w:bidi w:val="0"/>
        <w:rPr>
          <w:rFonts w:ascii="Times New Roman" w:hAnsi="Times New Roman"/>
          <w:sz w:val="22"/>
          <w:szCs w:val="22"/>
        </w:rPr>
      </w:pPr>
      <w:r w:rsidRPr="005436C9">
        <w:rPr>
          <w:rFonts w:ascii="Times New Roman" w:hAnsi="Times New Roman"/>
          <w:sz w:val="22"/>
          <w:szCs w:val="22"/>
        </w:rPr>
        <w:tab/>
        <w:t>V zmysle bodu B.1. citovaného uznesenia vlády boli podpredsedom vlády a ministrom financií zriadené dve samostatné pracovné skupiny, jedna na prípravu návrhov zmien v oblasti stavebného sporenia a druhá na prípravu zmien v oblasti hypotekárneho bankovníctva.</w:t>
      </w:r>
    </w:p>
    <w:p w:rsidR="009F3D46" w:rsidRPr="005436C9" w:rsidP="009F3D46">
      <w:pPr>
        <w:bidi w:val="0"/>
        <w:rPr>
          <w:rFonts w:ascii="Times New Roman" w:hAnsi="Times New Roman"/>
          <w:sz w:val="22"/>
          <w:szCs w:val="22"/>
        </w:rPr>
      </w:pPr>
      <w:r w:rsidRPr="005436C9">
        <w:rPr>
          <w:rFonts w:ascii="Times New Roman" w:hAnsi="Times New Roman"/>
          <w:sz w:val="22"/>
          <w:szCs w:val="22"/>
        </w:rPr>
        <w:tab/>
        <w:t xml:space="preserve">Pri tvorbe návrhov opatrení pracovná skupina vychádzala z identifikovaných problémov v oblasti stavebného sporenia, ktoré boli popísané v rámci spomínaného vládou schváleného materiálu „Návrhy na zmeny v systéme financovania podpory bývania v SR“.   </w:t>
      </w:r>
    </w:p>
    <w:p w:rsidR="009F3D46" w:rsidRPr="005436C9" w:rsidP="009F3D46">
      <w:pPr>
        <w:bidi w:val="0"/>
        <w:rPr>
          <w:rFonts w:ascii="Times New Roman" w:hAnsi="Times New Roman"/>
        </w:rPr>
      </w:pPr>
      <w:r w:rsidRPr="005436C9">
        <w:rPr>
          <w:rFonts w:ascii="Times New Roman" w:hAnsi="Times New Roman"/>
          <w:sz w:val="22"/>
          <w:szCs w:val="22"/>
        </w:rPr>
        <w:tab/>
        <w:t xml:space="preserve">Výsledkom predkladaného návrhu zákona sú legislatíve úpravy zákona o stavebnom sporení, ktorých cieľom je zefektívnenie štátnej podpory stavebného sporenia v dvoch rovinách, a to aby jednak došlo k postupnému znižovaniu výdavkov štátneho rozpočtu na štátnu prémiu a zároveň aby efekty a prínosy štátnej podpory viac pociťovali samotní stavební sporitelia.         </w:t>
      </w:r>
      <w:r w:rsidRPr="005436C9">
        <w:rPr>
          <w:rFonts w:ascii="Times New Roman" w:hAnsi="Times New Roman"/>
        </w:rPr>
        <w:t> 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2.3.2. Charakteristika návrhu podľa bodu  2.3.2. Metodiky :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bdr w:val="single" w:sz="4" w:space="0" w:color="000000" w:frame="1"/>
        </w:rPr>
        <w:t> </w:t>
      </w:r>
      <w:r>
        <w:rPr>
          <w:rFonts w:ascii="Times New Roman" w:hAnsi="Times New Roman"/>
          <w:b/>
          <w:bCs/>
          <w:bdr w:val="single" w:sz="4" w:space="0" w:color="000000" w:frame="1"/>
        </w:rPr>
        <w:t xml:space="preserve">   </w:t>
      </w:r>
      <w:r w:rsidRPr="004161A1">
        <w:rPr>
          <w:rFonts w:ascii="Times New Roman" w:hAnsi="Times New Roman"/>
          <w:b/>
          <w:bCs/>
          <w:bdr w:val="single" w:sz="4" w:space="0" w:color="000000" w:frame="1"/>
        </w:rPr>
        <w:t> </w:t>
      </w:r>
      <w:r w:rsidRPr="004161A1">
        <w:rPr>
          <w:rFonts w:ascii="Times New Roman" w:hAnsi="Times New Roman"/>
          <w:b/>
          <w:bCs/>
        </w:rPr>
        <w:t xml:space="preserve">  </w:t>
      </w:r>
      <w:r>
        <w:rPr>
          <w:rFonts w:ascii="Times New Roman" w:hAnsi="Times New Roman"/>
        </w:rPr>
        <w:t>zmena sadzby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>  X</w:t>
      </w:r>
      <w:r>
        <w:rPr>
          <w:rFonts w:ascii="Times New Roman" w:hAnsi="Times New Roman"/>
        </w:rPr>
        <w:t>  zmena v nároku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nová služba alebo nariadenie (alebo ich zrušenie)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>  kombinovaný návrh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 xml:space="preserve">  iné 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2.3.3. Predpoklady vývoja objemu aktivít: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Počet uzatvorených zmlúv o medziúvere s uplatnením nároku na štátnu prémiu sa v súčasnosti pohybuje na úrovni 120 tisíc.</w:t>
      </w:r>
    </w:p>
    <w:p w:rsidR="009F3D46" w:rsidP="009F3D46">
      <w:pPr>
        <w:pStyle w:val="BodyTextIndent3"/>
        <w:bidi w:val="0"/>
        <w:ind w:left="0"/>
        <w:rPr>
          <w:rFonts w:ascii="Times New Roman" w:hAnsi="Times New Roman"/>
        </w:rPr>
      </w:pPr>
    </w:p>
    <w:p w:rsidR="009F3D46" w:rsidRPr="00710DE6" w:rsidP="009F3D46">
      <w:pPr>
        <w:pStyle w:val="BodyTextIndent3"/>
        <w:bidi w:val="0"/>
        <w:ind w:left="0"/>
        <w:rPr>
          <w:rFonts w:ascii="Times New Roman" w:hAnsi="Times New Roman"/>
        </w:rPr>
      </w:pPr>
      <w:r w:rsidRPr="00710DE6">
        <w:rPr>
          <w:rFonts w:ascii="Times New Roman" w:hAnsi="Times New Roman"/>
        </w:rPr>
        <w:t>Predpokladaný počet novouzatvorených zmlúv</w:t>
      </w:r>
      <w:r>
        <w:rPr>
          <w:rFonts w:ascii="Times New Roman" w:hAnsi="Times New Roman"/>
        </w:rPr>
        <w:t xml:space="preserve"> o stavebnom sporení s nárokom na štátnu prémiu je ročne 150 tisíc. Z dôvodu navrhovaných zmien v súvislosti s </w:t>
      </w:r>
      <w:r w:rsidRPr="00ED64D7">
        <w:rPr>
          <w:rFonts w:ascii="Times New Roman" w:hAnsi="Times New Roman"/>
        </w:rPr>
        <w:t xml:space="preserve">osobitnou úpravou určovania štátnej prémie za kalendárny rok, v ktorom bude uzatvorená prémiovo zvýhodnená zmluva o stavebnom sporení </w:t>
      </w:r>
      <w:r>
        <w:rPr>
          <w:rFonts w:ascii="Times New Roman" w:hAnsi="Times New Roman"/>
        </w:rPr>
        <w:t xml:space="preserve">predpokladáme, že v roku 2012 </w:t>
      </w:r>
      <w:r w:rsidRPr="00ED64D7">
        <w:rPr>
          <w:rFonts w:ascii="Times New Roman" w:hAnsi="Times New Roman"/>
        </w:rPr>
        <w:t xml:space="preserve">nesplní podmienku na získanie štátnej prémie v prvom roku </w:t>
      </w:r>
      <w:r>
        <w:rPr>
          <w:rFonts w:ascii="Times New Roman" w:hAnsi="Times New Roman"/>
        </w:rPr>
        <w:t>sporenia</w:t>
      </w:r>
      <w:r w:rsidRPr="00ED64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približne 50 % z uvedeného počtu sporiteľov, pričom tento podiel sa bude postupne pre nasledujúce roky znižovať o 10 % ročne. </w:t>
      </w:r>
    </w:p>
    <w:p w:rsidR="009F3D46" w:rsidP="009F3D46">
      <w:pPr>
        <w:pStyle w:val="BodyTextIndent3"/>
        <w:bidi w:val="0"/>
        <w:ind w:left="0"/>
        <w:rPr>
          <w:rFonts w:ascii="Times New Roman" w:hAnsi="Times New Roman"/>
        </w:rPr>
      </w:pPr>
    </w:p>
    <w:p w:rsidR="009F3D46" w:rsidP="009F3D46">
      <w:pPr>
        <w:pStyle w:val="BodyTextIndent3"/>
        <w:bidi w:val="0"/>
        <w:ind w:left="0"/>
        <w:rPr>
          <w:rFonts w:ascii="Times New Roman" w:hAnsi="Times New Roman"/>
        </w:rPr>
      </w:pPr>
    </w:p>
    <w:p w:rsidR="009F3D46" w:rsidP="009F3D46">
      <w:pPr>
        <w:pStyle w:val="BodyTextIndent3"/>
        <w:bidi w:val="0"/>
        <w:ind w:left="0"/>
        <w:rPr>
          <w:rFonts w:ascii="Times New Roman" w:hAnsi="Times New Roman"/>
        </w:rPr>
      </w:pPr>
    </w:p>
    <w:p w:rsidR="009F3D46" w:rsidP="009F3D46">
      <w:pPr>
        <w:pStyle w:val="BodyTextIndent3"/>
        <w:bidi w:val="0"/>
        <w:rPr>
          <w:rFonts w:ascii="Arial Narrow" w:hAnsi="Arial Narrow"/>
          <w:sz w:val="22"/>
        </w:rPr>
      </w:pPr>
    </w:p>
    <w:p w:rsidR="009F3D46" w:rsidP="009F3D46">
      <w:pPr>
        <w:pStyle w:val="BodyTextIndent3"/>
        <w:bidi w:val="0"/>
        <w:rPr>
          <w:rFonts w:ascii="Arial Narrow" w:hAnsi="Arial Narrow"/>
          <w:sz w:val="22"/>
        </w:rPr>
      </w:pPr>
    </w:p>
    <w:p w:rsidR="009F3D46" w:rsidP="009F3D46">
      <w:pPr>
        <w:pStyle w:val="BodyTextIndent3"/>
        <w:bidi w:val="0"/>
        <w:rPr>
          <w:rFonts w:ascii="Arial Narrow" w:hAnsi="Arial Narrow"/>
          <w:sz w:val="22"/>
        </w:rPr>
      </w:pPr>
    </w:p>
    <w:p w:rsidR="009F3D46" w:rsidP="009F3D46">
      <w:pPr>
        <w:pStyle w:val="BodyTextIndent3"/>
        <w:bidi w:val="0"/>
        <w:rPr>
          <w:rFonts w:ascii="Arial Narrow" w:hAnsi="Arial Narrow"/>
          <w:sz w:val="22"/>
        </w:rPr>
      </w:pPr>
    </w:p>
    <w:p w:rsidR="009F3D46" w:rsidP="009F3D46">
      <w:pPr>
        <w:bidi w:val="0"/>
        <w:jc w:val="right"/>
        <w:rPr>
          <w:rFonts w:ascii="Times New Roman" w:hAnsi="Times New Roman"/>
        </w:rPr>
      </w:pPr>
      <w:r w:rsidRPr="004161A1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248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 w:rsidRPr="004161A1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F3D46" w:rsidRPr="004161A1" w:rsidP="001157D1">
            <w:pPr>
              <w:bidi w:val="0"/>
              <w:spacing w:after="0" w:line="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Počet zmlúv o medziúvere, pri ktorých stavební sporitelia stratia nárok na štátnu prémiu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-120 000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- 120 000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-120 000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F3D46" w:rsidRPr="004161A1" w:rsidP="001157D1">
            <w:pPr>
              <w:bidi w:val="0"/>
              <w:spacing w:after="0" w:line="7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-120 000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F3D46" w:rsidP="001157D1">
            <w:pPr>
              <w:bidi w:val="0"/>
              <w:spacing w:after="0" w:line="7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Počet novouzatvorených prémiovo zvýhodnených zmlúv o stavebnom sporení, z ktorých stavební sporitelia </w:t>
            </w:r>
            <w:r w:rsidRPr="00ED64D7">
              <w:rPr>
                <w:rFonts w:ascii="Times New Roman" w:hAnsi="Times New Roman"/>
              </w:rPr>
              <w:t>nespln</w:t>
            </w:r>
            <w:r>
              <w:rPr>
                <w:rFonts w:ascii="Times New Roman" w:hAnsi="Times New Roman"/>
              </w:rPr>
              <w:t>ia</w:t>
            </w:r>
            <w:r w:rsidRPr="00ED64D7">
              <w:rPr>
                <w:rFonts w:ascii="Times New Roman" w:hAnsi="Times New Roman"/>
              </w:rPr>
              <w:t xml:space="preserve"> podmienku na získanie štátnej prémie v prvom roku </w:t>
            </w:r>
            <w:r>
              <w:rPr>
                <w:rFonts w:ascii="Times New Roman" w:hAnsi="Times New Roman"/>
              </w:rPr>
              <w:t>sporenia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F3D46" w:rsidP="001157D1">
            <w:pPr>
              <w:bidi w:val="0"/>
              <w:spacing w:after="0" w:line="7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-75 000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F3D46" w:rsidP="001157D1">
            <w:pPr>
              <w:bidi w:val="0"/>
              <w:spacing w:after="0" w:line="7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-60 000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F3D46" w:rsidP="001157D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F3D46" w:rsidP="001157D1">
            <w:pPr>
              <w:bidi w:val="0"/>
              <w:spacing w:after="0" w:line="7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-30 000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F3D46" w:rsidRPr="004161A1" w:rsidP="001157D1">
            <w:pPr>
              <w:bidi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</w:tr>
    </w:tbl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2.3.4. Výpočty vplyvov na verejné financie</w:t>
      </w:r>
    </w:p>
    <w:p w:rsidR="009F3D46" w:rsidP="009F3D4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jc w:val="both"/>
        <w:rPr>
          <w:rFonts w:ascii="Times New Roman" w:hAnsi="Times New Roman"/>
        </w:rPr>
      </w:pPr>
    </w:p>
    <w:p w:rsidR="009F3D46" w:rsidRPr="000B24CF" w:rsidP="009F3D4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Keďže priemerná ročná suma štátnej prémie je pre stavebných sporiteľov splácajúcich medziúver približne 50 eur, vynásobením počtom zmlúv (120 tisíc) poklesne nárok na štátnu prémiu </w:t>
      </w:r>
      <w:r w:rsidRPr="000B24CF">
        <w:rPr>
          <w:rFonts w:ascii="Times New Roman" w:hAnsi="Times New Roman"/>
        </w:rPr>
        <w:t>na rok 201</w:t>
      </w:r>
      <w:r>
        <w:rPr>
          <w:rFonts w:ascii="Times New Roman" w:hAnsi="Times New Roman"/>
        </w:rPr>
        <w:t>2</w:t>
      </w:r>
      <w:r w:rsidRPr="000B24CF">
        <w:rPr>
          <w:rFonts w:ascii="Times New Roman" w:hAnsi="Times New Roman"/>
        </w:rPr>
        <w:t xml:space="preserve"> o približne </w:t>
      </w:r>
      <w:r>
        <w:rPr>
          <w:rFonts w:ascii="Times New Roman" w:hAnsi="Times New Roman"/>
        </w:rPr>
        <w:t>6 mil</w:t>
      </w:r>
      <w:r w:rsidRPr="000B24CF">
        <w:rPr>
          <w:rFonts w:ascii="Times New Roman" w:hAnsi="Times New Roman"/>
        </w:rPr>
        <w:t>. eur, ktorá bude vyplácaná v rozpočtovom roku 201</w:t>
      </w:r>
      <w:r>
        <w:rPr>
          <w:rFonts w:ascii="Times New Roman" w:hAnsi="Times New Roman"/>
        </w:rPr>
        <w:t>3</w:t>
      </w:r>
      <w:r w:rsidRPr="000B24CF">
        <w:rPr>
          <w:rFonts w:ascii="Times New Roman" w:hAnsi="Times New Roman"/>
        </w:rPr>
        <w:t>.</w:t>
      </w:r>
    </w:p>
    <w:p w:rsidR="009F3D46" w:rsidP="009F3D4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9F3D46" w:rsidP="009F3D4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Osobitná úprava určovania štátnej prémie za kalendárny rok, v ktorom bola uzatvorená prémiovo zvýhodnená zmluva o stavebnom sporení (ročne okolo 150 tisíc zmlúv) bude mať pozitívny vplyv na štátny rozpočet vo finančnom vyjadrení a môže predstavovať zníženie počtu zmlúv o 50 % (40%, 30%), </w:t>
      </w:r>
      <w:r>
        <w:rPr>
          <w:rFonts w:ascii="Times New Roman" w:hAnsi="Times New Roman"/>
          <w:color w:val="000000"/>
        </w:rPr>
        <w:t xml:space="preserve">z ktorých stavební sporitelia </w:t>
      </w:r>
      <w:r w:rsidRPr="00ED64D7">
        <w:rPr>
          <w:rFonts w:ascii="Times New Roman" w:hAnsi="Times New Roman"/>
        </w:rPr>
        <w:t>nespln</w:t>
      </w:r>
      <w:r>
        <w:rPr>
          <w:rFonts w:ascii="Times New Roman" w:hAnsi="Times New Roman"/>
        </w:rPr>
        <w:t>ia</w:t>
      </w:r>
      <w:r w:rsidRPr="00ED64D7">
        <w:rPr>
          <w:rFonts w:ascii="Times New Roman" w:hAnsi="Times New Roman"/>
        </w:rPr>
        <w:t xml:space="preserve"> podmienku na získanie </w:t>
      </w:r>
      <w:r>
        <w:rPr>
          <w:rFonts w:ascii="Times New Roman" w:hAnsi="Times New Roman"/>
        </w:rPr>
        <w:t xml:space="preserve">plnej výšky </w:t>
      </w:r>
      <w:r w:rsidRPr="00ED64D7">
        <w:rPr>
          <w:rFonts w:ascii="Times New Roman" w:hAnsi="Times New Roman"/>
        </w:rPr>
        <w:t xml:space="preserve">štátnej prémie v prvom roku </w:t>
      </w:r>
      <w:r>
        <w:rPr>
          <w:rFonts w:ascii="Times New Roman" w:hAnsi="Times New Roman"/>
        </w:rPr>
        <w:t>sporenia,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čím dôjde k zníženiu výdavkov štátneho rozpočtu v roku 2013 (2014, 2015) oproti súčasnému stavu na štátnu prémiu až o takmer 4 (3, 2) mil. eur. </w:t>
      </w:r>
    </w:p>
    <w:p w:rsidR="009F3D46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9F3D46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9F3D46" w:rsidP="009F3D46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9F3D46" w:rsidP="009F3D46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9F3D46" w:rsidP="009F3D46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3.1</w:t>
            </w:r>
            <w:r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F3D46" w:rsidRPr="009D3275" w:rsidP="001157D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Tri stavebné sporiteľne.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</w:t>
            </w:r>
            <w:r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F3D46" w:rsidRPr="00974869" w:rsidP="001157D1">
            <w:pPr>
              <w:bidi w:val="0"/>
              <w:spacing w:after="0" w:line="24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Jedná sa o zníženie príjmov z poplatkov stavebných sporiteľní.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</w:t>
            </w:r>
            <w:r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9F3D46" w:rsidP="001157D1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F3D46" w:rsidRPr="00974869" w:rsidP="001157D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súvislosti s implementáciou návrhu sa znížia príjmy z poplatkov </w:t>
            </w:r>
            <w:r>
              <w:rPr>
                <w:rFonts w:ascii="Times New Roman" w:hAnsi="Times New Roman"/>
                <w:lang w:val="pt-BR"/>
              </w:rPr>
              <w:t>o približne 10 mil. eur ročne.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9F3D46" w:rsidP="001157D1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F3D46" w:rsidRPr="00974869" w:rsidP="001157D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Zvýšenie nákladov na vykonávanie stavebného sporenia.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3.5</w:t>
            </w:r>
            <w:r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F3D46" w:rsidRPr="00974869" w:rsidP="001157D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Zefektívni sa poskytovanie podpory na stavebné sporenie. </w:t>
            </w:r>
          </w:p>
        </w:tc>
      </w:tr>
    </w:tbl>
    <w:p w:rsidR="009F3D46" w:rsidP="009F3D46">
      <w:pPr>
        <w:pStyle w:val="NormalWeb"/>
        <w:tabs>
          <w:tab w:val="num" w:pos="1080"/>
        </w:tabs>
        <w:bidi w:val="0"/>
        <w:jc w:val="both"/>
        <w:rPr>
          <w:rFonts w:ascii="Times New Roman" w:hAnsi="Times New Roman"/>
          <w:bCs/>
          <w:szCs w:val="20"/>
        </w:rPr>
      </w:pPr>
    </w:p>
    <w:p w:rsidR="009F3D46" w:rsidP="009F3D46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9F3D46" w:rsidP="009F3D46">
      <w:pPr>
        <w:bidi w:val="0"/>
        <w:rPr>
          <w:rFonts w:ascii="Times New Roman" w:hAnsi="Times New Roman"/>
          <w:b/>
          <w:bCs/>
        </w:rPr>
      </w:pPr>
    </w:p>
    <w:p w:rsidR="009F3D46" w:rsidP="009F3D46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9F3D46" w:rsidP="001157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Negatívnym vplyvom pre stavebných sporiteľov – fyzické osoby je, že: </w:t>
            </w:r>
          </w:p>
          <w:p w:rsidR="009F3D46" w:rsidP="009F3D46">
            <w:pPr>
              <w:numPr>
                <w:numId w:val="15"/>
              </w:numPr>
              <w:bidi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obdobie, počas ktorého splácajú medziúver, stratia nárok na štátnu prémiu počnúc rokom 2012, za ktorý bude štátna prémia podľa zákona vyplatená v rozpočtovom  roku 2013,</w:t>
            </w:r>
          </w:p>
          <w:p w:rsidR="009F3D46" w:rsidP="009F3D46">
            <w:pPr>
              <w:numPr>
                <w:numId w:val="15"/>
              </w:numPr>
              <w:bidi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osobitnou úpravou určovania štátnej prémie za kalendárny rok, v ktorom bude uzatvorená prémiovo zvýhodnená zmluva o stavebnom sporení sa môže spôsobiť, že časť stavebných sporiteľov nesplní podmienky nároku na plnú výšku štátnej prémie, a to tiež počnúc rozpočtovým rokom 2013. </w:t>
            </w:r>
          </w:p>
          <w:p w:rsidR="009F3D46" w:rsidP="001157D1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Pozitívnym vplyvom pre stavebných sporiteľov – fyzické osoby je:</w:t>
            </w:r>
          </w:p>
          <w:p w:rsidR="009F3D46" w:rsidP="009F3D46">
            <w:pPr>
              <w:numPr>
                <w:numId w:val="16"/>
              </w:numPr>
              <w:bidi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podmienenie uplatnenia nároku na štátnu prémiu dodržiavaním výšky alebo sadzby určitých poplatkov vyberaných stavebnými sporiteľňami, ktoré zabezpečí pre týchto stavebných sporiteľov úsporu výdavkov na poplatkoch, spojených so systémom stavebného sporenia.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62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Kvantifikujte: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Neutrálny vplyv v roku 2013 a celkový pozitívny vplyv v sume 1, 2 mil. eur v roku 2014, 2015 sa skladá: </w:t>
            </w:r>
          </w:p>
          <w:p w:rsidR="009F3D46" w:rsidP="009F3D46">
            <w:pPr>
              <w:numPr>
                <w:numId w:val="17"/>
              </w:numPr>
              <w:bidi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zo súčtu negatívnych vplyvov 10 (9, 8) mil. eur spôsobených: </w:t>
            </w:r>
          </w:p>
          <w:p w:rsidR="009F3D46" w:rsidP="009F3D46">
            <w:pPr>
              <w:numPr>
                <w:ilvl w:val="1"/>
                <w:numId w:val="17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stratou nároku na štátnu prémiu pri poskytnutí medziúveru v sume 6 m</w:t>
            </w:r>
            <w:r w:rsidR="00BA15DF">
              <w:rPr>
                <w:rFonts w:ascii="Times New Roman" w:hAnsi="Times New Roman"/>
              </w:rPr>
              <w:t>il.</w:t>
            </w:r>
            <w:r>
              <w:rPr>
                <w:rFonts w:ascii="Times New Roman" w:hAnsi="Times New Roman"/>
              </w:rPr>
              <w:t xml:space="preserve"> eur (týka sa cca 15% stavebných sporiteľov z celkového počtu 830 tis.), </w:t>
            </w:r>
          </w:p>
          <w:p w:rsidR="009F3D46" w:rsidP="009F3D46">
            <w:pPr>
              <w:numPr>
                <w:ilvl w:val="1"/>
                <w:numId w:val="17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osobitnou úpravou určovania výpočtu nároku na štátnu prémiu za kalendárny rok, v ktorom bude uzatvorená prémiovo zvýhodnená zmluva o stavebnom sporení, v celkovej sume 4 (3, 2) mil. eur,</w:t>
            </w:r>
          </w:p>
          <w:p w:rsidR="009F3D46" w:rsidP="009F3D46">
            <w:pPr>
              <w:numPr>
                <w:numId w:val="17"/>
              </w:numPr>
              <w:bidi w:val="0"/>
              <w:spacing w:after="0" w:line="240" w:lineRule="auto"/>
              <w:ind w:left="-11" w:firstLine="37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 z pozitívneho vplyvu vyvolaného návrhom na  podmienenie uplatnenia nároku na štátnu prémiu dodržiavaním výšky alebo sadzby určitých poplatkov vyberaných stavebnými sporiteľňami, ktorým sa znížia poplatky v celkovom objeme o 10 mil. eur.     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65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4412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9F3D46" w:rsidP="001157D1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ind w:firstLine="360" w:firstLineChars="300"/>
              <w:jc w:val="both"/>
              <w:rPr>
                <w:rFonts w:ascii="Times New Roman" w:hAns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4.2.</w:t>
            </w:r>
            <w:r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Predpokladá sa zníženie objemu prostriedkov zo stavebného sporenia vynakladaných na účely získania alebo obnovy bývania.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</w:rPr>
              <w:t>Zhodnoťte vplyv na rovnosť príležitostí:</w:t>
            </w: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Predkladaný návrh má neutrálny vplyv na rovnosť príležitostí a rodovú rovnosť.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 vplyvy na zamestnanosť ?</w:t>
            </w: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Predkladaný návrh má neutrálny vplyv na zamestnanosť.</w:t>
            </w: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3D46" w:rsidP="00115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F3D46" w:rsidP="009F3D4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2016D8" w:rsidP="009F3D4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2016D8" w:rsidP="009F3D4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2016D8" w:rsidP="009F3D4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2016D8" w:rsidP="009F3D4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2016D8" w:rsidP="009F3D4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2016D8" w:rsidP="009F3D4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2016D8" w:rsidP="009F3D4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2016D8" w:rsidP="009F3D46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9F3D46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2016D8" w:rsidRPr="000F77BE" w:rsidP="002016D8">
      <w:pPr>
        <w:pStyle w:val="Zkladntext"/>
        <w:bidi w:val="0"/>
        <w:ind w:left="283" w:hanging="283"/>
        <w:jc w:val="center"/>
        <w:rPr>
          <w:rFonts w:ascii="Times New Roman" w:hAnsi="Times New Roman"/>
          <w:szCs w:val="24"/>
        </w:rPr>
      </w:pPr>
      <w:r w:rsidRPr="000F77BE">
        <w:rPr>
          <w:rFonts w:ascii="Times New Roman" w:hAnsi="Times New Roman"/>
          <w:b/>
          <w:szCs w:val="24"/>
        </w:rPr>
        <w:t>DOLOŽKA ZLUČITEĽNOSTI</w:t>
      </w:r>
    </w:p>
    <w:p w:rsidR="002016D8" w:rsidRPr="000F77BE" w:rsidP="002016D8">
      <w:pPr>
        <w:pStyle w:val="Zkladntext"/>
        <w:pBdr>
          <w:bottom w:val="single" w:sz="12" w:space="1" w:color="auto"/>
        </w:pBdr>
        <w:bidi w:val="0"/>
        <w:ind w:firstLine="709"/>
        <w:jc w:val="center"/>
        <w:rPr>
          <w:rFonts w:ascii="Times New Roman" w:hAnsi="Times New Roman"/>
          <w:szCs w:val="24"/>
        </w:rPr>
      </w:pPr>
    </w:p>
    <w:p w:rsidR="002016D8" w:rsidRPr="000F77BE" w:rsidP="002016D8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szCs w:val="24"/>
        </w:rPr>
      </w:pPr>
      <w:r w:rsidRPr="000F77BE">
        <w:rPr>
          <w:rFonts w:ascii="Times New Roman" w:hAnsi="Times New Roman"/>
          <w:szCs w:val="24"/>
        </w:rPr>
        <w:t xml:space="preserve">návrhu </w:t>
      </w:r>
      <w:r w:rsidRPr="00996FAB">
        <w:rPr>
          <w:rFonts w:ascii="Times New Roman" w:hAnsi="Times New Roman"/>
          <w:szCs w:val="24"/>
        </w:rPr>
        <w:t xml:space="preserve">zákona, ktorým sa mení a dopĺňa zákon </w:t>
      </w:r>
      <w:r>
        <w:rPr>
          <w:rFonts w:ascii="Times New Roman" w:hAnsi="Times New Roman"/>
          <w:szCs w:val="24"/>
        </w:rPr>
        <w:t>Slovenskej národnej rady</w:t>
      </w:r>
      <w:r w:rsidRPr="00996FAB">
        <w:rPr>
          <w:rFonts w:ascii="Times New Roman" w:hAnsi="Times New Roman"/>
          <w:szCs w:val="24"/>
        </w:rPr>
        <w:t xml:space="preserve"> č. 310/1992 Zb.  o stavebnom sporení v znení neskorších predpisov</w:t>
      </w:r>
      <w:r w:rsidRPr="00996FAB">
        <w:rPr>
          <w:rFonts w:ascii="Times New Roman" w:hAnsi="Times New Roman"/>
          <w:bCs/>
        </w:rPr>
        <w:t xml:space="preserve"> </w:t>
      </w:r>
      <w:r w:rsidRPr="000F77BE">
        <w:rPr>
          <w:rFonts w:ascii="Times New Roman" w:hAnsi="Times New Roman"/>
          <w:szCs w:val="24"/>
        </w:rPr>
        <w:t>s právom Európskej únie</w:t>
      </w:r>
    </w:p>
    <w:p w:rsidR="002016D8" w:rsidRPr="000F77BE" w:rsidP="002016D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2016D8" w:rsidRPr="000F77BE" w:rsidP="002016D8">
      <w:pPr>
        <w:pStyle w:val="Zkladntext"/>
        <w:bidi w:val="0"/>
        <w:jc w:val="both"/>
        <w:rPr>
          <w:rFonts w:ascii="Times New Roman" w:hAnsi="Times New Roman"/>
          <w:b/>
          <w:szCs w:val="24"/>
        </w:rPr>
      </w:pPr>
    </w:p>
    <w:p w:rsidR="002016D8" w:rsidRPr="000F77BE" w:rsidP="002016D8">
      <w:pPr>
        <w:pStyle w:val="Zkladntext"/>
        <w:bidi w:val="0"/>
        <w:jc w:val="both"/>
        <w:rPr>
          <w:rFonts w:ascii="Times New Roman" w:hAnsi="Times New Roman"/>
          <w:b/>
          <w:szCs w:val="24"/>
        </w:rPr>
      </w:pPr>
    </w:p>
    <w:p w:rsidR="002016D8" w:rsidRPr="000F77BE" w:rsidP="002016D8">
      <w:pPr>
        <w:pStyle w:val="Zkladntext"/>
        <w:bidi w:val="0"/>
        <w:jc w:val="both"/>
        <w:rPr>
          <w:rFonts w:ascii="Times New Roman" w:hAnsi="Times New Roman"/>
          <w:b/>
          <w:szCs w:val="24"/>
        </w:rPr>
      </w:pPr>
      <w:r w:rsidRPr="000F77BE">
        <w:rPr>
          <w:rFonts w:ascii="Times New Roman" w:hAnsi="Times New Roman"/>
          <w:b/>
          <w:szCs w:val="24"/>
        </w:rPr>
        <w:t xml:space="preserve">1. Predkladateľ </w:t>
      </w:r>
      <w:r>
        <w:rPr>
          <w:rFonts w:ascii="Times New Roman" w:hAnsi="Times New Roman"/>
          <w:b/>
          <w:szCs w:val="24"/>
        </w:rPr>
        <w:t>právneho predpisu</w:t>
      </w:r>
      <w:r w:rsidRPr="000F77BE">
        <w:rPr>
          <w:rFonts w:ascii="Times New Roman" w:hAnsi="Times New Roman"/>
          <w:b/>
          <w:szCs w:val="24"/>
        </w:rPr>
        <w:t>:</w:t>
      </w:r>
    </w:p>
    <w:p w:rsidR="002016D8" w:rsidRPr="000F77BE" w:rsidP="002016D8">
      <w:pPr>
        <w:pStyle w:val="Zkladntext"/>
        <w:bidi w:val="0"/>
        <w:jc w:val="both"/>
        <w:rPr>
          <w:rFonts w:ascii="Times New Roman" w:hAnsi="Times New Roman"/>
          <w:b/>
          <w:szCs w:val="24"/>
        </w:rPr>
      </w:pPr>
    </w:p>
    <w:p w:rsidR="002016D8" w:rsidRPr="000F77BE" w:rsidP="002016D8">
      <w:pPr>
        <w:pStyle w:val="Zkladntext"/>
        <w:tabs>
          <w:tab w:val="left" w:pos="360"/>
        </w:tabs>
        <w:bidi w:val="0"/>
        <w:jc w:val="both"/>
        <w:rPr>
          <w:rFonts w:ascii="Times New Roman" w:hAnsi="Times New Roman"/>
          <w:b/>
          <w:szCs w:val="24"/>
        </w:rPr>
      </w:pPr>
      <w:r w:rsidRPr="000F77BE">
        <w:rPr>
          <w:rFonts w:ascii="Times New Roman" w:hAnsi="Times New Roman"/>
          <w:b/>
          <w:szCs w:val="24"/>
        </w:rPr>
        <w:t xml:space="preserve"> </w:t>
        <w:tab/>
      </w:r>
      <w:r>
        <w:rPr>
          <w:rFonts w:ascii="Times New Roman" w:hAnsi="Times New Roman"/>
          <w:szCs w:val="24"/>
        </w:rPr>
        <w:t>Vláda</w:t>
      </w:r>
      <w:r w:rsidRPr="000F77BE">
        <w:rPr>
          <w:rFonts w:ascii="Times New Roman" w:hAnsi="Times New Roman"/>
          <w:szCs w:val="24"/>
        </w:rPr>
        <w:t xml:space="preserve"> Slovenskej republiky.</w:t>
      </w:r>
    </w:p>
    <w:p w:rsidR="002016D8" w:rsidRPr="000F77BE" w:rsidP="002016D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2016D8" w:rsidRPr="000F77BE" w:rsidP="002016D8">
      <w:pPr>
        <w:pStyle w:val="Zkladntext"/>
        <w:bidi w:val="0"/>
        <w:jc w:val="both"/>
        <w:rPr>
          <w:rFonts w:ascii="Times New Roman" w:hAnsi="Times New Roman"/>
          <w:b/>
          <w:szCs w:val="24"/>
        </w:rPr>
      </w:pPr>
      <w:r w:rsidRPr="000F77BE">
        <w:rPr>
          <w:rFonts w:ascii="Times New Roman" w:hAnsi="Times New Roman"/>
          <w:b/>
          <w:szCs w:val="24"/>
        </w:rPr>
        <w:t xml:space="preserve">2. Názov návrhu </w:t>
      </w:r>
      <w:r>
        <w:rPr>
          <w:rFonts w:ascii="Times New Roman" w:hAnsi="Times New Roman"/>
          <w:b/>
          <w:szCs w:val="24"/>
        </w:rPr>
        <w:t>právneho predpisu</w:t>
      </w:r>
      <w:r w:rsidRPr="000F77BE">
        <w:rPr>
          <w:rFonts w:ascii="Times New Roman" w:hAnsi="Times New Roman"/>
          <w:b/>
          <w:szCs w:val="24"/>
        </w:rPr>
        <w:t>:</w:t>
      </w:r>
    </w:p>
    <w:p w:rsidR="002016D8" w:rsidRPr="000F77BE" w:rsidP="002016D8">
      <w:pPr>
        <w:pStyle w:val="Zkladntext"/>
        <w:bidi w:val="0"/>
        <w:jc w:val="both"/>
        <w:rPr>
          <w:rFonts w:ascii="Times New Roman" w:hAnsi="Times New Roman"/>
          <w:b/>
          <w:szCs w:val="24"/>
        </w:rPr>
      </w:pPr>
    </w:p>
    <w:p w:rsidR="002016D8" w:rsidRPr="000F77BE" w:rsidP="002016D8">
      <w:pPr>
        <w:pStyle w:val="Zkladntext"/>
        <w:bidi w:val="0"/>
        <w:ind w:left="360"/>
        <w:jc w:val="both"/>
        <w:rPr>
          <w:rFonts w:ascii="Times New Roman" w:hAnsi="Times New Roman"/>
          <w:szCs w:val="24"/>
        </w:rPr>
      </w:pPr>
      <w:r w:rsidRPr="000F77BE">
        <w:rPr>
          <w:rFonts w:ascii="Times New Roman" w:hAnsi="Times New Roman"/>
          <w:szCs w:val="24"/>
        </w:rPr>
        <w:t xml:space="preserve">Návrh </w:t>
      </w:r>
      <w:r w:rsidRPr="00996FAB">
        <w:rPr>
          <w:rFonts w:ascii="Times New Roman" w:hAnsi="Times New Roman"/>
          <w:szCs w:val="24"/>
        </w:rPr>
        <w:t xml:space="preserve">zákona, ktorým sa mení a dopĺňa zákon </w:t>
      </w:r>
      <w:r>
        <w:rPr>
          <w:rFonts w:ascii="Times New Roman" w:hAnsi="Times New Roman"/>
          <w:szCs w:val="24"/>
        </w:rPr>
        <w:t>Slovenskej národnej rady</w:t>
      </w:r>
      <w:r w:rsidRPr="00996FAB">
        <w:rPr>
          <w:rFonts w:ascii="Times New Roman" w:hAnsi="Times New Roman"/>
          <w:szCs w:val="24"/>
        </w:rPr>
        <w:t xml:space="preserve"> č. 310/1992 Zb.  o stavebnom sporení v znení neskorších predpisov</w:t>
      </w:r>
      <w:r w:rsidRPr="000F77BE">
        <w:rPr>
          <w:rFonts w:ascii="Times New Roman" w:hAnsi="Times New Roman"/>
          <w:szCs w:val="24"/>
        </w:rPr>
        <w:t>.</w:t>
      </w:r>
    </w:p>
    <w:p w:rsidR="002016D8" w:rsidRPr="000F77BE" w:rsidP="002016D8">
      <w:pPr>
        <w:pStyle w:val="Zkladntext"/>
        <w:tabs>
          <w:tab w:val="left" w:pos="284"/>
        </w:tabs>
        <w:bidi w:val="0"/>
        <w:jc w:val="both"/>
        <w:rPr>
          <w:rFonts w:ascii="Times New Roman" w:hAnsi="Times New Roman"/>
          <w:szCs w:val="24"/>
        </w:rPr>
      </w:pPr>
    </w:p>
    <w:p w:rsidR="002016D8" w:rsidRPr="000F77BE" w:rsidP="002016D8">
      <w:pPr>
        <w:pStyle w:val="Zkladntext"/>
        <w:bidi w:val="0"/>
        <w:jc w:val="both"/>
        <w:rPr>
          <w:rFonts w:ascii="Times New Roman" w:hAnsi="Times New Roman"/>
          <w:b/>
          <w:szCs w:val="24"/>
        </w:rPr>
      </w:pPr>
      <w:r w:rsidRPr="000F77BE">
        <w:rPr>
          <w:rFonts w:ascii="Times New Roman" w:hAnsi="Times New Roman"/>
          <w:b/>
          <w:szCs w:val="24"/>
        </w:rPr>
        <w:t xml:space="preserve">3. Problematika návrhu </w:t>
      </w:r>
      <w:r>
        <w:rPr>
          <w:rFonts w:ascii="Times New Roman" w:hAnsi="Times New Roman"/>
          <w:b/>
          <w:szCs w:val="24"/>
        </w:rPr>
        <w:t>právneho predpisu</w:t>
      </w:r>
      <w:r w:rsidRPr="000F77BE">
        <w:rPr>
          <w:rFonts w:ascii="Times New Roman" w:hAnsi="Times New Roman"/>
          <w:b/>
          <w:szCs w:val="24"/>
        </w:rPr>
        <w:t>:</w:t>
      </w:r>
    </w:p>
    <w:p w:rsidR="002016D8" w:rsidRPr="000F77BE" w:rsidP="002016D8">
      <w:pPr>
        <w:pStyle w:val="Zkladntext"/>
        <w:bidi w:val="0"/>
        <w:jc w:val="both"/>
        <w:rPr>
          <w:rFonts w:ascii="Times New Roman" w:hAnsi="Times New Roman"/>
          <w:b/>
          <w:szCs w:val="24"/>
        </w:rPr>
      </w:pPr>
    </w:p>
    <w:p w:rsidR="002016D8" w:rsidRPr="000F77BE" w:rsidP="002016D8">
      <w:pPr>
        <w:pStyle w:val="Zkladntext"/>
        <w:numPr>
          <w:numId w:val="12"/>
        </w:numPr>
        <w:bidi w:val="0"/>
        <w:jc w:val="both"/>
        <w:rPr>
          <w:rFonts w:ascii="Times New Roman" w:hAnsi="Times New Roman"/>
          <w:szCs w:val="24"/>
        </w:rPr>
      </w:pPr>
      <w:r w:rsidRPr="000F77BE">
        <w:rPr>
          <w:rFonts w:ascii="Times New Roman" w:hAnsi="Times New Roman"/>
          <w:szCs w:val="24"/>
        </w:rPr>
        <w:t>nie je upravená v práve Európskej únie,</w:t>
      </w:r>
    </w:p>
    <w:p w:rsidR="002016D8" w:rsidRPr="000F77BE" w:rsidP="002016D8">
      <w:pPr>
        <w:pStyle w:val="Zkladntext"/>
        <w:numPr>
          <w:numId w:val="12"/>
        </w:numPr>
        <w:bidi w:val="0"/>
        <w:jc w:val="both"/>
        <w:rPr>
          <w:rFonts w:ascii="Times New Roman" w:hAnsi="Times New Roman"/>
          <w:szCs w:val="24"/>
        </w:rPr>
      </w:pPr>
      <w:r w:rsidRPr="000F77BE">
        <w:rPr>
          <w:rFonts w:ascii="Times New Roman" w:hAnsi="Times New Roman"/>
          <w:szCs w:val="24"/>
        </w:rPr>
        <w:t>nie je obsiahnutá v judikatúre Súdneho dvora Európskej únie.</w:t>
      </w:r>
    </w:p>
    <w:p w:rsidR="002016D8" w:rsidRPr="000F77BE" w:rsidP="002016D8">
      <w:pPr>
        <w:pStyle w:val="BodyTextIndent"/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2016D8" w:rsidRPr="000F77BE" w:rsidP="002016D8">
      <w:pPr>
        <w:pStyle w:val="BodyTextIndent"/>
        <w:bidi w:val="0"/>
        <w:ind w:left="0"/>
        <w:jc w:val="both"/>
        <w:rPr>
          <w:rFonts w:ascii="Times New Roman" w:hAnsi="Times New Roman"/>
          <w:b/>
          <w:bCs/>
        </w:rPr>
      </w:pPr>
      <w:r w:rsidRPr="000F77BE">
        <w:rPr>
          <w:rFonts w:ascii="Times New Roman" w:hAnsi="Times New Roman"/>
          <w:b/>
          <w:bCs/>
        </w:rPr>
        <w:t>Vzhľadom na vnútroštátny charakter navrhovaného právneho predpisu je bezpredmetné vyjadrovať sa k bodom 4., 5. a 6. doložky zlučiteľnosti.</w:t>
      </w:r>
    </w:p>
    <w:p w:rsidR="009F3D46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BA15DF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BA15DF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BA15DF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BA15DF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BA15DF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9F3D46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D722DC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9F3D46" w:rsidP="006F694F">
      <w:pPr>
        <w:pStyle w:val="BodyText2"/>
        <w:bidi w:val="0"/>
        <w:rPr>
          <w:rFonts w:ascii="Times New Roman" w:hAnsi="Times New Roman"/>
          <w:b/>
          <w:bCs/>
        </w:rPr>
      </w:pPr>
    </w:p>
    <w:p w:rsidR="00201C4F" w:rsidP="006F694F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Osobitná časť</w:t>
      </w:r>
    </w:p>
    <w:p w:rsidR="00201C4F">
      <w:pPr>
        <w:pStyle w:val="BodyText2"/>
        <w:bidi w:val="0"/>
        <w:ind w:firstLine="360"/>
        <w:rPr>
          <w:rFonts w:ascii="Times New Roman" w:hAnsi="Times New Roman"/>
          <w:b/>
          <w:bCs/>
        </w:rPr>
      </w:pPr>
    </w:p>
    <w:p w:rsidR="00201C4F" w:rsidP="006F694F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</w:t>
      </w:r>
    </w:p>
    <w:p w:rsidR="00201C4F">
      <w:pPr>
        <w:pStyle w:val="BodyText2"/>
        <w:bidi w:val="0"/>
        <w:ind w:firstLine="360"/>
        <w:rPr>
          <w:rFonts w:ascii="Times New Roman" w:hAnsi="Times New Roman"/>
        </w:rPr>
      </w:pPr>
    </w:p>
    <w:p w:rsidR="00201C4F" w:rsidP="006F694F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1</w:t>
      </w:r>
    </w:p>
    <w:p w:rsidR="00292B29" w:rsidP="006F694F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 dôvodu, že návrhom zákona sa stavebnému sporiteľovi – fyzickej osobe obmedzuje nárok na štátnu prémiu počas čerpania a splácania stavebného úveru poskytnutého za komerčných podmienok (viď bod 7 návrhu novely zákona), je na účely oprávnenosti sledovania nárokov na štátnu prémiu nevyhnutné zabezpečiť do centrálnej evidencie predkladanie ďalších údajov, a to konkrétne dátumu poskytnutia a dátumu splatenia takého</w:t>
      </w:r>
      <w:r w:rsidR="00A25699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úveru.             </w:t>
      </w:r>
    </w:p>
    <w:p w:rsidR="00292B29" w:rsidP="006F694F">
      <w:pPr>
        <w:pStyle w:val="BodyText2"/>
        <w:bidi w:val="0"/>
        <w:rPr>
          <w:rFonts w:ascii="Times New Roman" w:hAnsi="Times New Roman"/>
        </w:rPr>
      </w:pPr>
    </w:p>
    <w:p w:rsidR="00292B29" w:rsidP="006F694F">
      <w:pPr>
        <w:pStyle w:val="BodyText2"/>
        <w:bidi w:val="0"/>
        <w:rPr>
          <w:rFonts w:ascii="Times New Roman" w:hAnsi="Times New Roman"/>
        </w:rPr>
      </w:pPr>
      <w:r w:rsidR="006009E5">
        <w:rPr>
          <w:rFonts w:ascii="Times New Roman" w:hAnsi="Times New Roman"/>
        </w:rPr>
        <w:t>K bodu 2</w:t>
      </w:r>
    </w:p>
    <w:p w:rsidR="00201C4F" w:rsidP="006F694F">
      <w:pPr>
        <w:pStyle w:val="BodyText2"/>
        <w:bidi w:val="0"/>
        <w:rPr>
          <w:rFonts w:ascii="Times New Roman" w:hAnsi="Times New Roman"/>
        </w:rPr>
      </w:pPr>
      <w:r w:rsidR="00552818">
        <w:rPr>
          <w:rFonts w:ascii="Times New Roman" w:hAnsi="Times New Roman"/>
        </w:rPr>
        <w:t>Ide o legislatívno-technickú úpravu z dôvodu, že vložením nového odseku 4 do § 10 zákona o stavebnom sporení sa doterajší odsek 4 prečísluje na odsek 5</w:t>
      </w:r>
      <w:r w:rsidR="007927CF">
        <w:rPr>
          <w:rFonts w:ascii="Times New Roman" w:hAnsi="Times New Roman"/>
        </w:rPr>
        <w:t xml:space="preserve"> (viď bod </w:t>
      </w:r>
      <w:r w:rsidR="00CE217F">
        <w:rPr>
          <w:rFonts w:ascii="Times New Roman" w:hAnsi="Times New Roman"/>
        </w:rPr>
        <w:t>5</w:t>
      </w:r>
      <w:r w:rsidR="007927CF">
        <w:rPr>
          <w:rFonts w:ascii="Times New Roman" w:hAnsi="Times New Roman"/>
        </w:rPr>
        <w:t xml:space="preserve"> návrhu novely zákona)</w:t>
      </w:r>
      <w:r w:rsidR="00552818">
        <w:rPr>
          <w:rFonts w:ascii="Times New Roman" w:hAnsi="Times New Roman"/>
        </w:rPr>
        <w:t xml:space="preserve">, preto je potrebné túto zmenu premietnuť aj do súvisiaceho ustanovenia § 6 ods. 5 zákona. </w:t>
      </w:r>
    </w:p>
    <w:p w:rsidR="003B21E8" w:rsidP="006F694F">
      <w:pPr>
        <w:pStyle w:val="BodyText2"/>
        <w:bidi w:val="0"/>
        <w:rPr>
          <w:rFonts w:ascii="Times New Roman" w:hAnsi="Times New Roman"/>
        </w:rPr>
      </w:pPr>
    </w:p>
    <w:p w:rsidR="00201C4F" w:rsidP="003B02B2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552818">
        <w:rPr>
          <w:rFonts w:ascii="Times New Roman" w:hAnsi="Times New Roman"/>
        </w:rPr>
        <w:t> </w:t>
      </w:r>
      <w:r>
        <w:rPr>
          <w:rFonts w:ascii="Times New Roman" w:hAnsi="Times New Roman"/>
        </w:rPr>
        <w:t>bod</w:t>
      </w:r>
      <w:r w:rsidR="00552818">
        <w:rPr>
          <w:rFonts w:ascii="Times New Roman" w:hAnsi="Times New Roman"/>
        </w:rPr>
        <w:t xml:space="preserve">u </w:t>
      </w:r>
      <w:r w:rsidR="00CE217F">
        <w:rPr>
          <w:rFonts w:ascii="Times New Roman" w:hAnsi="Times New Roman"/>
        </w:rPr>
        <w:t>3</w:t>
      </w:r>
      <w:r w:rsidR="00552818">
        <w:rPr>
          <w:rFonts w:ascii="Times New Roman" w:hAnsi="Times New Roman"/>
        </w:rPr>
        <w:t xml:space="preserve"> </w:t>
      </w:r>
    </w:p>
    <w:p w:rsidR="00201C4F" w:rsidP="003B02B2">
      <w:pPr>
        <w:pStyle w:val="BodyText2"/>
        <w:bidi w:val="0"/>
        <w:rPr>
          <w:rFonts w:ascii="Times New Roman" w:hAnsi="Times New Roman"/>
        </w:rPr>
      </w:pPr>
      <w:r w:rsidR="00552818">
        <w:rPr>
          <w:rFonts w:ascii="Times New Roman" w:hAnsi="Times New Roman"/>
        </w:rPr>
        <w:t xml:space="preserve">Ustanovuje sa nová podmienka stavebného sporenia, konkrétne pre </w:t>
      </w:r>
      <w:r w:rsidR="00A25699">
        <w:rPr>
          <w:rFonts w:ascii="Times New Roman" w:hAnsi="Times New Roman"/>
        </w:rPr>
        <w:t xml:space="preserve">uplatnenie nároku na štátnu prémiu stavebnou sporiteľňou voči štátnemu rozpočtu, </w:t>
      </w:r>
      <w:r w:rsidR="00552818">
        <w:rPr>
          <w:rFonts w:ascii="Times New Roman" w:hAnsi="Times New Roman"/>
        </w:rPr>
        <w:t xml:space="preserve">ktorá spočíva v dodržiavaní </w:t>
      </w:r>
      <w:r w:rsidR="007927CF">
        <w:rPr>
          <w:rFonts w:ascii="Times New Roman" w:hAnsi="Times New Roman"/>
        </w:rPr>
        <w:t xml:space="preserve">výšky alebo sadzby </w:t>
      </w:r>
      <w:r w:rsidR="00806785">
        <w:rPr>
          <w:rFonts w:ascii="Times New Roman" w:hAnsi="Times New Roman"/>
        </w:rPr>
        <w:t>vybran</w:t>
      </w:r>
      <w:r w:rsidR="007927CF">
        <w:rPr>
          <w:rFonts w:ascii="Times New Roman" w:hAnsi="Times New Roman"/>
        </w:rPr>
        <w:t xml:space="preserve">ých </w:t>
      </w:r>
      <w:r w:rsidR="00552818">
        <w:rPr>
          <w:rFonts w:ascii="Times New Roman" w:hAnsi="Times New Roman"/>
        </w:rPr>
        <w:t>poplat</w:t>
      </w:r>
      <w:r w:rsidR="007927CF">
        <w:rPr>
          <w:rFonts w:ascii="Times New Roman" w:hAnsi="Times New Roman"/>
        </w:rPr>
        <w:t>kov</w:t>
      </w:r>
      <w:r w:rsidR="00806785">
        <w:rPr>
          <w:rFonts w:ascii="Times New Roman" w:hAnsi="Times New Roman"/>
        </w:rPr>
        <w:t>. Pôjde o poplatok za uzavretie zmluvy o stavebnom sporení, poplatok za vedenie účtu stavebného sporiteľa, na ktorý sa poukazujú vklady sporenia, poplatok za vedenie účtu stavebného sporiteľa, na ktorý sa poukazujú splátky stavebného úveru a poplatok za poskytnutie stavebného úveru, pričom výšku alebo sadzbu takéhoto poplatku, ktorá nemôže byť prekročená, aby mohl</w:t>
      </w:r>
      <w:r w:rsidR="00A25699">
        <w:rPr>
          <w:rFonts w:ascii="Times New Roman" w:hAnsi="Times New Roman"/>
        </w:rPr>
        <w:t xml:space="preserve">a stavebná sporiteľňa uplatniť nárok stavebného sporiteľa na štátnu prémiu, </w:t>
      </w:r>
      <w:r w:rsidR="00806785">
        <w:rPr>
          <w:rFonts w:ascii="Times New Roman" w:hAnsi="Times New Roman"/>
        </w:rPr>
        <w:t>ustanoví všeobecne záväzný právn</w:t>
      </w:r>
      <w:r w:rsidR="00252A47">
        <w:rPr>
          <w:rFonts w:ascii="Times New Roman" w:hAnsi="Times New Roman"/>
        </w:rPr>
        <w:t>y</w:t>
      </w:r>
      <w:r w:rsidR="00806785">
        <w:rPr>
          <w:rFonts w:ascii="Times New Roman" w:hAnsi="Times New Roman"/>
        </w:rPr>
        <w:t xml:space="preserve"> predpis, ktorý vydá Ministerstvo financií SR.</w:t>
      </w:r>
      <w:r w:rsidR="005F795F">
        <w:rPr>
          <w:rFonts w:ascii="Times New Roman" w:hAnsi="Times New Roman"/>
        </w:rPr>
        <w:t xml:space="preserve"> </w:t>
      </w:r>
    </w:p>
    <w:p w:rsidR="00201C4F">
      <w:pPr>
        <w:pStyle w:val="BodyText2"/>
        <w:bidi w:val="0"/>
        <w:ind w:firstLine="360"/>
        <w:rPr>
          <w:rFonts w:ascii="Times New Roman" w:hAnsi="Times New Roman"/>
        </w:rPr>
      </w:pPr>
    </w:p>
    <w:p w:rsidR="00201C4F" w:rsidP="003B02B2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CE217F">
        <w:rPr>
          <w:rFonts w:ascii="Times New Roman" w:hAnsi="Times New Roman"/>
        </w:rPr>
        <w:t>4</w:t>
      </w:r>
    </w:p>
    <w:p w:rsidR="00AB3B54" w:rsidP="003B02B2">
      <w:pPr>
        <w:pStyle w:val="BodyText2"/>
        <w:bidi w:val="0"/>
        <w:rPr>
          <w:rFonts w:ascii="Times New Roman" w:hAnsi="Times New Roman"/>
        </w:rPr>
      </w:pPr>
      <w:r w:rsidR="007927CF">
        <w:rPr>
          <w:rFonts w:ascii="Times New Roman" w:hAnsi="Times New Roman"/>
        </w:rPr>
        <w:t xml:space="preserve">Ide o úpravu súvisiacu s vložením nového odseku 4 do § 10 zákona, ktorým sa iným spôsobom určí štátna prémia za kalendárny rok </w:t>
      </w:r>
      <w:r>
        <w:rPr>
          <w:rFonts w:ascii="Times New Roman" w:hAnsi="Times New Roman"/>
        </w:rPr>
        <w:t>ako je ustanovená v odseku 3.</w:t>
      </w:r>
      <w:r w:rsidR="00CE217F">
        <w:rPr>
          <w:rFonts w:ascii="Times New Roman" w:hAnsi="Times New Roman"/>
        </w:rPr>
        <w:t xml:space="preserve"> Zároveň sa v záujme jednoznačnosti legislatívne upraví</w:t>
      </w:r>
      <w:r w:rsidR="00B06F89">
        <w:rPr>
          <w:rFonts w:ascii="Times New Roman" w:hAnsi="Times New Roman"/>
        </w:rPr>
        <w:t xml:space="preserve"> doterajšie znenie odseku 3 tak, aby bolo nespochybniteľné</w:t>
      </w:r>
      <w:r w:rsidR="00CE217F">
        <w:rPr>
          <w:rFonts w:ascii="Times New Roman" w:hAnsi="Times New Roman"/>
        </w:rPr>
        <w:t xml:space="preserve">, že štátna prémia sa </w:t>
      </w:r>
      <w:r w:rsidR="00B06F89">
        <w:rPr>
          <w:rFonts w:ascii="Times New Roman" w:hAnsi="Times New Roman"/>
        </w:rPr>
        <w:t xml:space="preserve">za </w:t>
      </w:r>
      <w:r w:rsidR="00CE217F">
        <w:rPr>
          <w:rFonts w:ascii="Times New Roman" w:hAnsi="Times New Roman"/>
        </w:rPr>
        <w:t xml:space="preserve">príslušný kalendárny rok </w:t>
      </w:r>
      <w:r w:rsidR="00B06F89">
        <w:rPr>
          <w:rFonts w:ascii="Times New Roman" w:hAnsi="Times New Roman"/>
        </w:rPr>
        <w:t xml:space="preserve">určí </w:t>
      </w:r>
      <w:r w:rsidR="00CE217F">
        <w:rPr>
          <w:rFonts w:ascii="Times New Roman" w:hAnsi="Times New Roman"/>
        </w:rPr>
        <w:t xml:space="preserve">z ročného vkladu, ktorý bol pripísaný na účet </w:t>
      </w:r>
      <w:r w:rsidR="00B06F89">
        <w:rPr>
          <w:rFonts w:ascii="Times New Roman" w:hAnsi="Times New Roman"/>
        </w:rPr>
        <w:t xml:space="preserve">stavebného sporiteľa v príslušnom kalendárnom roku.  </w:t>
      </w:r>
      <w:r w:rsidR="00CE217F">
        <w:rPr>
          <w:rFonts w:ascii="Times New Roman" w:hAnsi="Times New Roman"/>
        </w:rPr>
        <w:t xml:space="preserve"> </w:t>
      </w:r>
    </w:p>
    <w:p w:rsidR="00AB3B54" w:rsidP="003B02B2">
      <w:pPr>
        <w:pStyle w:val="BodyText2"/>
        <w:bidi w:val="0"/>
        <w:rPr>
          <w:rFonts w:ascii="Times New Roman" w:hAnsi="Times New Roman"/>
        </w:rPr>
      </w:pPr>
    </w:p>
    <w:p w:rsidR="00AB3B54" w:rsidP="003B02B2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B06F89">
        <w:rPr>
          <w:rFonts w:ascii="Times New Roman" w:hAnsi="Times New Roman"/>
        </w:rPr>
        <w:t>5</w:t>
      </w:r>
    </w:p>
    <w:p w:rsidR="00AB3B54" w:rsidP="003B02B2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Vložením nového odseku 4 do § 10 zákona sa ustanovuje osobitný spôsob určenia štátnej prémie v kalendárnom roku, v ktorom došlo k uzatvoreniu prémiovo zvýhodnenej zmluvy o stavebnom sporení, a to tak, že štátna prémia sa v tomto kalendárnom roku bude vypočítavať </w:t>
      </w:r>
      <w:r w:rsidR="00B06F89">
        <w:rPr>
          <w:rFonts w:ascii="Times New Roman" w:hAnsi="Times New Roman"/>
        </w:rPr>
        <w:t>štvrťročne</w:t>
      </w:r>
      <w:r>
        <w:rPr>
          <w:rFonts w:ascii="Times New Roman" w:hAnsi="Times New Roman"/>
        </w:rPr>
        <w:t xml:space="preserve">, pričom rozhodujúci bude kumulatívny stav vkladov ku koncu príslušného kalendárneho </w:t>
      </w:r>
      <w:r w:rsidR="00B06F89">
        <w:rPr>
          <w:rFonts w:ascii="Times New Roman" w:hAnsi="Times New Roman"/>
        </w:rPr>
        <w:t>štvrťroka</w:t>
      </w:r>
      <w:r>
        <w:rPr>
          <w:rFonts w:ascii="Times New Roman" w:hAnsi="Times New Roman"/>
        </w:rPr>
        <w:t>.</w:t>
      </w:r>
      <w:r w:rsidR="00B06F89">
        <w:rPr>
          <w:rFonts w:ascii="Times New Roman" w:hAnsi="Times New Roman"/>
        </w:rPr>
        <w:t xml:space="preserve"> V ďalších rokoch sporenia sa bude štátna prémia určovať  podľa § 10 ods. 3.   </w:t>
      </w:r>
    </w:p>
    <w:p w:rsidR="00AB3B54" w:rsidP="003B02B2">
      <w:pPr>
        <w:pStyle w:val="BodyText2"/>
        <w:bidi w:val="0"/>
        <w:rPr>
          <w:rFonts w:ascii="Times New Roman" w:hAnsi="Times New Roman"/>
        </w:rPr>
      </w:pPr>
    </w:p>
    <w:p w:rsidR="00AB3B54" w:rsidP="003B02B2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B06F89">
        <w:rPr>
          <w:rFonts w:ascii="Times New Roman" w:hAnsi="Times New Roman"/>
        </w:rPr>
        <w:t>6</w:t>
      </w:r>
    </w:p>
    <w:p w:rsidR="00D2052B" w:rsidP="003B02B2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 dôvodu osobitného určenia štátnej prémie v kalendárnom roku, v ktorom došlo k</w:t>
      </w:r>
      <w:r w:rsidR="00B06F89">
        <w:rPr>
          <w:rFonts w:ascii="Times New Roman" w:hAnsi="Times New Roman"/>
        </w:rPr>
        <w:t> </w:t>
      </w:r>
      <w:r>
        <w:rPr>
          <w:rFonts w:ascii="Times New Roman" w:hAnsi="Times New Roman"/>
        </w:rPr>
        <w:t>uza</w:t>
      </w:r>
      <w:r w:rsidR="00B06F89">
        <w:rPr>
          <w:rFonts w:ascii="Times New Roman" w:hAnsi="Times New Roman"/>
        </w:rPr>
        <w:t>vretiu p</w:t>
      </w:r>
      <w:r>
        <w:rPr>
          <w:rFonts w:ascii="Times New Roman" w:hAnsi="Times New Roman"/>
        </w:rPr>
        <w:t>rémiovo zvýhodnenej zmluvy o stavebnom sporení, je potrebné vstúpiť aj do ustanovenia doterajšieho § 10 ods. 6 druhej vety (po prečíslovaní odseku 7), ktoré upravuje súhrnný ročný limit štátnej prémie, vypočítanej za kalendárny rok, v ktorom vyplynul nárok na štátnu prém</w:t>
      </w:r>
      <w:r w:rsidR="00A0242A">
        <w:rPr>
          <w:rFonts w:ascii="Times New Roman" w:hAnsi="Times New Roman"/>
        </w:rPr>
        <w:t>iu</w:t>
      </w:r>
      <w:r>
        <w:rPr>
          <w:rFonts w:ascii="Times New Roman" w:hAnsi="Times New Roman"/>
        </w:rPr>
        <w:t xml:space="preserve"> zo zmluvy o stavebnom sporení zrušenej v priebehu kalendárneho roka a zároveň vznikol nárok na štátn</w:t>
      </w:r>
      <w:r w:rsidR="00252A47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prémiu uzavretej v priebehu kalendárneho roka.</w:t>
      </w:r>
    </w:p>
    <w:p w:rsidR="006B0316" w:rsidP="003B02B2">
      <w:pPr>
        <w:pStyle w:val="BodyText2"/>
        <w:bidi w:val="0"/>
        <w:rPr>
          <w:rFonts w:ascii="Times New Roman" w:hAnsi="Times New Roman"/>
        </w:rPr>
      </w:pPr>
      <w:r w:rsidR="00D2052B">
        <w:rPr>
          <w:rFonts w:ascii="Times New Roman" w:hAnsi="Times New Roman"/>
        </w:rPr>
        <w:t xml:space="preserve">K bodu </w:t>
      </w:r>
      <w:r w:rsidR="00D26128">
        <w:rPr>
          <w:rFonts w:ascii="Times New Roman" w:hAnsi="Times New Roman"/>
        </w:rPr>
        <w:t>7</w:t>
      </w:r>
    </w:p>
    <w:p w:rsidR="00201C4F" w:rsidRPr="00B65E2B" w:rsidP="003B02B2">
      <w:pPr>
        <w:pStyle w:val="BodyText2"/>
        <w:bidi w:val="0"/>
        <w:rPr>
          <w:rFonts w:ascii="Times New Roman" w:hAnsi="Times New Roman"/>
        </w:rPr>
      </w:pPr>
      <w:r w:rsidR="006B0316">
        <w:rPr>
          <w:rFonts w:ascii="Times New Roman" w:hAnsi="Times New Roman"/>
        </w:rPr>
        <w:t xml:space="preserve">Vložením </w:t>
      </w:r>
      <w:r w:rsidR="00A11A0E">
        <w:rPr>
          <w:rFonts w:ascii="Times New Roman" w:hAnsi="Times New Roman"/>
        </w:rPr>
        <w:t xml:space="preserve">nového odseku 4 do § 10a zákona sa ustanoví, že stavebnému sporiteľovi – fyzickej osobe nepatrí štátna prémia za </w:t>
      </w:r>
      <w:r w:rsidR="006B0316">
        <w:rPr>
          <w:rFonts w:ascii="Times New Roman" w:hAnsi="Times New Roman"/>
        </w:rPr>
        <w:t>kalendárny rok v ktorom čerpá stavebný úver poskytnutý za komerčných podmienok, tzv. medziúver, ako aj za každý ďalší kalendárny rok až do úplného splatenia takéhoto úveru.</w:t>
      </w:r>
      <w:r w:rsidR="00A11A0E">
        <w:rPr>
          <w:rFonts w:ascii="Times New Roman" w:hAnsi="Times New Roman"/>
        </w:rPr>
        <w:t xml:space="preserve">   </w:t>
      </w:r>
    </w:p>
    <w:p w:rsidR="00201C4F" w:rsidRPr="00B65E2B">
      <w:pPr>
        <w:pStyle w:val="BodyText2"/>
        <w:bidi w:val="0"/>
        <w:ind w:firstLine="360"/>
        <w:rPr>
          <w:rFonts w:ascii="Times New Roman" w:hAnsi="Times New Roman"/>
        </w:rPr>
      </w:pPr>
    </w:p>
    <w:p w:rsidR="00201C4F" w:rsidP="00B65E2B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D26128">
        <w:rPr>
          <w:rFonts w:ascii="Times New Roman" w:hAnsi="Times New Roman"/>
        </w:rPr>
        <w:t>8</w:t>
      </w:r>
    </w:p>
    <w:p w:rsidR="00B65E2B" w:rsidP="00B65E2B">
      <w:pPr>
        <w:pStyle w:val="BodyText2"/>
        <w:bidi w:val="0"/>
        <w:rPr>
          <w:rFonts w:ascii="Times New Roman" w:hAnsi="Times New Roman"/>
        </w:rPr>
      </w:pPr>
      <w:r w:rsidR="00DB7DD4">
        <w:rPr>
          <w:rFonts w:ascii="Times New Roman" w:hAnsi="Times New Roman"/>
          <w:bCs/>
        </w:rPr>
        <w:t>Do zákona sa vkladá nový § 13j, ktorý rieši prechodné ustanovenia k úpravám účinným od 1. januára 2012. Navrhovaným p</w:t>
      </w:r>
      <w:r w:rsidR="00201C4F">
        <w:rPr>
          <w:rFonts w:ascii="Times New Roman" w:hAnsi="Times New Roman"/>
        </w:rPr>
        <w:t>rechodn</w:t>
      </w:r>
      <w:r>
        <w:rPr>
          <w:rFonts w:ascii="Times New Roman" w:hAnsi="Times New Roman"/>
        </w:rPr>
        <w:t xml:space="preserve">ým </w:t>
      </w:r>
      <w:r w:rsidRPr="00B65E2B" w:rsidR="00201C4F">
        <w:rPr>
          <w:rFonts w:ascii="Times New Roman" w:hAnsi="Times New Roman"/>
        </w:rPr>
        <w:t>ustanoven</w:t>
      </w:r>
      <w:r w:rsidRPr="00B65E2B">
        <w:rPr>
          <w:rFonts w:ascii="Times New Roman" w:hAnsi="Times New Roman"/>
        </w:rPr>
        <w:t>ím</w:t>
      </w:r>
      <w:r w:rsidR="003B21E8">
        <w:rPr>
          <w:rFonts w:ascii="Times New Roman" w:hAnsi="Times New Roman"/>
        </w:rPr>
        <w:t xml:space="preserve"> v </w:t>
      </w:r>
      <w:r w:rsidR="001B0C3B">
        <w:rPr>
          <w:rFonts w:ascii="Times New Roman" w:hAnsi="Times New Roman"/>
        </w:rPr>
        <w:t xml:space="preserve">odseku </w:t>
      </w:r>
      <w:r w:rsidR="006B0316">
        <w:rPr>
          <w:rFonts w:ascii="Times New Roman" w:hAnsi="Times New Roman"/>
        </w:rPr>
        <w:t>1</w:t>
      </w:r>
      <w:r w:rsidR="001B0C3B">
        <w:rPr>
          <w:rFonts w:ascii="Times New Roman" w:hAnsi="Times New Roman"/>
        </w:rPr>
        <w:t xml:space="preserve"> </w:t>
      </w:r>
      <w:r w:rsidR="00DB7DD4">
        <w:rPr>
          <w:rFonts w:ascii="Times New Roman" w:hAnsi="Times New Roman"/>
        </w:rPr>
        <w:t xml:space="preserve">sa upraví, že </w:t>
      </w:r>
      <w:r w:rsidR="006B0316">
        <w:rPr>
          <w:rFonts w:ascii="Times New Roman" w:hAnsi="Times New Roman"/>
        </w:rPr>
        <w:t xml:space="preserve">osobitné určenie </w:t>
      </w:r>
      <w:r w:rsidR="007700F5">
        <w:rPr>
          <w:rFonts w:ascii="Times New Roman" w:hAnsi="Times New Roman"/>
        </w:rPr>
        <w:t xml:space="preserve">výpočtu nároku na </w:t>
      </w:r>
      <w:r w:rsidR="006B0316">
        <w:rPr>
          <w:rFonts w:ascii="Times New Roman" w:hAnsi="Times New Roman"/>
        </w:rPr>
        <w:t>štátn</w:t>
      </w:r>
      <w:r w:rsidR="007700F5">
        <w:rPr>
          <w:rFonts w:ascii="Times New Roman" w:hAnsi="Times New Roman"/>
        </w:rPr>
        <w:t>u</w:t>
      </w:r>
      <w:r w:rsidR="006B0316">
        <w:rPr>
          <w:rFonts w:ascii="Times New Roman" w:hAnsi="Times New Roman"/>
        </w:rPr>
        <w:t xml:space="preserve"> prémi</w:t>
      </w:r>
      <w:r w:rsidR="007700F5">
        <w:rPr>
          <w:rFonts w:ascii="Times New Roman" w:hAnsi="Times New Roman"/>
        </w:rPr>
        <w:t>u</w:t>
      </w:r>
      <w:r w:rsidR="006B0316">
        <w:rPr>
          <w:rFonts w:ascii="Times New Roman" w:hAnsi="Times New Roman"/>
        </w:rPr>
        <w:t xml:space="preserve"> v kalendárnom roku, v ktorom došlo k uzatvoreniu zmluvy o stavebnom sporení</w:t>
      </w:r>
      <w:r w:rsidR="001F6666">
        <w:rPr>
          <w:rFonts w:ascii="Times New Roman" w:hAnsi="Times New Roman"/>
        </w:rPr>
        <w:t xml:space="preserve">, sa prvýkrát </w:t>
      </w:r>
      <w:r w:rsidR="00BF36BE">
        <w:rPr>
          <w:rFonts w:ascii="Times New Roman" w:hAnsi="Times New Roman"/>
        </w:rPr>
        <w:t xml:space="preserve">použije na zmluvy o stavebnom sporení uzavreté od 1. januára 2012. Prechodným ustanovením odseku </w:t>
      </w:r>
      <w:r w:rsidR="001F6666">
        <w:rPr>
          <w:rFonts w:ascii="Times New Roman" w:hAnsi="Times New Roman"/>
        </w:rPr>
        <w:t>2</w:t>
      </w:r>
      <w:r w:rsidR="00BF36BE">
        <w:rPr>
          <w:rFonts w:ascii="Times New Roman" w:hAnsi="Times New Roman"/>
        </w:rPr>
        <w:t xml:space="preserve"> </w:t>
      </w:r>
      <w:r w:rsidR="00637A7A">
        <w:rPr>
          <w:rFonts w:ascii="Times New Roman" w:hAnsi="Times New Roman"/>
        </w:rPr>
        <w:t xml:space="preserve">sa </w:t>
      </w:r>
      <w:r w:rsidR="00BF36BE">
        <w:rPr>
          <w:rFonts w:ascii="Times New Roman" w:hAnsi="Times New Roman"/>
        </w:rPr>
        <w:t xml:space="preserve">upraví, že </w:t>
      </w:r>
      <w:r w:rsidR="00743BD1">
        <w:rPr>
          <w:rFonts w:ascii="Times New Roman" w:hAnsi="Times New Roman"/>
        </w:rPr>
        <w:t xml:space="preserve">dodržanie výšky alebo sadzby vybraných poplatkov zo strany stavebnej sporiteľne bude podmienkou pre uplatnenie nároku na štátnu prémiu prvýkrát za kalendárny rok 2012. Zároveň sa týmto prechodným ustanovením upraví, že </w:t>
      </w:r>
      <w:r w:rsidR="00BF36BE">
        <w:rPr>
          <w:rFonts w:ascii="Times New Roman" w:hAnsi="Times New Roman"/>
        </w:rPr>
        <w:t xml:space="preserve">stavebnému </w:t>
      </w:r>
      <w:r w:rsidR="00637A7A">
        <w:rPr>
          <w:rFonts w:ascii="Times New Roman" w:hAnsi="Times New Roman"/>
        </w:rPr>
        <w:t>sporiteľovi – fyzickej osobe</w:t>
      </w:r>
      <w:r w:rsidR="00E27227">
        <w:rPr>
          <w:rFonts w:ascii="Times New Roman" w:hAnsi="Times New Roman"/>
        </w:rPr>
        <w:t>, ktorej</w:t>
      </w:r>
      <w:r w:rsidR="00637A7A">
        <w:rPr>
          <w:rFonts w:ascii="Times New Roman" w:hAnsi="Times New Roman"/>
        </w:rPr>
        <w:t xml:space="preserve"> </w:t>
      </w:r>
      <w:r w:rsidR="00E27227">
        <w:rPr>
          <w:rFonts w:ascii="Times New Roman" w:hAnsi="Times New Roman"/>
        </w:rPr>
        <w:t xml:space="preserve">bol poskytnutý </w:t>
      </w:r>
      <w:r w:rsidR="00637A7A">
        <w:rPr>
          <w:rFonts w:ascii="Times New Roman" w:hAnsi="Times New Roman"/>
        </w:rPr>
        <w:t>medziúver</w:t>
      </w:r>
      <w:r w:rsidR="007700F5">
        <w:rPr>
          <w:rFonts w:ascii="Times New Roman" w:hAnsi="Times New Roman"/>
        </w:rPr>
        <w:t xml:space="preserve">, </w:t>
      </w:r>
      <w:r w:rsidR="00E27227">
        <w:rPr>
          <w:rFonts w:ascii="Times New Roman" w:hAnsi="Times New Roman"/>
        </w:rPr>
        <w:t xml:space="preserve">nebude patriť štátna prémia </w:t>
      </w:r>
      <w:r w:rsidR="007700F5">
        <w:rPr>
          <w:rFonts w:ascii="Times New Roman" w:hAnsi="Times New Roman"/>
        </w:rPr>
        <w:t xml:space="preserve">počnúc </w:t>
      </w:r>
      <w:r w:rsidR="00F93CE3">
        <w:rPr>
          <w:rFonts w:ascii="Times New Roman" w:hAnsi="Times New Roman"/>
        </w:rPr>
        <w:t>kalendárny</w:t>
      </w:r>
      <w:r w:rsidR="007700F5">
        <w:rPr>
          <w:rFonts w:ascii="Times New Roman" w:hAnsi="Times New Roman"/>
        </w:rPr>
        <w:t>m</w:t>
      </w:r>
      <w:r w:rsidR="00F93CE3">
        <w:rPr>
          <w:rFonts w:ascii="Times New Roman" w:hAnsi="Times New Roman"/>
        </w:rPr>
        <w:t xml:space="preserve"> rok</w:t>
      </w:r>
      <w:r w:rsidR="007700F5">
        <w:rPr>
          <w:rFonts w:ascii="Times New Roman" w:hAnsi="Times New Roman"/>
        </w:rPr>
        <w:t>om</w:t>
      </w:r>
      <w:r w:rsidR="00F93CE3">
        <w:rPr>
          <w:rFonts w:ascii="Times New Roman" w:hAnsi="Times New Roman"/>
        </w:rPr>
        <w:t xml:space="preserve"> </w:t>
      </w:r>
      <w:r w:rsidR="00637A7A">
        <w:rPr>
          <w:rFonts w:ascii="Times New Roman" w:hAnsi="Times New Roman"/>
        </w:rPr>
        <w:t>2012.</w:t>
      </w:r>
      <w:r w:rsidR="00DB7DD4">
        <w:rPr>
          <w:rFonts w:ascii="Times New Roman" w:hAnsi="Times New Roman"/>
        </w:rPr>
        <w:t xml:space="preserve"> </w:t>
      </w:r>
      <w:r w:rsidR="00D26128">
        <w:rPr>
          <w:rFonts w:ascii="Times New Roman" w:hAnsi="Times New Roman"/>
        </w:rPr>
        <w:t xml:space="preserve">Z dôvodu jednoznačnosti sa týmto ustanovením zároveň potvrdí, že na štátnu prémiu za kalendárny rok 2011, ktorá bude poskytnutá v roku 2012, sa použije doterajší zákon. </w:t>
      </w:r>
      <w:r w:rsidR="00E27227">
        <w:rPr>
          <w:rFonts w:ascii="Times New Roman" w:hAnsi="Times New Roman"/>
        </w:rPr>
        <w:t xml:space="preserve">Z navrhovanej dikcie by malo byť zároveň nespochybniteľné, že sa nebude do štátneho rozpočtu vracať štátna prémia poskytnutá za kalendárny rok 2010 a predchádzajúce roky, ak bol stavebnému sporiteľovi – fyzickej osobe poskytnutý medziúver pred účinnosťou tohto zákona.   </w:t>
      </w:r>
      <w:r w:rsidR="00D26128">
        <w:rPr>
          <w:rFonts w:ascii="Times New Roman" w:hAnsi="Times New Roman"/>
        </w:rPr>
        <w:t xml:space="preserve">    </w:t>
      </w:r>
    </w:p>
    <w:p w:rsidR="00B65E2B" w:rsidP="00B65E2B">
      <w:pPr>
        <w:pStyle w:val="BodyText2"/>
        <w:bidi w:val="0"/>
        <w:rPr>
          <w:rFonts w:ascii="Times New Roman" w:hAnsi="Times New Roman"/>
        </w:rPr>
      </w:pPr>
    </w:p>
    <w:p w:rsidR="008949F3">
      <w:pPr>
        <w:pStyle w:val="BodyText2"/>
        <w:bidi w:val="0"/>
        <w:ind w:left="360" w:firstLine="348"/>
        <w:rPr>
          <w:rFonts w:ascii="Times New Roman" w:hAnsi="Times New Roman"/>
        </w:rPr>
      </w:pPr>
    </w:p>
    <w:p w:rsidR="00201C4F" w:rsidRPr="00001AB4" w:rsidP="00B65E2B">
      <w:pPr>
        <w:pStyle w:val="BodyText2"/>
        <w:bidi w:val="0"/>
        <w:rPr>
          <w:rFonts w:ascii="Times New Roman" w:hAnsi="Times New Roman"/>
          <w:b/>
          <w:bCs/>
        </w:rPr>
      </w:pPr>
      <w:r w:rsidRPr="00001AB4">
        <w:rPr>
          <w:rFonts w:ascii="Times New Roman" w:hAnsi="Times New Roman"/>
          <w:b/>
          <w:bCs/>
        </w:rPr>
        <w:t xml:space="preserve">K Čl. II </w:t>
      </w:r>
    </w:p>
    <w:p w:rsidR="00001AB4" w:rsidP="00B65E2B">
      <w:pPr>
        <w:pStyle w:val="BodyText2"/>
        <w:bidi w:val="0"/>
        <w:rPr>
          <w:rFonts w:ascii="Times New Roman" w:hAnsi="Times New Roman"/>
        </w:rPr>
      </w:pPr>
    </w:p>
    <w:p w:rsidR="00201C4F" w:rsidP="00B65E2B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Účinnosť zákona sa navrhuje od 1. januára 20</w:t>
      </w:r>
      <w:r w:rsidR="00B65E2B">
        <w:rPr>
          <w:rFonts w:ascii="Times New Roman" w:hAnsi="Times New Roman"/>
        </w:rPr>
        <w:t>1</w:t>
      </w:r>
      <w:r w:rsidR="008E50A3">
        <w:rPr>
          <w:rFonts w:ascii="Times New Roman" w:hAnsi="Times New Roman"/>
        </w:rPr>
        <w:t>2</w:t>
      </w:r>
      <w:r w:rsidR="00E56923">
        <w:rPr>
          <w:rFonts w:ascii="Times New Roman" w:hAnsi="Times New Roman"/>
        </w:rPr>
        <w:t>.</w:t>
      </w:r>
    </w:p>
    <w:p w:rsidR="00BA15DF" w:rsidP="00B65E2B">
      <w:pPr>
        <w:pStyle w:val="BodyText2"/>
        <w:bidi w:val="0"/>
        <w:rPr>
          <w:rFonts w:ascii="Times New Roman" w:hAnsi="Times New Roman"/>
        </w:rPr>
      </w:pPr>
    </w:p>
    <w:p w:rsidR="00BA15DF" w:rsidP="00BA15DF">
      <w:pPr>
        <w:pStyle w:val="BodyText2"/>
        <w:bidi w:val="0"/>
        <w:rPr>
          <w:rFonts w:ascii="Times New Roman" w:hAnsi="Times New Roman"/>
        </w:rPr>
      </w:pPr>
    </w:p>
    <w:p w:rsidR="00CE69D0" w:rsidP="00BA15DF">
      <w:pPr>
        <w:pStyle w:val="BodyText2"/>
        <w:bidi w:val="0"/>
        <w:rPr>
          <w:rFonts w:ascii="Times New Roman" w:hAnsi="Times New Roman"/>
        </w:rPr>
      </w:pPr>
    </w:p>
    <w:p w:rsidR="00BA15DF" w:rsidP="00BA15DF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Schválené vládou Slovenskej republiky dňa 8. 6. 2011</w:t>
      </w:r>
      <w:r w:rsidR="00CE69D0">
        <w:rPr>
          <w:rFonts w:ascii="Times New Roman" w:hAnsi="Times New Roman"/>
        </w:rPr>
        <w:t>.</w:t>
      </w:r>
    </w:p>
    <w:p w:rsidR="00BA15DF" w:rsidP="00BA15DF">
      <w:pPr>
        <w:pStyle w:val="BodyText2"/>
        <w:bidi w:val="0"/>
        <w:rPr>
          <w:rFonts w:ascii="Times New Roman" w:hAnsi="Times New Roman"/>
        </w:rPr>
      </w:pPr>
    </w:p>
    <w:p w:rsidR="00BA15DF" w:rsidP="00BA15DF">
      <w:pPr>
        <w:pStyle w:val="BodyText2"/>
        <w:bidi w:val="0"/>
        <w:rPr>
          <w:rFonts w:ascii="Times New Roman" w:hAnsi="Times New Roman"/>
        </w:rPr>
      </w:pPr>
    </w:p>
    <w:p w:rsidR="00CE69D0" w:rsidP="00BA15DF">
      <w:pPr>
        <w:pStyle w:val="BodyText2"/>
        <w:bidi w:val="0"/>
        <w:rPr>
          <w:rFonts w:ascii="Times New Roman" w:hAnsi="Times New Roman"/>
        </w:rPr>
      </w:pPr>
    </w:p>
    <w:p w:rsidR="00CE69D0" w:rsidP="00BA15DF">
      <w:pPr>
        <w:pStyle w:val="BodyText2"/>
        <w:bidi w:val="0"/>
        <w:rPr>
          <w:rFonts w:ascii="Times New Roman" w:hAnsi="Times New Roman"/>
        </w:rPr>
      </w:pPr>
    </w:p>
    <w:p w:rsidR="00BA15DF" w:rsidP="00BA15DF">
      <w:pPr>
        <w:pStyle w:val="Default"/>
        <w:bidi w:val="0"/>
        <w:jc w:val="center"/>
        <w:rPr>
          <w:rFonts w:hint="default"/>
          <w:b/>
          <w:bCs/>
          <w:sz w:val="23"/>
          <w:szCs w:val="23"/>
        </w:rPr>
      </w:pPr>
      <w:r>
        <w:rPr>
          <w:rFonts w:hint="default"/>
          <w:b/>
          <w:bCs/>
          <w:sz w:val="23"/>
          <w:szCs w:val="23"/>
        </w:rPr>
        <w:t>Iveta R a d i č</w:t>
      </w:r>
      <w:r>
        <w:rPr>
          <w:rFonts w:hint="default"/>
          <w:b/>
          <w:bCs/>
          <w:sz w:val="23"/>
          <w:szCs w:val="23"/>
        </w:rPr>
        <w:t xml:space="preserve"> o v </w:t>
      </w:r>
      <w:r>
        <w:rPr>
          <w:rFonts w:hint="default"/>
          <w:b/>
          <w:bCs/>
          <w:sz w:val="23"/>
          <w:szCs w:val="23"/>
        </w:rPr>
        <w:t>á</w:t>
      </w:r>
      <w:r>
        <w:rPr>
          <w:rFonts w:hint="default"/>
          <w:b/>
          <w:bCs/>
          <w:sz w:val="23"/>
          <w:szCs w:val="23"/>
        </w:rPr>
        <w:t>, v. r.</w:t>
      </w:r>
    </w:p>
    <w:p w:rsidR="00BA15DF" w:rsidP="00BA15DF">
      <w:pPr>
        <w:pStyle w:val="Default"/>
        <w:bidi w:val="0"/>
        <w:jc w:val="center"/>
        <w:rPr>
          <w:rFonts w:hint="default"/>
          <w:sz w:val="23"/>
          <w:szCs w:val="23"/>
        </w:rPr>
      </w:pPr>
      <w:r>
        <w:rPr>
          <w:rFonts w:hint="default"/>
          <w:sz w:val="23"/>
          <w:szCs w:val="23"/>
        </w:rPr>
        <w:t>predsedníč</w:t>
      </w:r>
      <w:r>
        <w:rPr>
          <w:rFonts w:hint="default"/>
          <w:sz w:val="23"/>
          <w:szCs w:val="23"/>
        </w:rPr>
        <w:t>ka vlá</w:t>
      </w:r>
      <w:r>
        <w:rPr>
          <w:rFonts w:hint="default"/>
          <w:sz w:val="23"/>
          <w:szCs w:val="23"/>
        </w:rPr>
        <w:t>dy</w:t>
      </w:r>
    </w:p>
    <w:p w:rsidR="00BA15DF" w:rsidP="00BA15DF">
      <w:pPr>
        <w:pStyle w:val="Default"/>
        <w:bidi w:val="0"/>
        <w:jc w:val="center"/>
        <w:rPr>
          <w:rFonts w:hint="default"/>
          <w:sz w:val="23"/>
          <w:szCs w:val="23"/>
        </w:rPr>
      </w:pPr>
      <w:r>
        <w:rPr>
          <w:rFonts w:hint="default"/>
          <w:sz w:val="23"/>
          <w:szCs w:val="23"/>
        </w:rPr>
        <w:t>Slovenskej republiky</w:t>
      </w:r>
    </w:p>
    <w:p w:rsidR="00BA15DF" w:rsidP="00BA15DF">
      <w:pPr>
        <w:pStyle w:val="Default"/>
        <w:bidi w:val="0"/>
        <w:rPr>
          <w:sz w:val="23"/>
          <w:szCs w:val="23"/>
        </w:rPr>
      </w:pPr>
    </w:p>
    <w:p w:rsidR="00CE69D0" w:rsidP="00BA15DF">
      <w:pPr>
        <w:pStyle w:val="Default"/>
        <w:bidi w:val="0"/>
        <w:rPr>
          <w:sz w:val="23"/>
          <w:szCs w:val="23"/>
        </w:rPr>
      </w:pPr>
    </w:p>
    <w:p w:rsidR="00CE69D0" w:rsidP="00BA15DF">
      <w:pPr>
        <w:pStyle w:val="Default"/>
        <w:bidi w:val="0"/>
        <w:rPr>
          <w:sz w:val="23"/>
          <w:szCs w:val="23"/>
        </w:rPr>
      </w:pPr>
    </w:p>
    <w:p w:rsidR="00BA15DF" w:rsidP="00BA15DF">
      <w:pPr>
        <w:pStyle w:val="Default"/>
        <w:bidi w:val="0"/>
        <w:jc w:val="center"/>
        <w:rPr>
          <w:sz w:val="23"/>
          <w:szCs w:val="23"/>
        </w:rPr>
      </w:pPr>
    </w:p>
    <w:p w:rsidR="00BA15DF" w:rsidP="00BA15DF">
      <w:pPr>
        <w:pStyle w:val="Default"/>
        <w:bidi w:val="0"/>
        <w:jc w:val="center"/>
        <w:rPr>
          <w:rFonts w:hint="default"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Ivan M i k l o </w:t>
      </w:r>
      <w:r>
        <w:rPr>
          <w:rFonts w:hint="default"/>
          <w:b/>
          <w:bCs/>
          <w:sz w:val="23"/>
          <w:szCs w:val="23"/>
        </w:rPr>
        <w:t>š</w:t>
      </w:r>
      <w:r>
        <w:rPr>
          <w:rFonts w:hint="default"/>
          <w:b/>
          <w:bCs/>
          <w:sz w:val="23"/>
          <w:szCs w:val="23"/>
        </w:rPr>
        <w:t>, v. r.</w:t>
      </w:r>
    </w:p>
    <w:p w:rsidR="00BA15DF" w:rsidP="00BA15DF">
      <w:pPr>
        <w:pStyle w:val="Default"/>
        <w:bidi w:val="0"/>
        <w:jc w:val="center"/>
        <w:rPr>
          <w:rFonts w:hint="default"/>
          <w:sz w:val="23"/>
          <w:szCs w:val="23"/>
        </w:rPr>
      </w:pPr>
      <w:r>
        <w:rPr>
          <w:rFonts w:hint="default"/>
          <w:sz w:val="23"/>
          <w:szCs w:val="23"/>
        </w:rPr>
        <w:t>podpredseda vlá</w:t>
      </w:r>
      <w:r>
        <w:rPr>
          <w:rFonts w:hint="default"/>
          <w:sz w:val="23"/>
          <w:szCs w:val="23"/>
        </w:rPr>
        <w:t>dy a minister financií</w:t>
      </w:r>
    </w:p>
    <w:p w:rsidR="00BA15DF" w:rsidP="00BA15DF">
      <w:pPr>
        <w:pStyle w:val="BodyText2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3"/>
          <w:szCs w:val="23"/>
        </w:rPr>
        <w:t>Slovenskej republiky</w:t>
      </w:r>
    </w:p>
    <w:p w:rsidR="00BA15DF" w:rsidP="00B65E2B">
      <w:pPr>
        <w:pStyle w:val="BodyText2"/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D78"/>
    <w:multiLevelType w:val="hybridMultilevel"/>
    <w:tmpl w:val="912019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">
    <w:nsid w:val="1C6F07B4"/>
    <w:multiLevelType w:val="hybridMultilevel"/>
    <w:tmpl w:val="8C96F5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">
    <w:nsid w:val="1CDC596E"/>
    <w:multiLevelType w:val="hybridMultilevel"/>
    <w:tmpl w:val="3FA615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3">
    <w:nsid w:val="2A856D24"/>
    <w:multiLevelType w:val="hybridMultilevel"/>
    <w:tmpl w:val="B7B659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3A159E"/>
    <w:multiLevelType w:val="hybridMultilevel"/>
    <w:tmpl w:val="E9A61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3A232298"/>
    <w:multiLevelType w:val="multilevel"/>
    <w:tmpl w:val="519AE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6">
    <w:nsid w:val="40856CAE"/>
    <w:multiLevelType w:val="hybridMultilevel"/>
    <w:tmpl w:val="6EE01A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CA63586"/>
    <w:multiLevelType w:val="hybridMultilevel"/>
    <w:tmpl w:val="34FACA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E28225D"/>
    <w:multiLevelType w:val="hybridMultilevel"/>
    <w:tmpl w:val="789A3370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225"/>
        </w:tabs>
        <w:ind w:left="3225" w:hanging="360"/>
      </w:pPr>
      <w:rPr>
        <w:rFonts w:cs="Times New Roman" w:hint="default"/>
        <w:b w:val="0"/>
        <w:bCs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  <w:rPr>
        <w:rFonts w:cs="Times New Roman"/>
        <w:rtl w:val="0"/>
        <w:cs w:val="0"/>
      </w:rPr>
    </w:lvl>
  </w:abstractNum>
  <w:abstractNum w:abstractNumId="9">
    <w:nsid w:val="5D7215D8"/>
    <w:multiLevelType w:val="multilevel"/>
    <w:tmpl w:val="911C80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10">
    <w:nsid w:val="5EEA09B6"/>
    <w:multiLevelType w:val="hybridMultilevel"/>
    <w:tmpl w:val="32B6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0491F35"/>
    <w:multiLevelType w:val="hybridMultilevel"/>
    <w:tmpl w:val="C11024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47E7C50"/>
    <w:multiLevelType w:val="hybridMultilevel"/>
    <w:tmpl w:val="A484EA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3">
    <w:nsid w:val="69786166"/>
    <w:multiLevelType w:val="hybridMultilevel"/>
    <w:tmpl w:val="44909AE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072A8C"/>
    <w:multiLevelType w:val="hybridMultilevel"/>
    <w:tmpl w:val="8EF828A4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84A1042"/>
    <w:multiLevelType w:val="hybridMultilevel"/>
    <w:tmpl w:val="4E6865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C3D08BA"/>
    <w:multiLevelType w:val="hybridMultilevel"/>
    <w:tmpl w:val="F38602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12"/>
  </w:num>
  <w:num w:numId="6">
    <w:abstractNumId w:val="5"/>
  </w:num>
  <w:num w:numId="7">
    <w:abstractNumId w:val="9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6"/>
  </w:num>
  <w:num w:numId="13">
    <w:abstractNumId w:val="13"/>
  </w:num>
  <w:num w:numId="14">
    <w:abstractNumId w:val="3"/>
  </w:num>
  <w:num w:numId="15">
    <w:abstractNumId w:val="16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D1557"/>
    <w:rsid w:val="00001AB4"/>
    <w:rsid w:val="000B035A"/>
    <w:rsid w:val="000B24CF"/>
    <w:rsid w:val="000E158E"/>
    <w:rsid w:val="000E5E26"/>
    <w:rsid w:val="000F77BE"/>
    <w:rsid w:val="00112ABD"/>
    <w:rsid w:val="00113B65"/>
    <w:rsid w:val="001157D1"/>
    <w:rsid w:val="0016213E"/>
    <w:rsid w:val="0018633C"/>
    <w:rsid w:val="0019611A"/>
    <w:rsid w:val="001A7266"/>
    <w:rsid w:val="001B0C3B"/>
    <w:rsid w:val="001B6269"/>
    <w:rsid w:val="001C230B"/>
    <w:rsid w:val="001F0CD7"/>
    <w:rsid w:val="001F6666"/>
    <w:rsid w:val="002016D8"/>
    <w:rsid w:val="00201C4F"/>
    <w:rsid w:val="0020568C"/>
    <w:rsid w:val="00252A47"/>
    <w:rsid w:val="00271998"/>
    <w:rsid w:val="00292B29"/>
    <w:rsid w:val="002A5B53"/>
    <w:rsid w:val="002B2E2F"/>
    <w:rsid w:val="00365E68"/>
    <w:rsid w:val="00380D11"/>
    <w:rsid w:val="003B02B2"/>
    <w:rsid w:val="003B21E8"/>
    <w:rsid w:val="003B4C10"/>
    <w:rsid w:val="003D421F"/>
    <w:rsid w:val="003E553C"/>
    <w:rsid w:val="00401673"/>
    <w:rsid w:val="0040526D"/>
    <w:rsid w:val="004161A1"/>
    <w:rsid w:val="004356DF"/>
    <w:rsid w:val="00435832"/>
    <w:rsid w:val="00457A1C"/>
    <w:rsid w:val="004740BE"/>
    <w:rsid w:val="004953B1"/>
    <w:rsid w:val="004B0B72"/>
    <w:rsid w:val="004B5093"/>
    <w:rsid w:val="004B78FF"/>
    <w:rsid w:val="004C76E8"/>
    <w:rsid w:val="004D3B63"/>
    <w:rsid w:val="00500374"/>
    <w:rsid w:val="005066E4"/>
    <w:rsid w:val="005436C9"/>
    <w:rsid w:val="00552818"/>
    <w:rsid w:val="00561A2F"/>
    <w:rsid w:val="005831D3"/>
    <w:rsid w:val="00586B31"/>
    <w:rsid w:val="00593952"/>
    <w:rsid w:val="00593C29"/>
    <w:rsid w:val="005B5428"/>
    <w:rsid w:val="005F7256"/>
    <w:rsid w:val="005F795F"/>
    <w:rsid w:val="006009E5"/>
    <w:rsid w:val="006206C6"/>
    <w:rsid w:val="00625B21"/>
    <w:rsid w:val="00637A7A"/>
    <w:rsid w:val="00641742"/>
    <w:rsid w:val="00641EF8"/>
    <w:rsid w:val="0065323C"/>
    <w:rsid w:val="00663A02"/>
    <w:rsid w:val="0066542A"/>
    <w:rsid w:val="00667AC0"/>
    <w:rsid w:val="00693792"/>
    <w:rsid w:val="006B0316"/>
    <w:rsid w:val="006F694F"/>
    <w:rsid w:val="00707484"/>
    <w:rsid w:val="00710DE6"/>
    <w:rsid w:val="007371E2"/>
    <w:rsid w:val="00743BD1"/>
    <w:rsid w:val="007700F5"/>
    <w:rsid w:val="0077040A"/>
    <w:rsid w:val="00771287"/>
    <w:rsid w:val="007927CF"/>
    <w:rsid w:val="007A7388"/>
    <w:rsid w:val="007B0909"/>
    <w:rsid w:val="007C02EC"/>
    <w:rsid w:val="00802596"/>
    <w:rsid w:val="00806785"/>
    <w:rsid w:val="008125EA"/>
    <w:rsid w:val="00836EEE"/>
    <w:rsid w:val="00866285"/>
    <w:rsid w:val="008949F3"/>
    <w:rsid w:val="008960EF"/>
    <w:rsid w:val="008B07A4"/>
    <w:rsid w:val="008D1557"/>
    <w:rsid w:val="008D7C2E"/>
    <w:rsid w:val="008E0F56"/>
    <w:rsid w:val="008E50A3"/>
    <w:rsid w:val="00901BE8"/>
    <w:rsid w:val="0091512A"/>
    <w:rsid w:val="0092023D"/>
    <w:rsid w:val="00953A43"/>
    <w:rsid w:val="009611C5"/>
    <w:rsid w:val="00961FEC"/>
    <w:rsid w:val="00965A50"/>
    <w:rsid w:val="00974869"/>
    <w:rsid w:val="00993A60"/>
    <w:rsid w:val="00995175"/>
    <w:rsid w:val="00996FAB"/>
    <w:rsid w:val="009A4429"/>
    <w:rsid w:val="009B17C5"/>
    <w:rsid w:val="009C1F58"/>
    <w:rsid w:val="009C554C"/>
    <w:rsid w:val="009D2F0B"/>
    <w:rsid w:val="009D3275"/>
    <w:rsid w:val="009F3D46"/>
    <w:rsid w:val="00A0242A"/>
    <w:rsid w:val="00A02DD1"/>
    <w:rsid w:val="00A11A0E"/>
    <w:rsid w:val="00A14B38"/>
    <w:rsid w:val="00A25699"/>
    <w:rsid w:val="00A25BFE"/>
    <w:rsid w:val="00A454C0"/>
    <w:rsid w:val="00A47DBB"/>
    <w:rsid w:val="00A7343E"/>
    <w:rsid w:val="00A83BBD"/>
    <w:rsid w:val="00A90217"/>
    <w:rsid w:val="00A915EF"/>
    <w:rsid w:val="00AB2553"/>
    <w:rsid w:val="00AB3B54"/>
    <w:rsid w:val="00AE5C72"/>
    <w:rsid w:val="00AF11B4"/>
    <w:rsid w:val="00B06F89"/>
    <w:rsid w:val="00B15A57"/>
    <w:rsid w:val="00B50B6B"/>
    <w:rsid w:val="00B65E2B"/>
    <w:rsid w:val="00B81C17"/>
    <w:rsid w:val="00B85ABD"/>
    <w:rsid w:val="00B94CD8"/>
    <w:rsid w:val="00BA15DF"/>
    <w:rsid w:val="00BA2557"/>
    <w:rsid w:val="00BB0CE0"/>
    <w:rsid w:val="00BB71D8"/>
    <w:rsid w:val="00BC29EC"/>
    <w:rsid w:val="00BF36BE"/>
    <w:rsid w:val="00BF4A5B"/>
    <w:rsid w:val="00C00178"/>
    <w:rsid w:val="00C2517F"/>
    <w:rsid w:val="00C40F4E"/>
    <w:rsid w:val="00CA134F"/>
    <w:rsid w:val="00CA165F"/>
    <w:rsid w:val="00CC6EA4"/>
    <w:rsid w:val="00CD2DA6"/>
    <w:rsid w:val="00CE217F"/>
    <w:rsid w:val="00CE3368"/>
    <w:rsid w:val="00CE69D0"/>
    <w:rsid w:val="00D2052B"/>
    <w:rsid w:val="00D22FD3"/>
    <w:rsid w:val="00D26128"/>
    <w:rsid w:val="00D454A3"/>
    <w:rsid w:val="00D66F15"/>
    <w:rsid w:val="00D722DC"/>
    <w:rsid w:val="00D74642"/>
    <w:rsid w:val="00D74AA2"/>
    <w:rsid w:val="00D7504C"/>
    <w:rsid w:val="00D81FFA"/>
    <w:rsid w:val="00DB7DD4"/>
    <w:rsid w:val="00DF7844"/>
    <w:rsid w:val="00E006BC"/>
    <w:rsid w:val="00E0524C"/>
    <w:rsid w:val="00E256C6"/>
    <w:rsid w:val="00E27227"/>
    <w:rsid w:val="00E56923"/>
    <w:rsid w:val="00E7389B"/>
    <w:rsid w:val="00E74809"/>
    <w:rsid w:val="00E8108D"/>
    <w:rsid w:val="00EA3ACA"/>
    <w:rsid w:val="00EA3B27"/>
    <w:rsid w:val="00EA502D"/>
    <w:rsid w:val="00EB1060"/>
    <w:rsid w:val="00ED64D7"/>
    <w:rsid w:val="00EE35C9"/>
    <w:rsid w:val="00EF0169"/>
    <w:rsid w:val="00EF71CE"/>
    <w:rsid w:val="00F03AA7"/>
    <w:rsid w:val="00F23441"/>
    <w:rsid w:val="00F51938"/>
    <w:rsid w:val="00F54F13"/>
    <w:rsid w:val="00F77659"/>
    <w:rsid w:val="00F93CE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72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color w:val="00000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Subtitle">
    <w:name w:val="Subtitle"/>
    <w:basedOn w:val="Normal"/>
    <w:link w:val="PodtitulChar"/>
    <w:uiPriority w:val="99"/>
    <w:qFormat/>
    <w:pPr>
      <w:jc w:val="left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rtl w:val="0"/>
      <w:cs w:val="0"/>
    </w:rPr>
  </w:style>
  <w:style w:type="paragraph" w:customStyle="1" w:styleId="Zkladntext1">
    <w:name w:val="Základní text1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3">
    <w:name w:val="Body Text Indent 3"/>
    <w:basedOn w:val="Normal"/>
    <w:link w:val="Zarkazkladnhotextu3Char"/>
    <w:uiPriority w:val="99"/>
    <w:pPr>
      <w:ind w:left="360" w:firstLine="348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rFonts w:ascii="Arial Narrow" w:hAnsi="Arial Narrow" w:cs="Arial Narrow"/>
      <w:b/>
      <w:bCs/>
      <w:sz w:val="22"/>
      <w:szCs w:val="22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9F3D46"/>
    <w:pPr>
      <w:spacing w:before="100" w:beforeAutospacing="1" w:after="100" w:afterAutospacing="1"/>
      <w:jc w:val="left"/>
    </w:p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F3D4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F3D46"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rsid w:val="009F3D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9F3D46"/>
    <w:pPr>
      <w:ind w:left="720"/>
      <w:contextualSpacing/>
      <w:jc w:val="left"/>
    </w:pPr>
  </w:style>
  <w:style w:type="paragraph" w:customStyle="1" w:styleId="Default">
    <w:name w:val="Default"/>
    <w:rsid w:val="00BA15D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016D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12</Pages>
  <Words>3414</Words>
  <Characters>20398</Characters>
  <Application>Microsoft Office Word</Application>
  <DocSecurity>0</DocSecurity>
  <Lines>0</Lines>
  <Paragraphs>0</Paragraphs>
  <ScaleCrop>false</ScaleCrop>
  <Company>MFSR</Company>
  <LinksUpToDate>false</LinksUpToDate>
  <CharactersWithSpaces>23765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 zákona č</dc:title>
  <dc:creator>Marta Gulárová</dc:creator>
  <cp:lastModifiedBy>gdroba</cp:lastModifiedBy>
  <cp:revision>5</cp:revision>
  <cp:lastPrinted>2011-06-09T08:21:00Z</cp:lastPrinted>
  <dcterms:created xsi:type="dcterms:W3CDTF">2011-06-08T13:32:00Z</dcterms:created>
  <dcterms:modified xsi:type="dcterms:W3CDTF">2011-06-09T09:57:00Z</dcterms:modified>
</cp:coreProperties>
</file>