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81C10" w:rsidRPr="00916A5C" w:rsidP="00681C10">
      <w:pPr>
        <w:tabs>
          <w:tab w:val="num" w:pos="360"/>
        </w:tabs>
        <w:bidi w:val="0"/>
        <w:ind w:left="360" w:hanging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916A5C">
        <w:rPr>
          <w:rFonts w:ascii="Times New Roman" w:hAnsi="Times New Roman"/>
          <w:b/>
          <w:bCs/>
          <w:caps/>
          <w:sz w:val="28"/>
          <w:szCs w:val="28"/>
        </w:rPr>
        <w:t>D</w:t>
      </w:r>
      <w:r w:rsidRPr="00916A5C">
        <w:rPr>
          <w:rFonts w:ascii="Times New Roman" w:hAnsi="Times New Roman"/>
          <w:b/>
          <w:bCs/>
          <w:sz w:val="28"/>
          <w:szCs w:val="28"/>
        </w:rPr>
        <w:t>oložka</w:t>
      </w:r>
    </w:p>
    <w:p w:rsidR="00681C10" w:rsidRPr="00916A5C" w:rsidP="00681C10">
      <w:pPr>
        <w:tabs>
          <w:tab w:val="num" w:pos="360"/>
        </w:tabs>
        <w:bidi w:val="0"/>
        <w:ind w:left="360" w:hanging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1C10" w:rsidRPr="00916A5C" w:rsidP="00681C10">
      <w:pPr>
        <w:pStyle w:val="BodyText"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16A5C">
        <w:rPr>
          <w:rFonts w:ascii="Times New Roman" w:hAnsi="Times New Roman"/>
          <w:b/>
          <w:bCs/>
          <w:sz w:val="28"/>
          <w:szCs w:val="28"/>
        </w:rPr>
        <w:t>zlučiteľnosti návrhu zákona s právom Európskych spoločenstiev</w:t>
      </w:r>
    </w:p>
    <w:p w:rsidR="00681C10" w:rsidRPr="00916A5C" w:rsidP="00681C10">
      <w:pPr>
        <w:pStyle w:val="BodyText"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16A5C">
        <w:rPr>
          <w:rFonts w:ascii="Times New Roman" w:hAnsi="Times New Roman"/>
          <w:b/>
          <w:bCs/>
          <w:sz w:val="28"/>
          <w:szCs w:val="28"/>
        </w:rPr>
        <w:t>a právom Európskej únie</w:t>
      </w:r>
    </w:p>
    <w:p w:rsidR="00681C10" w:rsidRPr="00916A5C" w:rsidP="00681C10">
      <w:pPr>
        <w:pStyle w:val="BodyText"/>
        <w:bidi w:val="0"/>
        <w:ind w:firstLine="708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681C10" w:rsidRPr="00916A5C" w:rsidP="00681C10">
      <w:pPr>
        <w:bidi w:val="0"/>
        <w:ind w:hanging="57"/>
        <w:rPr>
          <w:rFonts w:ascii="Times New Roman" w:hAnsi="Times New Roman"/>
          <w:b/>
          <w:bCs/>
          <w:sz w:val="28"/>
          <w:szCs w:val="28"/>
        </w:rPr>
      </w:pPr>
      <w:r w:rsidRPr="00916A5C">
        <w:rPr>
          <w:rFonts w:ascii="Times New Roman" w:hAnsi="Times New Roman"/>
          <w:b/>
          <w:bCs/>
          <w:sz w:val="28"/>
          <w:szCs w:val="28"/>
        </w:rPr>
        <w:t xml:space="preserve">1. Predkladateľ právneho predpisu: </w:t>
      </w:r>
    </w:p>
    <w:p w:rsidR="00681C10" w:rsidRPr="00916A5C" w:rsidP="00681C10">
      <w:pPr>
        <w:bidi w:val="0"/>
        <w:rPr>
          <w:rFonts w:ascii="Times New Roman" w:hAnsi="Times New Roman"/>
          <w:sz w:val="28"/>
          <w:szCs w:val="28"/>
        </w:rPr>
      </w:pPr>
    </w:p>
    <w:p w:rsidR="00681C10" w:rsidRPr="00916A5C" w:rsidP="00681C10">
      <w:pPr>
        <w:bidi w:val="0"/>
        <w:rPr>
          <w:rFonts w:ascii="Times New Roman" w:hAnsi="Times New Roman"/>
          <w:sz w:val="28"/>
          <w:szCs w:val="28"/>
        </w:rPr>
      </w:pPr>
      <w:r w:rsidRPr="00916A5C">
        <w:rPr>
          <w:rFonts w:ascii="Times New Roman" w:hAnsi="Times New Roman"/>
          <w:sz w:val="28"/>
          <w:szCs w:val="28"/>
        </w:rPr>
        <w:t xml:space="preserve">Skupina poslancov NR SR </w:t>
      </w:r>
    </w:p>
    <w:p w:rsidR="00681C10" w:rsidRPr="00916A5C" w:rsidP="00681C10">
      <w:pPr>
        <w:bidi w:val="0"/>
        <w:rPr>
          <w:rFonts w:ascii="Times New Roman" w:hAnsi="Times New Roman"/>
          <w:sz w:val="28"/>
          <w:szCs w:val="28"/>
        </w:rPr>
      </w:pPr>
    </w:p>
    <w:p w:rsidR="00681C10" w:rsidRPr="00916A5C" w:rsidP="00681C10">
      <w:pPr>
        <w:bidi w:val="0"/>
        <w:ind w:hanging="57"/>
        <w:rPr>
          <w:rFonts w:ascii="Times New Roman" w:hAnsi="Times New Roman"/>
          <w:sz w:val="28"/>
          <w:szCs w:val="28"/>
        </w:rPr>
      </w:pPr>
      <w:r w:rsidRPr="00916A5C">
        <w:rPr>
          <w:rFonts w:ascii="Times New Roman" w:hAnsi="Times New Roman"/>
          <w:b/>
          <w:bCs/>
          <w:sz w:val="28"/>
          <w:szCs w:val="28"/>
        </w:rPr>
        <w:t>2. Názov návrhu právneho predpisu:</w:t>
      </w:r>
    </w:p>
    <w:p w:rsidR="00681C10" w:rsidRPr="00916A5C" w:rsidP="00681C10">
      <w:pPr>
        <w:autoSpaceDN w:val="0"/>
        <w:bidi w:val="0"/>
        <w:ind w:left="180"/>
        <w:rPr>
          <w:rFonts w:ascii="Times New Roman" w:hAnsi="Times New Roman"/>
          <w:sz w:val="28"/>
          <w:szCs w:val="28"/>
        </w:rPr>
      </w:pPr>
    </w:p>
    <w:p w:rsidR="00681C10" w:rsidRPr="00916A5C" w:rsidP="00681C10">
      <w:pPr>
        <w:autoSpaceDN w:val="0"/>
        <w:bidi w:val="0"/>
        <w:ind w:left="180"/>
        <w:jc w:val="both"/>
        <w:rPr>
          <w:rFonts w:ascii="Times New Roman" w:hAnsi="Times New Roman"/>
          <w:sz w:val="28"/>
          <w:szCs w:val="28"/>
        </w:rPr>
      </w:pPr>
      <w:r w:rsidRPr="00916A5C">
        <w:rPr>
          <w:rFonts w:ascii="Times New Roman" w:hAnsi="Times New Roman"/>
          <w:sz w:val="28"/>
          <w:szCs w:val="28"/>
        </w:rPr>
        <w:t>Zákon, ktorým sa dopĺňa zákon č. 49/2002 Z. z. o ochrane pamiatkového fondu v znení zákona č. 479/2005 Z. z.</w:t>
      </w:r>
      <w:r w:rsidRPr="00916A5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1C10" w:rsidRPr="00916A5C" w:rsidP="00681C10">
      <w:pPr>
        <w:pStyle w:val="BodyText"/>
        <w:bidi w:val="0"/>
        <w:jc w:val="left"/>
        <w:rPr>
          <w:rFonts w:ascii="Times New Roman" w:hAnsi="Times New Roman"/>
          <w:sz w:val="28"/>
          <w:szCs w:val="28"/>
        </w:rPr>
      </w:pPr>
    </w:p>
    <w:p w:rsidR="00681C10" w:rsidRPr="00916A5C" w:rsidP="00681C10">
      <w:pPr>
        <w:bidi w:val="0"/>
        <w:ind w:hanging="57"/>
        <w:rPr>
          <w:rFonts w:ascii="Times New Roman" w:hAnsi="Times New Roman"/>
          <w:b/>
          <w:bCs/>
          <w:sz w:val="28"/>
          <w:szCs w:val="28"/>
        </w:rPr>
      </w:pPr>
      <w:r w:rsidRPr="00916A5C">
        <w:rPr>
          <w:rFonts w:ascii="Times New Roman" w:hAnsi="Times New Roman"/>
          <w:b/>
          <w:bCs/>
          <w:sz w:val="28"/>
          <w:szCs w:val="28"/>
        </w:rPr>
        <w:t>3. Problematika návrhu právneho predpisu:</w:t>
      </w:r>
    </w:p>
    <w:p w:rsidR="00681C10" w:rsidRPr="00916A5C" w:rsidP="00681C10">
      <w:pPr>
        <w:bidi w:val="0"/>
        <w:ind w:hanging="57"/>
        <w:rPr>
          <w:rFonts w:ascii="Times New Roman" w:hAnsi="Times New Roman"/>
          <w:b/>
          <w:bCs/>
          <w:sz w:val="28"/>
          <w:szCs w:val="28"/>
        </w:rPr>
      </w:pPr>
    </w:p>
    <w:p w:rsidR="00681C10" w:rsidRPr="00916A5C" w:rsidP="00681C10">
      <w:pPr>
        <w:numPr>
          <w:numId w:val="3"/>
        </w:numPr>
        <w:bidi w:val="0"/>
        <w:rPr>
          <w:rFonts w:ascii="Times New Roman" w:hAnsi="Times New Roman"/>
          <w:b/>
          <w:bCs/>
          <w:sz w:val="28"/>
          <w:szCs w:val="28"/>
        </w:rPr>
      </w:pPr>
      <w:r w:rsidRPr="00916A5C">
        <w:rPr>
          <w:rFonts w:ascii="Times New Roman" w:hAnsi="Times New Roman"/>
          <w:sz w:val="28"/>
          <w:szCs w:val="28"/>
        </w:rPr>
        <w:t>je upravená v  práve Európskych spoločenstiev:</w:t>
      </w:r>
    </w:p>
    <w:p w:rsidR="00681C10" w:rsidRPr="00916A5C" w:rsidP="00681C10">
      <w:pPr>
        <w:numPr>
          <w:numId w:val="2"/>
        </w:numPr>
        <w:tabs>
          <w:tab w:val="num" w:pos="1110"/>
        </w:tabs>
        <w:autoSpaceDN w:val="0"/>
        <w:bidi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16A5C">
        <w:rPr>
          <w:rFonts w:ascii="Times New Roman" w:hAnsi="Times New Roman"/>
          <w:sz w:val="28"/>
          <w:szCs w:val="28"/>
        </w:rPr>
        <w:t xml:space="preserve">v primárnom práve: čl. 151 Zmluvy o založení Európskeho spoločenstva v platnom znení, </w:t>
      </w:r>
    </w:p>
    <w:p w:rsidR="00681C10" w:rsidRPr="00916A5C" w:rsidP="00681C10">
      <w:pPr>
        <w:tabs>
          <w:tab w:val="left" w:pos="3735"/>
        </w:tabs>
        <w:bidi w:val="0"/>
        <w:ind w:left="720" w:hanging="300"/>
        <w:jc w:val="both"/>
        <w:rPr>
          <w:rFonts w:ascii="Times New Roman" w:hAnsi="Times New Roman"/>
          <w:sz w:val="28"/>
          <w:szCs w:val="28"/>
        </w:rPr>
      </w:pPr>
      <w:r w:rsidRPr="00916A5C">
        <w:rPr>
          <w:rFonts w:ascii="Times New Roman" w:hAnsi="Times New Roman"/>
          <w:sz w:val="28"/>
          <w:szCs w:val="28"/>
        </w:rPr>
        <w:t>-</w:t>
        <w:tab/>
        <w:t>v sekundárnom práve:</w:t>
      </w:r>
    </w:p>
    <w:p w:rsidR="00681C10" w:rsidRPr="00916A5C" w:rsidP="00681C10">
      <w:pPr>
        <w:numPr>
          <w:numId w:val="1"/>
        </w:numPr>
        <w:bidi w:val="0"/>
        <w:ind w:left="900" w:hanging="180"/>
        <w:jc w:val="both"/>
        <w:rPr>
          <w:rStyle w:val="Emphasis"/>
          <w:rFonts w:ascii="Times New Roman" w:hAnsi="Times New Roman"/>
          <w:sz w:val="28"/>
          <w:szCs w:val="28"/>
        </w:rPr>
      </w:pPr>
      <w:r w:rsidRPr="00916A5C">
        <w:rPr>
          <w:rFonts w:ascii="Times New Roman" w:hAnsi="Times New Roman"/>
          <w:sz w:val="28"/>
          <w:szCs w:val="28"/>
        </w:rPr>
        <w:t xml:space="preserve">Nariadenie Rady (EHS) č. 3911/92 zo dňa 9. decembra 1992 o vývoze tovaru kultúrneho charakteru ( </w:t>
      </w:r>
      <w:r w:rsidRPr="00916A5C">
        <w:rPr>
          <w:rStyle w:val="Emphasis"/>
          <w:rFonts w:ascii="Times New Roman" w:hAnsi="Times New Roman"/>
          <w:i w:val="0"/>
          <w:iCs w:val="0"/>
          <w:sz w:val="28"/>
          <w:szCs w:val="28"/>
        </w:rPr>
        <w:t xml:space="preserve">Ú. v. ES L 395, 31.12.1992) v platnom znení, </w:t>
      </w:r>
    </w:p>
    <w:p w:rsidR="00681C10" w:rsidRPr="00916A5C" w:rsidP="00681C10">
      <w:pPr>
        <w:numPr>
          <w:numId w:val="1"/>
        </w:numPr>
        <w:tabs>
          <w:tab w:val="num" w:pos="900"/>
        </w:tabs>
        <w:bidi w:val="0"/>
        <w:ind w:left="900" w:hanging="180"/>
        <w:jc w:val="both"/>
        <w:rPr>
          <w:rFonts w:ascii="Times New Roman" w:hAnsi="Times New Roman"/>
          <w:i/>
          <w:iCs/>
          <w:sz w:val="28"/>
          <w:szCs w:val="28"/>
        </w:rPr>
      </w:pPr>
      <w:r w:rsidRPr="00916A5C">
        <w:rPr>
          <w:rFonts w:ascii="Times New Roman" w:hAnsi="Times New Roman"/>
          <w:sz w:val="28"/>
          <w:szCs w:val="28"/>
        </w:rPr>
        <w:t xml:space="preserve">Nariadenie Rady (ES) č. 806/2003 zo dňa 14. apríla 2003, ktorým sa k rozhodnutiu 1999/468/ES prispôsobujú ustanovenia týkajúce sa výborov, ktoré pomáhajú Komisii pri uplatňovaní jej vykonávacích právomocí stanovených v predpisoch Rady prijatých v súlade s konzultačným postupom (kvalifikovaná väčšina) (Mimoriadne vydanie Ú.v. EÚ, kap. 1/zv. 4; </w:t>
      </w:r>
      <w:r w:rsidRPr="00916A5C">
        <w:rPr>
          <w:rStyle w:val="Emphasis"/>
          <w:rFonts w:ascii="Times New Roman" w:hAnsi="Times New Roman"/>
          <w:i w:val="0"/>
          <w:iCs w:val="0"/>
          <w:sz w:val="28"/>
          <w:szCs w:val="28"/>
        </w:rPr>
        <w:t>Ú. v. EÚ L 122, 16.5.2003) v platnom znení,</w:t>
      </w:r>
    </w:p>
    <w:p w:rsidR="00681C10" w:rsidRPr="00916A5C" w:rsidP="00681C10">
      <w:pPr>
        <w:numPr>
          <w:numId w:val="1"/>
        </w:numPr>
        <w:tabs>
          <w:tab w:val="num" w:pos="900"/>
        </w:tabs>
        <w:bidi w:val="0"/>
        <w:ind w:left="900" w:hanging="180"/>
        <w:jc w:val="both"/>
        <w:rPr>
          <w:rFonts w:ascii="Times New Roman" w:hAnsi="Times New Roman"/>
          <w:sz w:val="28"/>
          <w:szCs w:val="28"/>
        </w:rPr>
      </w:pPr>
      <w:r w:rsidRPr="00916A5C">
        <w:rPr>
          <w:rFonts w:ascii="Times New Roman" w:hAnsi="Times New Roman"/>
          <w:sz w:val="28"/>
          <w:szCs w:val="28"/>
        </w:rPr>
        <w:t>Nariadenie Rady (EHS) č. 2913/92 zo dňa 12. októbra 1992, ktorým sa ustanovuje Colný kódex spoločenstva</w:t>
      </w:r>
      <w:r w:rsidRPr="00916A5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16A5C">
        <w:rPr>
          <w:rFonts w:ascii="Times New Roman" w:hAnsi="Times New Roman"/>
          <w:sz w:val="28"/>
          <w:szCs w:val="28"/>
        </w:rPr>
        <w:t>(</w:t>
      </w:r>
      <w:r w:rsidRPr="00916A5C">
        <w:rPr>
          <w:rStyle w:val="Emphasis"/>
          <w:rFonts w:ascii="Times New Roman" w:hAnsi="Times New Roman"/>
          <w:i w:val="0"/>
          <w:iCs w:val="0"/>
          <w:sz w:val="28"/>
          <w:szCs w:val="28"/>
        </w:rPr>
        <w:t>Ú. v. ES L 302, 19.10.1992) v platnom znení,</w:t>
      </w:r>
    </w:p>
    <w:p w:rsidR="00681C10" w:rsidRPr="00916A5C" w:rsidP="00681C10">
      <w:pPr>
        <w:numPr>
          <w:numId w:val="1"/>
        </w:numPr>
        <w:tabs>
          <w:tab w:val="num" w:pos="900"/>
        </w:tabs>
        <w:bidi w:val="0"/>
        <w:ind w:left="900" w:hanging="180"/>
        <w:jc w:val="both"/>
        <w:rPr>
          <w:rFonts w:ascii="Times New Roman" w:hAnsi="Times New Roman"/>
          <w:sz w:val="28"/>
          <w:szCs w:val="28"/>
        </w:rPr>
      </w:pPr>
      <w:r w:rsidRPr="00916A5C">
        <w:rPr>
          <w:rFonts w:ascii="Times New Roman" w:hAnsi="Times New Roman"/>
          <w:sz w:val="28"/>
          <w:szCs w:val="28"/>
        </w:rPr>
        <w:t>Smernica Rady 93/7/EHS zo dňa  15. marca 1993 o navrátení predmetov kultúrnej hodnoty nezákonne vyvezených z územia členského štátu (</w:t>
      </w:r>
      <w:r w:rsidRPr="00916A5C">
        <w:rPr>
          <w:rStyle w:val="Emphasis"/>
          <w:rFonts w:ascii="Times New Roman" w:hAnsi="Times New Roman"/>
          <w:i w:val="0"/>
          <w:iCs w:val="0"/>
          <w:sz w:val="28"/>
          <w:szCs w:val="28"/>
        </w:rPr>
        <w:t>Ú. v. ES L 74, 27.3.1993),</w:t>
      </w:r>
      <w:r w:rsidRPr="00916A5C">
        <w:rPr>
          <w:rFonts w:ascii="Times New Roman" w:hAnsi="Times New Roman"/>
          <w:sz w:val="28"/>
          <w:szCs w:val="28"/>
        </w:rPr>
        <w:t xml:space="preserve"> </w:t>
      </w:r>
    </w:p>
    <w:p w:rsidR="00681C10" w:rsidRPr="00916A5C" w:rsidP="00681C10">
      <w:pPr>
        <w:numPr>
          <w:numId w:val="3"/>
        </w:numPr>
        <w:autoSpaceDN w:val="0"/>
        <w:bidi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16A5C">
        <w:rPr>
          <w:rFonts w:ascii="Times New Roman" w:hAnsi="Times New Roman"/>
          <w:sz w:val="28"/>
          <w:szCs w:val="28"/>
        </w:rPr>
        <w:t>nie je upravená v práve Európskej únie,</w:t>
      </w:r>
    </w:p>
    <w:p w:rsidR="00681C10" w:rsidRPr="00916A5C" w:rsidP="00681C10">
      <w:pPr>
        <w:numPr>
          <w:numId w:val="3"/>
        </w:numPr>
        <w:autoSpaceDN w:val="0"/>
        <w:bidi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16A5C">
        <w:rPr>
          <w:rFonts w:ascii="Times New Roman" w:hAnsi="Times New Roman"/>
          <w:sz w:val="28"/>
          <w:szCs w:val="28"/>
        </w:rPr>
        <w:t>nie je obsiahnutá v judikatúre Súdneho dvora Európskych spoločenstiev alebo Súdu prvého stupňa Európskych spoločenstiev.</w:t>
      </w:r>
    </w:p>
    <w:p w:rsidR="00681C10" w:rsidRPr="00916A5C" w:rsidP="00681C10">
      <w:pPr>
        <w:pStyle w:val="BodyText"/>
        <w:bidi w:val="0"/>
        <w:ind w:hanging="57"/>
        <w:rPr>
          <w:rFonts w:ascii="Times New Roman" w:hAnsi="Times New Roman"/>
          <w:b/>
          <w:bCs/>
          <w:sz w:val="28"/>
          <w:szCs w:val="28"/>
        </w:rPr>
      </w:pPr>
    </w:p>
    <w:p w:rsidR="00681C10" w:rsidRPr="00916A5C" w:rsidP="00681C10">
      <w:pPr>
        <w:autoSpaceDN w:val="0"/>
        <w:bidi w:val="0"/>
        <w:ind w:left="360" w:hanging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916A5C">
        <w:rPr>
          <w:rFonts w:ascii="Times New Roman" w:hAnsi="Times New Roman"/>
          <w:b/>
          <w:bCs/>
          <w:sz w:val="28"/>
          <w:szCs w:val="28"/>
        </w:rPr>
        <w:t>4. Záväzky Slovenskej republiky vo vzťahu k Európskym spoločenstvám a Európskej únii:</w:t>
      </w:r>
    </w:p>
    <w:p w:rsidR="00681C10" w:rsidRPr="00916A5C" w:rsidP="00681C10">
      <w:pPr>
        <w:numPr>
          <w:numId w:val="4"/>
        </w:numPr>
        <w:tabs>
          <w:tab w:val="num" w:pos="1080"/>
        </w:tabs>
        <w:bidi w:val="0"/>
        <w:ind w:hanging="374"/>
        <w:jc w:val="both"/>
        <w:rPr>
          <w:rFonts w:ascii="Times New Roman" w:hAnsi="Times New Roman"/>
          <w:sz w:val="28"/>
          <w:szCs w:val="28"/>
        </w:rPr>
      </w:pPr>
      <w:r w:rsidRPr="00916A5C">
        <w:rPr>
          <w:rFonts w:ascii="Times New Roman" w:hAnsi="Times New Roman"/>
          <w:sz w:val="28"/>
          <w:szCs w:val="28"/>
        </w:rPr>
        <w:t>v rámci Aktu o podmienkach pristúpenia pripojenom k Zmluve o pristúpení Slovenskej republiky k Európskej únii nebolo v danej oblasti dohodnuté žiadne prechodné obdobie;</w:t>
      </w:r>
    </w:p>
    <w:p w:rsidR="00681C10" w:rsidRPr="00916A5C" w:rsidP="00681C10">
      <w:pPr>
        <w:bidi w:val="0"/>
        <w:ind w:left="555"/>
        <w:jc w:val="both"/>
        <w:rPr>
          <w:rFonts w:ascii="Times New Roman" w:hAnsi="Times New Roman"/>
          <w:sz w:val="28"/>
          <w:szCs w:val="28"/>
        </w:rPr>
      </w:pPr>
      <w:r w:rsidRPr="00916A5C">
        <w:rPr>
          <w:rFonts w:ascii="Times New Roman" w:hAnsi="Times New Roman"/>
          <w:sz w:val="28"/>
          <w:szCs w:val="28"/>
        </w:rPr>
        <w:t>Slovenská republika bola povinná Smernica Rady 93/7/EHS zo dňa  15. marca 1993 o navrátení predmetov kultúrnej hodnoty nezákonne vyvezených z územia členského štátu (</w:t>
      </w:r>
      <w:r w:rsidRPr="00916A5C">
        <w:rPr>
          <w:rStyle w:val="Emphasis"/>
          <w:rFonts w:ascii="Times New Roman" w:hAnsi="Times New Roman"/>
          <w:i w:val="0"/>
          <w:iCs w:val="0"/>
          <w:sz w:val="28"/>
          <w:szCs w:val="28"/>
        </w:rPr>
        <w:t>Ú. v. ES L 74, 27.3.1993),</w:t>
      </w:r>
      <w:r w:rsidRPr="00916A5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16A5C">
        <w:rPr>
          <w:rFonts w:ascii="Times New Roman" w:hAnsi="Times New Roman"/>
          <w:sz w:val="28"/>
          <w:szCs w:val="28"/>
        </w:rPr>
        <w:t xml:space="preserve">v platnom znení transponovať do svojho právneho poriadku ku dňu vstupu do EÚ, </w:t>
      </w:r>
    </w:p>
    <w:p w:rsidR="00681C10" w:rsidRPr="00916A5C" w:rsidP="00681C10">
      <w:pPr>
        <w:numPr>
          <w:numId w:val="4"/>
        </w:numPr>
        <w:tabs>
          <w:tab w:val="num" w:pos="1080"/>
        </w:tabs>
        <w:bidi w:val="0"/>
        <w:ind w:hanging="374"/>
        <w:jc w:val="both"/>
        <w:rPr>
          <w:rFonts w:ascii="Times New Roman" w:hAnsi="Times New Roman"/>
          <w:sz w:val="28"/>
          <w:szCs w:val="28"/>
        </w:rPr>
      </w:pPr>
      <w:r w:rsidRPr="00916A5C">
        <w:rPr>
          <w:rFonts w:ascii="Times New Roman" w:hAnsi="Times New Roman"/>
          <w:sz w:val="28"/>
          <w:szCs w:val="28"/>
        </w:rPr>
        <w:t>v danej oblasti nebolo začaté konanie proti Slovenskej republike o porušení Zmluvy o založení Európskych spoločenstiev podľa čl. 226 až 228 Zmluvy o založení Európskych spoločenstiev v platnom znení,</w:t>
      </w:r>
    </w:p>
    <w:p w:rsidR="00681C10" w:rsidRPr="00916A5C" w:rsidP="00681C10">
      <w:pPr>
        <w:numPr>
          <w:numId w:val="4"/>
        </w:numPr>
        <w:tabs>
          <w:tab w:val="num" w:pos="1080"/>
        </w:tabs>
        <w:bidi w:val="0"/>
        <w:jc w:val="both"/>
        <w:rPr>
          <w:rFonts w:ascii="Times New Roman" w:hAnsi="Times New Roman"/>
          <w:sz w:val="28"/>
          <w:szCs w:val="28"/>
        </w:rPr>
      </w:pPr>
      <w:r w:rsidRPr="00916A5C">
        <w:rPr>
          <w:rFonts w:ascii="Times New Roman" w:hAnsi="Times New Roman"/>
          <w:sz w:val="28"/>
          <w:szCs w:val="28"/>
        </w:rPr>
        <w:t>Smernica Rady 93/7/EHS zo dňa  15. marca 1993 o navrátení predmetov kultúrnej hodnoty nezákonne vyvezených z územia členského štátu (</w:t>
      </w:r>
      <w:r w:rsidRPr="00916A5C">
        <w:rPr>
          <w:rStyle w:val="Emphasis"/>
          <w:rFonts w:ascii="Times New Roman" w:hAnsi="Times New Roman"/>
          <w:i w:val="0"/>
          <w:iCs w:val="0"/>
          <w:sz w:val="28"/>
          <w:szCs w:val="28"/>
        </w:rPr>
        <w:t>Ú. v. ES L 74, 27.3.1993)</w:t>
      </w:r>
      <w:r w:rsidRPr="00916A5C">
        <w:rPr>
          <w:rFonts w:ascii="Times New Roman" w:hAnsi="Times New Roman"/>
          <w:sz w:val="28"/>
          <w:szCs w:val="28"/>
        </w:rPr>
        <w:t xml:space="preserve">  bola do právneho poriadku prebraná zákonom č. 416/2002 Z. z. o navrátení nezákonne vyvezených kultúrnych predmetov v znení zákona č. 149/2005 Z. z. a zákona č. 395/2002 Z. z. o archívoch a registratúrach a o doplnení niektorých zákonov v znení neskorších predpisov.</w:t>
      </w:r>
    </w:p>
    <w:p w:rsidR="00681C10" w:rsidRPr="00916A5C" w:rsidP="00681C10">
      <w:pPr>
        <w:bidi w:val="0"/>
        <w:ind w:hanging="57"/>
        <w:jc w:val="both"/>
        <w:rPr>
          <w:rFonts w:ascii="Times New Roman" w:hAnsi="Times New Roman"/>
          <w:sz w:val="28"/>
          <w:szCs w:val="28"/>
        </w:rPr>
      </w:pPr>
    </w:p>
    <w:p w:rsidR="00681C10" w:rsidRPr="00916A5C" w:rsidP="00681C10">
      <w:pPr>
        <w:bidi w:val="0"/>
        <w:ind w:left="180" w:hanging="180"/>
        <w:jc w:val="both"/>
        <w:rPr>
          <w:rFonts w:ascii="Times New Roman" w:hAnsi="Times New Roman"/>
          <w:b/>
          <w:bCs/>
          <w:sz w:val="28"/>
          <w:szCs w:val="28"/>
        </w:rPr>
      </w:pPr>
      <w:r w:rsidRPr="00916A5C">
        <w:rPr>
          <w:rFonts w:ascii="Times New Roman" w:hAnsi="Times New Roman"/>
          <w:b/>
          <w:bCs/>
          <w:sz w:val="28"/>
          <w:szCs w:val="28"/>
        </w:rPr>
        <w:t>5. Stupeň zlučiteľnosti návrhu právneho predpisu s právom Európskych spoločenstiev  a právom Európskej únie:</w:t>
      </w:r>
    </w:p>
    <w:p w:rsidR="00681C10" w:rsidRPr="00916A5C" w:rsidP="00681C10">
      <w:pPr>
        <w:tabs>
          <w:tab w:val="num" w:pos="360"/>
          <w:tab w:val="left" w:pos="3300"/>
        </w:tabs>
        <w:bidi w:val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916A5C">
        <w:rPr>
          <w:rFonts w:ascii="Times New Roman" w:hAnsi="Times New Roman"/>
          <w:sz w:val="28"/>
          <w:szCs w:val="28"/>
        </w:rPr>
        <w:t xml:space="preserve"> </w:t>
      </w:r>
    </w:p>
    <w:p w:rsidR="00681C10" w:rsidRPr="00916A5C" w:rsidP="00681C10">
      <w:pPr>
        <w:tabs>
          <w:tab w:val="num" w:pos="360"/>
          <w:tab w:val="left" w:pos="3300"/>
        </w:tabs>
        <w:bidi w:val="0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Úplná zlu</w:t>
      </w:r>
      <w:r w:rsidRPr="00916A5C">
        <w:rPr>
          <w:rFonts w:ascii="Times New Roman" w:hAnsi="Times New Roman"/>
          <w:sz w:val="28"/>
          <w:szCs w:val="28"/>
        </w:rPr>
        <w:t>čiteľnosť</w:t>
      </w:r>
    </w:p>
    <w:p w:rsidR="00681C10" w:rsidRPr="00916A5C" w:rsidP="00681C10">
      <w:pPr>
        <w:pStyle w:val="Title"/>
        <w:bidi w:val="0"/>
        <w:rPr>
          <w:rFonts w:ascii="Times New Roman" w:hAnsi="Times New Roman"/>
          <w:szCs w:val="28"/>
        </w:rPr>
      </w:pPr>
    </w:p>
    <w:p w:rsidR="00681C10" w:rsidRPr="00916A5C" w:rsidP="00681C10">
      <w:pPr>
        <w:pStyle w:val="Title"/>
        <w:bidi w:val="0"/>
        <w:rPr>
          <w:rFonts w:ascii="Times New Roman" w:hAnsi="Times New Roman"/>
          <w:szCs w:val="28"/>
        </w:rPr>
      </w:pPr>
    </w:p>
    <w:p w:rsidR="00681C10" w:rsidRPr="00916A5C" w:rsidP="00681C10">
      <w:pPr>
        <w:pStyle w:val="Title"/>
        <w:bidi w:val="0"/>
        <w:rPr>
          <w:rFonts w:ascii="Times New Roman" w:hAnsi="Times New Roman"/>
        </w:rPr>
      </w:pPr>
    </w:p>
    <w:p w:rsidR="00681C10" w:rsidRPr="00916A5C" w:rsidP="00681C10">
      <w:pPr>
        <w:pStyle w:val="Title"/>
        <w:bidi w:val="0"/>
        <w:rPr>
          <w:rFonts w:ascii="Times New Roman" w:hAnsi="Times New Roman"/>
        </w:rPr>
      </w:pPr>
    </w:p>
    <w:p w:rsidR="00681C10" w:rsidRPr="00916A5C" w:rsidP="00681C10">
      <w:pPr>
        <w:pStyle w:val="Title"/>
        <w:bidi w:val="0"/>
        <w:rPr>
          <w:rFonts w:ascii="Times New Roman" w:hAnsi="Times New Roman"/>
        </w:rPr>
      </w:pPr>
    </w:p>
    <w:p w:rsidR="00681C10" w:rsidRPr="00916A5C" w:rsidP="00681C10">
      <w:pPr>
        <w:pStyle w:val="Title"/>
        <w:bidi w:val="0"/>
        <w:rPr>
          <w:rFonts w:ascii="Times New Roman" w:hAnsi="Times New Roman"/>
        </w:rPr>
      </w:pPr>
    </w:p>
    <w:p w:rsidR="00681C10" w:rsidRPr="00916A5C" w:rsidP="00681C10">
      <w:pPr>
        <w:pStyle w:val="Title"/>
        <w:bidi w:val="0"/>
        <w:rPr>
          <w:rFonts w:ascii="Times New Roman" w:hAnsi="Times New Roman"/>
        </w:rPr>
      </w:pPr>
    </w:p>
    <w:p w:rsidR="00681C10" w:rsidRPr="00916A5C" w:rsidP="00681C10">
      <w:pPr>
        <w:pStyle w:val="Title"/>
        <w:bidi w:val="0"/>
        <w:rPr>
          <w:rFonts w:ascii="Times New Roman" w:hAnsi="Times New Roman"/>
        </w:rPr>
      </w:pPr>
    </w:p>
    <w:p w:rsidR="00681C10" w:rsidRPr="00916A5C" w:rsidP="00681C10">
      <w:pPr>
        <w:pStyle w:val="Title"/>
        <w:bidi w:val="0"/>
        <w:rPr>
          <w:rFonts w:ascii="Times New Roman" w:hAnsi="Times New Roman"/>
        </w:rPr>
      </w:pPr>
    </w:p>
    <w:p w:rsidR="00681C10" w:rsidRPr="00916A5C" w:rsidP="00681C10">
      <w:pPr>
        <w:pStyle w:val="Title"/>
        <w:bidi w:val="0"/>
        <w:rPr>
          <w:rFonts w:ascii="Times New Roman" w:hAnsi="Times New Roman"/>
        </w:rPr>
      </w:pPr>
    </w:p>
    <w:p w:rsidR="00681C10" w:rsidRPr="00916A5C" w:rsidP="00681C10">
      <w:pPr>
        <w:pStyle w:val="Title"/>
        <w:bidi w:val="0"/>
        <w:rPr>
          <w:rFonts w:ascii="Times New Roman" w:hAnsi="Times New Roman"/>
        </w:rPr>
      </w:pPr>
    </w:p>
    <w:p w:rsidR="00681C10" w:rsidRPr="00916A5C" w:rsidP="00681C10">
      <w:pPr>
        <w:pStyle w:val="Title"/>
        <w:bidi w:val="0"/>
        <w:rPr>
          <w:rFonts w:ascii="Times New Roman" w:hAnsi="Times New Roman"/>
        </w:rPr>
      </w:pPr>
    </w:p>
    <w:p w:rsidR="00681C10" w:rsidRPr="00916A5C" w:rsidP="00681C10">
      <w:pPr>
        <w:pStyle w:val="Title"/>
        <w:bidi w:val="0"/>
        <w:rPr>
          <w:rFonts w:ascii="Times New Roman" w:hAnsi="Times New Roman"/>
        </w:rPr>
      </w:pPr>
    </w:p>
    <w:p w:rsidR="00681C10" w:rsidRPr="00916A5C" w:rsidP="00681C10">
      <w:pPr>
        <w:pStyle w:val="Title"/>
        <w:bidi w:val="0"/>
        <w:rPr>
          <w:rFonts w:ascii="Times New Roman" w:hAnsi="Times New Roman"/>
        </w:rPr>
      </w:pPr>
    </w:p>
    <w:p w:rsidR="00681C10" w:rsidRPr="00916A5C" w:rsidP="00681C10">
      <w:pPr>
        <w:pStyle w:val="Title"/>
        <w:bidi w:val="0"/>
        <w:rPr>
          <w:rFonts w:ascii="Times New Roman" w:hAnsi="Times New Roman"/>
        </w:rPr>
      </w:pPr>
    </w:p>
    <w:p w:rsidR="00681C10" w:rsidRPr="00916A5C" w:rsidP="00681C10">
      <w:pPr>
        <w:pStyle w:val="Title"/>
        <w:bidi w:val="0"/>
        <w:rPr>
          <w:rFonts w:ascii="Times New Roman" w:hAnsi="Times New Roman"/>
        </w:rPr>
      </w:pPr>
    </w:p>
    <w:p w:rsidR="0009226B">
      <w:pPr>
        <w:bidi w:val="0"/>
        <w:rPr>
          <w:rFonts w:ascii="Times New Roman" w:hAnsi="Times New Roman"/>
        </w:rPr>
      </w:pPr>
    </w:p>
    <w:sectPr w:rsidSect="0009226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39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39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39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39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39">
    <w:pPr>
      <w:pStyle w:val="Head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E079AE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860239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39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65F0"/>
    <w:multiLevelType w:val="hybridMultilevel"/>
    <w:tmpl w:val="504E51D2"/>
    <w:lvl w:ilvl="0">
      <w:start w:val="1"/>
      <w:numFmt w:val="lowerLetter"/>
      <w:lvlText w:val="%1)"/>
      <w:lvlJc w:val="left"/>
      <w:pPr>
        <w:tabs>
          <w:tab w:val="num" w:pos="555"/>
        </w:tabs>
        <w:ind w:left="555" w:hanging="55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">
    <w:nsid w:val="2BD41ACB"/>
    <w:multiLevelType w:val="hybridMultilevel"/>
    <w:tmpl w:val="17A42F42"/>
    <w:lvl w:ilvl="0">
      <w:start w:val="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776220E"/>
    <w:multiLevelType w:val="hybridMultilevel"/>
    <w:tmpl w:val="0DC49E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3">
    <w:nsid w:val="7BAF3F73"/>
    <w:multiLevelType w:val="hybridMultilevel"/>
    <w:tmpl w:val="E30860A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81C10"/>
    <w:rsid w:val="0009226B"/>
    <w:rsid w:val="005A4C19"/>
    <w:rsid w:val="00611539"/>
    <w:rsid w:val="00681C10"/>
    <w:rsid w:val="00860239"/>
    <w:rsid w:val="00916A5C"/>
    <w:rsid w:val="00BE48BF"/>
    <w:rsid w:val="00E079A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1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681C10"/>
    <w:pPr>
      <w:jc w:val="center"/>
    </w:pPr>
    <w:rPr>
      <w:b/>
      <w:color w:val="000000"/>
      <w:sz w:val="28"/>
      <w:lang w:eastAsia="en-US"/>
    </w:rPr>
  </w:style>
  <w:style w:type="character" w:customStyle="1" w:styleId="TitleChar">
    <w:name w:val="Title Char"/>
    <w:basedOn w:val="DefaultParagraphFont"/>
    <w:link w:val="Title"/>
    <w:locked/>
    <w:rsid w:val="00681C10"/>
    <w:rPr>
      <w:rFonts w:ascii="Times New Roman" w:hAnsi="Times New Roman" w:cs="Times New Roman"/>
      <w:b/>
      <w:color w:val="000000"/>
      <w:sz w:val="24"/>
      <w:szCs w:val="24"/>
      <w:rtl w:val="0"/>
      <w:cs w:val="0"/>
    </w:rPr>
  </w:style>
  <w:style w:type="paragraph" w:styleId="BodyText">
    <w:name w:val="Body Text"/>
    <w:basedOn w:val="Normal"/>
    <w:link w:val="BodyTextChar"/>
    <w:semiHidden/>
    <w:rsid w:val="00681C10"/>
    <w:pPr>
      <w:widowControl w:val="0"/>
      <w:autoSpaceDE w:val="0"/>
      <w:autoSpaceDN w:val="0"/>
      <w:jc w:val="both"/>
    </w:pPr>
    <w:rPr>
      <w:lang w:eastAsia="sk-SK"/>
    </w:rPr>
  </w:style>
  <w:style w:type="character" w:customStyle="1" w:styleId="BodyTextChar">
    <w:name w:val="Body Text Char"/>
    <w:basedOn w:val="DefaultParagraphFont"/>
    <w:link w:val="BodyText"/>
    <w:semiHidden/>
    <w:locked/>
    <w:rsid w:val="00681C1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qFormat/>
    <w:rsid w:val="00681C10"/>
    <w:rPr>
      <w:rFonts w:cs="Times New Roman"/>
      <w:i/>
      <w:iCs/>
      <w:rtl w:val="0"/>
      <w:cs w:val="0"/>
    </w:rPr>
  </w:style>
  <w:style w:type="paragraph" w:styleId="Header">
    <w:name w:val="header"/>
    <w:basedOn w:val="Normal"/>
    <w:link w:val="HeaderChar"/>
    <w:uiPriority w:val="99"/>
    <w:unhideWhenUsed/>
    <w:rsid w:val="00860239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60239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paragraph" w:styleId="Footer">
    <w:name w:val="footer"/>
    <w:basedOn w:val="Normal"/>
    <w:link w:val="FooterChar"/>
    <w:uiPriority w:val="99"/>
    <w:semiHidden/>
    <w:unhideWhenUsed/>
    <w:rsid w:val="00860239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0239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419</Words>
  <Characters>2393</Characters>
  <Application>Microsoft Office Word</Application>
  <DocSecurity>0</DocSecurity>
  <Lines>0</Lines>
  <Paragraphs>0</Paragraphs>
  <ScaleCrop>false</ScaleCrop>
  <Company>Kancelaria NR SR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Tomas_Galbavy</dc:creator>
  <cp:lastModifiedBy>Gašparíková, Jarmila</cp:lastModifiedBy>
  <cp:revision>2</cp:revision>
  <dcterms:created xsi:type="dcterms:W3CDTF">2011-06-10T16:59:00Z</dcterms:created>
  <dcterms:modified xsi:type="dcterms:W3CDTF">2011-06-10T16:59:00Z</dcterms:modified>
</cp:coreProperties>
</file>