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2DB6" w:rsidRPr="00962DB6" w:rsidP="00962DB6">
      <w:pPr>
        <w:pStyle w:val="Heading6"/>
        <w:bidi w:val="0"/>
        <w:rPr>
          <w:rFonts w:ascii="Times New Roman" w:hAnsi="Times New Roman"/>
          <w:sz w:val="36"/>
          <w:szCs w:val="36"/>
          <w:u w:val="single"/>
        </w:rPr>
      </w:pPr>
      <w:r w:rsidRPr="00962DB6">
        <w:rPr>
          <w:rFonts w:ascii="Times New Roman" w:hAnsi="Times New Roman"/>
          <w:sz w:val="36"/>
          <w:szCs w:val="36"/>
          <w:u w:val="single"/>
        </w:rPr>
        <w:t>Národná rada Slovenskej republiky</w:t>
      </w:r>
    </w:p>
    <w:p w:rsidR="00962DB6" w:rsidRPr="00916A5C" w:rsidP="00962DB6">
      <w:pPr>
        <w:bidi w:val="0"/>
        <w:rPr>
          <w:rFonts w:ascii="Times New Roman" w:hAnsi="Times New Roman"/>
        </w:rPr>
      </w:pPr>
    </w:p>
    <w:p w:rsidR="00962DB6" w:rsidRPr="00916A5C" w:rsidP="00962DB6">
      <w:pPr>
        <w:bidi w:val="0"/>
        <w:jc w:val="center"/>
        <w:rPr>
          <w:rFonts w:ascii="Times New Roman" w:hAnsi="Times New Roman"/>
          <w:b/>
          <w:sz w:val="28"/>
          <w:szCs w:val="28"/>
        </w:rPr>
      </w:pPr>
      <w:r w:rsidRPr="00916A5C">
        <w:rPr>
          <w:rFonts w:ascii="Times New Roman" w:hAnsi="Times New Roman"/>
          <w:b/>
          <w:sz w:val="28"/>
          <w:szCs w:val="28"/>
        </w:rPr>
        <w:t>V. volebné obdobie</w:t>
      </w:r>
    </w:p>
    <w:p w:rsidR="00962DB6" w:rsidRPr="00916A5C" w:rsidP="00962DB6">
      <w:pPr>
        <w:bidi w:val="0"/>
        <w:jc w:val="center"/>
        <w:rPr>
          <w:rFonts w:ascii="Times New Roman" w:hAnsi="Times New Roman"/>
          <w:b/>
          <w:sz w:val="28"/>
          <w:szCs w:val="28"/>
        </w:rPr>
      </w:pPr>
    </w:p>
    <w:p w:rsidR="00962DB6" w:rsidRPr="00916A5C" w:rsidP="00962DB6">
      <w:pPr>
        <w:bidi w:val="0"/>
        <w:jc w:val="center"/>
        <w:rPr>
          <w:rFonts w:ascii="Times New Roman" w:hAnsi="Times New Roman"/>
          <w:b/>
          <w:sz w:val="28"/>
          <w:szCs w:val="28"/>
        </w:rPr>
      </w:pPr>
    </w:p>
    <w:p w:rsidR="00962DB6" w:rsidRPr="00916A5C" w:rsidP="00962DB6">
      <w:pPr>
        <w:pStyle w:val="Heading6"/>
        <w:bidi w:val="0"/>
        <w:rPr>
          <w:rFonts w:ascii="Times New Roman" w:hAnsi="Times New Roman"/>
        </w:rPr>
      </w:pPr>
      <w:r w:rsidRPr="00916A5C">
        <w:rPr>
          <w:rFonts w:ascii="Times New Roman" w:hAnsi="Times New Roman"/>
        </w:rPr>
        <w:t>Návrh</w:t>
      </w:r>
    </w:p>
    <w:p w:rsidR="00962DB6" w:rsidRPr="00916A5C" w:rsidP="00962DB6">
      <w:pPr>
        <w:bidi w:val="0"/>
        <w:jc w:val="center"/>
        <w:rPr>
          <w:rFonts w:ascii="Times New Roman" w:hAnsi="Times New Roman"/>
          <w:b/>
          <w:color w:val="000000"/>
          <w:sz w:val="28"/>
        </w:rPr>
      </w:pPr>
    </w:p>
    <w:p w:rsidR="00962DB6" w:rsidRPr="00916A5C" w:rsidP="00962DB6">
      <w:pPr>
        <w:pStyle w:val="Subtitle"/>
        <w:bidi w:val="0"/>
        <w:rPr>
          <w:rFonts w:ascii="Times New Roman" w:hAnsi="Times New Roman"/>
        </w:rPr>
      </w:pPr>
    </w:p>
    <w:p w:rsidR="00962DB6" w:rsidRPr="00916A5C" w:rsidP="00962DB6">
      <w:pPr>
        <w:pStyle w:val="Subtitle"/>
        <w:bidi w:val="0"/>
        <w:rPr>
          <w:rFonts w:ascii="Times New Roman" w:hAnsi="Times New Roman"/>
        </w:rPr>
      </w:pPr>
      <w:r w:rsidRPr="00916A5C">
        <w:rPr>
          <w:rFonts w:ascii="Times New Roman" w:hAnsi="Times New Roman"/>
        </w:rPr>
        <w:t>Zákon</w:t>
      </w:r>
    </w:p>
    <w:p w:rsidR="00962DB6" w:rsidRPr="00916A5C" w:rsidP="00962DB6">
      <w:pPr>
        <w:bidi w:val="0"/>
        <w:jc w:val="center"/>
        <w:rPr>
          <w:rFonts w:ascii="Times New Roman" w:hAnsi="Times New Roman"/>
          <w:b/>
          <w:color w:val="000000"/>
          <w:sz w:val="28"/>
        </w:rPr>
      </w:pPr>
    </w:p>
    <w:p w:rsidR="00962DB6" w:rsidRPr="00916A5C" w:rsidP="00962DB6">
      <w:pPr>
        <w:bidi w:val="0"/>
        <w:jc w:val="center"/>
        <w:rPr>
          <w:rFonts w:ascii="Times New Roman" w:hAnsi="Times New Roman"/>
          <w:b/>
          <w:color w:val="000000"/>
          <w:sz w:val="28"/>
        </w:rPr>
      </w:pPr>
      <w:r w:rsidRPr="00916A5C">
        <w:rPr>
          <w:rFonts w:ascii="Times New Roman" w:hAnsi="Times New Roman"/>
          <w:b/>
          <w:color w:val="000000"/>
          <w:sz w:val="28"/>
        </w:rPr>
        <w:t>z ....... 2011 Z. z,</w:t>
      </w:r>
    </w:p>
    <w:p w:rsidR="00962DB6" w:rsidRPr="00916A5C" w:rsidP="00962DB6">
      <w:pPr>
        <w:bidi w:val="0"/>
        <w:rPr>
          <w:rFonts w:ascii="Times New Roman" w:hAnsi="Times New Roman"/>
          <w:b/>
          <w:color w:val="000000"/>
          <w:sz w:val="28"/>
        </w:rPr>
      </w:pPr>
    </w:p>
    <w:p w:rsidR="00962DB6" w:rsidRPr="00916A5C" w:rsidP="00962DB6">
      <w:pPr>
        <w:pStyle w:val="BodyText3"/>
        <w:bidi w:val="0"/>
        <w:jc w:val="both"/>
        <w:rPr>
          <w:rFonts w:ascii="Times New Roman" w:hAnsi="Times New Roman"/>
        </w:rPr>
      </w:pPr>
      <w:r w:rsidRPr="00916A5C">
        <w:rPr>
          <w:rFonts w:ascii="Times New Roman" w:hAnsi="Times New Roman"/>
        </w:rPr>
        <w:t xml:space="preserve">ktorým sa dopĺňa zákon </w:t>
      </w:r>
      <w:r w:rsidRPr="00916A5C">
        <w:rPr>
          <w:rFonts w:ascii="Times New Roman" w:hAnsi="Times New Roman"/>
          <w:color w:val="auto"/>
          <w:lang w:eastAsia="sk-SK"/>
        </w:rPr>
        <w:t>č. 49/2002 Z. z. o ochrane pamiatkového fondu</w:t>
      </w:r>
      <w:r w:rsidRPr="00916A5C">
        <w:rPr>
          <w:rFonts w:ascii="Times New Roman" w:hAnsi="Times New Roman"/>
        </w:rPr>
        <w:t xml:space="preserve"> v znení neskorších predpisov</w:t>
      </w:r>
    </w:p>
    <w:p w:rsidR="00962DB6" w:rsidRPr="00916A5C" w:rsidP="00962DB6">
      <w:pPr>
        <w:bidi w:val="0"/>
        <w:jc w:val="both"/>
        <w:rPr>
          <w:rFonts w:ascii="Times New Roman" w:hAnsi="Times New Roman"/>
          <w:b/>
          <w:color w:val="000000"/>
          <w:sz w:val="28"/>
        </w:rPr>
      </w:pPr>
    </w:p>
    <w:p w:rsidR="00962DB6" w:rsidRPr="00916A5C" w:rsidP="00962DB6">
      <w:pPr>
        <w:bidi w:val="0"/>
        <w:jc w:val="both"/>
        <w:rPr>
          <w:rFonts w:ascii="Times New Roman" w:hAnsi="Times New Roman"/>
          <w:color w:val="000000"/>
          <w:sz w:val="28"/>
        </w:rPr>
      </w:pPr>
    </w:p>
    <w:p w:rsidR="00962DB6" w:rsidRPr="00916A5C" w:rsidP="00962DB6">
      <w:pPr>
        <w:pStyle w:val="Heading2"/>
        <w:bidi w:val="0"/>
        <w:rPr>
          <w:rFonts w:ascii="Times New Roman" w:hAnsi="Times New Roman"/>
          <w:bCs w:val="0"/>
          <w:szCs w:val="24"/>
        </w:rPr>
      </w:pPr>
      <w:r w:rsidRPr="00916A5C">
        <w:rPr>
          <w:rFonts w:ascii="Times New Roman" w:hAnsi="Times New Roman"/>
          <w:bCs w:val="0"/>
          <w:szCs w:val="24"/>
        </w:rPr>
        <w:t>Čl. I</w:t>
      </w:r>
    </w:p>
    <w:p w:rsidR="00962DB6" w:rsidRPr="00916A5C" w:rsidP="00962DB6">
      <w:pPr>
        <w:bidi w:val="0"/>
        <w:jc w:val="both"/>
        <w:rPr>
          <w:rFonts w:ascii="Times New Roman" w:hAnsi="Times New Roman"/>
          <w:b/>
          <w:color w:val="000000"/>
          <w:sz w:val="28"/>
        </w:rPr>
      </w:pPr>
    </w:p>
    <w:p w:rsidR="00962DB6" w:rsidRPr="00916A5C" w:rsidP="00962DB6">
      <w:pPr>
        <w:pStyle w:val="BodyText"/>
        <w:widowControl/>
        <w:bidi w:val="0"/>
        <w:rPr>
          <w:rFonts w:ascii="Times New Roman" w:hAnsi="Times New Roman"/>
          <w:b/>
          <w:sz w:val="28"/>
        </w:rPr>
      </w:pPr>
      <w:r w:rsidRPr="00916A5C">
        <w:rPr>
          <w:rFonts w:ascii="Times New Roman" w:hAnsi="Times New Roman"/>
          <w:b/>
          <w:sz w:val="28"/>
        </w:rPr>
        <w:t>Národná rada Slovenskej republiky sa uzniesla na tomto zákone:</w:t>
      </w:r>
    </w:p>
    <w:p w:rsidR="00962DB6" w:rsidRPr="00916A5C" w:rsidP="00962DB6">
      <w:pPr>
        <w:autoSpaceDN w:val="0"/>
        <w:bidi w:val="0"/>
        <w:jc w:val="both"/>
        <w:rPr>
          <w:rFonts w:ascii="Times New Roman" w:hAnsi="Times New Roman"/>
          <w:b/>
          <w:sz w:val="28"/>
          <w:szCs w:val="20"/>
          <w:lang w:eastAsia="sk-SK"/>
        </w:rPr>
      </w:pPr>
    </w:p>
    <w:p w:rsidR="00962DB6" w:rsidRPr="00916A5C" w:rsidP="00962DB6">
      <w:pPr>
        <w:autoSpaceDN w:val="0"/>
        <w:bidi w:val="0"/>
        <w:jc w:val="both"/>
        <w:rPr>
          <w:rFonts w:ascii="Times New Roman" w:hAnsi="Times New Roman"/>
          <w:b/>
          <w:sz w:val="28"/>
          <w:lang w:eastAsia="sk-SK"/>
        </w:rPr>
      </w:pPr>
    </w:p>
    <w:p w:rsidR="00962DB6" w:rsidRPr="00916A5C" w:rsidP="00962DB6">
      <w:pPr>
        <w:autoSpaceDN w:val="0"/>
        <w:bidi w:val="0"/>
        <w:jc w:val="both"/>
        <w:rPr>
          <w:rFonts w:ascii="Times New Roman" w:hAnsi="Times New Roman"/>
          <w:b/>
          <w:sz w:val="28"/>
          <w:lang w:eastAsia="sk-SK"/>
        </w:rPr>
      </w:pPr>
      <w:r w:rsidRPr="00916A5C">
        <w:rPr>
          <w:rFonts w:ascii="Times New Roman" w:hAnsi="Times New Roman"/>
          <w:b/>
          <w:sz w:val="28"/>
        </w:rPr>
        <w:t xml:space="preserve">Zákon č. </w:t>
      </w:r>
      <w:r w:rsidRPr="00916A5C">
        <w:rPr>
          <w:rFonts w:ascii="Times New Roman" w:hAnsi="Times New Roman"/>
          <w:b/>
          <w:sz w:val="28"/>
          <w:lang w:eastAsia="sk-SK"/>
        </w:rPr>
        <w:t xml:space="preserve">49/2002 Z. z. o ochrane pamiatkového fondu v znení zákona č. 479/2005 Z. z. a znení zákona 208/2009 Z. z. sa dopĺňa takto: </w:t>
      </w:r>
      <w:r w:rsidRPr="00916A5C">
        <w:rPr>
          <w:rFonts w:ascii="MS Sans Serif" w:hAnsi="MS Sans Serif"/>
          <w:b/>
          <w:sz w:val="28"/>
          <w:szCs w:val="20"/>
        </w:rPr>
        <w:br/>
      </w:r>
    </w:p>
    <w:p w:rsidR="00962DB6" w:rsidRPr="00916A5C" w:rsidP="00962DB6">
      <w:pPr>
        <w:autoSpaceDN w:val="0"/>
        <w:bidi w:val="0"/>
        <w:jc w:val="both"/>
        <w:rPr>
          <w:rFonts w:ascii="Times New Roman" w:hAnsi="Times New Roman"/>
          <w:b/>
          <w:sz w:val="28"/>
        </w:rPr>
      </w:pPr>
      <w:r w:rsidRPr="00916A5C">
        <w:rPr>
          <w:rFonts w:ascii="Times New Roman" w:hAnsi="Times New Roman"/>
          <w:b/>
          <w:sz w:val="28"/>
          <w:lang w:eastAsia="sk-SK"/>
        </w:rPr>
        <w:t xml:space="preserve">Za </w:t>
      </w:r>
      <w:r w:rsidRPr="00916A5C">
        <w:rPr>
          <w:rFonts w:ascii="Times New Roman" w:hAnsi="Times New Roman"/>
          <w:b/>
          <w:sz w:val="28"/>
        </w:rPr>
        <w:t xml:space="preserve">§ 25 sa vkladá nový § 25a, ktorý znie: </w:t>
      </w:r>
    </w:p>
    <w:p w:rsidR="00962DB6" w:rsidRPr="00916A5C" w:rsidP="00962DB6">
      <w:pPr>
        <w:pStyle w:val="ListParagraph"/>
        <w:bidi w:val="0"/>
        <w:spacing w:before="100" w:beforeAutospacing="1" w:after="100" w:afterAutospacing="1"/>
        <w:jc w:val="center"/>
        <w:rPr>
          <w:rFonts w:ascii="Times New Roman" w:hAnsi="Times New Roman"/>
          <w:b/>
          <w:bCs/>
          <w:sz w:val="28"/>
          <w:szCs w:val="20"/>
          <w:lang w:val="sk-SK" w:eastAsia="sk-SK"/>
        </w:rPr>
      </w:pPr>
      <w:r w:rsidRPr="00916A5C">
        <w:rPr>
          <w:rFonts w:ascii="Times New Roman" w:hAnsi="Times New Roman"/>
          <w:color w:val="auto"/>
          <w:sz w:val="28"/>
          <w:lang w:val="sk-SK" w:eastAsia="sk-SK"/>
        </w:rPr>
        <w:t>„</w:t>
      </w:r>
      <w:r w:rsidRPr="00916A5C">
        <w:rPr>
          <w:rFonts w:ascii="Times New Roman" w:hAnsi="Times New Roman"/>
          <w:sz w:val="28"/>
          <w:szCs w:val="17"/>
          <w:lang w:val="sk-SK" w:eastAsia="sk-SK"/>
        </w:rPr>
        <w:t xml:space="preserve"> </w:t>
      </w:r>
      <w:r w:rsidRPr="00916A5C">
        <w:rPr>
          <w:rFonts w:ascii="Times New Roman" w:hAnsi="Times New Roman"/>
          <w:b/>
          <w:bCs/>
          <w:sz w:val="28"/>
          <w:szCs w:val="20"/>
          <w:lang w:val="sk-SK" w:eastAsia="sk-SK"/>
        </w:rPr>
        <w:t>§ 25a:</w:t>
      </w:r>
    </w:p>
    <w:p w:rsidR="00962DB6" w:rsidRPr="00916A5C" w:rsidP="00962DB6">
      <w:pPr>
        <w:pStyle w:val="ListParagraph"/>
        <w:widowControl/>
        <w:numPr>
          <w:numId w:val="1"/>
        </w:numPr>
        <w:suppressAutoHyphens w:val="0"/>
        <w:autoSpaceDE/>
        <w:bidi w:val="0"/>
        <w:spacing w:before="100" w:beforeAutospacing="1" w:after="100" w:afterAutospacing="1"/>
        <w:jc w:val="both"/>
        <w:rPr>
          <w:rFonts w:ascii="Times New Roman" w:hAnsi="Times New Roman"/>
          <w:sz w:val="28"/>
          <w:szCs w:val="17"/>
          <w:lang w:val="sk-SK" w:eastAsia="sk-SK"/>
        </w:rPr>
      </w:pPr>
      <w:r w:rsidRPr="00916A5C">
        <w:rPr>
          <w:rFonts w:ascii="Times New Roman" w:hAnsi="Times New Roman"/>
          <w:b/>
          <w:bCs/>
          <w:sz w:val="28"/>
          <w:szCs w:val="20"/>
          <w:lang w:val="sk-SK" w:eastAsia="sk-SK"/>
        </w:rPr>
        <w:t>Kultúrnu pamiatku alebo jej súčasť nemožno vyviezť z územia Slovenskej     republiky na územie iného štátu v prípade, že hrozí možnosť exekúcie takejto kultúrnej pamiatky alebo jej súčasti, prípadne výkonu iného rozhodnutia alebo predbežného opatrenia, ktoré by bránilo navráteniu takejto kultúrnej pamiatky alebo jej súčasti na územie Slovenskej republiky.</w:t>
      </w:r>
    </w:p>
    <w:p w:rsidR="00962DB6" w:rsidRPr="00916A5C" w:rsidP="00962DB6">
      <w:pPr>
        <w:pStyle w:val="ListParagraph"/>
        <w:widowControl/>
        <w:numPr>
          <w:numId w:val="1"/>
        </w:numPr>
        <w:suppressAutoHyphens w:val="0"/>
        <w:autoSpaceDE/>
        <w:bidi w:val="0"/>
        <w:spacing w:before="100" w:beforeAutospacing="1" w:after="100" w:afterAutospacing="1"/>
        <w:jc w:val="both"/>
        <w:rPr>
          <w:rFonts w:ascii="Times New Roman" w:hAnsi="Times New Roman"/>
          <w:b/>
          <w:bCs/>
          <w:sz w:val="28"/>
          <w:lang w:val="sk-SK"/>
        </w:rPr>
      </w:pPr>
      <w:r w:rsidRPr="00916A5C">
        <w:rPr>
          <w:rFonts w:ascii="Times New Roman" w:hAnsi="Times New Roman"/>
          <w:b/>
          <w:bCs/>
          <w:sz w:val="28"/>
          <w:lang w:val="sk-SK"/>
        </w:rPr>
        <w:t>Kultúrne pamiatky alebo ich súčasti, dočasne zapožičané na územie Slovenskej republiky iným štátom nepodliehajú výkonu exekúcie alebo akéhokoľvek rozhodnutia alebo predbežného opatrenia, ktoré by bránilo navráteniu takýchto kultúrnych pamiatok alebo ich súčasti štátu, ktorý pamiatky zapožičal.“</w:t>
      </w:r>
    </w:p>
    <w:p w:rsidR="00962DB6" w:rsidRPr="00916A5C" w:rsidP="00962DB6">
      <w:pPr>
        <w:pStyle w:val="ListParagraph"/>
        <w:widowControl/>
        <w:suppressAutoHyphens w:val="0"/>
        <w:autoSpaceDE/>
        <w:bidi w:val="0"/>
        <w:spacing w:before="100" w:beforeAutospacing="1" w:after="100" w:afterAutospacing="1"/>
        <w:ind w:left="-240" w:firstLine="240"/>
        <w:jc w:val="both"/>
        <w:rPr>
          <w:rFonts w:ascii="Times New Roman" w:hAnsi="Times New Roman"/>
          <w:lang w:val="sk-SK"/>
        </w:rPr>
      </w:pPr>
    </w:p>
    <w:p w:rsidR="00962DB6" w:rsidP="00962DB6">
      <w:pPr>
        <w:pStyle w:val="ListParagraph"/>
        <w:widowControl/>
        <w:suppressAutoHyphens w:val="0"/>
        <w:autoSpaceDE/>
        <w:bidi w:val="0"/>
        <w:spacing w:before="100" w:beforeAutospacing="1" w:after="100" w:afterAutospacing="1"/>
        <w:ind w:left="-240" w:firstLine="240"/>
        <w:jc w:val="center"/>
        <w:rPr>
          <w:rFonts w:ascii="Times New Roman" w:hAnsi="Times New Roman"/>
          <w:b/>
          <w:bCs/>
          <w:sz w:val="28"/>
          <w:lang w:val="sk-SK"/>
        </w:rPr>
      </w:pPr>
    </w:p>
    <w:p w:rsidR="00962DB6" w:rsidRPr="00916A5C" w:rsidP="00962DB6">
      <w:pPr>
        <w:pStyle w:val="ListParagraph"/>
        <w:widowControl/>
        <w:suppressAutoHyphens w:val="0"/>
        <w:autoSpaceDE/>
        <w:bidi w:val="0"/>
        <w:spacing w:before="100" w:beforeAutospacing="1" w:after="100" w:afterAutospacing="1"/>
        <w:ind w:left="-240" w:firstLine="240"/>
        <w:jc w:val="center"/>
        <w:rPr>
          <w:rFonts w:ascii="Times New Roman" w:hAnsi="Times New Roman"/>
          <w:b/>
          <w:bCs/>
          <w:sz w:val="28"/>
          <w:lang w:val="sk-SK"/>
        </w:rPr>
      </w:pPr>
      <w:r w:rsidRPr="00916A5C">
        <w:rPr>
          <w:rFonts w:ascii="Times New Roman" w:hAnsi="Times New Roman"/>
          <w:b/>
          <w:bCs/>
          <w:sz w:val="28"/>
          <w:lang w:val="sk-SK"/>
        </w:rPr>
        <w:t>Čl. II</w:t>
      </w:r>
    </w:p>
    <w:p w:rsidR="00962DB6" w:rsidRPr="00916A5C" w:rsidP="00962DB6">
      <w:pPr>
        <w:pStyle w:val="ListParagraph"/>
        <w:widowControl/>
        <w:suppressAutoHyphens w:val="0"/>
        <w:autoSpaceDE/>
        <w:bidi w:val="0"/>
        <w:spacing w:before="100" w:beforeAutospacing="1" w:after="100" w:afterAutospacing="1"/>
        <w:ind w:left="-240" w:firstLine="240"/>
        <w:jc w:val="both"/>
        <w:rPr>
          <w:rFonts w:ascii="Times New Roman" w:hAnsi="Times New Roman"/>
          <w:b/>
          <w:bCs/>
          <w:sz w:val="28"/>
          <w:szCs w:val="28"/>
          <w:lang w:val="sk-SK"/>
        </w:rPr>
      </w:pPr>
      <w:r w:rsidRPr="00916A5C">
        <w:rPr>
          <w:rFonts w:ascii="Times New Roman" w:hAnsi="Times New Roman"/>
          <w:b/>
          <w:bCs/>
          <w:sz w:val="28"/>
          <w:szCs w:val="28"/>
          <w:lang w:val="sk-SK"/>
        </w:rPr>
        <w:t>Tento zákon nadobúda účinnosť dňom vyhlásenia</w:t>
      </w:r>
    </w:p>
    <w:p w:rsidR="0009226B">
      <w:pPr>
        <w:bidi w:val="0"/>
        <w:rPr>
          <w:rFonts w:ascii="Times New Roman" w:hAnsi="Times New Roman"/>
        </w:rPr>
      </w:pPr>
    </w:p>
    <w:sectPr w:rsidSect="0009226B">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S Sans Serif">
    <w:altName w:val="Arial"/>
    <w:panose1 w:val="00000000000000000000"/>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6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61">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6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61">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61">
    <w:pPr>
      <w:pStyle w:val="Head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F37B3">
      <w:rPr>
        <w:rFonts w:ascii="Times New Roman" w:hAnsi="Times New Roman"/>
        <w:noProof/>
      </w:rPr>
      <w:t>1</w:t>
    </w:r>
    <w:r>
      <w:rPr>
        <w:rFonts w:ascii="Times New Roman" w:hAnsi="Times New Roman"/>
      </w:rPr>
      <w:fldChar w:fldCharType="end"/>
    </w:r>
  </w:p>
  <w:p w:rsidR="00E05F61">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6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A26D7"/>
    <w:multiLevelType w:val="hybridMultilevel"/>
    <w:tmpl w:val="D5C81094"/>
    <w:lvl w:ilvl="0">
      <w:start w:val="1"/>
      <w:numFmt w:val="decimal"/>
      <w:lvlText w:val="(%1)"/>
      <w:lvlJc w:val="left"/>
      <w:pPr>
        <w:tabs>
          <w:tab w:val="num" w:pos="165"/>
        </w:tabs>
        <w:ind w:left="165" w:hanging="405"/>
      </w:pPr>
      <w:rPr>
        <w:rFonts w:cs="Times New Roman" w:hint="default"/>
        <w:b/>
        <w:rtl w:val="0"/>
        <w:cs w:val="0"/>
      </w:rPr>
    </w:lvl>
    <w:lvl w:ilvl="1">
      <w:start w:val="1"/>
      <w:numFmt w:val="lowerLetter"/>
      <w:lvlText w:val="%2."/>
      <w:lvlJc w:val="left"/>
      <w:pPr>
        <w:tabs>
          <w:tab w:val="num" w:pos="840"/>
        </w:tabs>
        <w:ind w:left="840" w:hanging="360"/>
      </w:pPr>
      <w:rPr>
        <w:rFonts w:cs="Times New Roman"/>
        <w:rtl w:val="0"/>
        <w:cs w:val="0"/>
      </w:rPr>
    </w:lvl>
    <w:lvl w:ilvl="2">
      <w:start w:val="1"/>
      <w:numFmt w:val="lowerRoman"/>
      <w:lvlText w:val="%3."/>
      <w:lvlJc w:val="right"/>
      <w:pPr>
        <w:tabs>
          <w:tab w:val="num" w:pos="1560"/>
        </w:tabs>
        <w:ind w:left="1560" w:hanging="180"/>
      </w:pPr>
      <w:rPr>
        <w:rFonts w:cs="Times New Roman"/>
        <w:rtl w:val="0"/>
        <w:cs w:val="0"/>
      </w:rPr>
    </w:lvl>
    <w:lvl w:ilvl="3">
      <w:start w:val="1"/>
      <w:numFmt w:val="decimal"/>
      <w:lvlText w:val="%4."/>
      <w:lvlJc w:val="left"/>
      <w:pPr>
        <w:tabs>
          <w:tab w:val="num" w:pos="2280"/>
        </w:tabs>
        <w:ind w:left="2280" w:hanging="360"/>
      </w:pPr>
      <w:rPr>
        <w:rFonts w:cs="Times New Roman"/>
        <w:rtl w:val="0"/>
        <w:cs w:val="0"/>
      </w:rPr>
    </w:lvl>
    <w:lvl w:ilvl="4">
      <w:start w:val="1"/>
      <w:numFmt w:val="lowerLetter"/>
      <w:lvlText w:val="%5."/>
      <w:lvlJc w:val="left"/>
      <w:pPr>
        <w:tabs>
          <w:tab w:val="num" w:pos="3000"/>
        </w:tabs>
        <w:ind w:left="3000" w:hanging="360"/>
      </w:pPr>
      <w:rPr>
        <w:rFonts w:cs="Times New Roman"/>
        <w:rtl w:val="0"/>
        <w:cs w:val="0"/>
      </w:rPr>
    </w:lvl>
    <w:lvl w:ilvl="5">
      <w:start w:val="1"/>
      <w:numFmt w:val="lowerRoman"/>
      <w:lvlText w:val="%6."/>
      <w:lvlJc w:val="right"/>
      <w:pPr>
        <w:tabs>
          <w:tab w:val="num" w:pos="3720"/>
        </w:tabs>
        <w:ind w:left="3720" w:hanging="180"/>
      </w:pPr>
      <w:rPr>
        <w:rFonts w:cs="Times New Roman"/>
        <w:rtl w:val="0"/>
        <w:cs w:val="0"/>
      </w:rPr>
    </w:lvl>
    <w:lvl w:ilvl="6">
      <w:start w:val="1"/>
      <w:numFmt w:val="decimal"/>
      <w:lvlText w:val="%7."/>
      <w:lvlJc w:val="left"/>
      <w:pPr>
        <w:tabs>
          <w:tab w:val="num" w:pos="4440"/>
        </w:tabs>
        <w:ind w:left="4440" w:hanging="360"/>
      </w:pPr>
      <w:rPr>
        <w:rFonts w:cs="Times New Roman"/>
        <w:rtl w:val="0"/>
        <w:cs w:val="0"/>
      </w:rPr>
    </w:lvl>
    <w:lvl w:ilvl="7">
      <w:start w:val="1"/>
      <w:numFmt w:val="lowerLetter"/>
      <w:lvlText w:val="%8."/>
      <w:lvlJc w:val="left"/>
      <w:pPr>
        <w:tabs>
          <w:tab w:val="num" w:pos="5160"/>
        </w:tabs>
        <w:ind w:left="5160" w:hanging="360"/>
      </w:pPr>
      <w:rPr>
        <w:rFonts w:cs="Times New Roman"/>
        <w:rtl w:val="0"/>
        <w:cs w:val="0"/>
      </w:rPr>
    </w:lvl>
    <w:lvl w:ilvl="8">
      <w:start w:val="1"/>
      <w:numFmt w:val="lowerRoman"/>
      <w:lvlText w:val="%9."/>
      <w:lvlJc w:val="right"/>
      <w:pPr>
        <w:tabs>
          <w:tab w:val="num" w:pos="5880"/>
        </w:tabs>
        <w:ind w:left="58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62DB6"/>
    <w:rsid w:val="0009226B"/>
    <w:rsid w:val="000F37B3"/>
    <w:rsid w:val="004B7CDE"/>
    <w:rsid w:val="005A4C19"/>
    <w:rsid w:val="00812737"/>
    <w:rsid w:val="00916A5C"/>
    <w:rsid w:val="00962DB6"/>
    <w:rsid w:val="00E05F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B6"/>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2">
    <w:name w:val="heading 2"/>
    <w:basedOn w:val="Normal"/>
    <w:next w:val="Normal"/>
    <w:link w:val="Heading2Char"/>
    <w:qFormat/>
    <w:rsid w:val="00962DB6"/>
    <w:pPr>
      <w:keepNext/>
      <w:jc w:val="center"/>
      <w:outlineLvl w:val="1"/>
    </w:pPr>
    <w:rPr>
      <w:b/>
      <w:bCs/>
      <w:color w:val="000000"/>
      <w:sz w:val="28"/>
      <w:szCs w:val="32"/>
    </w:rPr>
  </w:style>
  <w:style w:type="paragraph" w:styleId="Heading6">
    <w:name w:val="heading 6"/>
    <w:basedOn w:val="Normal"/>
    <w:next w:val="Normal"/>
    <w:link w:val="Heading6Char"/>
    <w:qFormat/>
    <w:rsid w:val="00962DB6"/>
    <w:pPr>
      <w:keepNext/>
      <w:jc w:val="cente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locked/>
    <w:rsid w:val="00962DB6"/>
    <w:rPr>
      <w:rFonts w:ascii="Times New Roman" w:hAnsi="Times New Roman" w:cs="Times New Roman"/>
      <w:b/>
      <w:bCs/>
      <w:color w:val="000000"/>
      <w:sz w:val="32"/>
      <w:szCs w:val="32"/>
      <w:rtl w:val="0"/>
      <w:cs w:val="0"/>
      <w:lang w:val="x-none" w:eastAsia="cs-CZ"/>
    </w:rPr>
  </w:style>
  <w:style w:type="character" w:customStyle="1" w:styleId="Heading6Char">
    <w:name w:val="Heading 6 Char"/>
    <w:basedOn w:val="DefaultParagraphFont"/>
    <w:link w:val="Heading6"/>
    <w:locked/>
    <w:rsid w:val="00962DB6"/>
    <w:rPr>
      <w:rFonts w:ascii="Times New Roman" w:hAnsi="Times New Roman" w:cs="Times New Roman"/>
      <w:b/>
      <w:bCs/>
      <w:sz w:val="24"/>
      <w:szCs w:val="24"/>
      <w:rtl w:val="0"/>
      <w:cs w:val="0"/>
      <w:lang w:val="x-none" w:eastAsia="cs-CZ"/>
    </w:rPr>
  </w:style>
  <w:style w:type="paragraph" w:styleId="BodyText3">
    <w:name w:val="Body Text 3"/>
    <w:basedOn w:val="Normal"/>
    <w:link w:val="BodyText3Char"/>
    <w:semiHidden/>
    <w:rsid w:val="00962DB6"/>
    <w:pPr>
      <w:jc w:val="center"/>
    </w:pPr>
    <w:rPr>
      <w:b/>
      <w:color w:val="000000"/>
      <w:sz w:val="28"/>
      <w:lang w:eastAsia="en-US"/>
    </w:rPr>
  </w:style>
  <w:style w:type="character" w:customStyle="1" w:styleId="BodyText3Char">
    <w:name w:val="Body Text 3 Char"/>
    <w:basedOn w:val="DefaultParagraphFont"/>
    <w:link w:val="BodyText3"/>
    <w:semiHidden/>
    <w:locked/>
    <w:rsid w:val="00962DB6"/>
    <w:rPr>
      <w:rFonts w:ascii="Times New Roman" w:hAnsi="Times New Roman" w:cs="Times New Roman"/>
      <w:b/>
      <w:color w:val="000000"/>
      <w:sz w:val="24"/>
      <w:szCs w:val="24"/>
      <w:rtl w:val="0"/>
      <w:cs w:val="0"/>
    </w:rPr>
  </w:style>
  <w:style w:type="paragraph" w:styleId="BodyText">
    <w:name w:val="Body Text"/>
    <w:basedOn w:val="Normal"/>
    <w:link w:val="BodyTextChar"/>
    <w:semiHidden/>
    <w:rsid w:val="00962DB6"/>
    <w:pPr>
      <w:widowControl w:val="0"/>
      <w:autoSpaceDE w:val="0"/>
      <w:autoSpaceDN w:val="0"/>
      <w:jc w:val="both"/>
    </w:pPr>
    <w:rPr>
      <w:lang w:eastAsia="sk-SK"/>
    </w:rPr>
  </w:style>
  <w:style w:type="character" w:customStyle="1" w:styleId="BodyTextChar">
    <w:name w:val="Body Text Char"/>
    <w:basedOn w:val="DefaultParagraphFont"/>
    <w:link w:val="BodyText"/>
    <w:semiHidden/>
    <w:locked/>
    <w:rsid w:val="00962DB6"/>
    <w:rPr>
      <w:rFonts w:ascii="Times New Roman" w:hAnsi="Times New Roman" w:cs="Times New Roman"/>
      <w:sz w:val="24"/>
      <w:szCs w:val="24"/>
      <w:rtl w:val="0"/>
      <w:cs w:val="0"/>
      <w:lang w:val="x-none" w:eastAsia="sk-SK"/>
    </w:rPr>
  </w:style>
  <w:style w:type="paragraph" w:styleId="ListParagraph">
    <w:name w:val="List Paragraph"/>
    <w:basedOn w:val="Normal"/>
    <w:qFormat/>
    <w:rsid w:val="00962DB6"/>
    <w:pPr>
      <w:widowControl w:val="0"/>
      <w:suppressAutoHyphens/>
      <w:autoSpaceDE w:val="0"/>
      <w:ind w:left="720"/>
      <w:jc w:val="left"/>
    </w:pPr>
    <w:rPr>
      <w:color w:val="000000"/>
      <w:lang w:val="cs-CZ"/>
    </w:rPr>
  </w:style>
  <w:style w:type="paragraph" w:styleId="Subtitle">
    <w:name w:val="Subtitle"/>
    <w:basedOn w:val="Normal"/>
    <w:link w:val="SubtitleChar"/>
    <w:qFormat/>
    <w:rsid w:val="00962DB6"/>
    <w:pPr>
      <w:jc w:val="center"/>
    </w:pPr>
    <w:rPr>
      <w:b/>
      <w:color w:val="000000"/>
      <w:sz w:val="28"/>
    </w:rPr>
  </w:style>
  <w:style w:type="character" w:customStyle="1" w:styleId="SubtitleChar">
    <w:name w:val="Subtitle Char"/>
    <w:basedOn w:val="DefaultParagraphFont"/>
    <w:link w:val="Subtitle"/>
    <w:locked/>
    <w:rsid w:val="00962DB6"/>
    <w:rPr>
      <w:rFonts w:ascii="Times New Roman" w:hAnsi="Times New Roman" w:cs="Times New Roman"/>
      <w:b/>
      <w:color w:val="000000"/>
      <w:sz w:val="24"/>
      <w:szCs w:val="24"/>
      <w:rtl w:val="0"/>
      <w:cs w:val="0"/>
      <w:lang w:val="x-none" w:eastAsia="cs-CZ"/>
    </w:rPr>
  </w:style>
  <w:style w:type="paragraph" w:styleId="Header">
    <w:name w:val="header"/>
    <w:basedOn w:val="Normal"/>
    <w:link w:val="HeaderChar"/>
    <w:uiPriority w:val="99"/>
    <w:unhideWhenUsed/>
    <w:rsid w:val="00E05F61"/>
    <w:pPr>
      <w:tabs>
        <w:tab w:val="center" w:pos="4536"/>
        <w:tab w:val="right" w:pos="9072"/>
      </w:tabs>
      <w:jc w:val="left"/>
    </w:pPr>
  </w:style>
  <w:style w:type="character" w:customStyle="1" w:styleId="HeaderChar">
    <w:name w:val="Header Char"/>
    <w:basedOn w:val="DefaultParagraphFont"/>
    <w:link w:val="Header"/>
    <w:uiPriority w:val="99"/>
    <w:locked/>
    <w:rsid w:val="00E05F61"/>
    <w:rPr>
      <w:rFonts w:ascii="Times New Roman" w:hAnsi="Times New Roman" w:cs="Times New Roman"/>
      <w:sz w:val="24"/>
      <w:szCs w:val="24"/>
      <w:rtl w:val="0"/>
      <w:cs w:val="0"/>
      <w:lang w:val="x-none" w:eastAsia="cs-CZ"/>
    </w:rPr>
  </w:style>
  <w:style w:type="paragraph" w:styleId="Footer">
    <w:name w:val="footer"/>
    <w:basedOn w:val="Normal"/>
    <w:link w:val="FooterChar"/>
    <w:uiPriority w:val="99"/>
    <w:semiHidden/>
    <w:unhideWhenUsed/>
    <w:rsid w:val="00E05F61"/>
    <w:pPr>
      <w:tabs>
        <w:tab w:val="center" w:pos="4536"/>
        <w:tab w:val="right" w:pos="9072"/>
      </w:tabs>
      <w:jc w:val="left"/>
    </w:pPr>
  </w:style>
  <w:style w:type="character" w:customStyle="1" w:styleId="FooterChar">
    <w:name w:val="Footer Char"/>
    <w:basedOn w:val="DefaultParagraphFont"/>
    <w:link w:val="Footer"/>
    <w:uiPriority w:val="99"/>
    <w:semiHidden/>
    <w:locked/>
    <w:rsid w:val="00E05F61"/>
    <w:rPr>
      <w:rFonts w:ascii="Times New Roman" w:hAnsi="Times New Roman" w:cs="Times New Roman"/>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173</Words>
  <Characters>988</Characters>
  <Application>Microsoft Office Word</Application>
  <DocSecurity>0</DocSecurity>
  <Lines>0</Lines>
  <Paragraphs>0</Paragraphs>
  <ScaleCrop>false</ScaleCrop>
  <Company>Kancelaria NR SR</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Tomas_Galbavy</dc:creator>
  <cp:lastModifiedBy>Gašparíková, Jarmila</cp:lastModifiedBy>
  <cp:revision>2</cp:revision>
  <dcterms:created xsi:type="dcterms:W3CDTF">2011-06-10T16:57:00Z</dcterms:created>
  <dcterms:modified xsi:type="dcterms:W3CDTF">2011-06-10T16:57:00Z</dcterms:modified>
</cp:coreProperties>
</file>