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5AD" w:rsidRPr="00B84E77" w:rsidP="000D65A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  <w:r w:rsidRPr="00B84E77">
        <w:rPr>
          <w:rFonts w:ascii="Courier" w:hAnsi="Courier"/>
          <w:sz w:val="24"/>
          <w:szCs w:val="24"/>
        </w:rPr>
        <w:t>Návrh</w:t>
      </w:r>
    </w:p>
    <w:p w:rsidR="000D65AD" w:rsidRPr="00B84E77" w:rsidP="000D65A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</w:p>
    <w:p w:rsidR="000D65AD" w:rsidRPr="00B84E77" w:rsidP="000D65A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  <w:r w:rsidRPr="00B84E77">
        <w:rPr>
          <w:rFonts w:ascii="Courier" w:hAnsi="Courier"/>
          <w:sz w:val="24"/>
          <w:szCs w:val="24"/>
        </w:rPr>
        <w:t>VYHLÁŠKA</w:t>
      </w:r>
    </w:p>
    <w:p w:rsidR="000D65AD" w:rsidRPr="00B84E77" w:rsidP="000D65A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  <w:r w:rsidRPr="00B84E77">
        <w:rPr>
          <w:rFonts w:ascii="Courier" w:hAnsi="Courier"/>
          <w:sz w:val="24"/>
          <w:szCs w:val="24"/>
        </w:rPr>
        <w:t xml:space="preserve"> Ministerstva zdravotníctva Slovenskej republiky </w:t>
      </w:r>
    </w:p>
    <w:p w:rsidR="000D65AD" w:rsidRPr="00B84E77" w:rsidP="000D65AD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</w:p>
    <w:p w:rsidR="000D65AD" w:rsidP="000D65AD">
      <w:pPr>
        <w:bidi w:val="0"/>
        <w:spacing w:after="0" w:line="240" w:lineRule="auto"/>
        <w:jc w:val="center"/>
        <w:rPr>
          <w:rFonts w:ascii="Courier" w:hAnsi="Courier"/>
          <w:sz w:val="24"/>
          <w:szCs w:val="24"/>
        </w:rPr>
      </w:pPr>
      <w:r w:rsidRPr="00B84E77">
        <w:rPr>
          <w:rFonts w:ascii="Courier" w:hAnsi="Courier"/>
          <w:sz w:val="24"/>
          <w:szCs w:val="24"/>
        </w:rPr>
        <w:t>z ....... 20</w:t>
      </w:r>
      <w:r>
        <w:rPr>
          <w:rFonts w:ascii="Courier" w:hAnsi="Courier"/>
          <w:sz w:val="24"/>
          <w:szCs w:val="24"/>
        </w:rPr>
        <w:t>11</w:t>
      </w:r>
    </w:p>
    <w:p w:rsidR="000D65AD" w:rsidP="000D65A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D65AD" w:rsidRPr="000D65AD" w:rsidP="000D65AD">
      <w:pPr>
        <w:bidi w:val="0"/>
        <w:spacing w:after="0" w:line="240" w:lineRule="auto"/>
        <w:jc w:val="center"/>
        <w:rPr>
          <w:rFonts w:ascii="Courier" w:hAnsi="Courier" w:eastAsiaTheme="minorEastAsia" w:hint="default"/>
          <w:b/>
          <w:bCs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b/>
          <w:bCs/>
          <w:sz w:val="16"/>
          <w:szCs w:val="16"/>
          <w:lang w:eastAsia="sk-SK"/>
        </w:rPr>
        <w:t>o podrobnostiach medicí</w:t>
      </w:r>
      <w:r w:rsidRPr="000D65AD">
        <w:rPr>
          <w:rFonts w:ascii="Courier" w:hAnsi="Courier" w:eastAsiaTheme="minorEastAsia" w:hint="default"/>
          <w:b/>
          <w:bCs/>
          <w:sz w:val="16"/>
          <w:szCs w:val="16"/>
          <w:lang w:eastAsia="sk-SK"/>
        </w:rPr>
        <w:t>nsko-ekonomické</w:t>
      </w:r>
      <w:r w:rsidRPr="000D65AD">
        <w:rPr>
          <w:rFonts w:ascii="Courier" w:hAnsi="Courier" w:eastAsiaTheme="minorEastAsia" w:hint="default"/>
          <w:b/>
          <w:bCs/>
          <w:sz w:val="16"/>
          <w:szCs w:val="16"/>
          <w:lang w:eastAsia="sk-SK"/>
        </w:rPr>
        <w:t xml:space="preserve">ho rozboru dietetickej potraviny </w:t>
      </w:r>
    </w:p>
    <w:p w:rsidR="000D65AD" w:rsidRPr="000D65AD" w:rsidP="000D65AD">
      <w:p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Times New Roman" w:hAnsi="Times New Roman" w:cs="Times New Roman"/>
          <w:sz w:val="24"/>
          <w:szCs w:val="24"/>
          <w:lang w:eastAsia="sk-SK"/>
        </w:rPr>
        <w:br/>
      </w:r>
      <w:r>
        <w:rPr>
          <w:rFonts w:ascii="Courier" w:hAnsi="Courier" w:eastAsiaTheme="minorEastAsia"/>
          <w:sz w:val="16"/>
          <w:szCs w:val="16"/>
          <w:lang w:eastAsia="sk-SK"/>
        </w:rPr>
        <w:tab/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Ministerstvo zdravotní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ctva Slovenskej republiky pod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ľ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 §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</w:t>
      </w:r>
      <w:r w:rsidR="0032051C">
        <w:rPr>
          <w:rFonts w:ascii="Courier" w:hAnsi="Courier" w:eastAsiaTheme="minorEastAsia"/>
          <w:sz w:val="16"/>
          <w:szCs w:val="16"/>
          <w:lang w:eastAsia="sk-SK"/>
        </w:rPr>
        <w:t>60</w:t>
      </w:r>
      <w:r w:rsidRPr="000D65AD">
        <w:rPr>
          <w:rFonts w:ascii="Courier" w:hAnsi="Courier" w:eastAsiaTheme="minorEastAsia"/>
          <w:sz w:val="16"/>
          <w:szCs w:val="16"/>
          <w:lang w:eastAsia="sk-SK"/>
        </w:rPr>
        <w:t xml:space="preserve"> ods. </w:t>
      </w:r>
      <w:r>
        <w:rPr>
          <w:rFonts w:ascii="Courier" w:hAnsi="Courier" w:eastAsiaTheme="minorEastAsia"/>
          <w:sz w:val="16"/>
          <w:szCs w:val="16"/>
          <w:lang w:eastAsia="sk-SK"/>
        </w:rPr>
        <w:t>5</w:t>
      </w:r>
      <w:r w:rsidRPr="000D65AD">
        <w:rPr>
          <w:rFonts w:ascii="Courier" w:hAnsi="Courier" w:eastAsiaTheme="minorEastAsia"/>
          <w:sz w:val="16"/>
          <w:szCs w:val="16"/>
          <w:lang w:eastAsia="sk-SK"/>
        </w:rPr>
        <w:t xml:space="preserve"> </w:t>
      </w:r>
      <w:r w:rsidR="0032051C">
        <w:rPr>
          <w:rFonts w:ascii="Courier" w:hAnsi="Courier" w:cs="Courier"/>
          <w:sz w:val="16"/>
          <w:szCs w:val="16"/>
        </w:rPr>
        <w:t xml:space="preserve">zákona č. .../2011 Z.z. </w:t>
      </w:r>
      <w:r w:rsidRPr="003D01C4" w:rsidR="0032051C">
        <w:rPr>
          <w:rFonts w:ascii="Courier" w:hAnsi="Courier" w:cs="Courier"/>
          <w:sz w:val="16"/>
          <w:szCs w:val="16"/>
        </w:rPr>
        <w:t>o rozsahu a podmienkach úhrady liekov, zdravotníckych pomôcok a dietetických potravín na základe verejného zdravotného poistenia a o zmene a doplnení niektorých zákonov</w:t>
      </w:r>
      <w:r w:rsidRPr="000D65AD">
        <w:rPr>
          <w:rFonts w:ascii="Courier" w:hAnsi="Courier" w:eastAsiaTheme="minorEastAsia"/>
          <w:sz w:val="16"/>
          <w:szCs w:val="16"/>
          <w:lang w:eastAsia="sk-SK"/>
        </w:rPr>
        <w:t xml:space="preserve"> ustanovuje:</w:t>
      </w:r>
    </w:p>
    <w:p w:rsidR="000D65AD" w:rsidP="000D65AD">
      <w:pPr>
        <w:bidi w:val="0"/>
        <w:spacing w:after="0" w:line="240" w:lineRule="auto"/>
        <w:jc w:val="both"/>
        <w:outlineLvl w:val="4"/>
        <w:rPr>
          <w:rFonts w:ascii="Courier" w:hAnsi="Courier" w:eastAsiaTheme="minorEastAsia"/>
          <w:sz w:val="16"/>
          <w:szCs w:val="16"/>
          <w:lang w:eastAsia="sk-SK"/>
        </w:rPr>
      </w:pPr>
    </w:p>
    <w:p w:rsidR="000D65AD" w:rsidRPr="000D65AD" w:rsidP="000D65AD">
      <w:pPr>
        <w:bidi w:val="0"/>
        <w:spacing w:after="0" w:line="240" w:lineRule="auto"/>
        <w:jc w:val="center"/>
        <w:outlineLvl w:val="4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§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1</w:t>
      </w:r>
    </w:p>
    <w:p w:rsidR="000D65AD" w:rsidP="000D65AD">
      <w:p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/>
          <w:sz w:val="16"/>
          <w:szCs w:val="16"/>
          <w:lang w:eastAsia="sk-SK"/>
        </w:rPr>
        <w:br/>
      </w:r>
      <w:r>
        <w:rPr>
          <w:rFonts w:ascii="Courier" w:hAnsi="Courier" w:eastAsiaTheme="minorEastAsia"/>
          <w:sz w:val="16"/>
          <w:szCs w:val="16"/>
          <w:lang w:eastAsia="sk-SK"/>
        </w:rPr>
        <w:tab/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Medicí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nsko-ekonomický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rozbor dietetickej potraviny</w:t>
      </w:r>
      <w:r>
        <w:rPr>
          <w:rFonts w:ascii="Courier" w:hAnsi="Courier" w:eastAsiaTheme="minorEastAsia"/>
          <w:sz w:val="16"/>
          <w:szCs w:val="16"/>
          <w:lang w:eastAsia="sk-SK"/>
        </w:rPr>
        <w:t xml:space="preserve"> </w:t>
      </w:r>
      <w:r w:rsidRPr="000D65AD">
        <w:rPr>
          <w:rFonts w:ascii="Courier" w:hAnsi="Courier" w:eastAsiaTheme="minorEastAsia"/>
          <w:sz w:val="16"/>
          <w:szCs w:val="16"/>
          <w:lang w:eastAsia="sk-SK"/>
        </w:rPr>
        <w:t>obsahuje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>
        <w:rPr>
          <w:rFonts w:ascii="Courier" w:hAnsi="Courier" w:eastAsiaTheme="minorEastAsia"/>
          <w:sz w:val="16"/>
          <w:szCs w:val="16"/>
          <w:lang w:eastAsia="sk-SK"/>
        </w:rPr>
        <w:t xml:space="preserve">tieto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epidemiologické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daje</w:t>
      </w:r>
      <w:r>
        <w:rPr>
          <w:rFonts w:ascii="Courier" w:hAnsi="Courier" w:eastAsiaTheme="minorEastAsia"/>
          <w:sz w:val="16"/>
          <w:szCs w:val="16"/>
          <w:lang w:eastAsia="sk-SK"/>
        </w:rPr>
        <w:t>:</w:t>
      </w:r>
    </w:p>
    <w:p w:rsidR="000D65AD" w:rsidP="000D65A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incidencia a prevalencia ochorenia v Slovenskej republike, na ktoré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ho lie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bu je dietetická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potravina indikovaná,</w:t>
      </w:r>
    </w:p>
    <w:p w:rsidR="000D65AD" w:rsidP="000D65A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/>
          <w:sz w:val="16"/>
          <w:szCs w:val="16"/>
          <w:lang w:eastAsia="sk-SK"/>
        </w:rPr>
        <w:t>opis cie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ľ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ovej skupin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y pacientov, jej charakteristika a defino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vanie prí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padný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ch podskupí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n,</w:t>
      </w:r>
    </w:p>
    <w:p w:rsidR="000D65AD" w:rsidP="000D65A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predpokladaný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po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et lie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pacientov v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rnom roku a v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piatich nasledujú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rnych rokoch,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>
        <w:rPr>
          <w:rFonts w:ascii="Courier" w:hAnsi="Courier" w:eastAsiaTheme="minorEastAsia" w:hint="default"/>
          <w:sz w:val="16"/>
          <w:szCs w:val="16"/>
          <w:lang w:eastAsia="sk-SK"/>
        </w:rPr>
        <w:t>klinický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 xml:space="preserve"> prí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nos terapie,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porovnanie odhadovaný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ná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kladov na nav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rhovanú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terapiu dietetickou potravinou s odhadovaný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mi ná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kladmi na doterajší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terapeutický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postup 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pri použ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ití</w:t>
      </w:r>
    </w:p>
    <w:p w:rsidR="000D65AD" w:rsidP="000D65AD">
      <w:pPr>
        <w:pStyle w:val="ListParagraph"/>
        <w:numPr>
          <w:ilvl w:val="1"/>
          <w:numId w:val="1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dietetický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potraví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n, ktoré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majú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rovnakú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indiká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ciu, ale rozdielnu aplika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formu</w:t>
      </w:r>
      <w:r>
        <w:rPr>
          <w:rFonts w:ascii="Courier" w:hAnsi="Courier" w:eastAsiaTheme="minorEastAsia"/>
          <w:sz w:val="16"/>
          <w:szCs w:val="16"/>
          <w:lang w:eastAsia="sk-SK"/>
        </w:rPr>
        <w:t>;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 jeden terapeutický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cyklus alebo na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rny rok a na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pä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ť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nasledujú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rnych rokov,</w:t>
      </w:r>
    </w:p>
    <w:p w:rsidR="000D65AD" w:rsidP="000D65AD">
      <w:pPr>
        <w:pStyle w:val="ListParagraph"/>
        <w:numPr>
          <w:ilvl w:val="1"/>
          <w:numId w:val="1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iný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dietetický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potraví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n, ktoré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majú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rovnakú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indiká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ciu, ale rozdielne kvalitatí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vno-kvantitatí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vne zlož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enie</w:t>
      </w:r>
      <w:r>
        <w:rPr>
          <w:rFonts w:ascii="Courier" w:hAnsi="Courier" w:eastAsiaTheme="minorEastAsia"/>
          <w:sz w:val="16"/>
          <w:szCs w:val="16"/>
          <w:lang w:eastAsia="sk-SK"/>
        </w:rPr>
        <w:t>;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 jeden terapeutický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cyklus alebo na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rny rok a na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pä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ť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nasledujú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rnych rok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ov, alebo</w:t>
      </w:r>
    </w:p>
    <w:p w:rsidR="000D65AD" w:rsidP="000D65AD">
      <w:pPr>
        <w:pStyle w:val="ListParagraph"/>
        <w:numPr>
          <w:ilvl w:val="1"/>
          <w:numId w:val="1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iný</w:t>
      </w:r>
      <w:r>
        <w:rPr>
          <w:rFonts w:ascii="Courier" w:hAnsi="Courier" w:eastAsiaTheme="minorEastAsia"/>
          <w:sz w:val="16"/>
          <w:szCs w:val="16"/>
          <w:lang w:eastAsia="sk-SK"/>
        </w:rPr>
        <w:t>ch</w:t>
      </w:r>
      <w:r w:rsidRPr="000D65AD">
        <w:rPr>
          <w:rFonts w:ascii="Courier" w:hAnsi="Courier" w:eastAsiaTheme="minorEastAsia"/>
          <w:sz w:val="16"/>
          <w:szCs w:val="16"/>
          <w:lang w:eastAsia="sk-SK"/>
        </w:rPr>
        <w:t xml:space="preserve"> postup</w:t>
      </w:r>
      <w:r>
        <w:rPr>
          <w:rFonts w:ascii="Courier" w:hAnsi="Courier" w:eastAsiaTheme="minorEastAsia"/>
          <w:sz w:val="16"/>
          <w:szCs w:val="16"/>
          <w:lang w:eastAsia="sk-SK"/>
        </w:rPr>
        <w:t>ov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, pri ktorý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sa nepouží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vajú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dietetické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potraviny</w:t>
      </w:r>
      <w:r>
        <w:rPr>
          <w:rFonts w:ascii="Courier" w:hAnsi="Courier" w:eastAsiaTheme="minorEastAsia"/>
          <w:sz w:val="16"/>
          <w:szCs w:val="16"/>
          <w:lang w:eastAsia="sk-SK"/>
        </w:rPr>
        <w:t>;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 jeden terapeutický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cyklus alebo na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rny rok a na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pä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ť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nasledujú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rnych rokov,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="00254FD6">
        <w:rPr>
          <w:rFonts w:ascii="Courier" w:hAnsi="Courier" w:cs="Courier"/>
          <w:sz w:val="16"/>
          <w:szCs w:val="16"/>
        </w:rPr>
        <w:t>typ medicínsko-ekonomickej analýzy, zdôvodnenie jej výberu analýzy a jej výsledky,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sledky analý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zy vplyvu na rozpo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et verejné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ho zdravotné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ho poistenia na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rny rok a na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pä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ť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nasled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ujú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 xml:space="preserve">rnych rokov, 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predpokladanú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spotrebu dietetickej potraviny v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rnom roku a v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ď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alší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piatich nasledujú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cich kalendá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rnych rokoch vyjadrenú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po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tom a ve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ľ</w:t>
      </w:r>
      <w:r>
        <w:rPr>
          <w:rFonts w:ascii="Courier" w:hAnsi="Courier" w:eastAsiaTheme="minorEastAsia"/>
          <w:sz w:val="16"/>
          <w:szCs w:val="16"/>
          <w:lang w:eastAsia="sk-SK"/>
        </w:rPr>
        <w:t>kos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ť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ou predpí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saný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ch balení,</w:t>
      </w:r>
    </w:p>
    <w:p w:rsid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zdroje dá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t vrá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tane metodiky, a ak ide o extrapolá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cie, aj jej zdô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vodnenie, diskont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á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ciu a analý</w:t>
      </w:r>
      <w:r>
        <w:rPr>
          <w:rFonts w:ascii="Courier" w:hAnsi="Courier" w:eastAsiaTheme="minorEastAsia" w:hint="default"/>
          <w:sz w:val="16"/>
          <w:szCs w:val="16"/>
          <w:lang w:eastAsia="sk-SK"/>
        </w:rPr>
        <w:t>zu senzitivity,</w:t>
      </w:r>
    </w:p>
    <w:p w:rsidR="000D65AD" w:rsidRPr="000D65AD" w:rsidP="000D65A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výš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ku 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hrady dietetickej potraviny na zá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klade zdravotné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ho poisteni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 v referen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krajiná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v zahrani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vyjadrenú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v percentá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ch.</w:t>
      </w:r>
    </w:p>
    <w:p w:rsidR="000D65AD" w:rsidP="000D65AD">
      <w:pPr>
        <w:bidi w:val="0"/>
        <w:spacing w:after="0" w:line="240" w:lineRule="auto"/>
        <w:jc w:val="both"/>
        <w:outlineLvl w:val="4"/>
        <w:rPr>
          <w:rFonts w:ascii="Courier" w:hAnsi="Courier" w:eastAsiaTheme="minorEastAsia"/>
          <w:sz w:val="16"/>
          <w:szCs w:val="16"/>
          <w:lang w:eastAsia="sk-SK"/>
        </w:rPr>
      </w:pPr>
    </w:p>
    <w:p w:rsidR="000D65AD" w:rsidRPr="000D65AD" w:rsidP="00AD1B19">
      <w:pPr>
        <w:bidi w:val="0"/>
        <w:spacing w:after="0" w:line="240" w:lineRule="auto"/>
        <w:jc w:val="center"/>
        <w:outlineLvl w:val="4"/>
        <w:rPr>
          <w:rFonts w:ascii="Courier" w:hAnsi="Courier" w:eastAsiaTheme="minorEastAsia" w:hint="default"/>
          <w:sz w:val="16"/>
          <w:szCs w:val="16"/>
          <w:lang w:eastAsia="sk-SK"/>
        </w:rPr>
      </w:pP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§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2</w:t>
      </w:r>
    </w:p>
    <w:p w:rsidR="000D65AD" w:rsidP="000D65AD">
      <w:p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  <w:r w:rsidRPr="000D65AD">
        <w:rPr>
          <w:rFonts w:ascii="Courier" w:hAnsi="Courier" w:eastAsiaTheme="minorEastAsia"/>
          <w:sz w:val="16"/>
          <w:szCs w:val="16"/>
          <w:lang w:eastAsia="sk-SK"/>
        </w:rPr>
        <w:br/>
      </w:r>
      <w:r w:rsidR="00AD1B19">
        <w:rPr>
          <w:rFonts w:ascii="Courier" w:hAnsi="Courier" w:eastAsiaTheme="minorEastAsia"/>
          <w:sz w:val="16"/>
          <w:szCs w:val="16"/>
          <w:lang w:eastAsia="sk-SK"/>
        </w:rPr>
        <w:tab/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Pri porovnaní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odhadovaný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ná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kladov pod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ľ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a §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1 pí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sm. c), odhade celkový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ná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kladov na </w:t>
      </w:r>
      <w:r w:rsidR="00254FD6">
        <w:rPr>
          <w:rFonts w:ascii="Courier" w:hAnsi="Courier" w:eastAsiaTheme="minorEastAsia"/>
          <w:sz w:val="16"/>
          <w:szCs w:val="16"/>
          <w:lang w:eastAsia="sk-SK"/>
        </w:rPr>
        <w:t>lie</w:t>
      </w:r>
      <w:r w:rsidR="00254FD6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="00254FD6">
        <w:rPr>
          <w:rFonts w:ascii="Courier" w:hAnsi="Courier" w:eastAsiaTheme="minorEastAsia" w:hint="default"/>
          <w:sz w:val="16"/>
          <w:szCs w:val="16"/>
          <w:lang w:eastAsia="sk-SK"/>
        </w:rPr>
        <w:t>bu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 dietetickou potravinou a odhade dosahov použí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vania dietetickej potraviny sa vychá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dza z ú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 xml:space="preserve">radne 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ur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č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ený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cien dietetický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ch potraví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n, liekov, zdravotní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ckych pomô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cok, vý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robkov, zdravotní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ckych vý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konov a služ</w:t>
      </w:r>
      <w:r w:rsidRPr="000D65AD">
        <w:rPr>
          <w:rFonts w:ascii="Courier" w:hAnsi="Courier" w:eastAsiaTheme="minorEastAsia" w:hint="default"/>
          <w:sz w:val="16"/>
          <w:szCs w:val="16"/>
          <w:lang w:eastAsia="sk-SK"/>
        </w:rPr>
        <w:t>ieb.</w:t>
      </w:r>
    </w:p>
    <w:p w:rsidR="00AD1B19" w:rsidRPr="000D65AD" w:rsidP="000D65AD">
      <w:pPr>
        <w:bidi w:val="0"/>
        <w:spacing w:after="0" w:line="240" w:lineRule="auto"/>
        <w:jc w:val="both"/>
        <w:rPr>
          <w:rFonts w:ascii="Courier" w:hAnsi="Courier" w:eastAsiaTheme="minorEastAsia"/>
          <w:sz w:val="16"/>
          <w:szCs w:val="16"/>
          <w:lang w:eastAsia="sk-SK"/>
        </w:rPr>
      </w:pP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§ 3</w:t>
      </w: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  <w:t xml:space="preserve">Zrušuje sa vyhláška Ministerstva zdravotníctva Slovenskej republiky č. 149/2009 Z.z. </w:t>
      </w:r>
      <w:r w:rsidRPr="00254FD6">
        <w:rPr>
          <w:rFonts w:ascii="Courier" w:hAnsi="Courier" w:cs="Courier"/>
          <w:sz w:val="16"/>
          <w:szCs w:val="16"/>
        </w:rPr>
        <w:t>o podrobnostiach medicínsko-ekonomického rozboru dietetickej potraviny</w:t>
      </w:r>
      <w:r>
        <w:rPr>
          <w:rFonts w:ascii="Courier" w:hAnsi="Courier" w:cs="Courier"/>
          <w:sz w:val="16"/>
          <w:szCs w:val="16"/>
        </w:rPr>
        <w:t>.</w:t>
      </w: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</w:t>
      </w: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§ 4</w:t>
      </w: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urier" w:hAnsi="Courier" w:cs="Courier"/>
          <w:sz w:val="16"/>
          <w:szCs w:val="16"/>
        </w:rPr>
      </w:pPr>
    </w:p>
    <w:p w:rsidR="00254FD6" w:rsidP="00254FD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ab/>
        <w:t>Táto vyhláška nadobúda účinnosť ......</w:t>
      </w:r>
    </w:p>
    <w:p w:rsidR="00912F96" w:rsidRPr="000D65AD" w:rsidP="00254FD6">
      <w:pPr>
        <w:bidi w:val="0"/>
        <w:spacing w:after="0" w:line="240" w:lineRule="auto"/>
        <w:jc w:val="center"/>
        <w:outlineLvl w:val="4"/>
        <w:rPr>
          <w:rFonts w:ascii="Courier" w:hAnsi="Courier" w:eastAsiaTheme="minorEastAsia"/>
          <w:sz w:val="16"/>
          <w:szCs w:val="16"/>
          <w:lang w:eastAsia="sk-SK"/>
        </w:rPr>
      </w:pPr>
    </w:p>
    <w:sectPr w:rsidSect="00912F9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00E0"/>
    <w:multiLevelType w:val="hybridMultilevel"/>
    <w:tmpl w:val="87A2D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EEF3560"/>
    <w:multiLevelType w:val="hybridMultilevel"/>
    <w:tmpl w:val="210403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801" w:hanging="3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TrackMoves/>
  <w:defaultTabStop w:val="708"/>
  <w:hyphenationZone w:val="425"/>
  <w:characterSpacingControl w:val="doNotCompress"/>
  <w:compat/>
  <w:rsids>
    <w:rsidRoot w:val="000D65AD"/>
    <w:rsid w:val="000D65AD"/>
    <w:rsid w:val="00254FD6"/>
    <w:rsid w:val="0032051C"/>
    <w:rsid w:val="003D01C4"/>
    <w:rsid w:val="00912F96"/>
    <w:rsid w:val="00AD1B19"/>
    <w:rsid w:val="00B84E77"/>
    <w:rsid w:val="00E55B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9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0D65AD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0D65AD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0D65A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D65A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354</Words>
  <Characters>2380</Characters>
  <Application>Microsoft Office Word</Application>
  <DocSecurity>0</DocSecurity>
  <Lines>0</Lines>
  <Paragraphs>0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2011-05-28T15:17:00Z</dcterms:created>
  <dcterms:modified xsi:type="dcterms:W3CDTF">2011-06-03T02:30:00Z</dcterms:modified>
</cp:coreProperties>
</file>