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4F87" w:rsidP="004161A1">
      <w:pPr>
        <w:bidi w:val="0"/>
        <w:jc w:val="center"/>
        <w:rPr>
          <w:rFonts w:ascii="Times New Roman" w:hAnsi="Times New Roman"/>
        </w:rPr>
      </w:pPr>
      <w:r w:rsidRPr="004161A1">
        <w:rPr>
          <w:rFonts w:ascii="Times New Roman" w:hAnsi="Times New Roman"/>
          <w:b/>
          <w:bCs/>
          <w:sz w:val="28"/>
          <w:szCs w:val="28"/>
        </w:rPr>
        <w:t>Vplyvy na rozpočet verejnej správy,</w:t>
      </w:r>
    </w:p>
    <w:p w:rsidR="00384F87" w:rsidP="004161A1">
      <w:pPr>
        <w:bidi w:val="0"/>
        <w:jc w:val="center"/>
        <w:rPr>
          <w:rFonts w:ascii="Times New Roman" w:hAnsi="Times New Roman"/>
        </w:rPr>
      </w:pPr>
      <w:r w:rsidRPr="004161A1">
        <w:rPr>
          <w:rFonts w:ascii="Times New Roman" w:hAnsi="Times New Roman"/>
          <w:b/>
          <w:bCs/>
          <w:sz w:val="28"/>
          <w:szCs w:val="28"/>
        </w:rPr>
        <w:t>na zamestnanosť vo verejnej správe a financovanie návrhu</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2.1. Zhrnutie vplyvov na rozpočet verejnej správy v návrhu</w:t>
      </w:r>
    </w:p>
    <w:p w:rsidR="00384F87" w:rsidP="004161A1">
      <w:pPr>
        <w:bidi w:val="0"/>
        <w:jc w:val="right"/>
        <w:rPr>
          <w:rFonts w:ascii="Times New Roman" w:hAnsi="Times New Roman"/>
        </w:rPr>
      </w:pPr>
      <w:r w:rsidRPr="004161A1">
        <w:rPr>
          <w:rFonts w:ascii="Times New Roman" w:hAnsi="Times New Roman"/>
          <w:sz w:val="20"/>
          <w:szCs w:val="20"/>
        </w:rPr>
        <w:t xml:space="preserve">Tabuľka č. 1 </w:t>
      </w:r>
    </w:p>
    <w:tbl>
      <w:tblPr>
        <w:tblStyle w:val="TableNormal"/>
        <w:tblW w:w="10029" w:type="dxa"/>
        <w:tblCellMar>
          <w:left w:w="0" w:type="dxa"/>
          <w:right w:w="0" w:type="dxa"/>
        </w:tblCellMar>
      </w:tblPr>
      <w:tblGrid>
        <w:gridCol w:w="4661"/>
        <w:gridCol w:w="1447"/>
        <w:gridCol w:w="1387"/>
        <w:gridCol w:w="1267"/>
        <w:gridCol w:w="1267"/>
      </w:tblGrid>
      <w:tr>
        <w:tblPrEx>
          <w:tblW w:w="100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194" w:lineRule="atLeast"/>
              <w:jc w:val="center"/>
              <w:rPr>
                <w:rFonts w:ascii="Times New Roman" w:hAnsi="Times New Roman"/>
              </w:rPr>
            </w:pPr>
            <w:bookmarkStart w:id="0" w:name="OLE_LINK1"/>
            <w:bookmarkEnd w:id="0"/>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5368"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100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rsidRPr="004161A1" w:rsidP="004161A1">
            <w:pPr>
              <w:bidi w:val="0"/>
              <w:rPr>
                <w:rFonts w:ascii="Times New Roman" w:hAnsi="Times New Roman"/>
              </w:rPr>
            </w:pPr>
          </w:p>
        </w:tc>
        <w:tc>
          <w:tcPr>
            <w:tcW w:w="144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70" w:lineRule="atLeast"/>
              <w:jc w:val="center"/>
              <w:rPr>
                <w:rFonts w:ascii="Times New Roman" w:hAnsi="Times New Roman"/>
              </w:rPr>
            </w:pPr>
            <w:r>
              <w:rPr>
                <w:rFonts w:ascii="Times New Roman" w:hAnsi="Times New Roman"/>
                <w:b/>
                <w:bCs/>
                <w:color w:val="FFFFFF"/>
              </w:rPr>
              <w:t>2011</w:t>
            </w:r>
          </w:p>
        </w:tc>
        <w:tc>
          <w:tcPr>
            <w:tcW w:w="138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70" w:lineRule="atLeast"/>
              <w:jc w:val="center"/>
              <w:rPr>
                <w:rFonts w:ascii="Times New Roman" w:hAnsi="Times New Roman"/>
              </w:rPr>
            </w:pPr>
            <w:r>
              <w:rPr>
                <w:rFonts w:ascii="Times New Roman" w:hAnsi="Times New Roman"/>
                <w:b/>
                <w:bCs/>
                <w:color w:val="FFFFFF"/>
              </w:rPr>
              <w:t>2012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70" w:lineRule="atLeast"/>
              <w:jc w:val="center"/>
              <w:rPr>
                <w:rFonts w:ascii="Times New Roman" w:hAnsi="Times New Roman"/>
              </w:rPr>
            </w:pPr>
            <w:r>
              <w:rPr>
                <w:rFonts w:ascii="Times New Roman" w:hAnsi="Times New Roman"/>
                <w:b/>
                <w:bCs/>
                <w:color w:val="FFFFFF"/>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70" w:lineRule="atLeast"/>
              <w:jc w:val="center"/>
              <w:rPr>
                <w:rFonts w:ascii="Times New Roman" w:hAnsi="Times New Roman"/>
              </w:rPr>
            </w:pPr>
            <w:r>
              <w:rPr>
                <w:rFonts w:ascii="Times New Roman" w:hAnsi="Times New Roman"/>
                <w:b/>
                <w:bCs/>
                <w:color w:val="FFFFFF"/>
              </w:rPr>
              <w:t>2014</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rPr>
              <w:t>Príjmy verejnej správy celkom</w:t>
            </w:r>
          </w:p>
        </w:tc>
        <w:tc>
          <w:tcPr>
            <w:tcW w:w="1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8D12AC">
            <w:pPr>
              <w:bidi w:val="0"/>
              <w:spacing w:line="70" w:lineRule="atLeast"/>
              <w:jc w:val="right"/>
              <w:rPr>
                <w:rFonts w:ascii="Times New Roman" w:hAnsi="Times New Roman"/>
              </w:rPr>
            </w:pPr>
            <w:r>
              <w:rPr>
                <w:rFonts w:ascii="Times New Roman" w:hAnsi="Times New Roman"/>
                <w:b/>
                <w:bCs/>
              </w:rPr>
              <w:t xml:space="preserve">cca 1,12 mil. </w:t>
            </w:r>
          </w:p>
        </w:tc>
        <w:tc>
          <w:tcPr>
            <w:tcW w:w="138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465055">
            <w:pPr>
              <w:bidi w:val="0"/>
              <w:spacing w:line="70" w:lineRule="atLeast"/>
              <w:jc w:val="right"/>
              <w:rPr>
                <w:rFonts w:ascii="Times New Roman" w:hAnsi="Times New Roman"/>
              </w:rPr>
            </w:pPr>
            <w:r>
              <w:rPr>
                <w:rFonts w:ascii="Times New Roman" w:hAnsi="Times New Roman"/>
                <w:b/>
                <w:bCs/>
              </w:rPr>
              <w:t xml:space="preserve">cca 100 mil.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8600F9">
            <w:pPr>
              <w:bidi w:val="0"/>
              <w:spacing w:line="70" w:lineRule="atLeast"/>
              <w:jc w:val="right"/>
              <w:rPr>
                <w:rFonts w:ascii="Times New Roman" w:hAnsi="Times New Roman"/>
              </w:rPr>
            </w:pPr>
            <w:r>
              <w:rPr>
                <w:rFonts w:ascii="Times New Roman" w:hAnsi="Times New Roman"/>
                <w:b/>
                <w:bCs/>
              </w:rPr>
              <w:t xml:space="preserve">cca 50 mil.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8600F9">
            <w:pPr>
              <w:bidi w:val="0"/>
              <w:spacing w:line="70" w:lineRule="atLeast"/>
              <w:jc w:val="right"/>
              <w:rPr>
                <w:rFonts w:ascii="Times New Roman" w:hAnsi="Times New Roman"/>
              </w:rPr>
            </w:pPr>
            <w:r>
              <w:rPr>
                <w:rFonts w:ascii="Times New Roman" w:hAnsi="Times New Roman"/>
                <w:b/>
                <w:bCs/>
              </w:rPr>
              <w:t xml:space="preserve">cca 20 mil. </w:t>
            </w:r>
          </w:p>
        </w:tc>
      </w:tr>
      <w:tr>
        <w:tblPrEx>
          <w:tblW w:w="100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2" w:lineRule="atLeast"/>
              <w:rPr>
                <w:rFonts w:ascii="Times New Roman" w:hAnsi="Times New Roman"/>
              </w:rPr>
            </w:pPr>
            <w:r>
              <w:rPr>
                <w:rFonts w:ascii="Times New Roman" w:hAnsi="Times New Roman"/>
              </w:rPr>
              <w:t>v tom: za každý subjekt verejnej správy zvlášť</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2" w:lineRule="atLeast"/>
              <w:jc w:val="right"/>
              <w:rPr>
                <w:rFonts w:ascii="Times New Roman" w:hAnsi="Times New Roman"/>
              </w:rPr>
            </w:pPr>
            <w:r>
              <w:rPr>
                <w:rFonts w:ascii="Times New Roman" w:hAnsi="Times New Roman"/>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2" w:lineRule="atLeast"/>
              <w:jc w:val="right"/>
              <w:rPr>
                <w:rFonts w:ascii="Times New Roman" w:hAnsi="Times New Roman"/>
              </w:rPr>
            </w:pPr>
            <w:r>
              <w:rPr>
                <w:rFonts w:ascii="Times New Roman" w:hAnsi="Times New Roman"/>
              </w:rPr>
              <w:t>0</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i/>
                <w:iCs/>
              </w:rPr>
              <w:t xml:space="preserve">z toho: </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r>
      <w:tr>
        <w:tblPrEx>
          <w:tblW w:w="100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rPr>
            </w:pPr>
            <w:r w:rsidRPr="004161A1">
              <w:rPr>
                <w:rFonts w:ascii="Times New Roman" w:hAnsi="Times New Roman"/>
                <w:b/>
                <w:bCs/>
                <w:i/>
                <w:iCs/>
              </w:rPr>
              <w:t>- vplyv na ŠR</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Pr>
                <w:rFonts w:ascii="Times New Roman" w:hAnsi="Times New Roman"/>
                <w:b/>
                <w:bCs/>
                <w:iCs/>
              </w:rPr>
              <w:t>120 000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Pr>
                <w:rFonts w:ascii="Times New Roman" w:hAnsi="Times New Roman"/>
                <w:b/>
                <w:bCs/>
                <w:iCs/>
              </w:rPr>
              <w:t>25</w:t>
            </w:r>
            <w:r w:rsidRPr="006C121A">
              <w:rPr>
                <w:rFonts w:ascii="Times New Roman" w:hAnsi="Times New Roman"/>
                <w:b/>
                <w:bCs/>
                <w:iCs/>
              </w:rPr>
              <w:t>0</w:t>
            </w:r>
            <w:r>
              <w:rPr>
                <w:rFonts w:ascii="Times New Roman" w:hAnsi="Times New Roman"/>
                <w:b/>
                <w:bCs/>
                <w:iCs/>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Pr>
                <w:rFonts w:ascii="Times New Roman" w:hAnsi="Times New Roman"/>
                <w:b/>
                <w:bCs/>
                <w:iCs/>
              </w:rPr>
              <w:t>250 00</w:t>
            </w: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A33FF0">
            <w:pPr>
              <w:bidi w:val="0"/>
              <w:spacing w:line="125" w:lineRule="atLeast"/>
              <w:jc w:val="right"/>
              <w:rPr>
                <w:rFonts w:ascii="Times New Roman" w:hAnsi="Times New Roman"/>
              </w:rPr>
            </w:pPr>
            <w:r>
              <w:rPr>
                <w:rFonts w:ascii="Times New Roman" w:hAnsi="Times New Roman"/>
                <w:b/>
                <w:bCs/>
                <w:iCs/>
              </w:rPr>
              <w:t>250 000</w:t>
            </w:r>
          </w:p>
        </w:tc>
      </w:tr>
      <w:tr>
        <w:tblPrEx>
          <w:tblW w:w="100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r>
      <w:tr>
        <w:tblPrEx>
          <w:tblW w:w="100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A33FF0">
            <w:pPr>
              <w:bidi w:val="0"/>
              <w:spacing w:line="125" w:lineRule="atLeast"/>
              <w:rPr>
                <w:rFonts w:ascii="Times New Roman" w:hAnsi="Times New Roman"/>
                <w:b/>
                <w:bCs/>
              </w:rPr>
            </w:pPr>
            <w:r w:rsidRPr="00A33FF0">
              <w:rPr>
                <w:rFonts w:ascii="Times New Roman" w:hAnsi="Times New Roman"/>
                <w:b/>
                <w:bCs/>
                <w:i/>
                <w:iCs/>
              </w:rPr>
              <w:t>- úspora nákladov verejného zdravotného poistenia</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b/>
                <w:bCs/>
              </w:rPr>
            </w:pPr>
            <w:r>
              <w:rPr>
                <w:rFonts w:ascii="Times New Roman" w:hAnsi="Times New Roman"/>
                <w:b/>
                <w:bCs/>
              </w:rPr>
              <w:t>1 mil.</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b/>
                <w:bCs/>
              </w:rPr>
            </w:pPr>
            <w:r>
              <w:rPr>
                <w:rFonts w:ascii="Times New Roman" w:hAnsi="Times New Roman"/>
                <w:b/>
                <w:bCs/>
              </w:rPr>
              <w:t>100 mil.</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b/>
                <w:bCs/>
              </w:rPr>
            </w:pPr>
            <w:r>
              <w:rPr>
                <w:rFonts w:ascii="Times New Roman" w:hAnsi="Times New Roman"/>
                <w:b/>
                <w:bCs/>
              </w:rPr>
              <w:t>50 mil.</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b/>
                <w:bCs/>
              </w:rPr>
            </w:pPr>
            <w:r>
              <w:rPr>
                <w:rFonts w:ascii="Times New Roman" w:hAnsi="Times New Roman"/>
                <w:b/>
                <w:bCs/>
              </w:rPr>
              <w:t>20 mil.</w:t>
            </w:r>
          </w:p>
        </w:tc>
      </w:tr>
      <w:tr>
        <w:tblPrEx>
          <w:tblW w:w="100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rPr>
            </w:pPr>
            <w:r w:rsidRPr="004161A1">
              <w:rPr>
                <w:rFonts w:ascii="Times New Roman" w:hAnsi="Times New Roman"/>
                <w:b/>
                <w:bCs/>
              </w:rPr>
              <w:t>Výdavky verejnej správy celkom</w:t>
            </w:r>
          </w:p>
        </w:tc>
        <w:tc>
          <w:tcPr>
            <w:tcW w:w="1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8D12AC">
            <w:pPr>
              <w:bidi w:val="0"/>
              <w:spacing w:line="70" w:lineRule="atLeast"/>
              <w:jc w:val="right"/>
              <w:rPr>
                <w:rFonts w:ascii="Times New Roman" w:hAnsi="Times New Roman"/>
              </w:rPr>
            </w:pPr>
            <w:r>
              <w:rPr>
                <w:rFonts w:ascii="Times New Roman" w:hAnsi="Times New Roman"/>
                <w:b/>
                <w:bCs/>
              </w:rPr>
              <w:t xml:space="preserve">cca 1,06 mil. </w:t>
            </w:r>
          </w:p>
        </w:tc>
        <w:tc>
          <w:tcPr>
            <w:tcW w:w="138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9C0EFF">
            <w:pPr>
              <w:bidi w:val="0"/>
              <w:spacing w:line="70" w:lineRule="atLeast"/>
              <w:jc w:val="right"/>
              <w:rPr>
                <w:rFonts w:ascii="Times New Roman" w:hAnsi="Times New Roman"/>
              </w:rPr>
            </w:pPr>
            <w:r>
              <w:rPr>
                <w:rFonts w:ascii="Times New Roman" w:hAnsi="Times New Roman"/>
                <w:b/>
                <w:bCs/>
              </w:rPr>
              <w:t xml:space="preserve">cca 100 mil.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9C0EFF">
            <w:pPr>
              <w:bidi w:val="0"/>
              <w:spacing w:line="70" w:lineRule="atLeast"/>
              <w:jc w:val="right"/>
              <w:rPr>
                <w:rFonts w:ascii="Times New Roman" w:hAnsi="Times New Roman"/>
              </w:rPr>
            </w:pPr>
            <w:r>
              <w:rPr>
                <w:rFonts w:ascii="Times New Roman" w:hAnsi="Times New Roman"/>
                <w:b/>
                <w:bCs/>
              </w:rPr>
              <w:t xml:space="preserve">cca 50 mil.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9C0EFF">
            <w:pPr>
              <w:bidi w:val="0"/>
              <w:spacing w:line="70" w:lineRule="atLeast"/>
              <w:jc w:val="right"/>
              <w:rPr>
                <w:rFonts w:ascii="Times New Roman" w:hAnsi="Times New Roman"/>
              </w:rPr>
            </w:pPr>
            <w:r>
              <w:rPr>
                <w:rFonts w:ascii="Times New Roman" w:hAnsi="Times New Roman"/>
                <w:b/>
                <w:bCs/>
              </w:rPr>
              <w:t xml:space="preserve">cca 20 mil. </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Pr>
                <w:rFonts w:ascii="Times New Roman" w:hAnsi="Times New Roman"/>
              </w:rPr>
              <w:t>v tom: za každý subjekt verejnej správy / program zvlášť</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Pr>
                <w:rFonts w:ascii="Times New Roman" w:hAnsi="Times New Roman"/>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Pr>
                <w:rFonts w:ascii="Times New Roman" w:hAnsi="Times New Roman"/>
              </w:rPr>
              <w:t>0</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i/>
                <w:iCs/>
              </w:rPr>
              <w:t xml:space="preserve">z toho: </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i/>
                <w:iCs/>
              </w:rPr>
              <w:t>- vplyv na ŠR</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iCs/>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iCs/>
              </w:rPr>
              <w:t>0</w:t>
            </w:r>
          </w:p>
        </w:tc>
      </w:tr>
      <w:tr>
        <w:tblPrEx>
          <w:tblW w:w="100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r>
      <w:tr>
        <w:tblPrEx>
          <w:tblW w:w="100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b/>
                <w:bCs/>
                <w:i/>
                <w:iCs/>
              </w:rPr>
            </w:pPr>
            <w:r>
              <w:rPr>
                <w:rFonts w:ascii="Times New Roman" w:hAnsi="Times New Roman"/>
                <w:b/>
                <w:bCs/>
                <w:i/>
                <w:iCs/>
              </w:rPr>
              <w:t>- vytvorenie, servis a údržba informačného systému MZ SR</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b/>
                <w:bCs/>
                <w:iCs/>
              </w:rPr>
            </w:pPr>
            <w:r>
              <w:rPr>
                <w:rFonts w:ascii="Times New Roman" w:hAnsi="Times New Roman"/>
                <w:b/>
                <w:bCs/>
                <w:iCs/>
              </w:rPr>
              <w:t>60 000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b/>
                <w:bCs/>
                <w:iCs/>
              </w:rPr>
            </w:pPr>
            <w:r>
              <w:rPr>
                <w:rFonts w:ascii="Times New Roman" w:hAnsi="Times New Roman"/>
                <w:b/>
                <w:bCs/>
                <w:iCs/>
              </w:rPr>
              <w:t>10 000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b/>
                <w:bCs/>
                <w:iCs/>
              </w:rPr>
            </w:pPr>
            <w:r>
              <w:rPr>
                <w:rFonts w:ascii="Times New Roman" w:hAnsi="Times New Roman"/>
                <w:b/>
                <w:bCs/>
                <w:iCs/>
              </w:rPr>
              <w:t>10 000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b/>
                <w:bCs/>
                <w:iCs/>
              </w:rPr>
            </w:pPr>
            <w:r>
              <w:rPr>
                <w:rFonts w:ascii="Times New Roman" w:hAnsi="Times New Roman"/>
                <w:b/>
                <w:bCs/>
                <w:iCs/>
              </w:rPr>
              <w:t>10 000</w:t>
            </w:r>
          </w:p>
        </w:tc>
      </w:tr>
      <w:tr>
        <w:tblPrEx>
          <w:tblW w:w="100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P="00BB0D62">
            <w:pPr>
              <w:bidi w:val="0"/>
              <w:spacing w:line="125" w:lineRule="atLeast"/>
              <w:rPr>
                <w:rFonts w:ascii="Times New Roman" w:hAnsi="Times New Roman"/>
                <w:b/>
                <w:bCs/>
                <w:i/>
                <w:iCs/>
              </w:rPr>
            </w:pPr>
            <w:r>
              <w:rPr>
                <w:rFonts w:ascii="Times New Roman" w:hAnsi="Times New Roman"/>
                <w:b/>
                <w:bCs/>
                <w:i/>
                <w:iCs/>
              </w:rPr>
              <w:t>- </w:t>
            </w:r>
            <w:r w:rsidRPr="00BB0D62">
              <w:rPr>
                <w:rFonts w:ascii="Times New Roman" w:hAnsi="Times New Roman"/>
                <w:b/>
                <w:bCs/>
                <w:i/>
                <w:iCs/>
              </w:rPr>
              <w:t>využitie úspory nákladov</w:t>
            </w:r>
            <w:r>
              <w:rPr>
                <w:rFonts w:ascii="Times New Roman" w:hAnsi="Times New Roman"/>
                <w:b/>
                <w:bCs/>
                <w:i/>
                <w:iCs/>
              </w:rPr>
              <w:t xml:space="preserve"> </w:t>
            </w:r>
            <w:r w:rsidRPr="00BB0D62">
              <w:rPr>
                <w:rFonts w:ascii="Times New Roman" w:hAnsi="Times New Roman"/>
                <w:b/>
                <w:bCs/>
                <w:i/>
                <w:iCs/>
              </w:rPr>
              <w:t>verejného zdravotného poistenia na úhradu inej zdravotnej starostlivosti</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8D12AC">
            <w:pPr>
              <w:bidi w:val="0"/>
              <w:spacing w:line="70" w:lineRule="atLeast"/>
              <w:jc w:val="right"/>
              <w:rPr>
                <w:rFonts w:ascii="Times New Roman" w:hAnsi="Times New Roman"/>
              </w:rPr>
            </w:pPr>
            <w:r>
              <w:rPr>
                <w:rFonts w:ascii="Times New Roman" w:hAnsi="Times New Roman"/>
                <w:b/>
                <w:bCs/>
              </w:rPr>
              <w:t xml:space="preserve">cca 1,06 mil. </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9C0EFF">
            <w:pPr>
              <w:bidi w:val="0"/>
              <w:spacing w:line="70" w:lineRule="atLeast"/>
              <w:jc w:val="right"/>
              <w:rPr>
                <w:rFonts w:ascii="Times New Roman" w:hAnsi="Times New Roman"/>
              </w:rPr>
            </w:pPr>
            <w:r>
              <w:rPr>
                <w:rFonts w:ascii="Times New Roman" w:hAnsi="Times New Roman"/>
                <w:b/>
                <w:bCs/>
              </w:rPr>
              <w:t xml:space="preserve">cca 100 mil.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9C0EFF">
            <w:pPr>
              <w:bidi w:val="0"/>
              <w:spacing w:line="70" w:lineRule="atLeast"/>
              <w:jc w:val="right"/>
              <w:rPr>
                <w:rFonts w:ascii="Times New Roman" w:hAnsi="Times New Roman"/>
              </w:rPr>
            </w:pPr>
            <w:r>
              <w:rPr>
                <w:rFonts w:ascii="Times New Roman" w:hAnsi="Times New Roman"/>
                <w:b/>
                <w:bCs/>
              </w:rPr>
              <w:t xml:space="preserve">cca 50 mil.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9C0EFF">
            <w:pPr>
              <w:bidi w:val="0"/>
              <w:spacing w:line="70" w:lineRule="atLeast"/>
              <w:jc w:val="right"/>
              <w:rPr>
                <w:rFonts w:ascii="Times New Roman" w:hAnsi="Times New Roman"/>
              </w:rPr>
            </w:pPr>
            <w:r>
              <w:rPr>
                <w:rFonts w:ascii="Times New Roman" w:hAnsi="Times New Roman"/>
                <w:b/>
                <w:bCs/>
              </w:rPr>
              <w:t xml:space="preserve">cca 20 mil. </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rPr>
              <w:t xml:space="preserve">Celková zamestnanosť </w:t>
            </w:r>
          </w:p>
        </w:tc>
        <w:tc>
          <w:tcPr>
            <w:tcW w:w="1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rPr>
              <w:t>0</w:t>
            </w:r>
          </w:p>
        </w:tc>
        <w:tc>
          <w:tcPr>
            <w:tcW w:w="138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rPr>
              <w:t>0</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rPr>
              <w:t>0</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rPr>
              <w:t>Financovanie zabezpečené v</w:t>
            </w:r>
            <w:r>
              <w:rPr>
                <w:rFonts w:ascii="Times New Roman" w:hAnsi="Times New Roman"/>
                <w:b/>
                <w:bCs/>
              </w:rPr>
              <w:t> </w:t>
            </w:r>
            <w:r w:rsidRPr="004161A1">
              <w:rPr>
                <w:rFonts w:ascii="Times New Roman" w:hAnsi="Times New Roman"/>
                <w:b/>
                <w:bCs/>
              </w:rPr>
              <w:t>rozpočte</w:t>
            </w:r>
          </w:p>
        </w:tc>
        <w:tc>
          <w:tcPr>
            <w:tcW w:w="1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Pr>
                <w:rFonts w:ascii="Times New Roman" w:hAnsi="Times New Roman"/>
                <w:b/>
                <w:bCs/>
              </w:rPr>
              <w:t>6</w:t>
            </w:r>
            <w:r w:rsidRPr="006C121A">
              <w:rPr>
                <w:rFonts w:ascii="Times New Roman" w:hAnsi="Times New Roman"/>
                <w:b/>
                <w:bCs/>
              </w:rPr>
              <w:t>0</w:t>
            </w:r>
            <w:r>
              <w:rPr>
                <w:rFonts w:ascii="Times New Roman" w:hAnsi="Times New Roman"/>
                <w:b/>
                <w:bCs/>
              </w:rPr>
              <w:t xml:space="preserve"> 000</w:t>
            </w:r>
          </w:p>
        </w:tc>
        <w:tc>
          <w:tcPr>
            <w:tcW w:w="138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6C121A" w:rsidP="00A33FF0">
            <w:pPr>
              <w:bidi w:val="0"/>
              <w:spacing w:line="70" w:lineRule="atLeast"/>
              <w:jc w:val="right"/>
              <w:rPr>
                <w:rFonts w:ascii="Times New Roman" w:hAnsi="Times New Roman"/>
              </w:rPr>
            </w:pPr>
            <w:r>
              <w:rPr>
                <w:rFonts w:ascii="Times New Roman" w:hAnsi="Times New Roman"/>
                <w:b/>
                <w:bCs/>
              </w:rPr>
              <w:t>10 000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Pr>
                <w:rFonts w:ascii="Times New Roman" w:hAnsi="Times New Roman"/>
                <w:b/>
                <w:bCs/>
              </w:rPr>
              <w:t>10 000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Pr>
                <w:rFonts w:ascii="Times New Roman" w:hAnsi="Times New Roman"/>
                <w:b/>
                <w:bCs/>
              </w:rPr>
              <w:t>10 000</w:t>
            </w:r>
          </w:p>
        </w:tc>
      </w:tr>
      <w:tr>
        <w:tblPrEx>
          <w:tblW w:w="100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Pr>
                <w:rFonts w:ascii="Times New Roman" w:hAnsi="Times New Roman"/>
              </w:rPr>
              <w:t>zabezpečené v rámci rozpočtu MZ SR</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Pr>
                <w:rFonts w:ascii="Times New Roman" w:hAnsi="Times New Roman"/>
              </w:rPr>
              <w:t>60 000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Pr>
                <w:rFonts w:ascii="Times New Roman" w:hAnsi="Times New Roman"/>
              </w:rPr>
              <w:t>10 000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Pr>
                <w:rFonts w:ascii="Times New Roman" w:hAnsi="Times New Roman"/>
              </w:rPr>
              <w:t>10 000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Pr>
                <w:rFonts w:ascii="Times New Roman" w:hAnsi="Times New Roman"/>
              </w:rPr>
              <w:t>10 000</w:t>
            </w:r>
          </w:p>
        </w:tc>
      </w:tr>
      <w:tr>
        <w:tblPrEx>
          <w:tblW w:w="10029" w:type="dxa"/>
          <w:tblCellMar>
            <w:left w:w="0" w:type="dxa"/>
            <w:right w:w="0" w:type="dxa"/>
          </w:tblCellMar>
        </w:tblPrEx>
        <w:tc>
          <w:tcPr>
            <w:tcW w:w="4661"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447"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387"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267"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267"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r>
    </w:tbl>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Pr>
          <w:rFonts w:ascii="Times New Roman" w:hAnsi="Times New Roman"/>
          <w:b/>
          <w:bCs/>
        </w:rPr>
        <w:br w:type="page"/>
      </w:r>
      <w:r w:rsidRPr="004161A1">
        <w:rPr>
          <w:rFonts w:ascii="Times New Roman" w:hAnsi="Times New Roman"/>
          <w:b/>
          <w:bCs/>
        </w:rPr>
        <w:t>2.2. Financovanie návrhu</w:t>
      </w:r>
    </w:p>
    <w:p w:rsidR="00384F87" w:rsidP="004161A1">
      <w:pPr>
        <w:bidi w:val="0"/>
        <w:jc w:val="right"/>
        <w:rPr>
          <w:rFonts w:ascii="Times New Roman" w:hAnsi="Times New Roman"/>
        </w:rPr>
      </w:pPr>
      <w:r w:rsidRPr="004161A1">
        <w:rPr>
          <w:rFonts w:ascii="Times New Roman" w:hAnsi="Times New Roman"/>
          <w:sz w:val="20"/>
          <w:szCs w:val="20"/>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70" w:lineRule="atLeast"/>
              <w:jc w:val="center"/>
              <w:rPr>
                <w:rFonts w:ascii="Times New Roman" w:hAnsi="Times New Roman"/>
              </w:rPr>
            </w:pPr>
            <w:r w:rsidRPr="004161A1">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rsidRPr="004161A1" w:rsidP="004161A1">
            <w:pPr>
              <w:bidi w:val="0"/>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2011</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2014</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-60 000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B0D62">
            <w:pPr>
              <w:bidi w:val="0"/>
              <w:spacing w:line="70" w:lineRule="atLeast"/>
              <w:jc w:val="right"/>
              <w:rPr>
                <w:rFonts w:ascii="Times New Roman" w:hAnsi="Times New Roman"/>
              </w:rPr>
            </w:pPr>
            <w:r>
              <w:rPr>
                <w:rFonts w:ascii="Times New Roman" w:hAnsi="Times New Roman"/>
              </w:rPr>
              <w:t>-240 000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B0D62">
            <w:pPr>
              <w:bidi w:val="0"/>
              <w:spacing w:line="70" w:lineRule="atLeast"/>
              <w:jc w:val="right"/>
              <w:rPr>
                <w:rFonts w:ascii="Times New Roman" w:hAnsi="Times New Roman"/>
              </w:rPr>
            </w:pPr>
            <w:r>
              <w:rPr>
                <w:rFonts w:ascii="Times New Roman" w:hAnsi="Times New Roman"/>
              </w:rPr>
              <w:t>-240 000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B0D62">
            <w:pPr>
              <w:bidi w:val="0"/>
              <w:spacing w:line="70" w:lineRule="atLeast"/>
              <w:jc w:val="right"/>
              <w:rPr>
                <w:rFonts w:ascii="Times New Roman" w:hAnsi="Times New Roman"/>
              </w:rPr>
            </w:pPr>
            <w:r>
              <w:rPr>
                <w:rFonts w:ascii="Times New Roman" w:hAnsi="Times New Roman"/>
              </w:rPr>
              <w:t>-240 000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2444F0">
            <w:pPr>
              <w:bidi w:val="0"/>
              <w:spacing w:line="70" w:lineRule="atLeast"/>
              <w:rPr>
                <w:rFonts w:ascii="Times New Roman" w:hAnsi="Times New Roman"/>
              </w:rPr>
            </w:pPr>
            <w:r>
              <w:rPr>
                <w:rFonts w:ascii="Times New Roman" w:hAnsi="Times New Roman"/>
              </w:rPr>
              <w:t>  z toho vplyv na ŠR (úprava sadzieb správnych poplatkov)</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2444F0" w:rsidP="009C0EFF">
            <w:pPr>
              <w:bidi w:val="0"/>
              <w:spacing w:line="125" w:lineRule="atLeast"/>
              <w:jc w:val="right"/>
              <w:rPr>
                <w:rFonts w:ascii="Times New Roman" w:hAnsi="Times New Roman"/>
              </w:rPr>
            </w:pPr>
            <w:r>
              <w:rPr>
                <w:rFonts w:ascii="Times New Roman" w:hAnsi="Times New Roman"/>
                <w:bCs/>
                <w:iCs/>
              </w:rPr>
              <w:t>-</w:t>
            </w:r>
            <w:r w:rsidRPr="002444F0">
              <w:rPr>
                <w:rFonts w:ascii="Times New Roman" w:hAnsi="Times New Roman"/>
                <w:bCs/>
                <w:iCs/>
              </w:rPr>
              <w:t>120 000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2444F0" w:rsidP="009C0EFF">
            <w:pPr>
              <w:bidi w:val="0"/>
              <w:spacing w:line="125" w:lineRule="atLeast"/>
              <w:jc w:val="right"/>
              <w:rPr>
                <w:rFonts w:ascii="Times New Roman" w:hAnsi="Times New Roman"/>
              </w:rPr>
            </w:pPr>
            <w:r>
              <w:rPr>
                <w:rFonts w:ascii="Times New Roman" w:hAnsi="Times New Roman"/>
                <w:bCs/>
                <w:iCs/>
              </w:rPr>
              <w:t>-</w:t>
            </w:r>
            <w:r w:rsidRPr="002444F0">
              <w:rPr>
                <w:rFonts w:ascii="Times New Roman" w:hAnsi="Times New Roman"/>
                <w:bCs/>
                <w:iCs/>
              </w:rPr>
              <w:t>250 000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2444F0" w:rsidP="009C0EFF">
            <w:pPr>
              <w:bidi w:val="0"/>
              <w:spacing w:line="125" w:lineRule="atLeast"/>
              <w:jc w:val="right"/>
              <w:rPr>
                <w:rFonts w:ascii="Times New Roman" w:hAnsi="Times New Roman"/>
              </w:rPr>
            </w:pPr>
            <w:r>
              <w:rPr>
                <w:rFonts w:ascii="Times New Roman" w:hAnsi="Times New Roman"/>
                <w:bCs/>
                <w:iCs/>
              </w:rPr>
              <w:t>-</w:t>
            </w:r>
            <w:r w:rsidRPr="002444F0">
              <w:rPr>
                <w:rFonts w:ascii="Times New Roman" w:hAnsi="Times New Roman"/>
                <w:bCs/>
                <w:iCs/>
              </w:rPr>
              <w:t>250 000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2444F0" w:rsidP="009C0EFF">
            <w:pPr>
              <w:bidi w:val="0"/>
              <w:spacing w:line="125" w:lineRule="atLeast"/>
              <w:jc w:val="right"/>
              <w:rPr>
                <w:rFonts w:ascii="Times New Roman" w:hAnsi="Times New Roman"/>
              </w:rPr>
            </w:pPr>
            <w:r>
              <w:rPr>
                <w:rFonts w:ascii="Times New Roman" w:hAnsi="Times New Roman"/>
                <w:bCs/>
                <w:iCs/>
              </w:rPr>
              <w:t>-</w:t>
            </w:r>
            <w:r w:rsidRPr="002444F0">
              <w:rPr>
                <w:rFonts w:ascii="Times New Roman" w:hAnsi="Times New Roman"/>
                <w:bCs/>
                <w:iCs/>
              </w:rPr>
              <w:t>250 000</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P="004161A1">
            <w:pPr>
              <w:bidi w:val="0"/>
              <w:spacing w:line="151" w:lineRule="atLeast"/>
              <w:rPr>
                <w:rFonts w:ascii="Times New Roman" w:hAnsi="Times New Roman"/>
              </w:rPr>
            </w:pPr>
            <w:r>
              <w:rPr>
                <w:rFonts w:ascii="Times New Roman" w:hAnsi="Times New Roman"/>
              </w:rPr>
              <w:t>  financovanie zabezpečené v rozpočte</w:t>
            </w:r>
          </w:p>
          <w:p w:rsidR="00384F87" w:rsidRPr="004161A1" w:rsidP="004161A1">
            <w:pPr>
              <w:bidi w:val="0"/>
              <w:spacing w:line="151" w:lineRule="atLeast"/>
              <w:rPr>
                <w:rFonts w:ascii="Times New Roman" w:hAnsi="Times New Roman"/>
              </w:rPr>
            </w:pPr>
            <w:r>
              <w:rPr>
                <w:rFonts w:ascii="Times New Roman" w:hAnsi="Times New Roman"/>
              </w:rPr>
              <w:t xml:space="preserve">  MZ SR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60 000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10 000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10 000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10 000</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rPr>
                <w:rFonts w:ascii="Times New Roman" w:hAnsi="Times New Roman"/>
              </w:rPr>
            </w:pPr>
            <w:r>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rPr>
              <w:t>0</w:t>
            </w:r>
          </w:p>
        </w:tc>
      </w:tr>
      <w:tr>
        <w:tblPrEx>
          <w:tblW w:w="9360" w:type="dxa"/>
          <w:tblCellMar>
            <w:left w:w="0" w:type="dxa"/>
            <w:right w:w="0" w:type="dxa"/>
          </w:tblCellMar>
        </w:tblPrEx>
        <w:tc>
          <w:tcPr>
            <w:tcW w:w="430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26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26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26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26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r>
    </w:tbl>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 </w:t>
      </w:r>
    </w:p>
    <w:p w:rsidR="00384F87" w:rsidP="004161A1">
      <w:pPr>
        <w:bidi w:val="0"/>
        <w:rPr>
          <w:rFonts w:ascii="Times New Roman" w:hAnsi="Times New Roman"/>
        </w:rPr>
      </w:pPr>
      <w:r w:rsidRPr="004161A1">
        <w:rPr>
          <w:rFonts w:ascii="Times New Roman" w:hAnsi="Times New Roman"/>
          <w:b/>
          <w:bCs/>
        </w:rPr>
        <w:t>Návrh na riešenie úbytku príjmov alebo zvýšených výdavkov podľa § 33 ods. 1 zákona č. 523/2004 Z. z. o rozpočtových pravidlách verejnej správy:</w:t>
      </w:r>
    </w:p>
    <w:p w:rsidR="00384F87"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384F87" w:rsidRPr="00BB0D62" w:rsidP="004161A1">
      <w:pPr>
        <w:pBdr>
          <w:top w:val="single" w:sz="4" w:space="1" w:color="000000"/>
          <w:left w:val="single" w:sz="4" w:space="4" w:color="000000"/>
          <w:bottom w:val="single" w:sz="4" w:space="1" w:color="000000"/>
          <w:right w:val="single" w:sz="4" w:space="4" w:color="000000"/>
        </w:pBdr>
        <w:bidi w:val="0"/>
        <w:rPr>
          <w:rFonts w:ascii="Times New Roman" w:hAnsi="Times New Roman"/>
          <w:color w:val="000000"/>
        </w:rPr>
      </w:pPr>
      <w:r w:rsidRPr="00BB0D62">
        <w:rPr>
          <w:rFonts w:ascii="Times New Roman" w:hAnsi="Times New Roman"/>
          <w:color w:val="000000"/>
        </w:rPr>
        <w:t>Zvýšené výdavky Ministerstva zdravotníctva SR súvisiace s predloženým návrhom budú zabezpečené v rámci schválených limitov rozpočtu Ministerstva zdravotníctva SR na jednotlivé rozpočtové roky.</w:t>
      </w:r>
    </w:p>
    <w:p w:rsidR="00384F87"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384F87"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384F87" w:rsidP="004161A1">
      <w:pPr>
        <w:bidi w:val="0"/>
        <w:rPr>
          <w:rFonts w:ascii="Times New Roman" w:hAnsi="Times New Roman"/>
          <w:b/>
          <w:bCs/>
        </w:rPr>
      </w:pPr>
    </w:p>
    <w:p w:rsidR="00384F87" w:rsidP="004161A1">
      <w:pPr>
        <w:bidi w:val="0"/>
        <w:rPr>
          <w:rFonts w:ascii="Times New Roman" w:hAnsi="Times New Roman"/>
          <w:b/>
          <w:bCs/>
        </w:rPr>
      </w:pPr>
    </w:p>
    <w:p w:rsidR="00384F87" w:rsidP="004161A1">
      <w:pPr>
        <w:bidi w:val="0"/>
        <w:rPr>
          <w:rFonts w:ascii="Times New Roman" w:hAnsi="Times New Roman"/>
        </w:rPr>
      </w:pPr>
      <w:r w:rsidRPr="004161A1">
        <w:rPr>
          <w:rFonts w:ascii="Times New Roman" w:hAnsi="Times New Roman"/>
          <w:b/>
          <w:bCs/>
        </w:rPr>
        <w:t>2.3. Popis a charakteristika návrhu</w:t>
      </w:r>
    </w:p>
    <w:p w:rsidR="00384F87" w:rsidP="004161A1">
      <w:pPr>
        <w:bidi w:val="0"/>
        <w:rPr>
          <w:rFonts w:ascii="Times New Roman" w:hAnsi="Times New Roman"/>
        </w:rPr>
      </w:pPr>
      <w:r>
        <w:rPr>
          <w:rFonts w:ascii="Times New Roman" w:hAnsi="Times New Roman"/>
        </w:rPr>
        <w:t> </w:t>
      </w:r>
    </w:p>
    <w:p w:rsidR="00384F87" w:rsidP="004161A1">
      <w:pPr>
        <w:bidi w:val="0"/>
        <w:jc w:val="both"/>
        <w:rPr>
          <w:rFonts w:ascii="Times New Roman" w:hAnsi="Times New Roman"/>
        </w:rPr>
      </w:pPr>
      <w:r w:rsidRPr="004161A1">
        <w:rPr>
          <w:rFonts w:ascii="Times New Roman" w:hAnsi="Times New Roman"/>
          <w:b/>
          <w:bCs/>
        </w:rPr>
        <w:t>2.3.1. Popis návrhu:</w:t>
      </w:r>
    </w:p>
    <w:p w:rsidR="00384F87" w:rsidP="004161A1">
      <w:pPr>
        <w:bidi w:val="0"/>
        <w:jc w:val="both"/>
        <w:rPr>
          <w:rFonts w:ascii="Times New Roman" w:hAnsi="Times New Roman"/>
        </w:rPr>
      </w:pPr>
      <w:r w:rsidRPr="004161A1">
        <w:rPr>
          <w:rFonts w:ascii="Times New Roman" w:hAnsi="Times New Roman"/>
          <w:b/>
          <w:bCs/>
        </w:rPr>
        <w:t> </w:t>
      </w:r>
    </w:p>
    <w:p w:rsidR="00384F87" w:rsidRPr="00C3348C" w:rsidP="00A9525B">
      <w:pPr>
        <w:bidi w:val="0"/>
        <w:ind w:firstLine="720"/>
        <w:jc w:val="both"/>
        <w:rPr>
          <w:rFonts w:ascii="Times New Roman" w:hAnsi="Times New Roman"/>
          <w:color w:val="000000"/>
        </w:rPr>
      </w:pPr>
      <w:r w:rsidRPr="00C3348C">
        <w:rPr>
          <w:rFonts w:ascii="Times New Roman" w:hAnsi="Times New Roman"/>
          <w:color w:val="000000"/>
        </w:rPr>
        <w:t>Návrh zákona má za ciele bližšie upraviť podmienky úradného urč</w:t>
      </w:r>
      <w:r>
        <w:rPr>
          <w:rFonts w:ascii="Times New Roman" w:hAnsi="Times New Roman"/>
          <w:color w:val="000000"/>
        </w:rPr>
        <w:t>e</w:t>
      </w:r>
      <w:r w:rsidRPr="00C3348C">
        <w:rPr>
          <w:rFonts w:ascii="Times New Roman" w:hAnsi="Times New Roman"/>
          <w:color w:val="000000"/>
        </w:rPr>
        <w:t>nia cien liekov, zdravotníckych pomôcok a dietetických potravín a</w:t>
      </w:r>
      <w:r>
        <w:rPr>
          <w:rFonts w:ascii="Times New Roman" w:hAnsi="Times New Roman"/>
          <w:color w:val="000000"/>
        </w:rPr>
        <w:t xml:space="preserve"> </w:t>
      </w:r>
      <w:r w:rsidRPr="00C3348C">
        <w:rPr>
          <w:rFonts w:ascii="Times New Roman" w:hAnsi="Times New Roman"/>
          <w:color w:val="000000"/>
        </w:rPr>
        <w:t>rozsahu ich úhrad na základe verejného zdravotného poistenia; klásť zvýšený dôraz na otázku nákladovej efektívnosti liečby uhrádzanej na základe verejného zdravotného poistenia; zaviesť do procesu kategorizácie liekov inovatívne postupy smerujúce k zabezpečeniu účelného vynakladania prostriedkov verejného zdravotného poistenia a súčasne k zabezpečeniu finančnej stability tohto systému; umožniť rýchlejší vstup nových liekov na trh; podporiť efekt úspory zdrojov verejného zdravotného poistenia spojený so vstupom generických liekov na trh; zvýšiť transparentnosť procesov kategorizácie a úradného urč</w:t>
      </w:r>
      <w:r>
        <w:rPr>
          <w:rFonts w:ascii="Times New Roman" w:hAnsi="Times New Roman"/>
          <w:color w:val="000000"/>
        </w:rPr>
        <w:t>e</w:t>
      </w:r>
      <w:r w:rsidRPr="00C3348C">
        <w:rPr>
          <w:rFonts w:ascii="Times New Roman" w:hAnsi="Times New Roman"/>
          <w:color w:val="000000"/>
        </w:rPr>
        <w:t>nia cien a súčasne podporiť elektronizáciu týchto procesov.</w:t>
      </w:r>
    </w:p>
    <w:p w:rsidR="00384F87" w:rsidRPr="00E16920" w:rsidP="00A9525B">
      <w:pPr>
        <w:bidi w:val="0"/>
        <w:rPr>
          <w:rFonts w:ascii="Times New Roman" w:hAnsi="Times New Roman"/>
          <w:color w:val="000000"/>
        </w:rPr>
      </w:pPr>
      <w:r w:rsidRPr="00E16920">
        <w:rPr>
          <w:rFonts w:ascii="Times New Roman" w:hAnsi="Times New Roman"/>
          <w:color w:val="000000"/>
        </w:rPr>
        <w:t xml:space="preserve"> </w:t>
      </w:r>
    </w:p>
    <w:p w:rsidR="00384F87" w:rsidP="00A9525B">
      <w:pPr>
        <w:bidi w:val="0"/>
        <w:ind w:firstLine="708"/>
        <w:jc w:val="both"/>
        <w:rPr>
          <w:rFonts w:ascii="Times New Roman" w:hAnsi="Times New Roman"/>
        </w:rPr>
      </w:pPr>
      <w:r w:rsidRPr="00E16920">
        <w:rPr>
          <w:rFonts w:ascii="Times New Roman" w:hAnsi="Times New Roman"/>
          <w:color w:val="000000"/>
        </w:rPr>
        <w:t>Návrh bude implementovaný Ministerstvom zdravotníctva SR.</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Pr>
          <w:rFonts w:ascii="Times New Roman" w:hAnsi="Times New Roman"/>
        </w:rPr>
        <w:t>.......................................................................................................................................................</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2.3.2. Charakteristika návrhu podľa bodu  2.3.2. Metodiky :</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384F87"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384F87"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384F87" w:rsidP="004161A1">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kombinovaný návrh</w:t>
      </w:r>
    </w:p>
    <w:p w:rsidR="00384F87"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2.3.3. Predpoklady vývoja objemu aktivít:</w:t>
      </w:r>
    </w:p>
    <w:p w:rsidR="00384F87" w:rsidP="004161A1">
      <w:pPr>
        <w:bidi w:val="0"/>
        <w:rPr>
          <w:rFonts w:ascii="Times New Roman" w:hAnsi="Times New Roman"/>
        </w:rPr>
      </w:pPr>
      <w:r>
        <w:rPr>
          <w:rFonts w:ascii="Times New Roman" w:hAnsi="Times New Roman"/>
        </w:rPr>
        <w:t> </w:t>
      </w:r>
    </w:p>
    <w:p w:rsidR="00384F87" w:rsidP="004161A1">
      <w:pPr>
        <w:bidi w:val="0"/>
        <w:ind w:firstLine="708"/>
        <w:jc w:val="both"/>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384F87" w:rsidP="004161A1">
      <w:pPr>
        <w:bidi w:val="0"/>
        <w:jc w:val="right"/>
        <w:rPr>
          <w:rFonts w:ascii="Times New Roman" w:hAnsi="Times New Roman"/>
        </w:rPr>
      </w:pPr>
      <w:r w:rsidRPr="004161A1">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84F87" w:rsidRPr="004161A1" w:rsidP="004161A1">
            <w:pPr>
              <w:bidi w:val="0"/>
              <w:spacing w:line="70" w:lineRule="atLeast"/>
              <w:jc w:val="center"/>
              <w:rPr>
                <w:rFonts w:ascii="Times New Roman" w:hAnsi="Times New Roman"/>
              </w:rPr>
            </w:pPr>
            <w:r w:rsidRPr="004161A1">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84F87" w:rsidRPr="004161A1" w:rsidP="004161A1">
            <w:pPr>
              <w:bidi w:val="0"/>
              <w:spacing w:line="70" w:lineRule="atLeast"/>
              <w:jc w:val="center"/>
              <w:rPr>
                <w:rFonts w:ascii="Times New Roman" w:hAnsi="Times New Roman"/>
              </w:rPr>
            </w:pPr>
            <w:r w:rsidRPr="004161A1">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rsidRPr="004161A1" w:rsidP="004161A1">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2014</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rPr>
                <w:rFonts w:ascii="Times New Roman" w:hAnsi="Times New Roman"/>
              </w:rPr>
            </w:pPr>
            <w:r>
              <w:rPr>
                <w:rFonts w:ascii="Times New Roman" w:hAnsi="Times New Roman"/>
                <w:color w:val="000000"/>
              </w:rPr>
              <w:t>Zvýšený objem žiadostí o úradné určenie ceny lieku, zdravotníckej pomôcky alebo dietetickej potraviny</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P="002444F0">
            <w:pPr>
              <w:bidi w:val="0"/>
              <w:spacing w:line="70" w:lineRule="atLeast"/>
              <w:jc w:val="center"/>
              <w:rPr>
                <w:rFonts w:ascii="Times New Roman" w:hAnsi="Times New Roman"/>
                <w:color w:val="000000"/>
              </w:rPr>
            </w:pPr>
            <w:r>
              <w:rPr>
                <w:rFonts w:ascii="Times New Roman" w:hAnsi="Times New Roman"/>
                <w:color w:val="000000"/>
              </w:rPr>
              <w:t>300</w:t>
            </w:r>
          </w:p>
          <w:p w:rsidR="00384F87" w:rsidRPr="004161A1" w:rsidP="002444F0">
            <w:pPr>
              <w:bidi w:val="0"/>
              <w:spacing w:line="70" w:lineRule="atLeast"/>
              <w:jc w:val="center"/>
              <w:rPr>
                <w:rFonts w:ascii="Times New Roman" w:hAnsi="Times New Roman"/>
              </w:rPr>
            </w:pPr>
            <w:r>
              <w:rPr>
                <w:rFonts w:ascii="Times New Roman" w:hAnsi="Times New Roman"/>
                <w:color w:val="000000"/>
              </w:rPr>
              <w:t>žiadostí</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2444F0">
            <w:pPr>
              <w:bidi w:val="0"/>
              <w:spacing w:line="70" w:lineRule="atLeast"/>
              <w:jc w:val="center"/>
              <w:rPr>
                <w:rFonts w:ascii="Times New Roman" w:hAnsi="Times New Roman"/>
              </w:rPr>
            </w:pPr>
            <w:r>
              <w:rPr>
                <w:rFonts w:ascii="Times New Roman" w:hAnsi="Times New Roman"/>
                <w:color w:val="000000"/>
              </w:rPr>
              <w:t>600 žiadostí</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2444F0">
            <w:pPr>
              <w:bidi w:val="0"/>
              <w:spacing w:line="70" w:lineRule="atLeast"/>
              <w:jc w:val="center"/>
              <w:rPr>
                <w:rFonts w:ascii="Times New Roman" w:hAnsi="Times New Roman"/>
              </w:rPr>
            </w:pPr>
            <w:r>
              <w:rPr>
                <w:rFonts w:ascii="Times New Roman" w:hAnsi="Times New Roman"/>
                <w:color w:val="000000"/>
              </w:rPr>
              <w:t>200 žiadostí</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2444F0">
            <w:pPr>
              <w:bidi w:val="0"/>
              <w:spacing w:line="70" w:lineRule="atLeast"/>
              <w:jc w:val="center"/>
              <w:rPr>
                <w:rFonts w:ascii="Times New Roman" w:hAnsi="Times New Roman"/>
              </w:rPr>
            </w:pPr>
            <w:r>
              <w:rPr>
                <w:rFonts w:ascii="Times New Roman" w:hAnsi="Times New Roman"/>
                <w:color w:val="000000"/>
              </w:rPr>
              <w:t>200 žiadostí</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84F87" w:rsidRPr="004161A1" w:rsidP="004161A1">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13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13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13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c>
          <w:tcPr>
            <w:tcW w:w="1134" w:type="dxa"/>
            <w:tcBorders>
              <w:top w:val="nil"/>
              <w:left w:val="nil"/>
              <w:bottom w:val="nil"/>
              <w:right w:val="nil"/>
            </w:tcBorders>
            <w:textDirection w:val="lrTb"/>
            <w:vAlign w:val="center"/>
          </w:tcPr>
          <w:p w:rsidR="00384F87" w:rsidRPr="004161A1" w:rsidP="004161A1">
            <w:pPr>
              <w:bidi w:val="0"/>
              <w:rPr>
                <w:rFonts w:ascii="Times New Roman" w:hAnsi="Times New Roman"/>
                <w:sz w:val="2"/>
              </w:rPr>
            </w:pPr>
          </w:p>
        </w:tc>
      </w:tr>
    </w:tbl>
    <w:p w:rsidR="00384F87" w:rsidP="004161A1">
      <w:pPr>
        <w:bidi w:val="0"/>
        <w:rPr>
          <w:rFonts w:ascii="Times New Roman" w:hAnsi="Times New Roman"/>
        </w:rPr>
      </w:pPr>
      <w:r>
        <w:rPr>
          <w:rFonts w:ascii="Times New Roman" w:hAnsi="Times New Roman"/>
        </w:rPr>
        <w:t> </w:t>
      </w:r>
    </w:p>
    <w:p w:rsidR="00384F87" w:rsidP="000332C7">
      <w:pPr>
        <w:bidi w:val="0"/>
        <w:jc w:val="both"/>
        <w:rPr>
          <w:rFonts w:ascii="Times New Roman" w:hAnsi="Times New Roman"/>
        </w:rPr>
      </w:pPr>
      <w:r>
        <w:rPr>
          <w:rFonts w:ascii="Times New Roman" w:hAnsi="Times New Roman"/>
        </w:rPr>
        <w:tab/>
        <w:t>V období po nadobudnutí účinnosti návrhu zákona možno prechodne očakávať zvýšenú administratívnu záťaž spojenú so spracovaním žiadostí o úradné určenie cien liekov, nakoľko návrh zákona predpokladá, že úradne určená cena bude jednou zo základných podmienok pre prípadnú úhradu na základe verejného zdravotného poistenia pri poskytnutí v rámci ústavnej zdravotnej starostlivosti. Zvýšenie administratívnej záťaže možno predpokladať aj v súvislosti so zavedením kategorizácie špeciálnych zdravotníckych materiálov. Možno predpokladať, že zvýšený objem aktivít bude kompenzovaný zavedením elektronizácie príslušných procesov.</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2.3.4. Výpočty vplyvov na verejné financie</w:t>
      </w:r>
    </w:p>
    <w:p w:rsidR="00384F87" w:rsidP="004161A1">
      <w:pPr>
        <w:bidi w:val="0"/>
        <w:rPr>
          <w:rFonts w:ascii="Times New Roman" w:hAnsi="Times New Roman"/>
        </w:rPr>
      </w:pPr>
      <w:r>
        <w:rPr>
          <w:rFonts w:ascii="Times New Roman" w:hAnsi="Times New Roman"/>
        </w:rPr>
        <w:t> </w:t>
      </w:r>
    </w:p>
    <w:p w:rsidR="00384F87" w:rsidRPr="00460AB2" w:rsidP="00A9525B">
      <w:pPr>
        <w:bidi w:val="0"/>
        <w:ind w:left="60" w:firstLine="360"/>
        <w:jc w:val="both"/>
        <w:rPr>
          <w:rFonts w:ascii="Times New Roman" w:hAnsi="Times New Roman"/>
          <w:color w:val="000000"/>
        </w:rPr>
      </w:pPr>
      <w:r w:rsidRPr="00460AB2">
        <w:rPr>
          <w:rFonts w:ascii="Times New Roman" w:hAnsi="Times New Roman"/>
          <w:color w:val="000000"/>
        </w:rPr>
        <w:t xml:space="preserve">Návrh zákona nezakladá zvýšené nároky na rozpočty samosprávnych krajov a rozpočty obcí. </w:t>
      </w:r>
    </w:p>
    <w:p w:rsidR="00384F87" w:rsidRPr="00460AB2" w:rsidP="00A9525B">
      <w:pPr>
        <w:bidi w:val="0"/>
        <w:ind w:left="60" w:firstLine="360"/>
        <w:jc w:val="both"/>
        <w:rPr>
          <w:rFonts w:ascii="Times New Roman" w:hAnsi="Times New Roman"/>
          <w:color w:val="000000"/>
        </w:rPr>
      </w:pPr>
    </w:p>
    <w:p w:rsidR="00384F87" w:rsidP="00A9525B">
      <w:pPr>
        <w:bidi w:val="0"/>
        <w:ind w:left="60" w:firstLine="360"/>
        <w:jc w:val="both"/>
        <w:rPr>
          <w:rFonts w:ascii="Times New Roman" w:hAnsi="Times New Roman"/>
          <w:color w:val="000000"/>
        </w:rPr>
      </w:pPr>
      <w:r w:rsidRPr="00460AB2">
        <w:rPr>
          <w:rFonts w:ascii="Times New Roman" w:hAnsi="Times New Roman"/>
          <w:color w:val="000000"/>
        </w:rPr>
        <w:t xml:space="preserve">Návrh zákona zaťaží rozpočet Ministerstva zdravotníctva Slovenskej republiky, nakoľko v rámci praktickej realizácie správneho konania podľa kritérií určených týmto návrhom sa predpokladá vytvorenie nového informačného systému umožňujúceho zber, spracovanie a zverejňovanie prijatých žiadostí a podnetov a následné zverejňovanie rozhodnutí vydaných ministerstvom. Vstupné náklady na vytvorenie informačného systému spĺňajúceho požadované funkčné a bezpečnostné vlastnosti možno predpokladať </w:t>
      </w:r>
      <w:r>
        <w:rPr>
          <w:rFonts w:ascii="Times New Roman" w:hAnsi="Times New Roman"/>
          <w:color w:val="000000"/>
        </w:rPr>
        <w:t xml:space="preserve">vo </w:t>
      </w:r>
      <w:r w:rsidRPr="00460AB2">
        <w:rPr>
          <w:rFonts w:ascii="Times New Roman" w:hAnsi="Times New Roman"/>
          <w:color w:val="000000"/>
        </w:rPr>
        <w:t>výšk</w:t>
      </w:r>
      <w:r>
        <w:rPr>
          <w:rFonts w:ascii="Times New Roman" w:hAnsi="Times New Roman"/>
          <w:color w:val="000000"/>
        </w:rPr>
        <w:t>e okolo</w:t>
      </w:r>
      <w:r w:rsidRPr="00460AB2">
        <w:rPr>
          <w:rFonts w:ascii="Times New Roman" w:hAnsi="Times New Roman"/>
          <w:color w:val="000000"/>
        </w:rPr>
        <w:t xml:space="preserve"> 60 000 eur. V ďalších rokoch je možné predpokladať náklady spojené so štandardnou údržbou informačného systému a zakupovaním elektronických podpisov určených pre podpisovanie elektronických rozhodnutí vydávaných ministerstvom. </w:t>
      </w:r>
    </w:p>
    <w:p w:rsidR="00384F87" w:rsidP="00A9525B">
      <w:pPr>
        <w:bidi w:val="0"/>
        <w:ind w:left="60" w:firstLine="360"/>
        <w:jc w:val="both"/>
        <w:rPr>
          <w:rFonts w:ascii="Times New Roman" w:hAnsi="Times New Roman"/>
          <w:color w:val="000000"/>
        </w:rPr>
      </w:pPr>
    </w:p>
    <w:p w:rsidR="00384F87" w:rsidRPr="00460AB2" w:rsidP="00A9525B">
      <w:pPr>
        <w:bidi w:val="0"/>
        <w:ind w:left="60" w:firstLine="360"/>
        <w:jc w:val="both"/>
        <w:rPr>
          <w:rFonts w:ascii="Times New Roman" w:hAnsi="Times New Roman"/>
          <w:color w:val="000000"/>
        </w:rPr>
      </w:pPr>
      <w:r w:rsidRPr="00460AB2">
        <w:rPr>
          <w:rFonts w:ascii="Times New Roman" w:hAnsi="Times New Roman"/>
          <w:color w:val="000000"/>
        </w:rPr>
        <w:t>Návrh zákona mení aktuálne stanovené výšky správnych poplatkov súvisiacich so žiadosťami o zaradenie lieku, zdravotníckej pomôcky alebo dietetickej potraviny do kategorizačných zoznamov a súčasne zavádza nové správne poplatky pre vybrané typy žiadostí vo veciach kategorizácie a úradného urč</w:t>
      </w:r>
      <w:r>
        <w:rPr>
          <w:rFonts w:ascii="Times New Roman" w:hAnsi="Times New Roman"/>
          <w:color w:val="000000"/>
        </w:rPr>
        <w:t>e</w:t>
      </w:r>
      <w:r w:rsidRPr="00460AB2">
        <w:rPr>
          <w:rFonts w:ascii="Times New Roman" w:hAnsi="Times New Roman"/>
          <w:color w:val="000000"/>
        </w:rPr>
        <w:t xml:space="preserve">nia cien. Vzhľadom na zvýšenie aktuálne platných sadzieb správnych poplatkov a súčasné zavedenie nových správnych poplatkov možno, s prihliadnutím na odhadované počty prijatých a spracovaných žiadostí, predpokladať pozitívny efekt na štátny rozpočet minimálne vo výške 250 000 eur ročne (konzervatívny odhad). </w:t>
      </w:r>
      <w:r w:rsidRPr="009F3133">
        <w:rPr>
          <w:rFonts w:ascii="Times New Roman" w:hAnsi="Times New Roman"/>
          <w:color w:val="000000"/>
        </w:rPr>
        <w:t>Z uvedeného je zrejmé, že napriek predpokladaným nákladom na zavedenie a následnú údržbu informačného systému, návrh zákona má v konečnom dôsledku</w:t>
      </w:r>
      <w:r>
        <w:rPr>
          <w:rFonts w:ascii="Times New Roman" w:hAnsi="Times New Roman"/>
          <w:color w:val="000000"/>
        </w:rPr>
        <w:t xml:space="preserve"> </w:t>
      </w:r>
      <w:r w:rsidRPr="009F3133">
        <w:rPr>
          <w:rFonts w:ascii="Times New Roman" w:hAnsi="Times New Roman"/>
          <w:color w:val="000000"/>
        </w:rPr>
        <w:t>pozitívny vplyv na rozpočet verejnej správy.</w:t>
      </w:r>
      <w:r w:rsidRPr="00460AB2">
        <w:rPr>
          <w:rFonts w:ascii="Times New Roman" w:hAnsi="Times New Roman"/>
          <w:color w:val="000000"/>
        </w:rPr>
        <w:t xml:space="preserve"> </w:t>
      </w:r>
    </w:p>
    <w:p w:rsidR="00384F87" w:rsidP="00A9525B">
      <w:pPr>
        <w:bidi w:val="0"/>
        <w:ind w:left="60" w:firstLine="360"/>
        <w:jc w:val="both"/>
        <w:rPr>
          <w:rFonts w:ascii="Times New Roman" w:hAnsi="Times New Roman"/>
          <w:color w:val="000000"/>
        </w:rPr>
      </w:pPr>
    </w:p>
    <w:p w:rsidR="00384F87" w:rsidRPr="00460AB2" w:rsidP="00A9525B">
      <w:pPr>
        <w:bidi w:val="0"/>
        <w:ind w:left="60" w:firstLine="360"/>
        <w:jc w:val="both"/>
        <w:rPr>
          <w:rFonts w:ascii="Times New Roman" w:hAnsi="Times New Roman"/>
          <w:color w:val="000000"/>
        </w:rPr>
      </w:pPr>
      <w:r w:rsidRPr="00460AB2">
        <w:rPr>
          <w:rFonts w:ascii="Times New Roman" w:hAnsi="Times New Roman"/>
          <w:color w:val="000000"/>
        </w:rPr>
        <w:t>Návrh zákona zavádza inštitút udeľovania pokuty pre držiteľa rozhodnutia o registrácii lieku v prípade, ak tento nezabezpečí reálnu dostupnosť kategorizovaného lieku na trhu. Výška pokuty je určená na 10 000 až 30 000 eur. Pokuty uložené ministerstvom sú príjmom štátneho rozpočtu. Možno však predpokladať, že už samotná hrozba uvedenej sankcie bude mať dostatočný preventívny účinok a k reálnemu neplneniu povinnosti držiteľa rozhodnutia o registrácii lieku nebude dochádzať. Z uvedených príčin neuvažujeme o pozitívnom vplyve príjmov z pokút na štátny rozpočet.</w:t>
      </w:r>
    </w:p>
    <w:p w:rsidR="00384F87" w:rsidRPr="00460AB2" w:rsidP="00A9525B">
      <w:pPr>
        <w:bidi w:val="0"/>
        <w:ind w:left="60" w:firstLine="360"/>
        <w:jc w:val="both"/>
        <w:rPr>
          <w:rFonts w:ascii="Times New Roman" w:hAnsi="Times New Roman"/>
          <w:color w:val="000000"/>
        </w:rPr>
      </w:pPr>
    </w:p>
    <w:p w:rsidR="00384F87" w:rsidP="00A9525B">
      <w:pPr>
        <w:bidi w:val="0"/>
        <w:ind w:left="60" w:firstLine="360"/>
        <w:jc w:val="both"/>
        <w:rPr>
          <w:rFonts w:ascii="Times New Roman" w:hAnsi="Times New Roman"/>
          <w:color w:val="000000"/>
        </w:rPr>
      </w:pPr>
      <w:r w:rsidRPr="00460AB2">
        <w:rPr>
          <w:rFonts w:ascii="Times New Roman" w:hAnsi="Times New Roman"/>
          <w:color w:val="000000"/>
        </w:rPr>
        <w:t xml:space="preserve">Návrh zákona má pozitívny vplyv na verejné zdroje, s ktorými hospodária zdravotné poisťovne, </w:t>
      </w:r>
      <w:r>
        <w:rPr>
          <w:rFonts w:ascii="Times New Roman" w:hAnsi="Times New Roman"/>
          <w:color w:val="000000"/>
        </w:rPr>
        <w:t>ktoré</w:t>
      </w:r>
      <w:r w:rsidRPr="00460AB2">
        <w:rPr>
          <w:rFonts w:ascii="Times New Roman" w:hAnsi="Times New Roman"/>
          <w:color w:val="000000"/>
        </w:rPr>
        <w:t xml:space="preserve"> možno kvantifikovať </w:t>
      </w:r>
      <w:r>
        <w:rPr>
          <w:rFonts w:ascii="Times New Roman" w:hAnsi="Times New Roman"/>
          <w:color w:val="000000"/>
        </w:rPr>
        <w:t>zhruba nasledovne:</w:t>
      </w:r>
    </w:p>
    <w:p w:rsidR="00384F87" w:rsidP="00614DA5">
      <w:pPr>
        <w:pStyle w:val="ListParagraph"/>
        <w:numPr>
          <w:numId w:val="8"/>
        </w:numPr>
        <w:bidi w:val="0"/>
        <w:jc w:val="both"/>
        <w:rPr>
          <w:rFonts w:ascii="Times New Roman" w:hAnsi="Times New Roman"/>
          <w:color w:val="000000"/>
        </w:rPr>
      </w:pPr>
      <w:r>
        <w:rPr>
          <w:rFonts w:ascii="Times New Roman" w:hAnsi="Times New Roman"/>
          <w:color w:val="000000"/>
        </w:rPr>
        <w:t>cca 7</w:t>
      </w:r>
      <w:r w:rsidRPr="00614DA5">
        <w:rPr>
          <w:rFonts w:ascii="Times New Roman" w:hAnsi="Times New Roman"/>
          <w:color w:val="000000"/>
        </w:rPr>
        <w:t>5 mil</w:t>
      </w:r>
      <w:r>
        <w:rPr>
          <w:rFonts w:ascii="Times New Roman" w:hAnsi="Times New Roman"/>
          <w:color w:val="000000"/>
        </w:rPr>
        <w:t xml:space="preserve">. eur ročne – </w:t>
      </w:r>
      <w:r w:rsidRPr="00614DA5">
        <w:rPr>
          <w:rFonts w:ascii="Times New Roman" w:hAnsi="Times New Roman"/>
          <w:color w:val="000000"/>
        </w:rPr>
        <w:t>prísnejšia</w:t>
      </w:r>
      <w:r>
        <w:rPr>
          <w:rFonts w:ascii="Times New Roman" w:hAnsi="Times New Roman"/>
          <w:color w:val="000000"/>
        </w:rPr>
        <w:t xml:space="preserve"> </w:t>
      </w:r>
      <w:r w:rsidRPr="00614DA5">
        <w:rPr>
          <w:rFonts w:ascii="Times New Roman" w:hAnsi="Times New Roman"/>
          <w:color w:val="000000"/>
        </w:rPr>
        <w:t>regulácia cien liekov</w:t>
      </w:r>
    </w:p>
    <w:p w:rsidR="00384F87" w:rsidP="006D48B3">
      <w:pPr>
        <w:pStyle w:val="ListParagraph"/>
        <w:numPr>
          <w:numId w:val="8"/>
        </w:numPr>
        <w:bidi w:val="0"/>
        <w:jc w:val="both"/>
        <w:rPr>
          <w:rFonts w:ascii="Times New Roman" w:hAnsi="Times New Roman"/>
          <w:color w:val="000000"/>
        </w:rPr>
      </w:pPr>
      <w:r>
        <w:rPr>
          <w:rFonts w:ascii="Times New Roman" w:hAnsi="Times New Roman"/>
          <w:color w:val="000000"/>
        </w:rPr>
        <w:t>cca 3 mil. eur ročne – prísnejšia regulácia cien zdravotníckych pomôcok a dietetických potravín</w:t>
      </w:r>
    </w:p>
    <w:p w:rsidR="00384F87" w:rsidP="00614DA5">
      <w:pPr>
        <w:pStyle w:val="ListParagraph"/>
        <w:numPr>
          <w:numId w:val="8"/>
        </w:numPr>
        <w:bidi w:val="0"/>
        <w:jc w:val="both"/>
        <w:rPr>
          <w:rFonts w:ascii="Times New Roman" w:hAnsi="Times New Roman"/>
          <w:color w:val="000000"/>
        </w:rPr>
      </w:pPr>
      <w:r>
        <w:rPr>
          <w:rFonts w:ascii="Times New Roman" w:hAnsi="Times New Roman"/>
          <w:color w:val="000000"/>
        </w:rPr>
        <w:t>cca</w:t>
      </w:r>
      <w:r w:rsidRPr="00614DA5">
        <w:rPr>
          <w:rFonts w:ascii="Times New Roman" w:hAnsi="Times New Roman"/>
          <w:color w:val="000000"/>
        </w:rPr>
        <w:t xml:space="preserve"> 5 mil</w:t>
      </w:r>
      <w:r>
        <w:rPr>
          <w:rFonts w:ascii="Times New Roman" w:hAnsi="Times New Roman"/>
          <w:color w:val="000000"/>
        </w:rPr>
        <w:t>.</w:t>
      </w:r>
      <w:r w:rsidRPr="00614DA5">
        <w:rPr>
          <w:rFonts w:ascii="Times New Roman" w:hAnsi="Times New Roman"/>
          <w:color w:val="000000"/>
        </w:rPr>
        <w:t xml:space="preserve"> eur ročne</w:t>
      </w:r>
      <w:r>
        <w:rPr>
          <w:rFonts w:ascii="Times New Roman" w:hAnsi="Times New Roman"/>
          <w:color w:val="000000"/>
        </w:rPr>
        <w:t xml:space="preserve"> – úprava podmienok pre vstup generických liekov</w:t>
      </w:r>
    </w:p>
    <w:p w:rsidR="00384F87" w:rsidP="00614DA5">
      <w:pPr>
        <w:pStyle w:val="ListParagraph"/>
        <w:numPr>
          <w:numId w:val="8"/>
        </w:numPr>
        <w:bidi w:val="0"/>
        <w:jc w:val="both"/>
        <w:rPr>
          <w:rFonts w:ascii="Times New Roman" w:hAnsi="Times New Roman"/>
          <w:color w:val="000000"/>
        </w:rPr>
      </w:pPr>
      <w:r>
        <w:rPr>
          <w:rFonts w:ascii="Times New Roman" w:hAnsi="Times New Roman"/>
          <w:color w:val="000000"/>
        </w:rPr>
        <w:t>cca 7 – 10 mil. eur ročne zavedenie kategorizácie špeciálnych zdravotníckych materiálov</w:t>
      </w:r>
    </w:p>
    <w:p w:rsidR="00384F87" w:rsidP="00614DA5">
      <w:pPr>
        <w:pStyle w:val="ListParagraph"/>
        <w:numPr>
          <w:numId w:val="8"/>
        </w:numPr>
        <w:bidi w:val="0"/>
        <w:jc w:val="both"/>
        <w:rPr>
          <w:rFonts w:ascii="Times New Roman" w:hAnsi="Times New Roman"/>
          <w:color w:val="000000"/>
        </w:rPr>
      </w:pPr>
      <w:r>
        <w:rPr>
          <w:rFonts w:ascii="Times New Roman" w:hAnsi="Times New Roman"/>
          <w:color w:val="000000"/>
        </w:rPr>
        <w:t>cca 10 mil. eur ročne – inovatívne prvky v kategorizácii liekov (podmienená kategorizácia, dočasná kategorizácia, vyšší dôraz na nákladovú efektívnosť, farmako-ekonomické hodnotenie)</w:t>
      </w:r>
    </w:p>
    <w:p w:rsidR="00384F87" w:rsidP="00614DA5">
      <w:pPr>
        <w:pStyle w:val="ListParagraph"/>
        <w:bidi w:val="0"/>
        <w:ind w:left="780"/>
        <w:jc w:val="both"/>
        <w:rPr>
          <w:rFonts w:ascii="Times New Roman" w:hAnsi="Times New Roman"/>
          <w:color w:val="000000"/>
        </w:rPr>
      </w:pPr>
    </w:p>
    <w:p w:rsidR="00384F87" w:rsidRPr="008D12AC" w:rsidP="009C0EFF">
      <w:pPr>
        <w:bidi w:val="0"/>
        <w:ind w:firstLine="420"/>
        <w:jc w:val="both"/>
        <w:rPr>
          <w:rFonts w:ascii="Times New Roman" w:hAnsi="Times New Roman" w:cs="Calibri"/>
        </w:rPr>
      </w:pPr>
      <w:r w:rsidRPr="008D12AC">
        <w:rPr>
          <w:rFonts w:ascii="Times New Roman" w:hAnsi="Times New Roman" w:cs="Calibri"/>
        </w:rPr>
        <w:t>Do konca roku 2011 možno predpokladať relatívne nižší vplyv navrhovaných opatrení na zníženie výdavkov verejného zdravotného poistenia</w:t>
      </w:r>
      <w:r>
        <w:rPr>
          <w:rFonts w:ascii="Times New Roman" w:hAnsi="Times New Roman" w:cs="Calibri"/>
        </w:rPr>
        <w:t>, ktorý</w:t>
      </w:r>
      <w:r w:rsidRPr="008D12AC">
        <w:rPr>
          <w:rFonts w:ascii="Times New Roman" w:hAnsi="Times New Roman" w:cs="Calibri"/>
        </w:rPr>
        <w:t xml:space="preserve"> by mal </w:t>
      </w:r>
      <w:r>
        <w:rPr>
          <w:rFonts w:ascii="Times New Roman" w:hAnsi="Times New Roman" w:cs="Calibri"/>
        </w:rPr>
        <w:t>byť založený</w:t>
      </w:r>
      <w:r w:rsidRPr="008D12AC">
        <w:rPr>
          <w:rFonts w:ascii="Times New Roman" w:hAnsi="Times New Roman" w:cs="Calibri"/>
        </w:rPr>
        <w:t xml:space="preserve"> najmä </w:t>
      </w:r>
      <w:r>
        <w:rPr>
          <w:rFonts w:ascii="Times New Roman" w:hAnsi="Times New Roman" w:cs="Calibri"/>
        </w:rPr>
        <w:t>na</w:t>
      </w:r>
      <w:r w:rsidRPr="008D12AC">
        <w:rPr>
          <w:rFonts w:ascii="Times New Roman" w:hAnsi="Times New Roman" w:cs="Calibri"/>
        </w:rPr>
        <w:t> úprav</w:t>
      </w:r>
      <w:r>
        <w:rPr>
          <w:rFonts w:ascii="Times New Roman" w:hAnsi="Times New Roman" w:cs="Calibri"/>
        </w:rPr>
        <w:t>e</w:t>
      </w:r>
      <w:r w:rsidRPr="008D12AC">
        <w:rPr>
          <w:rFonts w:ascii="Times New Roman" w:hAnsi="Times New Roman" w:cs="Calibri"/>
        </w:rPr>
        <w:t xml:space="preserve"> podmienok pre vstup generických liekov do systému úhrad.</w:t>
      </w:r>
      <w:r>
        <w:rPr>
          <w:rFonts w:ascii="Times New Roman" w:hAnsi="Times New Roman" w:cs="Calibri"/>
        </w:rPr>
        <w:t xml:space="preserve"> Pozitívny efekt zavedenia inovatívnych prvkov do kategorizácie liekov a zavedenia novej kategorizácie špeciálnych zdravotníckych pomôcok možno očakávať počnúc rokom 2012.</w:t>
      </w:r>
    </w:p>
    <w:p w:rsidR="00384F87" w:rsidP="00A9525B">
      <w:pPr>
        <w:bidi w:val="0"/>
        <w:ind w:left="60" w:firstLine="360"/>
        <w:jc w:val="both"/>
        <w:rPr>
          <w:rFonts w:ascii="Times New Roman" w:hAnsi="Times New Roman"/>
          <w:color w:val="000000"/>
        </w:rPr>
      </w:pPr>
    </w:p>
    <w:p w:rsidR="00384F87" w:rsidP="00A9525B">
      <w:pPr>
        <w:bidi w:val="0"/>
        <w:ind w:left="60" w:firstLine="360"/>
        <w:jc w:val="both"/>
        <w:rPr>
          <w:rFonts w:ascii="Times New Roman" w:hAnsi="Times New Roman"/>
          <w:color w:val="000000"/>
        </w:rPr>
      </w:pPr>
      <w:r>
        <w:rPr>
          <w:rFonts w:ascii="Times New Roman" w:hAnsi="Times New Roman"/>
          <w:color w:val="000000"/>
        </w:rPr>
        <w:t xml:space="preserve">Zníženie výdavkov verejného zdravotného poistenia na základe úpravy podmienok pre vstup generických liekov do systému úhrad bude vyplývať najmä zo sprísnenia podmienky pre zníženie ceny prvého generického lieku (úprava podmienky na </w:t>
      </w:r>
      <w:r>
        <w:rPr>
          <w:rFonts w:ascii="Times New Roman" w:hAnsi="Times New Roman"/>
          <w:color w:val="000000"/>
          <w:lang w:val="en-US"/>
        </w:rPr>
        <w:t>-30 </w:t>
      </w:r>
      <w:r>
        <w:rPr>
          <w:rFonts w:ascii="Times New Roman" w:hAnsi="Times New Roman"/>
          <w:color w:val="000000"/>
        </w:rPr>
        <w:t>% oproti aktuá</w:t>
      </w:r>
      <w:r>
        <w:rPr>
          <w:rFonts w:ascii="Times New Roman" w:hAnsi="Times New Roman"/>
          <w:color w:val="000000"/>
          <w:lang w:val="en-US"/>
        </w:rPr>
        <w:t>lnej podmienke -20%</w:t>
      </w:r>
      <w:r>
        <w:rPr>
          <w:rFonts w:ascii="Times New Roman" w:hAnsi="Times New Roman"/>
          <w:color w:val="000000"/>
        </w:rPr>
        <w:t xml:space="preserve">) a čiastočne z umožnenia rýchlejšieho vstupu týchto liekov do systému úhrad, čo by malo podporiť prirodzenú hospodársku súťaž zúčastnených subjektov. </w:t>
      </w:r>
    </w:p>
    <w:p w:rsidR="00384F87" w:rsidP="00A9525B">
      <w:pPr>
        <w:bidi w:val="0"/>
        <w:ind w:left="60" w:firstLine="360"/>
        <w:jc w:val="both"/>
        <w:rPr>
          <w:rFonts w:ascii="Times New Roman" w:hAnsi="Times New Roman"/>
          <w:color w:val="000000"/>
        </w:rPr>
      </w:pPr>
    </w:p>
    <w:p w:rsidR="00384F87" w:rsidP="00946F48">
      <w:pPr>
        <w:bidi w:val="0"/>
        <w:ind w:firstLine="420"/>
        <w:jc w:val="both"/>
        <w:rPr>
          <w:rFonts w:ascii="Times New Roman" w:hAnsi="Times New Roman" w:cs="Calibri"/>
        </w:rPr>
      </w:pPr>
      <w:r w:rsidRPr="009C0EFF">
        <w:rPr>
          <w:rFonts w:ascii="Times New Roman" w:hAnsi="Times New Roman"/>
          <w:color w:val="000000"/>
        </w:rPr>
        <w:t>Vplyv prísnejšej cenovej regulácie sa pravdepodobne najvýraznejšie prejaví v prvom roku po zavedení tohto opatrenia</w:t>
      </w:r>
      <w:r>
        <w:rPr>
          <w:rFonts w:ascii="Times New Roman" w:hAnsi="Times New Roman"/>
          <w:color w:val="000000"/>
        </w:rPr>
        <w:t>. V </w:t>
      </w:r>
      <w:r w:rsidRPr="009C0EFF">
        <w:rPr>
          <w:rFonts w:ascii="Times New Roman" w:hAnsi="Times New Roman"/>
          <w:color w:val="000000"/>
        </w:rPr>
        <w:t>nasledujúcich rokoch možno predpo</w:t>
      </w:r>
      <w:r>
        <w:rPr>
          <w:rFonts w:ascii="Times New Roman" w:hAnsi="Times New Roman"/>
          <w:color w:val="000000"/>
        </w:rPr>
        <w:t xml:space="preserve">kladať postupne klesajúci efekt ako </w:t>
      </w:r>
      <w:r w:rsidRPr="00B70AFA">
        <w:rPr>
          <w:rFonts w:ascii="Times New Roman" w:hAnsi="Times New Roman" w:cs="Calibri"/>
        </w:rPr>
        <w:t xml:space="preserve">dôsledok postupného dorovnávania </w:t>
      </w:r>
      <w:r>
        <w:rPr>
          <w:rFonts w:ascii="Times New Roman" w:hAnsi="Times New Roman" w:cs="Calibri"/>
        </w:rPr>
        <w:t xml:space="preserve">sa </w:t>
      </w:r>
      <w:r w:rsidRPr="00B70AFA">
        <w:rPr>
          <w:rFonts w:ascii="Times New Roman" w:hAnsi="Times New Roman" w:cs="Calibri"/>
        </w:rPr>
        <w:t xml:space="preserve">cien </w:t>
      </w:r>
      <w:r>
        <w:rPr>
          <w:rFonts w:ascii="Times New Roman" w:hAnsi="Times New Roman" w:cs="Calibri"/>
        </w:rPr>
        <w:t>produktov</w:t>
      </w:r>
      <w:r w:rsidRPr="00B70AFA">
        <w:rPr>
          <w:rFonts w:ascii="Times New Roman" w:hAnsi="Times New Roman" w:cs="Calibri"/>
        </w:rPr>
        <w:t xml:space="preserve"> s cenovou hladinou v cieľových referenčných krajinách.</w:t>
      </w:r>
      <w:r>
        <w:rPr>
          <w:rFonts w:ascii="Times New Roman" w:hAnsi="Times New Roman" w:cs="Calibri"/>
        </w:rPr>
        <w:t xml:space="preserve"> Takýto trend bol pozorovaný už v minulosti - na doposiaľ realizovaných cykloch tzv. referencovania cien liekov.</w:t>
      </w:r>
    </w:p>
    <w:p w:rsidR="00384F87" w:rsidP="00946F48">
      <w:pPr>
        <w:bidi w:val="0"/>
        <w:ind w:firstLine="420"/>
        <w:jc w:val="both"/>
        <w:rPr>
          <w:rFonts w:ascii="Times New Roman" w:hAnsi="Times New Roman" w:cs="Calibri"/>
        </w:rPr>
      </w:pPr>
    </w:p>
    <w:p w:rsidR="00384F87" w:rsidRPr="00C21490" w:rsidP="00946F48">
      <w:pPr>
        <w:bidi w:val="0"/>
        <w:ind w:firstLine="420"/>
        <w:jc w:val="both"/>
        <w:rPr>
          <w:rFonts w:ascii="Times New Roman" w:hAnsi="Times New Roman" w:cs="Calibri"/>
        </w:rPr>
      </w:pPr>
      <w:r>
        <w:rPr>
          <w:rFonts w:ascii="Times New Roman" w:hAnsi="Times New Roman" w:cs="Calibri"/>
        </w:rPr>
        <w:t>Vzhľadom na skutočnosť, že navrhované opatrenia a mechanizmy majú viesť k zníženiu výdavkov prostriedkov verejného zdravotného poistenia, t.j. prostriedkov, s ktorými hospodária zdravotné poisťovne, nie je možné jednoznačne určiť, či predpokladané zníženie výdavkov</w:t>
      </w:r>
      <w:r w:rsidRPr="00C21490">
        <w:rPr>
          <w:rFonts w:ascii="Times New Roman" w:hAnsi="Times New Roman" w:cs="Calibri"/>
        </w:rPr>
        <w:t xml:space="preserve"> predstavuje príspevok k fiškálnemu konsolidačnému úsiliu, alebo či bude využité na financovanie iných výdavkov. Je však vysoko pravdepodobné, že zdravotné poisťovne úsporu na strane výdavkov za lieky, zdravotnícke pomôcky a dietetické potraviny čiastočne</w:t>
      </w:r>
      <w:r>
        <w:rPr>
          <w:rFonts w:ascii="Times New Roman" w:hAnsi="Times New Roman" w:cs="Calibri"/>
        </w:rPr>
        <w:t xml:space="preserve"> alebo v plnom rozsahu</w:t>
      </w:r>
      <w:r w:rsidRPr="00C21490">
        <w:rPr>
          <w:rFonts w:ascii="Times New Roman" w:hAnsi="Times New Roman" w:cs="Calibri"/>
        </w:rPr>
        <w:t xml:space="preserve"> využijú na úhradu inej zdravotnej </w:t>
      </w:r>
      <w:r>
        <w:rPr>
          <w:rFonts w:ascii="Times New Roman" w:hAnsi="Times New Roman" w:cs="Calibri"/>
        </w:rPr>
        <w:t>starostlivosti, prípadne na úhradu nákladných inovatívnych liekov.</w:t>
      </w:r>
    </w:p>
    <w:p w:rsidR="00384F87" w:rsidRPr="00E16920" w:rsidP="00A9525B">
      <w:pPr>
        <w:bidi w:val="0"/>
        <w:ind w:left="60" w:firstLine="360"/>
        <w:jc w:val="both"/>
        <w:rPr>
          <w:rFonts w:ascii="Times New Roman" w:hAnsi="Times New Roman"/>
          <w:color w:val="000000"/>
        </w:rPr>
      </w:pPr>
    </w:p>
    <w:p w:rsidR="00384F87" w:rsidP="00A9525B">
      <w:pPr>
        <w:bidi w:val="0"/>
        <w:ind w:left="60" w:firstLine="360"/>
        <w:jc w:val="both"/>
        <w:rPr>
          <w:rFonts w:ascii="Times New Roman" w:hAnsi="Times New Roman"/>
          <w:color w:val="000000"/>
        </w:rPr>
      </w:pPr>
      <w:r w:rsidRPr="001003D4">
        <w:rPr>
          <w:rFonts w:ascii="Times New Roman" w:hAnsi="Times New Roman"/>
          <w:color w:val="000000"/>
        </w:rPr>
        <w:t>Výdavky súvisiace s plnením úloh podľa tohto návrhu zákona budú zabezpečené v rámci schválených limitov rozpočtu verejnej správy na jednotlivé rozpočtové roky bez dodatočných požiadaviek na rozpočet.</w:t>
      </w:r>
    </w:p>
    <w:p w:rsidR="00384F87" w:rsidP="00A9525B">
      <w:pPr>
        <w:bidi w:val="0"/>
        <w:ind w:left="60" w:firstLine="360"/>
        <w:jc w:val="both"/>
        <w:rPr>
          <w:rFonts w:ascii="Times New Roman" w:hAnsi="Times New Roman"/>
          <w:color w:val="000000"/>
        </w:rPr>
      </w:pPr>
    </w:p>
    <w:p w:rsidR="00384F87" w:rsidRPr="00E16920" w:rsidP="00A9525B">
      <w:pPr>
        <w:bidi w:val="0"/>
        <w:ind w:left="60" w:firstLine="360"/>
        <w:jc w:val="both"/>
        <w:rPr>
          <w:rFonts w:ascii="Times New Roman" w:hAnsi="Times New Roman"/>
          <w:color w:val="000000"/>
        </w:rPr>
      </w:pPr>
    </w:p>
    <w:p w:rsidR="00384F87" w:rsidP="00A9525B">
      <w:pPr>
        <w:bidi w:val="0"/>
        <w:jc w:val="both"/>
        <w:rPr>
          <w:rFonts w:ascii="Times New Roman" w:hAnsi="Times New Roman"/>
        </w:rPr>
      </w:pPr>
      <w:r>
        <w:rPr>
          <w:rFonts w:ascii="Times New Roman" w:hAnsi="Times New Roman"/>
        </w:rPr>
        <w:t> </w:t>
      </w:r>
    </w:p>
    <w:p w:rsidR="00384F87">
      <w:pPr>
        <w:bidi w:val="0"/>
        <w:spacing w:after="200" w:line="276" w:lineRule="auto"/>
        <w:rPr>
          <w:rFonts w:ascii="Times New Roman" w:hAnsi="Times New Roman"/>
        </w:rPr>
      </w:pPr>
      <w:r>
        <w:rPr>
          <w:rFonts w:ascii="Times New Roman" w:hAnsi="Times New Roman"/>
        </w:rPr>
        <w:br w:type="page"/>
      </w:r>
    </w:p>
    <w:p w:rsidR="00384F87" w:rsidP="00A9525B">
      <w:pPr>
        <w:bidi w:val="0"/>
        <w:jc w:val="both"/>
        <w:rPr>
          <w:rFonts w:ascii="Times New Roman" w:hAnsi="Times New Roman"/>
        </w:rPr>
      </w:pPr>
      <w:r>
        <w:rPr>
          <w:rFonts w:ascii="Times New Roman" w:hAnsi="Times New Roman"/>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pPr>
              <w:pStyle w:val="NormalWeb"/>
              <w:bidi w:val="0"/>
              <w:spacing w:before="0" w:beforeAutospacing="0" w:after="0" w:afterAutospacing="0"/>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2011</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2012</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pPr>
              <w:bidi w:val="0"/>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rPr>
              <w:t>Daňové príjmy (100)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rPr>
              <w:t>Nedaňové príjmy (200)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84F87" w:rsidRPr="006869F8" w:rsidP="00B405D9">
            <w:pPr>
              <w:bidi w:val="0"/>
              <w:spacing w:line="125" w:lineRule="atLeast"/>
              <w:jc w:val="right"/>
              <w:rPr>
                <w:rFonts w:ascii="Times New Roman" w:hAnsi="Times New Roman"/>
              </w:rPr>
            </w:pPr>
            <w:r w:rsidRPr="006869F8">
              <w:rPr>
                <w:rFonts w:ascii="Times New Roman" w:hAnsi="Times New Roman"/>
                <w:bCs/>
                <w:iCs/>
              </w:rPr>
              <w:t>120 000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84F87" w:rsidRPr="006869F8" w:rsidP="00B405D9">
            <w:pPr>
              <w:bidi w:val="0"/>
              <w:spacing w:line="125" w:lineRule="atLeast"/>
              <w:jc w:val="right"/>
              <w:rPr>
                <w:rFonts w:ascii="Times New Roman" w:hAnsi="Times New Roman"/>
              </w:rPr>
            </w:pPr>
            <w:r w:rsidRPr="006869F8">
              <w:rPr>
                <w:rFonts w:ascii="Times New Roman" w:hAnsi="Times New Roman"/>
                <w:bCs/>
                <w:iCs/>
              </w:rPr>
              <w:t>250 000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84F87" w:rsidRPr="006869F8" w:rsidP="00B405D9">
            <w:pPr>
              <w:bidi w:val="0"/>
              <w:spacing w:line="125" w:lineRule="atLeast"/>
              <w:jc w:val="right"/>
              <w:rPr>
                <w:rFonts w:ascii="Times New Roman" w:hAnsi="Times New Roman"/>
              </w:rPr>
            </w:pPr>
            <w:r w:rsidRPr="006869F8">
              <w:rPr>
                <w:rFonts w:ascii="Times New Roman" w:hAnsi="Times New Roman"/>
                <w:bCs/>
                <w:iCs/>
              </w:rPr>
              <w:t>250 000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84F87" w:rsidRPr="006869F8" w:rsidP="00B405D9">
            <w:pPr>
              <w:bidi w:val="0"/>
              <w:spacing w:line="125" w:lineRule="atLeast"/>
              <w:jc w:val="right"/>
              <w:rPr>
                <w:rFonts w:ascii="Times New Roman" w:hAnsi="Times New Roman"/>
              </w:rPr>
            </w:pPr>
            <w:r w:rsidRPr="006869F8">
              <w:rPr>
                <w:rFonts w:ascii="Times New Roman" w:hAnsi="Times New Roman"/>
                <w:bCs/>
                <w:iCs/>
              </w:rPr>
              <w:t>250 000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Navýšenie príjmov štátneho rozpočtu na základe zvýšenia aktuálnych a zavedenia nových správnych poplatkov.</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rPr>
              <w:t>Granty a transfery (300)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384F87">
            <w:pPr>
              <w:bidi w:val="0"/>
              <w:rPr>
                <w:rFonts w:ascii="Times New Roman" w:hAnsi="Times New Roman"/>
                <w:sz w:val="2"/>
              </w:rPr>
            </w:pPr>
          </w:p>
        </w:tc>
        <w:tc>
          <w:tcPr>
            <w:tcW w:w="1500" w:type="dxa"/>
            <w:tcBorders>
              <w:top w:val="nil"/>
              <w:left w:val="nil"/>
              <w:bottom w:val="nil"/>
              <w:right w:val="nil"/>
            </w:tcBorders>
            <w:textDirection w:val="lrTb"/>
            <w:vAlign w:val="center"/>
          </w:tcPr>
          <w:p w:rsidR="00384F87">
            <w:pPr>
              <w:bidi w:val="0"/>
              <w:rPr>
                <w:rFonts w:ascii="Times New Roman" w:hAnsi="Times New Roman"/>
                <w:sz w:val="2"/>
              </w:rPr>
            </w:pPr>
          </w:p>
        </w:tc>
        <w:tc>
          <w:tcPr>
            <w:tcW w:w="1500" w:type="dxa"/>
            <w:tcBorders>
              <w:top w:val="nil"/>
              <w:left w:val="nil"/>
              <w:bottom w:val="nil"/>
              <w:right w:val="nil"/>
            </w:tcBorders>
            <w:textDirection w:val="lrTb"/>
            <w:vAlign w:val="center"/>
          </w:tcPr>
          <w:p w:rsidR="00384F87">
            <w:pPr>
              <w:bidi w:val="0"/>
              <w:rPr>
                <w:rFonts w:ascii="Times New Roman" w:hAnsi="Times New Roman"/>
                <w:sz w:val="2"/>
              </w:rPr>
            </w:pPr>
          </w:p>
        </w:tc>
        <w:tc>
          <w:tcPr>
            <w:tcW w:w="1500" w:type="dxa"/>
            <w:tcBorders>
              <w:top w:val="nil"/>
              <w:left w:val="nil"/>
              <w:bottom w:val="nil"/>
              <w:right w:val="nil"/>
            </w:tcBorders>
            <w:textDirection w:val="lrTb"/>
            <w:vAlign w:val="center"/>
          </w:tcPr>
          <w:p w:rsidR="00384F87">
            <w:pPr>
              <w:bidi w:val="0"/>
              <w:rPr>
                <w:rFonts w:ascii="Times New Roman" w:hAnsi="Times New Roman"/>
                <w:sz w:val="2"/>
              </w:rPr>
            </w:pPr>
          </w:p>
        </w:tc>
        <w:tc>
          <w:tcPr>
            <w:tcW w:w="1500" w:type="dxa"/>
            <w:tcBorders>
              <w:top w:val="nil"/>
              <w:left w:val="nil"/>
              <w:bottom w:val="nil"/>
              <w:right w:val="nil"/>
            </w:tcBorders>
            <w:textDirection w:val="lrTb"/>
            <w:vAlign w:val="center"/>
          </w:tcPr>
          <w:p w:rsidR="00384F87">
            <w:pPr>
              <w:bidi w:val="0"/>
              <w:rPr>
                <w:rFonts w:ascii="Times New Roman" w:hAnsi="Times New Roman"/>
                <w:sz w:val="2"/>
              </w:rPr>
            </w:pPr>
          </w:p>
        </w:tc>
        <w:tc>
          <w:tcPr>
            <w:tcW w:w="3000" w:type="dxa"/>
            <w:tcBorders>
              <w:top w:val="nil"/>
              <w:left w:val="nil"/>
              <w:bottom w:val="nil"/>
              <w:right w:val="nil"/>
            </w:tcBorders>
            <w:textDirection w:val="lrTb"/>
            <w:vAlign w:val="center"/>
          </w:tcPr>
          <w:p w:rsidR="00384F87">
            <w:pPr>
              <w:bidi w:val="0"/>
              <w:rPr>
                <w:rFonts w:ascii="Times New Roman" w:hAnsi="Times New Roman"/>
                <w:sz w:val="2"/>
              </w:rPr>
            </w:pPr>
          </w:p>
        </w:tc>
      </w:tr>
    </w:tbl>
    <w:p w:rsidR="00384F87" w:rsidP="00943EB2">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  príjmy rozpísať až do položiek platnej ekonomickej klasifikácie    </w:t>
      </w:r>
    </w:p>
    <w:p w:rsidR="00384F87" w:rsidP="00943EB2">
      <w:pPr>
        <w:pStyle w:val="NormalWeb"/>
        <w:bidi w:val="0"/>
        <w:spacing w:before="0" w:beforeAutospacing="0" w:after="0" w:afterAutospacing="0"/>
        <w:jc w:val="both"/>
        <w:rPr>
          <w:rFonts w:ascii="Times New Roman" w:hAnsi="Times New Roman"/>
        </w:rPr>
      </w:pPr>
      <w:r>
        <w:rPr>
          <w:rFonts w:ascii="Times New Roman" w:hAnsi="Times New Roman"/>
          <w:sz w:val="20"/>
          <w:szCs w:val="20"/>
        </w:rPr>
        <w:br w:type="page"/>
        <w:t xml:space="preserve">                                                                                                                                                                                                                                           </w:t>
      </w:r>
      <w:r>
        <w:rPr>
          <w:rFonts w:ascii="Times New Roman" w:hAnsi="Times New Roman"/>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pPr>
              <w:bidi w:val="0"/>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2011</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2012</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pPr>
              <w:bidi w:val="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60 000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10 000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10 000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Pr>
                <w:rFonts w:ascii="Times New Roman" w:hAnsi="Times New Roman"/>
              </w:rPr>
              <w:t>10 000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6869F8">
            <w:pPr>
              <w:pStyle w:val="NormalWeb"/>
              <w:bidi w:val="0"/>
              <w:spacing w:before="0" w:beforeAutospacing="0" w:after="0" w:afterAutospacing="0"/>
              <w:rPr>
                <w:rFonts w:ascii="Times New Roman" w:hAnsi="Times New Roman"/>
              </w:rPr>
            </w:pPr>
            <w:r>
              <w:rPr>
                <w:rFonts w:ascii="Times New Roman" w:hAnsi="Times New Roman"/>
              </w:rPr>
              <w:t>Vytvorenie a servis informačného systému MZ SR</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384F87">
            <w:pPr>
              <w:bidi w:val="0"/>
              <w:rPr>
                <w:rFonts w:ascii="Times New Roman" w:hAnsi="Times New Roman"/>
                <w:sz w:val="2"/>
              </w:rPr>
            </w:pPr>
          </w:p>
        </w:tc>
        <w:tc>
          <w:tcPr>
            <w:tcW w:w="1540" w:type="dxa"/>
            <w:tcBorders>
              <w:top w:val="nil"/>
              <w:left w:val="nil"/>
              <w:bottom w:val="nil"/>
              <w:right w:val="nil"/>
            </w:tcBorders>
            <w:textDirection w:val="lrTb"/>
            <w:vAlign w:val="center"/>
          </w:tcPr>
          <w:p w:rsidR="00384F87">
            <w:pPr>
              <w:bidi w:val="0"/>
              <w:rPr>
                <w:rFonts w:ascii="Times New Roman" w:hAnsi="Times New Roman"/>
                <w:sz w:val="2"/>
              </w:rPr>
            </w:pPr>
          </w:p>
        </w:tc>
        <w:tc>
          <w:tcPr>
            <w:tcW w:w="1540" w:type="dxa"/>
            <w:tcBorders>
              <w:top w:val="nil"/>
              <w:left w:val="nil"/>
              <w:bottom w:val="nil"/>
              <w:right w:val="nil"/>
            </w:tcBorders>
            <w:textDirection w:val="lrTb"/>
            <w:vAlign w:val="center"/>
          </w:tcPr>
          <w:p w:rsidR="00384F87">
            <w:pPr>
              <w:bidi w:val="0"/>
              <w:rPr>
                <w:rFonts w:ascii="Times New Roman" w:hAnsi="Times New Roman"/>
                <w:sz w:val="2"/>
              </w:rPr>
            </w:pPr>
          </w:p>
        </w:tc>
        <w:tc>
          <w:tcPr>
            <w:tcW w:w="1540" w:type="dxa"/>
            <w:tcBorders>
              <w:top w:val="nil"/>
              <w:left w:val="nil"/>
              <w:bottom w:val="nil"/>
              <w:right w:val="nil"/>
            </w:tcBorders>
            <w:textDirection w:val="lrTb"/>
            <w:vAlign w:val="center"/>
          </w:tcPr>
          <w:p w:rsidR="00384F87">
            <w:pPr>
              <w:bidi w:val="0"/>
              <w:rPr>
                <w:rFonts w:ascii="Times New Roman" w:hAnsi="Times New Roman"/>
                <w:sz w:val="2"/>
              </w:rPr>
            </w:pPr>
          </w:p>
        </w:tc>
        <w:tc>
          <w:tcPr>
            <w:tcW w:w="1540" w:type="dxa"/>
            <w:tcBorders>
              <w:top w:val="nil"/>
              <w:left w:val="nil"/>
              <w:bottom w:val="nil"/>
              <w:right w:val="nil"/>
            </w:tcBorders>
            <w:textDirection w:val="lrTb"/>
            <w:vAlign w:val="center"/>
          </w:tcPr>
          <w:p w:rsidR="00384F87">
            <w:pPr>
              <w:bidi w:val="0"/>
              <w:rPr>
                <w:rFonts w:ascii="Times New Roman" w:hAnsi="Times New Roman"/>
                <w:sz w:val="2"/>
              </w:rPr>
            </w:pPr>
          </w:p>
        </w:tc>
        <w:tc>
          <w:tcPr>
            <w:tcW w:w="2220" w:type="dxa"/>
            <w:tcBorders>
              <w:top w:val="nil"/>
              <w:left w:val="nil"/>
              <w:bottom w:val="nil"/>
              <w:right w:val="nil"/>
            </w:tcBorders>
            <w:textDirection w:val="lrTb"/>
            <w:vAlign w:val="center"/>
          </w:tcPr>
          <w:p w:rsidR="00384F87">
            <w:pPr>
              <w:bidi w:val="0"/>
              <w:rPr>
                <w:rFonts w:ascii="Times New Roman" w:hAnsi="Times New Roman"/>
                <w:sz w:val="2"/>
              </w:rPr>
            </w:pPr>
          </w:p>
        </w:tc>
      </w:tr>
    </w:tbl>
    <w:p w:rsidR="00384F87" w:rsidP="00943EB2">
      <w:pPr>
        <w:pStyle w:val="NormalWeb"/>
        <w:bidi w:val="0"/>
        <w:spacing w:before="0" w:beforeAutospacing="0" w:after="0" w:afterAutospacing="0"/>
        <w:jc w:val="both"/>
        <w:rPr>
          <w:rFonts w:ascii="Times New Roman" w:hAnsi="Times New Roman"/>
        </w:rPr>
      </w:pPr>
      <w:r>
        <w:rPr>
          <w:rFonts w:ascii="Times New Roman" w:hAnsi="Times New Roman"/>
          <w:sz w:val="20"/>
          <w:szCs w:val="20"/>
        </w:rPr>
        <w:t>2 –  výdavky rozpísať až do položiek platnej ekonomickej klasifikácie</w:t>
      </w:r>
    </w:p>
    <w:p w:rsidR="00384F87" w:rsidP="00943EB2">
      <w:pPr>
        <w:pStyle w:val="NormalWeb"/>
        <w:bidi w:val="0"/>
        <w:spacing w:before="0" w:beforeAutospacing="0" w:after="0" w:afterAutospacing="0"/>
        <w:jc w:val="both"/>
        <w:rPr>
          <w:rFonts w:ascii="Times New Roman" w:hAnsi="Times New Roman"/>
        </w:rPr>
      </w:pPr>
      <w:r>
        <w:rPr>
          <w:rFonts w:ascii="Times New Roman" w:hAnsi="Times New Roman"/>
          <w:sz w:val="20"/>
          <w:szCs w:val="20"/>
        </w:rPr>
        <w:br w:type="page"/>
        <w:t xml:space="preserve">                                                                                                                                                                                                                       </w:t>
      </w:r>
      <w:r>
        <w:rPr>
          <w:rFonts w:ascii="Times New Roman" w:hAnsi="Times New Roman"/>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1539"/>
        <w:gridCol w:w="1550"/>
        <w:gridCol w:w="2995"/>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Zamestnanosť</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384F87" w:rsidP="00044049">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2011</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2012</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2013</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B405D9">
            <w:pPr>
              <w:bidi w:val="0"/>
              <w:spacing w:line="70" w:lineRule="atLeast"/>
              <w:jc w:val="center"/>
              <w:rPr>
                <w:rFonts w:ascii="Times New Roman" w:hAnsi="Times New Roman"/>
              </w:rPr>
            </w:pPr>
            <w:r>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rsidP="00044049">
            <w:pPr>
              <w:bidi w:val="0"/>
              <w:rPr>
                <w:rFonts w:ascii="Times New Roman" w:hAnsi="Times New Roman"/>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tcBorders>
              <w:top w:val="single" w:sz="4" w:space="0" w:color="000000"/>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color w:val="FFFFFF"/>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0" w:type="auto"/>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color w:val="FFFFFF"/>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84F87" w:rsidP="0004404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84F87" w:rsidP="00044049">
            <w:pPr>
              <w:pStyle w:val="NormalWeb"/>
              <w:bidi w:val="0"/>
              <w:spacing w:before="0" w:beforeAutospacing="0" w:after="0" w:afterAutospacing="0"/>
              <w:rPr>
                <w:rFonts w:ascii="Times New Roman" w:hAnsi="Times New Roman"/>
              </w:rPr>
            </w:pPr>
            <w:r>
              <w:rPr>
                <w:rFonts w:ascii="Times New Roman" w:hAnsi="Times New Roman"/>
              </w:rPr>
              <w:t> </w:t>
            </w:r>
          </w:p>
        </w:tc>
      </w:tr>
    </w:tbl>
    <w:p w:rsidR="00384F87" w:rsidRPr="004161A1" w:rsidP="006869F8">
      <w:pPr>
        <w:bidi w:val="0"/>
        <w:rPr>
          <w:rFonts w:ascii="Times New Roman" w:hAnsi="Times New Roman"/>
        </w:rPr>
      </w:pPr>
    </w:p>
    <w:sectPr w:rsidSect="006869F8">
      <w:headerReference w:type="default" r:id="rId4"/>
      <w:footerReference w:type="even" r:id="rId5"/>
      <w:footerReference w:type="default" r:id="rId6"/>
      <w:pgSz w:w="15840" w:h="12240" w:orient="landscape"/>
      <w:pgMar w:top="1418" w:right="1418"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A" w:rsidP="003B57E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84DCA" w:rsidP="003B57E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A" w:rsidP="003B57E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55E0E">
      <w:rPr>
        <w:rStyle w:val="PageNumber"/>
        <w:rFonts w:ascii="Times New Roman" w:hAnsi="Times New Roman"/>
        <w:noProof/>
      </w:rPr>
      <w:t>1</w:t>
    </w:r>
    <w:r>
      <w:rPr>
        <w:rStyle w:val="PageNumber"/>
        <w:rFonts w:ascii="Times New Roman" w:hAnsi="Times New Roman"/>
      </w:rPr>
      <w:fldChar w:fldCharType="end"/>
    </w:r>
  </w:p>
  <w:p w:rsidR="00384DCA" w:rsidP="003B57E1">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A" w:rsidRPr="002E1304" w:rsidP="002E1304">
    <w:pPr>
      <w:pStyle w:val="Header"/>
      <w:bidi w:val="0"/>
      <w:rPr>
        <w:rFonts w:ascii="Times New Roman" w:hAnsi="Times New Roman"/>
      </w:rPr>
    </w:pPr>
    <w:r>
      <w:rPr>
        <w:rFonts w:ascii="Times New Roman" w:hAnsi="Times New Roman"/>
      </w:rPr>
      <w:t xml:space="preserve">                                                                                                                               Príloha č. 13.a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A92539E"/>
    <w:multiLevelType w:val="hybridMultilevel"/>
    <w:tmpl w:val="B2E23C80"/>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5">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67860A8"/>
    <w:multiLevelType w:val="hybridMultilevel"/>
    <w:tmpl w:val="D9CCFD3C"/>
    <w:lvl w:ilvl="0">
      <w:start w:val="10"/>
      <w:numFmt w:val="bullet"/>
      <w:lvlText w:val="-"/>
      <w:lvlJc w:val="left"/>
      <w:pPr>
        <w:ind w:left="780" w:hanging="360"/>
      </w:pPr>
      <w:rPr>
        <w:rFonts w:ascii="Times New Roman" w:eastAsia="Times New Roman" w:hAnsi="Times New Roman"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7">
    <w:nsid w:val="78604A10"/>
    <w:multiLevelType w:val="hybridMultilevel"/>
    <w:tmpl w:val="600E6056"/>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2E1304"/>
    <w:rsid w:val="00001877"/>
    <w:rsid w:val="000065A9"/>
    <w:rsid w:val="00007944"/>
    <w:rsid w:val="00012287"/>
    <w:rsid w:val="00021860"/>
    <w:rsid w:val="00021FA2"/>
    <w:rsid w:val="00031343"/>
    <w:rsid w:val="00032327"/>
    <w:rsid w:val="000332C7"/>
    <w:rsid w:val="00037C3F"/>
    <w:rsid w:val="00041DE9"/>
    <w:rsid w:val="00042608"/>
    <w:rsid w:val="00044049"/>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404"/>
    <w:rsid w:val="000D0A24"/>
    <w:rsid w:val="000D0E54"/>
    <w:rsid w:val="000D160F"/>
    <w:rsid w:val="000D70C9"/>
    <w:rsid w:val="000D7A6C"/>
    <w:rsid w:val="000E00FA"/>
    <w:rsid w:val="000E4B19"/>
    <w:rsid w:val="000E56A7"/>
    <w:rsid w:val="000E6D63"/>
    <w:rsid w:val="000F2103"/>
    <w:rsid w:val="000F2DE6"/>
    <w:rsid w:val="000F304F"/>
    <w:rsid w:val="000F3A93"/>
    <w:rsid w:val="000F3AC3"/>
    <w:rsid w:val="000F5AC8"/>
    <w:rsid w:val="000F60AF"/>
    <w:rsid w:val="001003D4"/>
    <w:rsid w:val="00102E44"/>
    <w:rsid w:val="00103117"/>
    <w:rsid w:val="001072B2"/>
    <w:rsid w:val="001113E9"/>
    <w:rsid w:val="001113FA"/>
    <w:rsid w:val="00111539"/>
    <w:rsid w:val="00111D86"/>
    <w:rsid w:val="0012053A"/>
    <w:rsid w:val="00122243"/>
    <w:rsid w:val="0012230A"/>
    <w:rsid w:val="00123EE7"/>
    <w:rsid w:val="0012401E"/>
    <w:rsid w:val="00137343"/>
    <w:rsid w:val="001443A8"/>
    <w:rsid w:val="001447DA"/>
    <w:rsid w:val="0015103A"/>
    <w:rsid w:val="001514A3"/>
    <w:rsid w:val="00152AA7"/>
    <w:rsid w:val="00153FF2"/>
    <w:rsid w:val="00154671"/>
    <w:rsid w:val="00157008"/>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F66"/>
    <w:rsid w:val="001B1812"/>
    <w:rsid w:val="001B57EC"/>
    <w:rsid w:val="001C4CD7"/>
    <w:rsid w:val="001C561A"/>
    <w:rsid w:val="001D0486"/>
    <w:rsid w:val="001D1DD8"/>
    <w:rsid w:val="001D2927"/>
    <w:rsid w:val="001D376D"/>
    <w:rsid w:val="001D4C67"/>
    <w:rsid w:val="001D6BD1"/>
    <w:rsid w:val="001E1E7F"/>
    <w:rsid w:val="001E2B22"/>
    <w:rsid w:val="001E4F40"/>
    <w:rsid w:val="001E4FA1"/>
    <w:rsid w:val="001E5D46"/>
    <w:rsid w:val="001F0212"/>
    <w:rsid w:val="001F0C1D"/>
    <w:rsid w:val="001F0D0F"/>
    <w:rsid w:val="001F1847"/>
    <w:rsid w:val="001F340C"/>
    <w:rsid w:val="001F4E5E"/>
    <w:rsid w:val="001F4EAD"/>
    <w:rsid w:val="001F5FD6"/>
    <w:rsid w:val="001F7064"/>
    <w:rsid w:val="002021FE"/>
    <w:rsid w:val="00203DD9"/>
    <w:rsid w:val="0020462E"/>
    <w:rsid w:val="00211B26"/>
    <w:rsid w:val="0021684F"/>
    <w:rsid w:val="00217E9E"/>
    <w:rsid w:val="0022225F"/>
    <w:rsid w:val="00222A9A"/>
    <w:rsid w:val="00222D3B"/>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1486"/>
    <w:rsid w:val="00242484"/>
    <w:rsid w:val="002444F0"/>
    <w:rsid w:val="00245FA9"/>
    <w:rsid w:val="00246C1E"/>
    <w:rsid w:val="002532E5"/>
    <w:rsid w:val="002574A3"/>
    <w:rsid w:val="002607E8"/>
    <w:rsid w:val="0027146B"/>
    <w:rsid w:val="00282E6B"/>
    <w:rsid w:val="00284095"/>
    <w:rsid w:val="00284647"/>
    <w:rsid w:val="00284C1D"/>
    <w:rsid w:val="0029143A"/>
    <w:rsid w:val="00291528"/>
    <w:rsid w:val="002928E4"/>
    <w:rsid w:val="002961EA"/>
    <w:rsid w:val="00296B7F"/>
    <w:rsid w:val="00297B91"/>
    <w:rsid w:val="002A643E"/>
    <w:rsid w:val="002A67FB"/>
    <w:rsid w:val="002A6BA2"/>
    <w:rsid w:val="002A7CB2"/>
    <w:rsid w:val="002B0F6B"/>
    <w:rsid w:val="002C2145"/>
    <w:rsid w:val="002C2805"/>
    <w:rsid w:val="002C55F1"/>
    <w:rsid w:val="002C6AC9"/>
    <w:rsid w:val="002D0473"/>
    <w:rsid w:val="002D646B"/>
    <w:rsid w:val="002E1304"/>
    <w:rsid w:val="002E40FB"/>
    <w:rsid w:val="002E4D4B"/>
    <w:rsid w:val="002E5846"/>
    <w:rsid w:val="002E6125"/>
    <w:rsid w:val="002E6729"/>
    <w:rsid w:val="002F434C"/>
    <w:rsid w:val="002F5EC0"/>
    <w:rsid w:val="002F6FAF"/>
    <w:rsid w:val="002F78DF"/>
    <w:rsid w:val="00304565"/>
    <w:rsid w:val="0030643D"/>
    <w:rsid w:val="003105A1"/>
    <w:rsid w:val="00311519"/>
    <w:rsid w:val="003126AA"/>
    <w:rsid w:val="00312C27"/>
    <w:rsid w:val="00313EE9"/>
    <w:rsid w:val="00314FA4"/>
    <w:rsid w:val="003150F6"/>
    <w:rsid w:val="00317384"/>
    <w:rsid w:val="003203E5"/>
    <w:rsid w:val="00322120"/>
    <w:rsid w:val="00322386"/>
    <w:rsid w:val="00323C98"/>
    <w:rsid w:val="0033054E"/>
    <w:rsid w:val="00330EB4"/>
    <w:rsid w:val="003311B1"/>
    <w:rsid w:val="003332D5"/>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4DCA"/>
    <w:rsid w:val="00384F87"/>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57E1"/>
    <w:rsid w:val="003B6772"/>
    <w:rsid w:val="003B7F8D"/>
    <w:rsid w:val="003C068A"/>
    <w:rsid w:val="003C5D7C"/>
    <w:rsid w:val="003D4CB7"/>
    <w:rsid w:val="003D4FA2"/>
    <w:rsid w:val="003D605F"/>
    <w:rsid w:val="003D70CA"/>
    <w:rsid w:val="003E2667"/>
    <w:rsid w:val="003E3BC1"/>
    <w:rsid w:val="003E45C4"/>
    <w:rsid w:val="003E497C"/>
    <w:rsid w:val="003F1ADC"/>
    <w:rsid w:val="003F23E3"/>
    <w:rsid w:val="003F36F3"/>
    <w:rsid w:val="003F3C22"/>
    <w:rsid w:val="003F429C"/>
    <w:rsid w:val="0040002F"/>
    <w:rsid w:val="00400686"/>
    <w:rsid w:val="00402377"/>
    <w:rsid w:val="00402F4C"/>
    <w:rsid w:val="00411217"/>
    <w:rsid w:val="00412989"/>
    <w:rsid w:val="00412C4F"/>
    <w:rsid w:val="00413805"/>
    <w:rsid w:val="00414253"/>
    <w:rsid w:val="004161A1"/>
    <w:rsid w:val="00422ED4"/>
    <w:rsid w:val="00430749"/>
    <w:rsid w:val="00432A7E"/>
    <w:rsid w:val="0043509F"/>
    <w:rsid w:val="00436035"/>
    <w:rsid w:val="00437EE9"/>
    <w:rsid w:val="00444FBF"/>
    <w:rsid w:val="00445D2F"/>
    <w:rsid w:val="004541DB"/>
    <w:rsid w:val="00454CC4"/>
    <w:rsid w:val="004554B0"/>
    <w:rsid w:val="004570D2"/>
    <w:rsid w:val="00457459"/>
    <w:rsid w:val="00457498"/>
    <w:rsid w:val="00457CFF"/>
    <w:rsid w:val="00460AB2"/>
    <w:rsid w:val="00465055"/>
    <w:rsid w:val="00465B09"/>
    <w:rsid w:val="00466AB0"/>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5E82"/>
    <w:rsid w:val="004A6DD3"/>
    <w:rsid w:val="004A74DB"/>
    <w:rsid w:val="004B0910"/>
    <w:rsid w:val="004B2AED"/>
    <w:rsid w:val="004B47CC"/>
    <w:rsid w:val="004B67D0"/>
    <w:rsid w:val="004B748E"/>
    <w:rsid w:val="004C0DDE"/>
    <w:rsid w:val="004C303D"/>
    <w:rsid w:val="004C453D"/>
    <w:rsid w:val="004C53A1"/>
    <w:rsid w:val="004C789B"/>
    <w:rsid w:val="004D1916"/>
    <w:rsid w:val="004D5A7E"/>
    <w:rsid w:val="004E05FA"/>
    <w:rsid w:val="004F7808"/>
    <w:rsid w:val="005000B4"/>
    <w:rsid w:val="00500C00"/>
    <w:rsid w:val="00501139"/>
    <w:rsid w:val="005061D4"/>
    <w:rsid w:val="0050640D"/>
    <w:rsid w:val="00506849"/>
    <w:rsid w:val="00511ED1"/>
    <w:rsid w:val="00512358"/>
    <w:rsid w:val="0051501D"/>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4D8A"/>
    <w:rsid w:val="00546163"/>
    <w:rsid w:val="00550D16"/>
    <w:rsid w:val="005572DE"/>
    <w:rsid w:val="0055756C"/>
    <w:rsid w:val="0055799B"/>
    <w:rsid w:val="00560A9D"/>
    <w:rsid w:val="00561ABD"/>
    <w:rsid w:val="00564192"/>
    <w:rsid w:val="005652F5"/>
    <w:rsid w:val="005738CA"/>
    <w:rsid w:val="00574338"/>
    <w:rsid w:val="00575A83"/>
    <w:rsid w:val="00577551"/>
    <w:rsid w:val="00577A30"/>
    <w:rsid w:val="00581F1A"/>
    <w:rsid w:val="0058207A"/>
    <w:rsid w:val="005906C5"/>
    <w:rsid w:val="00590B43"/>
    <w:rsid w:val="00591017"/>
    <w:rsid w:val="005924B2"/>
    <w:rsid w:val="0059354D"/>
    <w:rsid w:val="00593640"/>
    <w:rsid w:val="00593E53"/>
    <w:rsid w:val="005A1884"/>
    <w:rsid w:val="005A4A17"/>
    <w:rsid w:val="005A4F8C"/>
    <w:rsid w:val="005B2622"/>
    <w:rsid w:val="005B2876"/>
    <w:rsid w:val="005B35B5"/>
    <w:rsid w:val="005B4619"/>
    <w:rsid w:val="005B5F76"/>
    <w:rsid w:val="005B6DC8"/>
    <w:rsid w:val="005C0018"/>
    <w:rsid w:val="005C5A15"/>
    <w:rsid w:val="005C6855"/>
    <w:rsid w:val="005D0441"/>
    <w:rsid w:val="005D170A"/>
    <w:rsid w:val="005D1C81"/>
    <w:rsid w:val="005D1DD7"/>
    <w:rsid w:val="005D3419"/>
    <w:rsid w:val="005D3593"/>
    <w:rsid w:val="005D6F85"/>
    <w:rsid w:val="005E20EA"/>
    <w:rsid w:val="005E3070"/>
    <w:rsid w:val="005E5741"/>
    <w:rsid w:val="005E6925"/>
    <w:rsid w:val="005E7189"/>
    <w:rsid w:val="005F1A92"/>
    <w:rsid w:val="005F2BD9"/>
    <w:rsid w:val="005F3DF8"/>
    <w:rsid w:val="005F664A"/>
    <w:rsid w:val="006031C2"/>
    <w:rsid w:val="00605C59"/>
    <w:rsid w:val="00614DA5"/>
    <w:rsid w:val="006220BB"/>
    <w:rsid w:val="006228E8"/>
    <w:rsid w:val="00623418"/>
    <w:rsid w:val="00625F21"/>
    <w:rsid w:val="00626827"/>
    <w:rsid w:val="00627B86"/>
    <w:rsid w:val="006314A5"/>
    <w:rsid w:val="006330CB"/>
    <w:rsid w:val="006346F5"/>
    <w:rsid w:val="006411E7"/>
    <w:rsid w:val="00644B1D"/>
    <w:rsid w:val="006512E3"/>
    <w:rsid w:val="006516F7"/>
    <w:rsid w:val="00656031"/>
    <w:rsid w:val="00664475"/>
    <w:rsid w:val="00664B75"/>
    <w:rsid w:val="00665BFA"/>
    <w:rsid w:val="00672384"/>
    <w:rsid w:val="00675DAD"/>
    <w:rsid w:val="00680B4D"/>
    <w:rsid w:val="00685D81"/>
    <w:rsid w:val="006869F8"/>
    <w:rsid w:val="00691AFB"/>
    <w:rsid w:val="006964CA"/>
    <w:rsid w:val="006A1ECF"/>
    <w:rsid w:val="006A2626"/>
    <w:rsid w:val="006A5861"/>
    <w:rsid w:val="006B073B"/>
    <w:rsid w:val="006B63E0"/>
    <w:rsid w:val="006C121A"/>
    <w:rsid w:val="006C20D2"/>
    <w:rsid w:val="006C37BB"/>
    <w:rsid w:val="006C401A"/>
    <w:rsid w:val="006C65B9"/>
    <w:rsid w:val="006C76F3"/>
    <w:rsid w:val="006C7AE6"/>
    <w:rsid w:val="006D035A"/>
    <w:rsid w:val="006D17D0"/>
    <w:rsid w:val="006D2FA0"/>
    <w:rsid w:val="006D37B6"/>
    <w:rsid w:val="006D3E1F"/>
    <w:rsid w:val="006D4351"/>
    <w:rsid w:val="006D48B3"/>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30143"/>
    <w:rsid w:val="00732026"/>
    <w:rsid w:val="0075242C"/>
    <w:rsid w:val="007542D5"/>
    <w:rsid w:val="0075734D"/>
    <w:rsid w:val="0076023A"/>
    <w:rsid w:val="00760C82"/>
    <w:rsid w:val="007618DE"/>
    <w:rsid w:val="00762121"/>
    <w:rsid w:val="007626AC"/>
    <w:rsid w:val="00762DE1"/>
    <w:rsid w:val="00762EA7"/>
    <w:rsid w:val="0076767E"/>
    <w:rsid w:val="00771C8F"/>
    <w:rsid w:val="007722FA"/>
    <w:rsid w:val="00774741"/>
    <w:rsid w:val="00775F98"/>
    <w:rsid w:val="0077671B"/>
    <w:rsid w:val="0077799E"/>
    <w:rsid w:val="00783D49"/>
    <w:rsid w:val="007850A3"/>
    <w:rsid w:val="00785A52"/>
    <w:rsid w:val="0078679A"/>
    <w:rsid w:val="00791736"/>
    <w:rsid w:val="007929F6"/>
    <w:rsid w:val="007931FC"/>
    <w:rsid w:val="00793D54"/>
    <w:rsid w:val="007943B2"/>
    <w:rsid w:val="00795D18"/>
    <w:rsid w:val="0079668F"/>
    <w:rsid w:val="007A49F3"/>
    <w:rsid w:val="007A58AF"/>
    <w:rsid w:val="007A72E4"/>
    <w:rsid w:val="007B3B5F"/>
    <w:rsid w:val="007B4920"/>
    <w:rsid w:val="007B4A7D"/>
    <w:rsid w:val="007C17DA"/>
    <w:rsid w:val="007C1E6F"/>
    <w:rsid w:val="007C3F0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338A"/>
    <w:rsid w:val="00834969"/>
    <w:rsid w:val="00835852"/>
    <w:rsid w:val="008412DC"/>
    <w:rsid w:val="00844AEB"/>
    <w:rsid w:val="008459F9"/>
    <w:rsid w:val="0084740D"/>
    <w:rsid w:val="00850A55"/>
    <w:rsid w:val="00851B98"/>
    <w:rsid w:val="008557C5"/>
    <w:rsid w:val="00855E0E"/>
    <w:rsid w:val="008600F9"/>
    <w:rsid w:val="0086170F"/>
    <w:rsid w:val="008706B1"/>
    <w:rsid w:val="00872071"/>
    <w:rsid w:val="00872B40"/>
    <w:rsid w:val="00875AC7"/>
    <w:rsid w:val="00876747"/>
    <w:rsid w:val="00876DE0"/>
    <w:rsid w:val="00877812"/>
    <w:rsid w:val="008804B9"/>
    <w:rsid w:val="008827AC"/>
    <w:rsid w:val="008840C2"/>
    <w:rsid w:val="00886D54"/>
    <w:rsid w:val="00891BCD"/>
    <w:rsid w:val="00895D84"/>
    <w:rsid w:val="00896163"/>
    <w:rsid w:val="00897197"/>
    <w:rsid w:val="008975F1"/>
    <w:rsid w:val="008A1C3B"/>
    <w:rsid w:val="008A25EE"/>
    <w:rsid w:val="008A6049"/>
    <w:rsid w:val="008A604E"/>
    <w:rsid w:val="008B1C37"/>
    <w:rsid w:val="008B4638"/>
    <w:rsid w:val="008B60A5"/>
    <w:rsid w:val="008C0D63"/>
    <w:rsid w:val="008C211C"/>
    <w:rsid w:val="008C3671"/>
    <w:rsid w:val="008C56B5"/>
    <w:rsid w:val="008C671F"/>
    <w:rsid w:val="008D12AC"/>
    <w:rsid w:val="008D3640"/>
    <w:rsid w:val="008D4A92"/>
    <w:rsid w:val="008D4DEE"/>
    <w:rsid w:val="008D5A75"/>
    <w:rsid w:val="008D6B5B"/>
    <w:rsid w:val="008E0A7F"/>
    <w:rsid w:val="008E65BD"/>
    <w:rsid w:val="008F0893"/>
    <w:rsid w:val="008F2B41"/>
    <w:rsid w:val="008F2E63"/>
    <w:rsid w:val="008F58DB"/>
    <w:rsid w:val="00906A48"/>
    <w:rsid w:val="0090789B"/>
    <w:rsid w:val="009149BA"/>
    <w:rsid w:val="0091637A"/>
    <w:rsid w:val="00916CAE"/>
    <w:rsid w:val="0091758A"/>
    <w:rsid w:val="0092021B"/>
    <w:rsid w:val="00922120"/>
    <w:rsid w:val="0092262C"/>
    <w:rsid w:val="009243DF"/>
    <w:rsid w:val="00930EC3"/>
    <w:rsid w:val="00934205"/>
    <w:rsid w:val="00934C9D"/>
    <w:rsid w:val="00936F4F"/>
    <w:rsid w:val="00937C91"/>
    <w:rsid w:val="00940A59"/>
    <w:rsid w:val="00940D0C"/>
    <w:rsid w:val="009415AB"/>
    <w:rsid w:val="00941F65"/>
    <w:rsid w:val="00943CA7"/>
    <w:rsid w:val="00943EB2"/>
    <w:rsid w:val="00944C45"/>
    <w:rsid w:val="00946F48"/>
    <w:rsid w:val="00946F53"/>
    <w:rsid w:val="009504E2"/>
    <w:rsid w:val="00951630"/>
    <w:rsid w:val="00952ACD"/>
    <w:rsid w:val="00961731"/>
    <w:rsid w:val="0096184D"/>
    <w:rsid w:val="00962C1F"/>
    <w:rsid w:val="009654C6"/>
    <w:rsid w:val="00965970"/>
    <w:rsid w:val="0096653D"/>
    <w:rsid w:val="009668BE"/>
    <w:rsid w:val="00970054"/>
    <w:rsid w:val="00973374"/>
    <w:rsid w:val="00984DA0"/>
    <w:rsid w:val="0098691C"/>
    <w:rsid w:val="0099012E"/>
    <w:rsid w:val="00990F4E"/>
    <w:rsid w:val="0099179B"/>
    <w:rsid w:val="009940EE"/>
    <w:rsid w:val="00994501"/>
    <w:rsid w:val="00994EB9"/>
    <w:rsid w:val="00994EDA"/>
    <w:rsid w:val="00996751"/>
    <w:rsid w:val="00997DEF"/>
    <w:rsid w:val="009A1B17"/>
    <w:rsid w:val="009A73E4"/>
    <w:rsid w:val="009A7DBC"/>
    <w:rsid w:val="009A7FCA"/>
    <w:rsid w:val="009B45F2"/>
    <w:rsid w:val="009B5F5F"/>
    <w:rsid w:val="009B7C67"/>
    <w:rsid w:val="009C0655"/>
    <w:rsid w:val="009C0EFF"/>
    <w:rsid w:val="009C28D4"/>
    <w:rsid w:val="009C591A"/>
    <w:rsid w:val="009D0434"/>
    <w:rsid w:val="009D0E1B"/>
    <w:rsid w:val="009D53DB"/>
    <w:rsid w:val="009D6AE1"/>
    <w:rsid w:val="009E5A06"/>
    <w:rsid w:val="009E5E68"/>
    <w:rsid w:val="009E61F2"/>
    <w:rsid w:val="009E71D7"/>
    <w:rsid w:val="009F1786"/>
    <w:rsid w:val="009F3133"/>
    <w:rsid w:val="009F48D1"/>
    <w:rsid w:val="00A06AE8"/>
    <w:rsid w:val="00A12688"/>
    <w:rsid w:val="00A127B2"/>
    <w:rsid w:val="00A14BBE"/>
    <w:rsid w:val="00A15E45"/>
    <w:rsid w:val="00A24E99"/>
    <w:rsid w:val="00A259AB"/>
    <w:rsid w:val="00A25E3A"/>
    <w:rsid w:val="00A300E9"/>
    <w:rsid w:val="00A32A59"/>
    <w:rsid w:val="00A33FF0"/>
    <w:rsid w:val="00A40234"/>
    <w:rsid w:val="00A410B8"/>
    <w:rsid w:val="00A4397D"/>
    <w:rsid w:val="00A43B44"/>
    <w:rsid w:val="00A43C14"/>
    <w:rsid w:val="00A4575A"/>
    <w:rsid w:val="00A47FC6"/>
    <w:rsid w:val="00A5149F"/>
    <w:rsid w:val="00A52335"/>
    <w:rsid w:val="00A53EA2"/>
    <w:rsid w:val="00A60F22"/>
    <w:rsid w:val="00A650CA"/>
    <w:rsid w:val="00A6621B"/>
    <w:rsid w:val="00A70D06"/>
    <w:rsid w:val="00A71048"/>
    <w:rsid w:val="00A71AD6"/>
    <w:rsid w:val="00A71FE6"/>
    <w:rsid w:val="00A72A8B"/>
    <w:rsid w:val="00A76DEF"/>
    <w:rsid w:val="00A77DE1"/>
    <w:rsid w:val="00A77F39"/>
    <w:rsid w:val="00A77FD6"/>
    <w:rsid w:val="00A86688"/>
    <w:rsid w:val="00A92694"/>
    <w:rsid w:val="00A93B39"/>
    <w:rsid w:val="00A93CEC"/>
    <w:rsid w:val="00A93DF0"/>
    <w:rsid w:val="00A9525B"/>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41A"/>
    <w:rsid w:val="00B12DFA"/>
    <w:rsid w:val="00B144CE"/>
    <w:rsid w:val="00B144FB"/>
    <w:rsid w:val="00B14588"/>
    <w:rsid w:val="00B146DE"/>
    <w:rsid w:val="00B15780"/>
    <w:rsid w:val="00B1589E"/>
    <w:rsid w:val="00B16D98"/>
    <w:rsid w:val="00B17F7D"/>
    <w:rsid w:val="00B2216E"/>
    <w:rsid w:val="00B227BC"/>
    <w:rsid w:val="00B2427B"/>
    <w:rsid w:val="00B33194"/>
    <w:rsid w:val="00B344BF"/>
    <w:rsid w:val="00B34C8F"/>
    <w:rsid w:val="00B405D9"/>
    <w:rsid w:val="00B40AC5"/>
    <w:rsid w:val="00B46137"/>
    <w:rsid w:val="00B501B8"/>
    <w:rsid w:val="00B514FA"/>
    <w:rsid w:val="00B53972"/>
    <w:rsid w:val="00B55A3C"/>
    <w:rsid w:val="00B56678"/>
    <w:rsid w:val="00B60BB8"/>
    <w:rsid w:val="00B6374E"/>
    <w:rsid w:val="00B63E64"/>
    <w:rsid w:val="00B67293"/>
    <w:rsid w:val="00B70AFA"/>
    <w:rsid w:val="00B70E69"/>
    <w:rsid w:val="00B71812"/>
    <w:rsid w:val="00B73EF8"/>
    <w:rsid w:val="00B74991"/>
    <w:rsid w:val="00B76CA7"/>
    <w:rsid w:val="00B8197E"/>
    <w:rsid w:val="00B82E6F"/>
    <w:rsid w:val="00B83568"/>
    <w:rsid w:val="00B84DE0"/>
    <w:rsid w:val="00B946F4"/>
    <w:rsid w:val="00B97824"/>
    <w:rsid w:val="00BA333F"/>
    <w:rsid w:val="00BA3720"/>
    <w:rsid w:val="00BA380E"/>
    <w:rsid w:val="00BB0D62"/>
    <w:rsid w:val="00BB1663"/>
    <w:rsid w:val="00BB2E4A"/>
    <w:rsid w:val="00BB7494"/>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13C0"/>
    <w:rsid w:val="00C15928"/>
    <w:rsid w:val="00C16EE9"/>
    <w:rsid w:val="00C21490"/>
    <w:rsid w:val="00C252AB"/>
    <w:rsid w:val="00C27626"/>
    <w:rsid w:val="00C3007F"/>
    <w:rsid w:val="00C31859"/>
    <w:rsid w:val="00C32040"/>
    <w:rsid w:val="00C3348C"/>
    <w:rsid w:val="00C33ECC"/>
    <w:rsid w:val="00C34F5A"/>
    <w:rsid w:val="00C35095"/>
    <w:rsid w:val="00C40052"/>
    <w:rsid w:val="00C40190"/>
    <w:rsid w:val="00C438BC"/>
    <w:rsid w:val="00C45ED6"/>
    <w:rsid w:val="00C47C59"/>
    <w:rsid w:val="00C50909"/>
    <w:rsid w:val="00C515E5"/>
    <w:rsid w:val="00C557B3"/>
    <w:rsid w:val="00C55AC4"/>
    <w:rsid w:val="00C565A0"/>
    <w:rsid w:val="00C62E34"/>
    <w:rsid w:val="00C71476"/>
    <w:rsid w:val="00C71903"/>
    <w:rsid w:val="00C72B0B"/>
    <w:rsid w:val="00C75C67"/>
    <w:rsid w:val="00C75DD0"/>
    <w:rsid w:val="00C83584"/>
    <w:rsid w:val="00C86FFC"/>
    <w:rsid w:val="00C97286"/>
    <w:rsid w:val="00C974D3"/>
    <w:rsid w:val="00C9769C"/>
    <w:rsid w:val="00C97AF8"/>
    <w:rsid w:val="00CA2786"/>
    <w:rsid w:val="00CA3632"/>
    <w:rsid w:val="00CA3DC2"/>
    <w:rsid w:val="00CA5630"/>
    <w:rsid w:val="00CB1AD4"/>
    <w:rsid w:val="00CB1ECB"/>
    <w:rsid w:val="00CB2856"/>
    <w:rsid w:val="00CB47D5"/>
    <w:rsid w:val="00CB53B9"/>
    <w:rsid w:val="00CB6769"/>
    <w:rsid w:val="00CC24FC"/>
    <w:rsid w:val="00CC4020"/>
    <w:rsid w:val="00CC54EB"/>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17749"/>
    <w:rsid w:val="00D27C91"/>
    <w:rsid w:val="00D27F78"/>
    <w:rsid w:val="00D30292"/>
    <w:rsid w:val="00D40AE4"/>
    <w:rsid w:val="00D42915"/>
    <w:rsid w:val="00D42989"/>
    <w:rsid w:val="00D4561A"/>
    <w:rsid w:val="00D47339"/>
    <w:rsid w:val="00D526CC"/>
    <w:rsid w:val="00D540F7"/>
    <w:rsid w:val="00D54F98"/>
    <w:rsid w:val="00D573C9"/>
    <w:rsid w:val="00D7000E"/>
    <w:rsid w:val="00D72553"/>
    <w:rsid w:val="00D743B0"/>
    <w:rsid w:val="00D750E6"/>
    <w:rsid w:val="00D8181E"/>
    <w:rsid w:val="00D82A34"/>
    <w:rsid w:val="00D84191"/>
    <w:rsid w:val="00D86DEF"/>
    <w:rsid w:val="00D874CB"/>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D0998"/>
    <w:rsid w:val="00DD0D34"/>
    <w:rsid w:val="00DD245D"/>
    <w:rsid w:val="00DD2661"/>
    <w:rsid w:val="00DD268C"/>
    <w:rsid w:val="00DE4572"/>
    <w:rsid w:val="00DE4DF0"/>
    <w:rsid w:val="00DE559A"/>
    <w:rsid w:val="00DE74C4"/>
    <w:rsid w:val="00DF08A7"/>
    <w:rsid w:val="00DF176B"/>
    <w:rsid w:val="00DF3B08"/>
    <w:rsid w:val="00E01674"/>
    <w:rsid w:val="00E04068"/>
    <w:rsid w:val="00E0622F"/>
    <w:rsid w:val="00E12A39"/>
    <w:rsid w:val="00E13930"/>
    <w:rsid w:val="00E15121"/>
    <w:rsid w:val="00E15C10"/>
    <w:rsid w:val="00E16920"/>
    <w:rsid w:val="00E16B52"/>
    <w:rsid w:val="00E240A1"/>
    <w:rsid w:val="00E26472"/>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95B"/>
    <w:rsid w:val="00E91C41"/>
    <w:rsid w:val="00E91CEE"/>
    <w:rsid w:val="00E9477B"/>
    <w:rsid w:val="00E95325"/>
    <w:rsid w:val="00E95E9C"/>
    <w:rsid w:val="00E96886"/>
    <w:rsid w:val="00E96BDD"/>
    <w:rsid w:val="00E96D4E"/>
    <w:rsid w:val="00E970F5"/>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7342"/>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3E15"/>
    <w:rsid w:val="00F46C4E"/>
    <w:rsid w:val="00F507D7"/>
    <w:rsid w:val="00F5213E"/>
    <w:rsid w:val="00F530E4"/>
    <w:rsid w:val="00F57467"/>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4AE"/>
    <w:rsid w:val="00FA786E"/>
    <w:rsid w:val="00FB1660"/>
    <w:rsid w:val="00FB6359"/>
    <w:rsid w:val="00FB7DC9"/>
    <w:rsid w:val="00FC0A10"/>
    <w:rsid w:val="00FC496D"/>
    <w:rsid w:val="00FD04BD"/>
    <w:rsid w:val="00FD2978"/>
    <w:rsid w:val="00FD36F3"/>
    <w:rsid w:val="00FD5AAF"/>
    <w:rsid w:val="00FE0D3F"/>
    <w:rsid w:val="00FE2869"/>
    <w:rsid w:val="00FE2D30"/>
    <w:rsid w:val="00FE4F26"/>
    <w:rsid w:val="00FE5728"/>
    <w:rsid w:val="00FE591D"/>
    <w:rsid w:val="00FE671D"/>
    <w:rsid w:val="00FF3820"/>
    <w:rsid w:val="00FF3F95"/>
    <w:rsid w:val="00FF5E57"/>
    <w:rsid w:val="00FF62B2"/>
    <w:rsid w:val="00FF6B8F"/>
    <w:rsid w:val="00FF7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30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Heading4Char"/>
    <w:qFormat/>
    <w:rsid w:val="002E1304"/>
    <w:pPr>
      <w:keepNext/>
      <w:spacing w:before="240" w:after="60"/>
      <w:jc w:val="left"/>
      <w:outlineLvl w:val="3"/>
    </w:pPr>
    <w:rPr>
      <w:b/>
      <w:bCs/>
      <w:sz w:val="28"/>
      <w:szCs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4Char">
    <w:name w:val="Heading 4 Char"/>
    <w:basedOn w:val="DefaultParagraphFont"/>
    <w:link w:val="Heading4"/>
    <w:semiHidden/>
    <w:locked/>
    <w:rsid w:val="005B5F76"/>
    <w:rPr>
      <w:rFonts w:ascii="Calibri" w:hAnsi="Calibri" w:cs="Times New Roman"/>
      <w:b/>
      <w:bCs/>
      <w:sz w:val="28"/>
      <w:szCs w:val="28"/>
      <w:rtl w:val="0"/>
      <w:cs w:val="0"/>
    </w:rPr>
  </w:style>
  <w:style w:type="paragraph" w:styleId="Footer">
    <w:name w:val="footer"/>
    <w:basedOn w:val="Normal"/>
    <w:link w:val="FooterChar"/>
    <w:rsid w:val="002E1304"/>
    <w:pPr>
      <w:tabs>
        <w:tab w:val="center" w:pos="4536"/>
        <w:tab w:val="right" w:pos="9072"/>
      </w:tabs>
      <w:jc w:val="left"/>
    </w:pPr>
  </w:style>
  <w:style w:type="character" w:customStyle="1" w:styleId="FooterChar">
    <w:name w:val="Footer Char"/>
    <w:basedOn w:val="DefaultParagraphFont"/>
    <w:link w:val="Footer"/>
    <w:semiHidden/>
    <w:locked/>
    <w:rsid w:val="005B5F76"/>
    <w:rPr>
      <w:rFonts w:cs="Times New Roman"/>
      <w:sz w:val="24"/>
      <w:szCs w:val="24"/>
      <w:rtl w:val="0"/>
      <w:cs w:val="0"/>
    </w:rPr>
  </w:style>
  <w:style w:type="character" w:styleId="PageNumber">
    <w:name w:val="page number"/>
    <w:basedOn w:val="DefaultParagraphFont"/>
    <w:rsid w:val="002E1304"/>
    <w:rPr>
      <w:rFonts w:cs="Times New Roman"/>
      <w:rtl w:val="0"/>
      <w:cs w:val="0"/>
    </w:rPr>
  </w:style>
  <w:style w:type="paragraph" w:styleId="BodyTextIndent">
    <w:name w:val="Body Text Indent"/>
    <w:basedOn w:val="Normal"/>
    <w:link w:val="BodyTextIndentChar"/>
    <w:rsid w:val="002E1304"/>
    <w:pPr>
      <w:spacing w:after="120"/>
      <w:ind w:left="283"/>
      <w:jc w:val="left"/>
    </w:pPr>
  </w:style>
  <w:style w:type="character" w:customStyle="1" w:styleId="BodyTextIndentChar">
    <w:name w:val="Body Text Indent Char"/>
    <w:basedOn w:val="DefaultParagraphFont"/>
    <w:link w:val="BodyTextIndent"/>
    <w:semiHidden/>
    <w:locked/>
    <w:rsid w:val="005B5F76"/>
    <w:rPr>
      <w:rFonts w:cs="Times New Roman"/>
      <w:sz w:val="24"/>
      <w:szCs w:val="24"/>
      <w:rtl w:val="0"/>
      <w:cs w:val="0"/>
    </w:rPr>
  </w:style>
  <w:style w:type="paragraph" w:styleId="BodyText">
    <w:name w:val="Body Text"/>
    <w:basedOn w:val="Normal"/>
    <w:link w:val="BodyTextChar"/>
    <w:rsid w:val="002E1304"/>
    <w:pPr>
      <w:spacing w:after="120"/>
      <w:jc w:val="left"/>
    </w:pPr>
  </w:style>
  <w:style w:type="character" w:customStyle="1" w:styleId="BodyTextChar">
    <w:name w:val="Body Text Char"/>
    <w:basedOn w:val="DefaultParagraphFont"/>
    <w:link w:val="BodyText"/>
    <w:semiHidden/>
    <w:locked/>
    <w:rsid w:val="005B5F76"/>
    <w:rPr>
      <w:rFonts w:cs="Times New Roman"/>
      <w:sz w:val="24"/>
      <w:szCs w:val="24"/>
      <w:rtl w:val="0"/>
      <w:cs w:val="0"/>
    </w:rPr>
  </w:style>
  <w:style w:type="paragraph" w:styleId="Title">
    <w:name w:val="Title"/>
    <w:basedOn w:val="Normal"/>
    <w:link w:val="TitleChar"/>
    <w:qFormat/>
    <w:rsid w:val="002E1304"/>
    <w:pPr>
      <w:jc w:val="center"/>
    </w:pPr>
    <w:rPr>
      <w:sz w:val="28"/>
      <w:szCs w:val="20"/>
    </w:rPr>
  </w:style>
  <w:style w:type="character" w:customStyle="1" w:styleId="TitleChar">
    <w:name w:val="Title Char"/>
    <w:basedOn w:val="DefaultParagraphFont"/>
    <w:link w:val="Title"/>
    <w:locked/>
    <w:rsid w:val="005B5F76"/>
    <w:rPr>
      <w:rFonts w:ascii="Cambria" w:hAnsi="Cambria" w:cs="Times New Roman"/>
      <w:b/>
      <w:bCs/>
      <w:kern w:val="28"/>
      <w:sz w:val="32"/>
      <w:szCs w:val="32"/>
      <w:rtl w:val="0"/>
      <w:cs w:val="0"/>
    </w:rPr>
  </w:style>
  <w:style w:type="paragraph" w:styleId="BodyTextIndent3">
    <w:name w:val="Body Text Indent 3"/>
    <w:basedOn w:val="Normal"/>
    <w:link w:val="BodyTextIndent3Char"/>
    <w:rsid w:val="002E1304"/>
    <w:pPr>
      <w:spacing w:after="120"/>
      <w:ind w:left="283"/>
      <w:jc w:val="left"/>
    </w:pPr>
    <w:rPr>
      <w:sz w:val="16"/>
      <w:szCs w:val="16"/>
    </w:rPr>
  </w:style>
  <w:style w:type="character" w:customStyle="1" w:styleId="BodyTextIndent3Char">
    <w:name w:val="Body Text Indent 3 Char"/>
    <w:basedOn w:val="DefaultParagraphFont"/>
    <w:link w:val="BodyTextIndent3"/>
    <w:semiHidden/>
    <w:locked/>
    <w:rsid w:val="005B5F76"/>
    <w:rPr>
      <w:rFonts w:cs="Times New Roman"/>
      <w:sz w:val="16"/>
      <w:szCs w:val="16"/>
      <w:rtl w:val="0"/>
      <w:cs w:val="0"/>
    </w:rPr>
  </w:style>
  <w:style w:type="paragraph" w:customStyle="1" w:styleId="Action">
    <w:name w:val="Action"/>
    <w:basedOn w:val="BodyText"/>
    <w:rsid w:val="002E1304"/>
    <w:pPr>
      <w:numPr>
        <w:numId w:val="1"/>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basedOn w:val="DefaultParagraphFont"/>
    <w:rsid w:val="002E1304"/>
    <w:rPr>
      <w:rFonts w:ascii="Verdana" w:hAnsi="Verdana" w:cs="Verdana"/>
      <w:kern w:val="20"/>
      <w:sz w:val="22"/>
      <w:szCs w:val="22"/>
      <w:u w:val="single"/>
      <w:rtl w:val="0"/>
      <w:cs w:val="0"/>
      <w:lang w:val="en-US" w:eastAsia="en-US"/>
    </w:rPr>
  </w:style>
  <w:style w:type="paragraph" w:styleId="Header">
    <w:name w:val="header"/>
    <w:basedOn w:val="Normal"/>
    <w:link w:val="HeaderChar"/>
    <w:rsid w:val="002E1304"/>
    <w:pPr>
      <w:tabs>
        <w:tab w:val="center" w:pos="4536"/>
        <w:tab w:val="right" w:pos="9072"/>
      </w:tabs>
      <w:jc w:val="left"/>
    </w:pPr>
  </w:style>
  <w:style w:type="character" w:customStyle="1" w:styleId="HeaderChar">
    <w:name w:val="Header Char"/>
    <w:basedOn w:val="DefaultParagraphFont"/>
    <w:link w:val="Header"/>
    <w:semiHidden/>
    <w:locked/>
    <w:rsid w:val="005B5F76"/>
    <w:rPr>
      <w:rFonts w:cs="Times New Roman"/>
      <w:sz w:val="24"/>
      <w:szCs w:val="24"/>
      <w:rtl w:val="0"/>
      <w:cs w:val="0"/>
    </w:rPr>
  </w:style>
  <w:style w:type="character" w:styleId="Hyperlink">
    <w:name w:val="Hyperlink"/>
    <w:basedOn w:val="DefaultParagraphFont"/>
    <w:rsid w:val="002E1304"/>
    <w:rPr>
      <w:rFonts w:cs="Times New Roman"/>
      <w:color w:val="0000FF"/>
      <w:u w:val="single"/>
      <w:rtl w:val="0"/>
      <w:cs w:val="0"/>
    </w:rPr>
  </w:style>
  <w:style w:type="paragraph" w:styleId="NormalWeb">
    <w:name w:val="Normal (Web)"/>
    <w:basedOn w:val="Normal"/>
    <w:rsid w:val="004161A1"/>
    <w:pPr>
      <w:spacing w:before="100" w:beforeAutospacing="1" w:after="100" w:afterAutospacing="1"/>
      <w:jc w:val="left"/>
    </w:pPr>
  </w:style>
  <w:style w:type="paragraph" w:styleId="BalloonText">
    <w:name w:val="Balloon Text"/>
    <w:basedOn w:val="Normal"/>
    <w:link w:val="BalloonTextChar"/>
    <w:semiHidden/>
    <w:rsid w:val="00C71903"/>
    <w:pPr>
      <w:jc w:val="left"/>
    </w:pPr>
    <w:rPr>
      <w:rFonts w:ascii="Tahoma" w:hAnsi="Tahoma" w:cs="Tahoma"/>
      <w:sz w:val="16"/>
      <w:szCs w:val="16"/>
    </w:rPr>
  </w:style>
  <w:style w:type="character" w:customStyle="1" w:styleId="BalloonTextChar">
    <w:name w:val="Balloon Text Char"/>
    <w:basedOn w:val="DefaultParagraphFont"/>
    <w:link w:val="BalloonText"/>
    <w:semiHidden/>
    <w:locked/>
    <w:rsid w:val="005B5F76"/>
    <w:rPr>
      <w:rFonts w:ascii="Tahoma" w:hAnsi="Tahoma" w:cs="Tahoma"/>
      <w:sz w:val="16"/>
      <w:szCs w:val="16"/>
      <w:rtl w:val="0"/>
      <w:cs w:val="0"/>
    </w:rPr>
  </w:style>
  <w:style w:type="paragraph" w:styleId="ListParagraph">
    <w:name w:val="List Paragraph"/>
    <w:basedOn w:val="Normal"/>
    <w:qFormat/>
    <w:rsid w:val="00465055"/>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Pages>
  <Words>1798</Words>
  <Characters>10249</Characters>
  <Application>Microsoft Office Word</Application>
  <DocSecurity>0</DocSecurity>
  <Lines>0</Lines>
  <Paragraphs>0</Paragraphs>
  <ScaleCrop>false</ScaleCrop>
  <Company>UVSR</Company>
  <LinksUpToDate>false</LinksUpToDate>
  <CharactersWithSpaces>12023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Vplyvy na rozpočet verejnej správy,</dc:title>
  <dc:creator>grosjarova</dc:creator>
  <cp:lastModifiedBy>Gašparíková, Jarmila</cp:lastModifiedBy>
  <cp:revision>2</cp:revision>
  <cp:lastPrinted>2010-06-03T10:50:00Z</cp:lastPrinted>
  <dcterms:created xsi:type="dcterms:W3CDTF">2011-06-10T15:55:00Z</dcterms:created>
  <dcterms:modified xsi:type="dcterms:W3CDTF">2011-06-10T15:55:00Z</dcterms:modified>
</cp:coreProperties>
</file>