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6246E" w:rsidP="00C6246E">
      <w:pPr>
        <w:bidi w:val="0"/>
        <w:ind w:right="-108"/>
        <w:jc w:val="center"/>
        <w:rPr>
          <w:rFonts w:ascii="Times New Roman" w:hAnsi="Times New Roman"/>
          <w:b/>
          <w:bCs/>
          <w:sz w:val="28"/>
          <w:szCs w:val="28"/>
        </w:rPr>
      </w:pPr>
      <w:r>
        <w:rPr>
          <w:rFonts w:ascii="Times New Roman" w:hAnsi="Times New Roman"/>
          <w:b/>
          <w:bCs/>
          <w:sz w:val="28"/>
          <w:szCs w:val="28"/>
        </w:rPr>
        <w:t>Doložka vybraných vplyvov</w:t>
      </w:r>
    </w:p>
    <w:p w:rsidR="00C6246E" w:rsidP="00C6246E">
      <w:pPr>
        <w:bidi w:val="0"/>
        <w:ind w:right="-108"/>
        <w:jc w:val="center"/>
        <w:rPr>
          <w:rFonts w:ascii="Times New Roman" w:hAnsi="Times New Roman"/>
          <w:b/>
          <w:bCs/>
          <w:sz w:val="28"/>
          <w:szCs w:val="28"/>
        </w:rPr>
      </w:pPr>
    </w:p>
    <w:p w:rsidR="00372B2C" w:rsidRPr="00E54C87" w:rsidP="001D72D8">
      <w:pPr>
        <w:bidi w:val="0"/>
        <w:jc w:val="both"/>
        <w:rPr>
          <w:rFonts w:ascii="Times New Roman" w:hAnsi="Times New Roman" w:cs="Arial"/>
          <w:szCs w:val="22"/>
        </w:rPr>
      </w:pPr>
      <w:r w:rsidR="00C6246E">
        <w:rPr>
          <w:rFonts w:ascii="Times New Roman" w:hAnsi="Times New Roman"/>
          <w:b/>
          <w:bCs/>
        </w:rPr>
        <w:t>A.1. Názov materiálu:</w:t>
      </w:r>
      <w:r w:rsidR="001D72D8">
        <w:rPr>
          <w:rFonts w:ascii="Times New Roman" w:hAnsi="Times New Roman"/>
          <w:b/>
          <w:bCs/>
        </w:rPr>
        <w:t xml:space="preserve"> </w:t>
      </w:r>
      <w:r w:rsidRPr="00BE6054" w:rsidR="00BE6054">
        <w:rPr>
          <w:rFonts w:ascii="Times New Roman" w:hAnsi="Times New Roman"/>
          <w:bCs/>
        </w:rPr>
        <w:t>vládny ná</w:t>
      </w:r>
      <w:r w:rsidRPr="00BE6054">
        <w:rPr>
          <w:rFonts w:ascii="Times New Roman" w:hAnsi="Times New Roman"/>
          <w:bCs/>
        </w:rPr>
        <w:t>vrh</w:t>
      </w:r>
      <w:r>
        <w:rPr>
          <w:rFonts w:ascii="Times New Roman" w:hAnsi="Times New Roman"/>
          <w:bCs/>
        </w:rPr>
        <w:t xml:space="preserve"> zákona, ktorým sa mení a dopĺňa </w:t>
      </w:r>
      <w:r w:rsidRPr="00550EEF">
        <w:rPr>
          <w:rFonts w:ascii="Times New Roman" w:hAnsi="Times New Roman"/>
          <w:bCs/>
        </w:rPr>
        <w:t>zákon č. 43/2004 Z. z. o starobnom dôchodkovom sporení a o zmene a doplnení niektorých zákonov v znení neskorších predpisov a o zmene a doplnení zákona č. 461/2003 Z. z. o sociálnom poistení v znení neskorších predpisov</w:t>
      </w:r>
    </w:p>
    <w:p w:rsidR="00312C09" w:rsidP="00C6246E">
      <w:pPr>
        <w:bidi w:val="0"/>
        <w:rPr>
          <w:rFonts w:ascii="Times New Roman" w:hAnsi="Times New Roman"/>
          <w:b/>
          <w:bCs/>
        </w:rPr>
      </w:pPr>
    </w:p>
    <w:p w:rsidR="00C6246E" w:rsidP="00C6246E">
      <w:pPr>
        <w:bidi w:val="0"/>
        <w:rPr>
          <w:rFonts w:ascii="Times New Roman" w:hAnsi="Times New Roman"/>
          <w:b/>
          <w:bCs/>
        </w:rPr>
      </w:pPr>
      <w:r w:rsidRPr="00F307D3">
        <w:rPr>
          <w:rFonts w:ascii="Times New Roman" w:hAnsi="Times New Roman"/>
          <w:b/>
          <w:bCs/>
        </w:rPr>
        <w:t>Termín začatia a ukončenia PPK:</w:t>
      </w:r>
      <w:r w:rsidRPr="00F307D3" w:rsidR="003D3980">
        <w:rPr>
          <w:rFonts w:ascii="Times New Roman" w:hAnsi="Times New Roman"/>
          <w:bCs/>
        </w:rPr>
        <w:t xml:space="preserve"> </w:t>
      </w:r>
      <w:r w:rsidRPr="00F307D3" w:rsidR="00F307D3">
        <w:rPr>
          <w:rFonts w:ascii="Times New Roman" w:hAnsi="Times New Roman"/>
          <w:bCs/>
        </w:rPr>
        <w:t>29</w:t>
      </w:r>
      <w:r w:rsidRPr="00F307D3" w:rsidR="00B57E41">
        <w:rPr>
          <w:rFonts w:ascii="Times New Roman" w:hAnsi="Times New Roman"/>
          <w:bCs/>
        </w:rPr>
        <w:t>. apríl</w:t>
      </w:r>
      <w:r w:rsidRPr="00F307D3" w:rsidR="003D3980">
        <w:rPr>
          <w:rFonts w:ascii="Times New Roman" w:hAnsi="Times New Roman"/>
          <w:bCs/>
        </w:rPr>
        <w:t xml:space="preserve"> </w:t>
      </w:r>
      <w:r w:rsidRPr="00F307D3" w:rsidR="00723A4A">
        <w:rPr>
          <w:rFonts w:ascii="Times New Roman" w:hAnsi="Times New Roman"/>
          <w:bCs/>
        </w:rPr>
        <w:t xml:space="preserve">2011 </w:t>
      </w:r>
      <w:r w:rsidRPr="00F307D3" w:rsidR="00F307D3">
        <w:rPr>
          <w:rFonts w:ascii="Times New Roman" w:hAnsi="Times New Roman"/>
          <w:bCs/>
        </w:rPr>
        <w:t>– 5</w:t>
      </w:r>
      <w:r w:rsidRPr="00F307D3" w:rsidR="00312C09">
        <w:rPr>
          <w:rFonts w:ascii="Times New Roman" w:hAnsi="Times New Roman"/>
          <w:bCs/>
        </w:rPr>
        <w:t>.</w:t>
      </w:r>
      <w:r w:rsidRPr="00F307D3" w:rsidR="00B57E41">
        <w:rPr>
          <w:rFonts w:ascii="Times New Roman" w:hAnsi="Times New Roman"/>
          <w:bCs/>
        </w:rPr>
        <w:t xml:space="preserve"> </w:t>
      </w:r>
      <w:r w:rsidRPr="00F307D3" w:rsidR="00F307D3">
        <w:rPr>
          <w:rFonts w:ascii="Times New Roman" w:hAnsi="Times New Roman"/>
          <w:bCs/>
        </w:rPr>
        <w:t>máj</w:t>
      </w:r>
      <w:r w:rsidRPr="00F307D3" w:rsidR="00A027DE">
        <w:rPr>
          <w:rFonts w:ascii="Times New Roman" w:hAnsi="Times New Roman"/>
          <w:bCs/>
        </w:rPr>
        <w:t xml:space="preserve"> 2011</w:t>
      </w:r>
    </w:p>
    <w:p w:rsidR="00312C09" w:rsidP="00C6246E">
      <w:pPr>
        <w:bidi w:val="0"/>
        <w:rPr>
          <w:rFonts w:ascii="Times New Roman" w:hAnsi="Times New Roman"/>
          <w:b/>
          <w:bCs/>
        </w:rPr>
      </w:pPr>
    </w:p>
    <w:p w:rsidR="00C6246E" w:rsidP="00C6246E">
      <w:pPr>
        <w:bidi w:val="0"/>
        <w:rPr>
          <w:rFonts w:ascii="Times New Roman" w:hAnsi="Times New Roman"/>
          <w:b/>
          <w:bCs/>
        </w:rPr>
      </w:pPr>
      <w:r>
        <w:rPr>
          <w:rFonts w:ascii="Times New Roman" w:hAnsi="Times New Roman"/>
          <w:b/>
          <w:bCs/>
        </w:rPr>
        <w:t>A.2. Vplyvy:</w:t>
      </w:r>
    </w:p>
    <w:p w:rsidR="00C6246E" w:rsidP="00C6246E">
      <w:pPr>
        <w:bidi w:val="0"/>
        <w:rPr>
          <w:rFonts w:ascii="Times New Roman" w:hAnsi="Times New Roman"/>
        </w:rPr>
      </w:pPr>
    </w:p>
    <w:tbl>
      <w:tblPr>
        <w:tblStyle w:val="TableNormal"/>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726"/>
        <w:gridCol w:w="1242"/>
        <w:gridCol w:w="1260"/>
        <w:gridCol w:w="1336"/>
      </w:tblGrid>
      <w:tr>
        <w:tblPrEx>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C6246E" w:rsidP="00C6246E">
            <w:pPr>
              <w:bidi w:val="0"/>
              <w:rPr>
                <w:rFonts w:ascii="Times New Roman" w:hAnsi="Times New Roman"/>
              </w:rPr>
            </w:pP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C6246E" w:rsidP="00C6246E">
            <w:pPr>
              <w:bidi w:val="0"/>
              <w:jc w:val="center"/>
              <w:rPr>
                <w:rFonts w:ascii="Times New Roman" w:hAnsi="Times New Roman"/>
              </w:rPr>
            </w:pPr>
            <w:r>
              <w:rPr>
                <w:rFonts w:ascii="Times New Roman" w:hAnsi="Times New Roman"/>
              </w:rPr>
              <w:t>Pozitívne</w:t>
            </w:r>
            <w:r>
              <w:rPr>
                <w:rFonts w:ascii="Times New Roman" w:hAnsi="Times New Roman"/>
                <w:vertAlign w:val="superscript"/>
              </w:rPr>
              <w:t>*</w:t>
            </w:r>
            <w:r>
              <w:rPr>
                <w:rFonts w:ascii="Times New Roman" w:hAnsi="Times New Roman"/>
              </w:rPr>
              <w:t xml:space="preserve"> </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C6246E" w:rsidP="00C6246E">
            <w:pPr>
              <w:bidi w:val="0"/>
              <w:jc w:val="center"/>
              <w:rPr>
                <w:rFonts w:ascii="Times New Roman" w:hAnsi="Times New Roman"/>
              </w:rPr>
            </w:pPr>
            <w:r>
              <w:rPr>
                <w:rFonts w:ascii="Times New Roman" w:hAnsi="Times New Roman"/>
              </w:rPr>
              <w:t>Žiadne</w:t>
            </w:r>
            <w:r>
              <w:rPr>
                <w:rFonts w:ascii="Times New Roman" w:hAnsi="Times New Roman"/>
                <w:vertAlign w:val="superscript"/>
              </w:rPr>
              <w:t>*</w:t>
            </w: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C6246E" w:rsidP="00C6246E">
            <w:pPr>
              <w:bidi w:val="0"/>
              <w:jc w:val="center"/>
              <w:rPr>
                <w:rFonts w:ascii="Times New Roman" w:hAnsi="Times New Roman"/>
              </w:rPr>
            </w:pPr>
            <w:r>
              <w:rPr>
                <w:rFonts w:ascii="Times New Roman" w:hAnsi="Times New Roman"/>
              </w:rPr>
              <w:t>Negatívne</w:t>
            </w:r>
            <w:r>
              <w:rPr>
                <w:rFonts w:ascii="Times New Roman" w:hAnsi="Times New Roman"/>
                <w:vertAlign w:val="superscript"/>
              </w:rPr>
              <w:t>*</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C6246E" w:rsidRPr="00915AFF" w:rsidP="00C6246E">
            <w:pPr>
              <w:bidi w:val="0"/>
              <w:rPr>
                <w:rFonts w:ascii="Times New Roman" w:hAnsi="Times New Roman"/>
                <w:bCs/>
                <w:sz w:val="22"/>
                <w:szCs w:val="22"/>
              </w:rPr>
            </w:pPr>
            <w:r w:rsidRPr="00915AFF">
              <w:rPr>
                <w:rFonts w:ascii="Times New Roman" w:hAnsi="Times New Roman"/>
                <w:bCs/>
                <w:sz w:val="22"/>
                <w:szCs w:val="22"/>
              </w:rPr>
              <w:t>1. Vplyvy na rozpočet verejnej správy</w:t>
            </w:r>
          </w:p>
          <w:p w:rsidR="00C6246E" w:rsidRPr="00915AFF" w:rsidP="00C6246E">
            <w:pPr>
              <w:bidi w:val="0"/>
              <w:rPr>
                <w:rFonts w:ascii="Times New Roman" w:hAnsi="Times New Roman"/>
                <w:i/>
                <w:sz w:val="22"/>
                <w:szCs w:val="22"/>
              </w:rPr>
            </w:pP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C6246E" w:rsidP="00C6246E">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6246E" w:rsidP="00C6246E">
            <w:pPr>
              <w:bidi w:val="0"/>
              <w:jc w:val="center"/>
              <w:rPr>
                <w:rFonts w:ascii="Times New Roman" w:hAnsi="Times New Roman"/>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C6246E" w:rsidP="00C6246E">
            <w:pPr>
              <w:bidi w:val="0"/>
              <w:jc w:val="center"/>
              <w:rPr>
                <w:rFonts w:ascii="Times New Roman" w:hAnsi="Times New Roman"/>
              </w:rPr>
            </w:pPr>
            <w:r w:rsidR="00A027DE">
              <w:rPr>
                <w:rFonts w:ascii="Times New Roman" w:hAnsi="Times New Roman"/>
              </w:rPr>
              <w:t>X</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C6246E" w:rsidRPr="00915AFF" w:rsidP="003D3980">
            <w:pPr>
              <w:bidi w:val="0"/>
              <w:rPr>
                <w:rFonts w:ascii="Times New Roman" w:hAnsi="Times New Roman"/>
                <w:sz w:val="22"/>
                <w:szCs w:val="22"/>
              </w:rPr>
            </w:pPr>
            <w:r w:rsidRPr="00915AFF">
              <w:rPr>
                <w:rFonts w:ascii="Times New Roman" w:hAnsi="Times New Roman"/>
                <w:bCs/>
                <w:sz w:val="22"/>
                <w:szCs w:val="22"/>
              </w:rPr>
              <w:t>2. Vplyvy na podnikateľské prostredie</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C6246E" w:rsidP="00C6246E">
            <w:pPr>
              <w:bidi w:val="0"/>
              <w:jc w:val="center"/>
              <w:rPr>
                <w:rFonts w:ascii="Times New Roman" w:hAnsi="Times New Roman"/>
              </w:rPr>
            </w:pPr>
            <w:r w:rsidR="00A027DE">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6246E" w:rsidP="00C6246E">
            <w:pPr>
              <w:bidi w:val="0"/>
              <w:jc w:val="center"/>
              <w:rPr>
                <w:rFonts w:ascii="Times New Roman" w:hAnsi="Times New Roman"/>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C6246E" w:rsidP="00C6246E">
            <w:pPr>
              <w:bidi w:val="0"/>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C6246E" w:rsidP="00C6246E">
            <w:pPr>
              <w:bidi w:val="0"/>
              <w:rPr>
                <w:rFonts w:ascii="Times New Roman" w:hAnsi="Times New Roman"/>
                <w:bCs/>
                <w:sz w:val="22"/>
                <w:szCs w:val="22"/>
              </w:rPr>
            </w:pPr>
            <w:r w:rsidR="0057110C">
              <w:rPr>
                <w:rFonts w:ascii="Times New Roman" w:hAnsi="Times New Roman"/>
                <w:bCs/>
                <w:sz w:val="22"/>
                <w:szCs w:val="22"/>
              </w:rPr>
              <w:t>3.</w:t>
            </w:r>
            <w:r w:rsidRPr="00915AFF">
              <w:rPr>
                <w:rFonts w:ascii="Times New Roman" w:hAnsi="Times New Roman"/>
                <w:bCs/>
                <w:sz w:val="22"/>
                <w:szCs w:val="22"/>
              </w:rPr>
              <w:t xml:space="preserve"> Sociálne vplyvy </w:t>
            </w:r>
          </w:p>
          <w:p w:rsidR="00C6246E" w:rsidP="00C6246E">
            <w:pPr>
              <w:bidi w:val="0"/>
              <w:rPr>
                <w:rFonts w:ascii="Times New Roman" w:hAnsi="Times New Roman"/>
                <w:bCs/>
                <w:sz w:val="22"/>
                <w:szCs w:val="22"/>
              </w:rPr>
            </w:pPr>
            <w:r w:rsidR="0057110C">
              <w:rPr>
                <w:rFonts w:ascii="Times New Roman" w:hAnsi="Times New Roman"/>
                <w:bCs/>
                <w:sz w:val="22"/>
                <w:szCs w:val="22"/>
              </w:rPr>
              <w:t>-</w:t>
            </w:r>
            <w:r w:rsidRPr="00915AFF">
              <w:rPr>
                <w:rFonts w:ascii="Times New Roman" w:hAnsi="Times New Roman"/>
                <w:bCs/>
                <w:sz w:val="22"/>
                <w:szCs w:val="22"/>
              </w:rPr>
              <w:t xml:space="preserve"> vplyvy  na hospodárenie obyvateľstva</w:t>
            </w:r>
            <w:r>
              <w:rPr>
                <w:rFonts w:ascii="Times New Roman" w:hAnsi="Times New Roman"/>
                <w:bCs/>
                <w:sz w:val="22"/>
                <w:szCs w:val="22"/>
              </w:rPr>
              <w:t>,</w:t>
            </w:r>
          </w:p>
          <w:p w:rsidR="00C6246E" w:rsidP="00C6246E">
            <w:pPr>
              <w:bidi w:val="0"/>
              <w:rPr>
                <w:rFonts w:ascii="Times New Roman" w:hAnsi="Times New Roman"/>
                <w:bCs/>
                <w:sz w:val="22"/>
                <w:szCs w:val="22"/>
              </w:rPr>
            </w:pPr>
            <w:r>
              <w:rPr>
                <w:rFonts w:ascii="Times New Roman" w:hAnsi="Times New Roman"/>
                <w:bCs/>
                <w:sz w:val="22"/>
                <w:szCs w:val="22"/>
              </w:rPr>
              <w:t>-</w:t>
            </w:r>
            <w:r w:rsidR="0057110C">
              <w:rPr>
                <w:rFonts w:ascii="Times New Roman" w:hAnsi="Times New Roman"/>
                <w:bCs/>
                <w:sz w:val="22"/>
                <w:szCs w:val="22"/>
              </w:rPr>
              <w:t xml:space="preserve"> </w:t>
            </w:r>
            <w:r w:rsidRPr="00915AFF">
              <w:rPr>
                <w:rFonts w:ascii="Times New Roman" w:hAnsi="Times New Roman"/>
                <w:bCs/>
                <w:sz w:val="22"/>
                <w:szCs w:val="22"/>
              </w:rPr>
              <w:t>sociálnu exklúziu,</w:t>
            </w:r>
          </w:p>
          <w:p w:rsidR="00C6246E" w:rsidRPr="00915AFF" w:rsidP="00C6246E">
            <w:pPr>
              <w:bidi w:val="0"/>
              <w:rPr>
                <w:rFonts w:ascii="Times New Roman" w:hAnsi="Times New Roman"/>
                <w:sz w:val="22"/>
                <w:szCs w:val="22"/>
              </w:rPr>
            </w:pPr>
            <w:r>
              <w:rPr>
                <w:rFonts w:ascii="Times New Roman" w:hAnsi="Times New Roman"/>
                <w:bCs/>
                <w:sz w:val="22"/>
                <w:szCs w:val="22"/>
              </w:rPr>
              <w:t xml:space="preserve">- </w:t>
            </w:r>
            <w:r w:rsidRPr="00915AFF">
              <w:rPr>
                <w:rFonts w:ascii="Times New Roman" w:hAnsi="Times New Roman"/>
                <w:bCs/>
                <w:sz w:val="22"/>
                <w:szCs w:val="22"/>
              </w:rPr>
              <w:t>rovnosť príležitostí a rodovú rovnosť a vplyvy na zamestnanosť</w:t>
            </w: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C6246E" w:rsidP="003D3980">
            <w:pPr>
              <w:bidi w:val="0"/>
              <w:jc w:val="center"/>
              <w:rPr>
                <w:rFonts w:ascii="Times New Roman" w:hAnsi="Times New Roman"/>
              </w:rPr>
            </w:pPr>
            <w:r w:rsidR="006B2221">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C6246E" w:rsidRPr="003A0439" w:rsidP="003D3980">
            <w:pPr>
              <w:bidi w:val="0"/>
              <w:jc w:val="center"/>
              <w:rPr>
                <w:rFonts w:ascii="Times New Roman" w:hAnsi="Times New Roman"/>
                <w:highlight w:val="yellow"/>
              </w:rPr>
            </w:pP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C6246E" w:rsidP="003D3980">
            <w:pPr>
              <w:bidi w:val="0"/>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C6246E" w:rsidRPr="00915AFF" w:rsidP="00C6246E">
            <w:pPr>
              <w:bidi w:val="0"/>
              <w:rPr>
                <w:rFonts w:ascii="Times New Roman" w:hAnsi="Times New Roman"/>
                <w:sz w:val="22"/>
                <w:szCs w:val="22"/>
              </w:rPr>
            </w:pPr>
            <w:r w:rsidRPr="00915AFF">
              <w:rPr>
                <w:rFonts w:ascii="Times New Roman" w:hAnsi="Times New Roman"/>
                <w:bCs/>
                <w:sz w:val="22"/>
                <w:szCs w:val="22"/>
                <w:lang w:val="pt-BR"/>
              </w:rPr>
              <w:t>4. Vplyvy na životné prostredie</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C6246E" w:rsidP="00C6246E">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6246E" w:rsidP="00C6246E">
            <w:pPr>
              <w:bidi w:val="0"/>
              <w:jc w:val="center"/>
              <w:rPr>
                <w:rFonts w:ascii="Times New Roman" w:hAnsi="Times New Roman"/>
              </w:rPr>
            </w:pPr>
            <w:r w:rsidR="006B2221">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C6246E" w:rsidP="00C6246E">
            <w:pPr>
              <w:bidi w:val="0"/>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C6246E" w:rsidRPr="00915AFF" w:rsidP="00C6246E">
            <w:pPr>
              <w:bidi w:val="0"/>
              <w:rPr>
                <w:rFonts w:ascii="Times New Roman" w:hAnsi="Times New Roman"/>
                <w:bCs/>
                <w:sz w:val="22"/>
                <w:szCs w:val="22"/>
                <w:lang w:val="pt-BR"/>
              </w:rPr>
            </w:pPr>
            <w:r w:rsidRPr="00915AFF">
              <w:rPr>
                <w:rFonts w:ascii="Times New Roman" w:hAnsi="Times New Roman"/>
                <w:bCs/>
                <w:sz w:val="22"/>
                <w:szCs w:val="22"/>
                <w:lang w:val="pt-BR"/>
              </w:rPr>
              <w:t>5. Vplyvy na informatizáciu spoločnosti</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C6246E" w:rsidP="00C6246E">
            <w:pPr>
              <w:bidi w:val="0"/>
              <w:jc w:val="center"/>
              <w:rPr>
                <w:rFonts w:ascii="Times New Roman" w:hAnsi="Times New Roman"/>
              </w:rPr>
            </w:pPr>
            <w:r w:rsidR="0051198B">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6246E" w:rsidP="00C6246E">
            <w:pPr>
              <w:bidi w:val="0"/>
              <w:jc w:val="center"/>
              <w:rPr>
                <w:rFonts w:ascii="Times New Roman" w:hAnsi="Times New Roman"/>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C6246E" w:rsidP="00C6246E">
            <w:pPr>
              <w:bidi w:val="0"/>
              <w:jc w:val="center"/>
              <w:rPr>
                <w:rFonts w:ascii="Times New Roman" w:hAnsi="Times New Roman"/>
              </w:rPr>
            </w:pPr>
          </w:p>
        </w:tc>
      </w:tr>
    </w:tbl>
    <w:p w:rsidR="00C6246E" w:rsidRPr="00B00199" w:rsidP="00C6246E">
      <w:pPr>
        <w:pStyle w:val="BodyText"/>
        <w:bidi w:val="0"/>
        <w:jc w:val="both"/>
        <w:rPr>
          <w:rFonts w:ascii="Times New Roman" w:hAnsi="Times New Roman"/>
          <w:b w:val="0"/>
          <w:bCs/>
          <w:sz w:val="18"/>
          <w:szCs w:val="18"/>
          <w:u w:val="single"/>
        </w:rPr>
      </w:pPr>
      <w:r w:rsidRPr="00B00199">
        <w:rPr>
          <w:rFonts w:ascii="Times New Roman" w:hAnsi="Times New Roman"/>
          <w:sz w:val="18"/>
          <w:szCs w:val="18"/>
        </w:rPr>
        <w:t>*</w:t>
      </w:r>
      <w:r w:rsidRPr="00B00199">
        <w:rPr>
          <w:rFonts w:ascii="Times New Roman" w:hAnsi="Times New Roman"/>
          <w:b w:val="0"/>
          <w:bCs/>
          <w:sz w:val="18"/>
          <w:szCs w:val="18"/>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C6246E" w:rsidP="00C6246E">
      <w:pPr>
        <w:pStyle w:val="BodyText"/>
        <w:bidi w:val="0"/>
        <w:jc w:val="both"/>
        <w:rPr>
          <w:rFonts w:ascii="Times New Roman" w:hAnsi="Times New Roman"/>
          <w:b w:val="0"/>
          <w:bCs/>
          <w:sz w:val="16"/>
          <w:szCs w:val="16"/>
        </w:rPr>
      </w:pPr>
    </w:p>
    <w:p w:rsidR="00C6246E" w:rsidP="00C6246E">
      <w:pPr>
        <w:pStyle w:val="BodyText"/>
        <w:bidi w:val="0"/>
        <w:jc w:val="both"/>
        <w:rPr>
          <w:rFonts w:ascii="Times New Roman" w:hAnsi="Times New Roman"/>
          <w:b w:val="0"/>
          <w:bCs/>
          <w:u w:val="single"/>
        </w:rPr>
      </w:pPr>
    </w:p>
    <w:p w:rsidR="00C6246E" w:rsidP="00C6246E">
      <w:pPr>
        <w:pStyle w:val="BodyText"/>
        <w:bidi w:val="0"/>
        <w:jc w:val="both"/>
        <w:rPr>
          <w:rFonts w:ascii="Times New Roman" w:hAnsi="Times New Roman"/>
          <w:bCs/>
        </w:rPr>
      </w:pPr>
      <w:r>
        <w:rPr>
          <w:rFonts w:ascii="Times New Roman" w:hAnsi="Times New Roman"/>
          <w:bCs/>
        </w:rPr>
        <w:t>A.3. Poznámky</w:t>
      </w:r>
    </w:p>
    <w:p w:rsidR="00BD312E" w:rsidP="00C6246E">
      <w:pPr>
        <w:pStyle w:val="BodyText"/>
        <w:bidi w:val="0"/>
        <w:jc w:val="both"/>
        <w:rPr>
          <w:rFonts w:ascii="Times New Roman" w:hAnsi="Times New Roman"/>
          <w:bCs/>
        </w:rPr>
      </w:pPr>
    </w:p>
    <w:p w:rsidR="004C0750" w:rsidRPr="00C25241" w:rsidP="003D3980">
      <w:pPr>
        <w:pStyle w:val="NormalWeb"/>
        <w:numPr>
          <w:numId w:val="1"/>
        </w:numPr>
        <w:bidi w:val="0"/>
        <w:spacing w:before="0" w:beforeAutospacing="0" w:after="0" w:afterAutospacing="0"/>
        <w:jc w:val="both"/>
        <w:rPr>
          <w:rFonts w:ascii="Times New Roman" w:hAnsi="Times New Roman"/>
          <w:bCs/>
        </w:rPr>
      </w:pPr>
      <w:r w:rsidRPr="00C25241">
        <w:rPr>
          <w:rFonts w:ascii="Times New Roman" w:hAnsi="Times New Roman"/>
          <w:bCs/>
          <w:u w:val="single"/>
        </w:rPr>
        <w:t>Vplyvy na rozpočet verejnej správy</w:t>
      </w:r>
      <w:r w:rsidRPr="00C25241">
        <w:rPr>
          <w:rFonts w:ascii="Times New Roman" w:hAnsi="Times New Roman"/>
          <w:bCs/>
        </w:rPr>
        <w:t xml:space="preserve"> – celkový vplyv na rozpočet verejnej správy bude negatívny, keďže z dôvodu povinného vstupu prvopoistencov</w:t>
      </w:r>
      <w:r w:rsidRPr="00C25241" w:rsidR="00B860D0">
        <w:rPr>
          <w:rFonts w:ascii="Times New Roman" w:hAnsi="Times New Roman"/>
          <w:bCs/>
        </w:rPr>
        <w:t xml:space="preserve"> do systému starobného dôchodkové</w:t>
      </w:r>
      <w:r w:rsidR="009A12CA">
        <w:rPr>
          <w:rFonts w:ascii="Times New Roman" w:hAnsi="Times New Roman"/>
          <w:bCs/>
        </w:rPr>
        <w:t>ho</w:t>
      </w:r>
      <w:r w:rsidRPr="00C25241" w:rsidR="00B860D0">
        <w:rPr>
          <w:rFonts w:ascii="Times New Roman" w:hAnsi="Times New Roman"/>
          <w:bCs/>
        </w:rPr>
        <w:t xml:space="preserve"> sporenia</w:t>
      </w:r>
      <w:r w:rsidRPr="00C25241" w:rsidR="003D3980">
        <w:rPr>
          <w:rFonts w:ascii="Times New Roman" w:hAnsi="Times New Roman"/>
          <w:bCs/>
        </w:rPr>
        <w:t xml:space="preserve"> sa predpokladá</w:t>
      </w:r>
      <w:r w:rsidRPr="00C25241">
        <w:rPr>
          <w:rFonts w:ascii="Times New Roman" w:hAnsi="Times New Roman"/>
          <w:bCs/>
        </w:rPr>
        <w:t xml:space="preserve"> pokles príjmov Sociálnej poisťovne.</w:t>
      </w:r>
    </w:p>
    <w:p w:rsidR="004C0750" w:rsidRPr="00C25241" w:rsidP="004C0750">
      <w:pPr>
        <w:pStyle w:val="NormalWeb"/>
        <w:bidi w:val="0"/>
        <w:spacing w:before="0" w:beforeAutospacing="0" w:after="0" w:afterAutospacing="0"/>
        <w:ind w:left="420"/>
        <w:jc w:val="both"/>
        <w:rPr>
          <w:rFonts w:ascii="Times New Roman" w:hAnsi="Times New Roman"/>
          <w:bCs/>
        </w:rPr>
      </w:pPr>
    </w:p>
    <w:p w:rsidR="00990E6D" w:rsidP="00990E6D">
      <w:pPr>
        <w:pStyle w:val="NormalWeb"/>
        <w:numPr>
          <w:numId w:val="1"/>
        </w:numPr>
        <w:bidi w:val="0"/>
        <w:spacing w:before="0" w:beforeAutospacing="0" w:after="0" w:afterAutospacing="0"/>
        <w:jc w:val="both"/>
        <w:rPr>
          <w:rFonts w:ascii="Times New Roman" w:hAnsi="Times New Roman"/>
          <w:bCs/>
        </w:rPr>
      </w:pPr>
      <w:r w:rsidRPr="004D007C" w:rsidR="004C0750">
        <w:rPr>
          <w:rFonts w:ascii="Times New Roman" w:hAnsi="Times New Roman"/>
          <w:bCs/>
          <w:u w:val="single"/>
        </w:rPr>
        <w:t>Vplyvy na podnikateľské prostredie</w:t>
      </w:r>
      <w:r w:rsidRPr="004D007C" w:rsidR="004C0750">
        <w:rPr>
          <w:rFonts w:ascii="Times New Roman" w:hAnsi="Times New Roman"/>
          <w:bCs/>
        </w:rPr>
        <w:t xml:space="preserve"> – celkový vplyv na podnikateľské prostredie</w:t>
      </w:r>
      <w:r w:rsidRPr="004D007C" w:rsidR="0054067D">
        <w:rPr>
          <w:rFonts w:ascii="Times New Roman" w:hAnsi="Times New Roman"/>
          <w:bCs/>
        </w:rPr>
        <w:t xml:space="preserve"> (</w:t>
      </w:r>
      <w:r w:rsidRPr="004D007C" w:rsidR="003D3980">
        <w:rPr>
          <w:rFonts w:ascii="Times New Roman" w:hAnsi="Times New Roman"/>
          <w:bCs/>
        </w:rPr>
        <w:t>dôchodkové správcovské spoločnosti</w:t>
      </w:r>
      <w:r w:rsidRPr="004D007C" w:rsidR="0054067D">
        <w:rPr>
          <w:rFonts w:ascii="Times New Roman" w:hAnsi="Times New Roman"/>
          <w:bCs/>
        </w:rPr>
        <w:t>)</w:t>
      </w:r>
      <w:r w:rsidRPr="004D007C" w:rsidR="004C0750">
        <w:rPr>
          <w:rFonts w:ascii="Times New Roman" w:hAnsi="Times New Roman"/>
          <w:bCs/>
        </w:rPr>
        <w:t xml:space="preserve"> bude pozitívny</w:t>
      </w:r>
      <w:r w:rsidRPr="004D007C" w:rsidR="0054067D">
        <w:rPr>
          <w:rFonts w:ascii="Times New Roman" w:hAnsi="Times New Roman"/>
          <w:bCs/>
        </w:rPr>
        <w:t>,</w:t>
      </w:r>
      <w:r w:rsidRPr="004D007C" w:rsidR="004C0750">
        <w:rPr>
          <w:rFonts w:ascii="Times New Roman" w:hAnsi="Times New Roman"/>
          <w:bCs/>
        </w:rPr>
        <w:t xml:space="preserve"> hlavne z dôvodu zvýšenia počtu sporiteľov spojeného s povinným vstupom </w:t>
      </w:r>
      <w:r w:rsidRPr="004D007C" w:rsidR="001D72D8">
        <w:rPr>
          <w:rFonts w:ascii="Times New Roman" w:hAnsi="Times New Roman"/>
          <w:bCs/>
        </w:rPr>
        <w:t xml:space="preserve">prvopoistencov </w:t>
      </w:r>
      <w:r w:rsidRPr="004D007C" w:rsidR="00B860D0">
        <w:rPr>
          <w:rFonts w:ascii="Times New Roman" w:hAnsi="Times New Roman"/>
          <w:bCs/>
        </w:rPr>
        <w:t>do systému starobného dôchodkového sporenia</w:t>
      </w:r>
      <w:r w:rsidR="00B64E99">
        <w:rPr>
          <w:rFonts w:ascii="Times New Roman" w:hAnsi="Times New Roman"/>
          <w:bCs/>
        </w:rPr>
        <w:t>, čím sa zvýšia výnosy z odplát u dôchodkových správcovských spoločností</w:t>
      </w:r>
      <w:r w:rsidRPr="004D007C" w:rsidR="0054067D">
        <w:rPr>
          <w:rFonts w:ascii="Times New Roman" w:hAnsi="Times New Roman"/>
          <w:bCs/>
        </w:rPr>
        <w:t xml:space="preserve">. </w:t>
      </w:r>
      <w:r w:rsidR="004D007C">
        <w:rPr>
          <w:rFonts w:ascii="Times New Roman" w:hAnsi="Times New Roman"/>
          <w:bCs/>
        </w:rPr>
        <w:t>Predpokladá sa zníženie nákladov dôchodkových správcovských spoločností v</w:t>
      </w:r>
      <w:r w:rsidR="00560D2C">
        <w:rPr>
          <w:rFonts w:ascii="Times New Roman" w:hAnsi="Times New Roman"/>
          <w:bCs/>
        </w:rPr>
        <w:t> súvislosti s presunom úhrady</w:t>
      </w:r>
      <w:r w:rsidR="004D007C">
        <w:rPr>
          <w:rFonts w:ascii="Times New Roman" w:hAnsi="Times New Roman"/>
          <w:bCs/>
        </w:rPr>
        <w:t xml:space="preserve"> časti nákladov</w:t>
      </w:r>
      <w:r w:rsidR="00560D2C">
        <w:rPr>
          <w:rFonts w:ascii="Times New Roman" w:hAnsi="Times New Roman"/>
          <w:bCs/>
        </w:rPr>
        <w:t xml:space="preserve"> (napr. poplatky za obchodovanie, zúčtovanie a vyrovnanie obchodov</w:t>
      </w:r>
      <w:r w:rsidR="00A3383B">
        <w:rPr>
          <w:rFonts w:ascii="Times New Roman" w:hAnsi="Times New Roman"/>
          <w:bCs/>
        </w:rPr>
        <w:t>, poplatky depozitárovi</w:t>
      </w:r>
      <w:r w:rsidR="00560D2C">
        <w:rPr>
          <w:rFonts w:ascii="Times New Roman" w:hAnsi="Times New Roman"/>
          <w:bCs/>
        </w:rPr>
        <w:t>)</w:t>
      </w:r>
      <w:r w:rsidR="004D007C">
        <w:rPr>
          <w:rFonts w:ascii="Times New Roman" w:hAnsi="Times New Roman"/>
          <w:bCs/>
        </w:rPr>
        <w:t xml:space="preserve"> z dôchodkovej správcovskej spoločnosti na dôchodkový fond</w:t>
      </w:r>
      <w:r>
        <w:rPr>
          <w:rFonts w:ascii="Times New Roman" w:hAnsi="Times New Roman"/>
          <w:bCs/>
        </w:rPr>
        <w:t>. Zmena</w:t>
      </w:r>
      <w:r w:rsidRPr="00990E6D">
        <w:rPr>
          <w:rFonts w:ascii="Times New Roman" w:hAnsi="Times New Roman"/>
          <w:bCs/>
        </w:rPr>
        <w:t xml:space="preserve"> spôsobu výpočtu odplaty za zhodnotenie majetku v zmiešanom dôchodkovom fonde a v akciovom dôchodkovom fonde</w:t>
      </w:r>
      <w:r>
        <w:rPr>
          <w:rFonts w:ascii="Times New Roman" w:hAnsi="Times New Roman"/>
          <w:bCs/>
        </w:rPr>
        <w:t xml:space="preserve"> spolu s</w:t>
      </w:r>
      <w:r w:rsidRPr="00990E6D">
        <w:rPr>
          <w:rFonts w:ascii="Times New Roman" w:hAnsi="Times New Roman"/>
          <w:bCs/>
        </w:rPr>
        <w:t> uvoľnením investičných pravidiel</w:t>
      </w:r>
      <w:r>
        <w:rPr>
          <w:rFonts w:ascii="Times New Roman" w:hAnsi="Times New Roman"/>
          <w:bCs/>
        </w:rPr>
        <w:t xml:space="preserve"> v prípade dosiahnutia pozitívnej výkonnosti</w:t>
      </w:r>
      <w:r w:rsidR="00A3383B">
        <w:rPr>
          <w:rFonts w:ascii="Times New Roman" w:hAnsi="Times New Roman"/>
          <w:bCs/>
        </w:rPr>
        <w:t xml:space="preserve"> taktiež</w:t>
      </w:r>
      <w:r w:rsidRPr="00990E6D">
        <w:rPr>
          <w:rFonts w:ascii="Times New Roman" w:hAnsi="Times New Roman"/>
          <w:bCs/>
        </w:rPr>
        <w:t xml:space="preserve"> prispeje k  zvýšeniu</w:t>
      </w:r>
      <w:r w:rsidRPr="00990E6D" w:rsidR="004D007C">
        <w:rPr>
          <w:rFonts w:ascii="Times New Roman" w:hAnsi="Times New Roman"/>
          <w:bCs/>
        </w:rPr>
        <w:t xml:space="preserve"> príjmov dôchodk</w:t>
      </w:r>
      <w:r w:rsidRPr="00990E6D">
        <w:rPr>
          <w:rFonts w:ascii="Times New Roman" w:hAnsi="Times New Roman"/>
          <w:bCs/>
        </w:rPr>
        <w:t>ových správcovských spoločností</w:t>
      </w:r>
      <w:r w:rsidR="009C2EA3">
        <w:rPr>
          <w:rFonts w:ascii="Times New Roman" w:hAnsi="Times New Roman"/>
          <w:bCs/>
        </w:rPr>
        <w:t>.</w:t>
      </w:r>
    </w:p>
    <w:p w:rsidR="00990E6D" w:rsidP="00990E6D">
      <w:pPr>
        <w:pStyle w:val="ListParagraph"/>
        <w:bidi w:val="0"/>
        <w:rPr>
          <w:rFonts w:ascii="Times New Roman" w:hAnsi="Times New Roman"/>
          <w:bCs/>
          <w:u w:val="single"/>
        </w:rPr>
      </w:pPr>
    </w:p>
    <w:p w:rsidR="004C0750" w:rsidRPr="00990E6D" w:rsidP="00990E6D">
      <w:pPr>
        <w:pStyle w:val="NormalWeb"/>
        <w:numPr>
          <w:numId w:val="1"/>
        </w:numPr>
        <w:bidi w:val="0"/>
        <w:spacing w:before="0" w:beforeAutospacing="0" w:after="0" w:afterAutospacing="0"/>
        <w:jc w:val="both"/>
        <w:rPr>
          <w:rFonts w:ascii="Times New Roman" w:hAnsi="Times New Roman"/>
          <w:bCs/>
        </w:rPr>
      </w:pPr>
      <w:r w:rsidRPr="00990E6D">
        <w:rPr>
          <w:rFonts w:ascii="Times New Roman" w:hAnsi="Times New Roman"/>
          <w:bCs/>
          <w:u w:val="single"/>
        </w:rPr>
        <w:t>Sociálne vplyvy</w:t>
      </w:r>
      <w:r w:rsidRPr="00990E6D">
        <w:rPr>
          <w:rFonts w:ascii="Times New Roman" w:hAnsi="Times New Roman"/>
          <w:bCs/>
        </w:rPr>
        <w:t xml:space="preserve"> – celkový vplyv</w:t>
      </w:r>
      <w:r w:rsidRPr="00990E6D" w:rsidR="0054067D">
        <w:rPr>
          <w:rFonts w:ascii="Times New Roman" w:hAnsi="Times New Roman"/>
          <w:bCs/>
        </w:rPr>
        <w:t xml:space="preserve"> na hospodárenie obyvateľstva</w:t>
      </w:r>
      <w:r w:rsidRPr="00990E6D" w:rsidR="001D72D8">
        <w:rPr>
          <w:rFonts w:ascii="Times New Roman" w:hAnsi="Times New Roman"/>
          <w:bCs/>
        </w:rPr>
        <w:t>, resp. na sporiteľov</w:t>
      </w:r>
      <w:r w:rsidRPr="00990E6D" w:rsidR="006208A2">
        <w:rPr>
          <w:rFonts w:ascii="Times New Roman" w:hAnsi="Times New Roman"/>
          <w:bCs/>
        </w:rPr>
        <w:t xml:space="preserve"> sa predpokladá</w:t>
      </w:r>
      <w:r w:rsidRPr="00990E6D" w:rsidR="0054067D">
        <w:rPr>
          <w:rFonts w:ascii="Times New Roman" w:hAnsi="Times New Roman"/>
          <w:bCs/>
        </w:rPr>
        <w:t xml:space="preserve"> pozi</w:t>
      </w:r>
      <w:r w:rsidRPr="00990E6D" w:rsidR="006208A2">
        <w:rPr>
          <w:rFonts w:ascii="Times New Roman" w:hAnsi="Times New Roman"/>
          <w:bCs/>
        </w:rPr>
        <w:t>tívny</w:t>
      </w:r>
      <w:r w:rsidRPr="00990E6D">
        <w:rPr>
          <w:rFonts w:ascii="Times New Roman" w:hAnsi="Times New Roman"/>
          <w:bCs/>
        </w:rPr>
        <w:t xml:space="preserve">, </w:t>
      </w:r>
      <w:r w:rsidR="00ED3C93">
        <w:rPr>
          <w:rFonts w:ascii="Times New Roman" w:hAnsi="Times New Roman"/>
          <w:bCs/>
        </w:rPr>
        <w:t>v</w:t>
      </w:r>
      <w:r w:rsidRPr="00990E6D">
        <w:rPr>
          <w:rFonts w:ascii="Times New Roman" w:hAnsi="Times New Roman"/>
          <w:bCs/>
        </w:rPr>
        <w:t>eľkosť vplyvu</w:t>
      </w:r>
      <w:r w:rsidR="00B57E41">
        <w:rPr>
          <w:rFonts w:ascii="Times New Roman" w:hAnsi="Times New Roman"/>
          <w:bCs/>
        </w:rPr>
        <w:t xml:space="preserve"> zmien</w:t>
      </w:r>
      <w:r w:rsidRPr="00990E6D" w:rsidR="001D72D8">
        <w:rPr>
          <w:rFonts w:ascii="Times New Roman" w:hAnsi="Times New Roman"/>
          <w:bCs/>
        </w:rPr>
        <w:t xml:space="preserve"> na sporiteľov</w:t>
      </w:r>
      <w:r w:rsidRPr="00990E6D" w:rsidR="006208A2">
        <w:rPr>
          <w:rFonts w:ascii="Times New Roman" w:hAnsi="Times New Roman"/>
          <w:bCs/>
        </w:rPr>
        <w:t xml:space="preserve"> bude závisieť</w:t>
      </w:r>
      <w:r w:rsidRPr="00990E6D">
        <w:rPr>
          <w:rFonts w:ascii="Times New Roman" w:hAnsi="Times New Roman"/>
          <w:bCs/>
        </w:rPr>
        <w:t xml:space="preserve"> od</w:t>
      </w:r>
      <w:r w:rsidRPr="00990E6D" w:rsidR="0054067D">
        <w:rPr>
          <w:rFonts w:ascii="Times New Roman" w:hAnsi="Times New Roman"/>
          <w:bCs/>
        </w:rPr>
        <w:t xml:space="preserve"> vývoja na finan</w:t>
      </w:r>
      <w:r w:rsidRPr="00990E6D" w:rsidR="006208A2">
        <w:rPr>
          <w:rFonts w:ascii="Times New Roman" w:hAnsi="Times New Roman"/>
          <w:bCs/>
        </w:rPr>
        <w:t>čných trhoch a schopnosti dôchodkových správcovských spoločností</w:t>
      </w:r>
      <w:r w:rsidRPr="00990E6D" w:rsidR="0054067D">
        <w:rPr>
          <w:rFonts w:ascii="Times New Roman" w:hAnsi="Times New Roman"/>
          <w:bCs/>
        </w:rPr>
        <w:t xml:space="preserve"> zhodnotiť nasporené prostriedky</w:t>
      </w:r>
      <w:r w:rsidRPr="00990E6D">
        <w:rPr>
          <w:rFonts w:ascii="Times New Roman" w:hAnsi="Times New Roman"/>
          <w:bCs/>
        </w:rPr>
        <w:t>.</w:t>
      </w:r>
    </w:p>
    <w:p w:rsidR="00C46E3E" w:rsidP="00C6246E">
      <w:pPr>
        <w:pStyle w:val="BodyText"/>
        <w:bidi w:val="0"/>
        <w:jc w:val="both"/>
        <w:rPr>
          <w:rFonts w:ascii="Times New Roman" w:hAnsi="Times New Roman"/>
          <w:b w:val="0"/>
        </w:rPr>
      </w:pPr>
    </w:p>
    <w:p w:rsidR="00C46E3E" w:rsidP="00C6246E">
      <w:pPr>
        <w:pStyle w:val="BodyText"/>
        <w:bidi w:val="0"/>
        <w:jc w:val="both"/>
        <w:rPr>
          <w:rFonts w:ascii="Times New Roman" w:hAnsi="Times New Roman"/>
          <w:b w:val="0"/>
        </w:rPr>
      </w:pPr>
    </w:p>
    <w:p w:rsidR="00C6246E" w:rsidRPr="00B564AB" w:rsidP="00C6246E">
      <w:pPr>
        <w:pStyle w:val="BodyText"/>
        <w:bidi w:val="0"/>
        <w:jc w:val="both"/>
        <w:rPr>
          <w:rFonts w:ascii="Times New Roman" w:hAnsi="Times New Roman"/>
        </w:rPr>
      </w:pPr>
      <w:r w:rsidRPr="00B564AB">
        <w:rPr>
          <w:rFonts w:ascii="Times New Roman" w:hAnsi="Times New Roman"/>
        </w:rPr>
        <w:t xml:space="preserve">A.4. </w:t>
      </w:r>
      <w:r>
        <w:rPr>
          <w:rFonts w:ascii="Times New Roman" w:hAnsi="Times New Roman"/>
        </w:rPr>
        <w:t>Alternatívne riešenia</w:t>
      </w:r>
    </w:p>
    <w:p w:rsidR="00C25241" w:rsidP="00A85070">
      <w:pPr>
        <w:pStyle w:val="NormalWeb"/>
        <w:bidi w:val="0"/>
        <w:spacing w:before="0" w:beforeAutospacing="0" w:after="0" w:afterAutospacing="0"/>
        <w:jc w:val="both"/>
        <w:rPr>
          <w:rFonts w:ascii="Times New Roman" w:hAnsi="Times New Roman"/>
          <w:bCs/>
        </w:rPr>
      </w:pPr>
    </w:p>
    <w:p w:rsidR="00A85070" w:rsidRPr="00C25241" w:rsidP="00335DA3">
      <w:pPr>
        <w:pStyle w:val="NormalWeb"/>
        <w:bidi w:val="0"/>
        <w:spacing w:before="0" w:beforeAutospacing="0" w:after="0" w:afterAutospacing="0"/>
        <w:jc w:val="both"/>
        <w:rPr>
          <w:rFonts w:ascii="Times New Roman" w:hAnsi="Times New Roman"/>
          <w:bCs/>
        </w:rPr>
      </w:pPr>
      <w:r w:rsidRPr="00C25241">
        <w:rPr>
          <w:rFonts w:ascii="Times New Roman" w:hAnsi="Times New Roman"/>
          <w:bCs/>
        </w:rPr>
        <w:t xml:space="preserve">Keďže cieľom navrhovaných opatrení </w:t>
      </w:r>
      <w:r w:rsidRPr="00C25241" w:rsidR="00832315">
        <w:rPr>
          <w:rFonts w:ascii="Times New Roman" w:hAnsi="Times New Roman"/>
          <w:bCs/>
        </w:rPr>
        <w:t>je</w:t>
      </w:r>
      <w:r w:rsidRPr="00C25241">
        <w:rPr>
          <w:rFonts w:ascii="Times New Roman" w:hAnsi="Times New Roman"/>
          <w:bCs/>
        </w:rPr>
        <w:t xml:space="preserve"> zvrátiť negatívny vývoj počtu vstupujúcich do systému</w:t>
      </w:r>
      <w:r w:rsidRPr="00C25241" w:rsidR="00D55136">
        <w:rPr>
          <w:rFonts w:ascii="Times New Roman" w:hAnsi="Times New Roman"/>
          <w:bCs/>
        </w:rPr>
        <w:t xml:space="preserve"> starobného</w:t>
      </w:r>
      <w:r w:rsidRPr="00C25241">
        <w:rPr>
          <w:rFonts w:ascii="Times New Roman" w:hAnsi="Times New Roman"/>
          <w:bCs/>
        </w:rPr>
        <w:t xml:space="preserve"> dôchodkového sporenia a odstrániť prekážky, ktoré v súčasnosti bránia dôchodkovým správcovským spoločnostiam v efektívnom investovaní, </w:t>
      </w:r>
      <w:r w:rsidRPr="00C25241" w:rsidR="00832315">
        <w:rPr>
          <w:rFonts w:ascii="Times New Roman" w:hAnsi="Times New Roman"/>
          <w:bCs/>
        </w:rPr>
        <w:t>ne</w:t>
      </w:r>
      <w:r w:rsidRPr="00C25241">
        <w:rPr>
          <w:rFonts w:ascii="Times New Roman" w:hAnsi="Times New Roman"/>
          <w:bCs/>
        </w:rPr>
        <w:t>uvažova</w:t>
      </w:r>
      <w:r w:rsidRPr="00C25241" w:rsidR="00832315">
        <w:rPr>
          <w:rFonts w:ascii="Times New Roman" w:hAnsi="Times New Roman"/>
          <w:bCs/>
        </w:rPr>
        <w:t>lo</w:t>
      </w:r>
      <w:r w:rsidRPr="00C25241">
        <w:rPr>
          <w:rFonts w:ascii="Times New Roman" w:hAnsi="Times New Roman"/>
          <w:bCs/>
        </w:rPr>
        <w:t xml:space="preserve"> s</w:t>
      </w:r>
      <w:r w:rsidRPr="00C25241" w:rsidR="00832315">
        <w:rPr>
          <w:rFonts w:ascii="Times New Roman" w:hAnsi="Times New Roman"/>
          <w:bCs/>
        </w:rPr>
        <w:t>a s</w:t>
      </w:r>
      <w:r w:rsidRPr="00C25241">
        <w:rPr>
          <w:rFonts w:ascii="Times New Roman" w:hAnsi="Times New Roman"/>
          <w:bCs/>
        </w:rPr>
        <w:t> alternatívnymi riešeniami.</w:t>
      </w:r>
    </w:p>
    <w:p w:rsidR="003348C0" w:rsidRPr="00C25241" w:rsidP="00C6246E">
      <w:pPr>
        <w:pStyle w:val="BodyText"/>
        <w:bidi w:val="0"/>
        <w:jc w:val="both"/>
        <w:rPr>
          <w:rFonts w:ascii="Times New Roman" w:hAnsi="Times New Roman"/>
          <w:b w:val="0"/>
          <w:bCs/>
          <w:szCs w:val="24"/>
        </w:rPr>
      </w:pPr>
    </w:p>
    <w:p w:rsidR="006208A2" w:rsidP="00C6246E">
      <w:pPr>
        <w:pStyle w:val="BodyText"/>
        <w:bidi w:val="0"/>
        <w:jc w:val="both"/>
        <w:rPr>
          <w:rFonts w:ascii="Times New Roman" w:hAnsi="Times New Roman"/>
        </w:rPr>
      </w:pPr>
    </w:p>
    <w:p w:rsidR="00C6246E" w:rsidRPr="002076B4" w:rsidP="00C6246E">
      <w:pPr>
        <w:pStyle w:val="BodyText2"/>
        <w:bidi w:val="0"/>
        <w:rPr>
          <w:rFonts w:ascii="Times New Roman" w:hAnsi="Times New Roman"/>
          <w:b/>
          <w:szCs w:val="24"/>
        </w:rPr>
      </w:pPr>
      <w:r w:rsidRPr="002076B4">
        <w:rPr>
          <w:rFonts w:ascii="Times New Roman" w:hAnsi="Times New Roman"/>
          <w:b/>
        </w:rPr>
        <w:t xml:space="preserve">A.5. Stanovisko gestorov </w:t>
      </w:r>
    </w:p>
    <w:p w:rsidR="00C6246E" w:rsidP="00C6246E">
      <w:pPr>
        <w:bidi w:val="0"/>
        <w:jc w:val="both"/>
        <w:rPr>
          <w:rFonts w:ascii="Times New Roman" w:hAnsi="Times New Roman"/>
        </w:rPr>
      </w:pPr>
    </w:p>
    <w:p w:rsidR="003F210C" w:rsidP="003F210C">
      <w:pPr>
        <w:pStyle w:val="NormalWeb"/>
        <w:bidi w:val="0"/>
        <w:spacing w:before="0" w:beforeAutospacing="0" w:after="0" w:afterAutospacing="0"/>
        <w:jc w:val="both"/>
        <w:rPr>
          <w:rFonts w:ascii="Times New Roman" w:hAnsi="Times New Roman"/>
          <w:b/>
          <w:bCs/>
        </w:rPr>
      </w:pPr>
      <w:r>
        <w:rPr>
          <w:rFonts w:ascii="Times New Roman" w:hAnsi="Times New Roman"/>
          <w:b/>
          <w:bCs/>
        </w:rPr>
        <w:t>Ministerstvo financií Slovenskej republiky:</w:t>
      </w:r>
    </w:p>
    <w:p w:rsidR="003F210C" w:rsidP="00C6246E">
      <w:pPr>
        <w:bidi w:val="0"/>
        <w:jc w:val="both"/>
        <w:rPr>
          <w:rFonts w:ascii="Times New Roman" w:hAnsi="Times New Roman"/>
        </w:rPr>
      </w:pPr>
    </w:p>
    <w:p w:rsidR="003F210C" w:rsidP="00C6246E">
      <w:pPr>
        <w:bidi w:val="0"/>
        <w:jc w:val="both"/>
        <w:rPr>
          <w:rFonts w:ascii="Times New Roman" w:hAnsi="Times New Roman"/>
        </w:rPr>
      </w:pPr>
      <w:r w:rsidR="00171D0C">
        <w:rPr>
          <w:rFonts w:ascii="Times New Roman" w:hAnsi="Times New Roman"/>
        </w:rPr>
        <w:t>Ministerstvo financií Slovenskej republiky má k predloženej doložke nasledovnú zásadnú pripomienku</w:t>
      </w:r>
      <w:r w:rsidR="00F307D3">
        <w:rPr>
          <w:rFonts w:ascii="Times New Roman" w:hAnsi="Times New Roman"/>
        </w:rPr>
        <w:t xml:space="preserve"> </w:t>
      </w:r>
      <w:r w:rsidRPr="00F307D3" w:rsidR="00F307D3">
        <w:rPr>
          <w:rFonts w:ascii="Times New Roman" w:hAnsi="Times New Roman"/>
        </w:rPr>
        <w:t>- v</w:t>
      </w:r>
      <w:r w:rsidRPr="00F307D3" w:rsidR="00171D0C">
        <w:rPr>
          <w:rFonts w:ascii="Times New Roman" w:hAnsi="Times New Roman"/>
        </w:rPr>
        <w:t xml:space="preserve"> časti vplyvov na </w:t>
      </w:r>
      <w:r w:rsidRPr="00F307D3" w:rsidR="0046704B">
        <w:rPr>
          <w:rFonts w:ascii="Times New Roman" w:hAnsi="Times New Roman"/>
        </w:rPr>
        <w:t>rozpočet verejnej správy</w:t>
      </w:r>
      <w:r w:rsidRPr="00F307D3" w:rsidR="00171D0C">
        <w:rPr>
          <w:rFonts w:ascii="Times New Roman" w:hAnsi="Times New Roman"/>
        </w:rPr>
        <w:t xml:space="preserve"> žiada doplniť vyjadrenie, že zvýšené výdavky súvisiace </w:t>
      </w:r>
      <w:r w:rsidRPr="00083D72" w:rsidR="00083D72">
        <w:rPr>
          <w:rFonts w:ascii="Times New Roman" w:hAnsi="Times New Roman"/>
          <w:bCs/>
        </w:rPr>
        <w:t xml:space="preserve">so zasielaním </w:t>
      </w:r>
      <w:r w:rsidRPr="00083D72" w:rsidR="00083D72">
        <w:rPr>
          <w:rFonts w:ascii="Times New Roman" w:hAnsi="Times New Roman"/>
        </w:rPr>
        <w:t>oznámení o určení dôchodkovej správcovskej spoločnosti sporiteľovi</w:t>
      </w:r>
      <w:r w:rsidRPr="00F307D3" w:rsidR="00171D0C">
        <w:rPr>
          <w:rFonts w:ascii="Times New Roman" w:hAnsi="Times New Roman"/>
        </w:rPr>
        <w:t xml:space="preserve"> budú zabezpečené v rámci správneho fondu Sociálnej poisťovne. </w:t>
      </w:r>
      <w:r w:rsidRPr="00F307D3" w:rsidR="00F307D3">
        <w:rPr>
          <w:rFonts w:ascii="Times New Roman" w:hAnsi="Times New Roman"/>
        </w:rPr>
        <w:t>Ministerstvo financií SR zároveň</w:t>
      </w:r>
      <w:r w:rsidRPr="00F307D3" w:rsidR="00171D0C">
        <w:rPr>
          <w:rFonts w:ascii="Times New Roman" w:hAnsi="Times New Roman"/>
        </w:rPr>
        <w:t xml:space="preserve"> žiada uvádzať tabuľky v časti výdavky verejnej správy v</w:t>
      </w:r>
      <w:r w:rsidRPr="00F307D3" w:rsidR="00F307D3">
        <w:rPr>
          <w:rFonts w:ascii="Times New Roman" w:hAnsi="Times New Roman"/>
        </w:rPr>
        <w:t> </w:t>
      </w:r>
      <w:r w:rsidRPr="00F307D3" w:rsidR="00171D0C">
        <w:rPr>
          <w:rFonts w:ascii="Times New Roman" w:hAnsi="Times New Roman"/>
        </w:rPr>
        <w:t>eurách</w:t>
      </w:r>
      <w:r w:rsidRPr="00F307D3" w:rsidR="00F307D3">
        <w:rPr>
          <w:rFonts w:ascii="Times New Roman" w:hAnsi="Times New Roman"/>
        </w:rPr>
        <w:t xml:space="preserve"> a taktiež</w:t>
      </w:r>
      <w:r w:rsidRPr="00F307D3" w:rsidR="00171D0C">
        <w:rPr>
          <w:rFonts w:ascii="Times New Roman" w:hAnsi="Times New Roman"/>
        </w:rPr>
        <w:t xml:space="preserve"> žiada doplniť predpokladané výdavky Sociálnej poisťovne súvisiace so zasielaním oznámenia o určení dôchodkovej správcovskej spoločnosti. </w:t>
      </w:r>
      <w:r w:rsidRPr="00F307D3" w:rsidR="00F307D3">
        <w:rPr>
          <w:rFonts w:ascii="Times New Roman" w:hAnsi="Times New Roman"/>
        </w:rPr>
        <w:t>Ministerstvo financií SR</w:t>
      </w:r>
      <w:r w:rsidRPr="00F307D3" w:rsidR="00171D0C">
        <w:rPr>
          <w:rFonts w:ascii="Times New Roman" w:hAnsi="Times New Roman"/>
        </w:rPr>
        <w:t xml:space="preserve"> žiada doplniť vplyv na hospodárenie Sociálnej poisťovne vyplývajúci z vrátenia príspevkov a penále.</w:t>
      </w:r>
    </w:p>
    <w:p w:rsidR="00171D0C" w:rsidP="00C6246E">
      <w:pPr>
        <w:bidi w:val="0"/>
        <w:jc w:val="both"/>
        <w:rPr>
          <w:rFonts w:ascii="Times New Roman" w:hAnsi="Times New Roman"/>
        </w:rPr>
      </w:pPr>
    </w:p>
    <w:p w:rsidR="003F210C" w:rsidP="003F210C">
      <w:pPr>
        <w:bidi w:val="0"/>
        <w:jc w:val="both"/>
        <w:rPr>
          <w:rFonts w:ascii="Times New Roman" w:hAnsi="Times New Roman"/>
          <w:b/>
        </w:rPr>
      </w:pPr>
      <w:r w:rsidRPr="0031324D">
        <w:rPr>
          <w:rFonts w:ascii="Times New Roman" w:hAnsi="Times New Roman"/>
          <w:b/>
        </w:rPr>
        <w:t>Stanovisko predkladateľa:</w:t>
      </w:r>
    </w:p>
    <w:p w:rsidR="00EA0490" w:rsidP="007C2E83">
      <w:pPr>
        <w:bidi w:val="0"/>
        <w:jc w:val="both"/>
        <w:rPr>
          <w:rFonts w:ascii="Times New Roman" w:hAnsi="Times New Roman"/>
        </w:rPr>
      </w:pPr>
      <w:r>
        <w:rPr>
          <w:rFonts w:ascii="Times New Roman" w:hAnsi="Times New Roman"/>
        </w:rPr>
        <w:t xml:space="preserve">Všetky pripomienky boli akceptované a doložka vybraných vplyvov bola upravená. </w:t>
      </w:r>
    </w:p>
    <w:p w:rsidR="003F210C" w:rsidP="00C6246E">
      <w:pPr>
        <w:bidi w:val="0"/>
        <w:jc w:val="both"/>
        <w:rPr>
          <w:rFonts w:ascii="Times New Roman" w:hAnsi="Times New Roman"/>
        </w:rPr>
      </w:pPr>
    </w:p>
    <w:p w:rsidR="003F210C" w:rsidP="003F210C">
      <w:pPr>
        <w:pStyle w:val="NormalWeb"/>
        <w:bidi w:val="0"/>
        <w:spacing w:before="0" w:beforeAutospacing="0" w:after="0" w:afterAutospacing="0"/>
        <w:jc w:val="both"/>
        <w:rPr>
          <w:rFonts w:ascii="Times New Roman" w:hAnsi="Times New Roman"/>
          <w:b/>
          <w:bCs/>
        </w:rPr>
      </w:pPr>
      <w:r>
        <w:rPr>
          <w:rFonts w:ascii="Times New Roman" w:hAnsi="Times New Roman"/>
          <w:b/>
          <w:bCs/>
        </w:rPr>
        <w:t>Ministerstvo hospodárstva Slovenskej republiky:</w:t>
      </w:r>
    </w:p>
    <w:p w:rsidR="0006266F" w:rsidP="003F210C">
      <w:pPr>
        <w:pStyle w:val="NormalWeb"/>
        <w:bidi w:val="0"/>
        <w:spacing w:before="0" w:beforeAutospacing="0" w:after="0" w:afterAutospacing="0"/>
        <w:jc w:val="both"/>
        <w:rPr>
          <w:rFonts w:ascii="Times New Roman" w:hAnsi="Times New Roman"/>
          <w:b/>
          <w:bCs/>
        </w:rPr>
      </w:pPr>
    </w:p>
    <w:p w:rsidR="0006266F" w:rsidRPr="00B279A2" w:rsidP="003F210C">
      <w:pPr>
        <w:pStyle w:val="NormalWeb"/>
        <w:bidi w:val="0"/>
        <w:spacing w:before="0" w:beforeAutospacing="0" w:after="0" w:afterAutospacing="0"/>
        <w:jc w:val="both"/>
        <w:rPr>
          <w:rFonts w:ascii="Times New Roman" w:hAnsi="Times New Roman"/>
          <w:bCs/>
        </w:rPr>
      </w:pPr>
      <w:r w:rsidRPr="00B279A2">
        <w:rPr>
          <w:rFonts w:ascii="Times New Roman" w:hAnsi="Times New Roman"/>
          <w:bCs/>
        </w:rPr>
        <w:t>Ministerstvo hospodárstva S</w:t>
      </w:r>
      <w:r w:rsidRPr="00B279A2" w:rsidR="00EA0490">
        <w:rPr>
          <w:rFonts w:ascii="Times New Roman" w:hAnsi="Times New Roman"/>
          <w:bCs/>
        </w:rPr>
        <w:t>R</w:t>
      </w:r>
      <w:r w:rsidRPr="00B279A2">
        <w:rPr>
          <w:rFonts w:ascii="Times New Roman" w:hAnsi="Times New Roman"/>
          <w:bCs/>
        </w:rPr>
        <w:t xml:space="preserve"> žiada v bode 3.2 doplniť:</w:t>
      </w:r>
    </w:p>
    <w:p w:rsidR="0006266F" w:rsidRPr="00B279A2" w:rsidP="0006266F">
      <w:pPr>
        <w:pStyle w:val="NormalWeb"/>
        <w:numPr>
          <w:numId w:val="7"/>
        </w:numPr>
        <w:bidi w:val="0"/>
        <w:spacing w:before="0" w:beforeAutospacing="0" w:after="0" w:afterAutospacing="0"/>
        <w:jc w:val="both"/>
        <w:rPr>
          <w:rFonts w:ascii="Times New Roman" w:hAnsi="Times New Roman"/>
          <w:bCs/>
        </w:rPr>
      </w:pPr>
      <w:r w:rsidRPr="00B279A2" w:rsidR="005E36D1">
        <w:rPr>
          <w:rFonts w:ascii="Times New Roman" w:hAnsi="Times New Roman"/>
        </w:rPr>
        <w:t xml:space="preserve">kvantifikáciu </w:t>
      </w:r>
      <w:r w:rsidRPr="00B279A2">
        <w:rPr>
          <w:rFonts w:ascii="Times New Roman" w:hAnsi="Times New Roman"/>
        </w:rPr>
        <w:t>nárastu príjmov dôchodkových správcovských spoločností,</w:t>
      </w:r>
    </w:p>
    <w:p w:rsidR="0006266F" w:rsidRPr="00B279A2" w:rsidP="0006266F">
      <w:pPr>
        <w:pStyle w:val="NormalWeb"/>
        <w:numPr>
          <w:numId w:val="7"/>
        </w:numPr>
        <w:bidi w:val="0"/>
        <w:spacing w:before="0" w:beforeAutospacing="0" w:after="0" w:afterAutospacing="0"/>
        <w:jc w:val="both"/>
        <w:rPr>
          <w:rFonts w:ascii="Times New Roman" w:hAnsi="Times New Roman"/>
          <w:bCs/>
        </w:rPr>
      </w:pPr>
      <w:r w:rsidRPr="00B279A2">
        <w:rPr>
          <w:rFonts w:ascii="Times New Roman" w:hAnsi="Times New Roman"/>
        </w:rPr>
        <w:t>predpokladaný počet povinne poistených osôb,</w:t>
      </w:r>
    </w:p>
    <w:p w:rsidR="0006266F" w:rsidRPr="00B279A2" w:rsidP="0006266F">
      <w:pPr>
        <w:pStyle w:val="NormalWeb"/>
        <w:numPr>
          <w:numId w:val="7"/>
        </w:numPr>
        <w:bidi w:val="0"/>
        <w:spacing w:before="0" w:beforeAutospacing="0" w:after="0" w:afterAutospacing="0"/>
        <w:jc w:val="both"/>
        <w:rPr>
          <w:rFonts w:ascii="Times New Roman" w:hAnsi="Times New Roman"/>
          <w:bCs/>
        </w:rPr>
      </w:pPr>
      <w:r w:rsidRPr="00B279A2">
        <w:rPr>
          <w:rFonts w:ascii="Times New Roman" w:hAnsi="Times New Roman"/>
          <w:bCs/>
        </w:rPr>
        <w:t xml:space="preserve">prínos pre DSS z dôvodu </w:t>
      </w:r>
      <w:r w:rsidRPr="00B279A2">
        <w:rPr>
          <w:rFonts w:ascii="Times New Roman" w:hAnsi="Times New Roman"/>
        </w:rPr>
        <w:t>eliminácie znášania rizika DSS v prípade poklesu hodnoty dôchodkovej jednotky poistenej osoby v zmiešanom dôchodkovom fonde, v akciovom  dôchodkovom fonde alebo v indexovom dôchodkovom fonde.</w:t>
      </w:r>
    </w:p>
    <w:p w:rsidR="0006266F" w:rsidRPr="00B279A2" w:rsidP="0006266F">
      <w:pPr>
        <w:pStyle w:val="NormalWeb"/>
        <w:numPr>
          <w:numId w:val="7"/>
        </w:numPr>
        <w:bidi w:val="0"/>
        <w:spacing w:before="0" w:beforeAutospacing="0" w:after="0" w:afterAutospacing="0"/>
        <w:jc w:val="both"/>
        <w:rPr>
          <w:rFonts w:ascii="Times New Roman" w:hAnsi="Times New Roman"/>
          <w:bCs/>
        </w:rPr>
      </w:pPr>
      <w:r w:rsidRPr="00B279A2">
        <w:rPr>
          <w:rFonts w:ascii="Times New Roman" w:hAnsi="Times New Roman"/>
          <w:bCs/>
        </w:rPr>
        <w:t xml:space="preserve">náklady </w:t>
      </w:r>
      <w:r w:rsidRPr="00B279A2">
        <w:rPr>
          <w:rFonts w:ascii="Times New Roman" w:hAnsi="Times New Roman"/>
        </w:rPr>
        <w:t>týkajúce sa vytvorenia nových pracovných miest v dôchodkových správcovských spoločnostiach.</w:t>
      </w:r>
    </w:p>
    <w:p w:rsidR="0006266F" w:rsidRPr="00B279A2" w:rsidP="0006266F">
      <w:pPr>
        <w:pStyle w:val="NormalWeb"/>
        <w:bidi w:val="0"/>
        <w:spacing w:before="0" w:beforeAutospacing="0" w:after="0" w:afterAutospacing="0"/>
        <w:jc w:val="both"/>
        <w:rPr>
          <w:rFonts w:ascii="Times New Roman" w:hAnsi="Times New Roman"/>
          <w:bCs/>
        </w:rPr>
      </w:pPr>
      <w:r w:rsidRPr="00B279A2">
        <w:rPr>
          <w:rFonts w:ascii="Times New Roman" w:hAnsi="Times New Roman"/>
          <w:bCs/>
        </w:rPr>
        <w:t>V bode 3.3 žiada Ministerstvo hospodárstva S</w:t>
      </w:r>
      <w:r w:rsidRPr="00B279A2" w:rsidR="00EA0490">
        <w:rPr>
          <w:rFonts w:ascii="Times New Roman" w:hAnsi="Times New Roman"/>
          <w:bCs/>
        </w:rPr>
        <w:t>R</w:t>
      </w:r>
      <w:r w:rsidRPr="00B279A2">
        <w:rPr>
          <w:rFonts w:ascii="Times New Roman" w:hAnsi="Times New Roman"/>
          <w:bCs/>
        </w:rPr>
        <w:t xml:space="preserve"> doplniť:</w:t>
      </w:r>
    </w:p>
    <w:p w:rsidR="0006266F" w:rsidRPr="00B279A2" w:rsidP="0006266F">
      <w:pPr>
        <w:pStyle w:val="NormalWeb"/>
        <w:numPr>
          <w:numId w:val="7"/>
        </w:numPr>
        <w:bidi w:val="0"/>
        <w:spacing w:before="0" w:beforeAutospacing="0" w:after="0" w:afterAutospacing="0"/>
        <w:jc w:val="both"/>
        <w:rPr>
          <w:rFonts w:ascii="Times New Roman" w:hAnsi="Times New Roman"/>
          <w:bCs/>
        </w:rPr>
      </w:pPr>
      <w:r w:rsidRPr="00B279A2">
        <w:rPr>
          <w:rFonts w:ascii="Times New Roman" w:hAnsi="Times New Roman"/>
          <w:bCs/>
        </w:rPr>
        <w:t xml:space="preserve">výšku administratívnych nákladov </w:t>
      </w:r>
      <w:r w:rsidRPr="00B279A2">
        <w:rPr>
          <w:rFonts w:ascii="Times New Roman" w:hAnsi="Times New Roman"/>
        </w:rPr>
        <w:t>týkajúcich sa vytvorenia nových pracovných miest v dôchodkových správcovských spoločnostiach,</w:t>
      </w:r>
    </w:p>
    <w:p w:rsidR="0006266F" w:rsidRPr="00B279A2" w:rsidP="0006266F">
      <w:pPr>
        <w:pStyle w:val="NormalWeb"/>
        <w:numPr>
          <w:numId w:val="7"/>
        </w:numPr>
        <w:bidi w:val="0"/>
        <w:spacing w:before="0" w:beforeAutospacing="0" w:after="0" w:afterAutospacing="0"/>
        <w:jc w:val="both"/>
        <w:rPr>
          <w:rFonts w:ascii="Times New Roman" w:hAnsi="Times New Roman"/>
          <w:bCs/>
        </w:rPr>
      </w:pPr>
      <w:r w:rsidRPr="00B279A2">
        <w:rPr>
          <w:rFonts w:ascii="Times New Roman" w:hAnsi="Times New Roman"/>
        </w:rPr>
        <w:t>predpoklad administratívnych nákladov na založenie indexového fondu,</w:t>
      </w:r>
    </w:p>
    <w:p w:rsidR="0006266F" w:rsidRPr="00B279A2" w:rsidP="0006266F">
      <w:pPr>
        <w:pStyle w:val="NormalWeb"/>
        <w:numPr>
          <w:numId w:val="8"/>
        </w:numPr>
        <w:bidi w:val="0"/>
        <w:spacing w:before="0" w:beforeAutospacing="0" w:after="0" w:afterAutospacing="0"/>
        <w:jc w:val="both"/>
        <w:rPr>
          <w:rFonts w:ascii="Times New Roman" w:hAnsi="Times New Roman"/>
          <w:bCs/>
        </w:rPr>
      </w:pPr>
      <w:r w:rsidRPr="00B279A2">
        <w:rPr>
          <w:rFonts w:ascii="Times New Roman" w:hAnsi="Times New Roman"/>
        </w:rPr>
        <w:t>predpoklad administratívnych nákladov na meranie rizík a na výpočty celkového rizika v indexovom dôchodkovom fonde.</w:t>
      </w:r>
    </w:p>
    <w:p w:rsidR="00D2469D" w:rsidP="00D2469D">
      <w:pPr>
        <w:pStyle w:val="NormalWeb"/>
        <w:bidi w:val="0"/>
        <w:spacing w:before="0" w:beforeAutospacing="0" w:after="0" w:afterAutospacing="0"/>
        <w:jc w:val="both"/>
        <w:rPr>
          <w:rFonts w:ascii="Times New Roman" w:hAnsi="Times New Roman"/>
          <w:bCs/>
        </w:rPr>
      </w:pPr>
      <w:r w:rsidRPr="00B279A2">
        <w:rPr>
          <w:rFonts w:ascii="Times New Roman" w:hAnsi="Times New Roman"/>
          <w:bCs/>
        </w:rPr>
        <w:t>Ministerstvo hospodárstva S</w:t>
      </w:r>
      <w:r w:rsidRPr="00B279A2" w:rsidR="00EA0490">
        <w:rPr>
          <w:rFonts w:ascii="Times New Roman" w:hAnsi="Times New Roman"/>
          <w:bCs/>
        </w:rPr>
        <w:t>R</w:t>
      </w:r>
      <w:r w:rsidRPr="00B279A2">
        <w:rPr>
          <w:rFonts w:ascii="Times New Roman" w:hAnsi="Times New Roman"/>
          <w:bCs/>
        </w:rPr>
        <w:t xml:space="preserve"> odporúča uviesť zdroj odhadu podielu povinne poistených osôb v jednotlivých dôchodkových fondoch.</w:t>
      </w:r>
    </w:p>
    <w:p w:rsidR="003F210C" w:rsidP="00C6246E">
      <w:pPr>
        <w:bidi w:val="0"/>
        <w:jc w:val="both"/>
        <w:rPr>
          <w:rFonts w:ascii="Times New Roman" w:hAnsi="Times New Roman"/>
        </w:rPr>
      </w:pPr>
    </w:p>
    <w:p w:rsidR="003F210C" w:rsidP="003F210C">
      <w:pPr>
        <w:pStyle w:val="NormalWeb"/>
        <w:bidi w:val="0"/>
        <w:spacing w:before="0" w:beforeAutospacing="0" w:after="0" w:afterAutospacing="0"/>
        <w:jc w:val="both"/>
        <w:rPr>
          <w:rFonts w:ascii="Times New Roman" w:hAnsi="Times New Roman"/>
          <w:b/>
          <w:bCs/>
        </w:rPr>
      </w:pPr>
      <w:r>
        <w:rPr>
          <w:rFonts w:ascii="Times New Roman" w:hAnsi="Times New Roman"/>
          <w:b/>
          <w:bCs/>
        </w:rPr>
        <w:t>Stanovisko predkladateľa:</w:t>
      </w:r>
    </w:p>
    <w:p w:rsidR="0046704B" w:rsidP="003F210C">
      <w:pPr>
        <w:pStyle w:val="NormalWeb"/>
        <w:bidi w:val="0"/>
        <w:spacing w:before="0" w:beforeAutospacing="0" w:after="0" w:afterAutospacing="0"/>
        <w:jc w:val="both"/>
        <w:rPr>
          <w:rFonts w:ascii="Times New Roman" w:hAnsi="Times New Roman"/>
          <w:bCs/>
        </w:rPr>
      </w:pPr>
    </w:p>
    <w:p w:rsidR="00E429F0" w:rsidP="003F210C">
      <w:pPr>
        <w:pStyle w:val="NormalWeb"/>
        <w:bidi w:val="0"/>
        <w:spacing w:before="0" w:beforeAutospacing="0" w:after="0" w:afterAutospacing="0"/>
        <w:jc w:val="both"/>
        <w:rPr>
          <w:rFonts w:ascii="Times New Roman" w:hAnsi="Times New Roman"/>
        </w:rPr>
      </w:pPr>
      <w:r w:rsidR="00511BF6">
        <w:rPr>
          <w:rFonts w:ascii="Times New Roman" w:hAnsi="Times New Roman"/>
          <w:bCs/>
        </w:rPr>
        <w:t>Pripomienka</w:t>
      </w:r>
      <w:r w:rsidR="007C2E83">
        <w:rPr>
          <w:rFonts w:ascii="Times New Roman" w:hAnsi="Times New Roman"/>
          <w:bCs/>
        </w:rPr>
        <w:t xml:space="preserve"> k bodu 3.2 doložky bola čiastočne akceptovaná a materiál bol doplnený o</w:t>
      </w:r>
      <w:r w:rsidR="00511BF6">
        <w:rPr>
          <w:rFonts w:ascii="Times New Roman" w:hAnsi="Times New Roman"/>
          <w:bCs/>
        </w:rPr>
        <w:t xml:space="preserve"> kvantifikácie príjmov dôchodkových správcov</w:t>
      </w:r>
      <w:r w:rsidR="007C2E83">
        <w:rPr>
          <w:rFonts w:ascii="Times New Roman" w:hAnsi="Times New Roman"/>
          <w:bCs/>
        </w:rPr>
        <w:t xml:space="preserve">ských spoločností a o počet </w:t>
      </w:r>
      <w:r w:rsidR="0046704B">
        <w:rPr>
          <w:rFonts w:ascii="Times New Roman" w:hAnsi="Times New Roman"/>
          <w:bCs/>
        </w:rPr>
        <w:t>prvopoistencov.</w:t>
      </w:r>
      <w:r w:rsidR="007C2E83">
        <w:rPr>
          <w:rFonts w:ascii="Times New Roman" w:hAnsi="Times New Roman"/>
          <w:bCs/>
        </w:rPr>
        <w:t xml:space="preserve">  </w:t>
      </w:r>
      <w:r w:rsidR="007C2E83">
        <w:rPr>
          <w:rFonts w:ascii="Times New Roman" w:hAnsi="Times New Roman"/>
        </w:rPr>
        <w:t>E</w:t>
      </w:r>
      <w:r w:rsidRPr="0006266F">
        <w:rPr>
          <w:rFonts w:ascii="Times New Roman" w:hAnsi="Times New Roman"/>
        </w:rPr>
        <w:t>limináci</w:t>
      </w:r>
      <w:r w:rsidR="007C2E83">
        <w:rPr>
          <w:rFonts w:ascii="Times New Roman" w:hAnsi="Times New Roman"/>
        </w:rPr>
        <w:t>a</w:t>
      </w:r>
      <w:r w:rsidRPr="0006266F">
        <w:rPr>
          <w:rFonts w:ascii="Times New Roman" w:hAnsi="Times New Roman"/>
        </w:rPr>
        <w:t xml:space="preserve"> znášania rizika DSS</w:t>
      </w:r>
      <w:r>
        <w:rPr>
          <w:rFonts w:ascii="Times New Roman" w:hAnsi="Times New Roman"/>
        </w:rPr>
        <w:t xml:space="preserve"> sa neakceptuje z dôvodu, že navrhovaná zmena nebude znamenať priamy pozitívny vplyv na dôchodkové správcovské spoločnosti (počas celej existencie systému garancií dôchodkové správcovské spoločnosti prispôsobili svoje investičné stratégie tak, aby nenastal pokles hodnoty dôchodkovej jednotky, a teda povinnosť doplatiť vzniknutú stratu nevznikla), bude však dôvodom pre uvoľnenie investičný</w:t>
      </w:r>
      <w:r w:rsidR="00254E0B">
        <w:rPr>
          <w:rFonts w:ascii="Times New Roman" w:hAnsi="Times New Roman"/>
        </w:rPr>
        <w:t xml:space="preserve">ch stratégií, </w:t>
      </w:r>
      <w:r w:rsidR="007C2E83">
        <w:rPr>
          <w:rFonts w:ascii="Times New Roman" w:hAnsi="Times New Roman"/>
        </w:rPr>
        <w:t>čo</w:t>
      </w:r>
      <w:r w:rsidR="00254E0B">
        <w:rPr>
          <w:rFonts w:ascii="Times New Roman" w:hAnsi="Times New Roman"/>
        </w:rPr>
        <w:t xml:space="preserve"> môže znamenať dosahovanie vyšších výnosov.</w:t>
      </w:r>
    </w:p>
    <w:p w:rsidR="007C2E83" w:rsidRPr="007C2E83" w:rsidP="003F210C">
      <w:pPr>
        <w:pStyle w:val="NormalWeb"/>
        <w:bidi w:val="0"/>
        <w:spacing w:before="0" w:beforeAutospacing="0" w:after="0" w:afterAutospacing="0"/>
        <w:jc w:val="both"/>
        <w:rPr>
          <w:rFonts w:ascii="Times New Roman" w:hAnsi="Times New Roman"/>
          <w:bCs/>
        </w:rPr>
      </w:pPr>
      <w:r w:rsidR="00D84558">
        <w:rPr>
          <w:rFonts w:ascii="Times New Roman" w:hAnsi="Times New Roman"/>
          <w:bCs/>
        </w:rPr>
        <w:t>Pripomienky</w:t>
      </w:r>
      <w:r>
        <w:rPr>
          <w:rFonts w:ascii="Times New Roman" w:hAnsi="Times New Roman"/>
          <w:bCs/>
        </w:rPr>
        <w:t xml:space="preserve"> k bodu 3.3 doložky bol</w:t>
      </w:r>
      <w:r w:rsidR="00D84558">
        <w:rPr>
          <w:rFonts w:ascii="Times New Roman" w:hAnsi="Times New Roman"/>
          <w:bCs/>
        </w:rPr>
        <w:t>i</w:t>
      </w:r>
      <w:r>
        <w:rPr>
          <w:rFonts w:ascii="Times New Roman" w:hAnsi="Times New Roman"/>
          <w:bCs/>
        </w:rPr>
        <w:t xml:space="preserve"> čiastočne akceptovaná a materiál bol doplnený o</w:t>
      </w:r>
      <w:r w:rsidR="00186263">
        <w:rPr>
          <w:rFonts w:ascii="Times New Roman" w:hAnsi="Times New Roman"/>
          <w:bCs/>
        </w:rPr>
        <w:t> predpoklad výdavkov súvisiacich s vytvorení</w:t>
      </w:r>
      <w:r w:rsidR="00D84558">
        <w:rPr>
          <w:rFonts w:ascii="Times New Roman" w:hAnsi="Times New Roman"/>
          <w:bCs/>
        </w:rPr>
        <w:t xml:space="preserve">m indexového dôchodkového fondu a o predpoklad výšky nákladov súvisiacich s meraním rizík </w:t>
      </w:r>
      <w:r w:rsidRPr="00B279A2" w:rsidR="00D84558">
        <w:rPr>
          <w:rFonts w:ascii="Times New Roman" w:hAnsi="Times New Roman"/>
        </w:rPr>
        <w:t>a na výpočty celkového rizika</w:t>
      </w:r>
      <w:r w:rsidR="00D84558">
        <w:rPr>
          <w:rFonts w:ascii="Times New Roman" w:hAnsi="Times New Roman"/>
          <w:bCs/>
        </w:rPr>
        <w:t xml:space="preserve"> v indexovom dôchodkovom fonde.</w:t>
      </w:r>
    </w:p>
    <w:p w:rsidR="00916325" w:rsidP="00916325">
      <w:pPr>
        <w:pStyle w:val="NormalWeb"/>
        <w:bidi w:val="0"/>
        <w:spacing w:before="0" w:beforeAutospacing="0" w:after="0" w:afterAutospacing="0"/>
        <w:jc w:val="both"/>
        <w:rPr>
          <w:rFonts w:ascii="Times New Roman" w:hAnsi="Times New Roman"/>
          <w:bCs/>
        </w:rPr>
      </w:pPr>
      <w:r w:rsidR="007C2E83">
        <w:rPr>
          <w:rFonts w:ascii="Times New Roman" w:hAnsi="Times New Roman"/>
          <w:bCs/>
        </w:rPr>
        <w:t>V</w:t>
      </w:r>
      <w:r>
        <w:rPr>
          <w:rFonts w:ascii="Times New Roman" w:hAnsi="Times New Roman"/>
          <w:bCs/>
        </w:rPr>
        <w:t>plyv na zamestnanosť neakceptujeme z dôvodu, že navrhovaná zmena umožňuje dôchodkovej správcovskej spoločnosti znížiť počet zamestnancov zodpovedných za riadenie investícií zo súčasných troch na navrhovaných aspoň dvoch, zároveň sa vytvára jedno pracovné miesto – zamestnanec zodpovedný za riadenie rizík. Výsledný vplyv na zamestnanosť bude preto neutrálny.</w:t>
      </w:r>
    </w:p>
    <w:p w:rsidR="007A56FD" w:rsidRPr="0006266F" w:rsidP="00916325">
      <w:pPr>
        <w:pStyle w:val="NormalWeb"/>
        <w:bidi w:val="0"/>
        <w:spacing w:before="0" w:beforeAutospacing="0" w:after="0" w:afterAutospacing="0"/>
        <w:jc w:val="both"/>
        <w:rPr>
          <w:rFonts w:ascii="Times New Roman" w:hAnsi="Times New Roman"/>
          <w:bCs/>
        </w:rPr>
      </w:pPr>
      <w:r w:rsidR="00186263">
        <w:rPr>
          <w:rFonts w:ascii="Times New Roman" w:hAnsi="Times New Roman"/>
          <w:bCs/>
        </w:rPr>
        <w:t>Odporúčanie</w:t>
      </w:r>
      <w:r>
        <w:rPr>
          <w:rFonts w:ascii="Times New Roman" w:hAnsi="Times New Roman"/>
          <w:bCs/>
        </w:rPr>
        <w:t xml:space="preserve"> týkajúc</w:t>
      </w:r>
      <w:r w:rsidR="00186263">
        <w:rPr>
          <w:rFonts w:ascii="Times New Roman" w:hAnsi="Times New Roman"/>
          <w:bCs/>
        </w:rPr>
        <w:t>e</w:t>
      </w:r>
      <w:r>
        <w:rPr>
          <w:rFonts w:ascii="Times New Roman" w:hAnsi="Times New Roman"/>
          <w:bCs/>
        </w:rPr>
        <w:t xml:space="preserve"> sa odhadu podielu povinne poistených osôb v jednotlivých dôchodkových fondoch </w:t>
      </w:r>
      <w:r w:rsidR="00186263">
        <w:rPr>
          <w:rFonts w:ascii="Times New Roman" w:hAnsi="Times New Roman"/>
          <w:bCs/>
        </w:rPr>
        <w:t>je akceptované</w:t>
      </w:r>
      <w:r w:rsidR="001C1443">
        <w:rPr>
          <w:rFonts w:ascii="Times New Roman" w:hAnsi="Times New Roman"/>
          <w:bCs/>
        </w:rPr>
        <w:t>.</w:t>
      </w:r>
    </w:p>
    <w:p w:rsidR="003F210C" w:rsidP="00C6246E">
      <w:pPr>
        <w:bidi w:val="0"/>
        <w:jc w:val="both"/>
        <w:rPr>
          <w:rFonts w:ascii="Times New Roman" w:hAnsi="Times New Roman"/>
        </w:rPr>
      </w:pPr>
    </w:p>
    <w:p w:rsidR="003F210C" w:rsidP="003F210C">
      <w:pPr>
        <w:pStyle w:val="NormalWeb"/>
        <w:bidi w:val="0"/>
        <w:spacing w:before="0" w:beforeAutospacing="0" w:after="0" w:afterAutospacing="0"/>
        <w:jc w:val="both"/>
        <w:rPr>
          <w:rFonts w:ascii="Times New Roman" w:hAnsi="Times New Roman"/>
          <w:b/>
          <w:bCs/>
        </w:rPr>
      </w:pPr>
      <w:r>
        <w:rPr>
          <w:rFonts w:ascii="Times New Roman" w:hAnsi="Times New Roman"/>
          <w:b/>
          <w:bCs/>
        </w:rPr>
        <w:t>Ministerstvo práce, sociálnych vecí a rodiny Slovenskej republiky:</w:t>
      </w:r>
    </w:p>
    <w:p w:rsidR="003F210C" w:rsidP="00C6246E">
      <w:pPr>
        <w:bidi w:val="0"/>
        <w:jc w:val="both"/>
        <w:rPr>
          <w:rFonts w:ascii="Times New Roman" w:hAnsi="Times New Roman"/>
        </w:rPr>
      </w:pPr>
      <w:r w:rsidR="003A0439">
        <w:rPr>
          <w:rFonts w:ascii="Times New Roman" w:hAnsi="Times New Roman"/>
        </w:rPr>
        <w:t>Gestor predkladá pripomienky, v ktorých žiada:</w:t>
      </w:r>
    </w:p>
    <w:p w:rsidR="003A0439" w:rsidP="003A0439">
      <w:pPr>
        <w:pStyle w:val="ListParagraph"/>
        <w:numPr>
          <w:numId w:val="8"/>
        </w:numPr>
        <w:bidi w:val="0"/>
        <w:jc w:val="both"/>
        <w:rPr>
          <w:rFonts w:ascii="Times New Roman" w:hAnsi="Times New Roman"/>
        </w:rPr>
      </w:pPr>
      <w:r>
        <w:rPr>
          <w:rFonts w:ascii="Times New Roman" w:hAnsi="Times New Roman"/>
        </w:rPr>
        <w:t>preformulovať text v predkladacej správe hovoriaci o vplyvoch materiálu,</w:t>
      </w:r>
    </w:p>
    <w:p w:rsidR="003A0439" w:rsidRPr="00B279A2" w:rsidP="003A0439">
      <w:pPr>
        <w:pStyle w:val="ListParagraph"/>
        <w:numPr>
          <w:numId w:val="8"/>
        </w:numPr>
        <w:bidi w:val="0"/>
        <w:jc w:val="both"/>
        <w:rPr>
          <w:rFonts w:ascii="Times New Roman" w:hAnsi="Times New Roman"/>
        </w:rPr>
      </w:pPr>
      <w:r w:rsidRPr="00B279A2">
        <w:rPr>
          <w:rFonts w:ascii="Times New Roman" w:hAnsi="Times New Roman"/>
        </w:rPr>
        <w:t>neuvádzať krížik v časti tabuľke časti A.2 - Žiadne sociálne vplyvy,</w:t>
      </w:r>
    </w:p>
    <w:p w:rsidR="003A0439" w:rsidRPr="00B279A2" w:rsidP="003A0439">
      <w:pPr>
        <w:pStyle w:val="ListParagraph"/>
        <w:numPr>
          <w:numId w:val="8"/>
        </w:numPr>
        <w:bidi w:val="0"/>
        <w:jc w:val="both"/>
        <w:rPr>
          <w:rFonts w:ascii="Times New Roman" w:hAnsi="Times New Roman"/>
        </w:rPr>
      </w:pPr>
      <w:r w:rsidRPr="00B279A2">
        <w:rPr>
          <w:rFonts w:ascii="Times New Roman" w:hAnsi="Times New Roman"/>
        </w:rPr>
        <w:t>opraviť preklep v časti 4.1</w:t>
      </w:r>
      <w:r w:rsidRPr="00B279A2" w:rsidR="00E779C0">
        <w:rPr>
          <w:rFonts w:ascii="Times New Roman" w:hAnsi="Times New Roman"/>
        </w:rPr>
        <w:t>,</w:t>
      </w:r>
    </w:p>
    <w:p w:rsidR="00E779C0" w:rsidRPr="00B279A2" w:rsidP="003A0439">
      <w:pPr>
        <w:pStyle w:val="ListParagraph"/>
        <w:numPr>
          <w:numId w:val="8"/>
        </w:numPr>
        <w:bidi w:val="0"/>
        <w:jc w:val="both"/>
        <w:rPr>
          <w:rFonts w:ascii="Times New Roman" w:hAnsi="Times New Roman"/>
        </w:rPr>
      </w:pPr>
      <w:r w:rsidRPr="00B279A2">
        <w:rPr>
          <w:rFonts w:ascii="Times New Roman" w:hAnsi="Times New Roman"/>
        </w:rPr>
        <w:t>doplniť negatívny vývoj zhodnotenie dôchodkových fondov a následný vplyv na sporiteľa.</w:t>
      </w:r>
    </w:p>
    <w:p w:rsidR="00045090" w:rsidP="00045090">
      <w:pPr>
        <w:bidi w:val="0"/>
        <w:jc w:val="both"/>
        <w:rPr>
          <w:rFonts w:ascii="Times New Roman" w:hAnsi="Times New Roman"/>
        </w:rPr>
      </w:pPr>
    </w:p>
    <w:p w:rsidR="00045090" w:rsidP="00045090">
      <w:pPr>
        <w:pStyle w:val="NormalWeb"/>
        <w:bidi w:val="0"/>
        <w:spacing w:before="0" w:beforeAutospacing="0" w:after="0" w:afterAutospacing="0"/>
        <w:jc w:val="both"/>
        <w:rPr>
          <w:rFonts w:ascii="Times New Roman" w:hAnsi="Times New Roman"/>
          <w:b/>
          <w:bCs/>
        </w:rPr>
      </w:pPr>
      <w:r>
        <w:rPr>
          <w:rFonts w:ascii="Times New Roman" w:hAnsi="Times New Roman"/>
          <w:b/>
          <w:bCs/>
        </w:rPr>
        <w:t>Stanovisko predkladateľa:</w:t>
      </w:r>
    </w:p>
    <w:p w:rsidR="00045090" w:rsidP="00045090">
      <w:pPr>
        <w:bidi w:val="0"/>
        <w:jc w:val="both"/>
        <w:rPr>
          <w:rFonts w:ascii="Times New Roman" w:hAnsi="Times New Roman"/>
        </w:rPr>
      </w:pPr>
      <w:r>
        <w:rPr>
          <w:rFonts w:ascii="Times New Roman" w:hAnsi="Times New Roman"/>
        </w:rPr>
        <w:t>Všetky pripomienky gestora sú akceptované a m</w:t>
      </w:r>
      <w:r w:rsidR="00B279A2">
        <w:rPr>
          <w:rFonts w:ascii="Times New Roman" w:hAnsi="Times New Roman"/>
        </w:rPr>
        <w:t>at</w:t>
      </w:r>
      <w:r>
        <w:rPr>
          <w:rFonts w:ascii="Times New Roman" w:hAnsi="Times New Roman"/>
        </w:rPr>
        <w:t>eriál obsahuje všetky požadované zmeny.</w:t>
      </w:r>
    </w:p>
    <w:p w:rsidR="003A0439" w:rsidP="00C6246E">
      <w:pPr>
        <w:bidi w:val="0"/>
        <w:jc w:val="both"/>
        <w:rPr>
          <w:rFonts w:ascii="Times New Roman" w:hAnsi="Times New Roman"/>
        </w:rPr>
      </w:pPr>
    </w:p>
    <w:p w:rsidR="003F210C" w:rsidP="003F210C">
      <w:pPr>
        <w:pStyle w:val="NormalWeb"/>
        <w:bidi w:val="0"/>
        <w:spacing w:before="0" w:beforeAutospacing="0" w:after="0" w:afterAutospacing="0"/>
        <w:jc w:val="both"/>
        <w:rPr>
          <w:rFonts w:ascii="Times New Roman" w:hAnsi="Times New Roman"/>
          <w:b/>
          <w:bCs/>
        </w:rPr>
      </w:pPr>
      <w:r>
        <w:rPr>
          <w:rFonts w:ascii="Times New Roman" w:hAnsi="Times New Roman"/>
          <w:b/>
          <w:bCs/>
        </w:rPr>
        <w:t>Ministerstvo životného prostredia Slovenskej republiky:</w:t>
      </w:r>
    </w:p>
    <w:p w:rsidR="003F210C" w:rsidP="003F210C">
      <w:pPr>
        <w:pStyle w:val="NormalWeb"/>
        <w:bidi w:val="0"/>
        <w:spacing w:before="0" w:beforeAutospacing="0" w:after="0" w:afterAutospacing="0"/>
        <w:jc w:val="both"/>
        <w:rPr>
          <w:rFonts w:ascii="Times New Roman" w:hAnsi="Times New Roman"/>
          <w:bCs/>
        </w:rPr>
      </w:pPr>
    </w:p>
    <w:p w:rsidR="003F210C" w:rsidRPr="00334FCC" w:rsidP="003F210C">
      <w:pPr>
        <w:pStyle w:val="NormalWeb"/>
        <w:bidi w:val="0"/>
        <w:spacing w:before="0" w:beforeAutospacing="0" w:after="0" w:afterAutospacing="0"/>
        <w:jc w:val="both"/>
        <w:rPr>
          <w:rFonts w:ascii="Times New Roman" w:hAnsi="Times New Roman"/>
          <w:bCs/>
        </w:rPr>
      </w:pPr>
      <w:r w:rsidRPr="00334FCC">
        <w:rPr>
          <w:rFonts w:ascii="Times New Roman" w:hAnsi="Times New Roman"/>
        </w:rPr>
        <w:t>Ministerstvo životného prostredia S</w:t>
      </w:r>
      <w:r>
        <w:rPr>
          <w:rFonts w:ascii="Times New Roman" w:hAnsi="Times New Roman"/>
        </w:rPr>
        <w:t>lovenskej republiky</w:t>
      </w:r>
      <w:r w:rsidRPr="00334FCC">
        <w:rPr>
          <w:rFonts w:ascii="Times New Roman" w:hAnsi="Times New Roman"/>
        </w:rPr>
        <w:t xml:space="preserve"> súhlasí s predloženou doložkou vybraných vplyvov </w:t>
      </w:r>
      <w:r w:rsidRPr="00334FCC">
        <w:rPr>
          <w:rFonts w:ascii="Times New Roman" w:hAnsi="Times New Roman"/>
          <w:bCs/>
        </w:rPr>
        <w:t>bez pripomienok</w:t>
      </w:r>
      <w:r w:rsidRPr="00334FCC">
        <w:rPr>
          <w:rFonts w:ascii="Times New Roman" w:hAnsi="Times New Roman"/>
        </w:rPr>
        <w:t>.</w:t>
      </w:r>
    </w:p>
    <w:p w:rsidR="003F210C" w:rsidP="003F210C">
      <w:pPr>
        <w:pStyle w:val="NormalWeb"/>
        <w:bidi w:val="0"/>
        <w:spacing w:before="0" w:beforeAutospacing="0" w:after="0" w:afterAutospacing="0"/>
        <w:jc w:val="both"/>
        <w:rPr>
          <w:rFonts w:ascii="Times New Roman" w:hAnsi="Times New Roman"/>
          <w:b/>
          <w:bCs/>
        </w:rPr>
      </w:pPr>
    </w:p>
    <w:p w:rsidR="00B53407" w:rsidP="00C6246E">
      <w:pPr>
        <w:bidi w:val="0"/>
        <w:jc w:val="both"/>
        <w:rPr>
          <w:rFonts w:ascii="Times New Roman" w:hAnsi="Times New Roman"/>
        </w:rPr>
        <w:sectPr w:rsidSect="00C6246E">
          <w:headerReference w:type="default" r:id="rId5"/>
          <w:pgSz w:w="11906" w:h="16838"/>
          <w:pgMar w:top="1418" w:right="1418" w:bottom="1418" w:left="1418" w:header="709" w:footer="709" w:gutter="0"/>
          <w:lnNumType w:distance="0"/>
          <w:cols w:space="708"/>
          <w:noEndnote w:val="0"/>
          <w:bidi w:val="0"/>
          <w:docGrid w:linePitch="360"/>
        </w:sectPr>
      </w:pPr>
    </w:p>
    <w:p w:rsidR="00B53407" w:rsidRPr="00DC0C93" w:rsidP="00B53407">
      <w:pPr>
        <w:bidi w:val="0"/>
        <w:jc w:val="center"/>
        <w:rPr>
          <w:rFonts w:ascii="Times New Roman" w:hAnsi="Times New Roman"/>
          <w:sz w:val="26"/>
          <w:szCs w:val="26"/>
        </w:rPr>
      </w:pPr>
      <w:r w:rsidRPr="00DC0C93">
        <w:rPr>
          <w:rFonts w:ascii="Times New Roman" w:hAnsi="Times New Roman"/>
          <w:b/>
          <w:bCs/>
          <w:sz w:val="26"/>
          <w:szCs w:val="26"/>
        </w:rPr>
        <w:t>Vplyvy na rozpočet verejnej správy,</w:t>
      </w:r>
    </w:p>
    <w:p w:rsidR="00B53407" w:rsidRPr="00DC0C93" w:rsidP="00B53407">
      <w:pPr>
        <w:bidi w:val="0"/>
        <w:jc w:val="center"/>
        <w:rPr>
          <w:rFonts w:ascii="Times New Roman" w:hAnsi="Times New Roman"/>
          <w:sz w:val="26"/>
          <w:szCs w:val="26"/>
        </w:rPr>
      </w:pPr>
      <w:r w:rsidRPr="00DC0C93">
        <w:rPr>
          <w:rFonts w:ascii="Times New Roman" w:hAnsi="Times New Roman"/>
          <w:b/>
          <w:bCs/>
          <w:sz w:val="26"/>
          <w:szCs w:val="26"/>
        </w:rPr>
        <w:t>na zamestnanosť vo verejnej správe a financovanie návrhu</w:t>
      </w:r>
    </w:p>
    <w:p w:rsidR="00B53407" w:rsidP="00B53407">
      <w:pPr>
        <w:bidi w:val="0"/>
        <w:rPr>
          <w:rFonts w:ascii="Times New Roman" w:hAnsi="Times New Roman"/>
        </w:rPr>
      </w:pPr>
      <w:r>
        <w:rPr>
          <w:rFonts w:ascii="Times New Roman" w:hAnsi="Times New Roman"/>
        </w:rPr>
        <w:t> </w:t>
      </w:r>
    </w:p>
    <w:p w:rsidR="00B53407" w:rsidP="00B53407">
      <w:pPr>
        <w:bidi w:val="0"/>
        <w:rPr>
          <w:rFonts w:ascii="Times New Roman" w:hAnsi="Times New Roman"/>
        </w:rPr>
      </w:pPr>
    </w:p>
    <w:p w:rsidR="00B53407" w:rsidP="00B53407">
      <w:pPr>
        <w:bidi w:val="0"/>
        <w:rPr>
          <w:rFonts w:ascii="Times New Roman" w:hAnsi="Times New Roman"/>
          <w:b/>
          <w:bCs/>
        </w:rPr>
      </w:pPr>
      <w:r w:rsidRPr="004161A1">
        <w:rPr>
          <w:rFonts w:ascii="Times New Roman" w:hAnsi="Times New Roman"/>
          <w:b/>
          <w:bCs/>
        </w:rPr>
        <w:t>2.1. Zhrnutie vplyvov na rozpočet verejnej správy v</w:t>
      </w:r>
      <w:r>
        <w:rPr>
          <w:rFonts w:ascii="Times New Roman" w:hAnsi="Times New Roman"/>
          <w:b/>
          <w:bCs/>
        </w:rPr>
        <w:t> </w:t>
      </w:r>
      <w:r w:rsidRPr="004161A1">
        <w:rPr>
          <w:rFonts w:ascii="Times New Roman" w:hAnsi="Times New Roman"/>
          <w:b/>
          <w:bCs/>
        </w:rPr>
        <w:t>návrhu</w:t>
      </w:r>
    </w:p>
    <w:p w:rsidR="00B53407" w:rsidP="00B53407">
      <w:pPr>
        <w:bidi w:val="0"/>
        <w:rPr>
          <w:rFonts w:ascii="Times New Roman" w:hAnsi="Times New Roman"/>
          <w:bCs/>
          <w:highlight w:val="yellow"/>
        </w:rPr>
      </w:pPr>
    </w:p>
    <w:p w:rsidR="00B53407" w:rsidRPr="00E01178" w:rsidP="00B53407">
      <w:pPr>
        <w:bidi w:val="0"/>
        <w:jc w:val="both"/>
        <w:rPr>
          <w:rFonts w:ascii="Times New Roman" w:hAnsi="Times New Roman"/>
        </w:rPr>
      </w:pPr>
      <w:r w:rsidRPr="00BA0900">
        <w:rPr>
          <w:rFonts w:ascii="Times New Roman" w:hAnsi="Times New Roman"/>
          <w:bCs/>
        </w:rPr>
        <w:t xml:space="preserve">Vplyvy </w:t>
      </w:r>
      <w:r>
        <w:rPr>
          <w:rFonts w:ascii="Times New Roman" w:hAnsi="Times New Roman"/>
          <w:bCs/>
        </w:rPr>
        <w:t>návrhu</w:t>
      </w:r>
      <w:r w:rsidR="00B279A2">
        <w:rPr>
          <w:rFonts w:ascii="Times New Roman" w:hAnsi="Times New Roman"/>
          <w:bCs/>
        </w:rPr>
        <w:t xml:space="preserve"> zákona, ktorým sa mení a dopĺňa </w:t>
      </w:r>
      <w:r w:rsidRPr="00550EEF" w:rsidR="00B279A2">
        <w:rPr>
          <w:rFonts w:ascii="Times New Roman" w:hAnsi="Times New Roman"/>
          <w:bCs/>
        </w:rPr>
        <w:t>zákon č. 43/2004 Z. z. o starobnom dôchodkovom sporení a o zmene a doplnení niektorých zákonov v znení neskorších predpisov a o zmene a doplnení zákona č. 461/2003 Z. z. o sociálnom poistení v znení neskorších predpisov</w:t>
      </w:r>
      <w:r>
        <w:rPr>
          <w:rFonts w:ascii="Times New Roman" w:hAnsi="Times New Roman"/>
          <w:bCs/>
        </w:rPr>
        <w:t xml:space="preserve"> zákona sa porovnávajú so schváleným rozpočtom Sociálnej poisťovne na rok 2011 a rozpočtovým výhľadom na roky 2012 a 2013.</w:t>
      </w:r>
    </w:p>
    <w:p w:rsidR="00B53407" w:rsidP="00B53407">
      <w:pPr>
        <w:bidi w:val="0"/>
        <w:jc w:val="right"/>
        <w:rPr>
          <w:rFonts w:ascii="Times New Roman" w:hAnsi="Times New Roman"/>
          <w:sz w:val="20"/>
          <w:szCs w:val="20"/>
        </w:rPr>
      </w:pPr>
      <w:bookmarkStart w:id="0" w:name="OLE_LINK1"/>
      <w:bookmarkEnd w:id="0"/>
      <w:r w:rsidRPr="004161A1">
        <w:rPr>
          <w:rFonts w:ascii="Times New Roman" w:hAnsi="Times New Roman"/>
          <w:sz w:val="20"/>
          <w:szCs w:val="20"/>
        </w:rPr>
        <w:t>Tabuľka č. 1</w:t>
      </w:r>
    </w:p>
    <w:tbl>
      <w:tblPr>
        <w:tblStyle w:val="TableNormal"/>
        <w:tblW w:w="9255" w:type="dxa"/>
        <w:tblInd w:w="55" w:type="dxa"/>
        <w:tblCellMar>
          <w:left w:w="70" w:type="dxa"/>
          <w:right w:w="70" w:type="dxa"/>
        </w:tblCellMar>
      </w:tblPr>
      <w:tblGrid>
        <w:gridCol w:w="3984"/>
        <w:gridCol w:w="851"/>
        <w:gridCol w:w="1417"/>
        <w:gridCol w:w="1418"/>
        <w:gridCol w:w="1585"/>
      </w:tblGrid>
      <w:tr>
        <w:tblPrEx>
          <w:tblW w:w="9255" w:type="dxa"/>
          <w:tblInd w:w="55" w:type="dxa"/>
          <w:tblCellMar>
            <w:left w:w="70" w:type="dxa"/>
            <w:right w:w="70" w:type="dxa"/>
          </w:tblCellMar>
        </w:tblPrEx>
        <w:trPr>
          <w:trHeight w:val="315"/>
        </w:trPr>
        <w:tc>
          <w:tcPr>
            <w:tcW w:w="3984" w:type="dxa"/>
            <w:tcBorders>
              <w:top w:val="single" w:sz="4" w:space="0" w:color="auto"/>
              <w:left w:val="single" w:sz="4" w:space="0" w:color="auto"/>
              <w:bottom w:val="nil"/>
              <w:right w:val="nil"/>
            </w:tcBorders>
            <w:shd w:val="clear" w:color="auto" w:fill="000000"/>
            <w:noWrap/>
            <w:textDirection w:val="lrTb"/>
            <w:vAlign w:val="bottom"/>
          </w:tcPr>
          <w:p w:rsidR="00B53407" w:rsidP="00BB5D47">
            <w:pPr>
              <w:bidi w:val="0"/>
              <w:rPr>
                <w:rFonts w:ascii="Times New Roman" w:hAnsi="Times New Roman"/>
                <w:b/>
                <w:bCs/>
                <w:color w:val="FFFFFF"/>
              </w:rPr>
            </w:pPr>
            <w:r>
              <w:rPr>
                <w:rFonts w:ascii="Times New Roman" w:hAnsi="Times New Roman"/>
                <w:b/>
                <w:bCs/>
                <w:color w:val="FFFFFF"/>
              </w:rPr>
              <w:t> </w:t>
            </w:r>
          </w:p>
        </w:tc>
        <w:tc>
          <w:tcPr>
            <w:tcW w:w="5271" w:type="dxa"/>
            <w:gridSpan w:val="4"/>
            <w:tcBorders>
              <w:top w:val="single" w:sz="4" w:space="0" w:color="auto"/>
              <w:left w:val="nil"/>
              <w:bottom w:val="nil"/>
              <w:right w:val="nil"/>
            </w:tcBorders>
            <w:shd w:val="clear" w:color="auto" w:fill="000000"/>
            <w:noWrap/>
            <w:textDirection w:val="lrTb"/>
            <w:vAlign w:val="bottom"/>
          </w:tcPr>
          <w:p w:rsidR="00B53407" w:rsidP="00BB5D47">
            <w:pPr>
              <w:bidi w:val="0"/>
              <w:jc w:val="center"/>
              <w:rPr>
                <w:rFonts w:ascii="Times New Roman" w:hAnsi="Times New Roman"/>
                <w:b/>
                <w:bCs/>
                <w:color w:val="FFFFFF"/>
              </w:rPr>
            </w:pPr>
            <w:r>
              <w:rPr>
                <w:rFonts w:ascii="Times New Roman" w:hAnsi="Times New Roman"/>
                <w:b/>
                <w:bCs/>
                <w:color w:val="FFFFFF"/>
              </w:rPr>
              <w:t>Vplyv na rozpočet verejnej správy</w:t>
            </w:r>
          </w:p>
        </w:tc>
      </w:tr>
      <w:tr>
        <w:tblPrEx>
          <w:tblW w:w="9255" w:type="dxa"/>
          <w:tblInd w:w="55" w:type="dxa"/>
          <w:tblCellMar>
            <w:left w:w="70" w:type="dxa"/>
            <w:right w:w="70" w:type="dxa"/>
          </w:tblCellMar>
        </w:tblPrEx>
        <w:trPr>
          <w:trHeight w:val="315"/>
        </w:trPr>
        <w:tc>
          <w:tcPr>
            <w:tcW w:w="3984" w:type="dxa"/>
            <w:tcBorders>
              <w:top w:val="nil"/>
              <w:left w:val="single" w:sz="4" w:space="0" w:color="auto"/>
              <w:bottom w:val="nil"/>
              <w:right w:val="nil"/>
            </w:tcBorders>
            <w:shd w:val="clear" w:color="auto" w:fill="000000"/>
            <w:noWrap/>
            <w:textDirection w:val="lrTb"/>
            <w:vAlign w:val="bottom"/>
          </w:tcPr>
          <w:p w:rsidR="00B53407" w:rsidP="0046704B">
            <w:pPr>
              <w:bidi w:val="0"/>
              <w:rPr>
                <w:rFonts w:ascii="Times New Roman" w:hAnsi="Times New Roman"/>
                <w:b/>
                <w:bCs/>
                <w:color w:val="FFFFFF"/>
                <w:u w:val="single"/>
              </w:rPr>
            </w:pPr>
            <w:r>
              <w:rPr>
                <w:rFonts w:ascii="Times New Roman" w:hAnsi="Times New Roman"/>
                <w:b/>
                <w:bCs/>
                <w:color w:val="FFFFFF"/>
                <w:u w:val="single"/>
              </w:rPr>
              <w:t>Rozpočet verejnej správy (v</w:t>
            </w:r>
            <w:r w:rsidR="0046704B">
              <w:rPr>
                <w:rFonts w:ascii="Times New Roman" w:hAnsi="Times New Roman"/>
                <w:b/>
                <w:bCs/>
                <w:color w:val="FFFFFF"/>
                <w:u w:val="single"/>
              </w:rPr>
              <w:t xml:space="preserve"> </w:t>
            </w:r>
            <w:r w:rsidR="00FD3869">
              <w:rPr>
                <w:rFonts w:ascii="Times New Roman" w:hAnsi="Times New Roman"/>
                <w:b/>
                <w:bCs/>
                <w:color w:val="FFFFFF"/>
                <w:u w:val="single"/>
              </w:rPr>
              <w:t>eur</w:t>
            </w:r>
            <w:r>
              <w:rPr>
                <w:rFonts w:ascii="Times New Roman" w:hAnsi="Times New Roman"/>
                <w:b/>
                <w:bCs/>
                <w:color w:val="FFFFFF"/>
                <w:u w:val="single"/>
              </w:rPr>
              <w:t>)</w:t>
            </w:r>
          </w:p>
        </w:tc>
        <w:tc>
          <w:tcPr>
            <w:tcW w:w="851" w:type="dxa"/>
            <w:tcBorders>
              <w:top w:val="nil"/>
              <w:left w:val="nil"/>
              <w:bottom w:val="nil"/>
              <w:right w:val="nil"/>
            </w:tcBorders>
            <w:shd w:val="clear" w:color="auto" w:fill="000000"/>
            <w:noWrap/>
            <w:textDirection w:val="lrTb"/>
            <w:vAlign w:val="bottom"/>
          </w:tcPr>
          <w:p w:rsidR="00B53407" w:rsidP="00BB5D47">
            <w:pPr>
              <w:bidi w:val="0"/>
              <w:jc w:val="center"/>
              <w:rPr>
                <w:rFonts w:ascii="Times New Roman" w:hAnsi="Times New Roman"/>
                <w:b/>
                <w:bCs/>
                <w:color w:val="FFFFFF"/>
              </w:rPr>
            </w:pPr>
            <w:r>
              <w:rPr>
                <w:rFonts w:ascii="Times New Roman" w:hAnsi="Times New Roman"/>
                <w:b/>
                <w:bCs/>
                <w:color w:val="FFFFFF"/>
              </w:rPr>
              <w:t>2011</w:t>
            </w:r>
          </w:p>
        </w:tc>
        <w:tc>
          <w:tcPr>
            <w:tcW w:w="1417" w:type="dxa"/>
            <w:tcBorders>
              <w:top w:val="nil"/>
              <w:left w:val="nil"/>
              <w:bottom w:val="nil"/>
              <w:right w:val="nil"/>
            </w:tcBorders>
            <w:shd w:val="clear" w:color="auto" w:fill="000000"/>
            <w:noWrap/>
            <w:textDirection w:val="lrTb"/>
            <w:vAlign w:val="bottom"/>
          </w:tcPr>
          <w:p w:rsidR="00B53407" w:rsidP="00BB5D47">
            <w:pPr>
              <w:bidi w:val="0"/>
              <w:jc w:val="center"/>
              <w:rPr>
                <w:rFonts w:ascii="Times New Roman" w:hAnsi="Times New Roman"/>
                <w:b/>
                <w:bCs/>
                <w:color w:val="FFFFFF"/>
              </w:rPr>
            </w:pPr>
            <w:r>
              <w:rPr>
                <w:rFonts w:ascii="Times New Roman" w:hAnsi="Times New Roman"/>
                <w:b/>
                <w:bCs/>
                <w:color w:val="FFFFFF"/>
              </w:rPr>
              <w:t>2012</w:t>
            </w:r>
          </w:p>
        </w:tc>
        <w:tc>
          <w:tcPr>
            <w:tcW w:w="1418" w:type="dxa"/>
            <w:tcBorders>
              <w:top w:val="nil"/>
              <w:left w:val="nil"/>
              <w:bottom w:val="nil"/>
              <w:right w:val="nil"/>
            </w:tcBorders>
            <w:shd w:val="clear" w:color="auto" w:fill="000000"/>
            <w:noWrap/>
            <w:textDirection w:val="lrTb"/>
            <w:vAlign w:val="bottom"/>
          </w:tcPr>
          <w:p w:rsidR="00B53407" w:rsidP="00BB5D47">
            <w:pPr>
              <w:bidi w:val="0"/>
              <w:jc w:val="center"/>
              <w:rPr>
                <w:rFonts w:ascii="Times New Roman" w:hAnsi="Times New Roman"/>
                <w:b/>
                <w:bCs/>
                <w:color w:val="FFFFFF"/>
              </w:rPr>
            </w:pPr>
            <w:r>
              <w:rPr>
                <w:rFonts w:ascii="Times New Roman" w:hAnsi="Times New Roman"/>
                <w:b/>
                <w:bCs/>
                <w:color w:val="FFFFFF"/>
              </w:rPr>
              <w:t>2013</w:t>
            </w:r>
          </w:p>
        </w:tc>
        <w:tc>
          <w:tcPr>
            <w:tcW w:w="1585" w:type="dxa"/>
            <w:tcBorders>
              <w:top w:val="nil"/>
              <w:left w:val="nil"/>
              <w:bottom w:val="nil"/>
              <w:right w:val="nil"/>
            </w:tcBorders>
            <w:shd w:val="clear" w:color="auto" w:fill="000000"/>
            <w:noWrap/>
            <w:textDirection w:val="lrTb"/>
            <w:vAlign w:val="bottom"/>
          </w:tcPr>
          <w:p w:rsidR="00B53407" w:rsidP="00BB5D47">
            <w:pPr>
              <w:bidi w:val="0"/>
              <w:jc w:val="center"/>
              <w:rPr>
                <w:rFonts w:ascii="Times New Roman" w:hAnsi="Times New Roman"/>
                <w:b/>
                <w:bCs/>
                <w:color w:val="FFFFFF"/>
              </w:rPr>
            </w:pPr>
            <w:r>
              <w:rPr>
                <w:rFonts w:ascii="Times New Roman" w:hAnsi="Times New Roman"/>
                <w:b/>
                <w:bCs/>
                <w:color w:val="FFFFFF"/>
              </w:rPr>
              <w:t>2014</w:t>
            </w:r>
          </w:p>
        </w:tc>
      </w:tr>
      <w:tr>
        <w:tblPrEx>
          <w:tblW w:w="9255" w:type="dxa"/>
          <w:tblInd w:w="55" w:type="dxa"/>
          <w:tblCellMar>
            <w:left w:w="70" w:type="dxa"/>
            <w:right w:w="70" w:type="dxa"/>
          </w:tblCellMar>
        </w:tblPrEx>
        <w:trPr>
          <w:trHeight w:val="315"/>
        </w:trPr>
        <w:tc>
          <w:tcPr>
            <w:tcW w:w="3984" w:type="dxa"/>
            <w:tcBorders>
              <w:top w:val="single" w:sz="4" w:space="0" w:color="auto"/>
              <w:left w:val="single" w:sz="4" w:space="0" w:color="auto"/>
              <w:bottom w:val="single" w:sz="4" w:space="0" w:color="auto"/>
              <w:right w:val="single" w:sz="4" w:space="0" w:color="auto"/>
            </w:tcBorders>
            <w:shd w:val="clear" w:color="auto" w:fill="969696"/>
            <w:noWrap/>
            <w:textDirection w:val="lrTb"/>
            <w:vAlign w:val="bottom"/>
          </w:tcPr>
          <w:p w:rsidR="00B53407" w:rsidP="00BB5D47">
            <w:pPr>
              <w:bidi w:val="0"/>
              <w:rPr>
                <w:rFonts w:ascii="Times New Roman" w:hAnsi="Times New Roman"/>
                <w:b/>
                <w:bCs/>
                <w:color w:val="000000"/>
              </w:rPr>
            </w:pPr>
            <w:r>
              <w:rPr>
                <w:rFonts w:ascii="Times New Roman" w:hAnsi="Times New Roman"/>
                <w:b/>
                <w:bCs/>
                <w:color w:val="000000"/>
              </w:rPr>
              <w:t>Príjmy verejnej správy celkom</w:t>
            </w:r>
          </w:p>
        </w:tc>
        <w:tc>
          <w:tcPr>
            <w:tcW w:w="851" w:type="dxa"/>
            <w:tcBorders>
              <w:top w:val="single" w:sz="4" w:space="0" w:color="auto"/>
              <w:left w:val="nil"/>
              <w:bottom w:val="single" w:sz="4" w:space="0" w:color="auto"/>
              <w:right w:val="single" w:sz="4" w:space="0" w:color="auto"/>
            </w:tcBorders>
            <w:shd w:val="clear" w:color="auto" w:fill="969696"/>
            <w:noWrap/>
            <w:textDirection w:val="lrTb"/>
            <w:vAlign w:val="bottom"/>
          </w:tcPr>
          <w:p w:rsidR="00B53407" w:rsidRPr="00702C25" w:rsidP="00BB5D47">
            <w:pPr>
              <w:bidi w:val="0"/>
              <w:jc w:val="right"/>
              <w:rPr>
                <w:rFonts w:ascii="Times New Roman" w:hAnsi="Times New Roman"/>
                <w:b/>
                <w:bCs/>
                <w:color w:val="000000"/>
              </w:rPr>
            </w:pPr>
            <w:r w:rsidR="00DA7D83">
              <w:rPr>
                <w:rFonts w:ascii="Times New Roman" w:hAnsi="Times New Roman"/>
                <w:b/>
                <w:bCs/>
                <w:color w:val="000000"/>
              </w:rPr>
              <w:t>50</w:t>
            </w:r>
            <w:r w:rsidRPr="00702C25">
              <w:rPr>
                <w:rFonts w:ascii="Times New Roman" w:hAnsi="Times New Roman"/>
                <w:b/>
                <w:bCs/>
                <w:color w:val="000000"/>
              </w:rPr>
              <w:t>0</w:t>
            </w:r>
          </w:p>
        </w:tc>
        <w:tc>
          <w:tcPr>
            <w:tcW w:w="1417" w:type="dxa"/>
            <w:tcBorders>
              <w:top w:val="single" w:sz="4" w:space="0" w:color="auto"/>
              <w:left w:val="nil"/>
              <w:bottom w:val="single" w:sz="4" w:space="0" w:color="auto"/>
              <w:right w:val="single" w:sz="4" w:space="0" w:color="auto"/>
            </w:tcBorders>
            <w:shd w:val="clear" w:color="auto" w:fill="969696"/>
            <w:noWrap/>
            <w:textDirection w:val="lrTb"/>
            <w:vAlign w:val="bottom"/>
          </w:tcPr>
          <w:p w:rsidR="00B53407" w:rsidRPr="00B279A2" w:rsidP="00DA7D83">
            <w:pPr>
              <w:bidi w:val="0"/>
              <w:jc w:val="right"/>
              <w:rPr>
                <w:rFonts w:ascii="Times New Roman" w:hAnsi="Times New Roman"/>
                <w:b/>
                <w:color w:val="000000"/>
              </w:rPr>
            </w:pPr>
            <w:r w:rsidR="00AE7304">
              <w:rPr>
                <w:rFonts w:ascii="Times New Roman" w:hAnsi="Times New Roman"/>
                <w:b/>
                <w:color w:val="000000"/>
              </w:rPr>
              <w:t>- 9 766 806</w:t>
            </w:r>
          </w:p>
        </w:tc>
        <w:tc>
          <w:tcPr>
            <w:tcW w:w="1418" w:type="dxa"/>
            <w:tcBorders>
              <w:top w:val="single" w:sz="4" w:space="0" w:color="auto"/>
              <w:left w:val="nil"/>
              <w:bottom w:val="single" w:sz="4" w:space="0" w:color="auto"/>
              <w:right w:val="single" w:sz="4" w:space="0" w:color="auto"/>
            </w:tcBorders>
            <w:shd w:val="clear" w:color="auto" w:fill="969696"/>
            <w:noWrap/>
            <w:textDirection w:val="lrTb"/>
            <w:vAlign w:val="bottom"/>
          </w:tcPr>
          <w:p w:rsidR="00B53407" w:rsidRPr="00B279A2" w:rsidP="00AE7304">
            <w:pPr>
              <w:bidi w:val="0"/>
              <w:jc w:val="right"/>
              <w:rPr>
                <w:rFonts w:ascii="Times New Roman" w:hAnsi="Times New Roman"/>
                <w:b/>
                <w:color w:val="000000"/>
              </w:rPr>
            </w:pPr>
            <w:r w:rsidRPr="00B279A2">
              <w:rPr>
                <w:rFonts w:ascii="Times New Roman" w:hAnsi="Times New Roman"/>
                <w:b/>
                <w:color w:val="000000"/>
              </w:rPr>
              <w:t>-</w:t>
            </w:r>
            <w:r w:rsidR="00AE7304">
              <w:rPr>
                <w:rFonts w:ascii="Times New Roman" w:hAnsi="Times New Roman"/>
                <w:b/>
                <w:color w:val="000000"/>
              </w:rPr>
              <w:t>45 377 154</w:t>
            </w:r>
          </w:p>
        </w:tc>
        <w:tc>
          <w:tcPr>
            <w:tcW w:w="1585" w:type="dxa"/>
            <w:tcBorders>
              <w:top w:val="single" w:sz="4" w:space="0" w:color="auto"/>
              <w:left w:val="nil"/>
              <w:bottom w:val="single" w:sz="4" w:space="0" w:color="auto"/>
              <w:right w:val="single" w:sz="4" w:space="0" w:color="auto"/>
            </w:tcBorders>
            <w:shd w:val="clear" w:color="auto" w:fill="969696"/>
            <w:noWrap/>
            <w:textDirection w:val="lrTb"/>
            <w:vAlign w:val="bottom"/>
          </w:tcPr>
          <w:p w:rsidR="00B53407" w:rsidRPr="00B279A2" w:rsidP="00AE7304">
            <w:pPr>
              <w:bidi w:val="0"/>
              <w:jc w:val="right"/>
              <w:rPr>
                <w:rFonts w:ascii="Times New Roman" w:hAnsi="Times New Roman"/>
                <w:b/>
                <w:color w:val="000000"/>
              </w:rPr>
            </w:pPr>
            <w:r w:rsidRPr="00B279A2">
              <w:rPr>
                <w:rFonts w:ascii="Times New Roman" w:hAnsi="Times New Roman"/>
                <w:b/>
                <w:color w:val="000000"/>
              </w:rPr>
              <w:t>-</w:t>
            </w:r>
            <w:r w:rsidR="00AE7304">
              <w:rPr>
                <w:rFonts w:ascii="Times New Roman" w:hAnsi="Times New Roman"/>
                <w:b/>
                <w:color w:val="000000"/>
              </w:rPr>
              <w:t>89 275 899</w:t>
            </w:r>
          </w:p>
        </w:tc>
      </w:tr>
      <w:tr>
        <w:tblPrEx>
          <w:tblW w:w="9255" w:type="dxa"/>
          <w:tblInd w:w="55" w:type="dxa"/>
          <w:tblCellMar>
            <w:left w:w="70" w:type="dxa"/>
            <w:right w:w="70" w:type="dxa"/>
          </w:tblCellMar>
        </w:tblPrEx>
        <w:trPr>
          <w:trHeight w:val="315"/>
        </w:trPr>
        <w:tc>
          <w:tcPr>
            <w:tcW w:w="3984" w:type="dxa"/>
            <w:tcBorders>
              <w:top w:val="nil"/>
              <w:left w:val="single" w:sz="4" w:space="0" w:color="auto"/>
              <w:bottom w:val="single" w:sz="4" w:space="0" w:color="auto"/>
              <w:right w:val="single" w:sz="4" w:space="0" w:color="auto"/>
            </w:tcBorders>
            <w:noWrap/>
            <w:textDirection w:val="lrTb"/>
            <w:vAlign w:val="bottom"/>
          </w:tcPr>
          <w:p w:rsidR="00B53407" w:rsidP="00BB5D47">
            <w:pPr>
              <w:bidi w:val="0"/>
              <w:rPr>
                <w:rFonts w:ascii="Times New Roman" w:hAnsi="Times New Roman"/>
                <w:color w:val="000000"/>
              </w:rPr>
            </w:pPr>
            <w:r>
              <w:rPr>
                <w:rFonts w:ascii="Times New Roman" w:hAnsi="Times New Roman"/>
                <w:color w:val="000000"/>
              </w:rPr>
              <w:t>Štátny rozpočet</w:t>
            </w:r>
          </w:p>
        </w:tc>
        <w:tc>
          <w:tcPr>
            <w:tcW w:w="851"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color w:val="000000"/>
              </w:rPr>
            </w:pPr>
            <w:r w:rsidRPr="00702C25">
              <w:rPr>
                <w:rFonts w:ascii="Times New Roman" w:hAnsi="Times New Roman"/>
                <w:color w:val="000000"/>
              </w:rPr>
              <w:t>0</w:t>
            </w:r>
          </w:p>
        </w:tc>
        <w:tc>
          <w:tcPr>
            <w:tcW w:w="1417"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color w:val="000000"/>
              </w:rPr>
            </w:pPr>
            <w:r>
              <w:rPr>
                <w:rFonts w:ascii="Times New Roman" w:hAnsi="Times New Roman"/>
                <w:color w:val="000000"/>
              </w:rPr>
              <w:t>0</w:t>
            </w:r>
          </w:p>
        </w:tc>
        <w:tc>
          <w:tcPr>
            <w:tcW w:w="1418"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color w:val="000000"/>
              </w:rPr>
            </w:pPr>
            <w:r>
              <w:rPr>
                <w:rFonts w:ascii="Times New Roman" w:hAnsi="Times New Roman"/>
                <w:color w:val="000000"/>
              </w:rPr>
              <w:t>0</w:t>
            </w:r>
          </w:p>
        </w:tc>
        <w:tc>
          <w:tcPr>
            <w:tcW w:w="1585"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color w:val="000000"/>
              </w:rPr>
            </w:pPr>
            <w:r>
              <w:rPr>
                <w:rFonts w:ascii="Times New Roman" w:hAnsi="Times New Roman"/>
                <w:color w:val="000000"/>
              </w:rPr>
              <w:t>0</w:t>
            </w:r>
          </w:p>
        </w:tc>
      </w:tr>
      <w:tr>
        <w:tblPrEx>
          <w:tblW w:w="9255" w:type="dxa"/>
          <w:tblInd w:w="55" w:type="dxa"/>
          <w:tblCellMar>
            <w:left w:w="70" w:type="dxa"/>
            <w:right w:w="70" w:type="dxa"/>
          </w:tblCellMar>
        </w:tblPrEx>
        <w:trPr>
          <w:trHeight w:val="315"/>
        </w:trPr>
        <w:tc>
          <w:tcPr>
            <w:tcW w:w="3984" w:type="dxa"/>
            <w:tcBorders>
              <w:top w:val="nil"/>
              <w:left w:val="single" w:sz="4" w:space="0" w:color="auto"/>
              <w:bottom w:val="single" w:sz="4" w:space="0" w:color="auto"/>
              <w:right w:val="single" w:sz="4" w:space="0" w:color="auto"/>
            </w:tcBorders>
            <w:noWrap/>
            <w:textDirection w:val="lrTb"/>
            <w:vAlign w:val="bottom"/>
          </w:tcPr>
          <w:p w:rsidR="00B53407" w:rsidP="00BB5D47">
            <w:pPr>
              <w:bidi w:val="0"/>
              <w:rPr>
                <w:rFonts w:ascii="Times New Roman" w:hAnsi="Times New Roman"/>
                <w:color w:val="000000"/>
              </w:rPr>
            </w:pPr>
            <w:r>
              <w:rPr>
                <w:rFonts w:ascii="Times New Roman" w:hAnsi="Times New Roman"/>
                <w:color w:val="000000"/>
              </w:rPr>
              <w:t>Sociálna poisťovňa</w:t>
            </w:r>
          </w:p>
        </w:tc>
        <w:tc>
          <w:tcPr>
            <w:tcW w:w="851"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color w:val="000000"/>
              </w:rPr>
            </w:pPr>
            <w:r w:rsidR="00DA7D83">
              <w:rPr>
                <w:rFonts w:ascii="Times New Roman" w:hAnsi="Times New Roman"/>
                <w:color w:val="000000"/>
              </w:rPr>
              <w:t>50</w:t>
            </w:r>
            <w:r w:rsidRPr="00702C25">
              <w:rPr>
                <w:rFonts w:ascii="Times New Roman" w:hAnsi="Times New Roman"/>
                <w:color w:val="000000"/>
              </w:rPr>
              <w:t>0</w:t>
            </w:r>
          </w:p>
        </w:tc>
        <w:tc>
          <w:tcPr>
            <w:tcW w:w="1417" w:type="dxa"/>
            <w:tcBorders>
              <w:top w:val="nil"/>
              <w:left w:val="nil"/>
              <w:bottom w:val="single" w:sz="4" w:space="0" w:color="auto"/>
              <w:right w:val="single" w:sz="4" w:space="0" w:color="auto"/>
            </w:tcBorders>
            <w:noWrap/>
            <w:textDirection w:val="lrTb"/>
            <w:vAlign w:val="bottom"/>
          </w:tcPr>
          <w:p w:rsidR="00B53407" w:rsidRPr="00702C25" w:rsidP="00AE7304">
            <w:pPr>
              <w:bidi w:val="0"/>
              <w:jc w:val="right"/>
              <w:rPr>
                <w:rFonts w:ascii="Times New Roman" w:hAnsi="Times New Roman"/>
                <w:color w:val="000000"/>
              </w:rPr>
            </w:pPr>
            <w:r>
              <w:rPr>
                <w:rFonts w:ascii="Times New Roman" w:hAnsi="Times New Roman"/>
                <w:color w:val="000000"/>
              </w:rPr>
              <w:t>-</w:t>
            </w:r>
            <w:r w:rsidR="00AE7304">
              <w:rPr>
                <w:rFonts w:ascii="Times New Roman" w:hAnsi="Times New Roman"/>
                <w:color w:val="000000"/>
              </w:rPr>
              <w:t>9 766 806</w:t>
            </w:r>
          </w:p>
        </w:tc>
        <w:tc>
          <w:tcPr>
            <w:tcW w:w="1418" w:type="dxa"/>
            <w:tcBorders>
              <w:top w:val="nil"/>
              <w:left w:val="nil"/>
              <w:bottom w:val="single" w:sz="4" w:space="0" w:color="auto"/>
              <w:right w:val="single" w:sz="4" w:space="0" w:color="auto"/>
            </w:tcBorders>
            <w:noWrap/>
            <w:textDirection w:val="lrTb"/>
            <w:vAlign w:val="bottom"/>
          </w:tcPr>
          <w:p w:rsidR="00B53407" w:rsidRPr="00702C25" w:rsidP="0046704B">
            <w:pPr>
              <w:bidi w:val="0"/>
              <w:jc w:val="right"/>
              <w:rPr>
                <w:rFonts w:ascii="Times New Roman" w:hAnsi="Times New Roman"/>
                <w:color w:val="000000"/>
              </w:rPr>
            </w:pPr>
            <w:r>
              <w:rPr>
                <w:rFonts w:ascii="Times New Roman" w:hAnsi="Times New Roman"/>
                <w:color w:val="000000"/>
              </w:rPr>
              <w:t>-</w:t>
            </w:r>
            <w:r w:rsidR="00AE7304">
              <w:rPr>
                <w:rFonts w:ascii="Times New Roman" w:hAnsi="Times New Roman"/>
                <w:color w:val="000000"/>
              </w:rPr>
              <w:t>45 377 154</w:t>
            </w:r>
          </w:p>
        </w:tc>
        <w:tc>
          <w:tcPr>
            <w:tcW w:w="1585" w:type="dxa"/>
            <w:tcBorders>
              <w:top w:val="nil"/>
              <w:left w:val="nil"/>
              <w:bottom w:val="single" w:sz="4" w:space="0" w:color="auto"/>
              <w:right w:val="single" w:sz="4" w:space="0" w:color="auto"/>
            </w:tcBorders>
            <w:noWrap/>
            <w:textDirection w:val="lrTb"/>
            <w:vAlign w:val="bottom"/>
          </w:tcPr>
          <w:p w:rsidR="00B53407" w:rsidRPr="00702C25" w:rsidP="00AE7304">
            <w:pPr>
              <w:bidi w:val="0"/>
              <w:jc w:val="right"/>
              <w:rPr>
                <w:rFonts w:ascii="Times New Roman" w:hAnsi="Times New Roman"/>
                <w:color w:val="000000"/>
              </w:rPr>
            </w:pPr>
            <w:r>
              <w:rPr>
                <w:rFonts w:ascii="Times New Roman" w:hAnsi="Times New Roman"/>
                <w:color w:val="000000"/>
              </w:rPr>
              <w:t>-</w:t>
            </w:r>
            <w:r w:rsidR="00AE7304">
              <w:rPr>
                <w:rFonts w:ascii="Times New Roman" w:hAnsi="Times New Roman"/>
                <w:color w:val="000000"/>
              </w:rPr>
              <w:t>89 275 899</w:t>
            </w:r>
          </w:p>
        </w:tc>
      </w:tr>
      <w:tr>
        <w:tblPrEx>
          <w:tblW w:w="9255" w:type="dxa"/>
          <w:tblInd w:w="55" w:type="dxa"/>
          <w:tblCellMar>
            <w:left w:w="70" w:type="dxa"/>
            <w:right w:w="70" w:type="dxa"/>
          </w:tblCellMar>
        </w:tblPrEx>
        <w:trPr>
          <w:trHeight w:val="315"/>
        </w:trPr>
        <w:tc>
          <w:tcPr>
            <w:tcW w:w="3984" w:type="dxa"/>
            <w:tcBorders>
              <w:top w:val="nil"/>
              <w:left w:val="single" w:sz="4" w:space="0" w:color="auto"/>
              <w:bottom w:val="single" w:sz="4" w:space="0" w:color="auto"/>
              <w:right w:val="single" w:sz="4" w:space="0" w:color="auto"/>
            </w:tcBorders>
            <w:noWrap/>
            <w:textDirection w:val="lrTb"/>
            <w:vAlign w:val="bottom"/>
          </w:tcPr>
          <w:p w:rsidR="00B53407" w:rsidP="00BB5D47">
            <w:pPr>
              <w:bidi w:val="0"/>
              <w:rPr>
                <w:rFonts w:ascii="Times New Roman" w:hAnsi="Times New Roman"/>
                <w:b/>
                <w:bCs/>
                <w:i/>
                <w:iCs/>
                <w:color w:val="000000"/>
              </w:rPr>
            </w:pPr>
            <w:r>
              <w:rPr>
                <w:rFonts w:ascii="Times New Roman" w:hAnsi="Times New Roman"/>
                <w:b/>
                <w:bCs/>
                <w:i/>
                <w:iCs/>
                <w:color w:val="000000"/>
              </w:rPr>
              <w:t>z toho:</w:t>
            </w:r>
          </w:p>
        </w:tc>
        <w:tc>
          <w:tcPr>
            <w:tcW w:w="851"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color w:val="000000"/>
              </w:rPr>
            </w:pPr>
          </w:p>
        </w:tc>
        <w:tc>
          <w:tcPr>
            <w:tcW w:w="1417"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color w:val="000000"/>
              </w:rPr>
            </w:pPr>
          </w:p>
        </w:tc>
        <w:tc>
          <w:tcPr>
            <w:tcW w:w="1418"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color w:val="000000"/>
              </w:rPr>
            </w:pPr>
          </w:p>
        </w:tc>
        <w:tc>
          <w:tcPr>
            <w:tcW w:w="1585"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color w:val="000000"/>
              </w:rPr>
            </w:pPr>
          </w:p>
        </w:tc>
      </w:tr>
      <w:tr>
        <w:tblPrEx>
          <w:tblW w:w="9255" w:type="dxa"/>
          <w:tblInd w:w="55" w:type="dxa"/>
          <w:tblCellMar>
            <w:left w:w="70" w:type="dxa"/>
            <w:right w:w="70" w:type="dxa"/>
          </w:tblCellMar>
        </w:tblPrEx>
        <w:trPr>
          <w:trHeight w:val="315"/>
        </w:trPr>
        <w:tc>
          <w:tcPr>
            <w:tcW w:w="3984" w:type="dxa"/>
            <w:tcBorders>
              <w:top w:val="nil"/>
              <w:left w:val="single" w:sz="4" w:space="0" w:color="auto"/>
              <w:bottom w:val="single" w:sz="4" w:space="0" w:color="auto"/>
              <w:right w:val="single" w:sz="4" w:space="0" w:color="auto"/>
            </w:tcBorders>
            <w:noWrap/>
            <w:textDirection w:val="lrTb"/>
            <w:vAlign w:val="bottom"/>
          </w:tcPr>
          <w:p w:rsidR="00B53407" w:rsidP="00BB5D47">
            <w:pPr>
              <w:bidi w:val="0"/>
              <w:rPr>
                <w:rFonts w:ascii="Times New Roman" w:hAnsi="Times New Roman"/>
                <w:b/>
                <w:bCs/>
                <w:i/>
                <w:iCs/>
                <w:color w:val="000000"/>
              </w:rPr>
            </w:pPr>
            <w:r>
              <w:rPr>
                <w:rFonts w:ascii="Times New Roman" w:hAnsi="Times New Roman"/>
                <w:b/>
                <w:bCs/>
                <w:i/>
                <w:iCs/>
                <w:color w:val="000000"/>
              </w:rPr>
              <w:t xml:space="preserve"> - vplyv na ŠR</w:t>
            </w:r>
          </w:p>
        </w:tc>
        <w:tc>
          <w:tcPr>
            <w:tcW w:w="851"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b/>
                <w:bCs/>
                <w:iCs/>
                <w:color w:val="000000"/>
              </w:rPr>
            </w:pPr>
            <w:r w:rsidRPr="00702C25">
              <w:rPr>
                <w:rFonts w:ascii="Times New Roman" w:hAnsi="Times New Roman"/>
                <w:b/>
                <w:bCs/>
                <w:iCs/>
                <w:color w:val="000000"/>
              </w:rPr>
              <w:t>0</w:t>
            </w:r>
          </w:p>
        </w:tc>
        <w:tc>
          <w:tcPr>
            <w:tcW w:w="1417"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b/>
                <w:bCs/>
                <w:iCs/>
                <w:color w:val="000000"/>
              </w:rPr>
            </w:pPr>
            <w:r>
              <w:rPr>
                <w:rFonts w:ascii="Times New Roman" w:hAnsi="Times New Roman"/>
                <w:b/>
                <w:bCs/>
                <w:iCs/>
                <w:color w:val="000000"/>
              </w:rPr>
              <w:t>0</w:t>
            </w:r>
          </w:p>
        </w:tc>
        <w:tc>
          <w:tcPr>
            <w:tcW w:w="1418"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b/>
                <w:bCs/>
                <w:iCs/>
                <w:color w:val="000000"/>
              </w:rPr>
            </w:pPr>
            <w:r>
              <w:rPr>
                <w:rFonts w:ascii="Times New Roman" w:hAnsi="Times New Roman"/>
                <w:b/>
                <w:bCs/>
                <w:iCs/>
                <w:color w:val="000000"/>
              </w:rPr>
              <w:t>0</w:t>
            </w:r>
          </w:p>
        </w:tc>
        <w:tc>
          <w:tcPr>
            <w:tcW w:w="1585"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b/>
                <w:bCs/>
                <w:iCs/>
                <w:color w:val="000000"/>
              </w:rPr>
            </w:pPr>
            <w:r>
              <w:rPr>
                <w:rFonts w:ascii="Times New Roman" w:hAnsi="Times New Roman"/>
                <w:b/>
                <w:bCs/>
                <w:iCs/>
                <w:color w:val="000000"/>
              </w:rPr>
              <w:t>0</w:t>
            </w:r>
          </w:p>
        </w:tc>
      </w:tr>
      <w:tr>
        <w:tblPrEx>
          <w:tblW w:w="9255" w:type="dxa"/>
          <w:tblInd w:w="55" w:type="dxa"/>
          <w:tblCellMar>
            <w:left w:w="70" w:type="dxa"/>
            <w:right w:w="70" w:type="dxa"/>
          </w:tblCellMar>
        </w:tblPrEx>
        <w:trPr>
          <w:trHeight w:val="315"/>
        </w:trPr>
        <w:tc>
          <w:tcPr>
            <w:tcW w:w="3984" w:type="dxa"/>
            <w:tcBorders>
              <w:top w:val="nil"/>
              <w:left w:val="single" w:sz="4" w:space="0" w:color="auto"/>
              <w:bottom w:val="single" w:sz="4" w:space="0" w:color="auto"/>
              <w:right w:val="single" w:sz="4" w:space="0" w:color="auto"/>
            </w:tcBorders>
            <w:noWrap/>
            <w:textDirection w:val="lrTb"/>
            <w:vAlign w:val="bottom"/>
          </w:tcPr>
          <w:p w:rsidR="00B53407" w:rsidP="00BB5D47">
            <w:pPr>
              <w:bidi w:val="0"/>
              <w:rPr>
                <w:rFonts w:ascii="Times New Roman" w:hAnsi="Times New Roman"/>
                <w:b/>
                <w:bCs/>
                <w:i/>
                <w:iCs/>
                <w:color w:val="000000"/>
              </w:rPr>
            </w:pPr>
            <w:r>
              <w:rPr>
                <w:rFonts w:ascii="Times New Roman" w:hAnsi="Times New Roman"/>
                <w:b/>
                <w:bCs/>
                <w:i/>
                <w:iCs/>
                <w:color w:val="000000"/>
              </w:rPr>
              <w:t xml:space="preserve"> - vplyv na územnú samosprávu</w:t>
            </w:r>
          </w:p>
        </w:tc>
        <w:tc>
          <w:tcPr>
            <w:tcW w:w="851"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b/>
                <w:bCs/>
                <w:iCs/>
                <w:color w:val="000000"/>
              </w:rPr>
            </w:pPr>
            <w:r w:rsidRPr="00702C25">
              <w:rPr>
                <w:rFonts w:ascii="Times New Roman" w:hAnsi="Times New Roman"/>
                <w:b/>
                <w:bCs/>
                <w:iCs/>
                <w:color w:val="000000"/>
              </w:rPr>
              <w:t>0</w:t>
            </w:r>
          </w:p>
        </w:tc>
        <w:tc>
          <w:tcPr>
            <w:tcW w:w="1417"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b/>
                <w:bCs/>
                <w:iCs/>
                <w:color w:val="000000"/>
              </w:rPr>
            </w:pPr>
            <w:r>
              <w:rPr>
                <w:rFonts w:ascii="Times New Roman" w:hAnsi="Times New Roman"/>
                <w:b/>
                <w:bCs/>
                <w:iCs/>
                <w:color w:val="000000"/>
              </w:rPr>
              <w:t>0</w:t>
            </w:r>
          </w:p>
        </w:tc>
        <w:tc>
          <w:tcPr>
            <w:tcW w:w="1418"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b/>
                <w:bCs/>
                <w:iCs/>
                <w:color w:val="000000"/>
              </w:rPr>
            </w:pPr>
            <w:r>
              <w:rPr>
                <w:rFonts w:ascii="Times New Roman" w:hAnsi="Times New Roman"/>
                <w:b/>
                <w:bCs/>
                <w:iCs/>
                <w:color w:val="000000"/>
              </w:rPr>
              <w:t>0</w:t>
            </w:r>
          </w:p>
        </w:tc>
        <w:tc>
          <w:tcPr>
            <w:tcW w:w="1585"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b/>
                <w:bCs/>
                <w:iCs/>
                <w:color w:val="000000"/>
              </w:rPr>
            </w:pPr>
            <w:r>
              <w:rPr>
                <w:rFonts w:ascii="Times New Roman" w:hAnsi="Times New Roman"/>
                <w:b/>
                <w:bCs/>
                <w:iCs/>
                <w:color w:val="000000"/>
              </w:rPr>
              <w:t>0</w:t>
            </w:r>
          </w:p>
        </w:tc>
      </w:tr>
      <w:tr>
        <w:tblPrEx>
          <w:tblW w:w="9255" w:type="dxa"/>
          <w:tblInd w:w="55" w:type="dxa"/>
          <w:tblCellMar>
            <w:left w:w="70" w:type="dxa"/>
            <w:right w:w="70" w:type="dxa"/>
          </w:tblCellMar>
        </w:tblPrEx>
        <w:trPr>
          <w:trHeight w:val="315"/>
        </w:trPr>
        <w:tc>
          <w:tcPr>
            <w:tcW w:w="3984" w:type="dxa"/>
            <w:tcBorders>
              <w:top w:val="nil"/>
              <w:left w:val="single" w:sz="4" w:space="0" w:color="auto"/>
              <w:bottom w:val="single" w:sz="4" w:space="0" w:color="auto"/>
              <w:right w:val="single" w:sz="4" w:space="0" w:color="auto"/>
            </w:tcBorders>
            <w:shd w:val="clear" w:color="auto" w:fill="969696"/>
            <w:noWrap/>
            <w:textDirection w:val="lrTb"/>
            <w:vAlign w:val="bottom"/>
          </w:tcPr>
          <w:p w:rsidR="00B53407" w:rsidP="00BB5D47">
            <w:pPr>
              <w:bidi w:val="0"/>
              <w:rPr>
                <w:rFonts w:ascii="Times New Roman" w:hAnsi="Times New Roman"/>
                <w:b/>
                <w:bCs/>
                <w:color w:val="000000"/>
              </w:rPr>
            </w:pPr>
            <w:r>
              <w:rPr>
                <w:rFonts w:ascii="Times New Roman" w:hAnsi="Times New Roman"/>
                <w:b/>
                <w:bCs/>
                <w:color w:val="000000"/>
              </w:rPr>
              <w:t>Výdavky verejnej správy celkom</w:t>
            </w:r>
          </w:p>
        </w:tc>
        <w:tc>
          <w:tcPr>
            <w:tcW w:w="851" w:type="dxa"/>
            <w:tcBorders>
              <w:top w:val="nil"/>
              <w:left w:val="nil"/>
              <w:bottom w:val="single" w:sz="4" w:space="0" w:color="auto"/>
              <w:right w:val="single" w:sz="4" w:space="0" w:color="auto"/>
            </w:tcBorders>
            <w:shd w:val="clear" w:color="auto" w:fill="969696"/>
            <w:noWrap/>
            <w:textDirection w:val="lrTb"/>
            <w:vAlign w:val="bottom"/>
          </w:tcPr>
          <w:p w:rsidR="00B53407" w:rsidRPr="00702C25" w:rsidP="00BB5D47">
            <w:pPr>
              <w:bidi w:val="0"/>
              <w:jc w:val="right"/>
              <w:rPr>
                <w:rFonts w:ascii="Times New Roman" w:hAnsi="Times New Roman"/>
                <w:b/>
                <w:bCs/>
                <w:color w:val="000000"/>
              </w:rPr>
            </w:pPr>
            <w:r w:rsidRPr="00702C25">
              <w:rPr>
                <w:rFonts w:ascii="Times New Roman" w:hAnsi="Times New Roman"/>
                <w:b/>
                <w:bCs/>
                <w:color w:val="000000"/>
              </w:rPr>
              <w:t>0</w:t>
            </w:r>
          </w:p>
        </w:tc>
        <w:tc>
          <w:tcPr>
            <w:tcW w:w="1417" w:type="dxa"/>
            <w:tcBorders>
              <w:top w:val="nil"/>
              <w:left w:val="nil"/>
              <w:bottom w:val="single" w:sz="4" w:space="0" w:color="auto"/>
              <w:right w:val="single" w:sz="4" w:space="0" w:color="auto"/>
            </w:tcBorders>
            <w:shd w:val="clear" w:color="auto" w:fill="969696"/>
            <w:noWrap/>
            <w:textDirection w:val="lrTb"/>
            <w:vAlign w:val="bottom"/>
          </w:tcPr>
          <w:p w:rsidR="00B53407" w:rsidRPr="00E061DE" w:rsidP="00BB5D47">
            <w:pPr>
              <w:bidi w:val="0"/>
              <w:jc w:val="right"/>
              <w:rPr>
                <w:rFonts w:ascii="Times New Roman" w:hAnsi="Times New Roman"/>
                <w:b/>
                <w:color w:val="000000"/>
              </w:rPr>
            </w:pPr>
            <w:r w:rsidR="00AE7304">
              <w:rPr>
                <w:rFonts w:ascii="Times New Roman" w:hAnsi="Times New Roman"/>
                <w:b/>
                <w:color w:val="000000"/>
              </w:rPr>
              <w:t>60 600</w:t>
            </w:r>
          </w:p>
        </w:tc>
        <w:tc>
          <w:tcPr>
            <w:tcW w:w="1418" w:type="dxa"/>
            <w:tcBorders>
              <w:top w:val="nil"/>
              <w:left w:val="nil"/>
              <w:bottom w:val="single" w:sz="4" w:space="0" w:color="auto"/>
              <w:right w:val="single" w:sz="4" w:space="0" w:color="auto"/>
            </w:tcBorders>
            <w:shd w:val="clear" w:color="auto" w:fill="969696"/>
            <w:noWrap/>
            <w:textDirection w:val="lrTb"/>
            <w:vAlign w:val="bottom"/>
          </w:tcPr>
          <w:p w:rsidR="00B53407" w:rsidRPr="00E061DE" w:rsidP="00AE7304">
            <w:pPr>
              <w:bidi w:val="0"/>
              <w:jc w:val="right"/>
              <w:rPr>
                <w:rFonts w:ascii="Times New Roman" w:hAnsi="Times New Roman"/>
                <w:b/>
                <w:color w:val="000000"/>
              </w:rPr>
            </w:pPr>
            <w:r w:rsidR="00AE7304">
              <w:rPr>
                <w:rFonts w:ascii="Times New Roman" w:hAnsi="Times New Roman"/>
                <w:b/>
                <w:color w:val="000000"/>
              </w:rPr>
              <w:t>92 100</w:t>
            </w:r>
          </w:p>
        </w:tc>
        <w:tc>
          <w:tcPr>
            <w:tcW w:w="1585" w:type="dxa"/>
            <w:tcBorders>
              <w:top w:val="nil"/>
              <w:left w:val="nil"/>
              <w:bottom w:val="single" w:sz="4" w:space="0" w:color="auto"/>
              <w:right w:val="single" w:sz="4" w:space="0" w:color="auto"/>
            </w:tcBorders>
            <w:shd w:val="clear" w:color="auto" w:fill="969696"/>
            <w:noWrap/>
            <w:textDirection w:val="lrTb"/>
            <w:vAlign w:val="bottom"/>
          </w:tcPr>
          <w:p w:rsidR="00B53407" w:rsidRPr="00E061DE" w:rsidP="00BB5D47">
            <w:pPr>
              <w:bidi w:val="0"/>
              <w:jc w:val="right"/>
              <w:rPr>
                <w:rFonts w:ascii="Times New Roman" w:hAnsi="Times New Roman"/>
                <w:b/>
                <w:color w:val="000000"/>
              </w:rPr>
            </w:pPr>
            <w:r w:rsidR="00AE7304">
              <w:rPr>
                <w:rFonts w:ascii="Times New Roman" w:hAnsi="Times New Roman"/>
                <w:b/>
                <w:color w:val="000000"/>
              </w:rPr>
              <w:t>97 600</w:t>
            </w:r>
          </w:p>
        </w:tc>
      </w:tr>
      <w:tr>
        <w:tblPrEx>
          <w:tblW w:w="9255" w:type="dxa"/>
          <w:tblInd w:w="55" w:type="dxa"/>
          <w:tblCellMar>
            <w:left w:w="70" w:type="dxa"/>
            <w:right w:w="70" w:type="dxa"/>
          </w:tblCellMar>
        </w:tblPrEx>
        <w:trPr>
          <w:trHeight w:val="315"/>
        </w:trPr>
        <w:tc>
          <w:tcPr>
            <w:tcW w:w="3984" w:type="dxa"/>
            <w:tcBorders>
              <w:top w:val="nil"/>
              <w:left w:val="single" w:sz="4" w:space="0" w:color="auto"/>
              <w:bottom w:val="single" w:sz="4" w:space="0" w:color="auto"/>
              <w:right w:val="single" w:sz="4" w:space="0" w:color="auto"/>
            </w:tcBorders>
            <w:noWrap/>
            <w:textDirection w:val="lrTb"/>
            <w:vAlign w:val="bottom"/>
          </w:tcPr>
          <w:p w:rsidR="00B53407" w:rsidP="00BB5D47">
            <w:pPr>
              <w:bidi w:val="0"/>
              <w:rPr>
                <w:rFonts w:ascii="Times New Roman" w:hAnsi="Times New Roman"/>
                <w:color w:val="000000"/>
              </w:rPr>
            </w:pPr>
            <w:r>
              <w:rPr>
                <w:rFonts w:ascii="Times New Roman" w:hAnsi="Times New Roman"/>
                <w:color w:val="000000"/>
              </w:rPr>
              <w:t>Štátny rozpočet (MPSVR SR)</w:t>
            </w:r>
          </w:p>
        </w:tc>
        <w:tc>
          <w:tcPr>
            <w:tcW w:w="851"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color w:val="000000"/>
              </w:rPr>
            </w:pPr>
            <w:r w:rsidRPr="00702C25">
              <w:rPr>
                <w:rFonts w:ascii="Times New Roman" w:hAnsi="Times New Roman"/>
                <w:color w:val="000000"/>
              </w:rPr>
              <w:t>0</w:t>
            </w:r>
          </w:p>
        </w:tc>
        <w:tc>
          <w:tcPr>
            <w:tcW w:w="1417"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color w:val="000000"/>
              </w:rPr>
            </w:pPr>
            <w:r>
              <w:rPr>
                <w:rFonts w:ascii="Times New Roman" w:hAnsi="Times New Roman"/>
                <w:color w:val="000000"/>
              </w:rPr>
              <w:t>0</w:t>
            </w:r>
          </w:p>
        </w:tc>
        <w:tc>
          <w:tcPr>
            <w:tcW w:w="1418"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color w:val="000000"/>
              </w:rPr>
            </w:pPr>
            <w:r>
              <w:rPr>
                <w:rFonts w:ascii="Times New Roman" w:hAnsi="Times New Roman"/>
                <w:color w:val="000000"/>
              </w:rPr>
              <w:t>0</w:t>
            </w:r>
          </w:p>
        </w:tc>
        <w:tc>
          <w:tcPr>
            <w:tcW w:w="1585"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color w:val="000000"/>
              </w:rPr>
            </w:pPr>
            <w:r>
              <w:rPr>
                <w:rFonts w:ascii="Times New Roman" w:hAnsi="Times New Roman"/>
                <w:color w:val="000000"/>
              </w:rPr>
              <w:t>0</w:t>
            </w:r>
          </w:p>
        </w:tc>
      </w:tr>
      <w:tr>
        <w:tblPrEx>
          <w:tblW w:w="9255" w:type="dxa"/>
          <w:tblInd w:w="55" w:type="dxa"/>
          <w:tblCellMar>
            <w:left w:w="70" w:type="dxa"/>
            <w:right w:w="70" w:type="dxa"/>
          </w:tblCellMar>
        </w:tblPrEx>
        <w:trPr>
          <w:trHeight w:val="315"/>
        </w:trPr>
        <w:tc>
          <w:tcPr>
            <w:tcW w:w="3984" w:type="dxa"/>
            <w:tcBorders>
              <w:top w:val="nil"/>
              <w:left w:val="single" w:sz="4" w:space="0" w:color="auto"/>
              <w:bottom w:val="single" w:sz="4" w:space="0" w:color="auto"/>
              <w:right w:val="single" w:sz="4" w:space="0" w:color="auto"/>
            </w:tcBorders>
            <w:noWrap/>
            <w:textDirection w:val="lrTb"/>
            <w:vAlign w:val="bottom"/>
          </w:tcPr>
          <w:p w:rsidR="00B53407" w:rsidRPr="00571783" w:rsidP="00BB5D47">
            <w:pPr>
              <w:bidi w:val="0"/>
              <w:rPr>
                <w:rFonts w:ascii="Times New Roman" w:hAnsi="Times New Roman"/>
                <w:color w:val="000000"/>
              </w:rPr>
            </w:pPr>
            <w:r w:rsidRPr="00571783">
              <w:rPr>
                <w:rFonts w:ascii="Times New Roman" w:hAnsi="Times New Roman"/>
                <w:color w:val="000000"/>
              </w:rPr>
              <w:t>Sociálna poisťovňa</w:t>
            </w:r>
          </w:p>
        </w:tc>
        <w:tc>
          <w:tcPr>
            <w:tcW w:w="851" w:type="dxa"/>
            <w:tcBorders>
              <w:top w:val="nil"/>
              <w:left w:val="nil"/>
              <w:bottom w:val="single" w:sz="4" w:space="0" w:color="auto"/>
              <w:right w:val="single" w:sz="4" w:space="0" w:color="auto"/>
            </w:tcBorders>
            <w:noWrap/>
            <w:textDirection w:val="lrTb"/>
            <w:vAlign w:val="bottom"/>
          </w:tcPr>
          <w:p w:rsidR="00B53407" w:rsidRPr="00571783" w:rsidP="00BB5D47">
            <w:pPr>
              <w:bidi w:val="0"/>
              <w:jc w:val="right"/>
              <w:rPr>
                <w:rFonts w:ascii="Times New Roman" w:hAnsi="Times New Roman"/>
                <w:color w:val="000000"/>
              </w:rPr>
            </w:pPr>
            <w:r w:rsidRPr="00571783">
              <w:rPr>
                <w:rFonts w:ascii="Times New Roman" w:hAnsi="Times New Roman"/>
                <w:color w:val="000000"/>
              </w:rPr>
              <w:t>0</w:t>
            </w:r>
          </w:p>
        </w:tc>
        <w:tc>
          <w:tcPr>
            <w:tcW w:w="1417" w:type="dxa"/>
            <w:tcBorders>
              <w:top w:val="nil"/>
              <w:left w:val="nil"/>
              <w:bottom w:val="single" w:sz="4" w:space="0" w:color="auto"/>
              <w:right w:val="single" w:sz="4" w:space="0" w:color="auto"/>
            </w:tcBorders>
            <w:noWrap/>
            <w:textDirection w:val="lrTb"/>
            <w:vAlign w:val="bottom"/>
          </w:tcPr>
          <w:p w:rsidR="00B53407" w:rsidRPr="00571783" w:rsidP="00BB5D47">
            <w:pPr>
              <w:bidi w:val="0"/>
              <w:jc w:val="right"/>
              <w:rPr>
                <w:rFonts w:ascii="Times New Roman" w:hAnsi="Times New Roman"/>
                <w:color w:val="000000"/>
              </w:rPr>
            </w:pPr>
            <w:r w:rsidR="00AE7304">
              <w:rPr>
                <w:rFonts w:ascii="Times New Roman" w:hAnsi="Times New Roman"/>
                <w:color w:val="000000"/>
              </w:rPr>
              <w:t>60 600</w:t>
            </w:r>
          </w:p>
        </w:tc>
        <w:tc>
          <w:tcPr>
            <w:tcW w:w="1418" w:type="dxa"/>
            <w:tcBorders>
              <w:top w:val="nil"/>
              <w:left w:val="nil"/>
              <w:bottom w:val="single" w:sz="4" w:space="0" w:color="auto"/>
              <w:right w:val="single" w:sz="4" w:space="0" w:color="auto"/>
            </w:tcBorders>
            <w:noWrap/>
            <w:textDirection w:val="lrTb"/>
            <w:vAlign w:val="bottom"/>
          </w:tcPr>
          <w:p w:rsidR="00B53407" w:rsidRPr="00571783" w:rsidP="00BB5D47">
            <w:pPr>
              <w:bidi w:val="0"/>
              <w:jc w:val="right"/>
              <w:rPr>
                <w:rFonts w:ascii="Times New Roman" w:hAnsi="Times New Roman"/>
                <w:color w:val="000000"/>
              </w:rPr>
            </w:pPr>
            <w:r w:rsidR="00AE7304">
              <w:rPr>
                <w:rFonts w:ascii="Times New Roman" w:hAnsi="Times New Roman"/>
                <w:color w:val="000000"/>
              </w:rPr>
              <w:t>92 100</w:t>
            </w:r>
          </w:p>
        </w:tc>
        <w:tc>
          <w:tcPr>
            <w:tcW w:w="1585" w:type="dxa"/>
            <w:tcBorders>
              <w:top w:val="nil"/>
              <w:left w:val="nil"/>
              <w:bottom w:val="single" w:sz="4" w:space="0" w:color="auto"/>
              <w:right w:val="single" w:sz="4" w:space="0" w:color="auto"/>
            </w:tcBorders>
            <w:noWrap/>
            <w:textDirection w:val="lrTb"/>
            <w:vAlign w:val="bottom"/>
          </w:tcPr>
          <w:p w:rsidR="00B53407" w:rsidRPr="00571783" w:rsidP="00BB5D47">
            <w:pPr>
              <w:bidi w:val="0"/>
              <w:jc w:val="right"/>
              <w:rPr>
                <w:rFonts w:ascii="Times New Roman" w:hAnsi="Times New Roman"/>
                <w:color w:val="000000"/>
              </w:rPr>
            </w:pPr>
            <w:r w:rsidR="00AE7304">
              <w:rPr>
                <w:rFonts w:ascii="Times New Roman" w:hAnsi="Times New Roman"/>
                <w:color w:val="000000"/>
              </w:rPr>
              <w:t>97 600</w:t>
            </w:r>
          </w:p>
        </w:tc>
      </w:tr>
      <w:tr>
        <w:tblPrEx>
          <w:tblW w:w="9255" w:type="dxa"/>
          <w:tblInd w:w="55" w:type="dxa"/>
          <w:tblCellMar>
            <w:left w:w="70" w:type="dxa"/>
            <w:right w:w="70" w:type="dxa"/>
          </w:tblCellMar>
        </w:tblPrEx>
        <w:trPr>
          <w:trHeight w:val="315"/>
        </w:trPr>
        <w:tc>
          <w:tcPr>
            <w:tcW w:w="3984" w:type="dxa"/>
            <w:tcBorders>
              <w:top w:val="nil"/>
              <w:left w:val="single" w:sz="4" w:space="0" w:color="auto"/>
              <w:bottom w:val="single" w:sz="4" w:space="0" w:color="auto"/>
              <w:right w:val="single" w:sz="4" w:space="0" w:color="auto"/>
            </w:tcBorders>
            <w:noWrap/>
            <w:textDirection w:val="lrTb"/>
            <w:vAlign w:val="bottom"/>
          </w:tcPr>
          <w:p w:rsidR="00B53407" w:rsidP="00BB5D47">
            <w:pPr>
              <w:bidi w:val="0"/>
              <w:rPr>
                <w:rFonts w:ascii="Times New Roman" w:hAnsi="Times New Roman"/>
                <w:b/>
                <w:bCs/>
                <w:i/>
                <w:iCs/>
                <w:color w:val="000000"/>
              </w:rPr>
            </w:pPr>
            <w:r>
              <w:rPr>
                <w:rFonts w:ascii="Times New Roman" w:hAnsi="Times New Roman"/>
                <w:b/>
                <w:bCs/>
                <w:i/>
                <w:iCs/>
                <w:color w:val="000000"/>
              </w:rPr>
              <w:t>z toho:</w:t>
            </w:r>
          </w:p>
        </w:tc>
        <w:tc>
          <w:tcPr>
            <w:tcW w:w="851"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color w:val="000000"/>
              </w:rPr>
            </w:pPr>
            <w:r w:rsidRPr="00702C25">
              <w:rPr>
                <w:rFonts w:ascii="Times New Roman" w:hAnsi="Times New Roman"/>
                <w:color w:val="000000"/>
              </w:rPr>
              <w:t> </w:t>
            </w:r>
          </w:p>
        </w:tc>
        <w:tc>
          <w:tcPr>
            <w:tcW w:w="1417"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color w:val="000000"/>
              </w:rPr>
            </w:pPr>
          </w:p>
        </w:tc>
        <w:tc>
          <w:tcPr>
            <w:tcW w:w="1418"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color w:val="000000"/>
              </w:rPr>
            </w:pPr>
          </w:p>
        </w:tc>
        <w:tc>
          <w:tcPr>
            <w:tcW w:w="1585"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color w:val="000000"/>
              </w:rPr>
            </w:pPr>
          </w:p>
        </w:tc>
      </w:tr>
      <w:tr>
        <w:tblPrEx>
          <w:tblW w:w="9255" w:type="dxa"/>
          <w:tblInd w:w="55" w:type="dxa"/>
          <w:tblCellMar>
            <w:left w:w="70" w:type="dxa"/>
            <w:right w:w="70" w:type="dxa"/>
          </w:tblCellMar>
        </w:tblPrEx>
        <w:trPr>
          <w:trHeight w:val="315"/>
        </w:trPr>
        <w:tc>
          <w:tcPr>
            <w:tcW w:w="3984" w:type="dxa"/>
            <w:tcBorders>
              <w:top w:val="nil"/>
              <w:left w:val="single" w:sz="4" w:space="0" w:color="auto"/>
              <w:bottom w:val="single" w:sz="4" w:space="0" w:color="auto"/>
              <w:right w:val="single" w:sz="4" w:space="0" w:color="auto"/>
            </w:tcBorders>
            <w:noWrap/>
            <w:textDirection w:val="lrTb"/>
            <w:vAlign w:val="bottom"/>
          </w:tcPr>
          <w:p w:rsidR="00B53407" w:rsidP="00BB5D47">
            <w:pPr>
              <w:bidi w:val="0"/>
              <w:rPr>
                <w:rFonts w:ascii="Times New Roman" w:hAnsi="Times New Roman"/>
                <w:b/>
                <w:bCs/>
                <w:i/>
                <w:iCs/>
                <w:color w:val="000000"/>
              </w:rPr>
            </w:pPr>
            <w:r>
              <w:rPr>
                <w:rFonts w:ascii="Times New Roman" w:hAnsi="Times New Roman"/>
                <w:b/>
                <w:bCs/>
                <w:i/>
                <w:iCs/>
                <w:color w:val="000000"/>
              </w:rPr>
              <w:t xml:space="preserve"> - vplyv na ŠR</w:t>
            </w:r>
          </w:p>
        </w:tc>
        <w:tc>
          <w:tcPr>
            <w:tcW w:w="851"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b/>
                <w:bCs/>
                <w:iCs/>
                <w:color w:val="000000"/>
              </w:rPr>
            </w:pPr>
            <w:r w:rsidRPr="00702C25">
              <w:rPr>
                <w:rFonts w:ascii="Times New Roman" w:hAnsi="Times New Roman"/>
                <w:b/>
                <w:bCs/>
                <w:iCs/>
                <w:color w:val="000000"/>
              </w:rPr>
              <w:t>0</w:t>
            </w:r>
          </w:p>
        </w:tc>
        <w:tc>
          <w:tcPr>
            <w:tcW w:w="1417"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b/>
                <w:bCs/>
                <w:iCs/>
                <w:color w:val="000000"/>
              </w:rPr>
            </w:pPr>
            <w:r>
              <w:rPr>
                <w:rFonts w:ascii="Times New Roman" w:hAnsi="Times New Roman"/>
                <w:b/>
                <w:bCs/>
                <w:iCs/>
                <w:color w:val="000000"/>
              </w:rPr>
              <w:t>0</w:t>
            </w:r>
          </w:p>
        </w:tc>
        <w:tc>
          <w:tcPr>
            <w:tcW w:w="1418"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b/>
                <w:bCs/>
                <w:iCs/>
                <w:color w:val="000000"/>
              </w:rPr>
            </w:pPr>
            <w:r>
              <w:rPr>
                <w:rFonts w:ascii="Times New Roman" w:hAnsi="Times New Roman"/>
                <w:b/>
                <w:bCs/>
                <w:iCs/>
                <w:color w:val="000000"/>
              </w:rPr>
              <w:t>0</w:t>
            </w:r>
          </w:p>
        </w:tc>
        <w:tc>
          <w:tcPr>
            <w:tcW w:w="1585"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b/>
                <w:bCs/>
                <w:iCs/>
                <w:color w:val="000000"/>
              </w:rPr>
            </w:pPr>
            <w:r>
              <w:rPr>
                <w:rFonts w:ascii="Times New Roman" w:hAnsi="Times New Roman"/>
                <w:b/>
                <w:bCs/>
                <w:iCs/>
                <w:color w:val="000000"/>
              </w:rPr>
              <w:t>0</w:t>
            </w:r>
          </w:p>
        </w:tc>
      </w:tr>
      <w:tr>
        <w:tblPrEx>
          <w:tblW w:w="9255" w:type="dxa"/>
          <w:tblInd w:w="55" w:type="dxa"/>
          <w:tblCellMar>
            <w:left w:w="70" w:type="dxa"/>
            <w:right w:w="70" w:type="dxa"/>
          </w:tblCellMar>
        </w:tblPrEx>
        <w:trPr>
          <w:trHeight w:val="315"/>
        </w:trPr>
        <w:tc>
          <w:tcPr>
            <w:tcW w:w="3984" w:type="dxa"/>
            <w:tcBorders>
              <w:top w:val="nil"/>
              <w:left w:val="single" w:sz="4" w:space="0" w:color="auto"/>
              <w:bottom w:val="single" w:sz="4" w:space="0" w:color="auto"/>
              <w:right w:val="single" w:sz="4" w:space="0" w:color="auto"/>
            </w:tcBorders>
            <w:noWrap/>
            <w:textDirection w:val="lrTb"/>
            <w:vAlign w:val="bottom"/>
          </w:tcPr>
          <w:p w:rsidR="00B53407" w:rsidP="00BB5D47">
            <w:pPr>
              <w:bidi w:val="0"/>
              <w:rPr>
                <w:rFonts w:ascii="Times New Roman" w:hAnsi="Times New Roman"/>
                <w:b/>
                <w:bCs/>
                <w:i/>
                <w:iCs/>
                <w:color w:val="000000"/>
              </w:rPr>
            </w:pPr>
            <w:r>
              <w:rPr>
                <w:rFonts w:ascii="Times New Roman" w:hAnsi="Times New Roman"/>
                <w:b/>
                <w:bCs/>
                <w:i/>
                <w:iCs/>
                <w:color w:val="000000"/>
              </w:rPr>
              <w:t xml:space="preserve"> - vplyv na územnú samosprávu</w:t>
            </w:r>
          </w:p>
        </w:tc>
        <w:tc>
          <w:tcPr>
            <w:tcW w:w="851"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b/>
                <w:bCs/>
                <w:iCs/>
                <w:color w:val="000000"/>
              </w:rPr>
            </w:pPr>
            <w:r w:rsidRPr="00702C25">
              <w:rPr>
                <w:rFonts w:ascii="Times New Roman" w:hAnsi="Times New Roman"/>
                <w:b/>
                <w:bCs/>
                <w:iCs/>
                <w:color w:val="000000"/>
              </w:rPr>
              <w:t>0</w:t>
            </w:r>
          </w:p>
        </w:tc>
        <w:tc>
          <w:tcPr>
            <w:tcW w:w="1417"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b/>
                <w:bCs/>
                <w:iCs/>
                <w:color w:val="000000"/>
              </w:rPr>
            </w:pPr>
            <w:r>
              <w:rPr>
                <w:rFonts w:ascii="Times New Roman" w:hAnsi="Times New Roman"/>
                <w:b/>
                <w:bCs/>
                <w:iCs/>
                <w:color w:val="000000"/>
              </w:rPr>
              <w:t>0</w:t>
            </w:r>
          </w:p>
        </w:tc>
        <w:tc>
          <w:tcPr>
            <w:tcW w:w="1418"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b/>
                <w:bCs/>
                <w:iCs/>
                <w:color w:val="000000"/>
              </w:rPr>
            </w:pPr>
            <w:r>
              <w:rPr>
                <w:rFonts w:ascii="Times New Roman" w:hAnsi="Times New Roman"/>
                <w:b/>
                <w:bCs/>
                <w:iCs/>
                <w:color w:val="000000"/>
              </w:rPr>
              <w:t>0</w:t>
            </w:r>
          </w:p>
        </w:tc>
        <w:tc>
          <w:tcPr>
            <w:tcW w:w="1585" w:type="dxa"/>
            <w:tcBorders>
              <w:top w:val="nil"/>
              <w:left w:val="nil"/>
              <w:bottom w:val="single" w:sz="4" w:space="0" w:color="auto"/>
              <w:right w:val="single" w:sz="4" w:space="0" w:color="auto"/>
            </w:tcBorders>
            <w:noWrap/>
            <w:textDirection w:val="lrTb"/>
            <w:vAlign w:val="bottom"/>
          </w:tcPr>
          <w:p w:rsidR="00B53407" w:rsidRPr="00702C25" w:rsidP="00BB5D47">
            <w:pPr>
              <w:bidi w:val="0"/>
              <w:jc w:val="right"/>
              <w:rPr>
                <w:rFonts w:ascii="Times New Roman" w:hAnsi="Times New Roman"/>
                <w:b/>
                <w:bCs/>
                <w:iCs/>
                <w:color w:val="000000"/>
              </w:rPr>
            </w:pPr>
            <w:r>
              <w:rPr>
                <w:rFonts w:ascii="Times New Roman" w:hAnsi="Times New Roman"/>
                <w:b/>
                <w:bCs/>
                <w:iCs/>
                <w:color w:val="000000"/>
              </w:rPr>
              <w:t>0</w:t>
            </w:r>
          </w:p>
        </w:tc>
      </w:tr>
    </w:tbl>
    <w:p w:rsidR="00B53407" w:rsidP="00B53407">
      <w:pPr>
        <w:bidi w:val="0"/>
        <w:rPr>
          <w:rFonts w:ascii="Times New Roman" w:hAnsi="Times New Roman"/>
        </w:rPr>
      </w:pPr>
    </w:p>
    <w:p w:rsidR="00B53407" w:rsidP="00B53407">
      <w:pPr>
        <w:bidi w:val="0"/>
        <w:rPr>
          <w:rFonts w:ascii="Times New Roman" w:hAnsi="Times New Roman"/>
        </w:rPr>
      </w:pPr>
    </w:p>
    <w:p w:rsidR="00B53407" w:rsidP="00B53407">
      <w:pPr>
        <w:bidi w:val="0"/>
        <w:rPr>
          <w:rFonts w:ascii="Times New Roman" w:hAnsi="Times New Roman"/>
          <w:b/>
          <w:bCs/>
        </w:rPr>
      </w:pPr>
      <w:r w:rsidRPr="004161A1">
        <w:rPr>
          <w:rFonts w:ascii="Times New Roman" w:hAnsi="Times New Roman"/>
          <w:b/>
          <w:bCs/>
        </w:rPr>
        <w:t>2.2. Financovanie návrhu</w:t>
      </w:r>
    </w:p>
    <w:p w:rsidR="00B53407" w:rsidP="00B53407">
      <w:pPr>
        <w:bidi w:val="0"/>
        <w:jc w:val="right"/>
        <w:rPr>
          <w:rFonts w:ascii="Times New Roman" w:hAnsi="Times New Roman"/>
          <w:sz w:val="20"/>
          <w:szCs w:val="20"/>
        </w:rPr>
      </w:pPr>
      <w:r w:rsidRPr="004161A1">
        <w:rPr>
          <w:rFonts w:ascii="Times New Roman" w:hAnsi="Times New Roman"/>
          <w:sz w:val="20"/>
          <w:szCs w:val="20"/>
        </w:rPr>
        <w:t>Tabuľka č. 2</w:t>
      </w:r>
    </w:p>
    <w:tbl>
      <w:tblPr>
        <w:tblStyle w:val="TableNormal"/>
        <w:tblW w:w="9255" w:type="dxa"/>
        <w:tblInd w:w="55" w:type="dxa"/>
        <w:tblCellMar>
          <w:left w:w="70" w:type="dxa"/>
          <w:right w:w="70" w:type="dxa"/>
        </w:tblCellMar>
      </w:tblPr>
      <w:tblGrid>
        <w:gridCol w:w="3984"/>
        <w:gridCol w:w="851"/>
        <w:gridCol w:w="1417"/>
        <w:gridCol w:w="1418"/>
        <w:gridCol w:w="1585"/>
      </w:tblGrid>
      <w:tr>
        <w:tblPrEx>
          <w:tblW w:w="9255" w:type="dxa"/>
          <w:tblInd w:w="55" w:type="dxa"/>
          <w:tblCellMar>
            <w:left w:w="70" w:type="dxa"/>
            <w:right w:w="70" w:type="dxa"/>
          </w:tblCellMar>
        </w:tblPrEx>
        <w:trPr>
          <w:trHeight w:val="315"/>
        </w:trPr>
        <w:tc>
          <w:tcPr>
            <w:tcW w:w="3984" w:type="dxa"/>
            <w:tcBorders>
              <w:top w:val="single" w:sz="4" w:space="0" w:color="auto"/>
              <w:left w:val="single" w:sz="4" w:space="0" w:color="auto"/>
              <w:bottom w:val="nil"/>
              <w:right w:val="nil"/>
            </w:tcBorders>
            <w:shd w:val="clear" w:color="auto" w:fill="000000"/>
            <w:noWrap/>
            <w:textDirection w:val="lrTb"/>
            <w:vAlign w:val="bottom"/>
          </w:tcPr>
          <w:p w:rsidR="00B53407" w:rsidP="00BB5D47">
            <w:pPr>
              <w:bidi w:val="0"/>
              <w:rPr>
                <w:rFonts w:ascii="Times New Roman" w:hAnsi="Times New Roman"/>
                <w:b/>
                <w:bCs/>
                <w:color w:val="FFFFFF"/>
              </w:rPr>
            </w:pPr>
            <w:r>
              <w:rPr>
                <w:rFonts w:ascii="Times New Roman" w:hAnsi="Times New Roman"/>
                <w:b/>
                <w:bCs/>
                <w:color w:val="FFFFFF"/>
              </w:rPr>
              <w:t> </w:t>
            </w:r>
          </w:p>
        </w:tc>
        <w:tc>
          <w:tcPr>
            <w:tcW w:w="5271" w:type="dxa"/>
            <w:gridSpan w:val="4"/>
            <w:tcBorders>
              <w:top w:val="single" w:sz="4" w:space="0" w:color="auto"/>
              <w:left w:val="nil"/>
              <w:bottom w:val="nil"/>
              <w:right w:val="single" w:sz="4" w:space="0" w:color="000000"/>
            </w:tcBorders>
            <w:shd w:val="clear" w:color="auto" w:fill="000000"/>
            <w:noWrap/>
            <w:textDirection w:val="lrTb"/>
            <w:vAlign w:val="bottom"/>
          </w:tcPr>
          <w:p w:rsidR="00B53407" w:rsidP="00BB5D47">
            <w:pPr>
              <w:bidi w:val="0"/>
              <w:jc w:val="center"/>
              <w:rPr>
                <w:rFonts w:ascii="Times New Roman" w:hAnsi="Times New Roman"/>
                <w:b/>
                <w:bCs/>
                <w:color w:val="FFFFFF"/>
              </w:rPr>
            </w:pPr>
            <w:r>
              <w:rPr>
                <w:rFonts w:ascii="Times New Roman" w:hAnsi="Times New Roman"/>
                <w:b/>
                <w:bCs/>
                <w:color w:val="FFFFFF"/>
              </w:rPr>
              <w:t>Vplyv na rozpočet verejnej správy</w:t>
            </w:r>
          </w:p>
        </w:tc>
      </w:tr>
      <w:tr>
        <w:tblPrEx>
          <w:tblW w:w="9255" w:type="dxa"/>
          <w:tblInd w:w="55" w:type="dxa"/>
          <w:tblCellMar>
            <w:left w:w="70" w:type="dxa"/>
            <w:right w:w="70" w:type="dxa"/>
          </w:tblCellMar>
        </w:tblPrEx>
        <w:trPr>
          <w:trHeight w:val="315"/>
        </w:trPr>
        <w:tc>
          <w:tcPr>
            <w:tcW w:w="3984" w:type="dxa"/>
            <w:tcBorders>
              <w:top w:val="nil"/>
              <w:left w:val="single" w:sz="4" w:space="0" w:color="auto"/>
              <w:bottom w:val="nil"/>
              <w:right w:val="nil"/>
            </w:tcBorders>
            <w:shd w:val="clear" w:color="auto" w:fill="000000"/>
            <w:noWrap/>
            <w:textDirection w:val="lrTb"/>
            <w:vAlign w:val="bottom"/>
          </w:tcPr>
          <w:p w:rsidR="00B53407" w:rsidP="00532DE3">
            <w:pPr>
              <w:bidi w:val="0"/>
              <w:rPr>
                <w:rFonts w:ascii="Times New Roman" w:hAnsi="Times New Roman"/>
                <w:b/>
                <w:bCs/>
                <w:color w:val="FFFFFF"/>
                <w:u w:val="single"/>
              </w:rPr>
            </w:pPr>
            <w:r>
              <w:rPr>
                <w:rFonts w:ascii="Times New Roman" w:hAnsi="Times New Roman"/>
                <w:b/>
                <w:bCs/>
                <w:color w:val="FFFFFF"/>
                <w:u w:val="single"/>
              </w:rPr>
              <w:t xml:space="preserve">Financovanie (v </w:t>
            </w:r>
            <w:r w:rsidR="00FD3869">
              <w:rPr>
                <w:rFonts w:ascii="Times New Roman" w:hAnsi="Times New Roman"/>
                <w:b/>
                <w:bCs/>
                <w:color w:val="FFFFFF"/>
                <w:u w:val="single"/>
              </w:rPr>
              <w:t>eur</w:t>
            </w:r>
            <w:r>
              <w:rPr>
                <w:rFonts w:ascii="Times New Roman" w:hAnsi="Times New Roman"/>
                <w:b/>
                <w:bCs/>
                <w:color w:val="FFFFFF"/>
                <w:u w:val="single"/>
              </w:rPr>
              <w:t>)</w:t>
            </w:r>
          </w:p>
        </w:tc>
        <w:tc>
          <w:tcPr>
            <w:tcW w:w="851" w:type="dxa"/>
            <w:tcBorders>
              <w:top w:val="nil"/>
              <w:left w:val="nil"/>
              <w:bottom w:val="nil"/>
              <w:right w:val="nil"/>
            </w:tcBorders>
            <w:shd w:val="clear" w:color="auto" w:fill="000000"/>
            <w:noWrap/>
            <w:textDirection w:val="lrTb"/>
            <w:vAlign w:val="bottom"/>
          </w:tcPr>
          <w:p w:rsidR="00B53407" w:rsidP="00BB5D47">
            <w:pPr>
              <w:bidi w:val="0"/>
              <w:jc w:val="center"/>
              <w:rPr>
                <w:rFonts w:ascii="Times New Roman" w:hAnsi="Times New Roman"/>
                <w:b/>
                <w:bCs/>
                <w:color w:val="FFFFFF"/>
              </w:rPr>
            </w:pPr>
            <w:r>
              <w:rPr>
                <w:rFonts w:ascii="Times New Roman" w:hAnsi="Times New Roman"/>
                <w:b/>
                <w:bCs/>
                <w:color w:val="FFFFFF"/>
              </w:rPr>
              <w:t>2011</w:t>
            </w:r>
          </w:p>
        </w:tc>
        <w:tc>
          <w:tcPr>
            <w:tcW w:w="1417" w:type="dxa"/>
            <w:tcBorders>
              <w:top w:val="nil"/>
              <w:left w:val="nil"/>
              <w:bottom w:val="nil"/>
              <w:right w:val="nil"/>
            </w:tcBorders>
            <w:shd w:val="clear" w:color="auto" w:fill="000000"/>
            <w:noWrap/>
            <w:textDirection w:val="lrTb"/>
            <w:vAlign w:val="bottom"/>
          </w:tcPr>
          <w:p w:rsidR="00B53407" w:rsidP="00BB5D47">
            <w:pPr>
              <w:bidi w:val="0"/>
              <w:jc w:val="center"/>
              <w:rPr>
                <w:rFonts w:ascii="Times New Roman" w:hAnsi="Times New Roman"/>
                <w:b/>
                <w:bCs/>
                <w:color w:val="FFFFFF"/>
              </w:rPr>
            </w:pPr>
            <w:r>
              <w:rPr>
                <w:rFonts w:ascii="Times New Roman" w:hAnsi="Times New Roman"/>
                <w:b/>
                <w:bCs/>
                <w:color w:val="FFFFFF"/>
              </w:rPr>
              <w:t>2012</w:t>
            </w:r>
          </w:p>
        </w:tc>
        <w:tc>
          <w:tcPr>
            <w:tcW w:w="1418" w:type="dxa"/>
            <w:tcBorders>
              <w:top w:val="nil"/>
              <w:left w:val="nil"/>
              <w:bottom w:val="nil"/>
              <w:right w:val="nil"/>
            </w:tcBorders>
            <w:shd w:val="clear" w:color="auto" w:fill="000000"/>
            <w:noWrap/>
            <w:textDirection w:val="lrTb"/>
            <w:vAlign w:val="bottom"/>
          </w:tcPr>
          <w:p w:rsidR="00B53407" w:rsidP="00BB5D47">
            <w:pPr>
              <w:bidi w:val="0"/>
              <w:jc w:val="center"/>
              <w:rPr>
                <w:rFonts w:ascii="Times New Roman" w:hAnsi="Times New Roman"/>
                <w:b/>
                <w:bCs/>
                <w:color w:val="FFFFFF"/>
              </w:rPr>
            </w:pPr>
            <w:r>
              <w:rPr>
                <w:rFonts w:ascii="Times New Roman" w:hAnsi="Times New Roman"/>
                <w:b/>
                <w:bCs/>
                <w:color w:val="FFFFFF"/>
              </w:rPr>
              <w:t>2013</w:t>
            </w:r>
          </w:p>
        </w:tc>
        <w:tc>
          <w:tcPr>
            <w:tcW w:w="1585" w:type="dxa"/>
            <w:tcBorders>
              <w:top w:val="nil"/>
              <w:left w:val="nil"/>
              <w:bottom w:val="nil"/>
              <w:right w:val="single" w:sz="4" w:space="0" w:color="auto"/>
            </w:tcBorders>
            <w:shd w:val="clear" w:color="auto" w:fill="000000"/>
            <w:noWrap/>
            <w:textDirection w:val="lrTb"/>
            <w:vAlign w:val="bottom"/>
          </w:tcPr>
          <w:p w:rsidR="00B53407" w:rsidP="00BB5D47">
            <w:pPr>
              <w:bidi w:val="0"/>
              <w:jc w:val="center"/>
              <w:rPr>
                <w:rFonts w:ascii="Times New Roman" w:hAnsi="Times New Roman"/>
                <w:b/>
                <w:bCs/>
                <w:color w:val="FFFFFF"/>
              </w:rPr>
            </w:pPr>
            <w:r>
              <w:rPr>
                <w:rFonts w:ascii="Times New Roman" w:hAnsi="Times New Roman"/>
                <w:b/>
                <w:bCs/>
                <w:color w:val="FFFFFF"/>
              </w:rPr>
              <w:t>2014</w:t>
            </w:r>
          </w:p>
        </w:tc>
      </w:tr>
      <w:tr>
        <w:tblPrEx>
          <w:tblW w:w="9255" w:type="dxa"/>
          <w:tblInd w:w="55" w:type="dxa"/>
          <w:tblCellMar>
            <w:left w:w="70" w:type="dxa"/>
            <w:right w:w="70" w:type="dxa"/>
          </w:tblCellMar>
        </w:tblPrEx>
        <w:trPr>
          <w:trHeight w:val="630"/>
        </w:trPr>
        <w:tc>
          <w:tcPr>
            <w:tcW w:w="3984" w:type="dxa"/>
            <w:tcBorders>
              <w:top w:val="single" w:sz="4" w:space="0" w:color="auto"/>
              <w:left w:val="single" w:sz="4" w:space="0" w:color="auto"/>
              <w:bottom w:val="single" w:sz="4" w:space="0" w:color="auto"/>
              <w:right w:val="single" w:sz="4" w:space="0" w:color="auto"/>
            </w:tcBorders>
            <w:textDirection w:val="lrTb"/>
            <w:vAlign w:val="center"/>
          </w:tcPr>
          <w:p w:rsidR="00B53407" w:rsidP="00BB5D47">
            <w:pPr>
              <w:bidi w:val="0"/>
              <w:rPr>
                <w:rFonts w:ascii="Times New Roman" w:hAnsi="Times New Roman"/>
                <w:b/>
                <w:bCs/>
                <w:color w:val="000000"/>
              </w:rPr>
            </w:pPr>
            <w:r>
              <w:rPr>
                <w:rFonts w:ascii="Times New Roman" w:hAnsi="Times New Roman"/>
                <w:b/>
                <w:bCs/>
                <w:color w:val="000000"/>
              </w:rPr>
              <w:t>Celkový vplyv na rozpočet verejnej správy (- príjmy, + výdavky)</w:t>
            </w:r>
          </w:p>
        </w:tc>
        <w:tc>
          <w:tcPr>
            <w:tcW w:w="851" w:type="dxa"/>
            <w:tcBorders>
              <w:top w:val="single" w:sz="4" w:space="0" w:color="auto"/>
              <w:left w:val="nil"/>
              <w:bottom w:val="single" w:sz="4" w:space="0" w:color="auto"/>
              <w:right w:val="single" w:sz="4" w:space="0" w:color="auto"/>
            </w:tcBorders>
            <w:noWrap/>
            <w:textDirection w:val="lrTb"/>
            <w:vAlign w:val="center"/>
          </w:tcPr>
          <w:p w:rsidR="00B53407" w:rsidRPr="00951637" w:rsidP="00BB5D47">
            <w:pPr>
              <w:bidi w:val="0"/>
              <w:jc w:val="right"/>
              <w:rPr>
                <w:rFonts w:ascii="Times New Roman" w:hAnsi="Times New Roman"/>
                <w:b/>
                <w:bCs/>
              </w:rPr>
            </w:pPr>
            <w:r w:rsidRPr="00951637" w:rsidR="00B279A2">
              <w:rPr>
                <w:rFonts w:ascii="Times New Roman" w:hAnsi="Times New Roman"/>
                <w:b/>
                <w:bCs/>
              </w:rPr>
              <w:t>-50</w:t>
            </w:r>
            <w:r w:rsidRPr="00951637">
              <w:rPr>
                <w:rFonts w:ascii="Times New Roman" w:hAnsi="Times New Roman"/>
                <w:b/>
                <w:bCs/>
              </w:rPr>
              <w:t>0</w:t>
            </w:r>
          </w:p>
        </w:tc>
        <w:tc>
          <w:tcPr>
            <w:tcW w:w="1417" w:type="dxa"/>
            <w:tcBorders>
              <w:top w:val="single" w:sz="4" w:space="0" w:color="auto"/>
              <w:left w:val="nil"/>
              <w:bottom w:val="single" w:sz="4" w:space="0" w:color="auto"/>
              <w:right w:val="single" w:sz="4" w:space="0" w:color="auto"/>
            </w:tcBorders>
            <w:noWrap/>
            <w:textDirection w:val="lrTb"/>
            <w:vAlign w:val="center"/>
          </w:tcPr>
          <w:p w:rsidR="00B53407" w:rsidRPr="00951637" w:rsidP="00571783">
            <w:pPr>
              <w:bidi w:val="0"/>
              <w:jc w:val="right"/>
              <w:rPr>
                <w:rFonts w:ascii="Times New Roman" w:hAnsi="Times New Roman"/>
                <w:b/>
              </w:rPr>
            </w:pPr>
            <w:r w:rsidR="00590859">
              <w:rPr>
                <w:rFonts w:ascii="Times New Roman" w:hAnsi="Times New Roman"/>
                <w:b/>
              </w:rPr>
              <w:t>9 827 406</w:t>
            </w:r>
          </w:p>
        </w:tc>
        <w:tc>
          <w:tcPr>
            <w:tcW w:w="1418" w:type="dxa"/>
            <w:tcBorders>
              <w:top w:val="single" w:sz="4" w:space="0" w:color="auto"/>
              <w:left w:val="nil"/>
              <w:bottom w:val="single" w:sz="4" w:space="0" w:color="auto"/>
              <w:right w:val="single" w:sz="4" w:space="0" w:color="auto"/>
            </w:tcBorders>
            <w:noWrap/>
            <w:textDirection w:val="lrTb"/>
            <w:vAlign w:val="center"/>
          </w:tcPr>
          <w:p w:rsidR="00B53407" w:rsidRPr="00951637" w:rsidP="00571783">
            <w:pPr>
              <w:bidi w:val="0"/>
              <w:jc w:val="right"/>
              <w:rPr>
                <w:rFonts w:ascii="Times New Roman" w:hAnsi="Times New Roman"/>
                <w:b/>
              </w:rPr>
            </w:pPr>
            <w:r w:rsidR="00590859">
              <w:rPr>
                <w:rFonts w:ascii="Times New Roman" w:hAnsi="Times New Roman"/>
                <w:b/>
              </w:rPr>
              <w:t>45 469 254</w:t>
            </w:r>
          </w:p>
        </w:tc>
        <w:tc>
          <w:tcPr>
            <w:tcW w:w="1585" w:type="dxa"/>
            <w:tcBorders>
              <w:top w:val="single" w:sz="4" w:space="0" w:color="auto"/>
              <w:left w:val="nil"/>
              <w:bottom w:val="single" w:sz="4" w:space="0" w:color="auto"/>
              <w:right w:val="single" w:sz="4" w:space="0" w:color="auto"/>
            </w:tcBorders>
            <w:noWrap/>
            <w:textDirection w:val="lrTb"/>
            <w:vAlign w:val="center"/>
          </w:tcPr>
          <w:p w:rsidR="00B53407" w:rsidRPr="00951637" w:rsidP="00571783">
            <w:pPr>
              <w:bidi w:val="0"/>
              <w:jc w:val="right"/>
              <w:rPr>
                <w:rFonts w:ascii="Times New Roman" w:hAnsi="Times New Roman"/>
                <w:b/>
              </w:rPr>
            </w:pPr>
            <w:r w:rsidR="00590859">
              <w:rPr>
                <w:rFonts w:ascii="Times New Roman" w:hAnsi="Times New Roman"/>
                <w:b/>
              </w:rPr>
              <w:t>89 373 499</w:t>
            </w:r>
          </w:p>
        </w:tc>
      </w:tr>
      <w:tr>
        <w:tblPrEx>
          <w:tblW w:w="9255" w:type="dxa"/>
          <w:tblInd w:w="55" w:type="dxa"/>
          <w:tblCellMar>
            <w:left w:w="70" w:type="dxa"/>
            <w:right w:w="70" w:type="dxa"/>
          </w:tblCellMar>
        </w:tblPrEx>
        <w:trPr>
          <w:trHeight w:val="315"/>
        </w:trPr>
        <w:tc>
          <w:tcPr>
            <w:tcW w:w="3984" w:type="dxa"/>
            <w:tcBorders>
              <w:top w:val="nil"/>
              <w:left w:val="single" w:sz="4" w:space="0" w:color="auto"/>
              <w:bottom w:val="single" w:sz="4" w:space="0" w:color="auto"/>
              <w:right w:val="single" w:sz="4" w:space="0" w:color="auto"/>
            </w:tcBorders>
            <w:noWrap/>
            <w:textDirection w:val="lrTb"/>
            <w:vAlign w:val="bottom"/>
          </w:tcPr>
          <w:p w:rsidR="00B53407" w:rsidP="00BB5D47">
            <w:pPr>
              <w:bidi w:val="0"/>
              <w:ind w:firstLine="480" w:firstLineChars="200"/>
              <w:rPr>
                <w:rFonts w:ascii="Times New Roman" w:hAnsi="Times New Roman"/>
                <w:color w:val="000000"/>
              </w:rPr>
            </w:pPr>
            <w:r>
              <w:rPr>
                <w:rFonts w:ascii="Times New Roman" w:hAnsi="Times New Roman"/>
                <w:color w:val="000000"/>
              </w:rPr>
              <w:t>z toho vplyv na ŠR</w:t>
            </w:r>
          </w:p>
        </w:tc>
        <w:tc>
          <w:tcPr>
            <w:tcW w:w="851" w:type="dxa"/>
            <w:tcBorders>
              <w:top w:val="nil"/>
              <w:left w:val="nil"/>
              <w:bottom w:val="single" w:sz="4" w:space="0" w:color="auto"/>
              <w:right w:val="single" w:sz="4" w:space="0" w:color="auto"/>
            </w:tcBorders>
            <w:noWrap/>
            <w:textDirection w:val="lrTb"/>
            <w:vAlign w:val="bottom"/>
          </w:tcPr>
          <w:p w:rsidR="00B53407" w:rsidP="00BB5D47">
            <w:pPr>
              <w:bidi w:val="0"/>
              <w:jc w:val="right"/>
              <w:rPr>
                <w:rFonts w:ascii="Times New Roman" w:hAnsi="Times New Roman"/>
                <w:color w:val="000000"/>
              </w:rPr>
            </w:pPr>
            <w:r>
              <w:rPr>
                <w:rFonts w:ascii="Times New Roman" w:hAnsi="Times New Roman"/>
                <w:color w:val="000000"/>
              </w:rPr>
              <w:t>0</w:t>
            </w:r>
          </w:p>
        </w:tc>
        <w:tc>
          <w:tcPr>
            <w:tcW w:w="1417" w:type="dxa"/>
            <w:tcBorders>
              <w:top w:val="nil"/>
              <w:left w:val="nil"/>
              <w:bottom w:val="single" w:sz="4" w:space="0" w:color="auto"/>
              <w:right w:val="single" w:sz="4" w:space="0" w:color="auto"/>
            </w:tcBorders>
            <w:noWrap/>
            <w:textDirection w:val="lrTb"/>
            <w:vAlign w:val="bottom"/>
          </w:tcPr>
          <w:p w:rsidR="00B53407" w:rsidP="00BB5D47">
            <w:pPr>
              <w:bidi w:val="0"/>
              <w:jc w:val="right"/>
              <w:rPr>
                <w:rFonts w:ascii="Times New Roman" w:hAnsi="Times New Roman"/>
                <w:color w:val="000000"/>
              </w:rPr>
            </w:pPr>
            <w:r>
              <w:rPr>
                <w:rFonts w:ascii="Times New Roman" w:hAnsi="Times New Roman"/>
                <w:color w:val="000000"/>
              </w:rPr>
              <w:t>0</w:t>
            </w:r>
          </w:p>
        </w:tc>
        <w:tc>
          <w:tcPr>
            <w:tcW w:w="1418" w:type="dxa"/>
            <w:tcBorders>
              <w:top w:val="nil"/>
              <w:left w:val="nil"/>
              <w:bottom w:val="single" w:sz="4" w:space="0" w:color="auto"/>
              <w:right w:val="single" w:sz="4" w:space="0" w:color="auto"/>
            </w:tcBorders>
            <w:noWrap/>
            <w:textDirection w:val="lrTb"/>
            <w:vAlign w:val="bottom"/>
          </w:tcPr>
          <w:p w:rsidR="00B53407" w:rsidP="00BB5D47">
            <w:pPr>
              <w:bidi w:val="0"/>
              <w:jc w:val="right"/>
              <w:rPr>
                <w:rFonts w:ascii="Times New Roman" w:hAnsi="Times New Roman"/>
                <w:color w:val="000000"/>
              </w:rPr>
            </w:pPr>
            <w:r>
              <w:rPr>
                <w:rFonts w:ascii="Times New Roman" w:hAnsi="Times New Roman"/>
                <w:color w:val="000000"/>
              </w:rPr>
              <w:t>0</w:t>
            </w:r>
          </w:p>
        </w:tc>
        <w:tc>
          <w:tcPr>
            <w:tcW w:w="1585" w:type="dxa"/>
            <w:tcBorders>
              <w:top w:val="nil"/>
              <w:left w:val="nil"/>
              <w:bottom w:val="single" w:sz="4" w:space="0" w:color="auto"/>
              <w:right w:val="single" w:sz="4" w:space="0" w:color="auto"/>
            </w:tcBorders>
            <w:noWrap/>
            <w:textDirection w:val="lrTb"/>
            <w:vAlign w:val="bottom"/>
          </w:tcPr>
          <w:p w:rsidR="00B53407" w:rsidP="00BB5D47">
            <w:pPr>
              <w:bidi w:val="0"/>
              <w:jc w:val="right"/>
              <w:rPr>
                <w:rFonts w:ascii="Times New Roman" w:hAnsi="Times New Roman"/>
                <w:color w:val="000000"/>
              </w:rPr>
            </w:pPr>
            <w:r>
              <w:rPr>
                <w:rFonts w:ascii="Times New Roman" w:hAnsi="Times New Roman"/>
                <w:color w:val="000000"/>
              </w:rPr>
              <w:t>0</w:t>
            </w:r>
          </w:p>
        </w:tc>
      </w:tr>
      <w:tr>
        <w:tblPrEx>
          <w:tblW w:w="9255" w:type="dxa"/>
          <w:tblInd w:w="55" w:type="dxa"/>
          <w:tblCellMar>
            <w:left w:w="70" w:type="dxa"/>
            <w:right w:w="70" w:type="dxa"/>
          </w:tblCellMar>
        </w:tblPrEx>
        <w:trPr>
          <w:trHeight w:val="315"/>
        </w:trPr>
        <w:tc>
          <w:tcPr>
            <w:tcW w:w="3984" w:type="dxa"/>
            <w:tcBorders>
              <w:top w:val="nil"/>
              <w:left w:val="single" w:sz="4" w:space="0" w:color="auto"/>
              <w:bottom w:val="single" w:sz="4" w:space="0" w:color="auto"/>
              <w:right w:val="single" w:sz="4" w:space="0" w:color="auto"/>
            </w:tcBorders>
            <w:noWrap/>
            <w:textDirection w:val="lrTb"/>
            <w:vAlign w:val="bottom"/>
          </w:tcPr>
          <w:p w:rsidR="00FE3A29" w:rsidP="00BB5D47">
            <w:pPr>
              <w:bidi w:val="0"/>
              <w:rPr>
                <w:rFonts w:ascii="Times New Roman" w:hAnsi="Times New Roman"/>
                <w:color w:val="000000"/>
              </w:rPr>
            </w:pPr>
            <w:r>
              <w:rPr>
                <w:rFonts w:ascii="Times New Roman" w:hAnsi="Times New Roman"/>
                <w:color w:val="000000"/>
              </w:rPr>
              <w:t>financovanie zabezpečené v</w:t>
            </w:r>
            <w:r w:rsidR="00D80F0D">
              <w:rPr>
                <w:rFonts w:ascii="Times New Roman" w:hAnsi="Times New Roman"/>
                <w:color w:val="000000"/>
              </w:rPr>
              <w:t> </w:t>
            </w:r>
            <w:r>
              <w:rPr>
                <w:rFonts w:ascii="Times New Roman" w:hAnsi="Times New Roman"/>
                <w:color w:val="000000"/>
              </w:rPr>
              <w:t>rozpočte</w:t>
            </w:r>
            <w:r w:rsidR="00D80F0D">
              <w:rPr>
                <w:rFonts w:ascii="Times New Roman" w:hAnsi="Times New Roman"/>
                <w:color w:val="000000"/>
              </w:rPr>
              <w:t xml:space="preserve"> SP</w:t>
            </w:r>
          </w:p>
        </w:tc>
        <w:tc>
          <w:tcPr>
            <w:tcW w:w="851" w:type="dxa"/>
            <w:tcBorders>
              <w:top w:val="nil"/>
              <w:left w:val="nil"/>
              <w:bottom w:val="single" w:sz="4" w:space="0" w:color="auto"/>
              <w:right w:val="single" w:sz="4" w:space="0" w:color="auto"/>
            </w:tcBorders>
            <w:noWrap/>
            <w:textDirection w:val="lrTb"/>
            <w:vAlign w:val="bottom"/>
          </w:tcPr>
          <w:p w:rsidR="00FE3A29" w:rsidP="00BB5D47">
            <w:pPr>
              <w:bidi w:val="0"/>
              <w:jc w:val="right"/>
              <w:rPr>
                <w:rFonts w:ascii="Times New Roman" w:hAnsi="Times New Roman"/>
                <w:color w:val="000000"/>
              </w:rPr>
            </w:pPr>
            <w:r>
              <w:rPr>
                <w:rFonts w:ascii="Times New Roman" w:hAnsi="Times New Roman"/>
                <w:color w:val="000000"/>
              </w:rPr>
              <w:t>0</w:t>
            </w:r>
          </w:p>
        </w:tc>
        <w:tc>
          <w:tcPr>
            <w:tcW w:w="1417" w:type="dxa"/>
            <w:tcBorders>
              <w:top w:val="nil"/>
              <w:left w:val="nil"/>
              <w:bottom w:val="single" w:sz="4" w:space="0" w:color="auto"/>
              <w:right w:val="single" w:sz="4" w:space="0" w:color="auto"/>
            </w:tcBorders>
            <w:noWrap/>
            <w:textDirection w:val="lrTb"/>
            <w:vAlign w:val="bottom"/>
          </w:tcPr>
          <w:p w:rsidR="00FE3A29" w:rsidP="00BB5D47">
            <w:pPr>
              <w:bidi w:val="0"/>
              <w:jc w:val="right"/>
              <w:rPr>
                <w:rFonts w:ascii="Times New Roman" w:hAnsi="Times New Roman"/>
                <w:color w:val="000000"/>
              </w:rPr>
            </w:pPr>
            <w:r w:rsidR="00AE7304">
              <w:rPr>
                <w:rFonts w:ascii="Times New Roman" w:hAnsi="Times New Roman"/>
                <w:color w:val="000000"/>
              </w:rPr>
              <w:t>60 600</w:t>
            </w:r>
          </w:p>
        </w:tc>
        <w:tc>
          <w:tcPr>
            <w:tcW w:w="1418" w:type="dxa"/>
            <w:tcBorders>
              <w:top w:val="nil"/>
              <w:left w:val="nil"/>
              <w:bottom w:val="single" w:sz="4" w:space="0" w:color="auto"/>
              <w:right w:val="single" w:sz="4" w:space="0" w:color="auto"/>
            </w:tcBorders>
            <w:noWrap/>
            <w:textDirection w:val="lrTb"/>
            <w:vAlign w:val="bottom"/>
          </w:tcPr>
          <w:p w:rsidR="00FE3A29" w:rsidP="00BB5D47">
            <w:pPr>
              <w:bidi w:val="0"/>
              <w:jc w:val="right"/>
              <w:rPr>
                <w:rFonts w:ascii="Times New Roman" w:hAnsi="Times New Roman"/>
                <w:color w:val="000000"/>
              </w:rPr>
            </w:pPr>
            <w:r w:rsidR="00AE7304">
              <w:rPr>
                <w:rFonts w:ascii="Times New Roman" w:hAnsi="Times New Roman"/>
                <w:color w:val="000000"/>
              </w:rPr>
              <w:t>92 100</w:t>
            </w:r>
          </w:p>
        </w:tc>
        <w:tc>
          <w:tcPr>
            <w:tcW w:w="1585" w:type="dxa"/>
            <w:tcBorders>
              <w:top w:val="nil"/>
              <w:left w:val="nil"/>
              <w:bottom w:val="single" w:sz="4" w:space="0" w:color="auto"/>
              <w:right w:val="single" w:sz="4" w:space="0" w:color="auto"/>
            </w:tcBorders>
            <w:noWrap/>
            <w:textDirection w:val="lrTb"/>
            <w:vAlign w:val="bottom"/>
          </w:tcPr>
          <w:p w:rsidR="00FE3A29" w:rsidP="00BB5D47">
            <w:pPr>
              <w:bidi w:val="0"/>
              <w:jc w:val="right"/>
              <w:rPr>
                <w:rFonts w:ascii="Times New Roman" w:hAnsi="Times New Roman"/>
                <w:color w:val="000000"/>
              </w:rPr>
            </w:pPr>
            <w:r w:rsidR="00AE7304">
              <w:rPr>
                <w:rFonts w:ascii="Times New Roman" w:hAnsi="Times New Roman"/>
                <w:color w:val="000000"/>
              </w:rPr>
              <w:t>97 600</w:t>
            </w:r>
          </w:p>
        </w:tc>
      </w:tr>
      <w:tr>
        <w:tblPrEx>
          <w:tblW w:w="9255" w:type="dxa"/>
          <w:tblInd w:w="55" w:type="dxa"/>
          <w:tblCellMar>
            <w:left w:w="70" w:type="dxa"/>
            <w:right w:w="70" w:type="dxa"/>
          </w:tblCellMar>
        </w:tblPrEx>
        <w:trPr>
          <w:trHeight w:val="315"/>
        </w:trPr>
        <w:tc>
          <w:tcPr>
            <w:tcW w:w="3984" w:type="dxa"/>
            <w:tcBorders>
              <w:top w:val="nil"/>
              <w:left w:val="single" w:sz="4" w:space="0" w:color="auto"/>
              <w:bottom w:val="single" w:sz="4" w:space="0" w:color="auto"/>
              <w:right w:val="single" w:sz="4" w:space="0" w:color="auto"/>
            </w:tcBorders>
            <w:noWrap/>
            <w:textDirection w:val="lrTb"/>
            <w:vAlign w:val="bottom"/>
          </w:tcPr>
          <w:p w:rsidR="00B53407" w:rsidP="00BB5D47">
            <w:pPr>
              <w:bidi w:val="0"/>
              <w:rPr>
                <w:rFonts w:ascii="Times New Roman" w:hAnsi="Times New Roman"/>
                <w:color w:val="000000"/>
              </w:rPr>
            </w:pPr>
            <w:r>
              <w:rPr>
                <w:rFonts w:ascii="Times New Roman" w:hAnsi="Times New Roman"/>
                <w:color w:val="000000"/>
              </w:rPr>
              <w:t>ostatné zdroje financovania</w:t>
            </w:r>
          </w:p>
        </w:tc>
        <w:tc>
          <w:tcPr>
            <w:tcW w:w="851" w:type="dxa"/>
            <w:tcBorders>
              <w:top w:val="nil"/>
              <w:left w:val="nil"/>
              <w:bottom w:val="single" w:sz="4" w:space="0" w:color="auto"/>
              <w:right w:val="single" w:sz="4" w:space="0" w:color="auto"/>
            </w:tcBorders>
            <w:noWrap/>
            <w:textDirection w:val="lrTb"/>
            <w:vAlign w:val="bottom"/>
          </w:tcPr>
          <w:p w:rsidR="00B53407" w:rsidP="00BB5D47">
            <w:pPr>
              <w:bidi w:val="0"/>
              <w:jc w:val="right"/>
              <w:rPr>
                <w:rFonts w:ascii="Times New Roman" w:hAnsi="Times New Roman"/>
                <w:color w:val="000000"/>
              </w:rPr>
            </w:pPr>
            <w:r>
              <w:rPr>
                <w:rFonts w:ascii="Times New Roman" w:hAnsi="Times New Roman"/>
                <w:color w:val="000000"/>
              </w:rPr>
              <w:t>0</w:t>
            </w:r>
          </w:p>
        </w:tc>
        <w:tc>
          <w:tcPr>
            <w:tcW w:w="1417" w:type="dxa"/>
            <w:tcBorders>
              <w:top w:val="nil"/>
              <w:left w:val="nil"/>
              <w:bottom w:val="single" w:sz="4" w:space="0" w:color="auto"/>
              <w:right w:val="single" w:sz="4" w:space="0" w:color="auto"/>
            </w:tcBorders>
            <w:noWrap/>
            <w:textDirection w:val="lrTb"/>
            <w:vAlign w:val="bottom"/>
          </w:tcPr>
          <w:p w:rsidR="00B53407" w:rsidP="00BB5D47">
            <w:pPr>
              <w:bidi w:val="0"/>
              <w:jc w:val="right"/>
              <w:rPr>
                <w:rFonts w:ascii="Times New Roman" w:hAnsi="Times New Roman"/>
                <w:color w:val="000000"/>
              </w:rPr>
            </w:pPr>
            <w:r>
              <w:rPr>
                <w:rFonts w:ascii="Times New Roman" w:hAnsi="Times New Roman"/>
                <w:color w:val="000000"/>
              </w:rPr>
              <w:t>0</w:t>
            </w:r>
          </w:p>
        </w:tc>
        <w:tc>
          <w:tcPr>
            <w:tcW w:w="1418" w:type="dxa"/>
            <w:tcBorders>
              <w:top w:val="nil"/>
              <w:left w:val="nil"/>
              <w:bottom w:val="single" w:sz="4" w:space="0" w:color="auto"/>
              <w:right w:val="single" w:sz="4" w:space="0" w:color="auto"/>
            </w:tcBorders>
            <w:noWrap/>
            <w:textDirection w:val="lrTb"/>
            <w:vAlign w:val="bottom"/>
          </w:tcPr>
          <w:p w:rsidR="00B53407" w:rsidP="00BB5D47">
            <w:pPr>
              <w:bidi w:val="0"/>
              <w:jc w:val="right"/>
              <w:rPr>
                <w:rFonts w:ascii="Times New Roman" w:hAnsi="Times New Roman"/>
                <w:color w:val="000000"/>
              </w:rPr>
            </w:pPr>
            <w:r>
              <w:rPr>
                <w:rFonts w:ascii="Times New Roman" w:hAnsi="Times New Roman"/>
                <w:color w:val="000000"/>
              </w:rPr>
              <w:t>0</w:t>
            </w:r>
          </w:p>
        </w:tc>
        <w:tc>
          <w:tcPr>
            <w:tcW w:w="1585" w:type="dxa"/>
            <w:tcBorders>
              <w:top w:val="nil"/>
              <w:left w:val="nil"/>
              <w:bottom w:val="single" w:sz="4" w:space="0" w:color="auto"/>
              <w:right w:val="single" w:sz="4" w:space="0" w:color="auto"/>
            </w:tcBorders>
            <w:noWrap/>
            <w:textDirection w:val="lrTb"/>
            <w:vAlign w:val="bottom"/>
          </w:tcPr>
          <w:p w:rsidR="00B53407" w:rsidP="00BB5D47">
            <w:pPr>
              <w:bidi w:val="0"/>
              <w:jc w:val="right"/>
              <w:rPr>
                <w:rFonts w:ascii="Times New Roman" w:hAnsi="Times New Roman"/>
                <w:color w:val="000000"/>
              </w:rPr>
            </w:pPr>
            <w:r>
              <w:rPr>
                <w:rFonts w:ascii="Times New Roman" w:hAnsi="Times New Roman"/>
                <w:color w:val="000000"/>
              </w:rPr>
              <w:t>0</w:t>
            </w:r>
          </w:p>
        </w:tc>
      </w:tr>
      <w:tr>
        <w:tblPrEx>
          <w:tblW w:w="9255" w:type="dxa"/>
          <w:tblInd w:w="55" w:type="dxa"/>
          <w:tblCellMar>
            <w:left w:w="70" w:type="dxa"/>
            <w:right w:w="70" w:type="dxa"/>
          </w:tblCellMar>
        </w:tblPrEx>
        <w:trPr>
          <w:trHeight w:val="315"/>
        </w:trPr>
        <w:tc>
          <w:tcPr>
            <w:tcW w:w="3984" w:type="dxa"/>
            <w:tcBorders>
              <w:top w:val="nil"/>
              <w:left w:val="single" w:sz="4" w:space="0" w:color="auto"/>
              <w:bottom w:val="single" w:sz="4" w:space="0" w:color="auto"/>
              <w:right w:val="single" w:sz="4" w:space="0" w:color="auto"/>
            </w:tcBorders>
            <w:noWrap/>
            <w:textDirection w:val="lrTb"/>
            <w:vAlign w:val="bottom"/>
          </w:tcPr>
          <w:p w:rsidR="00571783" w:rsidRPr="00571783" w:rsidP="00BB5D47">
            <w:pPr>
              <w:bidi w:val="0"/>
              <w:rPr>
                <w:rFonts w:ascii="Times New Roman" w:hAnsi="Times New Roman"/>
                <w:b/>
                <w:bCs/>
                <w:color w:val="000000"/>
              </w:rPr>
            </w:pPr>
            <w:r w:rsidRPr="00571783">
              <w:rPr>
                <w:rFonts w:ascii="Times New Roman" w:hAnsi="Times New Roman"/>
                <w:b/>
                <w:bCs/>
                <w:color w:val="000000"/>
              </w:rPr>
              <w:t>Rozpočtovo nekrytý vplyv / úspora *</w:t>
            </w:r>
          </w:p>
        </w:tc>
        <w:tc>
          <w:tcPr>
            <w:tcW w:w="851" w:type="dxa"/>
            <w:tcBorders>
              <w:top w:val="nil"/>
              <w:left w:val="nil"/>
              <w:bottom w:val="single" w:sz="4" w:space="0" w:color="auto"/>
              <w:right w:val="single" w:sz="4" w:space="0" w:color="auto"/>
            </w:tcBorders>
            <w:noWrap/>
            <w:textDirection w:val="lrTb"/>
            <w:vAlign w:val="bottom"/>
          </w:tcPr>
          <w:p w:rsidR="00571783" w:rsidRPr="00571783" w:rsidP="00571783">
            <w:pPr>
              <w:bidi w:val="0"/>
              <w:jc w:val="right"/>
              <w:rPr>
                <w:rFonts w:ascii="Times New Roman" w:hAnsi="Times New Roman"/>
                <w:b/>
                <w:color w:val="000000"/>
              </w:rPr>
            </w:pPr>
            <w:r w:rsidRPr="00571783">
              <w:rPr>
                <w:rFonts w:ascii="Times New Roman" w:hAnsi="Times New Roman"/>
                <w:b/>
                <w:color w:val="000000"/>
              </w:rPr>
              <w:t>-500</w:t>
            </w:r>
          </w:p>
        </w:tc>
        <w:tc>
          <w:tcPr>
            <w:tcW w:w="1417" w:type="dxa"/>
            <w:tcBorders>
              <w:top w:val="nil"/>
              <w:left w:val="nil"/>
              <w:bottom w:val="single" w:sz="4" w:space="0" w:color="auto"/>
              <w:right w:val="single" w:sz="4" w:space="0" w:color="auto"/>
            </w:tcBorders>
            <w:noWrap/>
            <w:textDirection w:val="lrTb"/>
            <w:vAlign w:val="bottom"/>
          </w:tcPr>
          <w:p w:rsidR="00571783" w:rsidRPr="00571783" w:rsidP="00571783">
            <w:pPr>
              <w:bidi w:val="0"/>
              <w:jc w:val="right"/>
              <w:rPr>
                <w:rFonts w:ascii="Times New Roman" w:hAnsi="Times New Roman"/>
                <w:b/>
                <w:color w:val="000000"/>
              </w:rPr>
            </w:pPr>
            <w:r w:rsidR="00590859">
              <w:rPr>
                <w:rFonts w:ascii="Times New Roman" w:hAnsi="Times New Roman"/>
                <w:b/>
                <w:color w:val="000000"/>
              </w:rPr>
              <w:t>9 766 806</w:t>
            </w:r>
          </w:p>
        </w:tc>
        <w:tc>
          <w:tcPr>
            <w:tcW w:w="1418" w:type="dxa"/>
            <w:tcBorders>
              <w:top w:val="nil"/>
              <w:left w:val="nil"/>
              <w:bottom w:val="single" w:sz="4" w:space="0" w:color="auto"/>
              <w:right w:val="single" w:sz="4" w:space="0" w:color="auto"/>
            </w:tcBorders>
            <w:noWrap/>
            <w:textDirection w:val="lrTb"/>
            <w:vAlign w:val="bottom"/>
          </w:tcPr>
          <w:p w:rsidR="00571783" w:rsidRPr="00571783" w:rsidP="00571783">
            <w:pPr>
              <w:bidi w:val="0"/>
              <w:jc w:val="right"/>
              <w:rPr>
                <w:rFonts w:ascii="Times New Roman" w:hAnsi="Times New Roman"/>
                <w:b/>
                <w:color w:val="000000"/>
              </w:rPr>
            </w:pPr>
            <w:r w:rsidR="00590859">
              <w:rPr>
                <w:rFonts w:ascii="Times New Roman" w:hAnsi="Times New Roman"/>
                <w:b/>
                <w:color w:val="000000"/>
              </w:rPr>
              <w:t>45 377 154</w:t>
            </w:r>
          </w:p>
        </w:tc>
        <w:tc>
          <w:tcPr>
            <w:tcW w:w="1585" w:type="dxa"/>
            <w:tcBorders>
              <w:top w:val="nil"/>
              <w:left w:val="nil"/>
              <w:bottom w:val="single" w:sz="4" w:space="0" w:color="auto"/>
              <w:right w:val="single" w:sz="4" w:space="0" w:color="auto"/>
            </w:tcBorders>
            <w:noWrap/>
            <w:textDirection w:val="lrTb"/>
            <w:vAlign w:val="bottom"/>
          </w:tcPr>
          <w:p w:rsidR="00571783" w:rsidRPr="00571783" w:rsidP="00571783">
            <w:pPr>
              <w:bidi w:val="0"/>
              <w:jc w:val="right"/>
              <w:rPr>
                <w:rFonts w:ascii="Times New Roman" w:hAnsi="Times New Roman"/>
                <w:b/>
                <w:color w:val="000000"/>
              </w:rPr>
            </w:pPr>
            <w:r w:rsidR="00590859">
              <w:rPr>
                <w:rFonts w:ascii="Times New Roman" w:hAnsi="Times New Roman"/>
                <w:b/>
                <w:color w:val="000000"/>
              </w:rPr>
              <w:t>89 275 899</w:t>
            </w:r>
          </w:p>
        </w:tc>
      </w:tr>
      <w:tr>
        <w:tblPrEx>
          <w:tblW w:w="9255" w:type="dxa"/>
          <w:tblInd w:w="55" w:type="dxa"/>
          <w:tblCellMar>
            <w:left w:w="70" w:type="dxa"/>
            <w:right w:w="70" w:type="dxa"/>
          </w:tblCellMar>
        </w:tblPrEx>
        <w:trPr>
          <w:trHeight w:val="315"/>
        </w:trPr>
        <w:tc>
          <w:tcPr>
            <w:tcW w:w="3984" w:type="dxa"/>
            <w:tcBorders>
              <w:top w:val="nil"/>
              <w:left w:val="nil"/>
              <w:bottom w:val="nil"/>
              <w:right w:val="nil"/>
            </w:tcBorders>
            <w:noWrap/>
            <w:textDirection w:val="lrTb"/>
            <w:vAlign w:val="bottom"/>
          </w:tcPr>
          <w:p w:rsidR="00571783" w:rsidP="00BB5D47">
            <w:pPr>
              <w:bidi w:val="0"/>
              <w:rPr>
                <w:rFonts w:ascii="Times New Roman" w:hAnsi="Times New Roman"/>
                <w:color w:val="000000"/>
                <w:sz w:val="20"/>
                <w:szCs w:val="20"/>
              </w:rPr>
            </w:pPr>
            <w:r>
              <w:rPr>
                <w:rFonts w:ascii="Times New Roman" w:hAnsi="Times New Roman"/>
                <w:color w:val="000000"/>
                <w:sz w:val="20"/>
                <w:szCs w:val="20"/>
              </w:rPr>
              <w:t>* úspora má znamienko (-)</w:t>
            </w:r>
          </w:p>
        </w:tc>
        <w:tc>
          <w:tcPr>
            <w:tcW w:w="851" w:type="dxa"/>
            <w:tcBorders>
              <w:top w:val="nil"/>
              <w:left w:val="nil"/>
              <w:bottom w:val="nil"/>
              <w:right w:val="nil"/>
            </w:tcBorders>
            <w:noWrap/>
            <w:textDirection w:val="lrTb"/>
            <w:vAlign w:val="bottom"/>
          </w:tcPr>
          <w:p w:rsidR="00571783" w:rsidP="00BB5D47">
            <w:pPr>
              <w:bidi w:val="0"/>
              <w:rPr>
                <w:rFonts w:ascii="Times New Roman" w:hAnsi="Times New Roman"/>
                <w:color w:val="000000"/>
              </w:rPr>
            </w:pPr>
          </w:p>
        </w:tc>
        <w:tc>
          <w:tcPr>
            <w:tcW w:w="1417" w:type="dxa"/>
            <w:tcBorders>
              <w:top w:val="nil"/>
              <w:left w:val="nil"/>
              <w:bottom w:val="nil"/>
              <w:right w:val="nil"/>
            </w:tcBorders>
            <w:noWrap/>
            <w:textDirection w:val="lrTb"/>
            <w:vAlign w:val="bottom"/>
          </w:tcPr>
          <w:p w:rsidR="00571783" w:rsidP="00BB5D47">
            <w:pPr>
              <w:bidi w:val="0"/>
              <w:rPr>
                <w:rFonts w:ascii="Times New Roman" w:hAnsi="Times New Roman"/>
                <w:color w:val="000000"/>
              </w:rPr>
            </w:pPr>
          </w:p>
        </w:tc>
        <w:tc>
          <w:tcPr>
            <w:tcW w:w="1418" w:type="dxa"/>
            <w:tcBorders>
              <w:top w:val="nil"/>
              <w:left w:val="nil"/>
              <w:bottom w:val="nil"/>
              <w:right w:val="nil"/>
            </w:tcBorders>
            <w:noWrap/>
            <w:textDirection w:val="lrTb"/>
            <w:vAlign w:val="bottom"/>
          </w:tcPr>
          <w:p w:rsidR="00571783" w:rsidP="00BB5D47">
            <w:pPr>
              <w:bidi w:val="0"/>
              <w:rPr>
                <w:rFonts w:ascii="Times New Roman" w:hAnsi="Times New Roman"/>
                <w:color w:val="000000"/>
              </w:rPr>
            </w:pPr>
          </w:p>
        </w:tc>
        <w:tc>
          <w:tcPr>
            <w:tcW w:w="1585" w:type="dxa"/>
            <w:tcBorders>
              <w:top w:val="nil"/>
              <w:left w:val="nil"/>
              <w:bottom w:val="nil"/>
              <w:right w:val="nil"/>
            </w:tcBorders>
            <w:noWrap/>
            <w:textDirection w:val="lrTb"/>
            <w:vAlign w:val="bottom"/>
          </w:tcPr>
          <w:p w:rsidR="00571783" w:rsidP="00BB5D47">
            <w:pPr>
              <w:bidi w:val="0"/>
              <w:rPr>
                <w:rFonts w:ascii="Times New Roman" w:hAnsi="Times New Roman"/>
                <w:color w:val="000000"/>
              </w:rPr>
            </w:pPr>
          </w:p>
        </w:tc>
      </w:tr>
    </w:tbl>
    <w:p w:rsidR="00B53407" w:rsidRPr="00571783" w:rsidP="00571783">
      <w:pPr>
        <w:tabs>
          <w:tab w:val="left" w:pos="567"/>
        </w:tabs>
        <w:bidi w:val="0"/>
        <w:spacing w:before="120"/>
        <w:ind w:left="567" w:hanging="567"/>
        <w:jc w:val="both"/>
        <w:rPr>
          <w:rFonts w:ascii="Times New Roman" w:hAnsi="Times New Roman"/>
          <w:bCs/>
          <w:sz w:val="20"/>
          <w:szCs w:val="20"/>
        </w:rPr>
      </w:pPr>
      <w:r w:rsidRPr="00571783" w:rsidR="00571783">
        <w:rPr>
          <w:rFonts w:ascii="Times New Roman" w:hAnsi="Times New Roman"/>
          <w:bCs/>
          <w:sz w:val="20"/>
          <w:szCs w:val="20"/>
        </w:rPr>
        <w:t>Pozn.:</w:t>
      </w:r>
      <w:r w:rsidR="00571783">
        <w:rPr>
          <w:rFonts w:ascii="Times New Roman" w:hAnsi="Times New Roman"/>
          <w:bCs/>
          <w:sz w:val="20"/>
          <w:szCs w:val="20"/>
        </w:rPr>
        <w:tab/>
      </w:r>
      <w:r w:rsidRPr="00571783" w:rsidR="00571783">
        <w:rPr>
          <w:rFonts w:ascii="Times New Roman" w:hAnsi="Times New Roman"/>
          <w:bCs/>
          <w:sz w:val="20"/>
          <w:szCs w:val="20"/>
        </w:rPr>
        <w:t xml:space="preserve">Zvýšené výdavky Sociálnej poisťovne v súvislosti so zasielaním </w:t>
      </w:r>
      <w:r w:rsidRPr="00571783" w:rsidR="00571783">
        <w:rPr>
          <w:rFonts w:ascii="Times New Roman" w:hAnsi="Times New Roman"/>
          <w:sz w:val="20"/>
          <w:szCs w:val="20"/>
        </w:rPr>
        <w:t>oznámení o určení dôchodkovej správcovskej spoločnosti sporiteľovi</w:t>
      </w:r>
      <w:r w:rsidRPr="00571783" w:rsidR="00571783">
        <w:rPr>
          <w:rFonts w:ascii="Times New Roman" w:hAnsi="Times New Roman"/>
          <w:bCs/>
          <w:sz w:val="20"/>
          <w:szCs w:val="20"/>
        </w:rPr>
        <w:t xml:space="preserve"> budú kryté zo správneho fondu Sociálnej poisťovne.</w:t>
      </w:r>
    </w:p>
    <w:p w:rsidR="00B53407" w:rsidP="00B53407">
      <w:pPr>
        <w:bidi w:val="0"/>
        <w:rPr>
          <w:rFonts w:ascii="Times New Roman" w:hAnsi="Times New Roman"/>
          <w:b/>
          <w:bCs/>
        </w:rPr>
      </w:pPr>
    </w:p>
    <w:p w:rsidR="00B53407" w:rsidP="00B53407">
      <w:pPr>
        <w:bidi w:val="0"/>
        <w:rPr>
          <w:rFonts w:ascii="Times New Roman" w:hAnsi="Times New Roman"/>
          <w:b/>
          <w:bCs/>
        </w:rPr>
      </w:pPr>
    </w:p>
    <w:p w:rsidR="00B53407" w:rsidP="00B53407">
      <w:pPr>
        <w:bidi w:val="0"/>
        <w:rPr>
          <w:rFonts w:ascii="Times New Roman" w:hAnsi="Times New Roman"/>
          <w:b/>
          <w:bCs/>
        </w:rPr>
      </w:pPr>
      <w:r w:rsidRPr="004161A1">
        <w:rPr>
          <w:rFonts w:ascii="Times New Roman" w:hAnsi="Times New Roman"/>
          <w:b/>
          <w:bCs/>
        </w:rPr>
        <w:t>Návrh na riešenie úbytku príjmov alebo zvýšených výdavkov podľa § 33 ods. 1 zákona č. 523/2004 Z. z. o rozpočtových pravidlách verejnej správy:</w:t>
      </w:r>
    </w:p>
    <w:p w:rsidR="00B53407" w:rsidP="00B53407">
      <w:pPr>
        <w:bidi w:val="0"/>
        <w:rPr>
          <w:rFonts w:ascii="Times New Roman" w:hAnsi="Times New Roman"/>
        </w:rPr>
      </w:pPr>
    </w:p>
    <w:p w:rsidR="00B53407" w:rsidP="00B53407">
      <w:pPr>
        <w:pBdr>
          <w:top w:val="single" w:sz="4" w:space="1" w:color="000000"/>
          <w:left w:val="single" w:sz="4" w:space="4" w:color="000000"/>
          <w:bottom w:val="single" w:sz="4" w:space="1" w:color="000000"/>
          <w:right w:val="single" w:sz="4" w:space="4" w:color="000000"/>
        </w:pBdr>
        <w:bidi w:val="0"/>
        <w:jc w:val="both"/>
        <w:rPr>
          <w:rFonts w:ascii="Times New Roman" w:hAnsi="Times New Roman"/>
        </w:rPr>
      </w:pPr>
      <w:r w:rsidRPr="00E061DE">
        <w:rPr>
          <w:rFonts w:ascii="Times New Roman" w:hAnsi="Times New Roman"/>
        </w:rPr>
        <w:t>Zníženie príjmov Sociálnej poisťovne sa navrhuje vykryť zvýšením transferu zo štátneho rozpočtu v takej výške, aby bola zabezpečená platobná schopnosť Sociálnej poisťovne v zmysle ods. 4 § 157 zákona č. 461/2003 Z. z. o sociálnom poistení v znení neskorších predpisov.</w:t>
      </w:r>
      <w:r w:rsidR="00571783">
        <w:rPr>
          <w:rFonts w:ascii="Times New Roman" w:hAnsi="Times New Roman"/>
        </w:rPr>
        <w:t xml:space="preserve"> </w:t>
      </w:r>
    </w:p>
    <w:p w:rsidR="00B53407" w:rsidP="00B53407">
      <w:pPr>
        <w:bidi w:val="0"/>
        <w:rPr>
          <w:rFonts w:ascii="Times New Roman" w:hAnsi="Times New Roman"/>
          <w:b/>
          <w:bCs/>
        </w:rPr>
      </w:pPr>
    </w:p>
    <w:p w:rsidR="0046704B" w:rsidP="00B53407">
      <w:pPr>
        <w:bidi w:val="0"/>
        <w:rPr>
          <w:rFonts w:ascii="Times New Roman" w:hAnsi="Times New Roman"/>
          <w:b/>
          <w:bCs/>
        </w:rPr>
      </w:pPr>
    </w:p>
    <w:p w:rsidR="00B53407" w:rsidP="00B53407">
      <w:pPr>
        <w:bidi w:val="0"/>
        <w:rPr>
          <w:rFonts w:ascii="Times New Roman" w:hAnsi="Times New Roman"/>
        </w:rPr>
      </w:pPr>
      <w:r w:rsidRPr="004161A1">
        <w:rPr>
          <w:rFonts w:ascii="Times New Roman" w:hAnsi="Times New Roman"/>
          <w:b/>
          <w:bCs/>
        </w:rPr>
        <w:t>2.3. Popis a charakteristika návrhu</w:t>
      </w:r>
    </w:p>
    <w:p w:rsidR="00B53407" w:rsidP="00B53407">
      <w:pPr>
        <w:bidi w:val="0"/>
        <w:rPr>
          <w:rFonts w:ascii="Times New Roman" w:hAnsi="Times New Roman"/>
        </w:rPr>
      </w:pPr>
      <w:r>
        <w:rPr>
          <w:rFonts w:ascii="Times New Roman" w:hAnsi="Times New Roman"/>
        </w:rPr>
        <w:t> </w:t>
      </w:r>
    </w:p>
    <w:p w:rsidR="00B53407" w:rsidP="00B53407">
      <w:pPr>
        <w:bidi w:val="0"/>
        <w:jc w:val="both"/>
        <w:rPr>
          <w:rFonts w:ascii="Times New Roman" w:hAnsi="Times New Roman"/>
          <w:b/>
          <w:bCs/>
        </w:rPr>
      </w:pPr>
      <w:r w:rsidRPr="004161A1">
        <w:rPr>
          <w:rFonts w:ascii="Times New Roman" w:hAnsi="Times New Roman"/>
          <w:b/>
          <w:bCs/>
        </w:rPr>
        <w:t>2.3.1. Popis návrhu:</w:t>
      </w:r>
    </w:p>
    <w:p w:rsidR="00B53407" w:rsidP="00B53407">
      <w:pPr>
        <w:bidi w:val="0"/>
        <w:jc w:val="both"/>
        <w:rPr>
          <w:rFonts w:ascii="Times New Roman" w:hAnsi="Times New Roman"/>
          <w:b/>
          <w:bCs/>
        </w:rPr>
      </w:pPr>
    </w:p>
    <w:p w:rsidR="00B53407" w:rsidRPr="00E54C87" w:rsidP="00B53407">
      <w:pPr>
        <w:bidi w:val="0"/>
        <w:jc w:val="both"/>
        <w:rPr>
          <w:rFonts w:ascii="Times New Roman" w:hAnsi="Times New Roman" w:cs="Arial"/>
          <w:szCs w:val="22"/>
        </w:rPr>
      </w:pPr>
      <w:r>
        <w:rPr>
          <w:rFonts w:ascii="Times New Roman" w:hAnsi="Times New Roman"/>
          <w:bCs/>
        </w:rPr>
        <w:t xml:space="preserve">Návrh zákona, ktorým sa mení a dopĺňa </w:t>
      </w:r>
      <w:r w:rsidRPr="00550EEF">
        <w:rPr>
          <w:rFonts w:ascii="Times New Roman" w:hAnsi="Times New Roman"/>
          <w:bCs/>
        </w:rPr>
        <w:t>zákon č. 43/2004 Z. z. o starobnom dôchodkovom sporení a o zmene a doplnení niektorých zákonov v znení neskorších predpisov a o zmene a doplnení zákona č. 461/2003 Z. z. o sociálnom poistení v znení neskorších predpisov</w:t>
      </w:r>
      <w:r>
        <w:rPr>
          <w:rFonts w:ascii="Times New Roman" w:hAnsi="Times New Roman"/>
          <w:bCs/>
        </w:rPr>
        <w:t>.</w:t>
      </w:r>
    </w:p>
    <w:p w:rsidR="00B53407" w:rsidRPr="00CA2B6E" w:rsidP="00B53407">
      <w:pPr>
        <w:bidi w:val="0"/>
        <w:jc w:val="both"/>
        <w:rPr>
          <w:rFonts w:ascii="Times New Roman" w:hAnsi="Times New Roman"/>
          <w:b/>
          <w:bCs/>
        </w:rPr>
      </w:pPr>
    </w:p>
    <w:p w:rsidR="00B53407" w:rsidP="00B53407">
      <w:pPr>
        <w:tabs>
          <w:tab w:val="left" w:pos="360"/>
        </w:tabs>
        <w:bidi w:val="0"/>
        <w:jc w:val="both"/>
        <w:rPr>
          <w:rFonts w:ascii="Times New Roman" w:hAnsi="Times New Roman"/>
          <w:b/>
        </w:rPr>
      </w:pPr>
      <w:r>
        <w:rPr>
          <w:rFonts w:ascii="Times New Roman" w:hAnsi="Times New Roman"/>
          <w:b/>
        </w:rPr>
        <w:t>A1. P</w:t>
      </w:r>
      <w:r w:rsidRPr="00CA2B6E">
        <w:rPr>
          <w:rFonts w:ascii="Times New Roman" w:hAnsi="Times New Roman"/>
          <w:b/>
        </w:rPr>
        <w:t>ovinný vstup prvopoistencov</w:t>
      </w:r>
      <w:r>
        <w:rPr>
          <w:rFonts w:ascii="Times New Roman" w:hAnsi="Times New Roman"/>
          <w:b/>
        </w:rPr>
        <w:t xml:space="preserve"> do systému starobného dôchodkového sporenia</w:t>
      </w:r>
      <w:r w:rsidRPr="00CA2B6E">
        <w:rPr>
          <w:rFonts w:ascii="Times New Roman" w:hAnsi="Times New Roman"/>
          <w:b/>
        </w:rPr>
        <w:t xml:space="preserve"> s</w:t>
      </w:r>
      <w:r>
        <w:rPr>
          <w:rFonts w:ascii="Times New Roman" w:hAnsi="Times New Roman"/>
          <w:b/>
        </w:rPr>
        <w:t> </w:t>
      </w:r>
      <w:r w:rsidRPr="00CA2B6E">
        <w:rPr>
          <w:rFonts w:ascii="Times New Roman" w:hAnsi="Times New Roman"/>
          <w:b/>
        </w:rPr>
        <w:t>možnosťou</w:t>
      </w:r>
      <w:r>
        <w:rPr>
          <w:rFonts w:ascii="Times New Roman" w:hAnsi="Times New Roman"/>
          <w:b/>
        </w:rPr>
        <w:t xml:space="preserve"> vystúpiť z tohto systému v priebehu </w:t>
      </w:r>
      <w:r w:rsidR="00D02023">
        <w:rPr>
          <w:rFonts w:ascii="Times New Roman" w:hAnsi="Times New Roman"/>
          <w:b/>
        </w:rPr>
        <w:t>dvoch rokov</w:t>
      </w:r>
      <w:r>
        <w:rPr>
          <w:rFonts w:ascii="Times New Roman" w:hAnsi="Times New Roman"/>
          <w:b/>
        </w:rPr>
        <w:t xml:space="preserve"> od vstupu do tohto systému.  </w:t>
      </w:r>
    </w:p>
    <w:p w:rsidR="00B53407" w:rsidP="00B53407">
      <w:pPr>
        <w:autoSpaceDE w:val="0"/>
        <w:autoSpaceDN w:val="0"/>
        <w:bidi w:val="0"/>
        <w:adjustRightInd w:val="0"/>
        <w:jc w:val="both"/>
        <w:rPr>
          <w:rFonts w:ascii="Times New Roman" w:hAnsi="Times New Roman"/>
        </w:rPr>
      </w:pPr>
    </w:p>
    <w:p w:rsidR="00B53407" w:rsidP="00B53407">
      <w:pPr>
        <w:autoSpaceDE w:val="0"/>
        <w:autoSpaceDN w:val="0"/>
        <w:bidi w:val="0"/>
        <w:adjustRightInd w:val="0"/>
        <w:jc w:val="both"/>
        <w:rPr>
          <w:rFonts w:ascii="Times New Roman" w:hAnsi="Times New Roman"/>
        </w:rPr>
      </w:pPr>
      <w:r>
        <w:rPr>
          <w:rFonts w:ascii="Times New Roman" w:hAnsi="Times New Roman"/>
        </w:rPr>
        <w:t xml:space="preserve">S účinnosťou </w:t>
      </w:r>
      <w:r w:rsidRPr="003C573B">
        <w:rPr>
          <w:rFonts w:ascii="Times New Roman" w:hAnsi="Times New Roman"/>
        </w:rPr>
        <w:t xml:space="preserve">od 1. </w:t>
      </w:r>
      <w:r w:rsidR="00EE5E6C">
        <w:rPr>
          <w:rFonts w:ascii="Times New Roman" w:hAnsi="Times New Roman"/>
        </w:rPr>
        <w:t>apríla</w:t>
      </w:r>
      <w:r w:rsidRPr="003C573B">
        <w:rPr>
          <w:rFonts w:ascii="Times New Roman" w:hAnsi="Times New Roman"/>
        </w:rPr>
        <w:t xml:space="preserve"> 2012</w:t>
      </w:r>
      <w:r>
        <w:rPr>
          <w:rFonts w:ascii="Times New Roman" w:hAnsi="Times New Roman"/>
        </w:rPr>
        <w:t xml:space="preserve"> sa navrhuje povinný vstup pre prvopoistencov do systému starobného dôchodkového sporenia. V prípade, že si dôchodkovú správcovskú spoločnosť prvopoistenec nevyberie sám, výber za neho zrealizuje Sociálna poisťovňa. Prvopois</w:t>
      </w:r>
      <w:r w:rsidR="00655E2D">
        <w:rPr>
          <w:rFonts w:ascii="Times New Roman" w:hAnsi="Times New Roman"/>
        </w:rPr>
        <w:t>tenec bude mať 2</w:t>
      </w:r>
      <w:r>
        <w:rPr>
          <w:rFonts w:ascii="Times New Roman" w:hAnsi="Times New Roman"/>
        </w:rPr>
        <w:t xml:space="preserve"> rok</w:t>
      </w:r>
      <w:r w:rsidR="00655E2D">
        <w:rPr>
          <w:rFonts w:ascii="Times New Roman" w:hAnsi="Times New Roman"/>
        </w:rPr>
        <w:t>y</w:t>
      </w:r>
      <w:r>
        <w:rPr>
          <w:rFonts w:ascii="Times New Roman" w:hAnsi="Times New Roman"/>
        </w:rPr>
        <w:t xml:space="preserve"> na prehodnoten</w:t>
      </w:r>
      <w:r w:rsidR="00655E2D">
        <w:rPr>
          <w:rFonts w:ascii="Times New Roman" w:hAnsi="Times New Roman"/>
        </w:rPr>
        <w:t>ie svojej účasti v II. pilieri.</w:t>
      </w:r>
    </w:p>
    <w:p w:rsidR="00B53407" w:rsidP="00B53407">
      <w:pPr>
        <w:tabs>
          <w:tab w:val="left" w:pos="360"/>
        </w:tabs>
        <w:bidi w:val="0"/>
        <w:jc w:val="both"/>
        <w:rPr>
          <w:rFonts w:ascii="Times New Roman" w:hAnsi="Times New Roman"/>
        </w:rPr>
      </w:pPr>
    </w:p>
    <w:p w:rsidR="00B53407" w:rsidP="00B53407">
      <w:pPr>
        <w:tabs>
          <w:tab w:val="left" w:pos="360"/>
        </w:tabs>
        <w:bidi w:val="0"/>
        <w:jc w:val="both"/>
        <w:rPr>
          <w:rFonts w:ascii="Times New Roman" w:hAnsi="Times New Roman"/>
          <w:b/>
        </w:rPr>
      </w:pPr>
      <w:r>
        <w:rPr>
          <w:rFonts w:ascii="Times New Roman" w:hAnsi="Times New Roman"/>
          <w:b/>
        </w:rPr>
        <w:t>A2. Určenie dôchodkovej správcovskej spoločnosti Sociálnou poisťovňou.</w:t>
      </w:r>
    </w:p>
    <w:p w:rsidR="00B53407" w:rsidP="00B53407">
      <w:pPr>
        <w:tabs>
          <w:tab w:val="left" w:pos="360"/>
        </w:tabs>
        <w:bidi w:val="0"/>
        <w:jc w:val="both"/>
        <w:rPr>
          <w:rFonts w:ascii="Times New Roman" w:hAnsi="Times New Roman"/>
          <w:b/>
        </w:rPr>
      </w:pPr>
    </w:p>
    <w:p w:rsidR="00B53407" w:rsidRPr="008C3121" w:rsidP="00B53407">
      <w:pPr>
        <w:tabs>
          <w:tab w:val="left" w:pos="360"/>
        </w:tabs>
        <w:bidi w:val="0"/>
        <w:jc w:val="both"/>
        <w:rPr>
          <w:rFonts w:ascii="Times New Roman" w:hAnsi="Times New Roman"/>
        </w:rPr>
      </w:pPr>
      <w:r>
        <w:rPr>
          <w:rFonts w:ascii="Times New Roman" w:hAnsi="Times New Roman"/>
        </w:rPr>
        <w:t xml:space="preserve">S účinnosťou </w:t>
      </w:r>
      <w:r w:rsidRPr="003C573B">
        <w:rPr>
          <w:rFonts w:ascii="Times New Roman" w:hAnsi="Times New Roman"/>
        </w:rPr>
        <w:t xml:space="preserve">od 1. </w:t>
      </w:r>
      <w:r w:rsidR="008C0AA3">
        <w:rPr>
          <w:rFonts w:ascii="Times New Roman" w:hAnsi="Times New Roman"/>
        </w:rPr>
        <w:t>apríla</w:t>
      </w:r>
      <w:r w:rsidRPr="003C573B">
        <w:rPr>
          <w:rFonts w:ascii="Times New Roman" w:hAnsi="Times New Roman"/>
        </w:rPr>
        <w:t xml:space="preserve"> 201</w:t>
      </w:r>
      <w:r>
        <w:rPr>
          <w:rFonts w:ascii="Times New Roman" w:hAnsi="Times New Roman"/>
        </w:rPr>
        <w:t>2 sa navrhuje, že Sociálna poisťovňa určí sporiteľom, ktorí sa sami nerozhodnú pre niektorú z dôchodkových správcovských spoločností alebo nedoručia oznámenie obsahujúce prejav vôle nebyť zúčastnený na starobnom dôchodkovom sporení, dôchodkovú správcovskú spoločnosť postupne podľa ich abecedného zoznamu. Sporiteľ, ktorému určila dôchodkovú správcovskú spoločnosť Sociálna poisťovňa, sa stáva sporiteľom v zmiešanom dôchodkovom fonde. Sociálna poisťovňa bude povinná bezodkladne do vlastných rúk poslať sporiteľovi oznámenie o určení dôchodkovej správcovskej spoločnosti.</w:t>
      </w:r>
    </w:p>
    <w:p w:rsidR="00B53407" w:rsidP="00B53407">
      <w:pPr>
        <w:tabs>
          <w:tab w:val="left" w:pos="360"/>
        </w:tabs>
        <w:bidi w:val="0"/>
        <w:jc w:val="both"/>
        <w:rPr>
          <w:rFonts w:ascii="Times New Roman" w:hAnsi="Times New Roman"/>
        </w:rPr>
      </w:pPr>
    </w:p>
    <w:p w:rsidR="008C0AA3" w:rsidRPr="0076336B" w:rsidP="00B53407">
      <w:pPr>
        <w:tabs>
          <w:tab w:val="left" w:pos="360"/>
        </w:tabs>
        <w:bidi w:val="0"/>
        <w:jc w:val="both"/>
        <w:rPr>
          <w:rFonts w:ascii="Times New Roman" w:hAnsi="Times New Roman"/>
          <w:b/>
        </w:rPr>
      </w:pPr>
      <w:r w:rsidRPr="0076336B" w:rsidR="00935C16">
        <w:rPr>
          <w:rFonts w:ascii="Times New Roman" w:hAnsi="Times New Roman"/>
          <w:b/>
        </w:rPr>
        <w:t xml:space="preserve">A3. Povinnosť Sociálnej poisťovne zaslať </w:t>
      </w:r>
      <w:r>
        <w:rPr>
          <w:rFonts w:ascii="Times New Roman" w:hAnsi="Times New Roman"/>
          <w:b/>
        </w:rPr>
        <w:t>novým sporiteľom</w:t>
      </w:r>
      <w:r w:rsidRPr="0076336B" w:rsidR="00935C16">
        <w:rPr>
          <w:rFonts w:ascii="Times New Roman" w:hAnsi="Times New Roman"/>
          <w:b/>
        </w:rPr>
        <w:t xml:space="preserve"> informáciu o </w:t>
      </w:r>
      <w:r>
        <w:rPr>
          <w:rFonts w:ascii="Times New Roman" w:hAnsi="Times New Roman"/>
          <w:b/>
        </w:rPr>
        <w:t>ich</w:t>
      </w:r>
      <w:r w:rsidRPr="0076336B" w:rsidR="00935C16">
        <w:rPr>
          <w:rFonts w:ascii="Times New Roman" w:hAnsi="Times New Roman"/>
          <w:b/>
        </w:rPr>
        <w:t xml:space="preserve"> právach a povinnostiach počas prvých 730 dní sporenia</w:t>
      </w:r>
    </w:p>
    <w:p w:rsidR="008C0AA3" w:rsidP="00B53407">
      <w:pPr>
        <w:tabs>
          <w:tab w:val="left" w:pos="360"/>
        </w:tabs>
        <w:bidi w:val="0"/>
        <w:jc w:val="both"/>
        <w:rPr>
          <w:rFonts w:ascii="Times New Roman" w:hAnsi="Times New Roman"/>
        </w:rPr>
      </w:pPr>
    </w:p>
    <w:p w:rsidR="008C0AA3" w:rsidP="00B53407">
      <w:pPr>
        <w:tabs>
          <w:tab w:val="left" w:pos="360"/>
        </w:tabs>
        <w:bidi w:val="0"/>
        <w:jc w:val="both"/>
        <w:rPr>
          <w:rFonts w:ascii="Times New Roman" w:hAnsi="Times New Roman"/>
        </w:rPr>
      </w:pPr>
      <w:r>
        <w:rPr>
          <w:rFonts w:ascii="Times New Roman" w:hAnsi="Times New Roman"/>
        </w:rPr>
        <w:t>S účinnosťou od 1. apríla 2012 sa navrhuje</w:t>
      </w:r>
      <w:r w:rsidRPr="00590859">
        <w:rPr>
          <w:rFonts w:ascii="Times New Roman" w:hAnsi="Times New Roman"/>
        </w:rPr>
        <w:t xml:space="preserve">, </w:t>
      </w:r>
      <w:r w:rsidRPr="00590859" w:rsidR="00CC5D6F">
        <w:rPr>
          <w:rFonts w:ascii="Times New Roman" w:hAnsi="Times New Roman"/>
        </w:rPr>
        <w:t>aby</w:t>
      </w:r>
      <w:r w:rsidRPr="0076336B">
        <w:rPr>
          <w:rFonts w:ascii="Times New Roman" w:hAnsi="Times New Roman"/>
        </w:rPr>
        <w:t xml:space="preserve"> Sociálna poisťovňa za</w:t>
      </w:r>
      <w:r w:rsidRPr="0076336B" w:rsidR="00CC5D6F">
        <w:rPr>
          <w:rFonts w:ascii="Times New Roman" w:hAnsi="Times New Roman"/>
        </w:rPr>
        <w:t>slala</w:t>
      </w:r>
      <w:r w:rsidRPr="00590859" w:rsidR="00B30A1A">
        <w:rPr>
          <w:rFonts w:ascii="Times New Roman" w:hAnsi="Times New Roman"/>
        </w:rPr>
        <w:t xml:space="preserve"> do</w:t>
      </w:r>
      <w:r w:rsidR="00B30A1A">
        <w:rPr>
          <w:rFonts w:ascii="Times New Roman" w:hAnsi="Times New Roman"/>
        </w:rPr>
        <w:t xml:space="preserve"> 6</w:t>
      </w:r>
      <w:r>
        <w:rPr>
          <w:rFonts w:ascii="Times New Roman" w:hAnsi="Times New Roman"/>
        </w:rPr>
        <w:t>0 dní od vzniku prvej účasti na starobnom dôchodkovom sporení novým sporiteľom informáciu o ich právach a povinnostiach počas prvých 730 dní sporenia v záujme zvýšenia informovanosti nových sporiteľov.</w:t>
      </w:r>
    </w:p>
    <w:p w:rsidR="008C0AA3" w:rsidRPr="00F2761C" w:rsidP="00B53407">
      <w:pPr>
        <w:tabs>
          <w:tab w:val="left" w:pos="360"/>
        </w:tabs>
        <w:bidi w:val="0"/>
        <w:jc w:val="both"/>
        <w:rPr>
          <w:rFonts w:ascii="Times New Roman" w:hAnsi="Times New Roman"/>
        </w:rPr>
      </w:pPr>
    </w:p>
    <w:p w:rsidR="00B53407" w:rsidRPr="003853A9" w:rsidP="00B53407">
      <w:pPr>
        <w:tabs>
          <w:tab w:val="left" w:pos="360"/>
        </w:tabs>
        <w:bidi w:val="0"/>
        <w:jc w:val="both"/>
        <w:rPr>
          <w:rFonts w:ascii="Times New Roman" w:hAnsi="Times New Roman"/>
          <w:b/>
        </w:rPr>
      </w:pPr>
      <w:r>
        <w:rPr>
          <w:rFonts w:ascii="Times New Roman" w:hAnsi="Times New Roman"/>
          <w:b/>
        </w:rPr>
        <w:t>B</w:t>
      </w:r>
      <w:r w:rsidRPr="003853A9">
        <w:rPr>
          <w:rFonts w:ascii="Times New Roman" w:hAnsi="Times New Roman"/>
          <w:b/>
        </w:rPr>
        <w:t>. Vrátenie príspevkov a</w:t>
      </w:r>
      <w:r>
        <w:rPr>
          <w:rFonts w:ascii="Times New Roman" w:hAnsi="Times New Roman"/>
          <w:b/>
        </w:rPr>
        <w:t> </w:t>
      </w:r>
      <w:r w:rsidRPr="003853A9">
        <w:rPr>
          <w:rFonts w:ascii="Times New Roman" w:hAnsi="Times New Roman"/>
          <w:b/>
        </w:rPr>
        <w:t>penále</w:t>
      </w:r>
      <w:r>
        <w:rPr>
          <w:rFonts w:ascii="Times New Roman" w:hAnsi="Times New Roman"/>
          <w:b/>
        </w:rPr>
        <w:t>.</w:t>
      </w:r>
    </w:p>
    <w:p w:rsidR="00B53407" w:rsidP="00B53407">
      <w:pPr>
        <w:tabs>
          <w:tab w:val="left" w:pos="360"/>
        </w:tabs>
        <w:bidi w:val="0"/>
        <w:jc w:val="both"/>
        <w:rPr>
          <w:rFonts w:ascii="Times New Roman" w:hAnsi="Times New Roman"/>
        </w:rPr>
      </w:pPr>
    </w:p>
    <w:p w:rsidR="00B53407" w:rsidRPr="003853A9" w:rsidP="00B53407">
      <w:pPr>
        <w:tabs>
          <w:tab w:val="left" w:pos="360"/>
        </w:tabs>
        <w:bidi w:val="0"/>
        <w:jc w:val="both"/>
        <w:rPr>
          <w:rFonts w:ascii="Times New Roman" w:hAnsi="Times New Roman"/>
        </w:rPr>
      </w:pPr>
      <w:r>
        <w:rPr>
          <w:rFonts w:ascii="Times New Roman" w:hAnsi="Times New Roman"/>
        </w:rPr>
        <w:t xml:space="preserve">S účinnosťou </w:t>
      </w:r>
      <w:r w:rsidRPr="003C573B">
        <w:rPr>
          <w:rFonts w:ascii="Times New Roman" w:hAnsi="Times New Roman"/>
        </w:rPr>
        <w:t xml:space="preserve">od 1. </w:t>
      </w:r>
      <w:r w:rsidR="000C38C5">
        <w:rPr>
          <w:rFonts w:ascii="Times New Roman" w:hAnsi="Times New Roman"/>
        </w:rPr>
        <w:t>novembra</w:t>
      </w:r>
      <w:r w:rsidRPr="003C573B">
        <w:rPr>
          <w:rFonts w:ascii="Times New Roman" w:hAnsi="Times New Roman"/>
        </w:rPr>
        <w:t xml:space="preserve"> 2011</w:t>
      </w:r>
      <w:r>
        <w:rPr>
          <w:rFonts w:ascii="Times New Roman" w:hAnsi="Times New Roman"/>
        </w:rPr>
        <w:t xml:space="preserve"> sa navrhuje riešiť vrátenie neoprávnene postúpených penále rovnako ako je tomu v prípade neoprávnene postúpených príspevkov.</w:t>
      </w:r>
    </w:p>
    <w:p w:rsidR="00B53407" w:rsidP="00B53407">
      <w:pPr>
        <w:tabs>
          <w:tab w:val="left" w:pos="360"/>
        </w:tabs>
        <w:bidi w:val="0"/>
        <w:jc w:val="both"/>
        <w:rPr>
          <w:rFonts w:ascii="Times New Roman" w:hAnsi="Times New Roman"/>
          <w:b/>
        </w:rPr>
      </w:pPr>
    </w:p>
    <w:p w:rsidR="00B53407" w:rsidP="00B53407">
      <w:pPr>
        <w:bidi w:val="0"/>
        <w:rPr>
          <w:rFonts w:ascii="Times New Roman" w:hAnsi="Times New Roman"/>
        </w:rPr>
      </w:pPr>
    </w:p>
    <w:p w:rsidR="00B53407" w:rsidP="00B53407">
      <w:pPr>
        <w:bidi w:val="0"/>
        <w:rPr>
          <w:rFonts w:ascii="Times New Roman" w:hAnsi="Times New Roman"/>
          <w:b/>
          <w:bCs/>
        </w:rPr>
      </w:pPr>
      <w:r w:rsidRPr="004161A1">
        <w:rPr>
          <w:rFonts w:ascii="Times New Roman" w:hAnsi="Times New Roman"/>
          <w:b/>
          <w:bCs/>
        </w:rPr>
        <w:t>2.3.2. Ch</w:t>
      </w:r>
      <w:r>
        <w:rPr>
          <w:rFonts w:ascii="Times New Roman" w:hAnsi="Times New Roman"/>
          <w:b/>
          <w:bCs/>
        </w:rPr>
        <w:t>arakteristika návrhu podľa bodu</w:t>
      </w:r>
      <w:r w:rsidRPr="004161A1">
        <w:rPr>
          <w:rFonts w:ascii="Times New Roman" w:hAnsi="Times New Roman"/>
          <w:b/>
          <w:bCs/>
        </w:rPr>
        <w:t xml:space="preserve"> 2.3.2. Metodiky:</w:t>
      </w:r>
    </w:p>
    <w:p w:rsidR="00B53407" w:rsidP="00B53407">
      <w:pPr>
        <w:bidi w:val="0"/>
        <w:rPr>
          <w:rFonts w:ascii="Times New Roman" w:hAnsi="Times New Roman"/>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92" w:type="dxa"/>
            <w:tcBorders>
              <w:top w:val="single" w:sz="4" w:space="0" w:color="000000"/>
              <w:left w:val="single" w:sz="4" w:space="0" w:color="000000"/>
              <w:bottom w:val="single" w:sz="4" w:space="0" w:color="000000"/>
              <w:right w:val="single" w:sz="4" w:space="0" w:color="000000"/>
            </w:tcBorders>
            <w:textDirection w:val="lrTb"/>
            <w:vAlign w:val="top"/>
          </w:tcPr>
          <w:p w:rsidR="00B53407" w:rsidP="00BB5D47">
            <w:pPr>
              <w:bidi w:val="0"/>
              <w:suppressOverlap/>
              <w:rPr>
                <w:rFonts w:ascii="Times New Roman" w:hAnsi="Times New Roman"/>
              </w:rPr>
            </w:pPr>
          </w:p>
        </w:tc>
      </w:tr>
      <w:tr>
        <w:tblPrEx>
          <w:tblW w:w="0" w:type="auto"/>
          <w:tblLook w:val="04A0"/>
        </w:tblPrEx>
        <w:tc>
          <w:tcPr>
            <w:tcW w:w="392" w:type="dxa"/>
            <w:tcBorders>
              <w:top w:val="single" w:sz="4" w:space="0" w:color="000000"/>
              <w:left w:val="single" w:sz="4" w:space="0" w:color="000000"/>
              <w:bottom w:val="single" w:sz="4" w:space="0" w:color="000000"/>
              <w:right w:val="single" w:sz="4" w:space="0" w:color="000000"/>
            </w:tcBorders>
            <w:textDirection w:val="lrTb"/>
            <w:vAlign w:val="top"/>
          </w:tcPr>
          <w:p w:rsidR="00B53407" w:rsidP="00BB5D47">
            <w:pPr>
              <w:bidi w:val="0"/>
              <w:suppressOverlap/>
              <w:rPr>
                <w:rFonts w:ascii="Times New Roman" w:hAnsi="Times New Roman"/>
              </w:rPr>
            </w:pPr>
            <w:r>
              <w:rPr>
                <w:rFonts w:ascii="Times New Roman" w:hAnsi="Times New Roman"/>
              </w:rPr>
              <w:t>x</w:t>
            </w:r>
          </w:p>
        </w:tc>
      </w:tr>
      <w:tr>
        <w:tblPrEx>
          <w:tblW w:w="0" w:type="auto"/>
          <w:tblLook w:val="04A0"/>
        </w:tblPrEx>
        <w:tc>
          <w:tcPr>
            <w:tcW w:w="392" w:type="dxa"/>
            <w:tcBorders>
              <w:top w:val="single" w:sz="4" w:space="0" w:color="000000"/>
              <w:left w:val="single" w:sz="4" w:space="0" w:color="000000"/>
              <w:bottom w:val="single" w:sz="4" w:space="0" w:color="000000"/>
              <w:right w:val="single" w:sz="4" w:space="0" w:color="000000"/>
            </w:tcBorders>
            <w:textDirection w:val="lrTb"/>
            <w:vAlign w:val="top"/>
          </w:tcPr>
          <w:p w:rsidR="00B53407" w:rsidP="00BB5D47">
            <w:pPr>
              <w:bidi w:val="0"/>
              <w:suppressOverlap/>
              <w:rPr>
                <w:rFonts w:ascii="Times New Roman" w:hAnsi="Times New Roman"/>
              </w:rPr>
            </w:pPr>
            <w:r>
              <w:rPr>
                <w:rFonts w:ascii="Times New Roman" w:hAnsi="Times New Roman"/>
              </w:rPr>
              <w:t>x</w:t>
            </w:r>
          </w:p>
        </w:tc>
      </w:tr>
      <w:tr>
        <w:tblPrEx>
          <w:tblW w:w="0" w:type="auto"/>
          <w:tblLook w:val="04A0"/>
        </w:tblPrEx>
        <w:tc>
          <w:tcPr>
            <w:tcW w:w="392" w:type="dxa"/>
            <w:tcBorders>
              <w:top w:val="single" w:sz="4" w:space="0" w:color="000000"/>
              <w:left w:val="single" w:sz="4" w:space="0" w:color="000000"/>
              <w:bottom w:val="single" w:sz="4" w:space="0" w:color="000000"/>
              <w:right w:val="single" w:sz="4" w:space="0" w:color="000000"/>
            </w:tcBorders>
            <w:textDirection w:val="lrTb"/>
            <w:vAlign w:val="top"/>
          </w:tcPr>
          <w:p w:rsidR="00B53407" w:rsidP="00BB5D47">
            <w:pPr>
              <w:bidi w:val="0"/>
              <w:suppressOverlap/>
              <w:rPr>
                <w:rFonts w:ascii="Times New Roman" w:hAnsi="Times New Roman"/>
              </w:rPr>
            </w:pPr>
          </w:p>
        </w:tc>
      </w:tr>
      <w:tr>
        <w:tblPrEx>
          <w:tblW w:w="0" w:type="auto"/>
          <w:tblLook w:val="04A0"/>
        </w:tblPrEx>
        <w:tc>
          <w:tcPr>
            <w:tcW w:w="392" w:type="dxa"/>
            <w:tcBorders>
              <w:top w:val="single" w:sz="4" w:space="0" w:color="000000"/>
              <w:left w:val="single" w:sz="4" w:space="0" w:color="000000"/>
              <w:bottom w:val="single" w:sz="4" w:space="0" w:color="000000"/>
              <w:right w:val="single" w:sz="4" w:space="0" w:color="000000"/>
            </w:tcBorders>
            <w:textDirection w:val="lrTb"/>
            <w:vAlign w:val="top"/>
          </w:tcPr>
          <w:p w:rsidR="00B53407" w:rsidP="00BB5D47">
            <w:pPr>
              <w:bidi w:val="0"/>
              <w:suppressOverlap/>
              <w:rPr>
                <w:rFonts w:ascii="Times New Roman" w:hAnsi="Times New Roman"/>
              </w:rPr>
            </w:pPr>
          </w:p>
        </w:tc>
      </w:tr>
    </w:tbl>
    <w:p w:rsidR="00B53407" w:rsidRPr="00DD4F96" w:rsidP="00B53407">
      <w:pPr>
        <w:bidi w:val="0"/>
        <w:rPr>
          <w:rFonts w:ascii="Times New Roman" w:hAnsi="Times New Roman"/>
        </w:rPr>
      </w:pPr>
      <w:r>
        <w:rPr>
          <w:rFonts w:ascii="Times New Roman" w:hAnsi="Times New Roman"/>
          <w:b/>
          <w:bCs/>
        </w:rPr>
        <w:t xml:space="preserve"> </w:t>
      </w:r>
      <w:r w:rsidRPr="00DD4F96">
        <w:rPr>
          <w:rFonts w:ascii="Times New Roman" w:hAnsi="Times New Roman"/>
        </w:rPr>
        <w:t>zmena sadzby</w:t>
      </w:r>
    </w:p>
    <w:p w:rsidR="00B53407" w:rsidP="00B53407">
      <w:pPr>
        <w:bidi w:val="0"/>
        <w:rPr>
          <w:rFonts w:ascii="Times New Roman" w:hAnsi="Times New Roman"/>
        </w:rPr>
      </w:pPr>
      <w:r w:rsidRPr="00DD4F96">
        <w:rPr>
          <w:rFonts w:ascii="Times New Roman" w:hAnsi="Times New Roman"/>
        </w:rPr>
        <w:t xml:space="preserve"> zmena v nároku</w:t>
      </w:r>
    </w:p>
    <w:p w:rsidR="00B53407" w:rsidP="00B53407">
      <w:pPr>
        <w:bidi w:val="0"/>
        <w:rPr>
          <w:rFonts w:ascii="Times New Roman" w:hAnsi="Times New Roman"/>
        </w:rPr>
      </w:pPr>
      <w:r>
        <w:rPr>
          <w:rFonts w:ascii="Times New Roman" w:hAnsi="Times New Roman"/>
        </w:rPr>
        <w:t xml:space="preserve"> nová služba alebo nariadenie (alebo ich zrušenie)</w:t>
      </w:r>
    </w:p>
    <w:p w:rsidR="00B53407" w:rsidP="00B53407">
      <w:pPr>
        <w:bidi w:val="0"/>
        <w:rPr>
          <w:rFonts w:ascii="Times New Roman" w:hAnsi="Times New Roman"/>
        </w:rPr>
      </w:pPr>
      <w:r>
        <w:rPr>
          <w:rFonts w:ascii="Times New Roman" w:hAnsi="Times New Roman"/>
        </w:rPr>
        <w:t xml:space="preserve"> kombinovaný návrh (zmena sadzieb, zmena vymeriavacích základov a zmena nároku)</w:t>
      </w:r>
    </w:p>
    <w:p w:rsidR="00B53407" w:rsidP="00B53407">
      <w:pPr>
        <w:bidi w:val="0"/>
        <w:rPr>
          <w:rFonts w:ascii="Times New Roman" w:hAnsi="Times New Roman"/>
        </w:rPr>
      </w:pPr>
      <w:r>
        <w:rPr>
          <w:rFonts w:ascii="Times New Roman" w:hAnsi="Times New Roman"/>
        </w:rPr>
        <w:t xml:space="preserve"> iné </w:t>
      </w:r>
    </w:p>
    <w:p w:rsidR="00B53407" w:rsidP="00B53407">
      <w:pPr>
        <w:bidi w:val="0"/>
        <w:rPr>
          <w:rFonts w:ascii="Times New Roman" w:hAnsi="Times New Roman"/>
        </w:rPr>
      </w:pPr>
    </w:p>
    <w:p w:rsidR="00B53407" w:rsidP="00B53407">
      <w:pPr>
        <w:bidi w:val="0"/>
        <w:rPr>
          <w:rFonts w:ascii="Times New Roman" w:hAnsi="Times New Roman"/>
        </w:rPr>
      </w:pPr>
    </w:p>
    <w:p w:rsidR="00B53407" w:rsidP="00B53407">
      <w:pPr>
        <w:bidi w:val="0"/>
        <w:rPr>
          <w:rFonts w:ascii="Times New Roman" w:hAnsi="Times New Roman"/>
        </w:rPr>
      </w:pPr>
      <w:r w:rsidRPr="004161A1">
        <w:rPr>
          <w:rFonts w:ascii="Times New Roman" w:hAnsi="Times New Roman"/>
          <w:b/>
          <w:bCs/>
        </w:rPr>
        <w:t>2.3.3. Predpoklady vývoja objemu aktivít:</w:t>
      </w:r>
    </w:p>
    <w:p w:rsidR="00B53407" w:rsidP="00B53407">
      <w:pPr>
        <w:bidi w:val="0"/>
        <w:jc w:val="both"/>
        <w:rPr>
          <w:rFonts w:ascii="Times New Roman" w:hAnsi="Times New Roman"/>
        </w:rPr>
      </w:pPr>
    </w:p>
    <w:p w:rsidR="00F307D3" w:rsidP="00F307D3">
      <w:pPr>
        <w:pBdr>
          <w:top w:val="single" w:sz="4" w:space="0" w:color="auto"/>
          <w:left w:val="single" w:sz="4" w:space="4" w:color="auto"/>
          <w:bottom w:val="single" w:sz="4" w:space="1" w:color="auto"/>
          <w:right w:val="single" w:sz="4" w:space="4" w:color="auto"/>
        </w:pBdr>
        <w:bidi w:val="0"/>
        <w:jc w:val="both"/>
        <w:rPr>
          <w:rFonts w:ascii="Times New Roman" w:hAnsi="Times New Roman"/>
        </w:rPr>
      </w:pPr>
      <w:r w:rsidRPr="00D827C9" w:rsidR="00B53407">
        <w:rPr>
          <w:rFonts w:ascii="Times New Roman" w:hAnsi="Times New Roman"/>
        </w:rPr>
        <w:t>Zavedenie povinného vstupu pre prvopoistencov do systému starobného dôchodkového sporenia si vyžiada zmenu informačného systému Sociálnej poisťovne. Vplyvom navrhovaných zmi</w:t>
      </w:r>
      <w:r w:rsidR="00B53407">
        <w:rPr>
          <w:rFonts w:ascii="Times New Roman" w:hAnsi="Times New Roman"/>
        </w:rPr>
        <w:t xml:space="preserve">en sa </w:t>
      </w:r>
      <w:r w:rsidRPr="00D827C9" w:rsidR="00B53407">
        <w:rPr>
          <w:rFonts w:ascii="Times New Roman" w:hAnsi="Times New Roman"/>
        </w:rPr>
        <w:t>predpokladá nárast administratívnej záťaže Sociálnej poisťovne</w:t>
      </w:r>
      <w:r w:rsidR="00B53407">
        <w:rPr>
          <w:rFonts w:ascii="Times New Roman" w:hAnsi="Times New Roman"/>
        </w:rPr>
        <w:t xml:space="preserve"> z dôvodu </w:t>
      </w:r>
      <w:r w:rsidR="00B53407">
        <w:rPr>
          <w:rFonts w:ascii="Times New Roman" w:hAnsi="Times New Roman"/>
          <w:szCs w:val="22"/>
        </w:rPr>
        <w:t xml:space="preserve">povinnosti </w:t>
      </w:r>
      <w:r w:rsidRPr="00951637" w:rsidR="00B53407">
        <w:rPr>
          <w:rFonts w:ascii="Times New Roman" w:hAnsi="Times New Roman"/>
          <w:szCs w:val="22"/>
        </w:rPr>
        <w:t>zaslať oznámenie o určení dôchodkovej správcovskej spoločnosti sporiteľovi</w:t>
      </w:r>
      <w:r w:rsidRPr="00951637" w:rsidR="00B53407">
        <w:rPr>
          <w:rFonts w:ascii="Times New Roman" w:hAnsi="Times New Roman"/>
        </w:rPr>
        <w:t xml:space="preserve">. </w:t>
      </w:r>
      <w:r w:rsidRPr="00951637">
        <w:rPr>
          <w:rFonts w:ascii="Times New Roman" w:hAnsi="Times New Roman"/>
        </w:rPr>
        <w:t>Zvýšenie výdavkov súvisiace s implementáciou navrhovaných zmien bude zabezpečené v rámci správneho fondu Sociálnej poisťovne.</w:t>
      </w:r>
    </w:p>
    <w:p w:rsidR="00B53407" w:rsidP="00B53407">
      <w:pPr>
        <w:bidi w:val="0"/>
        <w:jc w:val="both"/>
        <w:rPr>
          <w:rFonts w:ascii="Times New Roman" w:hAnsi="Times New Roman"/>
        </w:rPr>
      </w:pPr>
    </w:p>
    <w:p w:rsidR="00B53407" w:rsidP="00B53407">
      <w:pPr>
        <w:bidi w:val="0"/>
        <w:jc w:val="both"/>
        <w:rPr>
          <w:rFonts w:ascii="Times New Roman" w:hAnsi="Times New Roman"/>
        </w:rPr>
      </w:pPr>
    </w:p>
    <w:p w:rsidR="00B53407" w:rsidP="00B53407">
      <w:pPr>
        <w:bidi w:val="0"/>
        <w:jc w:val="both"/>
        <w:rPr>
          <w:rFonts w:ascii="Times New Roman" w:hAnsi="Times New Roman"/>
        </w:rPr>
      </w:pPr>
    </w:p>
    <w:p w:rsidR="00B53407" w:rsidP="00B53407">
      <w:pPr>
        <w:bidi w:val="0"/>
        <w:jc w:val="both"/>
        <w:rPr>
          <w:rFonts w:ascii="Times New Roman" w:hAnsi="Times New Roman"/>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1560"/>
        <w:gridCol w:w="1559"/>
        <w:gridCol w:w="1276"/>
        <w:gridCol w:w="1559"/>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943" w:type="dxa"/>
            <w:vMerge w:val="restart"/>
            <w:tcBorders>
              <w:top w:val="single" w:sz="4" w:space="0" w:color="000000"/>
              <w:left w:val="single" w:sz="4" w:space="0" w:color="000000"/>
              <w:bottom w:val="single" w:sz="4" w:space="0" w:color="000000"/>
              <w:right w:val="single" w:sz="4" w:space="0" w:color="000000"/>
            </w:tcBorders>
            <w:textDirection w:val="lrTb"/>
            <w:vAlign w:val="center"/>
          </w:tcPr>
          <w:p w:rsidR="00B53407" w:rsidRPr="003670B1" w:rsidP="00BB5D47">
            <w:pPr>
              <w:bidi w:val="0"/>
              <w:jc w:val="center"/>
              <w:rPr>
                <w:rFonts w:ascii="Times New Roman" w:hAnsi="Times New Roman"/>
                <w:b/>
              </w:rPr>
            </w:pPr>
            <w:r w:rsidRPr="00B21603" w:rsidR="00D2227F">
              <w:rPr>
                <w:rFonts w:ascii="Times New Roman" w:hAnsi="Times New Roman"/>
                <w:b/>
              </w:rPr>
              <w:t>počet zaslaných oznámení</w:t>
            </w:r>
          </w:p>
        </w:tc>
        <w:tc>
          <w:tcPr>
            <w:tcW w:w="5954" w:type="dxa"/>
            <w:gridSpan w:val="4"/>
            <w:tcBorders>
              <w:top w:val="single" w:sz="4" w:space="0" w:color="000000"/>
              <w:left w:val="single" w:sz="4" w:space="0" w:color="000000"/>
              <w:bottom w:val="single" w:sz="4" w:space="0" w:color="000000"/>
              <w:right w:val="single" w:sz="4" w:space="0" w:color="000000"/>
            </w:tcBorders>
            <w:textDirection w:val="lrTb"/>
            <w:vAlign w:val="top"/>
          </w:tcPr>
          <w:p w:rsidR="00B53407" w:rsidRPr="00B21603" w:rsidP="00BB5D47">
            <w:pPr>
              <w:bidi w:val="0"/>
              <w:jc w:val="center"/>
              <w:rPr>
                <w:rFonts w:ascii="Times New Roman" w:hAnsi="Times New Roman"/>
                <w:b/>
              </w:rPr>
            </w:pPr>
            <w:r w:rsidRPr="00B21603">
              <w:rPr>
                <w:rFonts w:ascii="Times New Roman" w:hAnsi="Times New Roman"/>
                <w:b/>
              </w:rPr>
              <w:t>odhadovaný objem</w:t>
            </w:r>
          </w:p>
        </w:tc>
      </w:tr>
      <w:tr>
        <w:tblPrEx>
          <w:tblW w:w="0" w:type="auto"/>
          <w:tblLook w:val="04A0"/>
        </w:tblPrEx>
        <w:tc>
          <w:tcPr>
            <w:tcW w:w="2943" w:type="dxa"/>
            <w:vMerge/>
            <w:tcBorders>
              <w:top w:val="single" w:sz="4" w:space="0" w:color="000000"/>
              <w:left w:val="single" w:sz="4" w:space="0" w:color="000000"/>
              <w:bottom w:val="single" w:sz="4" w:space="0" w:color="000000"/>
              <w:right w:val="single" w:sz="4" w:space="0" w:color="000000"/>
            </w:tcBorders>
            <w:textDirection w:val="lrTb"/>
            <w:vAlign w:val="top"/>
          </w:tcPr>
          <w:p w:rsidR="00B53407" w:rsidP="00BB5D47">
            <w:pPr>
              <w:bidi w:val="0"/>
              <w:jc w:val="both"/>
              <w:rPr>
                <w:rFonts w:ascii="Times New Roman" w:hAnsi="Times New Roman"/>
              </w:rPr>
            </w:pPr>
          </w:p>
        </w:tc>
        <w:tc>
          <w:tcPr>
            <w:tcW w:w="1560" w:type="dxa"/>
            <w:tcBorders>
              <w:top w:val="single" w:sz="4" w:space="0" w:color="000000"/>
              <w:left w:val="single" w:sz="4" w:space="0" w:color="000000"/>
              <w:bottom w:val="single" w:sz="4" w:space="0" w:color="000000"/>
              <w:right w:val="single" w:sz="4" w:space="0" w:color="000000"/>
            </w:tcBorders>
            <w:textDirection w:val="lrTb"/>
            <w:vAlign w:val="top"/>
          </w:tcPr>
          <w:p w:rsidR="00B53407" w:rsidRPr="00B21603" w:rsidP="00BB5D47">
            <w:pPr>
              <w:bidi w:val="0"/>
              <w:jc w:val="center"/>
              <w:rPr>
                <w:rFonts w:ascii="Times New Roman" w:hAnsi="Times New Roman"/>
                <w:b/>
              </w:rPr>
            </w:pPr>
            <w:r w:rsidRPr="00B21603">
              <w:rPr>
                <w:rFonts w:ascii="Times New Roman" w:hAnsi="Times New Roman"/>
                <w:b/>
              </w:rPr>
              <w:t>2011</w:t>
            </w:r>
          </w:p>
        </w:tc>
        <w:tc>
          <w:tcPr>
            <w:tcW w:w="1559" w:type="dxa"/>
            <w:tcBorders>
              <w:top w:val="single" w:sz="4" w:space="0" w:color="000000"/>
              <w:left w:val="single" w:sz="4" w:space="0" w:color="000000"/>
              <w:bottom w:val="single" w:sz="4" w:space="0" w:color="000000"/>
              <w:right w:val="single" w:sz="4" w:space="0" w:color="000000"/>
            </w:tcBorders>
            <w:textDirection w:val="lrTb"/>
            <w:vAlign w:val="top"/>
          </w:tcPr>
          <w:p w:rsidR="00B53407" w:rsidRPr="00B21603" w:rsidP="00BB5D47">
            <w:pPr>
              <w:bidi w:val="0"/>
              <w:jc w:val="center"/>
              <w:rPr>
                <w:rFonts w:ascii="Times New Roman" w:hAnsi="Times New Roman"/>
                <w:b/>
              </w:rPr>
            </w:pPr>
            <w:r w:rsidRPr="00B21603">
              <w:rPr>
                <w:rFonts w:ascii="Times New Roman" w:hAnsi="Times New Roman"/>
                <w:b/>
              </w:rPr>
              <w:t>2012</w:t>
            </w:r>
          </w:p>
        </w:tc>
        <w:tc>
          <w:tcPr>
            <w:tcW w:w="1276" w:type="dxa"/>
            <w:tcBorders>
              <w:top w:val="single" w:sz="4" w:space="0" w:color="000000"/>
              <w:left w:val="single" w:sz="4" w:space="0" w:color="000000"/>
              <w:bottom w:val="single" w:sz="4" w:space="0" w:color="000000"/>
              <w:right w:val="single" w:sz="4" w:space="0" w:color="000000"/>
            </w:tcBorders>
            <w:textDirection w:val="lrTb"/>
            <w:vAlign w:val="top"/>
          </w:tcPr>
          <w:p w:rsidR="00B53407" w:rsidRPr="00B21603" w:rsidP="00BB5D47">
            <w:pPr>
              <w:bidi w:val="0"/>
              <w:jc w:val="center"/>
              <w:rPr>
                <w:rFonts w:ascii="Times New Roman" w:hAnsi="Times New Roman"/>
                <w:b/>
              </w:rPr>
            </w:pPr>
            <w:r w:rsidRPr="00B21603">
              <w:rPr>
                <w:rFonts w:ascii="Times New Roman" w:hAnsi="Times New Roman"/>
                <w:b/>
              </w:rPr>
              <w:t>2013</w:t>
            </w:r>
          </w:p>
        </w:tc>
        <w:tc>
          <w:tcPr>
            <w:tcW w:w="1559" w:type="dxa"/>
            <w:tcBorders>
              <w:top w:val="single" w:sz="4" w:space="0" w:color="000000"/>
              <w:left w:val="single" w:sz="4" w:space="0" w:color="000000"/>
              <w:bottom w:val="single" w:sz="4" w:space="0" w:color="000000"/>
              <w:right w:val="single" w:sz="4" w:space="0" w:color="000000"/>
            </w:tcBorders>
            <w:textDirection w:val="lrTb"/>
            <w:vAlign w:val="top"/>
          </w:tcPr>
          <w:p w:rsidR="00B53407" w:rsidRPr="00B21603" w:rsidP="00BB5D47">
            <w:pPr>
              <w:bidi w:val="0"/>
              <w:jc w:val="center"/>
              <w:rPr>
                <w:rFonts w:ascii="Times New Roman" w:hAnsi="Times New Roman"/>
                <w:b/>
              </w:rPr>
            </w:pPr>
            <w:r w:rsidRPr="00B21603">
              <w:rPr>
                <w:rFonts w:ascii="Times New Roman" w:hAnsi="Times New Roman"/>
                <w:b/>
              </w:rPr>
              <w:t>2014</w:t>
            </w:r>
          </w:p>
        </w:tc>
      </w:tr>
      <w:tr>
        <w:tblPrEx>
          <w:tblW w:w="0" w:type="auto"/>
          <w:tblLook w:val="04A0"/>
        </w:tblPrEx>
        <w:tc>
          <w:tcPr>
            <w:tcW w:w="2943" w:type="dxa"/>
            <w:tcBorders>
              <w:top w:val="single" w:sz="4" w:space="0" w:color="000000"/>
              <w:left w:val="single" w:sz="4" w:space="0" w:color="000000"/>
              <w:bottom w:val="single" w:sz="4" w:space="0" w:color="000000"/>
              <w:right w:val="single" w:sz="4" w:space="0" w:color="000000"/>
            </w:tcBorders>
            <w:textDirection w:val="lrTb"/>
            <w:vAlign w:val="top"/>
          </w:tcPr>
          <w:p w:rsidR="00B53407" w:rsidRPr="00B21603" w:rsidP="00BB5D47">
            <w:pPr>
              <w:bidi w:val="0"/>
              <w:jc w:val="both"/>
              <w:rPr>
                <w:rFonts w:ascii="Times New Roman" w:hAnsi="Times New Roman"/>
                <w:b/>
              </w:rPr>
            </w:pPr>
            <w:r w:rsidR="00D2227F">
              <w:rPr>
                <w:rFonts w:ascii="Times New Roman" w:hAnsi="Times New Roman"/>
                <w:b/>
              </w:rPr>
              <w:t>o priradení DSS sporiteľovi</w:t>
            </w:r>
          </w:p>
        </w:tc>
        <w:tc>
          <w:tcPr>
            <w:tcW w:w="1560" w:type="dxa"/>
            <w:tcBorders>
              <w:top w:val="single" w:sz="4" w:space="0" w:color="000000"/>
              <w:left w:val="single" w:sz="4" w:space="0" w:color="000000"/>
              <w:bottom w:val="single" w:sz="4" w:space="0" w:color="000000"/>
              <w:right w:val="single" w:sz="4" w:space="0" w:color="000000"/>
            </w:tcBorders>
            <w:textDirection w:val="lrTb"/>
            <w:vAlign w:val="top"/>
          </w:tcPr>
          <w:p w:rsidR="00B53407" w:rsidP="00BB5D47">
            <w:pPr>
              <w:bidi w:val="0"/>
              <w:jc w:val="center"/>
              <w:rPr>
                <w:rFonts w:ascii="Times New Roman" w:hAnsi="Times New Roman"/>
              </w:rPr>
            </w:pPr>
            <w:r>
              <w:rPr>
                <w:rFonts w:ascii="Times New Roman" w:hAnsi="Times New Roman"/>
              </w:rPr>
              <w:t>0</w:t>
            </w:r>
          </w:p>
        </w:tc>
        <w:tc>
          <w:tcPr>
            <w:tcW w:w="1559" w:type="dxa"/>
            <w:tcBorders>
              <w:top w:val="single" w:sz="4" w:space="0" w:color="000000"/>
              <w:left w:val="single" w:sz="4" w:space="0" w:color="000000"/>
              <w:bottom w:val="single" w:sz="4" w:space="0" w:color="000000"/>
              <w:right w:val="single" w:sz="4" w:space="0" w:color="000000"/>
            </w:tcBorders>
            <w:textDirection w:val="lrTb"/>
            <w:vAlign w:val="top"/>
          </w:tcPr>
          <w:p w:rsidR="00B53407" w:rsidP="00BB5D47">
            <w:pPr>
              <w:bidi w:val="0"/>
              <w:jc w:val="center"/>
              <w:rPr>
                <w:rFonts w:ascii="Times New Roman" w:hAnsi="Times New Roman"/>
              </w:rPr>
            </w:pPr>
            <w:r w:rsidR="00DF14C4">
              <w:rPr>
                <w:rFonts w:ascii="Times New Roman" w:hAnsi="Times New Roman"/>
              </w:rPr>
              <w:t>3 900</w:t>
            </w:r>
          </w:p>
        </w:tc>
        <w:tc>
          <w:tcPr>
            <w:tcW w:w="1276" w:type="dxa"/>
            <w:tcBorders>
              <w:top w:val="single" w:sz="4" w:space="0" w:color="000000"/>
              <w:left w:val="single" w:sz="4" w:space="0" w:color="000000"/>
              <w:bottom w:val="single" w:sz="4" w:space="0" w:color="000000"/>
              <w:right w:val="single" w:sz="4" w:space="0" w:color="000000"/>
            </w:tcBorders>
            <w:textDirection w:val="lrTb"/>
            <w:vAlign w:val="top"/>
          </w:tcPr>
          <w:p w:rsidR="00B53407" w:rsidP="00BB5D47">
            <w:pPr>
              <w:bidi w:val="0"/>
              <w:jc w:val="center"/>
              <w:rPr>
                <w:rFonts w:ascii="Times New Roman" w:hAnsi="Times New Roman"/>
              </w:rPr>
            </w:pPr>
            <w:r>
              <w:rPr>
                <w:rFonts w:ascii="Times New Roman" w:hAnsi="Times New Roman"/>
              </w:rPr>
              <w:t xml:space="preserve">9 </w:t>
            </w:r>
            <w:r w:rsidR="00DF14C4">
              <w:rPr>
                <w:rFonts w:ascii="Times New Roman" w:hAnsi="Times New Roman"/>
              </w:rPr>
              <w:t>350</w:t>
            </w:r>
          </w:p>
        </w:tc>
        <w:tc>
          <w:tcPr>
            <w:tcW w:w="1559" w:type="dxa"/>
            <w:tcBorders>
              <w:top w:val="single" w:sz="4" w:space="0" w:color="000000"/>
              <w:left w:val="single" w:sz="4" w:space="0" w:color="000000"/>
              <w:bottom w:val="single" w:sz="4" w:space="0" w:color="000000"/>
              <w:right w:val="single" w:sz="4" w:space="0" w:color="000000"/>
            </w:tcBorders>
            <w:textDirection w:val="lrTb"/>
            <w:vAlign w:val="top"/>
          </w:tcPr>
          <w:p w:rsidR="00B53407" w:rsidP="00BB5D47">
            <w:pPr>
              <w:bidi w:val="0"/>
              <w:jc w:val="center"/>
              <w:rPr>
                <w:rFonts w:ascii="Times New Roman" w:hAnsi="Times New Roman"/>
              </w:rPr>
            </w:pPr>
            <w:r w:rsidR="00DF14C4">
              <w:rPr>
                <w:rFonts w:ascii="Times New Roman" w:hAnsi="Times New Roman"/>
              </w:rPr>
              <w:t>9 930</w:t>
            </w:r>
          </w:p>
        </w:tc>
      </w:tr>
      <w:tr>
        <w:tblPrEx>
          <w:tblW w:w="0" w:type="auto"/>
          <w:tblLook w:val="04A0"/>
        </w:tblPrEx>
        <w:tc>
          <w:tcPr>
            <w:tcW w:w="2943" w:type="dxa"/>
            <w:tcBorders>
              <w:top w:val="single" w:sz="4" w:space="0" w:color="000000"/>
              <w:left w:val="single" w:sz="4" w:space="0" w:color="000000"/>
              <w:bottom w:val="single" w:sz="4" w:space="0" w:color="000000"/>
              <w:right w:val="single" w:sz="4" w:space="0" w:color="000000"/>
            </w:tcBorders>
            <w:textDirection w:val="lrTb"/>
            <w:vAlign w:val="top"/>
          </w:tcPr>
          <w:p w:rsidR="00D2227F" w:rsidRPr="0023555F" w:rsidP="00BB5D47">
            <w:pPr>
              <w:bidi w:val="0"/>
              <w:jc w:val="both"/>
              <w:rPr>
                <w:rFonts w:ascii="Times New Roman" w:hAnsi="Times New Roman"/>
                <w:b/>
                <w:color w:val="FF0000"/>
              </w:rPr>
            </w:pPr>
            <w:r w:rsidRPr="00842DE0">
              <w:rPr>
                <w:rFonts w:ascii="Times New Roman" w:hAnsi="Times New Roman"/>
                <w:b/>
              </w:rPr>
              <w:t xml:space="preserve">o právach a povinnostiach </w:t>
            </w:r>
            <w:r w:rsidRPr="00842DE0" w:rsidR="00B30A1A">
              <w:rPr>
                <w:rFonts w:ascii="Times New Roman" w:hAnsi="Times New Roman"/>
                <w:b/>
              </w:rPr>
              <w:t>nových</w:t>
            </w:r>
            <w:r w:rsidRPr="00842DE0">
              <w:rPr>
                <w:rFonts w:ascii="Times New Roman" w:hAnsi="Times New Roman"/>
                <w:b/>
              </w:rPr>
              <w:t xml:space="preserve"> sporiteľo</w:t>
            </w:r>
            <w:r w:rsidRPr="00842DE0" w:rsidR="00B30A1A">
              <w:rPr>
                <w:rFonts w:ascii="Times New Roman" w:hAnsi="Times New Roman"/>
                <w:b/>
              </w:rPr>
              <w:t>v</w:t>
            </w:r>
          </w:p>
        </w:tc>
        <w:tc>
          <w:tcPr>
            <w:tcW w:w="1560" w:type="dxa"/>
            <w:tcBorders>
              <w:top w:val="single" w:sz="4" w:space="0" w:color="000000"/>
              <w:left w:val="single" w:sz="4" w:space="0" w:color="000000"/>
              <w:bottom w:val="single" w:sz="4" w:space="0" w:color="000000"/>
              <w:right w:val="single" w:sz="4" w:space="0" w:color="000000"/>
            </w:tcBorders>
            <w:textDirection w:val="lrTb"/>
            <w:vAlign w:val="top"/>
          </w:tcPr>
          <w:p w:rsidR="00D2227F" w:rsidRPr="00C05E95" w:rsidP="00BB5D47">
            <w:pPr>
              <w:bidi w:val="0"/>
              <w:jc w:val="center"/>
              <w:rPr>
                <w:rFonts w:ascii="Times New Roman" w:hAnsi="Times New Roman"/>
              </w:rPr>
            </w:pPr>
            <w:r w:rsidRPr="00842DE0" w:rsidR="00D80F0D">
              <w:rPr>
                <w:rFonts w:ascii="Times New Roman" w:hAnsi="Times New Roman"/>
              </w:rPr>
              <w:t>0</w:t>
            </w:r>
          </w:p>
        </w:tc>
        <w:tc>
          <w:tcPr>
            <w:tcW w:w="1559" w:type="dxa"/>
            <w:tcBorders>
              <w:top w:val="single" w:sz="4" w:space="0" w:color="000000"/>
              <w:left w:val="single" w:sz="4" w:space="0" w:color="000000"/>
              <w:bottom w:val="single" w:sz="4" w:space="0" w:color="000000"/>
              <w:right w:val="single" w:sz="4" w:space="0" w:color="000000"/>
            </w:tcBorders>
            <w:textDirection w:val="lrTb"/>
            <w:vAlign w:val="top"/>
          </w:tcPr>
          <w:p w:rsidR="00D2227F" w:rsidRPr="00842DE0" w:rsidP="00BB5D47">
            <w:pPr>
              <w:bidi w:val="0"/>
              <w:jc w:val="center"/>
              <w:rPr>
                <w:rFonts w:ascii="Times New Roman" w:hAnsi="Times New Roman"/>
              </w:rPr>
            </w:pPr>
            <w:r w:rsidRPr="009E6B1E" w:rsidR="00B30A1A">
              <w:rPr>
                <w:rFonts w:ascii="Times New Roman" w:hAnsi="Times New Roman"/>
              </w:rPr>
              <w:t>41</w:t>
            </w:r>
            <w:r w:rsidRPr="00732CA4">
              <w:rPr>
                <w:rFonts w:ascii="Times New Roman" w:hAnsi="Times New Roman"/>
              </w:rPr>
              <w:t xml:space="preserve"> 3</w:t>
            </w:r>
            <w:r w:rsidRPr="00842DE0" w:rsidR="00B30A1A">
              <w:rPr>
                <w:rFonts w:ascii="Times New Roman" w:hAnsi="Times New Roman"/>
              </w:rPr>
              <w:t>50</w:t>
            </w:r>
          </w:p>
        </w:tc>
        <w:tc>
          <w:tcPr>
            <w:tcW w:w="1276" w:type="dxa"/>
            <w:tcBorders>
              <w:top w:val="single" w:sz="4" w:space="0" w:color="000000"/>
              <w:left w:val="single" w:sz="4" w:space="0" w:color="000000"/>
              <w:bottom w:val="single" w:sz="4" w:space="0" w:color="000000"/>
              <w:right w:val="single" w:sz="4" w:space="0" w:color="000000"/>
            </w:tcBorders>
            <w:textDirection w:val="lrTb"/>
            <w:vAlign w:val="top"/>
          </w:tcPr>
          <w:p w:rsidR="00D2227F" w:rsidRPr="00842DE0" w:rsidP="00BB5D47">
            <w:pPr>
              <w:bidi w:val="0"/>
              <w:jc w:val="center"/>
              <w:rPr>
                <w:rFonts w:ascii="Times New Roman" w:hAnsi="Times New Roman"/>
              </w:rPr>
            </w:pPr>
            <w:r w:rsidRPr="00842DE0" w:rsidR="00B30A1A">
              <w:rPr>
                <w:rFonts w:ascii="Times New Roman" w:hAnsi="Times New Roman"/>
              </w:rPr>
              <w:t>59</w:t>
            </w:r>
            <w:r w:rsidRPr="00842DE0">
              <w:rPr>
                <w:rFonts w:ascii="Times New Roman" w:hAnsi="Times New Roman"/>
              </w:rPr>
              <w:t xml:space="preserve"> 400</w:t>
            </w:r>
          </w:p>
        </w:tc>
        <w:tc>
          <w:tcPr>
            <w:tcW w:w="1559" w:type="dxa"/>
            <w:tcBorders>
              <w:top w:val="single" w:sz="4" w:space="0" w:color="000000"/>
              <w:left w:val="single" w:sz="4" w:space="0" w:color="000000"/>
              <w:bottom w:val="single" w:sz="4" w:space="0" w:color="000000"/>
              <w:right w:val="single" w:sz="4" w:space="0" w:color="000000"/>
            </w:tcBorders>
            <w:textDirection w:val="lrTb"/>
            <w:vAlign w:val="top"/>
          </w:tcPr>
          <w:p w:rsidR="00D2227F" w:rsidRPr="00842DE0" w:rsidP="00BB5D47">
            <w:pPr>
              <w:bidi w:val="0"/>
              <w:jc w:val="center"/>
              <w:rPr>
                <w:rFonts w:ascii="Times New Roman" w:hAnsi="Times New Roman"/>
              </w:rPr>
            </w:pPr>
            <w:r w:rsidRPr="00842DE0">
              <w:rPr>
                <w:rFonts w:ascii="Times New Roman" w:hAnsi="Times New Roman"/>
              </w:rPr>
              <w:t>62 900</w:t>
            </w:r>
          </w:p>
        </w:tc>
      </w:tr>
    </w:tbl>
    <w:p w:rsidR="00B53407" w:rsidRPr="00D827C9" w:rsidP="00B53407">
      <w:pPr>
        <w:bidi w:val="0"/>
        <w:jc w:val="both"/>
        <w:rPr>
          <w:rFonts w:ascii="Times New Roman" w:hAnsi="Times New Roman"/>
        </w:rPr>
      </w:pPr>
    </w:p>
    <w:p w:rsidR="00B53407" w:rsidP="00B53407">
      <w:pPr>
        <w:bidi w:val="0"/>
        <w:rPr>
          <w:rFonts w:ascii="Times New Roman" w:hAnsi="Times New Roman"/>
          <w:b/>
          <w:bCs/>
        </w:rPr>
      </w:pPr>
    </w:p>
    <w:p w:rsidR="00B53407" w:rsidP="00B53407">
      <w:pPr>
        <w:bidi w:val="0"/>
        <w:rPr>
          <w:rFonts w:ascii="Times New Roman" w:hAnsi="Times New Roman"/>
          <w:b/>
          <w:bCs/>
        </w:rPr>
      </w:pPr>
      <w:r w:rsidRPr="004161A1">
        <w:rPr>
          <w:rFonts w:ascii="Times New Roman" w:hAnsi="Times New Roman"/>
          <w:b/>
          <w:bCs/>
        </w:rPr>
        <w:t>2.3.4. Výpočty vplyvov na verejné financie</w:t>
      </w:r>
    </w:p>
    <w:p w:rsidR="00B53407" w:rsidP="00B53407">
      <w:pPr>
        <w:autoSpaceDE w:val="0"/>
        <w:autoSpaceDN w:val="0"/>
        <w:bidi w:val="0"/>
        <w:adjustRightInd w:val="0"/>
        <w:jc w:val="both"/>
        <w:rPr>
          <w:rFonts w:ascii="Times New Roman" w:hAnsi="Times New Roman"/>
          <w:szCs w:val="22"/>
        </w:rPr>
      </w:pPr>
    </w:p>
    <w:p w:rsidR="00B53407" w:rsidP="00B53407">
      <w:pPr>
        <w:autoSpaceDE w:val="0"/>
        <w:autoSpaceDN w:val="0"/>
        <w:bidi w:val="0"/>
        <w:adjustRightInd w:val="0"/>
        <w:jc w:val="both"/>
        <w:rPr>
          <w:rFonts w:ascii="Times New Roman" w:hAnsi="Times New Roman"/>
        </w:rPr>
      </w:pPr>
      <w:r w:rsidRPr="008F386F">
        <w:rPr>
          <w:rFonts w:ascii="Times New Roman" w:hAnsi="Times New Roman"/>
          <w:b/>
        </w:rPr>
        <w:t>A</w:t>
      </w:r>
      <w:r>
        <w:rPr>
          <w:rFonts w:ascii="Times New Roman" w:hAnsi="Times New Roman"/>
          <w:b/>
        </w:rPr>
        <w:t>1</w:t>
      </w:r>
      <w:r w:rsidRPr="008F386F">
        <w:rPr>
          <w:rFonts w:ascii="Times New Roman" w:hAnsi="Times New Roman"/>
          <w:b/>
        </w:rPr>
        <w:t>.</w:t>
      </w:r>
      <w:r>
        <w:rPr>
          <w:rFonts w:ascii="Times New Roman" w:hAnsi="Times New Roman"/>
        </w:rPr>
        <w:t xml:space="preserve"> </w:t>
      </w:r>
      <w:r>
        <w:rPr>
          <w:rFonts w:ascii="Times New Roman" w:hAnsi="Times New Roman"/>
          <w:b/>
        </w:rPr>
        <w:t>P</w:t>
      </w:r>
      <w:r w:rsidRPr="00CA2B6E">
        <w:rPr>
          <w:rFonts w:ascii="Times New Roman" w:hAnsi="Times New Roman"/>
          <w:b/>
        </w:rPr>
        <w:t>ovinný vstup prvopoistencov</w:t>
      </w:r>
      <w:r>
        <w:rPr>
          <w:rFonts w:ascii="Times New Roman" w:hAnsi="Times New Roman"/>
          <w:b/>
        </w:rPr>
        <w:t xml:space="preserve"> do systému starobného dôchodkového sporenia</w:t>
      </w:r>
      <w:r w:rsidRPr="00CA2B6E">
        <w:rPr>
          <w:rFonts w:ascii="Times New Roman" w:hAnsi="Times New Roman"/>
          <w:b/>
        </w:rPr>
        <w:t xml:space="preserve"> s</w:t>
      </w:r>
      <w:r>
        <w:rPr>
          <w:rFonts w:ascii="Times New Roman" w:hAnsi="Times New Roman"/>
          <w:b/>
        </w:rPr>
        <w:t> </w:t>
      </w:r>
      <w:r w:rsidRPr="00CA2B6E">
        <w:rPr>
          <w:rFonts w:ascii="Times New Roman" w:hAnsi="Times New Roman"/>
          <w:b/>
        </w:rPr>
        <w:t>možnosťou</w:t>
      </w:r>
      <w:r>
        <w:rPr>
          <w:rFonts w:ascii="Times New Roman" w:hAnsi="Times New Roman"/>
          <w:b/>
        </w:rPr>
        <w:t xml:space="preserve"> vystúpiť z tohto systému v priebehu </w:t>
      </w:r>
      <w:r w:rsidR="00D02023">
        <w:rPr>
          <w:rFonts w:ascii="Times New Roman" w:hAnsi="Times New Roman"/>
          <w:b/>
        </w:rPr>
        <w:t>dvoch rokov</w:t>
      </w:r>
      <w:r>
        <w:rPr>
          <w:rFonts w:ascii="Times New Roman" w:hAnsi="Times New Roman"/>
          <w:b/>
        </w:rPr>
        <w:t xml:space="preserve"> od vstupu do tohto systému.</w:t>
      </w:r>
    </w:p>
    <w:p w:rsidR="00B53407" w:rsidP="00B53407">
      <w:pPr>
        <w:autoSpaceDE w:val="0"/>
        <w:autoSpaceDN w:val="0"/>
        <w:bidi w:val="0"/>
        <w:adjustRightInd w:val="0"/>
        <w:jc w:val="both"/>
        <w:rPr>
          <w:rFonts w:ascii="Times New Roman" w:hAnsi="Times New Roman"/>
        </w:rPr>
      </w:pPr>
    </w:p>
    <w:p w:rsidR="00B53407" w:rsidP="00B53407">
      <w:pPr>
        <w:autoSpaceDE w:val="0"/>
        <w:autoSpaceDN w:val="0"/>
        <w:bidi w:val="0"/>
        <w:adjustRightInd w:val="0"/>
        <w:jc w:val="both"/>
        <w:rPr>
          <w:rFonts w:ascii="Times New Roman" w:hAnsi="Times New Roman"/>
        </w:rPr>
      </w:pPr>
      <w:r>
        <w:rPr>
          <w:rFonts w:ascii="Times New Roman" w:hAnsi="Times New Roman"/>
        </w:rPr>
        <w:t>Pri prepočtoch sa vychádzalo z nasledovných predpokladov:</w:t>
      </w:r>
    </w:p>
    <w:p w:rsidR="00B53407" w:rsidP="00B53407">
      <w:pPr>
        <w:pStyle w:val="ListParagraph"/>
        <w:numPr>
          <w:numId w:val="4"/>
        </w:numPr>
        <w:autoSpaceDE w:val="0"/>
        <w:autoSpaceDN w:val="0"/>
        <w:bidi w:val="0"/>
        <w:adjustRightInd w:val="0"/>
        <w:contextualSpacing/>
        <w:jc w:val="both"/>
        <w:rPr>
          <w:rFonts w:ascii="Times New Roman" w:hAnsi="Times New Roman"/>
        </w:rPr>
      </w:pPr>
      <w:r>
        <w:rPr>
          <w:rFonts w:ascii="Times New Roman" w:hAnsi="Times New Roman"/>
        </w:rPr>
        <w:t xml:space="preserve">v súčasnosti vstupuje do II. piliera približne 13 % prvopoistencov, </w:t>
      </w:r>
    </w:p>
    <w:p w:rsidR="00B53407" w:rsidP="00B53407">
      <w:pPr>
        <w:pStyle w:val="ListParagraph"/>
        <w:numPr>
          <w:numId w:val="4"/>
        </w:numPr>
        <w:autoSpaceDE w:val="0"/>
        <w:autoSpaceDN w:val="0"/>
        <w:bidi w:val="0"/>
        <w:adjustRightInd w:val="0"/>
        <w:contextualSpacing/>
        <w:jc w:val="both"/>
        <w:rPr>
          <w:rFonts w:ascii="Times New Roman" w:hAnsi="Times New Roman"/>
        </w:rPr>
      </w:pPr>
      <w:r>
        <w:rPr>
          <w:rFonts w:ascii="Times New Roman" w:hAnsi="Times New Roman"/>
        </w:rPr>
        <w:t>dobrovoľné vystúpenie z II. piliera do</w:t>
      </w:r>
      <w:r w:rsidR="00951637">
        <w:rPr>
          <w:rFonts w:ascii="Times New Roman" w:hAnsi="Times New Roman"/>
        </w:rPr>
        <w:t xml:space="preserve"> 2</w:t>
      </w:r>
      <w:r>
        <w:rPr>
          <w:rFonts w:ascii="Times New Roman" w:hAnsi="Times New Roman"/>
        </w:rPr>
        <w:t xml:space="preserve"> rok</w:t>
      </w:r>
      <w:r w:rsidR="00951637">
        <w:rPr>
          <w:rFonts w:ascii="Times New Roman" w:hAnsi="Times New Roman"/>
        </w:rPr>
        <w:t>ov</w:t>
      </w:r>
      <w:r>
        <w:rPr>
          <w:rFonts w:ascii="Times New Roman" w:hAnsi="Times New Roman"/>
        </w:rPr>
        <w:t xml:space="preserve"> od</w:t>
      </w:r>
      <w:r w:rsidR="00951637">
        <w:rPr>
          <w:rFonts w:ascii="Times New Roman" w:hAnsi="Times New Roman"/>
        </w:rPr>
        <w:t xml:space="preserve"> vstupu využije 10 % sporiteľov (poznamenávame, že v prípade výstupu menej ako 10 % sporiteľov dôjde k vyššiemu výpadku príjmov Sociálnej poisťovne a zároveň k vyššiemu vykrývaniu deficitu  základného fondu starobného poistenia Sociálnej poisťovne zo štátneho rozpočtu),</w:t>
      </w:r>
    </w:p>
    <w:p w:rsidR="00B53407" w:rsidP="00B53407">
      <w:pPr>
        <w:pStyle w:val="ListParagraph"/>
        <w:numPr>
          <w:numId w:val="4"/>
        </w:numPr>
        <w:autoSpaceDE w:val="0"/>
        <w:autoSpaceDN w:val="0"/>
        <w:bidi w:val="0"/>
        <w:adjustRightInd w:val="0"/>
        <w:contextualSpacing/>
        <w:jc w:val="both"/>
        <w:rPr>
          <w:rFonts w:ascii="Times New Roman" w:hAnsi="Times New Roman"/>
        </w:rPr>
      </w:pPr>
      <w:r>
        <w:rPr>
          <w:rFonts w:ascii="Times New Roman" w:hAnsi="Times New Roman"/>
        </w:rPr>
        <w:t>počet prvopoistencov bude mierne rásť z dôvodu mierne sa znižujúcej nezamestnanosti,</w:t>
      </w:r>
    </w:p>
    <w:p w:rsidR="00B53407" w:rsidP="00B53407">
      <w:pPr>
        <w:pStyle w:val="ListParagraph"/>
        <w:numPr>
          <w:numId w:val="4"/>
        </w:numPr>
        <w:autoSpaceDE w:val="0"/>
        <w:autoSpaceDN w:val="0"/>
        <w:bidi w:val="0"/>
        <w:adjustRightInd w:val="0"/>
        <w:contextualSpacing/>
        <w:jc w:val="both"/>
        <w:rPr>
          <w:rFonts w:ascii="Times New Roman" w:hAnsi="Times New Roman"/>
        </w:rPr>
      </w:pPr>
      <w:r>
        <w:rPr>
          <w:rFonts w:ascii="Times New Roman" w:hAnsi="Times New Roman"/>
        </w:rPr>
        <w:t>priemerný plat prvopoistencov sa predpokladá na úrovni 85 % priemernej mesačnej mzdy v hospodárstve SR,</w:t>
      </w:r>
    </w:p>
    <w:p w:rsidR="00B53407" w:rsidP="00B53407">
      <w:pPr>
        <w:pStyle w:val="ListParagraph"/>
        <w:numPr>
          <w:numId w:val="4"/>
        </w:numPr>
        <w:autoSpaceDE w:val="0"/>
        <w:autoSpaceDN w:val="0"/>
        <w:bidi w:val="0"/>
        <w:adjustRightInd w:val="0"/>
        <w:contextualSpacing/>
        <w:jc w:val="both"/>
        <w:rPr>
          <w:rFonts w:ascii="Times New Roman" w:hAnsi="Times New Roman"/>
        </w:rPr>
      </w:pPr>
      <w:r>
        <w:rPr>
          <w:rFonts w:ascii="Times New Roman" w:hAnsi="Times New Roman"/>
        </w:rPr>
        <w:t>vývoj priemernej mesačnej mzdy a miery nezamestnanosti vychádza z makroekonomickej prognózy Ministerstva financií SR z februára 2011.</w:t>
      </w:r>
    </w:p>
    <w:p w:rsidR="00B53407" w:rsidP="00B53407">
      <w:pPr>
        <w:autoSpaceDE w:val="0"/>
        <w:autoSpaceDN w:val="0"/>
        <w:bidi w:val="0"/>
        <w:adjustRightInd w:val="0"/>
        <w:jc w:val="both"/>
        <w:rPr>
          <w:rFonts w:ascii="Times New Roman" w:hAnsi="Times New Roman"/>
          <w:szCs w:val="22"/>
        </w:rPr>
      </w:pPr>
    </w:p>
    <w:p w:rsidR="00B53407" w:rsidRPr="00FD4B16" w:rsidP="00B53407">
      <w:pPr>
        <w:autoSpaceDE w:val="0"/>
        <w:autoSpaceDN w:val="0"/>
        <w:bidi w:val="0"/>
        <w:adjustRightInd w:val="0"/>
        <w:jc w:val="both"/>
        <w:rPr>
          <w:rFonts w:ascii="Times New Roman" w:hAnsi="Times New Roman"/>
          <w:szCs w:val="22"/>
        </w:rPr>
      </w:pPr>
      <w:r>
        <w:rPr>
          <w:rFonts w:ascii="Times New Roman" w:hAnsi="Times New Roman"/>
          <w:szCs w:val="22"/>
        </w:rPr>
        <w:t xml:space="preserve">V rokoch 2012 až 2014 sa uvažuje v priemere s počtom 59 400 prvopoistencov ročne. Vplyvom uvedenej zmeny sa očakáva zníženie príjmov Sociálnej poisťovne, ktoré budú presmerované na osobné dôchodkové účty sporiteľov do dôchodkových správcovských spoločností. V roku 2012 sa odhaduje objem negatívneho vplyvu vo výške </w:t>
      </w:r>
      <w:r w:rsidR="00DF14C4">
        <w:rPr>
          <w:rFonts w:ascii="Times New Roman" w:hAnsi="Times New Roman"/>
          <w:szCs w:val="22"/>
        </w:rPr>
        <w:t>9 767 406</w:t>
      </w:r>
      <w:r w:rsidRPr="00CA2B6E">
        <w:rPr>
          <w:rFonts w:ascii="Times New Roman" w:hAnsi="Times New Roman"/>
          <w:szCs w:val="22"/>
        </w:rPr>
        <w:t xml:space="preserve"> </w:t>
      </w:r>
      <w:r w:rsidR="00FD3869">
        <w:rPr>
          <w:rFonts w:ascii="Times New Roman" w:hAnsi="Times New Roman"/>
          <w:szCs w:val="22"/>
        </w:rPr>
        <w:t>eur</w:t>
      </w:r>
      <w:r w:rsidRPr="00CA2B6E">
        <w:rPr>
          <w:rFonts w:ascii="Times New Roman" w:hAnsi="Times New Roman"/>
          <w:szCs w:val="22"/>
        </w:rPr>
        <w:t xml:space="preserve">, s následným rastom na úroveň </w:t>
      </w:r>
      <w:r w:rsidR="00DF14C4">
        <w:rPr>
          <w:rFonts w:ascii="Times New Roman" w:hAnsi="Times New Roman"/>
          <w:szCs w:val="22"/>
        </w:rPr>
        <w:t>45 377 755</w:t>
      </w:r>
      <w:r w:rsidR="006A6CD3">
        <w:rPr>
          <w:rFonts w:ascii="Times New Roman" w:hAnsi="Times New Roman"/>
          <w:szCs w:val="22"/>
        </w:rPr>
        <w:t xml:space="preserve"> </w:t>
      </w:r>
      <w:r w:rsidR="00FD3869">
        <w:rPr>
          <w:rFonts w:ascii="Times New Roman" w:hAnsi="Times New Roman"/>
          <w:szCs w:val="22"/>
        </w:rPr>
        <w:t>eur</w:t>
      </w:r>
      <w:r w:rsidRPr="00CA2B6E">
        <w:rPr>
          <w:rFonts w:ascii="Times New Roman" w:hAnsi="Times New Roman"/>
          <w:szCs w:val="22"/>
        </w:rPr>
        <w:t xml:space="preserve"> v roku 2013 a</w:t>
      </w:r>
      <w:r w:rsidR="00BB5D47">
        <w:rPr>
          <w:rFonts w:ascii="Times New Roman" w:hAnsi="Times New Roman"/>
          <w:szCs w:val="22"/>
        </w:rPr>
        <w:t> </w:t>
      </w:r>
      <w:r w:rsidR="00DF14C4">
        <w:rPr>
          <w:rFonts w:ascii="Times New Roman" w:hAnsi="Times New Roman"/>
          <w:szCs w:val="22"/>
        </w:rPr>
        <w:t>89 276 499</w:t>
      </w:r>
      <w:r w:rsidRPr="00CA2B6E">
        <w:rPr>
          <w:rFonts w:ascii="Times New Roman" w:hAnsi="Times New Roman"/>
          <w:szCs w:val="22"/>
        </w:rPr>
        <w:t xml:space="preserve"> </w:t>
      </w:r>
      <w:r w:rsidR="00FD3869">
        <w:rPr>
          <w:rFonts w:ascii="Times New Roman" w:hAnsi="Times New Roman"/>
          <w:szCs w:val="22"/>
        </w:rPr>
        <w:t>eur</w:t>
      </w:r>
      <w:r w:rsidRPr="00CA2B6E">
        <w:rPr>
          <w:rFonts w:ascii="Times New Roman" w:hAnsi="Times New Roman"/>
          <w:szCs w:val="22"/>
        </w:rPr>
        <w:t xml:space="preserve"> v roku 2014.</w:t>
      </w:r>
      <w:r>
        <w:rPr>
          <w:rFonts w:ascii="Times New Roman" w:hAnsi="Times New Roman"/>
          <w:szCs w:val="22"/>
        </w:rPr>
        <w:t xml:space="preserve"> S poklesom príjmov Sociálnej poisťovne je spojená aj nižšia tvorba správneho fondu (0,5 % z postúpených príspevkov oproti 2,4 %, ak by nedošlo k zvýšeniu objemu postúpených príspevkov do II. piliera)</w:t>
      </w:r>
      <w:r w:rsidR="00FD4B16">
        <w:rPr>
          <w:rFonts w:ascii="Times New Roman" w:hAnsi="Times New Roman"/>
          <w:szCs w:val="22"/>
        </w:rPr>
        <w:t xml:space="preserve">, ktorá predstavuje </w:t>
      </w:r>
      <w:r w:rsidR="0060282B">
        <w:rPr>
          <w:rFonts w:ascii="Times New Roman" w:hAnsi="Times New Roman"/>
          <w:szCs w:val="22"/>
        </w:rPr>
        <w:t>185 581</w:t>
      </w:r>
      <w:r w:rsidR="00FD4B16">
        <w:rPr>
          <w:rFonts w:ascii="Times New Roman" w:hAnsi="Times New Roman"/>
          <w:szCs w:val="22"/>
        </w:rPr>
        <w:t xml:space="preserve"> </w:t>
      </w:r>
      <w:r w:rsidR="00FD3869">
        <w:rPr>
          <w:rFonts w:ascii="Times New Roman" w:hAnsi="Times New Roman"/>
          <w:szCs w:val="22"/>
        </w:rPr>
        <w:t>eur</w:t>
      </w:r>
      <w:r w:rsidR="00FD4B16">
        <w:rPr>
          <w:rFonts w:ascii="Times New Roman" w:hAnsi="Times New Roman"/>
          <w:szCs w:val="22"/>
        </w:rPr>
        <w:t xml:space="preserve"> v roku 2012, </w:t>
      </w:r>
      <w:r w:rsidR="0060282B">
        <w:rPr>
          <w:rFonts w:ascii="Times New Roman" w:hAnsi="Times New Roman"/>
          <w:szCs w:val="22"/>
        </w:rPr>
        <w:t>862 177</w:t>
      </w:r>
      <w:r w:rsidR="00FD4B16">
        <w:rPr>
          <w:rFonts w:ascii="Times New Roman" w:hAnsi="Times New Roman"/>
          <w:szCs w:val="22"/>
        </w:rPr>
        <w:t xml:space="preserve"> </w:t>
      </w:r>
      <w:r w:rsidR="00FD3869">
        <w:rPr>
          <w:rFonts w:ascii="Times New Roman" w:hAnsi="Times New Roman"/>
          <w:szCs w:val="22"/>
        </w:rPr>
        <w:t>eur</w:t>
      </w:r>
      <w:r w:rsidR="00FD4B16">
        <w:rPr>
          <w:rFonts w:ascii="Times New Roman" w:hAnsi="Times New Roman"/>
          <w:szCs w:val="22"/>
        </w:rPr>
        <w:t xml:space="preserve"> v roku 2013 a 1</w:t>
      </w:r>
      <w:r w:rsidR="0060282B">
        <w:rPr>
          <w:rFonts w:ascii="Times New Roman" w:hAnsi="Times New Roman"/>
          <w:szCs w:val="22"/>
        </w:rPr>
        <w:t> 696 234</w:t>
      </w:r>
      <w:r w:rsidR="00FD4B16">
        <w:rPr>
          <w:rFonts w:ascii="Times New Roman" w:hAnsi="Times New Roman"/>
          <w:szCs w:val="22"/>
        </w:rPr>
        <w:t xml:space="preserve"> </w:t>
      </w:r>
      <w:r w:rsidR="00FD3869">
        <w:rPr>
          <w:rFonts w:ascii="Times New Roman" w:hAnsi="Times New Roman"/>
          <w:szCs w:val="22"/>
        </w:rPr>
        <w:t>eur</w:t>
      </w:r>
      <w:r w:rsidR="00FD4B16">
        <w:rPr>
          <w:rFonts w:ascii="Times New Roman" w:hAnsi="Times New Roman"/>
          <w:szCs w:val="22"/>
        </w:rPr>
        <w:t xml:space="preserve"> v roku 2014</w:t>
      </w:r>
      <w:r>
        <w:rPr>
          <w:rFonts w:ascii="Times New Roman" w:hAnsi="Times New Roman"/>
          <w:szCs w:val="22"/>
        </w:rPr>
        <w:t>.</w:t>
      </w:r>
    </w:p>
    <w:p w:rsidR="00B53407" w:rsidP="00B53407">
      <w:pPr>
        <w:autoSpaceDE w:val="0"/>
        <w:autoSpaceDN w:val="0"/>
        <w:bidi w:val="0"/>
        <w:adjustRightInd w:val="0"/>
        <w:jc w:val="both"/>
        <w:rPr>
          <w:rFonts w:ascii="Times New Roman" w:hAnsi="Times New Roman"/>
        </w:rPr>
      </w:pPr>
    </w:p>
    <w:p w:rsidR="00B53407" w:rsidP="00B53407">
      <w:pPr>
        <w:tabs>
          <w:tab w:val="left" w:pos="360"/>
        </w:tabs>
        <w:bidi w:val="0"/>
        <w:jc w:val="both"/>
        <w:rPr>
          <w:rFonts w:ascii="Times New Roman" w:hAnsi="Times New Roman"/>
          <w:b/>
        </w:rPr>
      </w:pPr>
      <w:r>
        <w:rPr>
          <w:rFonts w:ascii="Times New Roman" w:hAnsi="Times New Roman"/>
          <w:b/>
        </w:rPr>
        <w:t>A2. Určenie dôchodkovej správcovskej spoločnosti Sociálnou poisťovňou.</w:t>
      </w:r>
    </w:p>
    <w:p w:rsidR="00B53407" w:rsidP="00B53407">
      <w:pPr>
        <w:autoSpaceDE w:val="0"/>
        <w:autoSpaceDN w:val="0"/>
        <w:bidi w:val="0"/>
        <w:adjustRightInd w:val="0"/>
        <w:jc w:val="both"/>
        <w:rPr>
          <w:rFonts w:ascii="Times New Roman" w:hAnsi="Times New Roman"/>
          <w:szCs w:val="22"/>
        </w:rPr>
      </w:pPr>
    </w:p>
    <w:p w:rsidR="000B6879" w:rsidP="000B6879">
      <w:pPr>
        <w:autoSpaceDE w:val="0"/>
        <w:autoSpaceDN w:val="0"/>
        <w:bidi w:val="0"/>
        <w:adjustRightInd w:val="0"/>
        <w:jc w:val="both"/>
        <w:rPr>
          <w:rFonts w:ascii="Times New Roman" w:hAnsi="Times New Roman"/>
          <w:szCs w:val="22"/>
        </w:rPr>
      </w:pPr>
      <w:r w:rsidR="00B53407">
        <w:rPr>
          <w:rFonts w:ascii="Times New Roman" w:hAnsi="Times New Roman"/>
          <w:szCs w:val="22"/>
        </w:rPr>
        <w:t xml:space="preserve">Zavedenie systému prideľovania dôchodkových správcovských spoločností bude mať zanedbateľný vplyv na hospodárenie Sociálnej poisťovne, z dôvodu, že navrhovaný spôsob určovania dôchodkovej správcovskej spoločnosti Sociálnou poisťovňou je takmer identický so spôsobom používaným v minulosti, a je možné využiť doterajšiu funkcionalitu informačného systému. Sociálna poisťovňa bude povinná zaslať oznámenie o určení dôchodkovej správcovskej spoločnosti. Predpokladá sa, že v roku 2012 sa uvedené bude týkať </w:t>
      </w:r>
      <w:r w:rsidRPr="00055658" w:rsidR="00B53407">
        <w:rPr>
          <w:rFonts w:ascii="Times New Roman" w:hAnsi="Times New Roman"/>
          <w:szCs w:val="22"/>
        </w:rPr>
        <w:t xml:space="preserve">približne </w:t>
      </w:r>
      <w:r w:rsidR="0060282B">
        <w:rPr>
          <w:rFonts w:ascii="Times New Roman" w:hAnsi="Times New Roman"/>
          <w:szCs w:val="22"/>
        </w:rPr>
        <w:t>3 900</w:t>
      </w:r>
      <w:r w:rsidRPr="00055658" w:rsidR="00B53407">
        <w:rPr>
          <w:rFonts w:ascii="Times New Roman" w:hAnsi="Times New Roman"/>
          <w:szCs w:val="22"/>
        </w:rPr>
        <w:t xml:space="preserve"> sporiteľov, v roku 2013 približne 9 </w:t>
      </w:r>
      <w:r w:rsidR="0060282B">
        <w:rPr>
          <w:rFonts w:ascii="Times New Roman" w:hAnsi="Times New Roman"/>
          <w:szCs w:val="22"/>
        </w:rPr>
        <w:t>350</w:t>
      </w:r>
      <w:r w:rsidRPr="00055658" w:rsidR="0060282B">
        <w:rPr>
          <w:rFonts w:ascii="Times New Roman" w:hAnsi="Times New Roman"/>
          <w:szCs w:val="22"/>
        </w:rPr>
        <w:t xml:space="preserve"> </w:t>
      </w:r>
      <w:r w:rsidRPr="00055658" w:rsidR="00B53407">
        <w:rPr>
          <w:rFonts w:ascii="Times New Roman" w:hAnsi="Times New Roman"/>
          <w:szCs w:val="22"/>
        </w:rPr>
        <w:t xml:space="preserve">sporiteľov a v roku 2014 približne </w:t>
      </w:r>
      <w:r w:rsidR="0060282B">
        <w:rPr>
          <w:rFonts w:ascii="Times New Roman" w:hAnsi="Times New Roman"/>
          <w:szCs w:val="22"/>
        </w:rPr>
        <w:t>9 930</w:t>
      </w:r>
      <w:r w:rsidRPr="00055658" w:rsidR="00B53407">
        <w:rPr>
          <w:rFonts w:ascii="Times New Roman" w:hAnsi="Times New Roman"/>
          <w:szCs w:val="22"/>
        </w:rPr>
        <w:t>sporiteľov</w:t>
      </w:r>
      <w:r w:rsidR="00B53407">
        <w:rPr>
          <w:rFonts w:ascii="Times New Roman" w:hAnsi="Times New Roman"/>
          <w:szCs w:val="22"/>
        </w:rPr>
        <w:t>. Vzhľadom na uvedené stúpnu náklady Sociálnej poisťovne v roku 2012 o </w:t>
      </w:r>
      <w:r w:rsidR="0060282B">
        <w:rPr>
          <w:rFonts w:ascii="Times New Roman" w:hAnsi="Times New Roman"/>
          <w:szCs w:val="22"/>
        </w:rPr>
        <w:t>5 230</w:t>
      </w:r>
      <w:r w:rsidR="00B53407">
        <w:rPr>
          <w:rFonts w:ascii="Times New Roman" w:hAnsi="Times New Roman"/>
          <w:szCs w:val="22"/>
        </w:rPr>
        <w:t xml:space="preserve"> </w:t>
      </w:r>
      <w:r w:rsidR="00FD3869">
        <w:rPr>
          <w:rFonts w:ascii="Times New Roman" w:hAnsi="Times New Roman"/>
          <w:szCs w:val="22"/>
        </w:rPr>
        <w:t>eur</w:t>
      </w:r>
      <w:r w:rsidR="00B53407">
        <w:rPr>
          <w:rFonts w:ascii="Times New Roman" w:hAnsi="Times New Roman"/>
          <w:szCs w:val="22"/>
        </w:rPr>
        <w:t>, v roku 2013 o </w:t>
      </w:r>
      <w:r w:rsidR="0060282B">
        <w:rPr>
          <w:rFonts w:ascii="Times New Roman" w:hAnsi="Times New Roman"/>
          <w:szCs w:val="22"/>
        </w:rPr>
        <w:t>12 530</w:t>
      </w:r>
      <w:r w:rsidR="00B53407">
        <w:rPr>
          <w:rFonts w:ascii="Times New Roman" w:hAnsi="Times New Roman"/>
          <w:szCs w:val="22"/>
        </w:rPr>
        <w:t xml:space="preserve"> </w:t>
      </w:r>
      <w:r w:rsidR="00FD3869">
        <w:rPr>
          <w:rFonts w:ascii="Times New Roman" w:hAnsi="Times New Roman"/>
          <w:szCs w:val="22"/>
        </w:rPr>
        <w:t>eur</w:t>
      </w:r>
      <w:r w:rsidR="00B53407">
        <w:rPr>
          <w:rFonts w:ascii="Times New Roman" w:hAnsi="Times New Roman"/>
          <w:szCs w:val="22"/>
        </w:rPr>
        <w:t xml:space="preserve"> a v roku 2014 o </w:t>
      </w:r>
      <w:r w:rsidR="00BB5D47">
        <w:rPr>
          <w:rFonts w:ascii="Times New Roman" w:hAnsi="Times New Roman"/>
          <w:szCs w:val="22"/>
        </w:rPr>
        <w:t>13 </w:t>
      </w:r>
      <w:r w:rsidR="0060282B">
        <w:rPr>
          <w:rFonts w:ascii="Times New Roman" w:hAnsi="Times New Roman"/>
          <w:szCs w:val="22"/>
        </w:rPr>
        <w:t xml:space="preserve">300 </w:t>
      </w:r>
      <w:r w:rsidR="00FD3869">
        <w:rPr>
          <w:rFonts w:ascii="Times New Roman" w:hAnsi="Times New Roman"/>
          <w:szCs w:val="22"/>
        </w:rPr>
        <w:t>eur</w:t>
      </w:r>
      <w:r w:rsidR="00B53407">
        <w:rPr>
          <w:rFonts w:ascii="Times New Roman" w:hAnsi="Times New Roman"/>
          <w:szCs w:val="22"/>
        </w:rPr>
        <w:t xml:space="preserve">. Predpokladáme, že pre priemerne 16,3 % prvovstupujúcich sporiteľov vyberie dôchodkovú správcovskú spoločnosť Sociálna poisťovňa (uvedené percento je totožné so skutočnosťou roka 2007, </w:t>
      </w:r>
      <w:r w:rsidRPr="00CF55EC" w:rsidR="00B53407">
        <w:rPr>
          <w:rFonts w:ascii="Times New Roman" w:hAnsi="Times New Roman"/>
          <w:szCs w:val="22"/>
        </w:rPr>
        <w:t>kedy mala Sociálna poisťovňa tiež povinnosť určiť dôchodkovú správcovskú spoločnosť nerozhodnutým sporiteľom).</w:t>
      </w:r>
      <w:r>
        <w:rPr>
          <w:rFonts w:ascii="Times New Roman" w:hAnsi="Times New Roman"/>
          <w:szCs w:val="22"/>
        </w:rPr>
        <w:t xml:space="preserve"> Uvedený dopad bude finančn</w:t>
      </w:r>
      <w:r w:rsidR="006C2055">
        <w:rPr>
          <w:rFonts w:ascii="Times New Roman" w:hAnsi="Times New Roman"/>
          <w:szCs w:val="22"/>
        </w:rPr>
        <w:t>e</w:t>
      </w:r>
      <w:r>
        <w:rPr>
          <w:rFonts w:ascii="Times New Roman" w:hAnsi="Times New Roman"/>
          <w:szCs w:val="22"/>
        </w:rPr>
        <w:t xml:space="preserve"> krytý zo správneho fondu Sociálnej poisťovne.</w:t>
      </w:r>
    </w:p>
    <w:p w:rsidR="00B53407" w:rsidP="00B53407">
      <w:pPr>
        <w:autoSpaceDE w:val="0"/>
        <w:autoSpaceDN w:val="0"/>
        <w:bidi w:val="0"/>
        <w:adjustRightInd w:val="0"/>
        <w:jc w:val="both"/>
        <w:rPr>
          <w:rFonts w:ascii="Times New Roman" w:hAnsi="Times New Roman"/>
          <w:szCs w:val="22"/>
        </w:rPr>
      </w:pPr>
    </w:p>
    <w:p w:rsidR="00B53407" w:rsidP="00B53407">
      <w:pPr>
        <w:autoSpaceDE w:val="0"/>
        <w:autoSpaceDN w:val="0"/>
        <w:bidi w:val="0"/>
        <w:adjustRightInd w:val="0"/>
        <w:jc w:val="both"/>
        <w:rPr>
          <w:rFonts w:ascii="Times New Roman" w:hAnsi="Times New Roman"/>
          <w:szCs w:val="22"/>
        </w:rPr>
      </w:pPr>
    </w:p>
    <w:p w:rsidR="008C0AA3" w:rsidRPr="001301E2" w:rsidP="008C0AA3">
      <w:pPr>
        <w:tabs>
          <w:tab w:val="left" w:pos="360"/>
        </w:tabs>
        <w:bidi w:val="0"/>
        <w:jc w:val="both"/>
        <w:rPr>
          <w:rFonts w:ascii="Times New Roman" w:hAnsi="Times New Roman"/>
          <w:b/>
        </w:rPr>
      </w:pPr>
      <w:r w:rsidRPr="001301E2">
        <w:rPr>
          <w:rFonts w:ascii="Times New Roman" w:hAnsi="Times New Roman"/>
          <w:b/>
        </w:rPr>
        <w:t xml:space="preserve">A3. Povinnosť Sociálnej poisťovne zaslať </w:t>
      </w:r>
      <w:r>
        <w:rPr>
          <w:rFonts w:ascii="Times New Roman" w:hAnsi="Times New Roman"/>
          <w:b/>
        </w:rPr>
        <w:t>novým sporiteľom</w:t>
      </w:r>
      <w:r w:rsidRPr="001301E2">
        <w:rPr>
          <w:rFonts w:ascii="Times New Roman" w:hAnsi="Times New Roman"/>
          <w:b/>
        </w:rPr>
        <w:t xml:space="preserve"> informáciu o </w:t>
      </w:r>
      <w:r>
        <w:rPr>
          <w:rFonts w:ascii="Times New Roman" w:hAnsi="Times New Roman"/>
          <w:b/>
        </w:rPr>
        <w:t>ich</w:t>
      </w:r>
      <w:r w:rsidRPr="001301E2">
        <w:rPr>
          <w:rFonts w:ascii="Times New Roman" w:hAnsi="Times New Roman"/>
          <w:b/>
        </w:rPr>
        <w:t xml:space="preserve"> právach a povinnostiach počas prvých 730 dní sporenia</w:t>
      </w:r>
    </w:p>
    <w:p w:rsidR="0077173A" w:rsidP="00B53407">
      <w:pPr>
        <w:autoSpaceDE w:val="0"/>
        <w:autoSpaceDN w:val="0"/>
        <w:bidi w:val="0"/>
        <w:adjustRightInd w:val="0"/>
        <w:jc w:val="both"/>
        <w:rPr>
          <w:rFonts w:ascii="Times New Roman" w:hAnsi="Times New Roman"/>
          <w:szCs w:val="22"/>
        </w:rPr>
      </w:pPr>
    </w:p>
    <w:p w:rsidR="000B6879" w:rsidP="0076336B">
      <w:pPr>
        <w:bidi w:val="0"/>
        <w:jc w:val="both"/>
        <w:rPr>
          <w:rFonts w:ascii="Times New Roman" w:hAnsi="Times New Roman"/>
          <w:szCs w:val="22"/>
        </w:rPr>
      </w:pPr>
      <w:r w:rsidR="00D2227F">
        <w:rPr>
          <w:rFonts w:ascii="Times New Roman" w:hAnsi="Times New Roman"/>
          <w:szCs w:val="22"/>
        </w:rPr>
        <w:t>V súvislosti s povinnosťou Sociálnej poisťovne zas</w:t>
      </w:r>
      <w:r>
        <w:rPr>
          <w:rFonts w:ascii="Times New Roman" w:hAnsi="Times New Roman"/>
          <w:szCs w:val="22"/>
        </w:rPr>
        <w:t>ielať</w:t>
      </w:r>
      <w:r w:rsidR="00D2227F">
        <w:rPr>
          <w:rFonts w:ascii="Times New Roman" w:hAnsi="Times New Roman"/>
          <w:szCs w:val="22"/>
        </w:rPr>
        <w:t xml:space="preserve"> novým sporiteľom informáciu o ich právach a povinnostiach počas prvých 730</w:t>
      </w:r>
      <w:r w:rsidR="00B30A1A">
        <w:rPr>
          <w:rFonts w:ascii="Times New Roman" w:hAnsi="Times New Roman"/>
          <w:szCs w:val="22"/>
        </w:rPr>
        <w:t xml:space="preserve"> dní sporenia do 6</w:t>
      </w:r>
      <w:r w:rsidR="00D2227F">
        <w:rPr>
          <w:rFonts w:ascii="Times New Roman" w:hAnsi="Times New Roman"/>
          <w:szCs w:val="22"/>
        </w:rPr>
        <w:t xml:space="preserve">0 dní od vzniku sporenia sa očakáva negatívny vplyv na hospodárenie Sociálnej poisťovne v roku </w:t>
      </w:r>
      <w:r w:rsidR="00B30A1A">
        <w:rPr>
          <w:rFonts w:ascii="Times New Roman" w:hAnsi="Times New Roman"/>
          <w:szCs w:val="22"/>
        </w:rPr>
        <w:t>2012 vo výške 55</w:t>
      </w:r>
      <w:r w:rsidR="00D2227F">
        <w:rPr>
          <w:rFonts w:ascii="Times New Roman" w:hAnsi="Times New Roman"/>
          <w:szCs w:val="22"/>
        </w:rPr>
        <w:t> </w:t>
      </w:r>
      <w:r w:rsidR="00B30A1A">
        <w:rPr>
          <w:rFonts w:ascii="Times New Roman" w:hAnsi="Times New Roman"/>
          <w:szCs w:val="22"/>
        </w:rPr>
        <w:t>4</w:t>
      </w:r>
      <w:r w:rsidR="00D2227F">
        <w:rPr>
          <w:rFonts w:ascii="Times New Roman" w:hAnsi="Times New Roman"/>
          <w:szCs w:val="22"/>
        </w:rPr>
        <w:t>00 eur, v roku 2013 vo výške 79 600 eur a v roku 2014 vo výške 84 300 eur.</w:t>
      </w:r>
      <w:r>
        <w:rPr>
          <w:rFonts w:ascii="Times New Roman" w:hAnsi="Times New Roman"/>
          <w:szCs w:val="22"/>
        </w:rPr>
        <w:t xml:space="preserve"> Uvedený dopad bude finančné krytý zo správneho fondu Sociálnej poisťovne.</w:t>
      </w:r>
      <w:r w:rsidR="00BF7648">
        <w:rPr>
          <w:rFonts w:ascii="Times New Roman" w:hAnsi="Times New Roman"/>
          <w:szCs w:val="22"/>
        </w:rPr>
        <w:t xml:space="preserve"> Podotýkame, že od </w:t>
      </w:r>
      <w:r w:rsidRPr="00590859" w:rsidR="00BF7648">
        <w:rPr>
          <w:rFonts w:ascii="Times New Roman" w:hAnsi="Times New Roman"/>
          <w:szCs w:val="22"/>
        </w:rPr>
        <w:t xml:space="preserve">roku 2013 sa predpokladá, že povinnosti Sociálnej poisťovne týkajúce sa </w:t>
      </w:r>
      <w:r w:rsidR="0076336B">
        <w:rPr>
          <w:rFonts w:ascii="Times New Roman" w:hAnsi="Times New Roman"/>
          <w:szCs w:val="22"/>
        </w:rPr>
        <w:t>zasielania informácií prejdú na</w:t>
      </w:r>
      <w:r w:rsidRPr="00590859" w:rsidR="00BF7648">
        <w:rPr>
          <w:rFonts w:ascii="Times New Roman" w:hAnsi="Times New Roman"/>
          <w:szCs w:val="22"/>
        </w:rPr>
        <w:t xml:space="preserve"> </w:t>
      </w:r>
      <w:r w:rsidRPr="00C05E95" w:rsidR="00BF7648">
        <w:rPr>
          <w:rFonts w:ascii="Times New Roman" w:hAnsi="Times New Roman"/>
          <w:szCs w:val="22"/>
        </w:rPr>
        <w:t>Finančnú správu</w:t>
      </w:r>
      <w:r w:rsidRPr="00590859" w:rsidR="00BF7648">
        <w:rPr>
          <w:rFonts w:ascii="Times New Roman" w:hAnsi="Times New Roman"/>
          <w:szCs w:val="22"/>
        </w:rPr>
        <w:t xml:space="preserve">, v ktorej kompetencii bude jednotný výber daní, clá a odvodov. </w:t>
      </w:r>
    </w:p>
    <w:p w:rsidR="0077173A" w:rsidP="00B53407">
      <w:pPr>
        <w:autoSpaceDE w:val="0"/>
        <w:autoSpaceDN w:val="0"/>
        <w:bidi w:val="0"/>
        <w:adjustRightInd w:val="0"/>
        <w:jc w:val="both"/>
        <w:rPr>
          <w:rFonts w:ascii="Times New Roman" w:hAnsi="Times New Roman"/>
          <w:szCs w:val="22"/>
        </w:rPr>
      </w:pPr>
    </w:p>
    <w:p w:rsidR="0077173A" w:rsidP="00B53407">
      <w:pPr>
        <w:autoSpaceDE w:val="0"/>
        <w:autoSpaceDN w:val="0"/>
        <w:bidi w:val="0"/>
        <w:adjustRightInd w:val="0"/>
        <w:jc w:val="both"/>
        <w:rPr>
          <w:rFonts w:ascii="Times New Roman" w:hAnsi="Times New Roman"/>
          <w:szCs w:val="22"/>
        </w:rPr>
      </w:pPr>
    </w:p>
    <w:p w:rsidR="00B53407" w:rsidRPr="003853A9" w:rsidP="00B53407">
      <w:pPr>
        <w:tabs>
          <w:tab w:val="left" w:pos="360"/>
        </w:tabs>
        <w:bidi w:val="0"/>
        <w:jc w:val="both"/>
        <w:rPr>
          <w:rFonts w:ascii="Times New Roman" w:hAnsi="Times New Roman"/>
          <w:b/>
        </w:rPr>
      </w:pPr>
      <w:r>
        <w:rPr>
          <w:rFonts w:ascii="Times New Roman" w:hAnsi="Times New Roman"/>
          <w:b/>
        </w:rPr>
        <w:t>B</w:t>
      </w:r>
      <w:r w:rsidRPr="003853A9">
        <w:rPr>
          <w:rFonts w:ascii="Times New Roman" w:hAnsi="Times New Roman"/>
          <w:b/>
        </w:rPr>
        <w:t>. Vrátenie príspevkov a penále</w:t>
      </w:r>
    </w:p>
    <w:p w:rsidR="00B53407" w:rsidP="00B53407">
      <w:pPr>
        <w:autoSpaceDE w:val="0"/>
        <w:autoSpaceDN w:val="0"/>
        <w:bidi w:val="0"/>
        <w:adjustRightInd w:val="0"/>
        <w:jc w:val="both"/>
        <w:rPr>
          <w:rFonts w:ascii="Times New Roman" w:hAnsi="Times New Roman"/>
          <w:szCs w:val="22"/>
        </w:rPr>
      </w:pPr>
    </w:p>
    <w:p w:rsidR="00B53407" w:rsidP="00B53407">
      <w:pPr>
        <w:autoSpaceDE w:val="0"/>
        <w:autoSpaceDN w:val="0"/>
        <w:bidi w:val="0"/>
        <w:adjustRightInd w:val="0"/>
        <w:jc w:val="both"/>
        <w:rPr>
          <w:rFonts w:ascii="Times New Roman" w:hAnsi="Times New Roman"/>
          <w:szCs w:val="22"/>
        </w:rPr>
      </w:pPr>
      <w:r>
        <w:rPr>
          <w:rFonts w:ascii="Times New Roman" w:hAnsi="Times New Roman"/>
          <w:szCs w:val="22"/>
        </w:rPr>
        <w:t xml:space="preserve">Uvedená zmena bude mať zanedbateľný vplyv na hospodárenie Sociálnej poisťovne, v roku 2011 sa očakáva pozitívny vplyv na Sociálnu poisťovňu vo výške 500 </w:t>
      </w:r>
      <w:r w:rsidR="00FD3869">
        <w:rPr>
          <w:rFonts w:ascii="Times New Roman" w:hAnsi="Times New Roman"/>
          <w:szCs w:val="22"/>
        </w:rPr>
        <w:t>eur</w:t>
      </w:r>
      <w:r>
        <w:rPr>
          <w:rFonts w:ascii="Times New Roman" w:hAnsi="Times New Roman"/>
          <w:szCs w:val="22"/>
        </w:rPr>
        <w:t xml:space="preserve">, a v rokoch 2012, 2013 a 2014 pozitívny vplyv vo výške 600 </w:t>
      </w:r>
      <w:r w:rsidR="00FD3869">
        <w:rPr>
          <w:rFonts w:ascii="Times New Roman" w:hAnsi="Times New Roman"/>
          <w:szCs w:val="22"/>
        </w:rPr>
        <w:t>eur</w:t>
      </w:r>
      <w:r>
        <w:rPr>
          <w:rFonts w:ascii="Times New Roman" w:hAnsi="Times New Roman"/>
          <w:szCs w:val="22"/>
        </w:rPr>
        <w:t xml:space="preserve"> každoročne.</w:t>
      </w:r>
    </w:p>
    <w:p w:rsidR="00B53407" w:rsidP="00B53407">
      <w:pPr>
        <w:autoSpaceDE w:val="0"/>
        <w:autoSpaceDN w:val="0"/>
        <w:bidi w:val="0"/>
        <w:adjustRightInd w:val="0"/>
        <w:jc w:val="both"/>
        <w:rPr>
          <w:rFonts w:ascii="Times New Roman" w:hAnsi="Times New Roman"/>
          <w:szCs w:val="22"/>
        </w:rPr>
      </w:pPr>
    </w:p>
    <w:p w:rsidR="00B53407" w:rsidRPr="00904741" w:rsidP="00B53407">
      <w:pPr>
        <w:autoSpaceDE w:val="0"/>
        <w:autoSpaceDN w:val="0"/>
        <w:bidi w:val="0"/>
        <w:adjustRightInd w:val="0"/>
        <w:jc w:val="both"/>
        <w:rPr>
          <w:rFonts w:ascii="Times New Roman" w:hAnsi="Times New Roman"/>
          <w:b/>
          <w:szCs w:val="22"/>
        </w:rPr>
      </w:pPr>
      <w:r w:rsidRPr="00904741">
        <w:rPr>
          <w:rFonts w:ascii="Times New Roman" w:hAnsi="Times New Roman"/>
          <w:b/>
          <w:szCs w:val="22"/>
        </w:rPr>
        <w:t>Kvantifikácia príjmov</w:t>
      </w:r>
    </w:p>
    <w:p w:rsidR="00B53407" w:rsidP="00B53407">
      <w:pPr>
        <w:autoSpaceDE w:val="0"/>
        <w:autoSpaceDN w:val="0"/>
        <w:bidi w:val="0"/>
        <w:adjustRightInd w:val="0"/>
        <w:jc w:val="both"/>
        <w:rPr>
          <w:rFonts w:ascii="Times New Roman" w:hAnsi="Times New Roman"/>
          <w:szCs w:val="22"/>
        </w:rPr>
      </w:pPr>
    </w:p>
    <w:p w:rsidR="00B53407" w:rsidP="00B53407">
      <w:pPr>
        <w:autoSpaceDE w:val="0"/>
        <w:autoSpaceDN w:val="0"/>
        <w:bidi w:val="0"/>
        <w:adjustRightInd w:val="0"/>
        <w:jc w:val="both"/>
        <w:rPr>
          <w:rFonts w:ascii="Times New Roman" w:hAnsi="Times New Roman"/>
          <w:szCs w:val="22"/>
        </w:rPr>
      </w:pPr>
      <w:r>
        <w:rPr>
          <w:rFonts w:ascii="Times New Roman" w:hAnsi="Times New Roman"/>
          <w:szCs w:val="22"/>
        </w:rPr>
        <w:t>Vplyvom navrhovaných zmien sa predpokladá pokles príjmov Sociálnej poisťovne z dôvodu zavedenia povinného vstupu prvopoistencov do systému starobného dôchodkového sporenia. Podrobná kvantifikácia je uvedená v časti 2.3.4. A1. Vplyv vrátenia príspevkov a penále bude zanedbateľný, podrobnejšie v časti 2.3.4. B.</w:t>
      </w:r>
    </w:p>
    <w:p w:rsidR="00B53407" w:rsidP="00B53407">
      <w:pPr>
        <w:autoSpaceDE w:val="0"/>
        <w:autoSpaceDN w:val="0"/>
        <w:bidi w:val="0"/>
        <w:adjustRightInd w:val="0"/>
        <w:jc w:val="both"/>
        <w:rPr>
          <w:rFonts w:ascii="Times New Roman" w:hAnsi="Times New Roman"/>
          <w:szCs w:val="22"/>
        </w:rPr>
      </w:pPr>
    </w:p>
    <w:p w:rsidR="00B53407" w:rsidP="00B53407">
      <w:pPr>
        <w:autoSpaceDE w:val="0"/>
        <w:autoSpaceDN w:val="0"/>
        <w:bidi w:val="0"/>
        <w:adjustRightInd w:val="0"/>
        <w:jc w:val="both"/>
        <w:rPr>
          <w:rFonts w:ascii="Times New Roman" w:hAnsi="Times New Roman"/>
          <w:b/>
          <w:szCs w:val="22"/>
        </w:rPr>
      </w:pPr>
      <w:r w:rsidRPr="00472DEB">
        <w:rPr>
          <w:rFonts w:ascii="Times New Roman" w:hAnsi="Times New Roman"/>
          <w:b/>
          <w:szCs w:val="22"/>
        </w:rPr>
        <w:t>Kvantifikácia výdavkov</w:t>
      </w:r>
    </w:p>
    <w:p w:rsidR="00B53407" w:rsidP="00B53407">
      <w:pPr>
        <w:autoSpaceDE w:val="0"/>
        <w:autoSpaceDN w:val="0"/>
        <w:bidi w:val="0"/>
        <w:adjustRightInd w:val="0"/>
        <w:jc w:val="both"/>
        <w:rPr>
          <w:rFonts w:ascii="Times New Roman" w:hAnsi="Times New Roman"/>
          <w:b/>
          <w:szCs w:val="22"/>
        </w:rPr>
      </w:pPr>
    </w:p>
    <w:p w:rsidR="00B53407" w:rsidP="00B53407">
      <w:pPr>
        <w:autoSpaceDE w:val="0"/>
        <w:autoSpaceDN w:val="0"/>
        <w:bidi w:val="0"/>
        <w:adjustRightInd w:val="0"/>
        <w:jc w:val="both"/>
        <w:rPr>
          <w:rFonts w:ascii="Times New Roman" w:hAnsi="Times New Roman"/>
          <w:szCs w:val="22"/>
        </w:rPr>
      </w:pPr>
      <w:r>
        <w:rPr>
          <w:rFonts w:ascii="Times New Roman" w:hAnsi="Times New Roman"/>
          <w:szCs w:val="22"/>
        </w:rPr>
        <w:t>Vplyvom navrhovaných zmien sa predpokladá rast výdavkov Sociálnej poisťovne z dôvodu zavedenia systému prideľovania dôchodkových správcovských spoločností nerozhodnutým sporiteľom</w:t>
      </w:r>
      <w:r w:rsidR="00304123">
        <w:rPr>
          <w:rFonts w:ascii="Times New Roman" w:hAnsi="Times New Roman"/>
          <w:szCs w:val="22"/>
        </w:rPr>
        <w:t xml:space="preserve"> a z dôvodu povinnosti zasielať informácie novým sporiteľom o ich právach a povinnostiach</w:t>
      </w:r>
      <w:r>
        <w:rPr>
          <w:rFonts w:ascii="Times New Roman" w:hAnsi="Times New Roman"/>
          <w:szCs w:val="22"/>
        </w:rPr>
        <w:t>. Podrobná kvantifikácia je uvedená v časti 2.3.4. A2</w:t>
      </w:r>
      <w:r w:rsidR="00304123">
        <w:rPr>
          <w:rFonts w:ascii="Times New Roman" w:hAnsi="Times New Roman"/>
          <w:szCs w:val="22"/>
        </w:rPr>
        <w:t xml:space="preserve"> a A3</w:t>
      </w:r>
      <w:r>
        <w:rPr>
          <w:rFonts w:ascii="Times New Roman" w:hAnsi="Times New Roman"/>
          <w:szCs w:val="22"/>
        </w:rPr>
        <w:t>.</w:t>
      </w:r>
    </w:p>
    <w:p w:rsidR="00B53407" w:rsidP="00B53407">
      <w:pPr>
        <w:autoSpaceDE w:val="0"/>
        <w:autoSpaceDN w:val="0"/>
        <w:bidi w:val="0"/>
        <w:adjustRightInd w:val="0"/>
        <w:jc w:val="both"/>
        <w:rPr>
          <w:rFonts w:ascii="Times New Roman" w:hAnsi="Times New Roman"/>
          <w:b/>
          <w:szCs w:val="22"/>
        </w:rPr>
      </w:pPr>
    </w:p>
    <w:p w:rsidR="00B53407" w:rsidRPr="00CF55EC" w:rsidP="00B53407">
      <w:pPr>
        <w:autoSpaceDE w:val="0"/>
        <w:autoSpaceDN w:val="0"/>
        <w:bidi w:val="0"/>
        <w:adjustRightInd w:val="0"/>
        <w:jc w:val="both"/>
        <w:rPr>
          <w:rFonts w:ascii="Times New Roman" w:hAnsi="Times New Roman"/>
          <w:b/>
          <w:szCs w:val="22"/>
        </w:rPr>
      </w:pPr>
      <w:r w:rsidRPr="00CF55EC">
        <w:rPr>
          <w:rFonts w:ascii="Times New Roman" w:hAnsi="Times New Roman"/>
          <w:b/>
          <w:szCs w:val="22"/>
        </w:rPr>
        <w:t>Vplyv na jednotlivé kategórie príjmov a výdavkov rozpočtu verejnej správy</w:t>
      </w:r>
    </w:p>
    <w:p w:rsidR="00B53407" w:rsidRPr="00796F1B" w:rsidP="00B53407">
      <w:pPr>
        <w:autoSpaceDE w:val="0"/>
        <w:autoSpaceDN w:val="0"/>
        <w:bidi w:val="0"/>
        <w:adjustRightInd w:val="0"/>
        <w:jc w:val="both"/>
        <w:rPr>
          <w:rFonts w:ascii="Times New Roman" w:hAnsi="Times New Roman"/>
          <w:b/>
          <w:szCs w:val="22"/>
          <w:highlight w:val="yellow"/>
        </w:rPr>
      </w:pPr>
    </w:p>
    <w:p w:rsidR="00B53407" w:rsidRPr="00CF55EC" w:rsidP="00B53407">
      <w:pPr>
        <w:autoSpaceDE w:val="0"/>
        <w:autoSpaceDN w:val="0"/>
        <w:bidi w:val="0"/>
        <w:adjustRightInd w:val="0"/>
        <w:jc w:val="both"/>
        <w:rPr>
          <w:rFonts w:ascii="Times New Roman" w:hAnsi="Times New Roman"/>
          <w:szCs w:val="22"/>
        </w:rPr>
      </w:pPr>
      <w:r w:rsidRPr="00CF55EC">
        <w:rPr>
          <w:rFonts w:ascii="Times New Roman" w:hAnsi="Times New Roman"/>
          <w:i/>
          <w:szCs w:val="22"/>
        </w:rPr>
        <w:t>Výdavky štátneho rozpočtu</w:t>
      </w:r>
      <w:r w:rsidRPr="00CF55EC">
        <w:rPr>
          <w:rFonts w:ascii="Times New Roman" w:hAnsi="Times New Roman"/>
          <w:szCs w:val="22"/>
        </w:rPr>
        <w:t xml:space="preserve"> – predpokladá sa negatívny vplyv na výdavky štátneho rozpočtu </w:t>
      </w:r>
      <w:r>
        <w:rPr>
          <w:rFonts w:ascii="Times New Roman" w:hAnsi="Times New Roman"/>
          <w:szCs w:val="22"/>
        </w:rPr>
        <w:t>z dôvodu potreby vykrytia výpadku príjmov základného fondu starobného poistenia a z dôvodu navrhovaného povinného vstupu prvopoistencov do systému starobného dôchodkového sporenia.</w:t>
      </w:r>
    </w:p>
    <w:p w:rsidR="00B53407" w:rsidRPr="00CF55EC" w:rsidP="00B53407">
      <w:pPr>
        <w:autoSpaceDE w:val="0"/>
        <w:autoSpaceDN w:val="0"/>
        <w:bidi w:val="0"/>
        <w:adjustRightInd w:val="0"/>
        <w:jc w:val="both"/>
        <w:rPr>
          <w:rFonts w:ascii="Times New Roman" w:hAnsi="Times New Roman"/>
          <w:szCs w:val="22"/>
        </w:rPr>
      </w:pPr>
    </w:p>
    <w:p w:rsidR="00B53407" w:rsidP="00B53407">
      <w:pPr>
        <w:autoSpaceDE w:val="0"/>
        <w:autoSpaceDN w:val="0"/>
        <w:bidi w:val="0"/>
        <w:adjustRightInd w:val="0"/>
        <w:jc w:val="both"/>
        <w:rPr>
          <w:rFonts w:ascii="Times New Roman" w:hAnsi="Times New Roman"/>
          <w:szCs w:val="22"/>
        </w:rPr>
      </w:pPr>
      <w:r w:rsidRPr="00CF55EC">
        <w:rPr>
          <w:rFonts w:ascii="Times New Roman" w:hAnsi="Times New Roman"/>
          <w:i/>
          <w:szCs w:val="22"/>
        </w:rPr>
        <w:t>Výdavky Sociálnej poisťovne</w:t>
      </w:r>
      <w:r w:rsidRPr="00CF55EC">
        <w:rPr>
          <w:rFonts w:ascii="Times New Roman" w:hAnsi="Times New Roman"/>
          <w:szCs w:val="22"/>
        </w:rPr>
        <w:t xml:space="preserve"> – predpokladá sanárast výdavkov Sociálnej poisťovne z dôvodu povinnosti určiť dôchodkovú správcovskú spoločnosť nerozhodnutému sporiteľovi</w:t>
      </w:r>
      <w:r w:rsidR="00304123">
        <w:rPr>
          <w:rFonts w:ascii="Times New Roman" w:hAnsi="Times New Roman"/>
          <w:szCs w:val="22"/>
        </w:rPr>
        <w:t>,</w:t>
      </w:r>
      <w:r w:rsidRPr="00CF55EC">
        <w:rPr>
          <w:rFonts w:ascii="Times New Roman" w:hAnsi="Times New Roman"/>
          <w:szCs w:val="22"/>
        </w:rPr>
        <w:t> povinnosti bezodkladného zaslania oznámenia o tomto určení do vlastných rúk sporiteľovi</w:t>
      </w:r>
      <w:r w:rsidR="00304123">
        <w:rPr>
          <w:rFonts w:ascii="Times New Roman" w:hAnsi="Times New Roman"/>
          <w:szCs w:val="22"/>
        </w:rPr>
        <w:t xml:space="preserve"> a povinnosti zas</w:t>
      </w:r>
      <w:r w:rsidR="00590859">
        <w:rPr>
          <w:rFonts w:ascii="Times New Roman" w:hAnsi="Times New Roman"/>
          <w:szCs w:val="22"/>
        </w:rPr>
        <w:t>ie</w:t>
      </w:r>
      <w:r w:rsidR="00304123">
        <w:rPr>
          <w:rFonts w:ascii="Times New Roman" w:hAnsi="Times New Roman"/>
          <w:szCs w:val="22"/>
        </w:rPr>
        <w:t>lať informácie novým sporiteľom o ich právach a povinnostiach</w:t>
      </w:r>
      <w:r w:rsidRPr="00CF55EC">
        <w:rPr>
          <w:rFonts w:ascii="Times New Roman" w:hAnsi="Times New Roman"/>
          <w:szCs w:val="22"/>
        </w:rPr>
        <w:t>.</w:t>
      </w:r>
    </w:p>
    <w:p w:rsidR="00B53407" w:rsidP="00B53407">
      <w:pPr>
        <w:autoSpaceDE w:val="0"/>
        <w:autoSpaceDN w:val="0"/>
        <w:bidi w:val="0"/>
        <w:adjustRightInd w:val="0"/>
        <w:jc w:val="both"/>
        <w:rPr>
          <w:rFonts w:ascii="Times New Roman" w:hAnsi="Times New Roman"/>
          <w:b/>
          <w:szCs w:val="22"/>
        </w:rPr>
      </w:pPr>
    </w:p>
    <w:p w:rsidR="00B53407" w:rsidP="00B53407">
      <w:pPr>
        <w:bidi w:val="0"/>
        <w:jc w:val="right"/>
        <w:rPr>
          <w:rFonts w:ascii="Times New Roman" w:hAnsi="Times New Roman"/>
          <w:sz w:val="20"/>
          <w:szCs w:val="20"/>
        </w:rPr>
      </w:pPr>
      <w:r>
        <w:rPr>
          <w:rFonts w:ascii="Times New Roman" w:hAnsi="Times New Roman"/>
          <w:sz w:val="20"/>
          <w:szCs w:val="20"/>
        </w:rPr>
        <w:t>Tabuľka č. 3</w:t>
      </w:r>
    </w:p>
    <w:tbl>
      <w:tblPr>
        <w:tblStyle w:val="TableNormal"/>
        <w:tblW w:w="9221" w:type="dxa"/>
        <w:jc w:val="center"/>
        <w:tblCellMar>
          <w:left w:w="70" w:type="dxa"/>
          <w:right w:w="70" w:type="dxa"/>
        </w:tblCellMar>
      </w:tblPr>
      <w:tblGrid>
        <w:gridCol w:w="860"/>
        <w:gridCol w:w="3278"/>
        <w:gridCol w:w="1044"/>
        <w:gridCol w:w="1366"/>
        <w:gridCol w:w="1327"/>
        <w:gridCol w:w="1346"/>
      </w:tblGrid>
      <w:tr>
        <w:tblPrEx>
          <w:tblW w:w="9221" w:type="dxa"/>
          <w:jc w:val="center"/>
          <w:tblCellMar>
            <w:left w:w="70" w:type="dxa"/>
            <w:right w:w="70" w:type="dxa"/>
          </w:tblCellMar>
        </w:tblPrEx>
        <w:trPr>
          <w:trHeight w:val="315"/>
          <w:jc w:val="center"/>
        </w:trPr>
        <w:tc>
          <w:tcPr>
            <w:tcW w:w="860" w:type="dxa"/>
            <w:tcBorders>
              <w:top w:val="single" w:sz="4" w:space="0" w:color="auto"/>
              <w:left w:val="single" w:sz="4" w:space="0" w:color="auto"/>
              <w:bottom w:val="nil"/>
              <w:right w:val="nil"/>
            </w:tcBorders>
            <w:shd w:val="clear" w:color="auto" w:fill="000000"/>
            <w:noWrap/>
            <w:textDirection w:val="lrTb"/>
            <w:vAlign w:val="bottom"/>
          </w:tcPr>
          <w:p w:rsidR="00B53407" w:rsidP="00BB5D47">
            <w:pPr>
              <w:bidi w:val="0"/>
              <w:rPr>
                <w:rFonts w:ascii="Times New Roman" w:hAnsi="Times New Roman"/>
                <w:b/>
                <w:bCs/>
                <w:color w:val="FFFFFF"/>
              </w:rPr>
            </w:pPr>
            <w:r>
              <w:rPr>
                <w:rFonts w:ascii="Times New Roman" w:hAnsi="Times New Roman"/>
                <w:b/>
                <w:bCs/>
                <w:color w:val="FFFFFF"/>
              </w:rPr>
              <w:t> </w:t>
            </w:r>
          </w:p>
        </w:tc>
        <w:tc>
          <w:tcPr>
            <w:tcW w:w="3278" w:type="dxa"/>
            <w:tcBorders>
              <w:top w:val="single" w:sz="4" w:space="0" w:color="auto"/>
              <w:left w:val="nil"/>
              <w:bottom w:val="nil"/>
              <w:right w:val="nil"/>
            </w:tcBorders>
            <w:shd w:val="clear" w:color="auto" w:fill="000000"/>
            <w:noWrap/>
            <w:textDirection w:val="lrTb"/>
            <w:vAlign w:val="bottom"/>
          </w:tcPr>
          <w:p w:rsidR="00B53407" w:rsidP="00BB5D47">
            <w:pPr>
              <w:bidi w:val="0"/>
              <w:rPr>
                <w:rFonts w:ascii="Times New Roman" w:hAnsi="Times New Roman"/>
                <w:b/>
                <w:bCs/>
                <w:color w:val="FFFFFF"/>
              </w:rPr>
            </w:pPr>
            <w:r>
              <w:rPr>
                <w:rFonts w:ascii="Times New Roman" w:hAnsi="Times New Roman"/>
                <w:b/>
                <w:bCs/>
                <w:color w:val="FFFFFF"/>
              </w:rPr>
              <w:t> </w:t>
            </w:r>
          </w:p>
        </w:tc>
        <w:tc>
          <w:tcPr>
            <w:tcW w:w="5083" w:type="dxa"/>
            <w:gridSpan w:val="4"/>
            <w:tcBorders>
              <w:top w:val="single" w:sz="4" w:space="0" w:color="auto"/>
              <w:left w:val="nil"/>
              <w:bottom w:val="nil"/>
              <w:right w:val="nil"/>
            </w:tcBorders>
            <w:shd w:val="clear" w:color="auto" w:fill="000000"/>
            <w:noWrap/>
            <w:textDirection w:val="lrTb"/>
            <w:vAlign w:val="bottom"/>
          </w:tcPr>
          <w:p w:rsidR="00B53407" w:rsidP="00BB5D47">
            <w:pPr>
              <w:bidi w:val="0"/>
              <w:jc w:val="center"/>
              <w:rPr>
                <w:rFonts w:ascii="Times New Roman" w:hAnsi="Times New Roman"/>
                <w:b/>
                <w:bCs/>
                <w:color w:val="FFFFFF"/>
              </w:rPr>
            </w:pPr>
            <w:r>
              <w:rPr>
                <w:rFonts w:ascii="Times New Roman" w:hAnsi="Times New Roman"/>
                <w:b/>
                <w:bCs/>
                <w:color w:val="FFFFFF"/>
              </w:rPr>
              <w:t>Vplyv na rozpočet Sociálnej poisťovne</w:t>
            </w:r>
          </w:p>
        </w:tc>
      </w:tr>
      <w:tr>
        <w:tblPrEx>
          <w:tblW w:w="9221" w:type="dxa"/>
          <w:jc w:val="center"/>
          <w:tblCellMar>
            <w:left w:w="70" w:type="dxa"/>
            <w:right w:w="70" w:type="dxa"/>
          </w:tblCellMar>
        </w:tblPrEx>
        <w:trPr>
          <w:trHeight w:val="315"/>
          <w:jc w:val="center"/>
        </w:trPr>
        <w:tc>
          <w:tcPr>
            <w:tcW w:w="860" w:type="dxa"/>
            <w:tcBorders>
              <w:top w:val="nil"/>
              <w:left w:val="single" w:sz="4" w:space="0" w:color="auto"/>
              <w:bottom w:val="nil"/>
              <w:right w:val="nil"/>
            </w:tcBorders>
            <w:shd w:val="clear" w:color="auto" w:fill="000000"/>
            <w:noWrap/>
            <w:textDirection w:val="lrTb"/>
            <w:vAlign w:val="bottom"/>
          </w:tcPr>
          <w:p w:rsidR="00B53407" w:rsidP="00BB5D47">
            <w:pPr>
              <w:bidi w:val="0"/>
              <w:rPr>
                <w:rFonts w:ascii="Times New Roman" w:hAnsi="Times New Roman"/>
                <w:b/>
                <w:bCs/>
                <w:color w:val="FFFFFF"/>
              </w:rPr>
            </w:pPr>
            <w:r>
              <w:rPr>
                <w:rFonts w:ascii="Times New Roman" w:hAnsi="Times New Roman"/>
                <w:b/>
                <w:bCs/>
                <w:color w:val="FFFFFF"/>
              </w:rPr>
              <w:t> </w:t>
            </w:r>
          </w:p>
        </w:tc>
        <w:tc>
          <w:tcPr>
            <w:tcW w:w="3278" w:type="dxa"/>
            <w:tcBorders>
              <w:top w:val="nil"/>
              <w:left w:val="nil"/>
              <w:bottom w:val="nil"/>
              <w:right w:val="nil"/>
            </w:tcBorders>
            <w:shd w:val="clear" w:color="auto" w:fill="000000"/>
            <w:noWrap/>
            <w:textDirection w:val="lrTb"/>
            <w:vAlign w:val="bottom"/>
          </w:tcPr>
          <w:p w:rsidR="00B53407" w:rsidP="007F2B08">
            <w:pPr>
              <w:bidi w:val="0"/>
              <w:rPr>
                <w:rFonts w:ascii="Times New Roman" w:hAnsi="Times New Roman"/>
                <w:b/>
                <w:bCs/>
                <w:color w:val="FFFFFF"/>
                <w:u w:val="single"/>
              </w:rPr>
            </w:pPr>
            <w:r>
              <w:rPr>
                <w:rFonts w:ascii="Times New Roman" w:hAnsi="Times New Roman"/>
                <w:b/>
                <w:bCs/>
                <w:color w:val="FFFFFF"/>
                <w:u w:val="single"/>
              </w:rPr>
              <w:t>Rozpočet Sociálnej poisťovne - príjmy (v</w:t>
            </w:r>
            <w:r w:rsidR="007F2B08">
              <w:rPr>
                <w:rFonts w:ascii="Times New Roman" w:hAnsi="Times New Roman"/>
                <w:b/>
                <w:bCs/>
                <w:color w:val="FFFFFF"/>
                <w:u w:val="single"/>
              </w:rPr>
              <w:t xml:space="preserve"> </w:t>
            </w:r>
            <w:r w:rsidR="00FD3869">
              <w:rPr>
                <w:rFonts w:ascii="Times New Roman" w:hAnsi="Times New Roman"/>
                <w:szCs w:val="22"/>
              </w:rPr>
              <w:t>eur</w:t>
            </w:r>
            <w:r>
              <w:rPr>
                <w:rFonts w:ascii="Times New Roman" w:hAnsi="Times New Roman"/>
                <w:b/>
                <w:bCs/>
                <w:color w:val="FFFFFF"/>
                <w:u w:val="single"/>
              </w:rPr>
              <w:t>)</w:t>
            </w:r>
          </w:p>
        </w:tc>
        <w:tc>
          <w:tcPr>
            <w:tcW w:w="1044" w:type="dxa"/>
            <w:tcBorders>
              <w:top w:val="nil"/>
              <w:left w:val="nil"/>
              <w:bottom w:val="nil"/>
              <w:right w:val="nil"/>
            </w:tcBorders>
            <w:shd w:val="clear" w:color="auto" w:fill="000000"/>
            <w:noWrap/>
            <w:textDirection w:val="lrTb"/>
            <w:vAlign w:val="bottom"/>
          </w:tcPr>
          <w:p w:rsidR="00B53407" w:rsidP="00BB5D47">
            <w:pPr>
              <w:bidi w:val="0"/>
              <w:jc w:val="center"/>
              <w:rPr>
                <w:rFonts w:ascii="Times New Roman" w:hAnsi="Times New Roman"/>
                <w:b/>
                <w:bCs/>
                <w:color w:val="FFFFFF"/>
              </w:rPr>
            </w:pPr>
            <w:r>
              <w:rPr>
                <w:rFonts w:ascii="Times New Roman" w:hAnsi="Times New Roman"/>
                <w:b/>
                <w:bCs/>
                <w:color w:val="FFFFFF"/>
              </w:rPr>
              <w:t>2011</w:t>
            </w:r>
          </w:p>
        </w:tc>
        <w:tc>
          <w:tcPr>
            <w:tcW w:w="1366" w:type="dxa"/>
            <w:tcBorders>
              <w:top w:val="nil"/>
              <w:left w:val="nil"/>
              <w:bottom w:val="nil"/>
              <w:right w:val="nil"/>
            </w:tcBorders>
            <w:shd w:val="clear" w:color="auto" w:fill="000000"/>
            <w:noWrap/>
            <w:textDirection w:val="lrTb"/>
            <w:vAlign w:val="bottom"/>
          </w:tcPr>
          <w:p w:rsidR="00B53407" w:rsidP="00BB5D47">
            <w:pPr>
              <w:bidi w:val="0"/>
              <w:jc w:val="center"/>
              <w:rPr>
                <w:rFonts w:ascii="Times New Roman" w:hAnsi="Times New Roman"/>
                <w:b/>
                <w:bCs/>
                <w:color w:val="FFFFFF"/>
              </w:rPr>
            </w:pPr>
            <w:r>
              <w:rPr>
                <w:rFonts w:ascii="Times New Roman" w:hAnsi="Times New Roman"/>
                <w:b/>
                <w:bCs/>
                <w:color w:val="FFFFFF"/>
              </w:rPr>
              <w:t>2012</w:t>
            </w:r>
          </w:p>
        </w:tc>
        <w:tc>
          <w:tcPr>
            <w:tcW w:w="1327" w:type="dxa"/>
            <w:tcBorders>
              <w:top w:val="nil"/>
              <w:left w:val="nil"/>
              <w:bottom w:val="nil"/>
              <w:right w:val="nil"/>
            </w:tcBorders>
            <w:shd w:val="clear" w:color="auto" w:fill="000000"/>
            <w:noWrap/>
            <w:textDirection w:val="lrTb"/>
            <w:vAlign w:val="bottom"/>
          </w:tcPr>
          <w:p w:rsidR="00B53407" w:rsidP="00BB5D47">
            <w:pPr>
              <w:bidi w:val="0"/>
              <w:jc w:val="center"/>
              <w:rPr>
                <w:rFonts w:ascii="Times New Roman" w:hAnsi="Times New Roman"/>
                <w:b/>
                <w:bCs/>
                <w:color w:val="FFFFFF"/>
              </w:rPr>
            </w:pPr>
            <w:r>
              <w:rPr>
                <w:rFonts w:ascii="Times New Roman" w:hAnsi="Times New Roman"/>
                <w:b/>
                <w:bCs/>
                <w:color w:val="FFFFFF"/>
              </w:rPr>
              <w:t>2013</w:t>
            </w:r>
          </w:p>
        </w:tc>
        <w:tc>
          <w:tcPr>
            <w:tcW w:w="1346" w:type="dxa"/>
            <w:tcBorders>
              <w:top w:val="nil"/>
              <w:left w:val="nil"/>
              <w:bottom w:val="nil"/>
              <w:right w:val="nil"/>
            </w:tcBorders>
            <w:shd w:val="clear" w:color="auto" w:fill="000000"/>
            <w:noWrap/>
            <w:textDirection w:val="lrTb"/>
            <w:vAlign w:val="bottom"/>
          </w:tcPr>
          <w:p w:rsidR="00B53407" w:rsidP="00BB5D47">
            <w:pPr>
              <w:bidi w:val="0"/>
              <w:jc w:val="center"/>
              <w:rPr>
                <w:rFonts w:ascii="Times New Roman" w:hAnsi="Times New Roman"/>
                <w:b/>
                <w:bCs/>
                <w:color w:val="FFFFFF"/>
              </w:rPr>
            </w:pPr>
            <w:r>
              <w:rPr>
                <w:rFonts w:ascii="Times New Roman" w:hAnsi="Times New Roman"/>
                <w:b/>
                <w:bCs/>
                <w:color w:val="FFFFFF"/>
              </w:rPr>
              <w:t>2014</w:t>
            </w:r>
          </w:p>
        </w:tc>
      </w:tr>
      <w:tr>
        <w:tblPrEx>
          <w:tblW w:w="9221" w:type="dxa"/>
          <w:jc w:val="center"/>
          <w:tblCellMar>
            <w:left w:w="70" w:type="dxa"/>
            <w:right w:w="70" w:type="dxa"/>
          </w:tblCellMar>
        </w:tblPrEx>
        <w:trPr>
          <w:trHeight w:val="315"/>
          <w:jc w:val="center"/>
        </w:trPr>
        <w:tc>
          <w:tcPr>
            <w:tcW w:w="860" w:type="dxa"/>
            <w:tcBorders>
              <w:top w:val="single" w:sz="4" w:space="0" w:color="auto"/>
              <w:left w:val="single" w:sz="4" w:space="0" w:color="auto"/>
              <w:bottom w:val="single" w:sz="4" w:space="0" w:color="auto"/>
              <w:right w:val="single" w:sz="4" w:space="0" w:color="auto"/>
            </w:tcBorders>
            <w:noWrap/>
            <w:textDirection w:val="lrTb"/>
            <w:vAlign w:val="bottom"/>
          </w:tcPr>
          <w:p w:rsidR="00DA7D83" w:rsidP="00BB5D47">
            <w:pPr>
              <w:bidi w:val="0"/>
              <w:jc w:val="right"/>
              <w:rPr>
                <w:rFonts w:ascii="Times New Roman" w:hAnsi="Times New Roman"/>
                <w:b/>
                <w:bCs/>
                <w:color w:val="000000"/>
              </w:rPr>
            </w:pPr>
            <w:r>
              <w:rPr>
                <w:rFonts w:ascii="Times New Roman" w:hAnsi="Times New Roman"/>
                <w:b/>
                <w:bCs/>
                <w:color w:val="000000"/>
              </w:rPr>
              <w:t>100</w:t>
            </w:r>
          </w:p>
        </w:tc>
        <w:tc>
          <w:tcPr>
            <w:tcW w:w="3278" w:type="dxa"/>
            <w:tcBorders>
              <w:top w:val="single" w:sz="4" w:space="0" w:color="auto"/>
              <w:left w:val="nil"/>
              <w:bottom w:val="single" w:sz="4" w:space="0" w:color="auto"/>
              <w:right w:val="single" w:sz="4" w:space="0" w:color="auto"/>
            </w:tcBorders>
            <w:noWrap/>
            <w:textDirection w:val="lrTb"/>
            <w:vAlign w:val="bottom"/>
          </w:tcPr>
          <w:p w:rsidR="00DA7D83" w:rsidP="00BB5D47">
            <w:pPr>
              <w:bidi w:val="0"/>
              <w:rPr>
                <w:rFonts w:ascii="Times New Roman" w:hAnsi="Times New Roman"/>
                <w:b/>
                <w:bCs/>
                <w:color w:val="000000"/>
              </w:rPr>
            </w:pPr>
            <w:r>
              <w:rPr>
                <w:rFonts w:ascii="Times New Roman" w:hAnsi="Times New Roman"/>
                <w:b/>
                <w:bCs/>
                <w:color w:val="000000"/>
              </w:rPr>
              <w:t>Daňové príjmy</w:t>
            </w:r>
          </w:p>
        </w:tc>
        <w:tc>
          <w:tcPr>
            <w:tcW w:w="1044" w:type="dxa"/>
            <w:tcBorders>
              <w:top w:val="single" w:sz="4" w:space="0" w:color="auto"/>
              <w:left w:val="nil"/>
              <w:bottom w:val="single" w:sz="4" w:space="0" w:color="auto"/>
              <w:right w:val="single" w:sz="4" w:space="0" w:color="auto"/>
            </w:tcBorders>
            <w:noWrap/>
            <w:textDirection w:val="lrTb"/>
            <w:vAlign w:val="bottom"/>
          </w:tcPr>
          <w:p w:rsidR="00DA7D83" w:rsidRPr="00951637" w:rsidP="00951637">
            <w:pPr>
              <w:bidi w:val="0"/>
              <w:jc w:val="right"/>
              <w:rPr>
                <w:rFonts w:ascii="Times New Roman" w:hAnsi="Times New Roman"/>
                <w:b/>
                <w:bCs/>
              </w:rPr>
            </w:pPr>
            <w:r w:rsidR="00951637">
              <w:rPr>
                <w:rFonts w:ascii="Times New Roman" w:hAnsi="Times New Roman"/>
                <w:b/>
                <w:bCs/>
              </w:rPr>
              <w:t>500</w:t>
            </w:r>
          </w:p>
        </w:tc>
        <w:tc>
          <w:tcPr>
            <w:tcW w:w="1366" w:type="dxa"/>
            <w:tcBorders>
              <w:top w:val="single" w:sz="4" w:space="0" w:color="auto"/>
              <w:left w:val="nil"/>
              <w:bottom w:val="single" w:sz="4" w:space="0" w:color="auto"/>
              <w:right w:val="single" w:sz="4" w:space="0" w:color="auto"/>
            </w:tcBorders>
            <w:noWrap/>
            <w:textDirection w:val="lrTb"/>
            <w:vAlign w:val="bottom"/>
          </w:tcPr>
          <w:p w:rsidR="00DA7D83" w:rsidP="00304123">
            <w:pPr>
              <w:bidi w:val="0"/>
              <w:jc w:val="right"/>
              <w:rPr>
                <w:rFonts w:ascii="Times New Roman" w:hAnsi="Times New Roman"/>
                <w:b/>
                <w:bCs/>
                <w:color w:val="000000"/>
              </w:rPr>
            </w:pPr>
            <w:r w:rsidRPr="0076336B" w:rsidR="00935C16">
              <w:rPr>
                <w:rFonts w:ascii="Times New Roman" w:hAnsi="Times New Roman"/>
                <w:b/>
                <w:i/>
                <w:iCs/>
                <w:color w:val="000000"/>
              </w:rPr>
              <w:t>-</w:t>
            </w:r>
            <w:r w:rsidRPr="0076336B" w:rsidR="00935C16">
              <w:rPr>
                <w:rFonts w:ascii="Times New Roman" w:hAnsi="Times New Roman"/>
                <w:b/>
                <w:color w:val="000000"/>
              </w:rPr>
              <w:t>9 766 806</w:t>
            </w:r>
          </w:p>
        </w:tc>
        <w:tc>
          <w:tcPr>
            <w:tcW w:w="1327" w:type="dxa"/>
            <w:tcBorders>
              <w:top w:val="single" w:sz="4" w:space="0" w:color="auto"/>
              <w:left w:val="nil"/>
              <w:bottom w:val="single" w:sz="4" w:space="0" w:color="auto"/>
              <w:right w:val="single" w:sz="4" w:space="0" w:color="auto"/>
            </w:tcBorders>
            <w:noWrap/>
            <w:textDirection w:val="lrTb"/>
            <w:vAlign w:val="bottom"/>
          </w:tcPr>
          <w:p w:rsidR="00DA7D83" w:rsidP="00BA3FEB">
            <w:pPr>
              <w:bidi w:val="0"/>
              <w:jc w:val="right"/>
              <w:rPr>
                <w:rFonts w:ascii="Times New Roman" w:hAnsi="Times New Roman"/>
                <w:b/>
                <w:bCs/>
                <w:color w:val="000000"/>
              </w:rPr>
            </w:pPr>
            <w:r w:rsidRPr="00304123">
              <w:rPr>
                <w:rFonts w:ascii="Times New Roman" w:hAnsi="Times New Roman"/>
                <w:b/>
                <w:bCs/>
                <w:color w:val="000000"/>
              </w:rPr>
              <w:t>-</w:t>
            </w:r>
            <w:r w:rsidRPr="0076336B" w:rsidR="00935C16">
              <w:rPr>
                <w:rFonts w:ascii="Times New Roman" w:hAnsi="Times New Roman"/>
                <w:b/>
                <w:color w:val="000000"/>
              </w:rPr>
              <w:t>45 377 154</w:t>
            </w:r>
          </w:p>
        </w:tc>
        <w:tc>
          <w:tcPr>
            <w:tcW w:w="1346" w:type="dxa"/>
            <w:tcBorders>
              <w:top w:val="single" w:sz="4" w:space="0" w:color="auto"/>
              <w:left w:val="nil"/>
              <w:bottom w:val="single" w:sz="4" w:space="0" w:color="auto"/>
              <w:right w:val="single" w:sz="4" w:space="0" w:color="auto"/>
            </w:tcBorders>
            <w:noWrap/>
            <w:textDirection w:val="lrTb"/>
            <w:vAlign w:val="bottom"/>
          </w:tcPr>
          <w:p w:rsidR="00DA7D83" w:rsidP="00BA3FEB">
            <w:pPr>
              <w:bidi w:val="0"/>
              <w:jc w:val="right"/>
              <w:rPr>
                <w:rFonts w:ascii="Times New Roman" w:hAnsi="Times New Roman"/>
                <w:b/>
                <w:bCs/>
                <w:color w:val="000000"/>
              </w:rPr>
            </w:pPr>
            <w:r w:rsidRPr="00304123">
              <w:rPr>
                <w:rFonts w:ascii="Times New Roman" w:hAnsi="Times New Roman"/>
                <w:b/>
                <w:bCs/>
                <w:color w:val="000000"/>
              </w:rPr>
              <w:t>-</w:t>
            </w:r>
            <w:r w:rsidRPr="0076336B" w:rsidR="00935C16">
              <w:rPr>
                <w:rFonts w:ascii="Times New Roman" w:hAnsi="Times New Roman"/>
                <w:b/>
                <w:color w:val="000000"/>
              </w:rPr>
              <w:t>89 275 899</w:t>
            </w:r>
          </w:p>
        </w:tc>
      </w:tr>
      <w:tr>
        <w:tblPrEx>
          <w:tblW w:w="9221" w:type="dxa"/>
          <w:jc w:val="center"/>
          <w:tblCellMar>
            <w:left w:w="70" w:type="dxa"/>
            <w:right w:w="70" w:type="dxa"/>
          </w:tblCellMar>
        </w:tblPrEx>
        <w:trPr>
          <w:trHeight w:val="315"/>
          <w:jc w:val="center"/>
        </w:trPr>
        <w:tc>
          <w:tcPr>
            <w:tcW w:w="860" w:type="dxa"/>
            <w:tcBorders>
              <w:top w:val="nil"/>
              <w:left w:val="single" w:sz="4" w:space="0" w:color="auto"/>
              <w:bottom w:val="single" w:sz="4" w:space="0" w:color="auto"/>
              <w:right w:val="single" w:sz="4" w:space="0" w:color="auto"/>
            </w:tcBorders>
            <w:noWrap/>
            <w:textDirection w:val="lrTb"/>
            <w:vAlign w:val="bottom"/>
          </w:tcPr>
          <w:p w:rsidR="00DA7D83" w:rsidP="00BB5D47">
            <w:pPr>
              <w:bidi w:val="0"/>
              <w:jc w:val="right"/>
              <w:rPr>
                <w:rFonts w:ascii="Times New Roman" w:hAnsi="Times New Roman"/>
                <w:i/>
                <w:iCs/>
                <w:color w:val="000000"/>
              </w:rPr>
            </w:pPr>
            <w:r>
              <w:rPr>
                <w:rFonts w:ascii="Times New Roman" w:hAnsi="Times New Roman"/>
                <w:i/>
                <w:iCs/>
                <w:color w:val="000000"/>
              </w:rPr>
              <w:t>150</w:t>
            </w:r>
          </w:p>
        </w:tc>
        <w:tc>
          <w:tcPr>
            <w:tcW w:w="3278" w:type="dxa"/>
            <w:tcBorders>
              <w:top w:val="nil"/>
              <w:left w:val="nil"/>
              <w:bottom w:val="single" w:sz="4" w:space="0" w:color="auto"/>
              <w:right w:val="single" w:sz="4" w:space="0" w:color="auto"/>
            </w:tcBorders>
            <w:noWrap/>
            <w:textDirection w:val="lrTb"/>
            <w:vAlign w:val="bottom"/>
          </w:tcPr>
          <w:p w:rsidR="00DA7D83" w:rsidP="00BB5D47">
            <w:pPr>
              <w:bidi w:val="0"/>
              <w:rPr>
                <w:rFonts w:ascii="Times New Roman" w:hAnsi="Times New Roman"/>
                <w:i/>
                <w:iCs/>
                <w:color w:val="000000"/>
              </w:rPr>
            </w:pPr>
            <w:r>
              <w:rPr>
                <w:rFonts w:ascii="Times New Roman" w:hAnsi="Times New Roman"/>
                <w:i/>
                <w:iCs/>
                <w:color w:val="000000"/>
              </w:rPr>
              <w:t>Poistné</w:t>
            </w:r>
          </w:p>
        </w:tc>
        <w:tc>
          <w:tcPr>
            <w:tcW w:w="1044" w:type="dxa"/>
            <w:tcBorders>
              <w:top w:val="nil"/>
              <w:left w:val="nil"/>
              <w:bottom w:val="single" w:sz="4" w:space="0" w:color="auto"/>
              <w:right w:val="single" w:sz="4" w:space="0" w:color="auto"/>
            </w:tcBorders>
            <w:noWrap/>
            <w:textDirection w:val="lrTb"/>
            <w:vAlign w:val="bottom"/>
          </w:tcPr>
          <w:p w:rsidR="00DA7D83" w:rsidRPr="00951637" w:rsidP="00BA3FEB">
            <w:pPr>
              <w:bidi w:val="0"/>
              <w:jc w:val="right"/>
              <w:rPr>
                <w:rFonts w:ascii="Times New Roman" w:hAnsi="Times New Roman"/>
                <w:bCs/>
                <w:color w:val="000000"/>
              </w:rPr>
            </w:pPr>
            <w:r w:rsidRPr="00951637">
              <w:rPr>
                <w:rFonts w:ascii="Times New Roman" w:hAnsi="Times New Roman"/>
                <w:bCs/>
                <w:color w:val="000000"/>
              </w:rPr>
              <w:t>500</w:t>
            </w:r>
          </w:p>
        </w:tc>
        <w:tc>
          <w:tcPr>
            <w:tcW w:w="1366" w:type="dxa"/>
            <w:tcBorders>
              <w:top w:val="nil"/>
              <w:left w:val="nil"/>
              <w:bottom w:val="single" w:sz="4" w:space="0" w:color="auto"/>
              <w:right w:val="single" w:sz="4" w:space="0" w:color="auto"/>
            </w:tcBorders>
            <w:noWrap/>
            <w:textDirection w:val="lrTb"/>
            <w:vAlign w:val="bottom"/>
          </w:tcPr>
          <w:p w:rsidR="00DA7D83" w:rsidRPr="00590859" w:rsidP="00BA3FEB">
            <w:pPr>
              <w:bidi w:val="0"/>
              <w:jc w:val="right"/>
              <w:rPr>
                <w:rFonts w:ascii="Times New Roman" w:hAnsi="Times New Roman"/>
                <w:i/>
                <w:iCs/>
                <w:color w:val="000000"/>
              </w:rPr>
            </w:pPr>
            <w:r w:rsidRPr="00590859">
              <w:rPr>
                <w:rFonts w:ascii="Times New Roman" w:hAnsi="Times New Roman"/>
                <w:i/>
                <w:iCs/>
                <w:color w:val="000000"/>
              </w:rPr>
              <w:t>-</w:t>
            </w:r>
            <w:r w:rsidRPr="00590859" w:rsidR="00304123">
              <w:rPr>
                <w:rFonts w:ascii="Times New Roman" w:hAnsi="Times New Roman"/>
                <w:i/>
                <w:color w:val="000000"/>
              </w:rPr>
              <w:t>9 766 806</w:t>
            </w:r>
          </w:p>
        </w:tc>
        <w:tc>
          <w:tcPr>
            <w:tcW w:w="1327" w:type="dxa"/>
            <w:tcBorders>
              <w:top w:val="nil"/>
              <w:left w:val="nil"/>
              <w:bottom w:val="single" w:sz="4" w:space="0" w:color="auto"/>
              <w:right w:val="single" w:sz="4" w:space="0" w:color="auto"/>
            </w:tcBorders>
            <w:noWrap/>
            <w:textDirection w:val="lrTb"/>
            <w:vAlign w:val="bottom"/>
          </w:tcPr>
          <w:p w:rsidR="00DA7D83" w:rsidRPr="00590859" w:rsidP="00BA3FEB">
            <w:pPr>
              <w:bidi w:val="0"/>
              <w:jc w:val="right"/>
              <w:rPr>
                <w:rFonts w:ascii="Times New Roman" w:hAnsi="Times New Roman"/>
                <w:i/>
                <w:iCs/>
                <w:color w:val="000000"/>
              </w:rPr>
            </w:pPr>
            <w:r w:rsidRPr="00590859">
              <w:rPr>
                <w:rFonts w:ascii="Times New Roman" w:hAnsi="Times New Roman"/>
                <w:i/>
                <w:iCs/>
                <w:color w:val="000000"/>
              </w:rPr>
              <w:t>-</w:t>
            </w:r>
            <w:r w:rsidRPr="00590859" w:rsidR="00304123">
              <w:rPr>
                <w:rFonts w:ascii="Times New Roman" w:hAnsi="Times New Roman"/>
                <w:i/>
                <w:color w:val="000000"/>
              </w:rPr>
              <w:t>45 377 154</w:t>
            </w:r>
          </w:p>
        </w:tc>
        <w:tc>
          <w:tcPr>
            <w:tcW w:w="1346" w:type="dxa"/>
            <w:tcBorders>
              <w:top w:val="nil"/>
              <w:left w:val="nil"/>
              <w:bottom w:val="single" w:sz="4" w:space="0" w:color="auto"/>
              <w:right w:val="single" w:sz="4" w:space="0" w:color="auto"/>
            </w:tcBorders>
            <w:noWrap/>
            <w:textDirection w:val="lrTb"/>
            <w:vAlign w:val="bottom"/>
          </w:tcPr>
          <w:p w:rsidR="00DA7D83" w:rsidRPr="00590859" w:rsidP="00BA3FEB">
            <w:pPr>
              <w:bidi w:val="0"/>
              <w:jc w:val="right"/>
              <w:rPr>
                <w:rFonts w:ascii="Times New Roman" w:hAnsi="Times New Roman"/>
                <w:i/>
                <w:iCs/>
                <w:color w:val="000000"/>
              </w:rPr>
            </w:pPr>
            <w:r w:rsidRPr="00590859">
              <w:rPr>
                <w:rFonts w:ascii="Times New Roman" w:hAnsi="Times New Roman"/>
                <w:i/>
                <w:iCs/>
                <w:color w:val="000000"/>
              </w:rPr>
              <w:t>-</w:t>
            </w:r>
            <w:r w:rsidRPr="00590859" w:rsidR="00304123">
              <w:rPr>
                <w:rFonts w:ascii="Times New Roman" w:hAnsi="Times New Roman"/>
                <w:i/>
                <w:color w:val="000000"/>
              </w:rPr>
              <w:t>89 275 899</w:t>
            </w:r>
          </w:p>
        </w:tc>
      </w:tr>
      <w:tr>
        <w:tblPrEx>
          <w:tblW w:w="9221" w:type="dxa"/>
          <w:jc w:val="center"/>
          <w:tblCellMar>
            <w:left w:w="70" w:type="dxa"/>
            <w:right w:w="70" w:type="dxa"/>
          </w:tblCellMar>
        </w:tblPrEx>
        <w:trPr>
          <w:trHeight w:val="295"/>
          <w:jc w:val="center"/>
        </w:trPr>
        <w:tc>
          <w:tcPr>
            <w:tcW w:w="860" w:type="dxa"/>
            <w:tcBorders>
              <w:top w:val="nil"/>
              <w:left w:val="single" w:sz="4" w:space="0" w:color="auto"/>
              <w:bottom w:val="single" w:sz="4" w:space="0" w:color="auto"/>
              <w:right w:val="single" w:sz="4" w:space="0" w:color="auto"/>
            </w:tcBorders>
            <w:textDirection w:val="lrTb"/>
            <w:vAlign w:val="center"/>
          </w:tcPr>
          <w:p w:rsidR="00DA7D83" w:rsidP="00BB5D47">
            <w:pPr>
              <w:bidi w:val="0"/>
              <w:jc w:val="right"/>
              <w:rPr>
                <w:rFonts w:ascii="Times New Roman" w:hAnsi="Times New Roman"/>
                <w:color w:val="000000"/>
                <w:sz w:val="16"/>
                <w:szCs w:val="16"/>
              </w:rPr>
            </w:pPr>
            <w:r w:rsidRPr="004E5B3A">
              <w:rPr>
                <w:rFonts w:ascii="Times New Roman" w:hAnsi="Times New Roman"/>
                <w:i/>
                <w:iCs/>
                <w:color w:val="000000"/>
              </w:rPr>
              <w:t>152</w:t>
            </w:r>
          </w:p>
        </w:tc>
        <w:tc>
          <w:tcPr>
            <w:tcW w:w="3278" w:type="dxa"/>
            <w:tcBorders>
              <w:top w:val="nil"/>
              <w:left w:val="nil"/>
              <w:bottom w:val="single" w:sz="4" w:space="0" w:color="auto"/>
              <w:right w:val="single" w:sz="4" w:space="0" w:color="auto"/>
            </w:tcBorders>
            <w:noWrap/>
            <w:textDirection w:val="lrTb"/>
            <w:vAlign w:val="center"/>
          </w:tcPr>
          <w:p w:rsidR="00DA7D83" w:rsidP="00BB5D47">
            <w:pPr>
              <w:bidi w:val="0"/>
              <w:rPr>
                <w:rFonts w:ascii="Times New Roman" w:hAnsi="Times New Roman"/>
                <w:color w:val="000000"/>
              </w:rPr>
            </w:pPr>
            <w:r>
              <w:rPr>
                <w:rFonts w:ascii="Times New Roman" w:hAnsi="Times New Roman"/>
                <w:color w:val="000000"/>
              </w:rPr>
              <w:t>Poistné na starobné poistenie</w:t>
            </w:r>
          </w:p>
        </w:tc>
        <w:tc>
          <w:tcPr>
            <w:tcW w:w="1044" w:type="dxa"/>
            <w:tcBorders>
              <w:top w:val="nil"/>
              <w:left w:val="nil"/>
              <w:bottom w:val="single" w:sz="4" w:space="0" w:color="auto"/>
              <w:right w:val="single" w:sz="4" w:space="0" w:color="auto"/>
            </w:tcBorders>
            <w:noWrap/>
            <w:textDirection w:val="lrTb"/>
            <w:vAlign w:val="bottom"/>
          </w:tcPr>
          <w:p w:rsidR="00DA7D83" w:rsidP="00BA3FEB">
            <w:pPr>
              <w:bidi w:val="0"/>
              <w:jc w:val="right"/>
              <w:rPr>
                <w:rFonts w:ascii="Times New Roman" w:hAnsi="Times New Roman"/>
                <w:i/>
                <w:iCs/>
                <w:color w:val="000000"/>
              </w:rPr>
            </w:pPr>
            <w:r>
              <w:rPr>
                <w:rFonts w:ascii="Times New Roman" w:hAnsi="Times New Roman"/>
                <w:i/>
                <w:iCs/>
                <w:color w:val="000000"/>
              </w:rPr>
              <w:t>500</w:t>
            </w:r>
          </w:p>
        </w:tc>
        <w:tc>
          <w:tcPr>
            <w:tcW w:w="1366" w:type="dxa"/>
            <w:tcBorders>
              <w:top w:val="nil"/>
              <w:left w:val="nil"/>
              <w:bottom w:val="single" w:sz="4" w:space="0" w:color="auto"/>
              <w:right w:val="single" w:sz="4" w:space="0" w:color="auto"/>
            </w:tcBorders>
            <w:noWrap/>
            <w:textDirection w:val="lrTb"/>
            <w:vAlign w:val="center"/>
          </w:tcPr>
          <w:p w:rsidR="00DA7D83" w:rsidP="00304123">
            <w:pPr>
              <w:bidi w:val="0"/>
              <w:jc w:val="right"/>
              <w:rPr>
                <w:rFonts w:ascii="Times New Roman" w:hAnsi="Times New Roman"/>
                <w:color w:val="000000"/>
              </w:rPr>
            </w:pPr>
            <w:r>
              <w:rPr>
                <w:rFonts w:ascii="Times New Roman" w:hAnsi="Times New Roman"/>
                <w:color w:val="000000"/>
              </w:rPr>
              <w:t>-</w:t>
            </w:r>
            <w:r w:rsidR="00304123">
              <w:rPr>
                <w:rFonts w:ascii="Times New Roman" w:hAnsi="Times New Roman"/>
                <w:color w:val="000000"/>
              </w:rPr>
              <w:t>9 766 806</w:t>
            </w:r>
          </w:p>
        </w:tc>
        <w:tc>
          <w:tcPr>
            <w:tcW w:w="1327" w:type="dxa"/>
            <w:tcBorders>
              <w:top w:val="nil"/>
              <w:left w:val="nil"/>
              <w:bottom w:val="single" w:sz="4" w:space="0" w:color="auto"/>
              <w:right w:val="single" w:sz="4" w:space="0" w:color="auto"/>
            </w:tcBorders>
            <w:noWrap/>
            <w:textDirection w:val="lrTb"/>
            <w:vAlign w:val="center"/>
          </w:tcPr>
          <w:p w:rsidR="00DA7D83" w:rsidP="00304123">
            <w:pPr>
              <w:bidi w:val="0"/>
              <w:jc w:val="right"/>
              <w:rPr>
                <w:rFonts w:ascii="Times New Roman" w:hAnsi="Times New Roman"/>
                <w:color w:val="000000"/>
              </w:rPr>
            </w:pPr>
            <w:r>
              <w:rPr>
                <w:rFonts w:ascii="Times New Roman" w:hAnsi="Times New Roman"/>
                <w:color w:val="000000"/>
              </w:rPr>
              <w:t>-</w:t>
            </w:r>
            <w:r w:rsidR="00304123">
              <w:rPr>
                <w:rFonts w:ascii="Times New Roman" w:hAnsi="Times New Roman"/>
                <w:color w:val="000000"/>
              </w:rPr>
              <w:t>45 377 154</w:t>
            </w:r>
          </w:p>
        </w:tc>
        <w:tc>
          <w:tcPr>
            <w:tcW w:w="1346" w:type="dxa"/>
            <w:tcBorders>
              <w:top w:val="nil"/>
              <w:left w:val="nil"/>
              <w:bottom w:val="single" w:sz="4" w:space="0" w:color="auto"/>
              <w:right w:val="single" w:sz="4" w:space="0" w:color="auto"/>
            </w:tcBorders>
            <w:noWrap/>
            <w:textDirection w:val="lrTb"/>
            <w:vAlign w:val="center"/>
          </w:tcPr>
          <w:p w:rsidR="00DA7D83" w:rsidP="00304123">
            <w:pPr>
              <w:bidi w:val="0"/>
              <w:jc w:val="right"/>
              <w:rPr>
                <w:rFonts w:ascii="Times New Roman" w:hAnsi="Times New Roman"/>
                <w:color w:val="000000"/>
              </w:rPr>
            </w:pPr>
            <w:r>
              <w:rPr>
                <w:rFonts w:ascii="Times New Roman" w:hAnsi="Times New Roman"/>
                <w:color w:val="000000"/>
              </w:rPr>
              <w:t>-</w:t>
            </w:r>
            <w:r w:rsidR="00304123">
              <w:rPr>
                <w:rFonts w:ascii="Times New Roman" w:hAnsi="Times New Roman"/>
                <w:color w:val="000000"/>
              </w:rPr>
              <w:t>89 275 899</w:t>
            </w:r>
          </w:p>
        </w:tc>
      </w:tr>
      <w:tr>
        <w:tblPrEx>
          <w:tblW w:w="9221" w:type="dxa"/>
          <w:jc w:val="center"/>
          <w:tblCellMar>
            <w:left w:w="70" w:type="dxa"/>
            <w:right w:w="70" w:type="dxa"/>
          </w:tblCellMar>
        </w:tblPrEx>
        <w:trPr>
          <w:trHeight w:val="271"/>
          <w:jc w:val="center"/>
        </w:trPr>
        <w:tc>
          <w:tcPr>
            <w:tcW w:w="860" w:type="dxa"/>
            <w:tcBorders>
              <w:top w:val="single" w:sz="4" w:space="0" w:color="auto"/>
              <w:left w:val="single" w:sz="4" w:space="0" w:color="auto"/>
              <w:bottom w:val="single" w:sz="4" w:space="0" w:color="auto"/>
              <w:right w:val="single" w:sz="4" w:space="0" w:color="auto"/>
            </w:tcBorders>
            <w:textDirection w:val="lrTb"/>
            <w:vAlign w:val="center"/>
          </w:tcPr>
          <w:p w:rsidR="00051296" w:rsidRPr="000F4D29" w:rsidP="00BB5D47">
            <w:pPr>
              <w:bidi w:val="0"/>
              <w:jc w:val="right"/>
              <w:rPr>
                <w:rFonts w:ascii="Times New Roman" w:hAnsi="Times New Roman"/>
                <w:i/>
                <w:iCs/>
                <w:color w:val="000000"/>
              </w:rPr>
            </w:pPr>
            <w:r w:rsidRPr="000F4D29" w:rsidR="002852F4">
              <w:rPr>
                <w:rFonts w:ascii="Times New Roman" w:hAnsi="Times New Roman"/>
                <w:i/>
                <w:iCs/>
                <w:color w:val="000000"/>
              </w:rPr>
              <w:t>152008</w:t>
            </w:r>
          </w:p>
        </w:tc>
        <w:tc>
          <w:tcPr>
            <w:tcW w:w="3278" w:type="dxa"/>
            <w:tcBorders>
              <w:top w:val="single" w:sz="4" w:space="0" w:color="auto"/>
              <w:left w:val="nil"/>
              <w:bottom w:val="single" w:sz="4" w:space="0" w:color="auto"/>
              <w:right w:val="single" w:sz="4" w:space="0" w:color="auto"/>
            </w:tcBorders>
            <w:noWrap/>
            <w:textDirection w:val="lrTb"/>
            <w:vAlign w:val="center"/>
          </w:tcPr>
          <w:p w:rsidR="00051296" w:rsidRPr="000F4D29" w:rsidP="00BB5D47">
            <w:pPr>
              <w:bidi w:val="0"/>
              <w:rPr>
                <w:rFonts w:ascii="Times New Roman" w:hAnsi="Times New Roman"/>
                <w:color w:val="000000"/>
              </w:rPr>
            </w:pPr>
            <w:r w:rsidRPr="000F4D29">
              <w:rPr>
                <w:rFonts w:ascii="Times New Roman" w:hAnsi="Times New Roman"/>
                <w:color w:val="000000"/>
              </w:rPr>
              <w:t>Vrátenie príspevkov a penále</w:t>
            </w:r>
          </w:p>
        </w:tc>
        <w:tc>
          <w:tcPr>
            <w:tcW w:w="1044" w:type="dxa"/>
            <w:tcBorders>
              <w:top w:val="single" w:sz="4" w:space="0" w:color="auto"/>
              <w:left w:val="nil"/>
              <w:bottom w:val="single" w:sz="4" w:space="0" w:color="auto"/>
              <w:right w:val="single" w:sz="4" w:space="0" w:color="auto"/>
            </w:tcBorders>
            <w:noWrap/>
            <w:textDirection w:val="lrTb"/>
            <w:vAlign w:val="center"/>
          </w:tcPr>
          <w:p w:rsidR="00051296" w:rsidRPr="000F4D29" w:rsidP="00BB5D47">
            <w:pPr>
              <w:bidi w:val="0"/>
              <w:jc w:val="right"/>
              <w:rPr>
                <w:rFonts w:ascii="Times New Roman" w:hAnsi="Times New Roman"/>
                <w:color w:val="000000"/>
              </w:rPr>
            </w:pPr>
            <w:r w:rsidRPr="000F4D29">
              <w:rPr>
                <w:rFonts w:ascii="Times New Roman" w:hAnsi="Times New Roman"/>
                <w:color w:val="000000"/>
              </w:rPr>
              <w:t>500</w:t>
            </w:r>
          </w:p>
        </w:tc>
        <w:tc>
          <w:tcPr>
            <w:tcW w:w="1366" w:type="dxa"/>
            <w:tcBorders>
              <w:top w:val="single" w:sz="4" w:space="0" w:color="auto"/>
              <w:left w:val="nil"/>
              <w:bottom w:val="single" w:sz="4" w:space="0" w:color="auto"/>
              <w:right w:val="single" w:sz="4" w:space="0" w:color="auto"/>
            </w:tcBorders>
            <w:noWrap/>
            <w:textDirection w:val="lrTb"/>
            <w:vAlign w:val="center"/>
          </w:tcPr>
          <w:p w:rsidR="00051296" w:rsidRPr="000F4D29" w:rsidP="007F2B08">
            <w:pPr>
              <w:bidi w:val="0"/>
              <w:jc w:val="right"/>
              <w:rPr>
                <w:rFonts w:ascii="Times New Roman" w:hAnsi="Times New Roman"/>
                <w:color w:val="000000"/>
              </w:rPr>
            </w:pPr>
            <w:r w:rsidRPr="000F4D29">
              <w:rPr>
                <w:rFonts w:ascii="Times New Roman" w:hAnsi="Times New Roman"/>
                <w:color w:val="000000"/>
              </w:rPr>
              <w:t>600</w:t>
            </w:r>
          </w:p>
        </w:tc>
        <w:tc>
          <w:tcPr>
            <w:tcW w:w="1327" w:type="dxa"/>
            <w:tcBorders>
              <w:top w:val="single" w:sz="4" w:space="0" w:color="auto"/>
              <w:left w:val="nil"/>
              <w:bottom w:val="single" w:sz="4" w:space="0" w:color="auto"/>
              <w:right w:val="single" w:sz="4" w:space="0" w:color="auto"/>
            </w:tcBorders>
            <w:noWrap/>
            <w:textDirection w:val="lrTb"/>
            <w:vAlign w:val="center"/>
          </w:tcPr>
          <w:p w:rsidR="00051296" w:rsidRPr="000F4D29" w:rsidP="007F2B08">
            <w:pPr>
              <w:bidi w:val="0"/>
              <w:jc w:val="right"/>
              <w:rPr>
                <w:rFonts w:ascii="Times New Roman" w:hAnsi="Times New Roman"/>
                <w:color w:val="000000"/>
              </w:rPr>
            </w:pPr>
            <w:r w:rsidRPr="000F4D29">
              <w:rPr>
                <w:rFonts w:ascii="Times New Roman" w:hAnsi="Times New Roman"/>
                <w:color w:val="000000"/>
              </w:rPr>
              <w:t>600</w:t>
            </w:r>
          </w:p>
        </w:tc>
        <w:tc>
          <w:tcPr>
            <w:tcW w:w="1346" w:type="dxa"/>
            <w:tcBorders>
              <w:top w:val="single" w:sz="4" w:space="0" w:color="auto"/>
              <w:left w:val="nil"/>
              <w:bottom w:val="single" w:sz="4" w:space="0" w:color="auto"/>
              <w:right w:val="single" w:sz="4" w:space="0" w:color="auto"/>
            </w:tcBorders>
            <w:noWrap/>
            <w:textDirection w:val="lrTb"/>
            <w:vAlign w:val="center"/>
          </w:tcPr>
          <w:p w:rsidR="00051296" w:rsidP="007F2B08">
            <w:pPr>
              <w:bidi w:val="0"/>
              <w:jc w:val="right"/>
              <w:rPr>
                <w:rFonts w:ascii="Times New Roman" w:hAnsi="Times New Roman"/>
                <w:color w:val="000000"/>
              </w:rPr>
            </w:pPr>
            <w:r w:rsidRPr="000F4D29">
              <w:rPr>
                <w:rFonts w:ascii="Times New Roman" w:hAnsi="Times New Roman"/>
                <w:color w:val="000000"/>
              </w:rPr>
              <w:t>600</w:t>
            </w:r>
          </w:p>
        </w:tc>
      </w:tr>
    </w:tbl>
    <w:p w:rsidR="00B53407" w:rsidP="00B53407">
      <w:pPr>
        <w:bidi w:val="0"/>
        <w:rPr>
          <w:rFonts w:ascii="Times New Roman" w:hAnsi="Times New Roman"/>
          <w:sz w:val="20"/>
          <w:szCs w:val="20"/>
        </w:rPr>
      </w:pPr>
    </w:p>
    <w:p w:rsidR="00B53407" w:rsidP="00B53407">
      <w:pPr>
        <w:bidi w:val="0"/>
        <w:jc w:val="right"/>
        <w:rPr>
          <w:rFonts w:ascii="Times New Roman" w:hAnsi="Times New Roman"/>
          <w:sz w:val="20"/>
          <w:szCs w:val="20"/>
        </w:rPr>
      </w:pPr>
    </w:p>
    <w:p w:rsidR="00B53407" w:rsidP="00B53407">
      <w:pPr>
        <w:bidi w:val="0"/>
        <w:jc w:val="right"/>
        <w:rPr>
          <w:rFonts w:ascii="Times New Roman" w:hAnsi="Times New Roman"/>
          <w:sz w:val="20"/>
          <w:szCs w:val="20"/>
        </w:rPr>
      </w:pPr>
    </w:p>
    <w:p w:rsidR="00B53407" w:rsidP="00B53407">
      <w:pPr>
        <w:bidi w:val="0"/>
        <w:jc w:val="right"/>
        <w:rPr>
          <w:rFonts w:ascii="Times New Roman" w:hAnsi="Times New Roman"/>
          <w:sz w:val="20"/>
          <w:szCs w:val="20"/>
        </w:rPr>
      </w:pPr>
      <w:r>
        <w:rPr>
          <w:rFonts w:ascii="Times New Roman" w:hAnsi="Times New Roman"/>
          <w:sz w:val="20"/>
          <w:szCs w:val="20"/>
        </w:rPr>
        <w:t>Tabuľka č. 4</w:t>
      </w:r>
    </w:p>
    <w:tbl>
      <w:tblPr>
        <w:tblStyle w:val="TableNormal"/>
        <w:tblW w:w="9182" w:type="dxa"/>
        <w:jc w:val="center"/>
        <w:tblCellMar>
          <w:left w:w="70" w:type="dxa"/>
          <w:right w:w="70" w:type="dxa"/>
        </w:tblCellMar>
      </w:tblPr>
      <w:tblGrid>
        <w:gridCol w:w="860"/>
        <w:gridCol w:w="3258"/>
        <w:gridCol w:w="1041"/>
        <w:gridCol w:w="1369"/>
        <w:gridCol w:w="1332"/>
        <w:gridCol w:w="1322"/>
      </w:tblGrid>
      <w:tr>
        <w:tblPrEx>
          <w:tblW w:w="9182" w:type="dxa"/>
          <w:jc w:val="center"/>
          <w:tblCellMar>
            <w:left w:w="70" w:type="dxa"/>
            <w:right w:w="70" w:type="dxa"/>
          </w:tblCellMar>
        </w:tblPrEx>
        <w:trPr>
          <w:trHeight w:val="315"/>
          <w:jc w:val="center"/>
        </w:trPr>
        <w:tc>
          <w:tcPr>
            <w:tcW w:w="860" w:type="dxa"/>
            <w:tcBorders>
              <w:top w:val="single" w:sz="4" w:space="0" w:color="auto"/>
              <w:left w:val="single" w:sz="4" w:space="0" w:color="auto"/>
              <w:bottom w:val="nil"/>
              <w:right w:val="nil"/>
            </w:tcBorders>
            <w:shd w:val="clear" w:color="auto" w:fill="000000"/>
            <w:noWrap/>
            <w:textDirection w:val="lrTb"/>
            <w:vAlign w:val="bottom"/>
          </w:tcPr>
          <w:p w:rsidR="00B53407" w:rsidP="00BB5D47">
            <w:pPr>
              <w:bidi w:val="0"/>
              <w:rPr>
                <w:rFonts w:ascii="Times New Roman" w:hAnsi="Times New Roman"/>
                <w:b/>
                <w:bCs/>
                <w:color w:val="FFFFFF"/>
              </w:rPr>
            </w:pPr>
            <w:r>
              <w:rPr>
                <w:rFonts w:ascii="Times New Roman" w:hAnsi="Times New Roman"/>
                <w:b/>
                <w:bCs/>
                <w:color w:val="FFFFFF"/>
              </w:rPr>
              <w:t> </w:t>
            </w:r>
          </w:p>
        </w:tc>
        <w:tc>
          <w:tcPr>
            <w:tcW w:w="3258" w:type="dxa"/>
            <w:tcBorders>
              <w:top w:val="single" w:sz="4" w:space="0" w:color="auto"/>
              <w:left w:val="nil"/>
              <w:bottom w:val="nil"/>
              <w:right w:val="nil"/>
            </w:tcBorders>
            <w:shd w:val="clear" w:color="auto" w:fill="000000"/>
            <w:noWrap/>
            <w:textDirection w:val="lrTb"/>
            <w:vAlign w:val="bottom"/>
          </w:tcPr>
          <w:p w:rsidR="00B53407" w:rsidP="00BB5D47">
            <w:pPr>
              <w:bidi w:val="0"/>
              <w:rPr>
                <w:rFonts w:ascii="Times New Roman" w:hAnsi="Times New Roman"/>
                <w:b/>
                <w:bCs/>
                <w:color w:val="FFFFFF"/>
              </w:rPr>
            </w:pPr>
            <w:r>
              <w:rPr>
                <w:rFonts w:ascii="Times New Roman" w:hAnsi="Times New Roman"/>
                <w:b/>
                <w:bCs/>
                <w:color w:val="FFFFFF"/>
              </w:rPr>
              <w:t> </w:t>
            </w:r>
          </w:p>
        </w:tc>
        <w:tc>
          <w:tcPr>
            <w:tcW w:w="5064" w:type="dxa"/>
            <w:gridSpan w:val="4"/>
            <w:tcBorders>
              <w:top w:val="single" w:sz="4" w:space="0" w:color="auto"/>
              <w:left w:val="nil"/>
              <w:bottom w:val="nil"/>
              <w:right w:val="nil"/>
            </w:tcBorders>
            <w:shd w:val="clear" w:color="auto" w:fill="000000"/>
            <w:noWrap/>
            <w:textDirection w:val="lrTb"/>
            <w:vAlign w:val="bottom"/>
          </w:tcPr>
          <w:p w:rsidR="00B53407" w:rsidP="00BB5D47">
            <w:pPr>
              <w:bidi w:val="0"/>
              <w:jc w:val="center"/>
              <w:rPr>
                <w:rFonts w:ascii="Times New Roman" w:hAnsi="Times New Roman"/>
                <w:b/>
                <w:bCs/>
                <w:color w:val="FFFFFF"/>
              </w:rPr>
            </w:pPr>
            <w:r>
              <w:rPr>
                <w:rFonts w:ascii="Times New Roman" w:hAnsi="Times New Roman"/>
                <w:b/>
                <w:bCs/>
                <w:color w:val="FFFFFF"/>
              </w:rPr>
              <w:t xml:space="preserve">Vplyv na rozpočet verejnej správy </w:t>
            </w:r>
          </w:p>
        </w:tc>
      </w:tr>
      <w:tr>
        <w:tblPrEx>
          <w:tblW w:w="9182" w:type="dxa"/>
          <w:jc w:val="center"/>
          <w:tblCellMar>
            <w:left w:w="70" w:type="dxa"/>
            <w:right w:w="70" w:type="dxa"/>
          </w:tblCellMar>
        </w:tblPrEx>
        <w:trPr>
          <w:trHeight w:val="315"/>
          <w:jc w:val="center"/>
        </w:trPr>
        <w:tc>
          <w:tcPr>
            <w:tcW w:w="860" w:type="dxa"/>
            <w:tcBorders>
              <w:top w:val="nil"/>
              <w:left w:val="single" w:sz="4" w:space="0" w:color="auto"/>
              <w:bottom w:val="nil"/>
              <w:right w:val="nil"/>
            </w:tcBorders>
            <w:shd w:val="clear" w:color="auto" w:fill="000000"/>
            <w:noWrap/>
            <w:textDirection w:val="lrTb"/>
            <w:vAlign w:val="bottom"/>
          </w:tcPr>
          <w:p w:rsidR="00B53407" w:rsidP="00BB5D47">
            <w:pPr>
              <w:bidi w:val="0"/>
              <w:rPr>
                <w:rFonts w:ascii="Times New Roman" w:hAnsi="Times New Roman"/>
                <w:b/>
                <w:bCs/>
                <w:color w:val="FFFFFF"/>
              </w:rPr>
            </w:pPr>
            <w:r>
              <w:rPr>
                <w:rFonts w:ascii="Times New Roman" w:hAnsi="Times New Roman"/>
                <w:b/>
                <w:bCs/>
                <w:color w:val="FFFFFF"/>
              </w:rPr>
              <w:t> </w:t>
            </w:r>
          </w:p>
        </w:tc>
        <w:tc>
          <w:tcPr>
            <w:tcW w:w="3258" w:type="dxa"/>
            <w:tcBorders>
              <w:top w:val="nil"/>
              <w:left w:val="nil"/>
              <w:bottom w:val="nil"/>
              <w:right w:val="nil"/>
            </w:tcBorders>
            <w:shd w:val="clear" w:color="auto" w:fill="000000"/>
            <w:noWrap/>
            <w:textDirection w:val="lrTb"/>
            <w:vAlign w:val="bottom"/>
          </w:tcPr>
          <w:p w:rsidR="001F4914" w:rsidP="001F4914">
            <w:pPr>
              <w:bidi w:val="0"/>
              <w:rPr>
                <w:rFonts w:ascii="Times New Roman" w:hAnsi="Times New Roman"/>
                <w:b/>
                <w:bCs/>
                <w:color w:val="FFFFFF"/>
                <w:u w:val="single"/>
              </w:rPr>
            </w:pPr>
            <w:r w:rsidR="00B53407">
              <w:rPr>
                <w:rFonts w:ascii="Times New Roman" w:hAnsi="Times New Roman"/>
                <w:b/>
                <w:bCs/>
                <w:color w:val="FFFFFF"/>
                <w:u w:val="single"/>
              </w:rPr>
              <w:t>Rozpočet verejnej správy</w:t>
            </w:r>
          </w:p>
          <w:p w:rsidR="00B53407" w:rsidP="001F4914">
            <w:pPr>
              <w:bidi w:val="0"/>
              <w:rPr>
                <w:rFonts w:ascii="Times New Roman" w:hAnsi="Times New Roman"/>
                <w:b/>
                <w:bCs/>
                <w:color w:val="FFFFFF"/>
                <w:u w:val="single"/>
              </w:rPr>
            </w:pPr>
            <w:r>
              <w:rPr>
                <w:rFonts w:ascii="Times New Roman" w:hAnsi="Times New Roman"/>
                <w:b/>
                <w:bCs/>
                <w:color w:val="FFFFFF"/>
                <w:u w:val="single"/>
              </w:rPr>
              <w:t xml:space="preserve">– príjmy  (v </w:t>
            </w:r>
            <w:r w:rsidR="00FD3869">
              <w:rPr>
                <w:rFonts w:ascii="Times New Roman" w:hAnsi="Times New Roman"/>
                <w:szCs w:val="22"/>
              </w:rPr>
              <w:t>eur</w:t>
            </w:r>
            <w:r>
              <w:rPr>
                <w:rFonts w:ascii="Times New Roman" w:hAnsi="Times New Roman"/>
                <w:b/>
                <w:bCs/>
                <w:color w:val="FFFFFF"/>
                <w:u w:val="single"/>
              </w:rPr>
              <w:t>)</w:t>
            </w:r>
          </w:p>
        </w:tc>
        <w:tc>
          <w:tcPr>
            <w:tcW w:w="1041" w:type="dxa"/>
            <w:tcBorders>
              <w:top w:val="nil"/>
              <w:left w:val="nil"/>
              <w:bottom w:val="nil"/>
              <w:right w:val="nil"/>
            </w:tcBorders>
            <w:shd w:val="clear" w:color="auto" w:fill="000000"/>
            <w:noWrap/>
            <w:textDirection w:val="lrTb"/>
            <w:vAlign w:val="bottom"/>
          </w:tcPr>
          <w:p w:rsidR="00B53407" w:rsidP="00AF581C">
            <w:pPr>
              <w:bidi w:val="0"/>
              <w:jc w:val="center"/>
              <w:rPr>
                <w:rFonts w:ascii="Times New Roman" w:hAnsi="Times New Roman"/>
                <w:b/>
                <w:bCs/>
                <w:color w:val="FFFFFF"/>
              </w:rPr>
            </w:pPr>
            <w:r>
              <w:rPr>
                <w:rFonts w:ascii="Times New Roman" w:hAnsi="Times New Roman"/>
                <w:b/>
                <w:bCs/>
                <w:color w:val="FFFFFF"/>
              </w:rPr>
              <w:t>201</w:t>
            </w:r>
            <w:r w:rsidR="00AF581C">
              <w:rPr>
                <w:rFonts w:ascii="Times New Roman" w:hAnsi="Times New Roman"/>
                <w:b/>
                <w:bCs/>
                <w:color w:val="FFFFFF"/>
              </w:rPr>
              <w:t>1</w:t>
            </w:r>
          </w:p>
        </w:tc>
        <w:tc>
          <w:tcPr>
            <w:tcW w:w="1369" w:type="dxa"/>
            <w:tcBorders>
              <w:top w:val="nil"/>
              <w:left w:val="nil"/>
              <w:bottom w:val="nil"/>
              <w:right w:val="nil"/>
            </w:tcBorders>
            <w:shd w:val="clear" w:color="auto" w:fill="000000"/>
            <w:noWrap/>
            <w:textDirection w:val="lrTb"/>
            <w:vAlign w:val="bottom"/>
          </w:tcPr>
          <w:p w:rsidR="00B53407" w:rsidP="00AF581C">
            <w:pPr>
              <w:bidi w:val="0"/>
              <w:jc w:val="center"/>
              <w:rPr>
                <w:rFonts w:ascii="Times New Roman" w:hAnsi="Times New Roman"/>
                <w:b/>
                <w:bCs/>
                <w:color w:val="FFFFFF"/>
              </w:rPr>
            </w:pPr>
            <w:r>
              <w:rPr>
                <w:rFonts w:ascii="Times New Roman" w:hAnsi="Times New Roman"/>
                <w:b/>
                <w:bCs/>
                <w:color w:val="FFFFFF"/>
              </w:rPr>
              <w:t>201</w:t>
            </w:r>
            <w:r w:rsidR="00AF581C">
              <w:rPr>
                <w:rFonts w:ascii="Times New Roman" w:hAnsi="Times New Roman"/>
                <w:b/>
                <w:bCs/>
                <w:color w:val="FFFFFF"/>
              </w:rPr>
              <w:t>2</w:t>
            </w:r>
          </w:p>
        </w:tc>
        <w:tc>
          <w:tcPr>
            <w:tcW w:w="1332" w:type="dxa"/>
            <w:tcBorders>
              <w:top w:val="nil"/>
              <w:left w:val="nil"/>
              <w:bottom w:val="nil"/>
              <w:right w:val="nil"/>
            </w:tcBorders>
            <w:shd w:val="clear" w:color="auto" w:fill="000000"/>
            <w:noWrap/>
            <w:textDirection w:val="lrTb"/>
            <w:vAlign w:val="bottom"/>
          </w:tcPr>
          <w:p w:rsidR="00B53407" w:rsidP="00AF581C">
            <w:pPr>
              <w:bidi w:val="0"/>
              <w:jc w:val="center"/>
              <w:rPr>
                <w:rFonts w:ascii="Times New Roman" w:hAnsi="Times New Roman"/>
                <w:b/>
                <w:bCs/>
                <w:color w:val="FFFFFF"/>
              </w:rPr>
            </w:pPr>
            <w:r>
              <w:rPr>
                <w:rFonts w:ascii="Times New Roman" w:hAnsi="Times New Roman"/>
                <w:b/>
                <w:bCs/>
                <w:color w:val="FFFFFF"/>
              </w:rPr>
              <w:t>201</w:t>
            </w:r>
            <w:r w:rsidR="00AF581C">
              <w:rPr>
                <w:rFonts w:ascii="Times New Roman" w:hAnsi="Times New Roman"/>
                <w:b/>
                <w:bCs/>
                <w:color w:val="FFFFFF"/>
              </w:rPr>
              <w:t>3</w:t>
            </w:r>
          </w:p>
        </w:tc>
        <w:tc>
          <w:tcPr>
            <w:tcW w:w="1322" w:type="dxa"/>
            <w:tcBorders>
              <w:top w:val="nil"/>
              <w:left w:val="nil"/>
              <w:bottom w:val="nil"/>
              <w:right w:val="nil"/>
            </w:tcBorders>
            <w:shd w:val="clear" w:color="auto" w:fill="000000"/>
            <w:noWrap/>
            <w:textDirection w:val="lrTb"/>
            <w:vAlign w:val="bottom"/>
          </w:tcPr>
          <w:p w:rsidR="00B53407" w:rsidP="00AF581C">
            <w:pPr>
              <w:bidi w:val="0"/>
              <w:jc w:val="center"/>
              <w:rPr>
                <w:rFonts w:ascii="Times New Roman" w:hAnsi="Times New Roman"/>
                <w:b/>
                <w:bCs/>
                <w:color w:val="FFFFFF"/>
              </w:rPr>
            </w:pPr>
            <w:r>
              <w:rPr>
                <w:rFonts w:ascii="Times New Roman" w:hAnsi="Times New Roman"/>
                <w:b/>
                <w:bCs/>
                <w:color w:val="FFFFFF"/>
              </w:rPr>
              <w:t>201</w:t>
            </w:r>
            <w:r w:rsidR="00AF581C">
              <w:rPr>
                <w:rFonts w:ascii="Times New Roman" w:hAnsi="Times New Roman"/>
                <w:b/>
                <w:bCs/>
                <w:color w:val="FFFFFF"/>
              </w:rPr>
              <w:t>4</w:t>
            </w:r>
          </w:p>
        </w:tc>
      </w:tr>
      <w:tr>
        <w:tblPrEx>
          <w:tblW w:w="9182" w:type="dxa"/>
          <w:jc w:val="center"/>
          <w:tblCellMar>
            <w:left w:w="70" w:type="dxa"/>
            <w:right w:w="70" w:type="dxa"/>
          </w:tblCellMar>
        </w:tblPrEx>
        <w:trPr>
          <w:trHeight w:val="315"/>
          <w:jc w:val="center"/>
        </w:trPr>
        <w:tc>
          <w:tcPr>
            <w:tcW w:w="860" w:type="dxa"/>
            <w:tcBorders>
              <w:top w:val="single" w:sz="4" w:space="0" w:color="auto"/>
              <w:left w:val="single" w:sz="4" w:space="0" w:color="auto"/>
              <w:bottom w:val="single" w:sz="4" w:space="0" w:color="auto"/>
              <w:right w:val="single" w:sz="4" w:space="0" w:color="auto"/>
            </w:tcBorders>
            <w:noWrap/>
            <w:textDirection w:val="lrTb"/>
            <w:vAlign w:val="bottom"/>
          </w:tcPr>
          <w:p w:rsidR="00304123" w:rsidP="00BB5D47">
            <w:pPr>
              <w:bidi w:val="0"/>
              <w:jc w:val="right"/>
              <w:rPr>
                <w:rFonts w:ascii="Times New Roman" w:hAnsi="Times New Roman"/>
                <w:b/>
                <w:bCs/>
                <w:color w:val="000000"/>
              </w:rPr>
            </w:pPr>
            <w:r>
              <w:rPr>
                <w:rFonts w:ascii="Times New Roman" w:hAnsi="Times New Roman"/>
                <w:b/>
                <w:bCs/>
                <w:color w:val="000000"/>
              </w:rPr>
              <w:t>100</w:t>
            </w:r>
          </w:p>
        </w:tc>
        <w:tc>
          <w:tcPr>
            <w:tcW w:w="3258" w:type="dxa"/>
            <w:tcBorders>
              <w:top w:val="single" w:sz="4" w:space="0" w:color="auto"/>
              <w:left w:val="nil"/>
              <w:bottom w:val="single" w:sz="4" w:space="0" w:color="auto"/>
              <w:right w:val="single" w:sz="4" w:space="0" w:color="auto"/>
            </w:tcBorders>
            <w:noWrap/>
            <w:textDirection w:val="lrTb"/>
            <w:vAlign w:val="bottom"/>
          </w:tcPr>
          <w:p w:rsidR="00304123" w:rsidP="00BB5D47">
            <w:pPr>
              <w:bidi w:val="0"/>
              <w:rPr>
                <w:rFonts w:ascii="Times New Roman" w:hAnsi="Times New Roman"/>
                <w:b/>
                <w:bCs/>
                <w:color w:val="000000"/>
              </w:rPr>
            </w:pPr>
            <w:r>
              <w:rPr>
                <w:rFonts w:ascii="Times New Roman" w:hAnsi="Times New Roman"/>
                <w:b/>
                <w:bCs/>
                <w:color w:val="000000"/>
              </w:rPr>
              <w:t>Daňové príjmy</w:t>
            </w:r>
          </w:p>
        </w:tc>
        <w:tc>
          <w:tcPr>
            <w:tcW w:w="1041" w:type="dxa"/>
            <w:tcBorders>
              <w:top w:val="single" w:sz="4" w:space="0" w:color="auto"/>
              <w:left w:val="nil"/>
              <w:bottom w:val="single" w:sz="4" w:space="0" w:color="auto"/>
              <w:right w:val="single" w:sz="4" w:space="0" w:color="auto"/>
            </w:tcBorders>
            <w:noWrap/>
            <w:textDirection w:val="lrTb"/>
            <w:vAlign w:val="bottom"/>
          </w:tcPr>
          <w:p w:rsidR="00304123" w:rsidP="00BB5D47">
            <w:pPr>
              <w:bidi w:val="0"/>
              <w:jc w:val="right"/>
              <w:rPr>
                <w:rFonts w:ascii="Times New Roman" w:hAnsi="Times New Roman"/>
                <w:b/>
                <w:bCs/>
                <w:color w:val="000000"/>
              </w:rPr>
            </w:pPr>
            <w:r>
              <w:rPr>
                <w:rFonts w:ascii="Times New Roman" w:hAnsi="Times New Roman"/>
                <w:b/>
                <w:bCs/>
                <w:color w:val="000000"/>
              </w:rPr>
              <w:t>500</w:t>
            </w:r>
          </w:p>
        </w:tc>
        <w:tc>
          <w:tcPr>
            <w:tcW w:w="1369" w:type="dxa"/>
            <w:tcBorders>
              <w:top w:val="single" w:sz="4" w:space="0" w:color="auto"/>
              <w:left w:val="nil"/>
              <w:bottom w:val="single" w:sz="4" w:space="0" w:color="auto"/>
              <w:right w:val="single" w:sz="4" w:space="0" w:color="auto"/>
            </w:tcBorders>
            <w:noWrap/>
            <w:textDirection w:val="lrTb"/>
            <w:vAlign w:val="top"/>
          </w:tcPr>
          <w:p w:rsidR="00304123" w:rsidP="00DA7D83">
            <w:pPr>
              <w:bidi w:val="0"/>
              <w:jc w:val="right"/>
              <w:rPr>
                <w:rFonts w:ascii="Times New Roman" w:hAnsi="Times New Roman"/>
                <w:b/>
                <w:bCs/>
                <w:color w:val="000000"/>
              </w:rPr>
            </w:pPr>
            <w:r w:rsidRPr="0076336B" w:rsidR="00935C16">
              <w:rPr>
                <w:rFonts w:ascii="Times New Roman" w:hAnsi="Times New Roman"/>
                <w:b/>
                <w:color w:val="000000"/>
              </w:rPr>
              <w:t>-9 766 806</w:t>
            </w:r>
          </w:p>
        </w:tc>
        <w:tc>
          <w:tcPr>
            <w:tcW w:w="1332" w:type="dxa"/>
            <w:tcBorders>
              <w:top w:val="single" w:sz="4" w:space="0" w:color="auto"/>
              <w:left w:val="nil"/>
              <w:bottom w:val="single" w:sz="4" w:space="0" w:color="auto"/>
              <w:right w:val="single" w:sz="4" w:space="0" w:color="auto"/>
            </w:tcBorders>
            <w:noWrap/>
            <w:textDirection w:val="lrTb"/>
            <w:vAlign w:val="top"/>
          </w:tcPr>
          <w:p w:rsidR="00304123" w:rsidP="00DA7D83">
            <w:pPr>
              <w:bidi w:val="0"/>
              <w:jc w:val="right"/>
              <w:rPr>
                <w:rFonts w:ascii="Times New Roman" w:hAnsi="Times New Roman"/>
                <w:b/>
                <w:bCs/>
                <w:color w:val="000000"/>
              </w:rPr>
            </w:pPr>
            <w:r w:rsidRPr="0076336B" w:rsidR="00935C16">
              <w:rPr>
                <w:rFonts w:ascii="Times New Roman" w:hAnsi="Times New Roman"/>
                <w:b/>
                <w:color w:val="000000"/>
              </w:rPr>
              <w:t>-45 377 154</w:t>
            </w:r>
          </w:p>
        </w:tc>
        <w:tc>
          <w:tcPr>
            <w:tcW w:w="1322" w:type="dxa"/>
            <w:tcBorders>
              <w:top w:val="single" w:sz="4" w:space="0" w:color="auto"/>
              <w:left w:val="nil"/>
              <w:bottom w:val="single" w:sz="4" w:space="0" w:color="auto"/>
              <w:right w:val="single" w:sz="4" w:space="0" w:color="auto"/>
            </w:tcBorders>
            <w:noWrap/>
            <w:textDirection w:val="lrTb"/>
            <w:vAlign w:val="top"/>
          </w:tcPr>
          <w:p w:rsidR="00304123" w:rsidP="00DA7D83">
            <w:pPr>
              <w:bidi w:val="0"/>
              <w:jc w:val="right"/>
              <w:rPr>
                <w:rFonts w:ascii="Times New Roman" w:hAnsi="Times New Roman"/>
                <w:b/>
                <w:bCs/>
                <w:color w:val="000000"/>
              </w:rPr>
            </w:pPr>
            <w:r w:rsidRPr="0076336B" w:rsidR="00935C16">
              <w:rPr>
                <w:rFonts w:ascii="Times New Roman" w:hAnsi="Times New Roman"/>
                <w:b/>
                <w:i/>
                <w:iCs/>
                <w:color w:val="000000"/>
              </w:rPr>
              <w:t>-</w:t>
            </w:r>
            <w:r w:rsidRPr="0076336B" w:rsidR="00935C16">
              <w:rPr>
                <w:rFonts w:ascii="Times New Roman" w:hAnsi="Times New Roman"/>
                <w:b/>
                <w:color w:val="000000"/>
              </w:rPr>
              <w:t>89 275 899</w:t>
            </w:r>
          </w:p>
        </w:tc>
      </w:tr>
      <w:tr>
        <w:tblPrEx>
          <w:tblW w:w="9182" w:type="dxa"/>
          <w:jc w:val="center"/>
          <w:tblCellMar>
            <w:left w:w="70" w:type="dxa"/>
            <w:right w:w="70" w:type="dxa"/>
          </w:tblCellMar>
        </w:tblPrEx>
        <w:trPr>
          <w:trHeight w:val="315"/>
          <w:jc w:val="center"/>
        </w:trPr>
        <w:tc>
          <w:tcPr>
            <w:tcW w:w="860" w:type="dxa"/>
            <w:tcBorders>
              <w:top w:val="nil"/>
              <w:left w:val="single" w:sz="4" w:space="0" w:color="auto"/>
              <w:bottom w:val="single" w:sz="4" w:space="0" w:color="auto"/>
              <w:right w:val="single" w:sz="4" w:space="0" w:color="auto"/>
            </w:tcBorders>
            <w:noWrap/>
            <w:textDirection w:val="lrTb"/>
            <w:vAlign w:val="bottom"/>
          </w:tcPr>
          <w:p w:rsidR="00304123" w:rsidP="00BB5D47">
            <w:pPr>
              <w:bidi w:val="0"/>
              <w:jc w:val="right"/>
              <w:rPr>
                <w:rFonts w:ascii="Times New Roman" w:hAnsi="Times New Roman"/>
                <w:i/>
                <w:iCs/>
                <w:color w:val="000000"/>
              </w:rPr>
            </w:pPr>
            <w:r>
              <w:rPr>
                <w:rFonts w:ascii="Times New Roman" w:hAnsi="Times New Roman"/>
                <w:i/>
                <w:iCs/>
                <w:color w:val="000000"/>
              </w:rPr>
              <w:t>150</w:t>
            </w:r>
          </w:p>
        </w:tc>
        <w:tc>
          <w:tcPr>
            <w:tcW w:w="3258" w:type="dxa"/>
            <w:tcBorders>
              <w:top w:val="nil"/>
              <w:left w:val="nil"/>
              <w:bottom w:val="single" w:sz="4" w:space="0" w:color="auto"/>
              <w:right w:val="single" w:sz="4" w:space="0" w:color="auto"/>
            </w:tcBorders>
            <w:noWrap/>
            <w:textDirection w:val="lrTb"/>
            <w:vAlign w:val="bottom"/>
          </w:tcPr>
          <w:p w:rsidR="00304123" w:rsidP="00BB5D47">
            <w:pPr>
              <w:bidi w:val="0"/>
              <w:rPr>
                <w:rFonts w:ascii="Times New Roman" w:hAnsi="Times New Roman"/>
                <w:i/>
                <w:iCs/>
                <w:color w:val="000000"/>
              </w:rPr>
            </w:pPr>
            <w:r>
              <w:rPr>
                <w:rFonts w:ascii="Times New Roman" w:hAnsi="Times New Roman"/>
                <w:i/>
                <w:iCs/>
                <w:color w:val="000000"/>
              </w:rPr>
              <w:t>Poistné</w:t>
            </w:r>
          </w:p>
        </w:tc>
        <w:tc>
          <w:tcPr>
            <w:tcW w:w="1041" w:type="dxa"/>
            <w:tcBorders>
              <w:top w:val="nil"/>
              <w:left w:val="nil"/>
              <w:bottom w:val="single" w:sz="4" w:space="0" w:color="auto"/>
              <w:right w:val="single" w:sz="4" w:space="0" w:color="auto"/>
            </w:tcBorders>
            <w:noWrap/>
            <w:textDirection w:val="lrTb"/>
            <w:vAlign w:val="bottom"/>
          </w:tcPr>
          <w:p w:rsidR="00304123" w:rsidP="00BB5D47">
            <w:pPr>
              <w:bidi w:val="0"/>
              <w:jc w:val="right"/>
              <w:rPr>
                <w:rFonts w:ascii="Times New Roman" w:hAnsi="Times New Roman"/>
                <w:i/>
                <w:iCs/>
                <w:color w:val="000000"/>
              </w:rPr>
            </w:pPr>
            <w:r>
              <w:rPr>
                <w:rFonts w:ascii="Times New Roman" w:hAnsi="Times New Roman"/>
                <w:i/>
                <w:iCs/>
                <w:color w:val="000000"/>
              </w:rPr>
              <w:t>500</w:t>
            </w:r>
          </w:p>
        </w:tc>
        <w:tc>
          <w:tcPr>
            <w:tcW w:w="1369" w:type="dxa"/>
            <w:tcBorders>
              <w:top w:val="nil"/>
              <w:left w:val="nil"/>
              <w:bottom w:val="single" w:sz="4" w:space="0" w:color="auto"/>
              <w:right w:val="single" w:sz="4" w:space="0" w:color="auto"/>
            </w:tcBorders>
            <w:noWrap/>
            <w:textDirection w:val="lrTb"/>
            <w:vAlign w:val="top"/>
          </w:tcPr>
          <w:p w:rsidR="00304123" w:rsidRPr="00590859" w:rsidP="00DA7D83">
            <w:pPr>
              <w:bidi w:val="0"/>
              <w:jc w:val="right"/>
              <w:rPr>
                <w:rFonts w:ascii="Times New Roman" w:hAnsi="Times New Roman"/>
                <w:i/>
                <w:iCs/>
                <w:color w:val="000000"/>
              </w:rPr>
            </w:pPr>
            <w:r w:rsidRPr="00590859">
              <w:rPr>
                <w:rFonts w:ascii="Times New Roman" w:hAnsi="Times New Roman"/>
                <w:i/>
                <w:color w:val="000000"/>
              </w:rPr>
              <w:t>-9 766 806</w:t>
            </w:r>
          </w:p>
        </w:tc>
        <w:tc>
          <w:tcPr>
            <w:tcW w:w="1332" w:type="dxa"/>
            <w:tcBorders>
              <w:top w:val="nil"/>
              <w:left w:val="nil"/>
              <w:bottom w:val="single" w:sz="4" w:space="0" w:color="auto"/>
              <w:right w:val="single" w:sz="4" w:space="0" w:color="auto"/>
            </w:tcBorders>
            <w:noWrap/>
            <w:textDirection w:val="lrTb"/>
            <w:vAlign w:val="top"/>
          </w:tcPr>
          <w:p w:rsidR="00304123" w:rsidRPr="00590859" w:rsidP="00DA7D83">
            <w:pPr>
              <w:bidi w:val="0"/>
              <w:jc w:val="right"/>
              <w:rPr>
                <w:rFonts w:ascii="Times New Roman" w:hAnsi="Times New Roman"/>
                <w:i/>
                <w:iCs/>
                <w:color w:val="000000"/>
              </w:rPr>
            </w:pPr>
            <w:r w:rsidRPr="00590859">
              <w:rPr>
                <w:rFonts w:ascii="Times New Roman" w:hAnsi="Times New Roman"/>
                <w:i/>
                <w:color w:val="000000"/>
              </w:rPr>
              <w:t>-45 377 154</w:t>
            </w:r>
          </w:p>
        </w:tc>
        <w:tc>
          <w:tcPr>
            <w:tcW w:w="1322" w:type="dxa"/>
            <w:tcBorders>
              <w:top w:val="nil"/>
              <w:left w:val="nil"/>
              <w:bottom w:val="single" w:sz="4" w:space="0" w:color="auto"/>
              <w:right w:val="single" w:sz="4" w:space="0" w:color="auto"/>
            </w:tcBorders>
            <w:noWrap/>
            <w:textDirection w:val="lrTb"/>
            <w:vAlign w:val="top"/>
          </w:tcPr>
          <w:p w:rsidR="00304123" w:rsidRPr="00590859" w:rsidP="00DA7D83">
            <w:pPr>
              <w:bidi w:val="0"/>
              <w:jc w:val="right"/>
              <w:rPr>
                <w:rFonts w:ascii="Times New Roman" w:hAnsi="Times New Roman"/>
                <w:i/>
                <w:iCs/>
                <w:color w:val="000000"/>
              </w:rPr>
            </w:pPr>
            <w:r w:rsidRPr="00590859">
              <w:rPr>
                <w:rFonts w:ascii="Times New Roman" w:hAnsi="Times New Roman"/>
                <w:i/>
                <w:iCs/>
                <w:color w:val="000000"/>
              </w:rPr>
              <w:t>-</w:t>
            </w:r>
            <w:r w:rsidRPr="00590859">
              <w:rPr>
                <w:rFonts w:ascii="Times New Roman" w:hAnsi="Times New Roman"/>
                <w:i/>
                <w:color w:val="000000"/>
              </w:rPr>
              <w:t>89 275 899</w:t>
            </w:r>
          </w:p>
        </w:tc>
      </w:tr>
      <w:tr>
        <w:tblPrEx>
          <w:tblW w:w="9182" w:type="dxa"/>
          <w:jc w:val="center"/>
          <w:tblCellMar>
            <w:left w:w="70" w:type="dxa"/>
            <w:right w:w="70" w:type="dxa"/>
          </w:tblCellMar>
        </w:tblPrEx>
        <w:trPr>
          <w:trHeight w:val="225"/>
          <w:jc w:val="center"/>
        </w:trPr>
        <w:tc>
          <w:tcPr>
            <w:tcW w:w="860" w:type="dxa"/>
            <w:tcBorders>
              <w:top w:val="nil"/>
              <w:left w:val="single" w:sz="4" w:space="0" w:color="auto"/>
              <w:bottom w:val="single" w:sz="4" w:space="0" w:color="auto"/>
              <w:right w:val="single" w:sz="4" w:space="0" w:color="auto"/>
            </w:tcBorders>
            <w:textDirection w:val="lrTb"/>
            <w:vAlign w:val="center"/>
          </w:tcPr>
          <w:p w:rsidR="00304123" w:rsidP="00BB5D47">
            <w:pPr>
              <w:bidi w:val="0"/>
              <w:jc w:val="right"/>
              <w:rPr>
                <w:rFonts w:ascii="Times New Roman" w:hAnsi="Times New Roman"/>
                <w:color w:val="000000"/>
                <w:sz w:val="16"/>
                <w:szCs w:val="16"/>
              </w:rPr>
            </w:pPr>
            <w:r w:rsidRPr="004E5B3A">
              <w:rPr>
                <w:rFonts w:ascii="Times New Roman" w:hAnsi="Times New Roman"/>
                <w:i/>
                <w:iCs/>
                <w:color w:val="000000"/>
              </w:rPr>
              <w:t>152</w:t>
            </w:r>
          </w:p>
        </w:tc>
        <w:tc>
          <w:tcPr>
            <w:tcW w:w="3258" w:type="dxa"/>
            <w:tcBorders>
              <w:top w:val="nil"/>
              <w:left w:val="nil"/>
              <w:bottom w:val="single" w:sz="4" w:space="0" w:color="auto"/>
              <w:right w:val="single" w:sz="4" w:space="0" w:color="auto"/>
            </w:tcBorders>
            <w:noWrap/>
            <w:textDirection w:val="lrTb"/>
            <w:vAlign w:val="center"/>
          </w:tcPr>
          <w:p w:rsidR="00304123" w:rsidP="00BB5D47">
            <w:pPr>
              <w:bidi w:val="0"/>
              <w:rPr>
                <w:rFonts w:ascii="Times New Roman" w:hAnsi="Times New Roman"/>
                <w:color w:val="000000"/>
              </w:rPr>
            </w:pPr>
            <w:r>
              <w:rPr>
                <w:rFonts w:ascii="Times New Roman" w:hAnsi="Times New Roman"/>
                <w:color w:val="000000"/>
              </w:rPr>
              <w:t>Poistné na starobné poistenie</w:t>
            </w:r>
          </w:p>
        </w:tc>
        <w:tc>
          <w:tcPr>
            <w:tcW w:w="1041" w:type="dxa"/>
            <w:tcBorders>
              <w:top w:val="nil"/>
              <w:left w:val="nil"/>
              <w:bottom w:val="single" w:sz="4" w:space="0" w:color="auto"/>
              <w:right w:val="single" w:sz="4" w:space="0" w:color="auto"/>
            </w:tcBorders>
            <w:noWrap/>
            <w:textDirection w:val="lrTb"/>
            <w:vAlign w:val="center"/>
          </w:tcPr>
          <w:p w:rsidR="00304123" w:rsidP="00BB5D47">
            <w:pPr>
              <w:bidi w:val="0"/>
              <w:jc w:val="right"/>
              <w:rPr>
                <w:rFonts w:ascii="Times New Roman" w:hAnsi="Times New Roman"/>
                <w:color w:val="000000"/>
              </w:rPr>
            </w:pPr>
            <w:r>
              <w:rPr>
                <w:rFonts w:ascii="Times New Roman" w:hAnsi="Times New Roman"/>
                <w:color w:val="000000"/>
              </w:rPr>
              <w:t>500</w:t>
            </w:r>
          </w:p>
        </w:tc>
        <w:tc>
          <w:tcPr>
            <w:tcW w:w="1369" w:type="dxa"/>
            <w:tcBorders>
              <w:top w:val="nil"/>
              <w:left w:val="nil"/>
              <w:bottom w:val="single" w:sz="4" w:space="0" w:color="auto"/>
              <w:right w:val="single" w:sz="4" w:space="0" w:color="auto"/>
            </w:tcBorders>
            <w:noWrap/>
            <w:textDirection w:val="lrTb"/>
            <w:vAlign w:val="top"/>
          </w:tcPr>
          <w:p w:rsidR="00304123" w:rsidP="00DA7D83">
            <w:pPr>
              <w:bidi w:val="0"/>
              <w:jc w:val="right"/>
              <w:rPr>
                <w:rFonts w:ascii="Times New Roman" w:hAnsi="Times New Roman"/>
                <w:color w:val="000000"/>
              </w:rPr>
            </w:pPr>
            <w:r>
              <w:rPr>
                <w:rFonts w:ascii="Times New Roman" w:hAnsi="Times New Roman"/>
                <w:color w:val="000000"/>
              </w:rPr>
              <w:t>-</w:t>
            </w:r>
            <w:r w:rsidRPr="00D525B2">
              <w:rPr>
                <w:rFonts w:ascii="Times New Roman" w:hAnsi="Times New Roman"/>
                <w:color w:val="000000"/>
              </w:rPr>
              <w:t>9 766 806</w:t>
            </w:r>
          </w:p>
        </w:tc>
        <w:tc>
          <w:tcPr>
            <w:tcW w:w="1332" w:type="dxa"/>
            <w:tcBorders>
              <w:top w:val="nil"/>
              <w:left w:val="nil"/>
              <w:bottom w:val="single" w:sz="4" w:space="0" w:color="auto"/>
              <w:right w:val="single" w:sz="4" w:space="0" w:color="auto"/>
            </w:tcBorders>
            <w:noWrap/>
            <w:textDirection w:val="lrTb"/>
            <w:vAlign w:val="top"/>
          </w:tcPr>
          <w:p w:rsidR="00304123" w:rsidP="00DA7D83">
            <w:pPr>
              <w:bidi w:val="0"/>
              <w:jc w:val="right"/>
              <w:rPr>
                <w:rFonts w:ascii="Times New Roman" w:hAnsi="Times New Roman"/>
                <w:color w:val="000000"/>
              </w:rPr>
            </w:pPr>
            <w:r>
              <w:rPr>
                <w:rFonts w:ascii="Times New Roman" w:hAnsi="Times New Roman"/>
                <w:color w:val="000000"/>
              </w:rPr>
              <w:t>-</w:t>
            </w:r>
            <w:r w:rsidRPr="009E6CC9">
              <w:rPr>
                <w:rFonts w:ascii="Times New Roman" w:hAnsi="Times New Roman"/>
                <w:color w:val="000000"/>
              </w:rPr>
              <w:t>45 377 154</w:t>
            </w:r>
          </w:p>
        </w:tc>
        <w:tc>
          <w:tcPr>
            <w:tcW w:w="1322" w:type="dxa"/>
            <w:tcBorders>
              <w:top w:val="nil"/>
              <w:left w:val="nil"/>
              <w:bottom w:val="single" w:sz="4" w:space="0" w:color="auto"/>
              <w:right w:val="single" w:sz="4" w:space="0" w:color="auto"/>
            </w:tcBorders>
            <w:noWrap/>
            <w:textDirection w:val="lrTb"/>
            <w:vAlign w:val="top"/>
          </w:tcPr>
          <w:p w:rsidR="00304123" w:rsidP="00DA7D83">
            <w:pPr>
              <w:bidi w:val="0"/>
              <w:jc w:val="right"/>
              <w:rPr>
                <w:rFonts w:ascii="Times New Roman" w:hAnsi="Times New Roman"/>
                <w:color w:val="000000"/>
              </w:rPr>
            </w:pPr>
            <w:r w:rsidRPr="00A95D3A">
              <w:rPr>
                <w:rFonts w:ascii="Times New Roman" w:hAnsi="Times New Roman"/>
                <w:i/>
                <w:iCs/>
                <w:color w:val="000000"/>
              </w:rPr>
              <w:t>-</w:t>
            </w:r>
            <w:r w:rsidRPr="00A95D3A">
              <w:rPr>
                <w:rFonts w:ascii="Times New Roman" w:hAnsi="Times New Roman"/>
                <w:color w:val="000000"/>
              </w:rPr>
              <w:t>89 275 899</w:t>
            </w:r>
          </w:p>
        </w:tc>
      </w:tr>
      <w:tr>
        <w:tblPrEx>
          <w:tblW w:w="9182" w:type="dxa"/>
          <w:jc w:val="center"/>
          <w:tblCellMar>
            <w:left w:w="70" w:type="dxa"/>
            <w:right w:w="70" w:type="dxa"/>
          </w:tblCellMar>
        </w:tblPrEx>
        <w:trPr>
          <w:trHeight w:val="225"/>
          <w:jc w:val="center"/>
        </w:trPr>
        <w:tc>
          <w:tcPr>
            <w:tcW w:w="860" w:type="dxa"/>
            <w:tcBorders>
              <w:top w:val="single" w:sz="4" w:space="0" w:color="auto"/>
              <w:left w:val="single" w:sz="4" w:space="0" w:color="auto"/>
              <w:bottom w:val="single" w:sz="4" w:space="0" w:color="auto"/>
              <w:right w:val="single" w:sz="4" w:space="0" w:color="auto"/>
            </w:tcBorders>
            <w:textDirection w:val="lrTb"/>
            <w:vAlign w:val="center"/>
          </w:tcPr>
          <w:p w:rsidR="002852F4" w:rsidRPr="000F4D29" w:rsidP="00BB5D47">
            <w:pPr>
              <w:bidi w:val="0"/>
              <w:jc w:val="right"/>
              <w:rPr>
                <w:rFonts w:ascii="Times New Roman" w:hAnsi="Times New Roman"/>
                <w:i/>
                <w:iCs/>
                <w:color w:val="000000"/>
              </w:rPr>
            </w:pPr>
            <w:r w:rsidRPr="000F4D29">
              <w:rPr>
                <w:rFonts w:ascii="Times New Roman" w:hAnsi="Times New Roman"/>
                <w:i/>
                <w:iCs/>
                <w:color w:val="000000"/>
              </w:rPr>
              <w:t>152008</w:t>
            </w:r>
          </w:p>
        </w:tc>
        <w:tc>
          <w:tcPr>
            <w:tcW w:w="3258" w:type="dxa"/>
            <w:tcBorders>
              <w:top w:val="single" w:sz="4" w:space="0" w:color="auto"/>
              <w:left w:val="nil"/>
              <w:bottom w:val="single" w:sz="4" w:space="0" w:color="auto"/>
              <w:right w:val="single" w:sz="4" w:space="0" w:color="auto"/>
            </w:tcBorders>
            <w:noWrap/>
            <w:textDirection w:val="lrTb"/>
            <w:vAlign w:val="center"/>
          </w:tcPr>
          <w:p w:rsidR="002852F4" w:rsidRPr="000F4D29" w:rsidP="00BB5D47">
            <w:pPr>
              <w:bidi w:val="0"/>
              <w:rPr>
                <w:rFonts w:ascii="Times New Roman" w:hAnsi="Times New Roman"/>
                <w:color w:val="000000"/>
              </w:rPr>
            </w:pPr>
            <w:r w:rsidRPr="000F4D29">
              <w:rPr>
                <w:rFonts w:ascii="Times New Roman" w:hAnsi="Times New Roman"/>
                <w:color w:val="000000"/>
              </w:rPr>
              <w:t>Vrátenie príspevkov a penále</w:t>
            </w:r>
          </w:p>
        </w:tc>
        <w:tc>
          <w:tcPr>
            <w:tcW w:w="1041" w:type="dxa"/>
            <w:tcBorders>
              <w:top w:val="single" w:sz="4" w:space="0" w:color="auto"/>
              <w:left w:val="nil"/>
              <w:bottom w:val="single" w:sz="4" w:space="0" w:color="auto"/>
              <w:right w:val="single" w:sz="4" w:space="0" w:color="auto"/>
            </w:tcBorders>
            <w:noWrap/>
            <w:textDirection w:val="lrTb"/>
            <w:vAlign w:val="center"/>
          </w:tcPr>
          <w:p w:rsidR="002852F4" w:rsidRPr="000F4D29" w:rsidP="00BB5D47">
            <w:pPr>
              <w:bidi w:val="0"/>
              <w:jc w:val="right"/>
              <w:rPr>
                <w:rFonts w:ascii="Times New Roman" w:hAnsi="Times New Roman"/>
                <w:color w:val="000000"/>
              </w:rPr>
            </w:pPr>
            <w:r w:rsidRPr="000F4D29">
              <w:rPr>
                <w:rFonts w:ascii="Times New Roman" w:hAnsi="Times New Roman"/>
                <w:color w:val="000000"/>
              </w:rPr>
              <w:t>500</w:t>
            </w:r>
          </w:p>
        </w:tc>
        <w:tc>
          <w:tcPr>
            <w:tcW w:w="1369" w:type="dxa"/>
            <w:tcBorders>
              <w:top w:val="single" w:sz="4" w:space="0" w:color="auto"/>
              <w:left w:val="nil"/>
              <w:bottom w:val="single" w:sz="4" w:space="0" w:color="auto"/>
              <w:right w:val="single" w:sz="4" w:space="0" w:color="auto"/>
            </w:tcBorders>
            <w:noWrap/>
            <w:textDirection w:val="lrTb"/>
            <w:vAlign w:val="center"/>
          </w:tcPr>
          <w:p w:rsidR="002852F4" w:rsidRPr="000F4D29" w:rsidP="00BB5D47">
            <w:pPr>
              <w:bidi w:val="0"/>
              <w:jc w:val="right"/>
              <w:rPr>
                <w:rFonts w:ascii="Times New Roman" w:hAnsi="Times New Roman"/>
                <w:color w:val="000000"/>
              </w:rPr>
            </w:pPr>
            <w:r w:rsidRPr="000F4D29">
              <w:rPr>
                <w:rFonts w:ascii="Times New Roman" w:hAnsi="Times New Roman"/>
                <w:color w:val="000000"/>
              </w:rPr>
              <w:t>600</w:t>
            </w:r>
          </w:p>
        </w:tc>
        <w:tc>
          <w:tcPr>
            <w:tcW w:w="1332" w:type="dxa"/>
            <w:tcBorders>
              <w:top w:val="single" w:sz="4" w:space="0" w:color="auto"/>
              <w:left w:val="nil"/>
              <w:bottom w:val="single" w:sz="4" w:space="0" w:color="auto"/>
              <w:right w:val="single" w:sz="4" w:space="0" w:color="auto"/>
            </w:tcBorders>
            <w:noWrap/>
            <w:textDirection w:val="lrTb"/>
            <w:vAlign w:val="center"/>
          </w:tcPr>
          <w:p w:rsidR="002852F4" w:rsidRPr="000F4D29" w:rsidP="00BB5D47">
            <w:pPr>
              <w:bidi w:val="0"/>
              <w:jc w:val="right"/>
              <w:rPr>
                <w:rFonts w:ascii="Times New Roman" w:hAnsi="Times New Roman"/>
                <w:color w:val="000000"/>
              </w:rPr>
            </w:pPr>
            <w:r w:rsidRPr="000F4D29">
              <w:rPr>
                <w:rFonts w:ascii="Times New Roman" w:hAnsi="Times New Roman"/>
                <w:color w:val="000000"/>
              </w:rPr>
              <w:t>600</w:t>
            </w:r>
          </w:p>
        </w:tc>
        <w:tc>
          <w:tcPr>
            <w:tcW w:w="1322" w:type="dxa"/>
            <w:tcBorders>
              <w:top w:val="single" w:sz="4" w:space="0" w:color="auto"/>
              <w:left w:val="nil"/>
              <w:bottom w:val="single" w:sz="4" w:space="0" w:color="auto"/>
              <w:right w:val="single" w:sz="4" w:space="0" w:color="auto"/>
            </w:tcBorders>
            <w:noWrap/>
            <w:textDirection w:val="lrTb"/>
            <w:vAlign w:val="center"/>
          </w:tcPr>
          <w:p w:rsidR="002852F4" w:rsidP="00BB5D47">
            <w:pPr>
              <w:bidi w:val="0"/>
              <w:jc w:val="right"/>
              <w:rPr>
                <w:rFonts w:ascii="Times New Roman" w:hAnsi="Times New Roman"/>
                <w:color w:val="000000"/>
              </w:rPr>
            </w:pPr>
            <w:r w:rsidRPr="000F4D29">
              <w:rPr>
                <w:rFonts w:ascii="Times New Roman" w:hAnsi="Times New Roman"/>
                <w:color w:val="000000"/>
              </w:rPr>
              <w:t>600</w:t>
            </w:r>
          </w:p>
        </w:tc>
      </w:tr>
    </w:tbl>
    <w:p w:rsidR="00B53407" w:rsidP="00471298">
      <w:pPr>
        <w:bidi w:val="0"/>
        <w:rPr>
          <w:rFonts w:ascii="Times New Roman" w:hAnsi="Times New Roman"/>
          <w:sz w:val="20"/>
          <w:szCs w:val="20"/>
        </w:rPr>
      </w:pPr>
    </w:p>
    <w:p w:rsidR="00B53407" w:rsidP="00C6246E">
      <w:pPr>
        <w:bidi w:val="0"/>
        <w:jc w:val="both"/>
        <w:rPr>
          <w:rFonts w:ascii="Times New Roman" w:hAnsi="Times New Roman"/>
        </w:rPr>
      </w:pPr>
    </w:p>
    <w:p w:rsidR="00A776AD" w:rsidP="00A776AD">
      <w:pPr>
        <w:bidi w:val="0"/>
        <w:jc w:val="right"/>
        <w:rPr>
          <w:rFonts w:ascii="Times New Roman" w:hAnsi="Times New Roman"/>
          <w:sz w:val="20"/>
          <w:szCs w:val="20"/>
        </w:rPr>
      </w:pPr>
    </w:p>
    <w:p w:rsidR="00A776AD" w:rsidP="00A776AD">
      <w:pPr>
        <w:bidi w:val="0"/>
        <w:jc w:val="right"/>
        <w:rPr>
          <w:rFonts w:ascii="Times New Roman" w:hAnsi="Times New Roman"/>
          <w:sz w:val="20"/>
          <w:szCs w:val="20"/>
        </w:rPr>
      </w:pPr>
    </w:p>
    <w:tbl>
      <w:tblPr>
        <w:tblStyle w:val="TableNormal"/>
        <w:tblW w:w="9255" w:type="dxa"/>
        <w:tblInd w:w="55" w:type="dxa"/>
        <w:tblCellMar>
          <w:left w:w="70" w:type="dxa"/>
          <w:right w:w="70" w:type="dxa"/>
        </w:tblCellMar>
      </w:tblPr>
      <w:tblGrid>
        <w:gridCol w:w="842"/>
        <w:gridCol w:w="3973"/>
        <w:gridCol w:w="1200"/>
        <w:gridCol w:w="1080"/>
        <w:gridCol w:w="1080"/>
        <w:gridCol w:w="1080"/>
      </w:tblGrid>
      <w:tr>
        <w:tblPrEx>
          <w:tblW w:w="9255" w:type="dxa"/>
          <w:tblInd w:w="55" w:type="dxa"/>
          <w:tblCellMar>
            <w:left w:w="70" w:type="dxa"/>
            <w:right w:w="70" w:type="dxa"/>
          </w:tblCellMar>
        </w:tblPrEx>
        <w:trPr>
          <w:trHeight w:val="315"/>
        </w:trPr>
        <w:tc>
          <w:tcPr>
            <w:tcW w:w="842" w:type="dxa"/>
            <w:tcBorders>
              <w:top w:val="single" w:sz="4" w:space="0" w:color="auto"/>
              <w:left w:val="single" w:sz="4" w:space="0" w:color="auto"/>
              <w:bottom w:val="nil"/>
              <w:right w:val="nil"/>
            </w:tcBorders>
            <w:shd w:val="clear" w:color="auto" w:fill="000000"/>
            <w:noWrap/>
            <w:textDirection w:val="lrTb"/>
            <w:vAlign w:val="bottom"/>
          </w:tcPr>
          <w:p w:rsidR="00A776AD" w:rsidP="00BA3FEB">
            <w:pPr>
              <w:bidi w:val="0"/>
              <w:rPr>
                <w:rFonts w:ascii="Times New Roman" w:hAnsi="Times New Roman"/>
                <w:b/>
                <w:bCs/>
                <w:color w:val="FFFFFF"/>
              </w:rPr>
            </w:pPr>
            <w:r>
              <w:rPr>
                <w:rFonts w:ascii="Times New Roman" w:hAnsi="Times New Roman"/>
                <w:b/>
                <w:bCs/>
                <w:color w:val="FFFFFF"/>
              </w:rPr>
              <w:t> </w:t>
            </w:r>
          </w:p>
        </w:tc>
        <w:tc>
          <w:tcPr>
            <w:tcW w:w="3973" w:type="dxa"/>
            <w:tcBorders>
              <w:top w:val="single" w:sz="4" w:space="0" w:color="auto"/>
              <w:left w:val="nil"/>
              <w:bottom w:val="nil"/>
              <w:right w:val="nil"/>
            </w:tcBorders>
            <w:shd w:val="clear" w:color="auto" w:fill="000000"/>
            <w:noWrap/>
            <w:textDirection w:val="lrTb"/>
            <w:vAlign w:val="bottom"/>
          </w:tcPr>
          <w:p w:rsidR="00A776AD" w:rsidP="00BA3FEB">
            <w:pPr>
              <w:bidi w:val="0"/>
              <w:rPr>
                <w:rFonts w:ascii="Times New Roman" w:hAnsi="Times New Roman"/>
                <w:b/>
                <w:bCs/>
                <w:color w:val="FFFFFF"/>
              </w:rPr>
            </w:pPr>
            <w:r>
              <w:rPr>
                <w:rFonts w:ascii="Times New Roman" w:hAnsi="Times New Roman"/>
                <w:b/>
                <w:bCs/>
                <w:color w:val="FFFFFF"/>
              </w:rPr>
              <w:t> </w:t>
            </w:r>
          </w:p>
        </w:tc>
        <w:tc>
          <w:tcPr>
            <w:tcW w:w="4440" w:type="dxa"/>
            <w:gridSpan w:val="4"/>
            <w:tcBorders>
              <w:top w:val="single" w:sz="4" w:space="0" w:color="auto"/>
              <w:left w:val="nil"/>
              <w:bottom w:val="nil"/>
              <w:right w:val="nil"/>
            </w:tcBorders>
            <w:shd w:val="clear" w:color="auto" w:fill="000000"/>
            <w:noWrap/>
            <w:textDirection w:val="lrTb"/>
            <w:vAlign w:val="bottom"/>
          </w:tcPr>
          <w:p w:rsidR="00A776AD" w:rsidP="002E2CA8">
            <w:pPr>
              <w:bidi w:val="0"/>
              <w:jc w:val="center"/>
              <w:rPr>
                <w:rFonts w:ascii="Times New Roman" w:hAnsi="Times New Roman"/>
                <w:b/>
                <w:bCs/>
                <w:color w:val="FFFFFF"/>
              </w:rPr>
            </w:pPr>
            <w:r>
              <w:rPr>
                <w:rFonts w:ascii="Times New Roman" w:hAnsi="Times New Roman"/>
                <w:b/>
                <w:bCs/>
                <w:color w:val="FFFFFF"/>
              </w:rPr>
              <w:t>Vplyv na rozpočet Sociálnej poisťovne</w:t>
            </w:r>
          </w:p>
        </w:tc>
      </w:tr>
      <w:tr>
        <w:tblPrEx>
          <w:tblW w:w="9255" w:type="dxa"/>
          <w:tblInd w:w="55" w:type="dxa"/>
          <w:tblCellMar>
            <w:left w:w="70" w:type="dxa"/>
            <w:right w:w="70" w:type="dxa"/>
          </w:tblCellMar>
        </w:tblPrEx>
        <w:trPr>
          <w:trHeight w:val="315"/>
        </w:trPr>
        <w:tc>
          <w:tcPr>
            <w:tcW w:w="842" w:type="dxa"/>
            <w:tcBorders>
              <w:top w:val="nil"/>
              <w:left w:val="single" w:sz="4" w:space="0" w:color="auto"/>
              <w:bottom w:val="nil"/>
              <w:right w:val="nil"/>
            </w:tcBorders>
            <w:shd w:val="clear" w:color="auto" w:fill="000000"/>
            <w:noWrap/>
            <w:textDirection w:val="lrTb"/>
            <w:vAlign w:val="bottom"/>
          </w:tcPr>
          <w:p w:rsidR="00A776AD" w:rsidP="00BA3FEB">
            <w:pPr>
              <w:bidi w:val="0"/>
              <w:rPr>
                <w:rFonts w:ascii="Times New Roman" w:hAnsi="Times New Roman"/>
                <w:b/>
                <w:bCs/>
                <w:color w:val="FFFFFF"/>
              </w:rPr>
            </w:pPr>
            <w:r>
              <w:rPr>
                <w:rFonts w:ascii="Times New Roman" w:hAnsi="Times New Roman"/>
                <w:b/>
                <w:bCs/>
                <w:color w:val="FFFFFF"/>
              </w:rPr>
              <w:t> </w:t>
            </w:r>
          </w:p>
        </w:tc>
        <w:tc>
          <w:tcPr>
            <w:tcW w:w="3973" w:type="dxa"/>
            <w:tcBorders>
              <w:top w:val="nil"/>
              <w:left w:val="nil"/>
              <w:bottom w:val="nil"/>
              <w:right w:val="nil"/>
            </w:tcBorders>
            <w:shd w:val="clear" w:color="auto" w:fill="000000"/>
            <w:noWrap/>
            <w:textDirection w:val="lrTb"/>
            <w:vAlign w:val="bottom"/>
          </w:tcPr>
          <w:p w:rsidR="00A776AD" w:rsidP="002E2CA8">
            <w:pPr>
              <w:bidi w:val="0"/>
              <w:rPr>
                <w:rFonts w:ascii="Times New Roman" w:hAnsi="Times New Roman"/>
                <w:b/>
                <w:bCs/>
                <w:color w:val="FFFFFF"/>
                <w:u w:val="single"/>
              </w:rPr>
            </w:pPr>
            <w:r w:rsidR="002E2CA8">
              <w:rPr>
                <w:rFonts w:ascii="Times New Roman" w:hAnsi="Times New Roman"/>
                <w:b/>
                <w:bCs/>
                <w:color w:val="FFFFFF"/>
                <w:u w:val="single"/>
              </w:rPr>
              <w:t>Rozpočet Sociálnej poisťovne - </w:t>
            </w:r>
            <w:r>
              <w:rPr>
                <w:rFonts w:ascii="Times New Roman" w:hAnsi="Times New Roman"/>
                <w:b/>
                <w:bCs/>
                <w:color w:val="FFFFFF"/>
                <w:u w:val="single"/>
              </w:rPr>
              <w:t xml:space="preserve">výdavky (v </w:t>
            </w:r>
            <w:r w:rsidR="00FD3869">
              <w:rPr>
                <w:rFonts w:ascii="Times New Roman" w:hAnsi="Times New Roman"/>
                <w:szCs w:val="22"/>
              </w:rPr>
              <w:t>eur</w:t>
            </w:r>
            <w:r>
              <w:rPr>
                <w:rFonts w:ascii="Times New Roman" w:hAnsi="Times New Roman"/>
                <w:b/>
                <w:bCs/>
                <w:color w:val="FFFFFF"/>
                <w:u w:val="single"/>
              </w:rPr>
              <w:t>)</w:t>
            </w:r>
          </w:p>
        </w:tc>
        <w:tc>
          <w:tcPr>
            <w:tcW w:w="1200" w:type="dxa"/>
            <w:tcBorders>
              <w:top w:val="nil"/>
              <w:left w:val="nil"/>
              <w:bottom w:val="nil"/>
              <w:right w:val="nil"/>
            </w:tcBorders>
            <w:shd w:val="clear" w:color="auto" w:fill="000000"/>
            <w:noWrap/>
            <w:textDirection w:val="lrTb"/>
            <w:vAlign w:val="bottom"/>
          </w:tcPr>
          <w:p w:rsidR="00A776AD" w:rsidP="00BA3FEB">
            <w:pPr>
              <w:bidi w:val="0"/>
              <w:jc w:val="center"/>
              <w:rPr>
                <w:rFonts w:ascii="Times New Roman" w:hAnsi="Times New Roman"/>
                <w:b/>
                <w:bCs/>
                <w:color w:val="FFFFFF"/>
              </w:rPr>
            </w:pPr>
            <w:r>
              <w:rPr>
                <w:rFonts w:ascii="Times New Roman" w:hAnsi="Times New Roman"/>
                <w:b/>
                <w:bCs/>
                <w:color w:val="FFFFFF"/>
              </w:rPr>
              <w:t>2011</w:t>
            </w:r>
          </w:p>
        </w:tc>
        <w:tc>
          <w:tcPr>
            <w:tcW w:w="1080" w:type="dxa"/>
            <w:tcBorders>
              <w:top w:val="nil"/>
              <w:left w:val="nil"/>
              <w:bottom w:val="nil"/>
              <w:right w:val="nil"/>
            </w:tcBorders>
            <w:shd w:val="clear" w:color="auto" w:fill="000000"/>
            <w:noWrap/>
            <w:textDirection w:val="lrTb"/>
            <w:vAlign w:val="bottom"/>
          </w:tcPr>
          <w:p w:rsidR="00A776AD" w:rsidP="00A776AD">
            <w:pPr>
              <w:bidi w:val="0"/>
              <w:jc w:val="center"/>
              <w:rPr>
                <w:rFonts w:ascii="Times New Roman" w:hAnsi="Times New Roman"/>
                <w:b/>
                <w:bCs/>
                <w:color w:val="FFFFFF"/>
              </w:rPr>
            </w:pPr>
            <w:r>
              <w:rPr>
                <w:rFonts w:ascii="Times New Roman" w:hAnsi="Times New Roman"/>
                <w:b/>
                <w:bCs/>
                <w:color w:val="FFFFFF"/>
              </w:rPr>
              <w:t>2012</w:t>
            </w:r>
          </w:p>
        </w:tc>
        <w:tc>
          <w:tcPr>
            <w:tcW w:w="1080" w:type="dxa"/>
            <w:tcBorders>
              <w:top w:val="nil"/>
              <w:left w:val="nil"/>
              <w:bottom w:val="nil"/>
              <w:right w:val="nil"/>
            </w:tcBorders>
            <w:shd w:val="clear" w:color="auto" w:fill="000000"/>
            <w:noWrap/>
            <w:textDirection w:val="lrTb"/>
            <w:vAlign w:val="bottom"/>
          </w:tcPr>
          <w:p w:rsidR="00A776AD" w:rsidP="00A776AD">
            <w:pPr>
              <w:bidi w:val="0"/>
              <w:jc w:val="center"/>
              <w:rPr>
                <w:rFonts w:ascii="Times New Roman" w:hAnsi="Times New Roman"/>
                <w:b/>
                <w:bCs/>
                <w:color w:val="FFFFFF"/>
              </w:rPr>
            </w:pPr>
            <w:r>
              <w:rPr>
                <w:rFonts w:ascii="Times New Roman" w:hAnsi="Times New Roman"/>
                <w:b/>
                <w:bCs/>
                <w:color w:val="FFFFFF"/>
              </w:rPr>
              <w:t>2013</w:t>
            </w:r>
          </w:p>
        </w:tc>
        <w:tc>
          <w:tcPr>
            <w:tcW w:w="1080" w:type="dxa"/>
            <w:tcBorders>
              <w:top w:val="nil"/>
              <w:left w:val="nil"/>
              <w:bottom w:val="nil"/>
              <w:right w:val="nil"/>
            </w:tcBorders>
            <w:shd w:val="clear" w:color="auto" w:fill="000000"/>
            <w:noWrap/>
            <w:textDirection w:val="lrTb"/>
            <w:vAlign w:val="bottom"/>
          </w:tcPr>
          <w:p w:rsidR="00A776AD" w:rsidP="00A776AD">
            <w:pPr>
              <w:bidi w:val="0"/>
              <w:jc w:val="center"/>
              <w:rPr>
                <w:rFonts w:ascii="Times New Roman" w:hAnsi="Times New Roman"/>
                <w:b/>
                <w:bCs/>
                <w:color w:val="FFFFFF"/>
              </w:rPr>
            </w:pPr>
            <w:r>
              <w:rPr>
                <w:rFonts w:ascii="Times New Roman" w:hAnsi="Times New Roman"/>
                <w:b/>
                <w:bCs/>
                <w:color w:val="FFFFFF"/>
              </w:rPr>
              <w:t>2014</w:t>
            </w:r>
          </w:p>
        </w:tc>
      </w:tr>
      <w:tr>
        <w:tblPrEx>
          <w:tblW w:w="9255" w:type="dxa"/>
          <w:tblInd w:w="55" w:type="dxa"/>
          <w:tblCellMar>
            <w:left w:w="70" w:type="dxa"/>
            <w:right w:w="70" w:type="dxa"/>
          </w:tblCellMar>
        </w:tblPrEx>
        <w:trPr>
          <w:trHeight w:val="315"/>
        </w:trPr>
        <w:tc>
          <w:tcPr>
            <w:tcW w:w="842" w:type="dxa"/>
            <w:tcBorders>
              <w:top w:val="single" w:sz="4" w:space="0" w:color="auto"/>
              <w:left w:val="single" w:sz="4" w:space="0" w:color="auto"/>
              <w:bottom w:val="single" w:sz="4" w:space="0" w:color="auto"/>
              <w:right w:val="single" w:sz="4" w:space="0" w:color="auto"/>
            </w:tcBorders>
            <w:noWrap/>
            <w:textDirection w:val="lrTb"/>
            <w:vAlign w:val="bottom"/>
          </w:tcPr>
          <w:p w:rsidR="002E2CA8" w:rsidP="00BA3FEB">
            <w:pPr>
              <w:bidi w:val="0"/>
              <w:jc w:val="right"/>
              <w:rPr>
                <w:rFonts w:ascii="Times New Roman" w:hAnsi="Times New Roman"/>
                <w:b/>
                <w:bCs/>
                <w:color w:val="000000"/>
              </w:rPr>
            </w:pPr>
            <w:r>
              <w:rPr>
                <w:rFonts w:ascii="Times New Roman" w:hAnsi="Times New Roman"/>
                <w:b/>
                <w:bCs/>
                <w:color w:val="000000"/>
              </w:rPr>
              <w:t>600</w:t>
            </w:r>
          </w:p>
        </w:tc>
        <w:tc>
          <w:tcPr>
            <w:tcW w:w="3973" w:type="dxa"/>
            <w:tcBorders>
              <w:top w:val="single" w:sz="4" w:space="0" w:color="auto"/>
              <w:left w:val="nil"/>
              <w:bottom w:val="single" w:sz="4" w:space="0" w:color="auto"/>
              <w:right w:val="single" w:sz="4" w:space="0" w:color="auto"/>
            </w:tcBorders>
            <w:noWrap/>
            <w:textDirection w:val="lrTb"/>
            <w:vAlign w:val="bottom"/>
          </w:tcPr>
          <w:p w:rsidR="002E2CA8" w:rsidP="00BA3FEB">
            <w:pPr>
              <w:bidi w:val="0"/>
              <w:rPr>
                <w:rFonts w:ascii="Times New Roman" w:hAnsi="Times New Roman"/>
                <w:b/>
                <w:bCs/>
                <w:color w:val="000000"/>
              </w:rPr>
            </w:pPr>
            <w:r>
              <w:rPr>
                <w:rFonts w:ascii="Times New Roman" w:hAnsi="Times New Roman"/>
                <w:b/>
                <w:bCs/>
                <w:color w:val="000000"/>
              </w:rPr>
              <w:t>Bežné výdavky</w:t>
            </w:r>
          </w:p>
        </w:tc>
        <w:tc>
          <w:tcPr>
            <w:tcW w:w="1200" w:type="dxa"/>
            <w:tcBorders>
              <w:top w:val="single" w:sz="4" w:space="0" w:color="auto"/>
              <w:left w:val="nil"/>
              <w:bottom w:val="single" w:sz="4" w:space="0" w:color="auto"/>
              <w:right w:val="single" w:sz="4" w:space="0" w:color="auto"/>
            </w:tcBorders>
            <w:noWrap/>
            <w:textDirection w:val="lrTb"/>
            <w:vAlign w:val="bottom"/>
          </w:tcPr>
          <w:p w:rsidR="002E2CA8" w:rsidP="00BA3FEB">
            <w:pPr>
              <w:bidi w:val="0"/>
              <w:jc w:val="right"/>
              <w:rPr>
                <w:rFonts w:ascii="Times New Roman" w:hAnsi="Times New Roman"/>
                <w:b/>
                <w:bCs/>
                <w:color w:val="000000"/>
              </w:rPr>
            </w:pPr>
            <w:r>
              <w:rPr>
                <w:rFonts w:ascii="Times New Roman" w:hAnsi="Times New Roman"/>
                <w:b/>
                <w:bCs/>
                <w:color w:val="000000"/>
              </w:rPr>
              <w:t>0</w:t>
            </w:r>
          </w:p>
        </w:tc>
        <w:tc>
          <w:tcPr>
            <w:tcW w:w="1080" w:type="dxa"/>
            <w:tcBorders>
              <w:top w:val="single" w:sz="4" w:space="0" w:color="auto"/>
              <w:left w:val="nil"/>
              <w:bottom w:val="single" w:sz="4" w:space="0" w:color="auto"/>
              <w:right w:val="single" w:sz="4" w:space="0" w:color="auto"/>
            </w:tcBorders>
            <w:noWrap/>
            <w:textDirection w:val="lrTb"/>
            <w:vAlign w:val="bottom"/>
          </w:tcPr>
          <w:p w:rsidR="002E2CA8" w:rsidP="00AE7304">
            <w:pPr>
              <w:bidi w:val="0"/>
              <w:jc w:val="right"/>
              <w:rPr>
                <w:rFonts w:ascii="Times New Roman" w:hAnsi="Times New Roman"/>
                <w:b/>
                <w:bCs/>
                <w:color w:val="000000"/>
              </w:rPr>
            </w:pPr>
            <w:r w:rsidR="007E7E31">
              <w:rPr>
                <w:rFonts w:ascii="Times New Roman" w:hAnsi="Times New Roman"/>
                <w:b/>
                <w:bCs/>
                <w:color w:val="000000"/>
              </w:rPr>
              <w:t>6</w:t>
            </w:r>
            <w:r w:rsidR="00AE7304">
              <w:rPr>
                <w:rFonts w:ascii="Times New Roman" w:hAnsi="Times New Roman"/>
                <w:b/>
                <w:bCs/>
                <w:color w:val="000000"/>
              </w:rPr>
              <w:t>0</w:t>
            </w:r>
            <w:r w:rsidR="007E7E31">
              <w:rPr>
                <w:rFonts w:ascii="Times New Roman" w:hAnsi="Times New Roman"/>
                <w:b/>
                <w:bCs/>
                <w:color w:val="000000"/>
              </w:rPr>
              <w:t xml:space="preserve"> </w:t>
            </w:r>
            <w:r w:rsidR="00AE7304">
              <w:rPr>
                <w:rFonts w:ascii="Times New Roman" w:hAnsi="Times New Roman"/>
                <w:b/>
                <w:bCs/>
                <w:color w:val="000000"/>
              </w:rPr>
              <w:t>6</w:t>
            </w:r>
            <w:r w:rsidR="007E7E31">
              <w:rPr>
                <w:rFonts w:ascii="Times New Roman" w:hAnsi="Times New Roman"/>
                <w:b/>
                <w:bCs/>
                <w:color w:val="000000"/>
              </w:rPr>
              <w:t>00</w:t>
            </w:r>
          </w:p>
        </w:tc>
        <w:tc>
          <w:tcPr>
            <w:tcW w:w="1080" w:type="dxa"/>
            <w:tcBorders>
              <w:top w:val="single" w:sz="4" w:space="0" w:color="auto"/>
              <w:left w:val="nil"/>
              <w:bottom w:val="single" w:sz="4" w:space="0" w:color="auto"/>
              <w:right w:val="single" w:sz="4" w:space="0" w:color="auto"/>
            </w:tcBorders>
            <w:noWrap/>
            <w:textDirection w:val="lrTb"/>
            <w:vAlign w:val="bottom"/>
          </w:tcPr>
          <w:p w:rsidR="002E2CA8" w:rsidP="00BA3FEB">
            <w:pPr>
              <w:bidi w:val="0"/>
              <w:jc w:val="right"/>
              <w:rPr>
                <w:rFonts w:ascii="Times New Roman" w:hAnsi="Times New Roman"/>
                <w:b/>
                <w:bCs/>
                <w:color w:val="000000"/>
              </w:rPr>
            </w:pPr>
            <w:r w:rsidR="007E7E31">
              <w:rPr>
                <w:rFonts w:ascii="Times New Roman" w:hAnsi="Times New Roman"/>
                <w:b/>
                <w:bCs/>
                <w:color w:val="000000"/>
              </w:rPr>
              <w:t xml:space="preserve">92 100 </w:t>
            </w:r>
          </w:p>
        </w:tc>
        <w:tc>
          <w:tcPr>
            <w:tcW w:w="1080" w:type="dxa"/>
            <w:tcBorders>
              <w:top w:val="single" w:sz="4" w:space="0" w:color="auto"/>
              <w:left w:val="nil"/>
              <w:bottom w:val="single" w:sz="4" w:space="0" w:color="auto"/>
              <w:right w:val="single" w:sz="4" w:space="0" w:color="auto"/>
            </w:tcBorders>
            <w:noWrap/>
            <w:textDirection w:val="lrTb"/>
            <w:vAlign w:val="bottom"/>
          </w:tcPr>
          <w:p w:rsidR="002E2CA8" w:rsidP="00BA3FEB">
            <w:pPr>
              <w:bidi w:val="0"/>
              <w:jc w:val="right"/>
              <w:rPr>
                <w:rFonts w:ascii="Times New Roman" w:hAnsi="Times New Roman"/>
                <w:b/>
                <w:bCs/>
                <w:color w:val="000000"/>
              </w:rPr>
            </w:pPr>
            <w:r w:rsidR="007E7E31">
              <w:rPr>
                <w:rFonts w:ascii="Times New Roman" w:hAnsi="Times New Roman"/>
                <w:b/>
                <w:bCs/>
                <w:color w:val="000000"/>
              </w:rPr>
              <w:t>97 600</w:t>
            </w:r>
          </w:p>
        </w:tc>
      </w:tr>
      <w:tr>
        <w:tblPrEx>
          <w:tblW w:w="9255" w:type="dxa"/>
          <w:tblInd w:w="55" w:type="dxa"/>
          <w:tblCellMar>
            <w:left w:w="70" w:type="dxa"/>
            <w:right w:w="70" w:type="dxa"/>
          </w:tblCellMar>
        </w:tblPrEx>
        <w:trPr>
          <w:trHeight w:val="315"/>
        </w:trPr>
        <w:tc>
          <w:tcPr>
            <w:tcW w:w="842" w:type="dxa"/>
            <w:tcBorders>
              <w:top w:val="nil"/>
              <w:left w:val="single" w:sz="4" w:space="0" w:color="auto"/>
              <w:bottom w:val="single" w:sz="4" w:space="0" w:color="auto"/>
              <w:right w:val="single" w:sz="4" w:space="0" w:color="auto"/>
            </w:tcBorders>
            <w:noWrap/>
            <w:textDirection w:val="lrTb"/>
            <w:vAlign w:val="bottom"/>
          </w:tcPr>
          <w:p w:rsidR="00A776AD" w:rsidP="00BA3FEB">
            <w:pPr>
              <w:bidi w:val="0"/>
              <w:jc w:val="right"/>
              <w:rPr>
                <w:rFonts w:ascii="Times New Roman" w:hAnsi="Times New Roman"/>
                <w:i/>
                <w:iCs/>
                <w:color w:val="000000"/>
              </w:rPr>
            </w:pPr>
            <w:r>
              <w:rPr>
                <w:rFonts w:ascii="Times New Roman" w:hAnsi="Times New Roman"/>
                <w:i/>
                <w:iCs/>
                <w:color w:val="000000"/>
              </w:rPr>
              <w:t>630</w:t>
            </w:r>
          </w:p>
        </w:tc>
        <w:tc>
          <w:tcPr>
            <w:tcW w:w="3973" w:type="dxa"/>
            <w:tcBorders>
              <w:top w:val="nil"/>
              <w:left w:val="nil"/>
              <w:bottom w:val="single" w:sz="4" w:space="0" w:color="auto"/>
              <w:right w:val="single" w:sz="4" w:space="0" w:color="auto"/>
            </w:tcBorders>
            <w:noWrap/>
            <w:textDirection w:val="lrTb"/>
            <w:vAlign w:val="bottom"/>
          </w:tcPr>
          <w:p w:rsidR="00A776AD" w:rsidP="00BA3FEB">
            <w:pPr>
              <w:bidi w:val="0"/>
              <w:rPr>
                <w:rFonts w:ascii="Times New Roman" w:hAnsi="Times New Roman"/>
                <w:i/>
                <w:iCs/>
                <w:color w:val="000000"/>
              </w:rPr>
            </w:pPr>
            <w:r>
              <w:rPr>
                <w:rFonts w:ascii="Times New Roman" w:hAnsi="Times New Roman"/>
                <w:i/>
                <w:iCs/>
                <w:color w:val="000000"/>
              </w:rPr>
              <w:t>Tovary a</w:t>
            </w:r>
            <w:r w:rsidR="002E2CA8">
              <w:rPr>
                <w:rFonts w:ascii="Times New Roman" w:hAnsi="Times New Roman"/>
                <w:i/>
                <w:iCs/>
                <w:color w:val="000000"/>
              </w:rPr>
              <w:t> </w:t>
            </w:r>
            <w:r>
              <w:rPr>
                <w:rFonts w:ascii="Times New Roman" w:hAnsi="Times New Roman"/>
                <w:i/>
                <w:iCs/>
                <w:color w:val="000000"/>
              </w:rPr>
              <w:t>služby</w:t>
            </w:r>
          </w:p>
        </w:tc>
        <w:tc>
          <w:tcPr>
            <w:tcW w:w="1200" w:type="dxa"/>
            <w:tcBorders>
              <w:top w:val="nil"/>
              <w:left w:val="nil"/>
              <w:bottom w:val="single" w:sz="4" w:space="0" w:color="auto"/>
              <w:right w:val="single" w:sz="4" w:space="0" w:color="auto"/>
            </w:tcBorders>
            <w:noWrap/>
            <w:textDirection w:val="lrTb"/>
            <w:vAlign w:val="bottom"/>
          </w:tcPr>
          <w:p w:rsidR="00A776AD" w:rsidP="00BA3FEB">
            <w:pPr>
              <w:bidi w:val="0"/>
              <w:jc w:val="right"/>
              <w:rPr>
                <w:rFonts w:ascii="Times New Roman" w:hAnsi="Times New Roman"/>
                <w:i/>
                <w:iCs/>
                <w:color w:val="000000"/>
              </w:rPr>
            </w:pPr>
            <w:r>
              <w:rPr>
                <w:rFonts w:ascii="Times New Roman" w:hAnsi="Times New Roman"/>
                <w:i/>
                <w:iCs/>
                <w:color w:val="000000"/>
              </w:rPr>
              <w:t>0</w:t>
            </w:r>
          </w:p>
        </w:tc>
        <w:tc>
          <w:tcPr>
            <w:tcW w:w="1080" w:type="dxa"/>
            <w:tcBorders>
              <w:top w:val="nil"/>
              <w:left w:val="nil"/>
              <w:bottom w:val="single" w:sz="4" w:space="0" w:color="auto"/>
              <w:right w:val="single" w:sz="4" w:space="0" w:color="auto"/>
            </w:tcBorders>
            <w:noWrap/>
            <w:textDirection w:val="lrTb"/>
            <w:vAlign w:val="bottom"/>
          </w:tcPr>
          <w:p w:rsidR="00A776AD" w:rsidP="00AE7304">
            <w:pPr>
              <w:bidi w:val="0"/>
              <w:jc w:val="right"/>
              <w:rPr>
                <w:rFonts w:ascii="Times New Roman" w:hAnsi="Times New Roman"/>
                <w:i/>
                <w:iCs/>
                <w:color w:val="000000"/>
              </w:rPr>
            </w:pPr>
            <w:r w:rsidR="007E7E31">
              <w:rPr>
                <w:rFonts w:ascii="Times New Roman" w:hAnsi="Times New Roman"/>
                <w:i/>
                <w:iCs/>
                <w:color w:val="000000"/>
              </w:rPr>
              <w:t>6</w:t>
            </w:r>
            <w:r w:rsidR="00AE7304">
              <w:rPr>
                <w:rFonts w:ascii="Times New Roman" w:hAnsi="Times New Roman"/>
                <w:i/>
                <w:iCs/>
                <w:color w:val="000000"/>
              </w:rPr>
              <w:t>0 6</w:t>
            </w:r>
            <w:r w:rsidR="007E7E31">
              <w:rPr>
                <w:rFonts w:ascii="Times New Roman" w:hAnsi="Times New Roman"/>
                <w:i/>
                <w:iCs/>
                <w:color w:val="000000"/>
              </w:rPr>
              <w:t>00</w:t>
            </w:r>
          </w:p>
        </w:tc>
        <w:tc>
          <w:tcPr>
            <w:tcW w:w="1080" w:type="dxa"/>
            <w:tcBorders>
              <w:top w:val="nil"/>
              <w:left w:val="nil"/>
              <w:bottom w:val="single" w:sz="4" w:space="0" w:color="auto"/>
              <w:right w:val="single" w:sz="4" w:space="0" w:color="auto"/>
            </w:tcBorders>
            <w:noWrap/>
            <w:textDirection w:val="lrTb"/>
            <w:vAlign w:val="bottom"/>
          </w:tcPr>
          <w:p w:rsidR="00A776AD" w:rsidP="00BA3FEB">
            <w:pPr>
              <w:bidi w:val="0"/>
              <w:jc w:val="right"/>
              <w:rPr>
                <w:rFonts w:ascii="Times New Roman" w:hAnsi="Times New Roman"/>
                <w:i/>
                <w:iCs/>
                <w:color w:val="000000"/>
              </w:rPr>
            </w:pPr>
            <w:r w:rsidR="007E7E31">
              <w:rPr>
                <w:rFonts w:ascii="Times New Roman" w:hAnsi="Times New Roman"/>
                <w:i/>
                <w:iCs/>
                <w:color w:val="000000"/>
              </w:rPr>
              <w:t>92 100</w:t>
            </w:r>
          </w:p>
        </w:tc>
        <w:tc>
          <w:tcPr>
            <w:tcW w:w="1080" w:type="dxa"/>
            <w:tcBorders>
              <w:top w:val="nil"/>
              <w:left w:val="nil"/>
              <w:bottom w:val="single" w:sz="4" w:space="0" w:color="auto"/>
              <w:right w:val="single" w:sz="4" w:space="0" w:color="auto"/>
            </w:tcBorders>
            <w:noWrap/>
            <w:textDirection w:val="lrTb"/>
            <w:vAlign w:val="bottom"/>
          </w:tcPr>
          <w:p w:rsidR="00A776AD" w:rsidP="00BA3FEB">
            <w:pPr>
              <w:bidi w:val="0"/>
              <w:jc w:val="right"/>
              <w:rPr>
                <w:rFonts w:ascii="Times New Roman" w:hAnsi="Times New Roman"/>
                <w:i/>
                <w:iCs/>
                <w:color w:val="000000"/>
              </w:rPr>
            </w:pPr>
            <w:r w:rsidR="007E7E31">
              <w:rPr>
                <w:rFonts w:ascii="Times New Roman" w:hAnsi="Times New Roman"/>
                <w:i/>
                <w:iCs/>
                <w:color w:val="000000"/>
              </w:rPr>
              <w:t>97 600</w:t>
            </w:r>
          </w:p>
        </w:tc>
      </w:tr>
    </w:tbl>
    <w:p w:rsidR="00AE7304" w:rsidP="00A776AD">
      <w:pPr>
        <w:bidi w:val="0"/>
        <w:jc w:val="right"/>
        <w:rPr>
          <w:rFonts w:ascii="Times New Roman" w:hAnsi="Times New Roman"/>
          <w:sz w:val="20"/>
          <w:szCs w:val="20"/>
        </w:rPr>
      </w:pPr>
    </w:p>
    <w:p w:rsidR="00A776AD" w:rsidP="00A776AD">
      <w:pPr>
        <w:bidi w:val="0"/>
        <w:jc w:val="right"/>
        <w:rPr>
          <w:rFonts w:ascii="Times New Roman" w:hAnsi="Times New Roman"/>
          <w:sz w:val="20"/>
          <w:szCs w:val="20"/>
        </w:rPr>
      </w:pPr>
    </w:p>
    <w:tbl>
      <w:tblPr>
        <w:tblStyle w:val="TableNormal"/>
        <w:tblW w:w="9255" w:type="dxa"/>
        <w:tblInd w:w="55" w:type="dxa"/>
        <w:tblCellMar>
          <w:left w:w="70" w:type="dxa"/>
          <w:right w:w="70" w:type="dxa"/>
        </w:tblCellMar>
      </w:tblPr>
      <w:tblGrid>
        <w:gridCol w:w="842"/>
        <w:gridCol w:w="3973"/>
        <w:gridCol w:w="1200"/>
        <w:gridCol w:w="1000"/>
        <w:gridCol w:w="1160"/>
        <w:gridCol w:w="1080"/>
      </w:tblGrid>
      <w:tr>
        <w:tblPrEx>
          <w:tblW w:w="9255" w:type="dxa"/>
          <w:tblInd w:w="55" w:type="dxa"/>
          <w:tblCellMar>
            <w:left w:w="70" w:type="dxa"/>
            <w:right w:w="70" w:type="dxa"/>
          </w:tblCellMar>
        </w:tblPrEx>
        <w:trPr>
          <w:trHeight w:val="315"/>
        </w:trPr>
        <w:tc>
          <w:tcPr>
            <w:tcW w:w="842" w:type="dxa"/>
            <w:tcBorders>
              <w:top w:val="single" w:sz="4" w:space="0" w:color="auto"/>
              <w:left w:val="single" w:sz="4" w:space="0" w:color="auto"/>
              <w:bottom w:val="nil"/>
              <w:right w:val="nil"/>
            </w:tcBorders>
            <w:shd w:val="clear" w:color="auto" w:fill="000000"/>
            <w:noWrap/>
            <w:textDirection w:val="lrTb"/>
            <w:vAlign w:val="bottom"/>
          </w:tcPr>
          <w:p w:rsidR="00A776AD" w:rsidP="00BA3FEB">
            <w:pPr>
              <w:bidi w:val="0"/>
              <w:rPr>
                <w:rFonts w:ascii="Times New Roman" w:hAnsi="Times New Roman"/>
                <w:b/>
                <w:bCs/>
                <w:color w:val="FFFFFF"/>
              </w:rPr>
            </w:pPr>
            <w:r>
              <w:rPr>
                <w:rFonts w:ascii="Times New Roman" w:hAnsi="Times New Roman"/>
                <w:b/>
                <w:bCs/>
                <w:color w:val="FFFFFF"/>
              </w:rPr>
              <w:t> </w:t>
            </w:r>
          </w:p>
        </w:tc>
        <w:tc>
          <w:tcPr>
            <w:tcW w:w="3973" w:type="dxa"/>
            <w:tcBorders>
              <w:top w:val="single" w:sz="4" w:space="0" w:color="auto"/>
              <w:left w:val="nil"/>
              <w:bottom w:val="nil"/>
              <w:right w:val="nil"/>
            </w:tcBorders>
            <w:shd w:val="clear" w:color="auto" w:fill="000000"/>
            <w:noWrap/>
            <w:textDirection w:val="lrTb"/>
            <w:vAlign w:val="bottom"/>
          </w:tcPr>
          <w:p w:rsidR="00A776AD" w:rsidP="00BA3FEB">
            <w:pPr>
              <w:bidi w:val="0"/>
              <w:rPr>
                <w:rFonts w:ascii="Times New Roman" w:hAnsi="Times New Roman"/>
                <w:b/>
                <w:bCs/>
                <w:color w:val="FFFFFF"/>
              </w:rPr>
            </w:pPr>
            <w:r>
              <w:rPr>
                <w:rFonts w:ascii="Times New Roman" w:hAnsi="Times New Roman"/>
                <w:b/>
                <w:bCs/>
                <w:color w:val="FFFFFF"/>
              </w:rPr>
              <w:t> </w:t>
            </w:r>
          </w:p>
        </w:tc>
        <w:tc>
          <w:tcPr>
            <w:tcW w:w="4440" w:type="dxa"/>
            <w:gridSpan w:val="4"/>
            <w:tcBorders>
              <w:top w:val="single" w:sz="4" w:space="0" w:color="auto"/>
              <w:left w:val="nil"/>
              <w:bottom w:val="nil"/>
              <w:right w:val="nil"/>
            </w:tcBorders>
            <w:shd w:val="clear" w:color="auto" w:fill="000000"/>
            <w:noWrap/>
            <w:textDirection w:val="lrTb"/>
            <w:vAlign w:val="bottom"/>
          </w:tcPr>
          <w:p w:rsidR="00A776AD" w:rsidP="002E2CA8">
            <w:pPr>
              <w:bidi w:val="0"/>
              <w:jc w:val="center"/>
              <w:rPr>
                <w:rFonts w:ascii="Times New Roman" w:hAnsi="Times New Roman"/>
                <w:b/>
                <w:bCs/>
                <w:color w:val="FFFFFF"/>
              </w:rPr>
            </w:pPr>
            <w:r>
              <w:rPr>
                <w:rFonts w:ascii="Times New Roman" w:hAnsi="Times New Roman"/>
                <w:b/>
                <w:bCs/>
                <w:color w:val="FFFFFF"/>
              </w:rPr>
              <w:t>Vplyv na rozpočet verejnej správy</w:t>
            </w:r>
          </w:p>
        </w:tc>
      </w:tr>
      <w:tr>
        <w:tblPrEx>
          <w:tblW w:w="9255" w:type="dxa"/>
          <w:tblInd w:w="55" w:type="dxa"/>
          <w:tblCellMar>
            <w:left w:w="70" w:type="dxa"/>
            <w:right w:w="70" w:type="dxa"/>
          </w:tblCellMar>
        </w:tblPrEx>
        <w:trPr>
          <w:trHeight w:val="315"/>
        </w:trPr>
        <w:tc>
          <w:tcPr>
            <w:tcW w:w="842" w:type="dxa"/>
            <w:tcBorders>
              <w:top w:val="nil"/>
              <w:left w:val="single" w:sz="4" w:space="0" w:color="auto"/>
              <w:bottom w:val="nil"/>
              <w:right w:val="nil"/>
            </w:tcBorders>
            <w:shd w:val="clear" w:color="auto" w:fill="000000"/>
            <w:noWrap/>
            <w:textDirection w:val="lrTb"/>
            <w:vAlign w:val="bottom"/>
          </w:tcPr>
          <w:p w:rsidR="00A776AD" w:rsidP="00BA3FEB">
            <w:pPr>
              <w:bidi w:val="0"/>
              <w:rPr>
                <w:rFonts w:ascii="Times New Roman" w:hAnsi="Times New Roman"/>
                <w:b/>
                <w:bCs/>
                <w:color w:val="FFFFFF"/>
              </w:rPr>
            </w:pPr>
            <w:r>
              <w:rPr>
                <w:rFonts w:ascii="Times New Roman" w:hAnsi="Times New Roman"/>
                <w:b/>
                <w:bCs/>
                <w:color w:val="FFFFFF"/>
              </w:rPr>
              <w:t> </w:t>
            </w:r>
          </w:p>
        </w:tc>
        <w:tc>
          <w:tcPr>
            <w:tcW w:w="3973" w:type="dxa"/>
            <w:tcBorders>
              <w:top w:val="nil"/>
              <w:left w:val="nil"/>
              <w:bottom w:val="nil"/>
              <w:right w:val="nil"/>
            </w:tcBorders>
            <w:shd w:val="clear" w:color="auto" w:fill="000000"/>
            <w:noWrap/>
            <w:textDirection w:val="lrTb"/>
            <w:vAlign w:val="bottom"/>
          </w:tcPr>
          <w:p w:rsidR="00A776AD" w:rsidP="002E2CA8">
            <w:pPr>
              <w:bidi w:val="0"/>
              <w:rPr>
                <w:rFonts w:ascii="Times New Roman" w:hAnsi="Times New Roman"/>
                <w:b/>
                <w:bCs/>
                <w:color w:val="FFFFFF"/>
                <w:u w:val="single"/>
              </w:rPr>
            </w:pPr>
            <w:r>
              <w:rPr>
                <w:rFonts w:ascii="Times New Roman" w:hAnsi="Times New Roman"/>
                <w:b/>
                <w:bCs/>
                <w:color w:val="FFFFFF"/>
                <w:u w:val="single"/>
              </w:rPr>
              <w:t>Roz</w:t>
            </w:r>
            <w:r w:rsidR="002E2CA8">
              <w:rPr>
                <w:rFonts w:ascii="Times New Roman" w:hAnsi="Times New Roman"/>
                <w:b/>
                <w:bCs/>
                <w:color w:val="FFFFFF"/>
                <w:u w:val="single"/>
              </w:rPr>
              <w:t>počet verejnej správy - výdavky </w:t>
            </w:r>
            <w:r>
              <w:rPr>
                <w:rFonts w:ascii="Times New Roman" w:hAnsi="Times New Roman"/>
                <w:b/>
                <w:bCs/>
                <w:color w:val="FFFFFF"/>
                <w:u w:val="single"/>
              </w:rPr>
              <w:t xml:space="preserve">(v </w:t>
            </w:r>
            <w:r w:rsidR="00FD3869">
              <w:rPr>
                <w:rFonts w:ascii="Times New Roman" w:hAnsi="Times New Roman"/>
                <w:szCs w:val="22"/>
              </w:rPr>
              <w:t>eur</w:t>
            </w:r>
            <w:r>
              <w:rPr>
                <w:rFonts w:ascii="Times New Roman" w:hAnsi="Times New Roman"/>
                <w:b/>
                <w:bCs/>
                <w:color w:val="FFFFFF"/>
                <w:u w:val="single"/>
              </w:rPr>
              <w:t>)</w:t>
            </w:r>
          </w:p>
        </w:tc>
        <w:tc>
          <w:tcPr>
            <w:tcW w:w="1200" w:type="dxa"/>
            <w:tcBorders>
              <w:top w:val="nil"/>
              <w:left w:val="nil"/>
              <w:bottom w:val="nil"/>
              <w:right w:val="nil"/>
            </w:tcBorders>
            <w:shd w:val="clear" w:color="auto" w:fill="000000"/>
            <w:noWrap/>
            <w:textDirection w:val="lrTb"/>
            <w:vAlign w:val="bottom"/>
          </w:tcPr>
          <w:p w:rsidR="00A776AD" w:rsidP="002E2CA8">
            <w:pPr>
              <w:bidi w:val="0"/>
              <w:jc w:val="center"/>
              <w:rPr>
                <w:rFonts w:ascii="Times New Roman" w:hAnsi="Times New Roman"/>
                <w:b/>
                <w:bCs/>
                <w:color w:val="FFFFFF"/>
              </w:rPr>
            </w:pPr>
            <w:r>
              <w:rPr>
                <w:rFonts w:ascii="Times New Roman" w:hAnsi="Times New Roman"/>
                <w:b/>
                <w:bCs/>
                <w:color w:val="FFFFFF"/>
              </w:rPr>
              <w:t>2011</w:t>
            </w:r>
          </w:p>
        </w:tc>
        <w:tc>
          <w:tcPr>
            <w:tcW w:w="1000" w:type="dxa"/>
            <w:tcBorders>
              <w:top w:val="nil"/>
              <w:left w:val="nil"/>
              <w:bottom w:val="nil"/>
              <w:right w:val="nil"/>
            </w:tcBorders>
            <w:shd w:val="clear" w:color="auto" w:fill="000000"/>
            <w:noWrap/>
            <w:textDirection w:val="lrTb"/>
            <w:vAlign w:val="bottom"/>
          </w:tcPr>
          <w:p w:rsidR="00A776AD" w:rsidP="002E2CA8">
            <w:pPr>
              <w:bidi w:val="0"/>
              <w:jc w:val="center"/>
              <w:rPr>
                <w:rFonts w:ascii="Times New Roman" w:hAnsi="Times New Roman"/>
                <w:b/>
                <w:bCs/>
                <w:color w:val="FFFFFF"/>
              </w:rPr>
            </w:pPr>
            <w:r>
              <w:rPr>
                <w:rFonts w:ascii="Times New Roman" w:hAnsi="Times New Roman"/>
                <w:b/>
                <w:bCs/>
                <w:color w:val="FFFFFF"/>
              </w:rPr>
              <w:t>2012</w:t>
            </w:r>
          </w:p>
        </w:tc>
        <w:tc>
          <w:tcPr>
            <w:tcW w:w="1160" w:type="dxa"/>
            <w:tcBorders>
              <w:top w:val="nil"/>
              <w:left w:val="nil"/>
              <w:bottom w:val="nil"/>
              <w:right w:val="nil"/>
            </w:tcBorders>
            <w:shd w:val="clear" w:color="auto" w:fill="000000"/>
            <w:noWrap/>
            <w:textDirection w:val="lrTb"/>
            <w:vAlign w:val="bottom"/>
          </w:tcPr>
          <w:p w:rsidR="00A776AD" w:rsidP="002E2CA8">
            <w:pPr>
              <w:bidi w:val="0"/>
              <w:jc w:val="center"/>
              <w:rPr>
                <w:rFonts w:ascii="Times New Roman" w:hAnsi="Times New Roman"/>
                <w:b/>
                <w:bCs/>
                <w:color w:val="FFFFFF"/>
              </w:rPr>
            </w:pPr>
            <w:r>
              <w:rPr>
                <w:rFonts w:ascii="Times New Roman" w:hAnsi="Times New Roman"/>
                <w:b/>
                <w:bCs/>
                <w:color w:val="FFFFFF"/>
              </w:rPr>
              <w:t>2013</w:t>
            </w:r>
          </w:p>
        </w:tc>
        <w:tc>
          <w:tcPr>
            <w:tcW w:w="1080" w:type="dxa"/>
            <w:tcBorders>
              <w:top w:val="nil"/>
              <w:left w:val="nil"/>
              <w:bottom w:val="nil"/>
              <w:right w:val="nil"/>
            </w:tcBorders>
            <w:shd w:val="clear" w:color="auto" w:fill="000000"/>
            <w:noWrap/>
            <w:textDirection w:val="lrTb"/>
            <w:vAlign w:val="bottom"/>
          </w:tcPr>
          <w:p w:rsidR="00A776AD" w:rsidP="002E2CA8">
            <w:pPr>
              <w:bidi w:val="0"/>
              <w:jc w:val="center"/>
              <w:rPr>
                <w:rFonts w:ascii="Times New Roman" w:hAnsi="Times New Roman"/>
                <w:b/>
                <w:bCs/>
                <w:color w:val="FFFFFF"/>
              </w:rPr>
            </w:pPr>
            <w:r>
              <w:rPr>
                <w:rFonts w:ascii="Times New Roman" w:hAnsi="Times New Roman"/>
                <w:b/>
                <w:bCs/>
                <w:color w:val="FFFFFF"/>
              </w:rPr>
              <w:t>2014</w:t>
            </w:r>
          </w:p>
        </w:tc>
      </w:tr>
      <w:tr>
        <w:tblPrEx>
          <w:tblW w:w="9255" w:type="dxa"/>
          <w:tblInd w:w="55" w:type="dxa"/>
          <w:tblCellMar>
            <w:left w:w="70" w:type="dxa"/>
            <w:right w:w="70" w:type="dxa"/>
          </w:tblCellMar>
        </w:tblPrEx>
        <w:trPr>
          <w:trHeight w:val="315"/>
        </w:trPr>
        <w:tc>
          <w:tcPr>
            <w:tcW w:w="842" w:type="dxa"/>
            <w:tcBorders>
              <w:top w:val="single" w:sz="4" w:space="0" w:color="auto"/>
              <w:left w:val="single" w:sz="4" w:space="0" w:color="auto"/>
              <w:bottom w:val="single" w:sz="4" w:space="0" w:color="auto"/>
              <w:right w:val="single" w:sz="4" w:space="0" w:color="auto"/>
            </w:tcBorders>
            <w:noWrap/>
            <w:textDirection w:val="lrTb"/>
            <w:vAlign w:val="bottom"/>
          </w:tcPr>
          <w:p w:rsidR="00A776AD" w:rsidP="00BA3FEB">
            <w:pPr>
              <w:bidi w:val="0"/>
              <w:jc w:val="right"/>
              <w:rPr>
                <w:rFonts w:ascii="Times New Roman" w:hAnsi="Times New Roman"/>
                <w:b/>
                <w:bCs/>
                <w:color w:val="000000"/>
              </w:rPr>
            </w:pPr>
            <w:r>
              <w:rPr>
                <w:rFonts w:ascii="Times New Roman" w:hAnsi="Times New Roman"/>
                <w:b/>
                <w:bCs/>
                <w:color w:val="000000"/>
              </w:rPr>
              <w:t>600</w:t>
            </w:r>
          </w:p>
        </w:tc>
        <w:tc>
          <w:tcPr>
            <w:tcW w:w="3973" w:type="dxa"/>
            <w:tcBorders>
              <w:top w:val="single" w:sz="4" w:space="0" w:color="auto"/>
              <w:left w:val="nil"/>
              <w:bottom w:val="single" w:sz="4" w:space="0" w:color="auto"/>
              <w:right w:val="single" w:sz="4" w:space="0" w:color="auto"/>
            </w:tcBorders>
            <w:noWrap/>
            <w:textDirection w:val="lrTb"/>
            <w:vAlign w:val="bottom"/>
          </w:tcPr>
          <w:p w:rsidR="00A776AD" w:rsidP="00BA3FEB">
            <w:pPr>
              <w:bidi w:val="0"/>
              <w:rPr>
                <w:rFonts w:ascii="Times New Roman" w:hAnsi="Times New Roman"/>
                <w:b/>
                <w:bCs/>
                <w:color w:val="000000"/>
              </w:rPr>
            </w:pPr>
            <w:r>
              <w:rPr>
                <w:rFonts w:ascii="Times New Roman" w:hAnsi="Times New Roman"/>
                <w:b/>
                <w:bCs/>
                <w:color w:val="000000"/>
              </w:rPr>
              <w:t>Bežné výdavky</w:t>
            </w:r>
          </w:p>
        </w:tc>
        <w:tc>
          <w:tcPr>
            <w:tcW w:w="1200" w:type="dxa"/>
            <w:tcBorders>
              <w:top w:val="single" w:sz="4" w:space="0" w:color="auto"/>
              <w:left w:val="nil"/>
              <w:bottom w:val="single" w:sz="4" w:space="0" w:color="auto"/>
              <w:right w:val="single" w:sz="4" w:space="0" w:color="auto"/>
            </w:tcBorders>
            <w:noWrap/>
            <w:textDirection w:val="lrTb"/>
            <w:vAlign w:val="bottom"/>
          </w:tcPr>
          <w:p w:rsidR="00A776AD" w:rsidP="002E2CA8">
            <w:pPr>
              <w:bidi w:val="0"/>
              <w:jc w:val="right"/>
              <w:rPr>
                <w:rFonts w:ascii="Times New Roman" w:hAnsi="Times New Roman"/>
                <w:b/>
                <w:bCs/>
                <w:color w:val="000000"/>
              </w:rPr>
            </w:pPr>
            <w:r w:rsidR="002E2CA8">
              <w:rPr>
                <w:rFonts w:ascii="Times New Roman" w:hAnsi="Times New Roman"/>
                <w:b/>
                <w:bCs/>
                <w:color w:val="000000"/>
              </w:rPr>
              <w:t>0</w:t>
            </w:r>
          </w:p>
        </w:tc>
        <w:tc>
          <w:tcPr>
            <w:tcW w:w="1000" w:type="dxa"/>
            <w:tcBorders>
              <w:top w:val="single" w:sz="4" w:space="0" w:color="auto"/>
              <w:left w:val="nil"/>
              <w:bottom w:val="single" w:sz="4" w:space="0" w:color="auto"/>
              <w:right w:val="single" w:sz="4" w:space="0" w:color="auto"/>
            </w:tcBorders>
            <w:noWrap/>
            <w:textDirection w:val="lrTb"/>
            <w:vAlign w:val="bottom"/>
          </w:tcPr>
          <w:p w:rsidR="00A776AD" w:rsidP="00BA3FEB">
            <w:pPr>
              <w:bidi w:val="0"/>
              <w:jc w:val="right"/>
              <w:rPr>
                <w:rFonts w:ascii="Times New Roman" w:hAnsi="Times New Roman"/>
                <w:b/>
                <w:bCs/>
                <w:color w:val="000000"/>
              </w:rPr>
            </w:pPr>
            <w:r w:rsidR="00AE7304">
              <w:rPr>
                <w:rFonts w:ascii="Times New Roman" w:hAnsi="Times New Roman"/>
                <w:b/>
                <w:bCs/>
                <w:color w:val="000000"/>
              </w:rPr>
              <w:t>60 6</w:t>
            </w:r>
            <w:r w:rsidR="007E7E31">
              <w:rPr>
                <w:rFonts w:ascii="Times New Roman" w:hAnsi="Times New Roman"/>
                <w:b/>
                <w:bCs/>
                <w:color w:val="000000"/>
              </w:rPr>
              <w:t>00</w:t>
            </w:r>
          </w:p>
        </w:tc>
        <w:tc>
          <w:tcPr>
            <w:tcW w:w="1160" w:type="dxa"/>
            <w:tcBorders>
              <w:top w:val="single" w:sz="4" w:space="0" w:color="auto"/>
              <w:left w:val="nil"/>
              <w:bottom w:val="single" w:sz="4" w:space="0" w:color="auto"/>
              <w:right w:val="single" w:sz="4" w:space="0" w:color="auto"/>
            </w:tcBorders>
            <w:noWrap/>
            <w:textDirection w:val="lrTb"/>
            <w:vAlign w:val="bottom"/>
          </w:tcPr>
          <w:p w:rsidR="00A776AD" w:rsidP="007E7E31">
            <w:pPr>
              <w:bidi w:val="0"/>
              <w:jc w:val="right"/>
              <w:rPr>
                <w:rFonts w:ascii="Times New Roman" w:hAnsi="Times New Roman"/>
                <w:b/>
                <w:bCs/>
                <w:color w:val="000000"/>
              </w:rPr>
            </w:pPr>
            <w:r w:rsidR="007E7E31">
              <w:rPr>
                <w:rFonts w:ascii="Times New Roman" w:hAnsi="Times New Roman"/>
                <w:b/>
                <w:bCs/>
                <w:color w:val="000000"/>
              </w:rPr>
              <w:t>92 100</w:t>
            </w:r>
          </w:p>
        </w:tc>
        <w:tc>
          <w:tcPr>
            <w:tcW w:w="1080" w:type="dxa"/>
            <w:tcBorders>
              <w:top w:val="single" w:sz="4" w:space="0" w:color="auto"/>
              <w:left w:val="nil"/>
              <w:bottom w:val="single" w:sz="4" w:space="0" w:color="auto"/>
              <w:right w:val="single" w:sz="4" w:space="0" w:color="auto"/>
            </w:tcBorders>
            <w:noWrap/>
            <w:textDirection w:val="lrTb"/>
            <w:vAlign w:val="bottom"/>
          </w:tcPr>
          <w:p w:rsidR="00A776AD" w:rsidP="007E7E31">
            <w:pPr>
              <w:bidi w:val="0"/>
              <w:jc w:val="right"/>
              <w:rPr>
                <w:rFonts w:ascii="Times New Roman" w:hAnsi="Times New Roman"/>
                <w:b/>
                <w:bCs/>
                <w:color w:val="000000"/>
              </w:rPr>
            </w:pPr>
            <w:r w:rsidR="007E7E31">
              <w:rPr>
                <w:rFonts w:ascii="Times New Roman" w:hAnsi="Times New Roman"/>
                <w:b/>
                <w:bCs/>
                <w:color w:val="000000"/>
              </w:rPr>
              <w:t>97 600</w:t>
            </w:r>
          </w:p>
        </w:tc>
      </w:tr>
      <w:tr>
        <w:tblPrEx>
          <w:tblW w:w="9255" w:type="dxa"/>
          <w:tblInd w:w="55" w:type="dxa"/>
          <w:tblCellMar>
            <w:left w:w="70" w:type="dxa"/>
            <w:right w:w="70" w:type="dxa"/>
          </w:tblCellMar>
        </w:tblPrEx>
        <w:trPr>
          <w:trHeight w:val="315"/>
        </w:trPr>
        <w:tc>
          <w:tcPr>
            <w:tcW w:w="842" w:type="dxa"/>
            <w:tcBorders>
              <w:top w:val="nil"/>
              <w:left w:val="single" w:sz="4" w:space="0" w:color="auto"/>
              <w:bottom w:val="single" w:sz="4" w:space="0" w:color="auto"/>
              <w:right w:val="single" w:sz="4" w:space="0" w:color="auto"/>
            </w:tcBorders>
            <w:noWrap/>
            <w:textDirection w:val="lrTb"/>
            <w:vAlign w:val="bottom"/>
          </w:tcPr>
          <w:p w:rsidR="002E2CA8" w:rsidP="00BA3FEB">
            <w:pPr>
              <w:bidi w:val="0"/>
              <w:jc w:val="right"/>
              <w:rPr>
                <w:rFonts w:ascii="Times New Roman" w:hAnsi="Times New Roman"/>
                <w:i/>
                <w:iCs/>
                <w:color w:val="000000"/>
              </w:rPr>
            </w:pPr>
            <w:r>
              <w:rPr>
                <w:rFonts w:ascii="Times New Roman" w:hAnsi="Times New Roman"/>
                <w:i/>
                <w:iCs/>
                <w:color w:val="000000"/>
              </w:rPr>
              <w:t>630</w:t>
            </w:r>
          </w:p>
        </w:tc>
        <w:tc>
          <w:tcPr>
            <w:tcW w:w="3973" w:type="dxa"/>
            <w:tcBorders>
              <w:top w:val="nil"/>
              <w:left w:val="nil"/>
              <w:bottom w:val="single" w:sz="4" w:space="0" w:color="auto"/>
              <w:right w:val="single" w:sz="4" w:space="0" w:color="auto"/>
            </w:tcBorders>
            <w:noWrap/>
            <w:textDirection w:val="lrTb"/>
            <w:vAlign w:val="bottom"/>
          </w:tcPr>
          <w:p w:rsidR="002E2CA8" w:rsidP="00BA3FEB">
            <w:pPr>
              <w:bidi w:val="0"/>
              <w:rPr>
                <w:rFonts w:ascii="Times New Roman" w:hAnsi="Times New Roman"/>
                <w:i/>
                <w:iCs/>
                <w:color w:val="000000"/>
              </w:rPr>
            </w:pPr>
            <w:r>
              <w:rPr>
                <w:rFonts w:ascii="Times New Roman" w:hAnsi="Times New Roman"/>
                <w:i/>
                <w:iCs/>
                <w:color w:val="000000"/>
              </w:rPr>
              <w:t>Tovary a služby</w:t>
            </w:r>
          </w:p>
        </w:tc>
        <w:tc>
          <w:tcPr>
            <w:tcW w:w="1200" w:type="dxa"/>
            <w:tcBorders>
              <w:top w:val="nil"/>
              <w:left w:val="nil"/>
              <w:bottom w:val="single" w:sz="4" w:space="0" w:color="auto"/>
              <w:right w:val="single" w:sz="4" w:space="0" w:color="auto"/>
            </w:tcBorders>
            <w:noWrap/>
            <w:textDirection w:val="lrTb"/>
            <w:vAlign w:val="bottom"/>
          </w:tcPr>
          <w:p w:rsidR="002E2CA8" w:rsidP="00BA3FEB">
            <w:pPr>
              <w:bidi w:val="0"/>
              <w:jc w:val="right"/>
              <w:rPr>
                <w:rFonts w:ascii="Times New Roman" w:hAnsi="Times New Roman"/>
                <w:i/>
                <w:iCs/>
                <w:color w:val="000000"/>
              </w:rPr>
            </w:pPr>
            <w:r>
              <w:rPr>
                <w:rFonts w:ascii="Times New Roman" w:hAnsi="Times New Roman"/>
                <w:i/>
                <w:iCs/>
                <w:color w:val="000000"/>
              </w:rPr>
              <w:t>0</w:t>
            </w:r>
          </w:p>
        </w:tc>
        <w:tc>
          <w:tcPr>
            <w:tcW w:w="1000" w:type="dxa"/>
            <w:tcBorders>
              <w:top w:val="nil"/>
              <w:left w:val="nil"/>
              <w:bottom w:val="single" w:sz="4" w:space="0" w:color="auto"/>
              <w:right w:val="single" w:sz="4" w:space="0" w:color="auto"/>
            </w:tcBorders>
            <w:noWrap/>
            <w:textDirection w:val="lrTb"/>
            <w:vAlign w:val="bottom"/>
          </w:tcPr>
          <w:p w:rsidR="002E2CA8" w:rsidP="00BA3FEB">
            <w:pPr>
              <w:bidi w:val="0"/>
              <w:jc w:val="right"/>
              <w:rPr>
                <w:rFonts w:ascii="Times New Roman" w:hAnsi="Times New Roman"/>
                <w:i/>
                <w:iCs/>
                <w:color w:val="000000"/>
              </w:rPr>
            </w:pPr>
            <w:r w:rsidR="00AE7304">
              <w:rPr>
                <w:rFonts w:ascii="Times New Roman" w:hAnsi="Times New Roman"/>
                <w:i/>
                <w:iCs/>
                <w:color w:val="000000"/>
              </w:rPr>
              <w:t>60 6</w:t>
            </w:r>
            <w:r w:rsidR="007E7E31">
              <w:rPr>
                <w:rFonts w:ascii="Times New Roman" w:hAnsi="Times New Roman"/>
                <w:i/>
                <w:iCs/>
                <w:color w:val="000000"/>
              </w:rPr>
              <w:t>00</w:t>
            </w:r>
          </w:p>
        </w:tc>
        <w:tc>
          <w:tcPr>
            <w:tcW w:w="1160" w:type="dxa"/>
            <w:tcBorders>
              <w:top w:val="nil"/>
              <w:left w:val="nil"/>
              <w:bottom w:val="single" w:sz="4" w:space="0" w:color="auto"/>
              <w:right w:val="single" w:sz="4" w:space="0" w:color="auto"/>
            </w:tcBorders>
            <w:noWrap/>
            <w:textDirection w:val="lrTb"/>
            <w:vAlign w:val="bottom"/>
          </w:tcPr>
          <w:p w:rsidR="002E2CA8" w:rsidP="007E7E31">
            <w:pPr>
              <w:bidi w:val="0"/>
              <w:jc w:val="right"/>
              <w:rPr>
                <w:rFonts w:ascii="Times New Roman" w:hAnsi="Times New Roman"/>
                <w:i/>
                <w:iCs/>
                <w:color w:val="000000"/>
              </w:rPr>
            </w:pPr>
            <w:r w:rsidR="007E7E31">
              <w:rPr>
                <w:rFonts w:ascii="Times New Roman" w:hAnsi="Times New Roman"/>
                <w:i/>
                <w:iCs/>
                <w:color w:val="000000"/>
              </w:rPr>
              <w:t>92 100</w:t>
            </w:r>
          </w:p>
        </w:tc>
        <w:tc>
          <w:tcPr>
            <w:tcW w:w="1080" w:type="dxa"/>
            <w:tcBorders>
              <w:top w:val="nil"/>
              <w:left w:val="nil"/>
              <w:bottom w:val="single" w:sz="4" w:space="0" w:color="auto"/>
              <w:right w:val="single" w:sz="4" w:space="0" w:color="auto"/>
            </w:tcBorders>
            <w:noWrap/>
            <w:textDirection w:val="lrTb"/>
            <w:vAlign w:val="bottom"/>
          </w:tcPr>
          <w:p w:rsidR="002E2CA8" w:rsidP="007E7E31">
            <w:pPr>
              <w:bidi w:val="0"/>
              <w:jc w:val="right"/>
              <w:rPr>
                <w:rFonts w:ascii="Times New Roman" w:hAnsi="Times New Roman"/>
                <w:i/>
                <w:iCs/>
                <w:color w:val="000000"/>
              </w:rPr>
            </w:pPr>
            <w:r w:rsidR="007E7E31">
              <w:rPr>
                <w:rFonts w:ascii="Times New Roman" w:hAnsi="Times New Roman"/>
                <w:i/>
                <w:iCs/>
                <w:color w:val="000000"/>
              </w:rPr>
              <w:t>97 600</w:t>
            </w:r>
          </w:p>
        </w:tc>
      </w:tr>
    </w:tbl>
    <w:p w:rsidR="00A776AD" w:rsidP="00C6246E">
      <w:pPr>
        <w:bidi w:val="0"/>
        <w:jc w:val="both"/>
        <w:rPr>
          <w:rFonts w:ascii="Times New Roman" w:hAnsi="Times New Roman"/>
        </w:rPr>
        <w:sectPr w:rsidSect="00BB5D47">
          <w:headerReference w:type="default" r:id="rId6"/>
          <w:footerReference w:type="even" r:id="rId7"/>
          <w:footerReference w:type="default" r:id="rId8"/>
          <w:pgSz w:w="11906" w:h="16838"/>
          <w:pgMar w:top="1276" w:right="1274" w:bottom="1417" w:left="1417" w:header="708" w:footer="708" w:gutter="0"/>
          <w:lnNumType w:distance="0"/>
          <w:cols w:space="708"/>
          <w:noEndnote w:val="0"/>
          <w:bidi w:val="0"/>
          <w:rtlGutter/>
          <w:docGrid w:linePitch="360"/>
        </w:sectPr>
      </w:pPr>
    </w:p>
    <w:p w:rsidR="00B53407" w:rsidRPr="000D5962" w:rsidP="00B53407">
      <w:pPr>
        <w:bidi w:val="0"/>
        <w:jc w:val="center"/>
        <w:rPr>
          <w:rFonts w:ascii="Times New Roman" w:hAnsi="Times New Roman"/>
          <w:b/>
          <w:bCs/>
          <w:sz w:val="28"/>
          <w:szCs w:val="28"/>
        </w:rPr>
      </w:pPr>
      <w:r w:rsidRPr="000D5962">
        <w:rPr>
          <w:rFonts w:ascii="Times New Roman" w:hAnsi="Times New Roman"/>
          <w:b/>
          <w:bCs/>
          <w:sz w:val="28"/>
          <w:szCs w:val="28"/>
        </w:rPr>
        <w:t>Vplyvy na podnikateľské prostredie</w:t>
      </w:r>
    </w:p>
    <w:p w:rsidR="00B53407" w:rsidP="00B53407">
      <w:pPr>
        <w:bidi w:val="0"/>
        <w:rPr>
          <w:rFonts w:ascii="Times New Roman" w:hAnsi="Times New Roman"/>
          <w:b/>
          <w:bCs/>
        </w:rPr>
      </w:pPr>
    </w:p>
    <w:p w:rsidR="00B53407" w:rsidRPr="000D5962" w:rsidP="00B53407">
      <w:pPr>
        <w:bidi w:val="0"/>
        <w:rPr>
          <w:rFonts w:ascii="Times New Roman" w:hAnsi="Times New Roman"/>
          <w:b/>
          <w:bCs/>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B53407" w:rsidRPr="000D5962" w:rsidP="00BB5D47">
            <w:pPr>
              <w:bidi w:val="0"/>
              <w:jc w:val="center"/>
              <w:rPr>
                <w:rFonts w:ascii="Times New Roman" w:hAnsi="Times New Roman"/>
                <w:b/>
                <w:bCs/>
                <w:color w:val="FFFFFF"/>
              </w:rPr>
            </w:pPr>
            <w:r w:rsidRPr="000D5962">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B53407" w:rsidRPr="000D5962" w:rsidP="00BB5D47">
            <w:pPr>
              <w:bidi w:val="0"/>
              <w:jc w:val="both"/>
              <w:rPr>
                <w:rFonts w:ascii="Times New Roman" w:hAnsi="Times New Roman"/>
              </w:rPr>
            </w:pPr>
          </w:p>
          <w:p w:rsidR="00B53407" w:rsidRPr="000D5962" w:rsidP="00BB5D47">
            <w:pPr>
              <w:bidi w:val="0"/>
              <w:jc w:val="both"/>
              <w:rPr>
                <w:rFonts w:ascii="Times New Roman" w:hAnsi="Times New Roman"/>
              </w:rPr>
            </w:pPr>
            <w:r w:rsidRPr="000D5962">
              <w:rPr>
                <w:rFonts w:ascii="Times New Roman" w:hAnsi="Times New Roman"/>
                <w:b/>
              </w:rPr>
              <w:t>3.1</w:t>
            </w:r>
            <w:r w:rsidRPr="000D5962">
              <w:rPr>
                <w:rFonts w:ascii="Times New Roman" w:hAnsi="Times New Roman"/>
              </w:rPr>
              <w:t>. Ktoré podnikateľské subjekty budú predkladaným návrhom ovplyvnené a aký je ich počet?</w:t>
            </w:r>
          </w:p>
          <w:p w:rsidR="00B53407" w:rsidRPr="000D5962" w:rsidP="00BB5D47">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B53407" w:rsidRPr="000D5962" w:rsidP="00BB5D47">
            <w:pPr>
              <w:bidi w:val="0"/>
              <w:rPr>
                <w:rFonts w:ascii="Times New Roman" w:hAnsi="Times New Roman"/>
              </w:rPr>
            </w:pPr>
            <w:r w:rsidRPr="000D5962">
              <w:rPr>
                <w:rFonts w:ascii="Times New Roman" w:hAnsi="Times New Roman"/>
              </w:rPr>
              <w:t>Dôchodkové správcovské spoločnosti</w:t>
            </w:r>
          </w:p>
          <w:p w:rsidR="00B53407" w:rsidRPr="000D5962" w:rsidP="00BB5D47">
            <w:pPr>
              <w:bidi w:val="0"/>
              <w:rPr>
                <w:rFonts w:ascii="Times New Roman" w:hAnsi="Times New Roman"/>
              </w:rPr>
            </w:pPr>
            <w:r>
              <w:rPr>
                <w:rFonts w:ascii="Times New Roman" w:hAnsi="Times New Roman"/>
              </w:rPr>
              <w:t xml:space="preserve">Počet dotknutých subjektov: </w:t>
            </w:r>
            <w:r w:rsidRPr="000D5962">
              <w:rPr>
                <w:rFonts w:ascii="Times New Roman" w:hAnsi="Times New Roman"/>
              </w:rPr>
              <w:t>6</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B53407" w:rsidRPr="000D5962" w:rsidP="00BB5D47">
            <w:pPr>
              <w:bidi w:val="0"/>
              <w:jc w:val="both"/>
              <w:rPr>
                <w:rFonts w:ascii="Times New Roman" w:hAnsi="Times New Roman"/>
              </w:rPr>
            </w:pPr>
          </w:p>
          <w:p w:rsidR="00B53407" w:rsidRPr="000D5962" w:rsidP="00BB5D47">
            <w:pPr>
              <w:bidi w:val="0"/>
              <w:jc w:val="both"/>
              <w:rPr>
                <w:rFonts w:ascii="Times New Roman" w:hAnsi="Times New Roman"/>
              </w:rPr>
            </w:pPr>
            <w:r w:rsidRPr="000D5962">
              <w:rPr>
                <w:rFonts w:ascii="Times New Roman" w:hAnsi="Times New Roman"/>
                <w:b/>
              </w:rPr>
              <w:t>3.2</w:t>
            </w:r>
            <w:r w:rsidRPr="000D5962">
              <w:rPr>
                <w:rFonts w:ascii="Times New Roman" w:hAnsi="Times New Roman"/>
              </w:rPr>
              <w:t>. Aký je predpokladaný charakter a rozsah nákladov a prínosov?</w:t>
            </w:r>
          </w:p>
          <w:p w:rsidR="00B53407" w:rsidRPr="000D5962" w:rsidP="00BB5D47">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B53407" w:rsidP="00BB5D47">
            <w:pPr>
              <w:bidi w:val="0"/>
              <w:jc w:val="both"/>
              <w:rPr>
                <w:rFonts w:ascii="Times New Roman" w:hAnsi="Times New Roman"/>
                <w:lang w:val="pt-BR"/>
              </w:rPr>
            </w:pPr>
            <w:r>
              <w:rPr>
                <w:rFonts w:ascii="Times New Roman" w:hAnsi="Times New Roman"/>
                <w:lang w:val="pt-BR"/>
              </w:rPr>
              <w:t>Predpokladá sa nárast príjmov dôchodkových správcovských spolo</w:t>
            </w:r>
            <w:r w:rsidR="004D7E76">
              <w:rPr>
                <w:rFonts w:ascii="Times New Roman" w:hAnsi="Times New Roman"/>
                <w:lang w:val="pt-BR"/>
              </w:rPr>
              <w:t>čností z nasledujúcich dôvodov:</w:t>
            </w:r>
          </w:p>
          <w:p w:rsidR="00B53407" w:rsidP="00BB5D47">
            <w:pPr>
              <w:bidi w:val="0"/>
              <w:jc w:val="both"/>
              <w:rPr>
                <w:rFonts w:ascii="Times New Roman" w:hAnsi="Times New Roman"/>
                <w:lang w:val="pt-BR"/>
              </w:rPr>
            </w:pPr>
            <w:r>
              <w:rPr>
                <w:rFonts w:ascii="Times New Roman" w:hAnsi="Times New Roman"/>
                <w:lang w:val="pt-BR"/>
              </w:rPr>
              <w:t xml:space="preserve"> - zavedenie</w:t>
            </w:r>
            <w:r w:rsidRPr="000D5962">
              <w:rPr>
                <w:rFonts w:ascii="Times New Roman" w:hAnsi="Times New Roman"/>
                <w:lang w:val="pt-BR"/>
              </w:rPr>
              <w:t xml:space="preserve"> povinného vstupu</w:t>
            </w:r>
            <w:r>
              <w:rPr>
                <w:rFonts w:ascii="Times New Roman" w:hAnsi="Times New Roman"/>
                <w:lang w:val="pt-BR"/>
              </w:rPr>
              <w:t xml:space="preserve"> prvopoistencov</w:t>
            </w:r>
            <w:r w:rsidRPr="000D5962">
              <w:rPr>
                <w:rFonts w:ascii="Times New Roman" w:hAnsi="Times New Roman"/>
                <w:lang w:val="pt-BR"/>
              </w:rPr>
              <w:t xml:space="preserve"> do II. </w:t>
            </w:r>
            <w:r w:rsidRPr="000F4D29">
              <w:rPr>
                <w:rFonts w:ascii="Times New Roman" w:hAnsi="Times New Roman"/>
                <w:lang w:val="pt-BR"/>
              </w:rPr>
              <w:t>piliera,</w:t>
            </w:r>
            <w:r w:rsidRPr="000F4D29" w:rsidR="0046704B">
              <w:rPr>
                <w:rFonts w:ascii="Times New Roman" w:hAnsi="Times New Roman"/>
                <w:lang w:val="pt-BR"/>
              </w:rPr>
              <w:t xml:space="preserve"> predpokladá sa v priemere 59 400 ročne</w:t>
            </w:r>
          </w:p>
          <w:p w:rsidR="00B53407" w:rsidP="00BB5D47">
            <w:pPr>
              <w:bidi w:val="0"/>
              <w:jc w:val="both"/>
              <w:rPr>
                <w:rFonts w:ascii="Times New Roman" w:hAnsi="Times New Roman"/>
                <w:lang w:val="pt-BR"/>
              </w:rPr>
            </w:pPr>
            <w:r>
              <w:rPr>
                <w:rFonts w:ascii="Times New Roman" w:hAnsi="Times New Roman"/>
                <w:lang w:val="pt-BR"/>
              </w:rPr>
              <w:t xml:space="preserve"> - zmena investičnej stratégie a jej predpokladaný vplyv na vyššie zhodnotenie majetku dôchodkových fondov z dôvodu zrušenia garancií v zmiešanom dôchodkovom fonde a akciovom dôchodkovom fonde a predĺženia sledovaného obdobia na účely poskytovania garancie v dlhopisovom dôchodkovom fonde,</w:t>
            </w:r>
          </w:p>
          <w:p w:rsidR="00B53407" w:rsidP="00BB5D47">
            <w:pPr>
              <w:bidi w:val="0"/>
              <w:jc w:val="both"/>
              <w:rPr>
                <w:rFonts w:ascii="Times New Roman" w:hAnsi="Times New Roman"/>
                <w:lang w:val="pt-BR"/>
              </w:rPr>
            </w:pPr>
            <w:r>
              <w:rPr>
                <w:rFonts w:ascii="Times New Roman" w:hAnsi="Times New Roman"/>
                <w:lang w:val="pt-BR"/>
              </w:rPr>
              <w:t xml:space="preserve"> - presun úhrady časti nákladov z dôchodkovej správcovskej spoločnosti na dôchodkový fond,</w:t>
            </w:r>
          </w:p>
          <w:p w:rsidR="00B53407" w:rsidP="00BB5D47">
            <w:pPr>
              <w:bidi w:val="0"/>
              <w:jc w:val="both"/>
              <w:rPr>
                <w:rFonts w:ascii="Times New Roman" w:hAnsi="Times New Roman"/>
                <w:lang w:val="pt-BR"/>
              </w:rPr>
            </w:pPr>
            <w:r>
              <w:rPr>
                <w:rFonts w:ascii="Times New Roman" w:hAnsi="Times New Roman"/>
                <w:lang w:val="pt-BR"/>
              </w:rPr>
              <w:t xml:space="preserve"> - tento pozitívny nárast príjmov </w:t>
            </w:r>
            <w:r w:rsidRPr="00C05E95">
              <w:rPr>
                <w:rFonts w:ascii="Times New Roman" w:hAnsi="Times New Roman"/>
                <w:lang w:val="pt-BR"/>
              </w:rPr>
              <w:t xml:space="preserve">môže byť čiastočne </w:t>
            </w:r>
            <w:r w:rsidRPr="00C05E95" w:rsidR="00842DE0">
              <w:rPr>
                <w:rFonts w:ascii="Times New Roman" w:hAnsi="Times New Roman"/>
                <w:lang w:val="pt-BR"/>
              </w:rPr>
              <w:t>zmiernený</w:t>
            </w:r>
            <w:r w:rsidR="00842DE0">
              <w:rPr>
                <w:rFonts w:ascii="Times New Roman" w:hAnsi="Times New Roman"/>
                <w:lang w:val="pt-BR"/>
              </w:rPr>
              <w:t xml:space="preserve"> </w:t>
            </w:r>
            <w:r>
              <w:rPr>
                <w:rFonts w:ascii="Times New Roman" w:hAnsi="Times New Roman"/>
                <w:lang w:val="pt-BR"/>
              </w:rPr>
              <w:t>ďalšími navrhovanými opatreniami (napr. zmena spôsobu odpočítavania odplát v dôchodkových fondoch,</w:t>
            </w:r>
            <w:r w:rsidR="006C2055">
              <w:rPr>
                <w:rFonts w:ascii="Times New Roman" w:hAnsi="Times New Roman"/>
                <w:lang w:val="pt-BR"/>
              </w:rPr>
              <w:t xml:space="preserve"> zrušenie odplaty za zhodnotenie v dlhopisovom dôchodkovom fonde</w:t>
            </w:r>
            <w:r>
              <w:rPr>
                <w:rFonts w:ascii="Times New Roman" w:hAnsi="Times New Roman"/>
                <w:lang w:val="pt-BR"/>
              </w:rPr>
              <w:t>, správa indexového dôchodkového fondu atď.)</w:t>
            </w:r>
          </w:p>
          <w:p w:rsidR="00511BF6" w:rsidRPr="00AA251B" w:rsidP="00BB5D47">
            <w:pPr>
              <w:bidi w:val="0"/>
              <w:jc w:val="both"/>
              <w:rPr>
                <w:rFonts w:ascii="Times New Roman" w:hAnsi="Times New Roman"/>
                <w:color w:val="FF0000"/>
                <w:lang w:val="pt-BR"/>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B53407" w:rsidRPr="000D5962" w:rsidP="00BB5D47">
            <w:pPr>
              <w:bidi w:val="0"/>
              <w:jc w:val="both"/>
              <w:rPr>
                <w:rFonts w:ascii="Times New Roman" w:hAnsi="Times New Roman"/>
              </w:rPr>
            </w:pPr>
          </w:p>
          <w:p w:rsidR="00B53407" w:rsidRPr="000D5962" w:rsidP="00BB5D47">
            <w:pPr>
              <w:bidi w:val="0"/>
              <w:jc w:val="both"/>
              <w:rPr>
                <w:rFonts w:ascii="Times New Roman" w:hAnsi="Times New Roman"/>
              </w:rPr>
            </w:pPr>
            <w:r w:rsidRPr="000D5962">
              <w:rPr>
                <w:rFonts w:ascii="Times New Roman" w:hAnsi="Times New Roman"/>
                <w:b/>
              </w:rPr>
              <w:t>3.3</w:t>
            </w:r>
            <w:r w:rsidRPr="000D5962">
              <w:rPr>
                <w:rFonts w:ascii="Times New Roman" w:hAnsi="Times New Roman"/>
              </w:rPr>
              <w:t>. Aká je predpokladaná výška administratívnych nákladov, ktoré podniky vynaložia v súvislosti s implementáciou návrhu?</w:t>
            </w:r>
          </w:p>
          <w:p w:rsidR="00B53407" w:rsidRPr="000D5962" w:rsidP="00BB5D47">
            <w:pPr>
              <w:bidi w:val="0"/>
              <w:ind w:left="360" w:hanging="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BA3FEB" w:rsidRPr="0096258E" w:rsidP="00BB5D47">
            <w:pPr>
              <w:bidi w:val="0"/>
              <w:jc w:val="both"/>
              <w:rPr>
                <w:rFonts w:ascii="Times New Roman" w:hAnsi="Times New Roman"/>
                <w:highlight w:val="yellow"/>
              </w:rPr>
            </w:pPr>
            <w:r w:rsidR="00B53407">
              <w:rPr>
                <w:rFonts w:ascii="Times New Roman" w:hAnsi="Times New Roman"/>
              </w:rPr>
              <w:t xml:space="preserve">Vplyvom navrhovaných legislatívnych zmien sa očakávajú jednorazové výdavky dôchodkových správcovských spoločností z dôvodu úpravy ich informačného systému a v súvislosti s vytvorením </w:t>
            </w:r>
            <w:r w:rsidRPr="000F4D29" w:rsidR="00B53407">
              <w:rPr>
                <w:rFonts w:ascii="Times New Roman" w:hAnsi="Times New Roman"/>
              </w:rPr>
              <w:t xml:space="preserve">indexového dôchodkového fondu vo výške </w:t>
            </w:r>
            <w:r w:rsidRPr="000F4D29" w:rsidR="00045090">
              <w:rPr>
                <w:rFonts w:ascii="Times New Roman" w:hAnsi="Times New Roman"/>
              </w:rPr>
              <w:t>1,17</w:t>
            </w:r>
            <w:r w:rsidRPr="000F4D29" w:rsidR="00186263">
              <w:rPr>
                <w:rFonts w:ascii="Times New Roman" w:hAnsi="Times New Roman"/>
              </w:rPr>
              <w:t> </w:t>
            </w:r>
            <w:r w:rsidRPr="000F4D29" w:rsidR="00B53407">
              <w:rPr>
                <w:rFonts w:ascii="Times New Roman" w:hAnsi="Times New Roman"/>
              </w:rPr>
              <w:t xml:space="preserve">mil. </w:t>
            </w:r>
            <w:r w:rsidR="00FD3869">
              <w:rPr>
                <w:rFonts w:ascii="Times New Roman" w:hAnsi="Times New Roman"/>
                <w:szCs w:val="22"/>
              </w:rPr>
              <w:t>eur</w:t>
            </w:r>
            <w:r w:rsidRPr="000F4D29" w:rsidR="00B53407">
              <w:rPr>
                <w:rFonts w:ascii="Times New Roman" w:hAnsi="Times New Roman"/>
              </w:rPr>
              <w:t xml:space="preserve">. </w:t>
            </w:r>
            <w:r w:rsidRPr="000F4D29" w:rsidR="00186263">
              <w:rPr>
                <w:rFonts w:ascii="Times New Roman" w:hAnsi="Times New Roman"/>
              </w:rPr>
              <w:t>V súvislosti s </w:t>
            </w:r>
            <w:r w:rsidRPr="00B279A2" w:rsidR="00D84558">
              <w:rPr>
                <w:rFonts w:ascii="Times New Roman" w:hAnsi="Times New Roman"/>
              </w:rPr>
              <w:t>meran</w:t>
            </w:r>
            <w:r w:rsidR="00D84558">
              <w:rPr>
                <w:rFonts w:ascii="Times New Roman" w:hAnsi="Times New Roman"/>
              </w:rPr>
              <w:t>ím</w:t>
            </w:r>
            <w:r w:rsidRPr="00B279A2" w:rsidR="00D84558">
              <w:rPr>
                <w:rFonts w:ascii="Times New Roman" w:hAnsi="Times New Roman"/>
              </w:rPr>
              <w:t xml:space="preserve"> rizík a na výpočty celkového rizika v indexovom dôchodkovom fonde</w:t>
            </w:r>
            <w:r w:rsidRPr="000F4D29" w:rsidR="00186263">
              <w:rPr>
                <w:rFonts w:ascii="Times New Roman" w:hAnsi="Times New Roman"/>
              </w:rPr>
              <w:t xml:space="preserve"> sa predpokladajú výdavky vo výške 15 000 </w:t>
            </w:r>
            <w:r w:rsidR="00FD3869">
              <w:rPr>
                <w:rFonts w:ascii="Times New Roman" w:hAnsi="Times New Roman"/>
                <w:szCs w:val="22"/>
              </w:rPr>
              <w:t>eur</w:t>
            </w:r>
            <w:r w:rsidRPr="000F4D29" w:rsidR="00186263">
              <w:rPr>
                <w:rFonts w:ascii="Times New Roman" w:hAnsi="Times New Roman"/>
              </w:rPr>
              <w:t>.</w:t>
            </w:r>
          </w:p>
          <w:p w:rsidR="00B53407" w:rsidRPr="00F60A30" w:rsidP="00186263">
            <w:pPr>
              <w:bidi w:val="0"/>
              <w:jc w:val="both"/>
              <w:rPr>
                <w:rFonts w:ascii="Times New Roman" w:hAnsi="Times New Roman"/>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B53407" w:rsidRPr="000D5962" w:rsidP="00BB5D47">
            <w:pPr>
              <w:bidi w:val="0"/>
              <w:jc w:val="both"/>
              <w:rPr>
                <w:rFonts w:ascii="Times New Roman" w:hAnsi="Times New Roman"/>
              </w:rPr>
            </w:pPr>
          </w:p>
          <w:p w:rsidR="00B53407" w:rsidRPr="000D5962" w:rsidP="00BB5D47">
            <w:pPr>
              <w:bidi w:val="0"/>
              <w:jc w:val="both"/>
              <w:rPr>
                <w:rFonts w:ascii="Times New Roman" w:hAnsi="Times New Roman"/>
              </w:rPr>
            </w:pPr>
            <w:r w:rsidRPr="000D5962">
              <w:rPr>
                <w:rFonts w:ascii="Times New Roman" w:hAnsi="Times New Roman"/>
                <w:b/>
              </w:rPr>
              <w:t>3.4</w:t>
            </w:r>
            <w:r w:rsidRPr="000D5962">
              <w:rPr>
                <w:rFonts w:ascii="Times New Roman" w:hAnsi="Times New Roman"/>
              </w:rPr>
              <w:t>. Aké sú dôsledky pripravovaného návrhu pre fungovanie podnikateľských subjektov na slovenskom trhu (ako sa zmenia operácie na trhu?)</w:t>
            </w:r>
          </w:p>
          <w:p w:rsidR="00B53407" w:rsidRPr="000D5962" w:rsidP="00BB5D47">
            <w:pPr>
              <w:bidi w:val="0"/>
              <w:ind w:left="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B53407" w:rsidRPr="000D5962" w:rsidP="00BB5D47">
            <w:pPr>
              <w:bidi w:val="0"/>
              <w:jc w:val="both"/>
              <w:rPr>
                <w:rFonts w:ascii="Times New Roman" w:hAnsi="Times New Roman"/>
              </w:rPr>
            </w:pPr>
            <w:r>
              <w:rPr>
                <w:rFonts w:ascii="Times New Roman" w:hAnsi="Times New Roman"/>
              </w:rPr>
              <w:t>Predpokladá sa pozitívna zmena v oblasti možností investovania. Dôchodkové správcovské spoločnosti budú s najväčšou pravdepodobnosťou nadobúdať do svojich portfólií viac dlhodobejších cenných papierov ako je tomu v súčasnosti.</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B53407" w:rsidRPr="000D5962" w:rsidP="00BB5D47">
            <w:pPr>
              <w:bidi w:val="0"/>
              <w:jc w:val="both"/>
              <w:rPr>
                <w:rFonts w:ascii="Times New Roman" w:hAnsi="Times New Roman"/>
              </w:rPr>
            </w:pPr>
          </w:p>
          <w:p w:rsidR="00B53407" w:rsidRPr="000D5962" w:rsidP="00BB5D47">
            <w:pPr>
              <w:bidi w:val="0"/>
              <w:jc w:val="both"/>
              <w:rPr>
                <w:rFonts w:ascii="Times New Roman" w:hAnsi="Times New Roman"/>
              </w:rPr>
            </w:pPr>
            <w:r w:rsidRPr="000D5962">
              <w:rPr>
                <w:rFonts w:ascii="Times New Roman" w:hAnsi="Times New Roman"/>
                <w:b/>
              </w:rPr>
              <w:t>3.5</w:t>
            </w:r>
            <w:r w:rsidRPr="000D5962">
              <w:rPr>
                <w:rFonts w:ascii="Times New Roman" w:hAnsi="Times New Roman"/>
              </w:rPr>
              <w:t>. Aké sú predpokladané spoločensko – ekonomické dôsledky pripravovaných regulácií?</w:t>
            </w:r>
          </w:p>
          <w:p w:rsidR="00B53407" w:rsidRPr="000D5962" w:rsidP="00BB5D47">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B53407" w:rsidRPr="000D5962" w:rsidP="00BB5D47">
            <w:pPr>
              <w:bidi w:val="0"/>
              <w:jc w:val="both"/>
              <w:rPr>
                <w:rFonts w:ascii="Times New Roman" w:hAnsi="Times New Roman"/>
              </w:rPr>
            </w:pPr>
            <w:r>
              <w:rPr>
                <w:rFonts w:ascii="Times New Roman" w:hAnsi="Times New Roman"/>
              </w:rPr>
              <w:t xml:space="preserve">Diverzifikácia dlhopisov v portfóliu dôchodkových fondov z časového hľadiska (kúpa a držba dlhodobejších cenných papierov), môže podporiť ekonomický rozvoj krajiny. </w:t>
            </w:r>
          </w:p>
        </w:tc>
      </w:tr>
    </w:tbl>
    <w:p w:rsidR="00B53407" w:rsidP="00B53407">
      <w:pPr>
        <w:pStyle w:val="Title"/>
        <w:bidi w:val="0"/>
        <w:jc w:val="left"/>
        <w:rPr>
          <w:rFonts w:ascii="Times New Roman" w:hAnsi="Times New Roman"/>
        </w:rPr>
      </w:pPr>
    </w:p>
    <w:p w:rsidR="008A3637" w:rsidRPr="00392BC8" w:rsidP="00C05E95">
      <w:pPr>
        <w:bidi w:val="0"/>
        <w:rPr>
          <w:rFonts w:ascii="Times New Roman" w:hAnsi="Times New Roman"/>
          <w:b/>
        </w:rPr>
      </w:pPr>
      <w:r w:rsidRPr="00C05E95" w:rsidR="00842DE0">
        <w:rPr>
          <w:rFonts w:ascii="Times New Roman" w:hAnsi="Times New Roman"/>
          <w:b/>
        </w:rPr>
        <w:t>Vývoj</w:t>
      </w:r>
      <w:r w:rsidRPr="00C05E95">
        <w:rPr>
          <w:rFonts w:ascii="Times New Roman" w:hAnsi="Times New Roman"/>
          <w:b/>
        </w:rPr>
        <w:t xml:space="preserve"> príjmov dôchodkových správcovských spoločností</w:t>
      </w:r>
    </w:p>
    <w:p w:rsidR="008A3637" w:rsidP="00B53407">
      <w:pPr>
        <w:pStyle w:val="Title"/>
        <w:bidi w:val="0"/>
        <w:jc w:val="left"/>
        <w:rPr>
          <w:rFonts w:ascii="Times New Roman" w:hAnsi="Times New Roman"/>
          <w:sz w:val="24"/>
          <w:szCs w:val="24"/>
        </w:rPr>
      </w:pPr>
    </w:p>
    <w:tbl>
      <w:tblPr>
        <w:tblStyle w:val="TableNormal"/>
        <w:tblW w:w="7739" w:type="dxa"/>
        <w:tblCellMar>
          <w:left w:w="70" w:type="dxa"/>
          <w:right w:w="70" w:type="dxa"/>
        </w:tblCellMar>
        <w:tblLook w:val="00A0"/>
      </w:tblPr>
      <w:tblGrid>
        <w:gridCol w:w="1474"/>
        <w:gridCol w:w="2012"/>
        <w:gridCol w:w="1418"/>
        <w:gridCol w:w="1417"/>
        <w:gridCol w:w="1418"/>
      </w:tblGrid>
      <w:tr>
        <w:tblPrEx>
          <w:tblW w:w="7739" w:type="dxa"/>
          <w:tblCellMar>
            <w:left w:w="70" w:type="dxa"/>
            <w:right w:w="70" w:type="dxa"/>
          </w:tblCellMar>
          <w:tblLook w:val="00A0"/>
        </w:tblPrEx>
        <w:trPr>
          <w:trHeight w:val="300"/>
        </w:trPr>
        <w:tc>
          <w:tcPr>
            <w:tcW w:w="1474" w:type="dxa"/>
            <w:tcBorders>
              <w:top w:val="single" w:sz="4" w:space="0" w:color="auto"/>
              <w:left w:val="single" w:sz="4" w:space="0" w:color="auto"/>
              <w:bottom w:val="single" w:sz="4" w:space="0" w:color="auto"/>
              <w:right w:val="single" w:sz="4" w:space="0" w:color="auto"/>
            </w:tcBorders>
            <w:noWrap/>
            <w:textDirection w:val="lrTb"/>
            <w:vAlign w:val="bottom"/>
          </w:tcPr>
          <w:p w:rsidR="008A3637" w:rsidRPr="00942C67" w:rsidP="0077173A">
            <w:pPr>
              <w:bidi w:val="0"/>
              <w:jc w:val="center"/>
              <w:rPr>
                <w:rFonts w:ascii="Times New Roman" w:hAnsi="Times New Roman"/>
                <w:b/>
              </w:rPr>
            </w:pPr>
            <w:r w:rsidR="00F37D44">
              <w:rPr>
                <w:rFonts w:ascii="Times New Roman" w:hAnsi="Times New Roman"/>
                <w:b/>
              </w:rPr>
              <w:t xml:space="preserve">Príjmy </w:t>
            </w:r>
            <w:r w:rsidRPr="00942C67">
              <w:rPr>
                <w:rFonts w:ascii="Times New Roman" w:hAnsi="Times New Roman"/>
                <w:b/>
              </w:rPr>
              <w:t xml:space="preserve">v </w:t>
            </w:r>
            <w:r w:rsidRPr="00C05E95" w:rsidR="00FD3869">
              <w:rPr>
                <w:rFonts w:ascii="Times New Roman" w:hAnsi="Times New Roman"/>
                <w:b/>
              </w:rPr>
              <w:t>eur</w:t>
            </w:r>
          </w:p>
        </w:tc>
        <w:tc>
          <w:tcPr>
            <w:tcW w:w="2012" w:type="dxa"/>
            <w:tcBorders>
              <w:top w:val="single" w:sz="4" w:space="0" w:color="auto"/>
              <w:left w:val="nil"/>
              <w:bottom w:val="single" w:sz="4" w:space="0" w:color="auto"/>
              <w:right w:val="single" w:sz="4" w:space="0" w:color="auto"/>
            </w:tcBorders>
            <w:noWrap/>
            <w:textDirection w:val="lrTb"/>
            <w:vAlign w:val="bottom"/>
          </w:tcPr>
          <w:p w:rsidR="008A3637" w:rsidRPr="00281756" w:rsidP="0077173A">
            <w:pPr>
              <w:bidi w:val="0"/>
              <w:jc w:val="center"/>
              <w:rPr>
                <w:rFonts w:ascii="Times New Roman" w:hAnsi="Times New Roman"/>
                <w:b/>
              </w:rPr>
            </w:pPr>
            <w:r w:rsidRPr="00281756">
              <w:rPr>
                <w:rFonts w:ascii="Times New Roman" w:hAnsi="Times New Roman"/>
                <w:b/>
              </w:rPr>
              <w:t>2011 (2. polrok)</w:t>
            </w:r>
          </w:p>
        </w:tc>
        <w:tc>
          <w:tcPr>
            <w:tcW w:w="1418" w:type="dxa"/>
            <w:tcBorders>
              <w:top w:val="single" w:sz="4" w:space="0" w:color="auto"/>
              <w:left w:val="nil"/>
              <w:bottom w:val="single" w:sz="4" w:space="0" w:color="auto"/>
              <w:right w:val="single" w:sz="4" w:space="0" w:color="auto"/>
            </w:tcBorders>
            <w:noWrap/>
            <w:textDirection w:val="lrTb"/>
            <w:vAlign w:val="bottom"/>
          </w:tcPr>
          <w:p w:rsidR="008A3637" w:rsidRPr="00281756" w:rsidP="0077173A">
            <w:pPr>
              <w:bidi w:val="0"/>
              <w:jc w:val="center"/>
              <w:rPr>
                <w:rFonts w:ascii="Times New Roman" w:hAnsi="Times New Roman"/>
                <w:b/>
              </w:rPr>
            </w:pPr>
            <w:r w:rsidRPr="00281756">
              <w:rPr>
                <w:rFonts w:ascii="Times New Roman" w:hAnsi="Times New Roman"/>
                <w:b/>
              </w:rPr>
              <w:t>2012</w:t>
            </w:r>
          </w:p>
        </w:tc>
        <w:tc>
          <w:tcPr>
            <w:tcW w:w="1417" w:type="dxa"/>
            <w:tcBorders>
              <w:top w:val="single" w:sz="4" w:space="0" w:color="auto"/>
              <w:left w:val="nil"/>
              <w:bottom w:val="single" w:sz="4" w:space="0" w:color="auto"/>
              <w:right w:val="single" w:sz="4" w:space="0" w:color="auto"/>
            </w:tcBorders>
            <w:noWrap/>
            <w:textDirection w:val="lrTb"/>
            <w:vAlign w:val="bottom"/>
          </w:tcPr>
          <w:p w:rsidR="008A3637" w:rsidRPr="00281756" w:rsidP="0077173A">
            <w:pPr>
              <w:bidi w:val="0"/>
              <w:jc w:val="center"/>
              <w:rPr>
                <w:rFonts w:ascii="Times New Roman" w:hAnsi="Times New Roman"/>
                <w:b/>
              </w:rPr>
            </w:pPr>
            <w:r w:rsidRPr="00281756">
              <w:rPr>
                <w:rFonts w:ascii="Times New Roman" w:hAnsi="Times New Roman"/>
                <w:b/>
              </w:rPr>
              <w:t>2013</w:t>
            </w:r>
          </w:p>
        </w:tc>
        <w:tc>
          <w:tcPr>
            <w:tcW w:w="1418" w:type="dxa"/>
            <w:tcBorders>
              <w:top w:val="single" w:sz="4" w:space="0" w:color="auto"/>
              <w:left w:val="nil"/>
              <w:bottom w:val="single" w:sz="4" w:space="0" w:color="auto"/>
              <w:right w:val="single" w:sz="4" w:space="0" w:color="auto"/>
            </w:tcBorders>
            <w:noWrap/>
            <w:textDirection w:val="lrTb"/>
            <w:vAlign w:val="bottom"/>
          </w:tcPr>
          <w:p w:rsidR="008A3637" w:rsidRPr="00281756" w:rsidP="0077173A">
            <w:pPr>
              <w:bidi w:val="0"/>
              <w:jc w:val="center"/>
              <w:rPr>
                <w:rFonts w:ascii="Times New Roman" w:hAnsi="Times New Roman"/>
                <w:b/>
              </w:rPr>
            </w:pPr>
            <w:r w:rsidRPr="00281756">
              <w:rPr>
                <w:rFonts w:ascii="Times New Roman" w:hAnsi="Times New Roman"/>
                <w:b/>
              </w:rPr>
              <w:t>2014</w:t>
            </w:r>
          </w:p>
        </w:tc>
      </w:tr>
      <w:tr>
        <w:tblPrEx>
          <w:tblW w:w="7739" w:type="dxa"/>
          <w:tblCellMar>
            <w:left w:w="70" w:type="dxa"/>
            <w:right w:w="70" w:type="dxa"/>
          </w:tblCellMar>
          <w:tblLook w:val="00A0"/>
        </w:tblPrEx>
        <w:trPr>
          <w:trHeight w:val="300"/>
        </w:trPr>
        <w:tc>
          <w:tcPr>
            <w:tcW w:w="1474" w:type="dxa"/>
            <w:tcBorders>
              <w:top w:val="single" w:sz="4" w:space="0" w:color="auto"/>
              <w:left w:val="single" w:sz="4" w:space="0" w:color="auto"/>
              <w:bottom w:val="single" w:sz="4" w:space="0" w:color="auto"/>
              <w:right w:val="single" w:sz="4" w:space="0" w:color="auto"/>
            </w:tcBorders>
            <w:noWrap/>
            <w:textDirection w:val="lrTb"/>
            <w:vAlign w:val="bottom"/>
          </w:tcPr>
          <w:p w:rsidR="008A3637" w:rsidRPr="00281756" w:rsidP="0077173A">
            <w:pPr>
              <w:bidi w:val="0"/>
              <w:rPr>
                <w:rFonts w:ascii="Times New Roman" w:hAnsi="Times New Roman"/>
                <w:b/>
              </w:rPr>
            </w:pPr>
            <w:r w:rsidRPr="00281756">
              <w:rPr>
                <w:rFonts w:ascii="Times New Roman" w:hAnsi="Times New Roman"/>
                <w:b/>
              </w:rPr>
              <w:t>Optimistický vývoj</w:t>
            </w:r>
          </w:p>
        </w:tc>
        <w:tc>
          <w:tcPr>
            <w:tcW w:w="2012" w:type="dxa"/>
            <w:tcBorders>
              <w:top w:val="single" w:sz="4" w:space="0" w:color="auto"/>
              <w:left w:val="nil"/>
              <w:bottom w:val="single" w:sz="4" w:space="0" w:color="auto"/>
              <w:right w:val="single" w:sz="4" w:space="0" w:color="auto"/>
            </w:tcBorders>
            <w:noWrap/>
            <w:textDirection w:val="lrTb"/>
            <w:vAlign w:val="bottom"/>
          </w:tcPr>
          <w:p w:rsidR="008A3637" w:rsidRPr="00281756" w:rsidP="0077173A">
            <w:pPr>
              <w:bidi w:val="0"/>
              <w:jc w:val="center"/>
              <w:rPr>
                <w:rFonts w:ascii="Times New Roman" w:hAnsi="Times New Roman"/>
              </w:rPr>
            </w:pPr>
          </w:p>
        </w:tc>
        <w:tc>
          <w:tcPr>
            <w:tcW w:w="1418" w:type="dxa"/>
            <w:tcBorders>
              <w:top w:val="single" w:sz="4" w:space="0" w:color="auto"/>
              <w:left w:val="nil"/>
              <w:bottom w:val="single" w:sz="4" w:space="0" w:color="auto"/>
              <w:right w:val="single" w:sz="4" w:space="0" w:color="auto"/>
            </w:tcBorders>
            <w:noWrap/>
            <w:textDirection w:val="lrTb"/>
            <w:vAlign w:val="bottom"/>
          </w:tcPr>
          <w:p w:rsidR="008A3637" w:rsidRPr="00281756" w:rsidP="0077173A">
            <w:pPr>
              <w:bidi w:val="0"/>
              <w:jc w:val="center"/>
              <w:rPr>
                <w:rFonts w:ascii="Times New Roman" w:hAnsi="Times New Roman"/>
              </w:rPr>
            </w:pPr>
          </w:p>
        </w:tc>
        <w:tc>
          <w:tcPr>
            <w:tcW w:w="1417" w:type="dxa"/>
            <w:tcBorders>
              <w:top w:val="single" w:sz="4" w:space="0" w:color="auto"/>
              <w:left w:val="nil"/>
              <w:bottom w:val="single" w:sz="4" w:space="0" w:color="auto"/>
              <w:right w:val="single" w:sz="4" w:space="0" w:color="auto"/>
            </w:tcBorders>
            <w:noWrap/>
            <w:textDirection w:val="lrTb"/>
            <w:vAlign w:val="bottom"/>
          </w:tcPr>
          <w:p w:rsidR="008A3637" w:rsidRPr="00281756" w:rsidP="0077173A">
            <w:pPr>
              <w:bidi w:val="0"/>
              <w:jc w:val="center"/>
              <w:rPr>
                <w:rFonts w:ascii="Times New Roman" w:hAnsi="Times New Roman"/>
              </w:rPr>
            </w:pPr>
          </w:p>
        </w:tc>
        <w:tc>
          <w:tcPr>
            <w:tcW w:w="1418" w:type="dxa"/>
            <w:tcBorders>
              <w:top w:val="single" w:sz="4" w:space="0" w:color="auto"/>
              <w:left w:val="nil"/>
              <w:bottom w:val="single" w:sz="4" w:space="0" w:color="auto"/>
              <w:right w:val="single" w:sz="4" w:space="0" w:color="auto"/>
            </w:tcBorders>
            <w:noWrap/>
            <w:textDirection w:val="lrTb"/>
            <w:vAlign w:val="bottom"/>
          </w:tcPr>
          <w:p w:rsidR="008A3637" w:rsidRPr="00281756" w:rsidP="0077173A">
            <w:pPr>
              <w:bidi w:val="0"/>
              <w:jc w:val="center"/>
              <w:rPr>
                <w:rFonts w:ascii="Times New Roman" w:hAnsi="Times New Roman"/>
              </w:rPr>
            </w:pPr>
          </w:p>
        </w:tc>
      </w:tr>
      <w:tr>
        <w:tblPrEx>
          <w:tblW w:w="7739" w:type="dxa"/>
          <w:tblCellMar>
            <w:left w:w="70" w:type="dxa"/>
            <w:right w:w="70" w:type="dxa"/>
          </w:tblCellMar>
          <w:tblLook w:val="00A0"/>
        </w:tblPrEx>
        <w:trPr>
          <w:trHeight w:val="300"/>
        </w:trPr>
        <w:tc>
          <w:tcPr>
            <w:tcW w:w="1474" w:type="dxa"/>
            <w:tcBorders>
              <w:top w:val="nil"/>
              <w:left w:val="single" w:sz="4" w:space="0" w:color="auto"/>
              <w:bottom w:val="single" w:sz="4" w:space="0" w:color="auto"/>
              <w:right w:val="single" w:sz="4" w:space="0" w:color="auto"/>
            </w:tcBorders>
            <w:noWrap/>
            <w:textDirection w:val="lrTb"/>
            <w:vAlign w:val="bottom"/>
          </w:tcPr>
          <w:p w:rsidR="009B132C" w:rsidRPr="00281756" w:rsidP="0077173A">
            <w:pPr>
              <w:bidi w:val="0"/>
              <w:rPr>
                <w:rFonts w:ascii="Times New Roman" w:hAnsi="Times New Roman"/>
              </w:rPr>
            </w:pPr>
            <w:r w:rsidRPr="00281756">
              <w:rPr>
                <w:rFonts w:ascii="Times New Roman" w:hAnsi="Times New Roman"/>
              </w:rPr>
              <w:t>Bez novely</w:t>
            </w:r>
          </w:p>
        </w:tc>
        <w:tc>
          <w:tcPr>
            <w:tcW w:w="2012" w:type="dxa"/>
            <w:tcBorders>
              <w:top w:val="nil"/>
              <w:left w:val="nil"/>
              <w:bottom w:val="single" w:sz="4" w:space="0" w:color="auto"/>
              <w:right w:val="single" w:sz="4" w:space="0" w:color="auto"/>
            </w:tcBorders>
            <w:noWrap/>
            <w:textDirection w:val="lrTb"/>
            <w:vAlign w:val="bottom"/>
          </w:tcPr>
          <w:p w:rsidR="009B132C" w:rsidRPr="00326E33" w:rsidP="00326E33">
            <w:pPr>
              <w:bidi w:val="0"/>
              <w:jc w:val="right"/>
              <w:rPr>
                <w:rFonts w:ascii="Times New Roman" w:hAnsi="Times New Roman"/>
              </w:rPr>
            </w:pPr>
            <w:r w:rsidRPr="00590859">
              <w:rPr>
                <w:rFonts w:ascii="Times New Roman" w:hAnsi="Times New Roman"/>
              </w:rPr>
              <w:t>10 466 317</w:t>
            </w:r>
          </w:p>
        </w:tc>
        <w:tc>
          <w:tcPr>
            <w:tcW w:w="1418" w:type="dxa"/>
            <w:tcBorders>
              <w:top w:val="nil"/>
              <w:left w:val="nil"/>
              <w:bottom w:val="single" w:sz="4" w:space="0" w:color="auto"/>
              <w:right w:val="single" w:sz="4" w:space="0" w:color="auto"/>
            </w:tcBorders>
            <w:noWrap/>
            <w:textDirection w:val="lrTb"/>
            <w:vAlign w:val="bottom"/>
          </w:tcPr>
          <w:p w:rsidR="009B132C" w:rsidRPr="00326E33" w:rsidP="00326E33">
            <w:pPr>
              <w:bidi w:val="0"/>
              <w:jc w:val="right"/>
              <w:rPr>
                <w:rFonts w:ascii="Times New Roman" w:hAnsi="Times New Roman"/>
              </w:rPr>
            </w:pPr>
            <w:r w:rsidRPr="00590859">
              <w:rPr>
                <w:rFonts w:ascii="Times New Roman" w:hAnsi="Times New Roman"/>
              </w:rPr>
              <w:t>24 335 957</w:t>
            </w:r>
          </w:p>
        </w:tc>
        <w:tc>
          <w:tcPr>
            <w:tcW w:w="1417" w:type="dxa"/>
            <w:tcBorders>
              <w:top w:val="nil"/>
              <w:left w:val="nil"/>
              <w:bottom w:val="single" w:sz="4" w:space="0" w:color="auto"/>
              <w:right w:val="single" w:sz="4" w:space="0" w:color="auto"/>
            </w:tcBorders>
            <w:noWrap/>
            <w:textDirection w:val="lrTb"/>
            <w:vAlign w:val="bottom"/>
          </w:tcPr>
          <w:p w:rsidR="009B132C" w:rsidRPr="00326E33" w:rsidP="00326E33">
            <w:pPr>
              <w:bidi w:val="0"/>
              <w:jc w:val="right"/>
              <w:rPr>
                <w:rFonts w:ascii="Times New Roman" w:hAnsi="Times New Roman"/>
              </w:rPr>
            </w:pPr>
            <w:r w:rsidRPr="00590859">
              <w:rPr>
                <w:rFonts w:ascii="Times New Roman" w:hAnsi="Times New Roman"/>
              </w:rPr>
              <w:t>30 632 142</w:t>
            </w:r>
          </w:p>
        </w:tc>
        <w:tc>
          <w:tcPr>
            <w:tcW w:w="1418" w:type="dxa"/>
            <w:tcBorders>
              <w:top w:val="nil"/>
              <w:left w:val="nil"/>
              <w:bottom w:val="single" w:sz="4" w:space="0" w:color="auto"/>
              <w:right w:val="single" w:sz="4" w:space="0" w:color="auto"/>
            </w:tcBorders>
            <w:noWrap/>
            <w:textDirection w:val="lrTb"/>
            <w:vAlign w:val="bottom"/>
          </w:tcPr>
          <w:p w:rsidR="009B132C" w:rsidRPr="00326E33" w:rsidP="00326E33">
            <w:pPr>
              <w:bidi w:val="0"/>
              <w:jc w:val="right"/>
              <w:rPr>
                <w:rFonts w:ascii="Times New Roman" w:hAnsi="Times New Roman"/>
              </w:rPr>
            </w:pPr>
            <w:r w:rsidRPr="00590859">
              <w:rPr>
                <w:rFonts w:ascii="Times New Roman" w:hAnsi="Times New Roman"/>
              </w:rPr>
              <w:t>36 647 980</w:t>
            </w:r>
          </w:p>
        </w:tc>
      </w:tr>
      <w:tr>
        <w:tblPrEx>
          <w:tblW w:w="7739" w:type="dxa"/>
          <w:tblCellMar>
            <w:left w:w="70" w:type="dxa"/>
            <w:right w:w="70" w:type="dxa"/>
          </w:tblCellMar>
          <w:tblLook w:val="00A0"/>
        </w:tblPrEx>
        <w:trPr>
          <w:trHeight w:val="300"/>
        </w:trPr>
        <w:tc>
          <w:tcPr>
            <w:tcW w:w="1474" w:type="dxa"/>
            <w:tcBorders>
              <w:top w:val="nil"/>
              <w:left w:val="single" w:sz="4" w:space="0" w:color="auto"/>
              <w:bottom w:val="single" w:sz="4" w:space="0" w:color="auto"/>
              <w:right w:val="single" w:sz="4" w:space="0" w:color="auto"/>
            </w:tcBorders>
            <w:noWrap/>
            <w:textDirection w:val="lrTb"/>
            <w:vAlign w:val="bottom"/>
          </w:tcPr>
          <w:p w:rsidR="0045399D" w:rsidRPr="00281756" w:rsidP="0077173A">
            <w:pPr>
              <w:bidi w:val="0"/>
              <w:rPr>
                <w:rFonts w:ascii="Times New Roman" w:hAnsi="Times New Roman"/>
              </w:rPr>
            </w:pPr>
            <w:r w:rsidRPr="00281756">
              <w:rPr>
                <w:rFonts w:ascii="Times New Roman" w:hAnsi="Times New Roman"/>
              </w:rPr>
              <w:t>S novelou</w:t>
            </w:r>
          </w:p>
        </w:tc>
        <w:tc>
          <w:tcPr>
            <w:tcW w:w="2012" w:type="dxa"/>
            <w:tcBorders>
              <w:top w:val="nil"/>
              <w:left w:val="nil"/>
              <w:bottom w:val="single" w:sz="4" w:space="0" w:color="auto"/>
              <w:right w:val="single" w:sz="4" w:space="0" w:color="auto"/>
            </w:tcBorders>
            <w:noWrap/>
            <w:textDirection w:val="lrTb"/>
            <w:vAlign w:val="bottom"/>
          </w:tcPr>
          <w:p w:rsidR="0045399D" w:rsidRPr="00326E33" w:rsidP="00326E33">
            <w:pPr>
              <w:bidi w:val="0"/>
              <w:jc w:val="right"/>
              <w:rPr>
                <w:rFonts w:ascii="Times New Roman" w:hAnsi="Times New Roman"/>
              </w:rPr>
            </w:pPr>
            <w:r w:rsidRPr="00590859">
              <w:rPr>
                <w:rFonts w:ascii="Times New Roman" w:hAnsi="Times New Roman"/>
              </w:rPr>
              <w:t>10 466 317</w:t>
            </w:r>
          </w:p>
        </w:tc>
        <w:tc>
          <w:tcPr>
            <w:tcW w:w="1418" w:type="dxa"/>
            <w:tcBorders>
              <w:top w:val="nil"/>
              <w:left w:val="nil"/>
              <w:bottom w:val="single" w:sz="4" w:space="0" w:color="auto"/>
              <w:right w:val="single" w:sz="4" w:space="0" w:color="auto"/>
            </w:tcBorders>
            <w:noWrap/>
            <w:textDirection w:val="lrTb"/>
            <w:vAlign w:val="bottom"/>
          </w:tcPr>
          <w:p w:rsidR="0045399D" w:rsidRPr="00326E33" w:rsidP="00326E33">
            <w:pPr>
              <w:bidi w:val="0"/>
              <w:jc w:val="right"/>
              <w:rPr>
                <w:rFonts w:ascii="Times New Roman" w:hAnsi="Times New Roman"/>
              </w:rPr>
            </w:pPr>
            <w:r w:rsidRPr="00C05E95">
              <w:rPr>
                <w:rFonts w:ascii="Times New Roman" w:hAnsi="Times New Roman"/>
              </w:rPr>
              <w:t>24 247 50</w:t>
            </w:r>
            <w:r w:rsidRPr="0045399D">
              <w:rPr>
                <w:rFonts w:ascii="Times New Roman" w:hAnsi="Times New Roman"/>
              </w:rPr>
              <w:t>3</w:t>
            </w:r>
          </w:p>
        </w:tc>
        <w:tc>
          <w:tcPr>
            <w:tcW w:w="1417" w:type="dxa"/>
            <w:tcBorders>
              <w:top w:val="nil"/>
              <w:left w:val="nil"/>
              <w:bottom w:val="single" w:sz="4" w:space="0" w:color="auto"/>
              <w:right w:val="single" w:sz="4" w:space="0" w:color="auto"/>
            </w:tcBorders>
            <w:noWrap/>
            <w:textDirection w:val="lrTb"/>
            <w:vAlign w:val="bottom"/>
          </w:tcPr>
          <w:p w:rsidR="0045399D" w:rsidRPr="00326E33" w:rsidP="00326E33">
            <w:pPr>
              <w:bidi w:val="0"/>
              <w:jc w:val="right"/>
              <w:rPr>
                <w:rFonts w:ascii="Times New Roman" w:hAnsi="Times New Roman"/>
              </w:rPr>
            </w:pPr>
            <w:r w:rsidRPr="0045399D">
              <w:rPr>
                <w:rFonts w:ascii="Times New Roman" w:hAnsi="Times New Roman"/>
              </w:rPr>
              <w:t>33 804 522</w:t>
            </w:r>
          </w:p>
        </w:tc>
        <w:tc>
          <w:tcPr>
            <w:tcW w:w="1418" w:type="dxa"/>
            <w:tcBorders>
              <w:top w:val="nil"/>
              <w:left w:val="nil"/>
              <w:bottom w:val="single" w:sz="4" w:space="0" w:color="auto"/>
              <w:right w:val="single" w:sz="4" w:space="0" w:color="auto"/>
            </w:tcBorders>
            <w:noWrap/>
            <w:textDirection w:val="lrTb"/>
            <w:vAlign w:val="bottom"/>
          </w:tcPr>
          <w:p w:rsidR="0045399D" w:rsidRPr="00326E33" w:rsidP="00326E33">
            <w:pPr>
              <w:bidi w:val="0"/>
              <w:jc w:val="right"/>
              <w:rPr>
                <w:rFonts w:ascii="Times New Roman" w:hAnsi="Times New Roman"/>
              </w:rPr>
            </w:pPr>
            <w:r w:rsidRPr="0045399D">
              <w:rPr>
                <w:rFonts w:ascii="Times New Roman" w:hAnsi="Times New Roman"/>
              </w:rPr>
              <w:t>40 831 613</w:t>
            </w:r>
          </w:p>
        </w:tc>
      </w:tr>
      <w:tr>
        <w:tblPrEx>
          <w:tblW w:w="7739" w:type="dxa"/>
          <w:tblCellMar>
            <w:left w:w="70" w:type="dxa"/>
            <w:right w:w="70" w:type="dxa"/>
          </w:tblCellMar>
          <w:tblLook w:val="00A0"/>
        </w:tblPrEx>
        <w:trPr>
          <w:trHeight w:val="300"/>
        </w:trPr>
        <w:tc>
          <w:tcPr>
            <w:tcW w:w="1474" w:type="dxa"/>
            <w:tcBorders>
              <w:top w:val="nil"/>
              <w:left w:val="single" w:sz="4" w:space="0" w:color="auto"/>
              <w:bottom w:val="single" w:sz="4" w:space="0" w:color="auto"/>
              <w:right w:val="single" w:sz="4" w:space="0" w:color="auto"/>
            </w:tcBorders>
            <w:noWrap/>
            <w:textDirection w:val="lrTb"/>
            <w:vAlign w:val="bottom"/>
          </w:tcPr>
          <w:p w:rsidR="008A3637" w:rsidRPr="00281756" w:rsidP="0077173A">
            <w:pPr>
              <w:bidi w:val="0"/>
              <w:rPr>
                <w:rFonts w:ascii="Times New Roman" w:hAnsi="Times New Roman"/>
                <w:b/>
              </w:rPr>
            </w:pPr>
            <w:r w:rsidRPr="00281756">
              <w:rPr>
                <w:rFonts w:ascii="Times New Roman" w:hAnsi="Times New Roman"/>
                <w:b/>
              </w:rPr>
              <w:t>Neutrálny vývoj</w:t>
            </w:r>
          </w:p>
        </w:tc>
        <w:tc>
          <w:tcPr>
            <w:tcW w:w="2012" w:type="dxa"/>
            <w:tcBorders>
              <w:top w:val="nil"/>
              <w:left w:val="nil"/>
              <w:bottom w:val="single" w:sz="4" w:space="0" w:color="auto"/>
              <w:right w:val="single" w:sz="4" w:space="0" w:color="auto"/>
            </w:tcBorders>
            <w:noWrap/>
            <w:textDirection w:val="lrTb"/>
            <w:vAlign w:val="bottom"/>
          </w:tcPr>
          <w:p w:rsidR="008A3637" w:rsidRPr="00281756" w:rsidP="0077173A">
            <w:pPr>
              <w:bidi w:val="0"/>
              <w:jc w:val="center"/>
              <w:rPr>
                <w:rFonts w:ascii="Times New Roman" w:hAnsi="Times New Roman"/>
              </w:rPr>
            </w:pPr>
          </w:p>
        </w:tc>
        <w:tc>
          <w:tcPr>
            <w:tcW w:w="1418" w:type="dxa"/>
            <w:tcBorders>
              <w:top w:val="nil"/>
              <w:left w:val="nil"/>
              <w:bottom w:val="single" w:sz="4" w:space="0" w:color="auto"/>
              <w:right w:val="single" w:sz="4" w:space="0" w:color="auto"/>
            </w:tcBorders>
            <w:noWrap/>
            <w:textDirection w:val="lrTb"/>
            <w:vAlign w:val="bottom"/>
          </w:tcPr>
          <w:p w:rsidR="008A3637" w:rsidRPr="00281756" w:rsidP="0077173A">
            <w:pPr>
              <w:bidi w:val="0"/>
              <w:jc w:val="center"/>
              <w:rPr>
                <w:rFonts w:ascii="Times New Roman" w:hAnsi="Times New Roman"/>
              </w:rPr>
            </w:pPr>
          </w:p>
        </w:tc>
        <w:tc>
          <w:tcPr>
            <w:tcW w:w="1417" w:type="dxa"/>
            <w:tcBorders>
              <w:top w:val="nil"/>
              <w:left w:val="nil"/>
              <w:bottom w:val="single" w:sz="4" w:space="0" w:color="auto"/>
              <w:right w:val="single" w:sz="4" w:space="0" w:color="auto"/>
            </w:tcBorders>
            <w:noWrap/>
            <w:textDirection w:val="lrTb"/>
            <w:vAlign w:val="bottom"/>
          </w:tcPr>
          <w:p w:rsidR="008A3637" w:rsidRPr="00281756" w:rsidP="0077173A">
            <w:pPr>
              <w:bidi w:val="0"/>
              <w:jc w:val="center"/>
              <w:rPr>
                <w:rFonts w:ascii="Times New Roman" w:hAnsi="Times New Roman"/>
              </w:rPr>
            </w:pPr>
          </w:p>
        </w:tc>
        <w:tc>
          <w:tcPr>
            <w:tcW w:w="1418" w:type="dxa"/>
            <w:tcBorders>
              <w:top w:val="nil"/>
              <w:left w:val="nil"/>
              <w:bottom w:val="single" w:sz="4" w:space="0" w:color="auto"/>
              <w:right w:val="single" w:sz="4" w:space="0" w:color="auto"/>
            </w:tcBorders>
            <w:noWrap/>
            <w:textDirection w:val="lrTb"/>
            <w:vAlign w:val="bottom"/>
          </w:tcPr>
          <w:p w:rsidR="008A3637" w:rsidRPr="00281756" w:rsidP="0077173A">
            <w:pPr>
              <w:bidi w:val="0"/>
              <w:jc w:val="center"/>
              <w:rPr>
                <w:rFonts w:ascii="Times New Roman" w:hAnsi="Times New Roman"/>
              </w:rPr>
            </w:pPr>
          </w:p>
        </w:tc>
      </w:tr>
      <w:tr>
        <w:tblPrEx>
          <w:tblW w:w="7739" w:type="dxa"/>
          <w:tblCellMar>
            <w:left w:w="70" w:type="dxa"/>
            <w:right w:w="70" w:type="dxa"/>
          </w:tblCellMar>
          <w:tblLook w:val="00A0"/>
        </w:tblPrEx>
        <w:trPr>
          <w:trHeight w:val="300"/>
        </w:trPr>
        <w:tc>
          <w:tcPr>
            <w:tcW w:w="1474" w:type="dxa"/>
            <w:tcBorders>
              <w:top w:val="nil"/>
              <w:left w:val="single" w:sz="4" w:space="0" w:color="auto"/>
              <w:bottom w:val="single" w:sz="4" w:space="0" w:color="auto"/>
              <w:right w:val="single" w:sz="4" w:space="0" w:color="auto"/>
            </w:tcBorders>
            <w:noWrap/>
            <w:textDirection w:val="lrTb"/>
            <w:vAlign w:val="bottom"/>
          </w:tcPr>
          <w:p w:rsidR="009B132C" w:rsidRPr="00281756" w:rsidP="0077173A">
            <w:pPr>
              <w:bidi w:val="0"/>
              <w:rPr>
                <w:rFonts w:ascii="Times New Roman" w:hAnsi="Times New Roman"/>
              </w:rPr>
            </w:pPr>
            <w:r w:rsidRPr="00281756">
              <w:rPr>
                <w:rFonts w:ascii="Times New Roman" w:hAnsi="Times New Roman"/>
              </w:rPr>
              <w:t>Bez novely</w:t>
            </w:r>
          </w:p>
        </w:tc>
        <w:tc>
          <w:tcPr>
            <w:tcW w:w="2012" w:type="dxa"/>
            <w:tcBorders>
              <w:top w:val="nil"/>
              <w:left w:val="nil"/>
              <w:bottom w:val="single" w:sz="4" w:space="0" w:color="auto"/>
              <w:right w:val="single" w:sz="4" w:space="0" w:color="auto"/>
            </w:tcBorders>
            <w:noWrap/>
            <w:textDirection w:val="lrTb"/>
            <w:vAlign w:val="bottom"/>
          </w:tcPr>
          <w:p w:rsidR="009B132C" w:rsidRPr="00326E33">
            <w:pPr>
              <w:bidi w:val="0"/>
              <w:jc w:val="right"/>
              <w:rPr>
                <w:rFonts w:ascii="Times New Roman" w:hAnsi="Times New Roman"/>
              </w:rPr>
            </w:pPr>
            <w:r w:rsidRPr="00590859">
              <w:rPr>
                <w:rFonts w:ascii="Times New Roman" w:hAnsi="Times New Roman"/>
              </w:rPr>
              <w:t>10 466 317</w:t>
            </w:r>
          </w:p>
        </w:tc>
        <w:tc>
          <w:tcPr>
            <w:tcW w:w="1418" w:type="dxa"/>
            <w:tcBorders>
              <w:top w:val="nil"/>
              <w:left w:val="nil"/>
              <w:bottom w:val="single" w:sz="4" w:space="0" w:color="auto"/>
              <w:right w:val="single" w:sz="4" w:space="0" w:color="auto"/>
            </w:tcBorders>
            <w:noWrap/>
            <w:textDirection w:val="lrTb"/>
            <w:vAlign w:val="bottom"/>
          </w:tcPr>
          <w:p w:rsidR="009B132C" w:rsidRPr="00326E33">
            <w:pPr>
              <w:bidi w:val="0"/>
              <w:jc w:val="right"/>
              <w:rPr>
                <w:rFonts w:ascii="Times New Roman" w:hAnsi="Times New Roman"/>
              </w:rPr>
            </w:pPr>
            <w:r w:rsidRPr="00590859">
              <w:rPr>
                <w:rFonts w:ascii="Times New Roman" w:hAnsi="Times New Roman"/>
              </w:rPr>
              <w:t>24 335 957</w:t>
            </w:r>
          </w:p>
        </w:tc>
        <w:tc>
          <w:tcPr>
            <w:tcW w:w="1417" w:type="dxa"/>
            <w:tcBorders>
              <w:top w:val="nil"/>
              <w:left w:val="nil"/>
              <w:bottom w:val="single" w:sz="4" w:space="0" w:color="auto"/>
              <w:right w:val="single" w:sz="4" w:space="0" w:color="auto"/>
            </w:tcBorders>
            <w:noWrap/>
            <w:textDirection w:val="lrTb"/>
            <w:vAlign w:val="bottom"/>
          </w:tcPr>
          <w:p w:rsidR="009B132C" w:rsidRPr="00326E33">
            <w:pPr>
              <w:bidi w:val="0"/>
              <w:jc w:val="right"/>
              <w:rPr>
                <w:rFonts w:ascii="Times New Roman" w:hAnsi="Times New Roman"/>
              </w:rPr>
            </w:pPr>
            <w:r w:rsidRPr="00590859">
              <w:rPr>
                <w:rFonts w:ascii="Times New Roman" w:hAnsi="Times New Roman"/>
              </w:rPr>
              <w:t>28 951 883</w:t>
            </w:r>
          </w:p>
        </w:tc>
        <w:tc>
          <w:tcPr>
            <w:tcW w:w="1418" w:type="dxa"/>
            <w:tcBorders>
              <w:top w:val="nil"/>
              <w:left w:val="nil"/>
              <w:bottom w:val="single" w:sz="4" w:space="0" w:color="auto"/>
              <w:right w:val="single" w:sz="4" w:space="0" w:color="auto"/>
            </w:tcBorders>
            <w:noWrap/>
            <w:textDirection w:val="lrTb"/>
            <w:vAlign w:val="bottom"/>
          </w:tcPr>
          <w:p w:rsidR="009B132C" w:rsidRPr="00326E33">
            <w:pPr>
              <w:bidi w:val="0"/>
              <w:jc w:val="right"/>
              <w:rPr>
                <w:rFonts w:ascii="Times New Roman" w:hAnsi="Times New Roman"/>
              </w:rPr>
            </w:pPr>
            <w:r w:rsidRPr="00590859">
              <w:rPr>
                <w:rFonts w:ascii="Times New Roman" w:hAnsi="Times New Roman"/>
              </w:rPr>
              <w:t>34 059 911</w:t>
            </w:r>
          </w:p>
        </w:tc>
      </w:tr>
      <w:tr>
        <w:tblPrEx>
          <w:tblW w:w="7739" w:type="dxa"/>
          <w:tblCellMar>
            <w:left w:w="70" w:type="dxa"/>
            <w:right w:w="70" w:type="dxa"/>
          </w:tblCellMar>
          <w:tblLook w:val="00A0"/>
        </w:tblPrEx>
        <w:trPr>
          <w:trHeight w:val="300"/>
        </w:trPr>
        <w:tc>
          <w:tcPr>
            <w:tcW w:w="1474" w:type="dxa"/>
            <w:tcBorders>
              <w:top w:val="nil"/>
              <w:left w:val="single" w:sz="4" w:space="0" w:color="auto"/>
              <w:bottom w:val="single" w:sz="4" w:space="0" w:color="auto"/>
              <w:right w:val="single" w:sz="4" w:space="0" w:color="auto"/>
            </w:tcBorders>
            <w:noWrap/>
            <w:textDirection w:val="lrTb"/>
            <w:vAlign w:val="bottom"/>
          </w:tcPr>
          <w:p w:rsidR="0045399D" w:rsidRPr="00281756" w:rsidP="0077173A">
            <w:pPr>
              <w:bidi w:val="0"/>
              <w:rPr>
                <w:rFonts w:ascii="Times New Roman" w:hAnsi="Times New Roman"/>
              </w:rPr>
            </w:pPr>
            <w:r w:rsidRPr="00281756">
              <w:rPr>
                <w:rFonts w:ascii="Times New Roman" w:hAnsi="Times New Roman"/>
              </w:rPr>
              <w:t>S novelou</w:t>
            </w:r>
          </w:p>
        </w:tc>
        <w:tc>
          <w:tcPr>
            <w:tcW w:w="2012" w:type="dxa"/>
            <w:tcBorders>
              <w:top w:val="nil"/>
              <w:left w:val="nil"/>
              <w:bottom w:val="single" w:sz="4" w:space="0" w:color="auto"/>
              <w:right w:val="single" w:sz="4" w:space="0" w:color="auto"/>
            </w:tcBorders>
            <w:noWrap/>
            <w:textDirection w:val="lrTb"/>
            <w:vAlign w:val="bottom"/>
          </w:tcPr>
          <w:p w:rsidR="0045399D" w:rsidRPr="00326E33">
            <w:pPr>
              <w:bidi w:val="0"/>
              <w:jc w:val="right"/>
              <w:rPr>
                <w:rFonts w:ascii="Times New Roman" w:hAnsi="Times New Roman"/>
              </w:rPr>
            </w:pPr>
            <w:r w:rsidRPr="00590859">
              <w:rPr>
                <w:rFonts w:ascii="Times New Roman" w:hAnsi="Times New Roman"/>
              </w:rPr>
              <w:t>10 466 317</w:t>
            </w:r>
          </w:p>
        </w:tc>
        <w:tc>
          <w:tcPr>
            <w:tcW w:w="1418" w:type="dxa"/>
            <w:tcBorders>
              <w:top w:val="nil"/>
              <w:left w:val="nil"/>
              <w:bottom w:val="single" w:sz="4" w:space="0" w:color="auto"/>
              <w:right w:val="single" w:sz="4" w:space="0" w:color="auto"/>
            </w:tcBorders>
            <w:noWrap/>
            <w:textDirection w:val="lrTb"/>
            <w:vAlign w:val="bottom"/>
          </w:tcPr>
          <w:p w:rsidR="0045399D" w:rsidRPr="00326E33">
            <w:pPr>
              <w:bidi w:val="0"/>
              <w:jc w:val="right"/>
              <w:rPr>
                <w:rFonts w:ascii="Times New Roman" w:hAnsi="Times New Roman"/>
              </w:rPr>
            </w:pPr>
            <w:r w:rsidRPr="0045399D">
              <w:rPr>
                <w:rFonts w:ascii="Times New Roman" w:hAnsi="Times New Roman"/>
              </w:rPr>
              <w:t>24 247 503</w:t>
            </w:r>
          </w:p>
        </w:tc>
        <w:tc>
          <w:tcPr>
            <w:tcW w:w="1417" w:type="dxa"/>
            <w:tcBorders>
              <w:top w:val="nil"/>
              <w:left w:val="nil"/>
              <w:bottom w:val="single" w:sz="4" w:space="0" w:color="auto"/>
              <w:right w:val="single" w:sz="4" w:space="0" w:color="auto"/>
            </w:tcBorders>
            <w:noWrap/>
            <w:textDirection w:val="lrTb"/>
            <w:vAlign w:val="bottom"/>
          </w:tcPr>
          <w:p w:rsidR="0045399D" w:rsidRPr="00326E33">
            <w:pPr>
              <w:bidi w:val="0"/>
              <w:jc w:val="right"/>
              <w:rPr>
                <w:rFonts w:ascii="Times New Roman" w:hAnsi="Times New Roman"/>
              </w:rPr>
            </w:pPr>
            <w:r w:rsidRPr="0045399D">
              <w:rPr>
                <w:rFonts w:ascii="Times New Roman" w:hAnsi="Times New Roman"/>
              </w:rPr>
              <w:t>31 014 058</w:t>
            </w:r>
          </w:p>
        </w:tc>
        <w:tc>
          <w:tcPr>
            <w:tcW w:w="1418" w:type="dxa"/>
            <w:tcBorders>
              <w:top w:val="nil"/>
              <w:left w:val="nil"/>
              <w:bottom w:val="single" w:sz="4" w:space="0" w:color="auto"/>
              <w:right w:val="single" w:sz="4" w:space="0" w:color="auto"/>
            </w:tcBorders>
            <w:noWrap/>
            <w:textDirection w:val="lrTb"/>
            <w:vAlign w:val="bottom"/>
          </w:tcPr>
          <w:p w:rsidR="0045399D" w:rsidRPr="00326E33">
            <w:pPr>
              <w:bidi w:val="0"/>
              <w:jc w:val="right"/>
              <w:rPr>
                <w:rFonts w:ascii="Times New Roman" w:hAnsi="Times New Roman"/>
              </w:rPr>
            </w:pPr>
            <w:r w:rsidRPr="0045399D">
              <w:rPr>
                <w:rFonts w:ascii="Times New Roman" w:hAnsi="Times New Roman"/>
              </w:rPr>
              <w:t>37 164 049</w:t>
            </w:r>
          </w:p>
        </w:tc>
      </w:tr>
      <w:tr>
        <w:tblPrEx>
          <w:tblW w:w="7739" w:type="dxa"/>
          <w:tblCellMar>
            <w:left w:w="70" w:type="dxa"/>
            <w:right w:w="70" w:type="dxa"/>
          </w:tblCellMar>
          <w:tblLook w:val="00A0"/>
        </w:tblPrEx>
        <w:trPr>
          <w:trHeight w:val="300"/>
        </w:trPr>
        <w:tc>
          <w:tcPr>
            <w:tcW w:w="1474" w:type="dxa"/>
            <w:tcBorders>
              <w:top w:val="single" w:sz="4" w:space="0" w:color="auto"/>
              <w:left w:val="single" w:sz="4" w:space="0" w:color="auto"/>
              <w:bottom w:val="single" w:sz="4" w:space="0" w:color="auto"/>
              <w:right w:val="single" w:sz="4" w:space="0" w:color="auto"/>
            </w:tcBorders>
            <w:noWrap/>
            <w:textDirection w:val="lrTb"/>
            <w:vAlign w:val="bottom"/>
          </w:tcPr>
          <w:p w:rsidR="008A3637" w:rsidRPr="00281756" w:rsidP="0077173A">
            <w:pPr>
              <w:bidi w:val="0"/>
              <w:rPr>
                <w:rFonts w:ascii="Times New Roman" w:hAnsi="Times New Roman"/>
                <w:b/>
              </w:rPr>
            </w:pPr>
            <w:r>
              <w:rPr>
                <w:rFonts w:ascii="Times New Roman" w:hAnsi="Times New Roman"/>
                <w:b/>
              </w:rPr>
              <w:t>Pesimistický</w:t>
            </w:r>
            <w:r w:rsidRPr="00281756">
              <w:rPr>
                <w:rFonts w:ascii="Times New Roman" w:hAnsi="Times New Roman"/>
                <w:b/>
              </w:rPr>
              <w:t xml:space="preserve"> vývoj</w:t>
            </w:r>
          </w:p>
        </w:tc>
        <w:tc>
          <w:tcPr>
            <w:tcW w:w="2012" w:type="dxa"/>
            <w:tcBorders>
              <w:top w:val="single" w:sz="4" w:space="0" w:color="auto"/>
              <w:left w:val="nil"/>
              <w:bottom w:val="single" w:sz="4" w:space="0" w:color="auto"/>
              <w:right w:val="single" w:sz="4" w:space="0" w:color="auto"/>
            </w:tcBorders>
            <w:noWrap/>
            <w:textDirection w:val="lrTb"/>
            <w:vAlign w:val="bottom"/>
          </w:tcPr>
          <w:p w:rsidR="008A3637" w:rsidRPr="00281756" w:rsidP="0077173A">
            <w:pPr>
              <w:bidi w:val="0"/>
              <w:jc w:val="center"/>
              <w:rPr>
                <w:rFonts w:ascii="Times New Roman" w:hAnsi="Times New Roman"/>
              </w:rPr>
            </w:pPr>
          </w:p>
        </w:tc>
        <w:tc>
          <w:tcPr>
            <w:tcW w:w="1418" w:type="dxa"/>
            <w:tcBorders>
              <w:top w:val="single" w:sz="4" w:space="0" w:color="auto"/>
              <w:left w:val="nil"/>
              <w:bottom w:val="single" w:sz="4" w:space="0" w:color="auto"/>
              <w:right w:val="single" w:sz="4" w:space="0" w:color="auto"/>
            </w:tcBorders>
            <w:noWrap/>
            <w:textDirection w:val="lrTb"/>
            <w:vAlign w:val="bottom"/>
          </w:tcPr>
          <w:p w:rsidR="008A3637" w:rsidRPr="00281756" w:rsidP="0077173A">
            <w:pPr>
              <w:bidi w:val="0"/>
              <w:jc w:val="center"/>
              <w:rPr>
                <w:rFonts w:ascii="Times New Roman" w:hAnsi="Times New Roman"/>
              </w:rPr>
            </w:pPr>
          </w:p>
        </w:tc>
        <w:tc>
          <w:tcPr>
            <w:tcW w:w="1417" w:type="dxa"/>
            <w:tcBorders>
              <w:top w:val="single" w:sz="4" w:space="0" w:color="auto"/>
              <w:left w:val="nil"/>
              <w:bottom w:val="single" w:sz="4" w:space="0" w:color="auto"/>
              <w:right w:val="single" w:sz="4" w:space="0" w:color="auto"/>
            </w:tcBorders>
            <w:noWrap/>
            <w:textDirection w:val="lrTb"/>
            <w:vAlign w:val="bottom"/>
          </w:tcPr>
          <w:p w:rsidR="008A3637" w:rsidRPr="00281756" w:rsidP="0077173A">
            <w:pPr>
              <w:bidi w:val="0"/>
              <w:jc w:val="center"/>
              <w:rPr>
                <w:rFonts w:ascii="Times New Roman" w:hAnsi="Times New Roman"/>
              </w:rPr>
            </w:pPr>
          </w:p>
        </w:tc>
        <w:tc>
          <w:tcPr>
            <w:tcW w:w="1418" w:type="dxa"/>
            <w:tcBorders>
              <w:top w:val="single" w:sz="4" w:space="0" w:color="auto"/>
              <w:left w:val="nil"/>
              <w:bottom w:val="single" w:sz="4" w:space="0" w:color="auto"/>
              <w:right w:val="single" w:sz="4" w:space="0" w:color="auto"/>
            </w:tcBorders>
            <w:noWrap/>
            <w:textDirection w:val="lrTb"/>
            <w:vAlign w:val="bottom"/>
          </w:tcPr>
          <w:p w:rsidR="008A3637" w:rsidRPr="00281756" w:rsidP="0077173A">
            <w:pPr>
              <w:bidi w:val="0"/>
              <w:jc w:val="center"/>
              <w:rPr>
                <w:rFonts w:ascii="Times New Roman" w:hAnsi="Times New Roman"/>
              </w:rPr>
            </w:pPr>
          </w:p>
        </w:tc>
      </w:tr>
      <w:tr>
        <w:tblPrEx>
          <w:tblW w:w="7739" w:type="dxa"/>
          <w:tblCellMar>
            <w:left w:w="70" w:type="dxa"/>
            <w:right w:w="70" w:type="dxa"/>
          </w:tblCellMar>
          <w:tblLook w:val="00A0"/>
        </w:tblPrEx>
        <w:trPr>
          <w:trHeight w:val="300"/>
        </w:trPr>
        <w:tc>
          <w:tcPr>
            <w:tcW w:w="1474" w:type="dxa"/>
            <w:tcBorders>
              <w:top w:val="single" w:sz="4" w:space="0" w:color="auto"/>
              <w:left w:val="single" w:sz="4" w:space="0" w:color="auto"/>
              <w:bottom w:val="single" w:sz="4" w:space="0" w:color="auto"/>
              <w:right w:val="single" w:sz="4" w:space="0" w:color="auto"/>
            </w:tcBorders>
            <w:noWrap/>
            <w:textDirection w:val="lrTb"/>
            <w:vAlign w:val="bottom"/>
          </w:tcPr>
          <w:p w:rsidR="009B132C" w:rsidRPr="00281756" w:rsidP="0077173A">
            <w:pPr>
              <w:bidi w:val="0"/>
              <w:rPr>
                <w:rFonts w:ascii="Times New Roman" w:hAnsi="Times New Roman"/>
              </w:rPr>
            </w:pPr>
            <w:r w:rsidRPr="00281756">
              <w:rPr>
                <w:rFonts w:ascii="Times New Roman" w:hAnsi="Times New Roman"/>
              </w:rPr>
              <w:t>Bez novely</w:t>
            </w:r>
          </w:p>
        </w:tc>
        <w:tc>
          <w:tcPr>
            <w:tcW w:w="2012" w:type="dxa"/>
            <w:tcBorders>
              <w:top w:val="single" w:sz="4" w:space="0" w:color="auto"/>
              <w:left w:val="nil"/>
              <w:bottom w:val="single" w:sz="4" w:space="0" w:color="auto"/>
              <w:right w:val="single" w:sz="4" w:space="0" w:color="auto"/>
            </w:tcBorders>
            <w:noWrap/>
            <w:textDirection w:val="lrTb"/>
            <w:vAlign w:val="bottom"/>
          </w:tcPr>
          <w:p w:rsidR="009B132C" w:rsidRPr="00326E33">
            <w:pPr>
              <w:bidi w:val="0"/>
              <w:jc w:val="right"/>
              <w:rPr>
                <w:rFonts w:ascii="Times New Roman" w:hAnsi="Times New Roman"/>
              </w:rPr>
            </w:pPr>
            <w:r w:rsidRPr="00590859">
              <w:rPr>
                <w:rFonts w:ascii="Times New Roman" w:hAnsi="Times New Roman"/>
              </w:rPr>
              <w:t>10 466 317</w:t>
            </w:r>
          </w:p>
        </w:tc>
        <w:tc>
          <w:tcPr>
            <w:tcW w:w="1418" w:type="dxa"/>
            <w:tcBorders>
              <w:top w:val="single" w:sz="4" w:space="0" w:color="auto"/>
              <w:left w:val="nil"/>
              <w:bottom w:val="single" w:sz="4" w:space="0" w:color="auto"/>
              <w:right w:val="single" w:sz="4" w:space="0" w:color="auto"/>
            </w:tcBorders>
            <w:noWrap/>
            <w:textDirection w:val="lrTb"/>
            <w:vAlign w:val="bottom"/>
          </w:tcPr>
          <w:p w:rsidR="009B132C" w:rsidRPr="00326E33">
            <w:pPr>
              <w:bidi w:val="0"/>
              <w:jc w:val="right"/>
              <w:rPr>
                <w:rFonts w:ascii="Times New Roman" w:hAnsi="Times New Roman"/>
              </w:rPr>
            </w:pPr>
            <w:r w:rsidRPr="00590859">
              <w:rPr>
                <w:rFonts w:ascii="Times New Roman" w:hAnsi="Times New Roman"/>
              </w:rPr>
              <w:t>24 335 957</w:t>
            </w:r>
          </w:p>
        </w:tc>
        <w:tc>
          <w:tcPr>
            <w:tcW w:w="1417" w:type="dxa"/>
            <w:tcBorders>
              <w:top w:val="single" w:sz="4" w:space="0" w:color="auto"/>
              <w:left w:val="nil"/>
              <w:bottom w:val="single" w:sz="4" w:space="0" w:color="auto"/>
              <w:right w:val="single" w:sz="4" w:space="0" w:color="auto"/>
            </w:tcBorders>
            <w:noWrap/>
            <w:textDirection w:val="lrTb"/>
            <w:vAlign w:val="bottom"/>
          </w:tcPr>
          <w:p w:rsidR="009B132C" w:rsidRPr="00326E33">
            <w:pPr>
              <w:bidi w:val="0"/>
              <w:jc w:val="right"/>
              <w:rPr>
                <w:rFonts w:ascii="Times New Roman" w:hAnsi="Times New Roman"/>
              </w:rPr>
            </w:pPr>
            <w:r w:rsidRPr="00590859">
              <w:rPr>
                <w:rFonts w:ascii="Times New Roman" w:hAnsi="Times New Roman"/>
              </w:rPr>
              <w:t>27 493 428</w:t>
            </w:r>
          </w:p>
        </w:tc>
        <w:tc>
          <w:tcPr>
            <w:tcW w:w="1418" w:type="dxa"/>
            <w:tcBorders>
              <w:top w:val="single" w:sz="4" w:space="0" w:color="auto"/>
              <w:left w:val="nil"/>
              <w:bottom w:val="single" w:sz="4" w:space="0" w:color="auto"/>
              <w:right w:val="single" w:sz="4" w:space="0" w:color="auto"/>
            </w:tcBorders>
            <w:noWrap/>
            <w:textDirection w:val="lrTb"/>
            <w:vAlign w:val="bottom"/>
          </w:tcPr>
          <w:p w:rsidR="009B132C" w:rsidRPr="00326E33">
            <w:pPr>
              <w:bidi w:val="0"/>
              <w:jc w:val="right"/>
              <w:rPr>
                <w:rFonts w:ascii="Times New Roman" w:hAnsi="Times New Roman"/>
              </w:rPr>
            </w:pPr>
            <w:r w:rsidRPr="00590859">
              <w:rPr>
                <w:rFonts w:ascii="Times New Roman" w:hAnsi="Times New Roman"/>
              </w:rPr>
              <w:t>31 837 286</w:t>
            </w:r>
          </w:p>
        </w:tc>
      </w:tr>
      <w:tr>
        <w:tblPrEx>
          <w:tblW w:w="7739" w:type="dxa"/>
          <w:tblCellMar>
            <w:left w:w="70" w:type="dxa"/>
            <w:right w:w="70" w:type="dxa"/>
          </w:tblCellMar>
          <w:tblLook w:val="00A0"/>
        </w:tblPrEx>
        <w:trPr>
          <w:trHeight w:val="300"/>
        </w:trPr>
        <w:tc>
          <w:tcPr>
            <w:tcW w:w="1474" w:type="dxa"/>
            <w:tcBorders>
              <w:top w:val="single" w:sz="4" w:space="0" w:color="auto"/>
              <w:left w:val="single" w:sz="4" w:space="0" w:color="auto"/>
              <w:bottom w:val="single" w:sz="4" w:space="0" w:color="auto"/>
              <w:right w:val="single" w:sz="4" w:space="0" w:color="auto"/>
            </w:tcBorders>
            <w:noWrap/>
            <w:textDirection w:val="lrTb"/>
            <w:vAlign w:val="bottom"/>
          </w:tcPr>
          <w:p w:rsidR="0045399D" w:rsidRPr="00281756" w:rsidP="0077173A">
            <w:pPr>
              <w:bidi w:val="0"/>
              <w:rPr>
                <w:rFonts w:ascii="Times New Roman" w:hAnsi="Times New Roman"/>
              </w:rPr>
            </w:pPr>
            <w:r w:rsidRPr="00281756">
              <w:rPr>
                <w:rFonts w:ascii="Times New Roman" w:hAnsi="Times New Roman"/>
              </w:rPr>
              <w:t>S novelou</w:t>
            </w:r>
          </w:p>
        </w:tc>
        <w:tc>
          <w:tcPr>
            <w:tcW w:w="2012" w:type="dxa"/>
            <w:tcBorders>
              <w:top w:val="single" w:sz="4" w:space="0" w:color="auto"/>
              <w:left w:val="nil"/>
              <w:bottom w:val="single" w:sz="4" w:space="0" w:color="auto"/>
              <w:right w:val="single" w:sz="4" w:space="0" w:color="auto"/>
            </w:tcBorders>
            <w:noWrap/>
            <w:textDirection w:val="lrTb"/>
            <w:vAlign w:val="bottom"/>
          </w:tcPr>
          <w:p w:rsidR="0045399D" w:rsidRPr="00326E33">
            <w:pPr>
              <w:bidi w:val="0"/>
              <w:jc w:val="right"/>
              <w:rPr>
                <w:rFonts w:ascii="Times New Roman" w:hAnsi="Times New Roman"/>
              </w:rPr>
            </w:pPr>
            <w:r w:rsidRPr="00590859">
              <w:rPr>
                <w:rFonts w:ascii="Times New Roman" w:hAnsi="Times New Roman"/>
              </w:rPr>
              <w:t>10 466 317</w:t>
            </w:r>
          </w:p>
        </w:tc>
        <w:tc>
          <w:tcPr>
            <w:tcW w:w="1418" w:type="dxa"/>
            <w:tcBorders>
              <w:top w:val="single" w:sz="4" w:space="0" w:color="auto"/>
              <w:left w:val="nil"/>
              <w:bottom w:val="single" w:sz="4" w:space="0" w:color="auto"/>
              <w:right w:val="single" w:sz="4" w:space="0" w:color="auto"/>
            </w:tcBorders>
            <w:noWrap/>
            <w:textDirection w:val="lrTb"/>
            <w:vAlign w:val="bottom"/>
          </w:tcPr>
          <w:p w:rsidR="0045399D" w:rsidRPr="00326E33">
            <w:pPr>
              <w:bidi w:val="0"/>
              <w:jc w:val="right"/>
              <w:rPr>
                <w:rFonts w:ascii="Times New Roman" w:hAnsi="Times New Roman"/>
              </w:rPr>
            </w:pPr>
            <w:r w:rsidRPr="0045399D">
              <w:rPr>
                <w:rFonts w:ascii="Times New Roman" w:hAnsi="Times New Roman"/>
              </w:rPr>
              <w:t>24 247 503</w:t>
            </w:r>
          </w:p>
        </w:tc>
        <w:tc>
          <w:tcPr>
            <w:tcW w:w="1417" w:type="dxa"/>
            <w:tcBorders>
              <w:top w:val="single" w:sz="4" w:space="0" w:color="auto"/>
              <w:left w:val="nil"/>
              <w:bottom w:val="single" w:sz="4" w:space="0" w:color="auto"/>
              <w:right w:val="single" w:sz="4" w:space="0" w:color="auto"/>
            </w:tcBorders>
            <w:noWrap/>
            <w:textDirection w:val="lrTb"/>
            <w:vAlign w:val="bottom"/>
          </w:tcPr>
          <w:p w:rsidR="0045399D" w:rsidRPr="00326E33">
            <w:pPr>
              <w:bidi w:val="0"/>
              <w:jc w:val="right"/>
              <w:rPr>
                <w:rFonts w:ascii="Times New Roman" w:hAnsi="Times New Roman"/>
              </w:rPr>
            </w:pPr>
            <w:r w:rsidRPr="0045399D">
              <w:rPr>
                <w:rFonts w:ascii="Times New Roman" w:hAnsi="Times New Roman"/>
              </w:rPr>
              <w:t>27 133 095</w:t>
            </w:r>
          </w:p>
        </w:tc>
        <w:tc>
          <w:tcPr>
            <w:tcW w:w="1418" w:type="dxa"/>
            <w:tcBorders>
              <w:top w:val="single" w:sz="4" w:space="0" w:color="auto"/>
              <w:left w:val="nil"/>
              <w:bottom w:val="single" w:sz="4" w:space="0" w:color="auto"/>
              <w:right w:val="single" w:sz="4" w:space="0" w:color="auto"/>
            </w:tcBorders>
            <w:noWrap/>
            <w:textDirection w:val="lrTb"/>
            <w:vAlign w:val="bottom"/>
          </w:tcPr>
          <w:p w:rsidR="0045399D" w:rsidRPr="00326E33">
            <w:pPr>
              <w:bidi w:val="0"/>
              <w:jc w:val="right"/>
              <w:rPr>
                <w:rFonts w:ascii="Times New Roman" w:hAnsi="Times New Roman"/>
              </w:rPr>
            </w:pPr>
            <w:r w:rsidRPr="0045399D">
              <w:rPr>
                <w:rFonts w:ascii="Times New Roman" w:hAnsi="Times New Roman"/>
              </w:rPr>
              <w:t>32 165 460</w:t>
            </w:r>
          </w:p>
        </w:tc>
      </w:tr>
    </w:tbl>
    <w:p w:rsidR="00F37D44" w:rsidRPr="005F4EFA" w:rsidP="00F37D44">
      <w:pPr>
        <w:pStyle w:val="Title"/>
        <w:bidi w:val="0"/>
        <w:jc w:val="both"/>
        <w:rPr>
          <w:rFonts w:ascii="Times New Roman" w:hAnsi="Times New Roman"/>
          <w:sz w:val="20"/>
        </w:rPr>
      </w:pPr>
      <w:r>
        <w:rPr>
          <w:rFonts w:ascii="Times New Roman" w:hAnsi="Times New Roman"/>
          <w:sz w:val="20"/>
        </w:rPr>
        <w:t xml:space="preserve">Poznámky: </w:t>
        <w:tab/>
        <w:t xml:space="preserve">bez novely - </w:t>
      </w:r>
      <w:r w:rsidRPr="005F4EFA">
        <w:rPr>
          <w:rFonts w:ascii="Times New Roman" w:hAnsi="Times New Roman"/>
          <w:sz w:val="20"/>
        </w:rPr>
        <w:t>pokračovanie súčasnej právnej úpravy</w:t>
      </w:r>
    </w:p>
    <w:p w:rsidR="00F37D44" w:rsidP="00F37D44">
      <w:pPr>
        <w:pStyle w:val="Title"/>
        <w:bidi w:val="0"/>
        <w:ind w:left="702" w:firstLine="708"/>
        <w:jc w:val="both"/>
        <w:rPr>
          <w:rFonts w:ascii="Times New Roman" w:hAnsi="Times New Roman"/>
          <w:sz w:val="20"/>
        </w:rPr>
      </w:pPr>
      <w:r>
        <w:rPr>
          <w:rFonts w:ascii="Times New Roman" w:hAnsi="Times New Roman"/>
          <w:sz w:val="20"/>
        </w:rPr>
        <w:t>s novelou - po zmenách, tak ako vyplývajú z novely</w:t>
      </w:r>
    </w:p>
    <w:p w:rsidR="008A3637" w:rsidP="00B53407">
      <w:pPr>
        <w:pStyle w:val="Title"/>
        <w:bidi w:val="0"/>
        <w:jc w:val="left"/>
        <w:rPr>
          <w:rFonts w:ascii="Times New Roman" w:hAnsi="Times New Roman"/>
          <w:sz w:val="24"/>
          <w:szCs w:val="24"/>
        </w:rPr>
      </w:pPr>
    </w:p>
    <w:p w:rsidR="008A3637" w:rsidRPr="008A3637" w:rsidP="00B53407">
      <w:pPr>
        <w:pStyle w:val="Title"/>
        <w:bidi w:val="0"/>
        <w:jc w:val="left"/>
        <w:rPr>
          <w:rFonts w:ascii="Times New Roman" w:hAnsi="Times New Roman"/>
          <w:sz w:val="24"/>
          <w:szCs w:val="24"/>
        </w:rPr>
      </w:pPr>
    </w:p>
    <w:p w:rsidR="00B53407" w:rsidP="00B53407">
      <w:pPr>
        <w:pStyle w:val="Title"/>
        <w:bidi w:val="0"/>
        <w:jc w:val="left"/>
        <w:rPr>
          <w:rFonts w:ascii="Times New Roman" w:hAnsi="Times New Roman"/>
          <w:b/>
          <w:sz w:val="24"/>
          <w:szCs w:val="24"/>
        </w:rPr>
      </w:pPr>
      <w:r w:rsidRPr="005F4EFA">
        <w:rPr>
          <w:rFonts w:ascii="Times New Roman" w:hAnsi="Times New Roman"/>
          <w:b/>
          <w:sz w:val="24"/>
          <w:szCs w:val="24"/>
        </w:rPr>
        <w:t>Vplyv zmien na ziskovosť dôchodkových správcovských spoločností.</w:t>
      </w:r>
    </w:p>
    <w:p w:rsidR="00B53407" w:rsidP="00B53407">
      <w:pPr>
        <w:pStyle w:val="Title"/>
        <w:bidi w:val="0"/>
        <w:jc w:val="left"/>
        <w:rPr>
          <w:rFonts w:ascii="Times New Roman" w:hAnsi="Times New Roman"/>
          <w:sz w:val="24"/>
          <w:szCs w:val="24"/>
        </w:rPr>
      </w:pPr>
    </w:p>
    <w:tbl>
      <w:tblPr>
        <w:tblStyle w:val="TableNormal"/>
        <w:tblW w:w="7739" w:type="dxa"/>
        <w:tblCellMar>
          <w:left w:w="70" w:type="dxa"/>
          <w:right w:w="70" w:type="dxa"/>
        </w:tblCellMar>
        <w:tblLook w:val="00A0"/>
      </w:tblPr>
      <w:tblGrid>
        <w:gridCol w:w="1474"/>
        <w:gridCol w:w="2012"/>
        <w:gridCol w:w="1418"/>
        <w:gridCol w:w="1417"/>
        <w:gridCol w:w="1418"/>
      </w:tblGrid>
      <w:tr>
        <w:tblPrEx>
          <w:tblW w:w="7739" w:type="dxa"/>
          <w:tblCellMar>
            <w:left w:w="70" w:type="dxa"/>
            <w:right w:w="70" w:type="dxa"/>
          </w:tblCellMar>
          <w:tblLook w:val="00A0"/>
        </w:tblPrEx>
        <w:trPr>
          <w:trHeight w:val="300"/>
        </w:trPr>
        <w:tc>
          <w:tcPr>
            <w:tcW w:w="1474" w:type="dxa"/>
            <w:tcBorders>
              <w:top w:val="single" w:sz="4" w:space="0" w:color="auto"/>
              <w:left w:val="single" w:sz="4" w:space="0" w:color="auto"/>
              <w:bottom w:val="single" w:sz="4" w:space="0" w:color="auto"/>
              <w:right w:val="single" w:sz="4" w:space="0" w:color="auto"/>
            </w:tcBorders>
            <w:noWrap/>
            <w:textDirection w:val="lrTb"/>
            <w:vAlign w:val="bottom"/>
          </w:tcPr>
          <w:p w:rsidR="00B53407" w:rsidRPr="00942C67" w:rsidP="00942C67">
            <w:pPr>
              <w:bidi w:val="0"/>
              <w:jc w:val="center"/>
              <w:rPr>
                <w:rFonts w:ascii="Times New Roman" w:hAnsi="Times New Roman"/>
                <w:b/>
              </w:rPr>
            </w:pPr>
            <w:r w:rsidR="00F37D44">
              <w:rPr>
                <w:rFonts w:ascii="Times New Roman" w:hAnsi="Times New Roman"/>
                <w:b/>
              </w:rPr>
              <w:t xml:space="preserve">Zisk </w:t>
            </w:r>
            <w:r w:rsidRPr="00942C67">
              <w:rPr>
                <w:rFonts w:ascii="Times New Roman" w:hAnsi="Times New Roman"/>
                <w:b/>
              </w:rPr>
              <w:t xml:space="preserve">v </w:t>
            </w:r>
            <w:r w:rsidR="00FD3869">
              <w:rPr>
                <w:rFonts w:ascii="Times New Roman" w:hAnsi="Times New Roman"/>
                <w:szCs w:val="22"/>
              </w:rPr>
              <w:t>eur</w:t>
            </w:r>
          </w:p>
        </w:tc>
        <w:tc>
          <w:tcPr>
            <w:tcW w:w="2012" w:type="dxa"/>
            <w:tcBorders>
              <w:top w:val="single" w:sz="4" w:space="0" w:color="auto"/>
              <w:left w:val="nil"/>
              <w:bottom w:val="single" w:sz="4" w:space="0" w:color="auto"/>
              <w:right w:val="single" w:sz="4" w:space="0" w:color="auto"/>
            </w:tcBorders>
            <w:noWrap/>
            <w:textDirection w:val="lrTb"/>
            <w:vAlign w:val="bottom"/>
          </w:tcPr>
          <w:p w:rsidR="00B53407" w:rsidRPr="00281756" w:rsidP="00BB5D47">
            <w:pPr>
              <w:bidi w:val="0"/>
              <w:jc w:val="center"/>
              <w:rPr>
                <w:rFonts w:ascii="Times New Roman" w:hAnsi="Times New Roman"/>
                <w:b/>
              </w:rPr>
            </w:pPr>
            <w:r w:rsidRPr="00281756">
              <w:rPr>
                <w:rFonts w:ascii="Times New Roman" w:hAnsi="Times New Roman"/>
                <w:b/>
              </w:rPr>
              <w:t>2011 (2. polrok)</w:t>
            </w:r>
          </w:p>
        </w:tc>
        <w:tc>
          <w:tcPr>
            <w:tcW w:w="1418" w:type="dxa"/>
            <w:tcBorders>
              <w:top w:val="single" w:sz="4" w:space="0" w:color="auto"/>
              <w:left w:val="nil"/>
              <w:bottom w:val="single" w:sz="4" w:space="0" w:color="auto"/>
              <w:right w:val="single" w:sz="4" w:space="0" w:color="auto"/>
            </w:tcBorders>
            <w:noWrap/>
            <w:textDirection w:val="lrTb"/>
            <w:vAlign w:val="bottom"/>
          </w:tcPr>
          <w:p w:rsidR="00B53407" w:rsidRPr="00281756" w:rsidP="00BB5D47">
            <w:pPr>
              <w:bidi w:val="0"/>
              <w:jc w:val="center"/>
              <w:rPr>
                <w:rFonts w:ascii="Times New Roman" w:hAnsi="Times New Roman"/>
                <w:b/>
              </w:rPr>
            </w:pPr>
            <w:r w:rsidRPr="00281756">
              <w:rPr>
                <w:rFonts w:ascii="Times New Roman" w:hAnsi="Times New Roman"/>
                <w:b/>
              </w:rPr>
              <w:t>2012</w:t>
            </w:r>
          </w:p>
        </w:tc>
        <w:tc>
          <w:tcPr>
            <w:tcW w:w="1417" w:type="dxa"/>
            <w:tcBorders>
              <w:top w:val="single" w:sz="4" w:space="0" w:color="auto"/>
              <w:left w:val="nil"/>
              <w:bottom w:val="single" w:sz="4" w:space="0" w:color="auto"/>
              <w:right w:val="single" w:sz="4" w:space="0" w:color="auto"/>
            </w:tcBorders>
            <w:noWrap/>
            <w:textDirection w:val="lrTb"/>
            <w:vAlign w:val="bottom"/>
          </w:tcPr>
          <w:p w:rsidR="00B53407" w:rsidRPr="00281756" w:rsidP="00BB5D47">
            <w:pPr>
              <w:bidi w:val="0"/>
              <w:jc w:val="center"/>
              <w:rPr>
                <w:rFonts w:ascii="Times New Roman" w:hAnsi="Times New Roman"/>
                <w:b/>
              </w:rPr>
            </w:pPr>
            <w:r w:rsidRPr="00281756">
              <w:rPr>
                <w:rFonts w:ascii="Times New Roman" w:hAnsi="Times New Roman"/>
                <w:b/>
              </w:rPr>
              <w:t>2013</w:t>
            </w:r>
          </w:p>
        </w:tc>
        <w:tc>
          <w:tcPr>
            <w:tcW w:w="1418" w:type="dxa"/>
            <w:tcBorders>
              <w:top w:val="single" w:sz="4" w:space="0" w:color="auto"/>
              <w:left w:val="nil"/>
              <w:bottom w:val="single" w:sz="4" w:space="0" w:color="auto"/>
              <w:right w:val="single" w:sz="4" w:space="0" w:color="auto"/>
            </w:tcBorders>
            <w:noWrap/>
            <w:textDirection w:val="lrTb"/>
            <w:vAlign w:val="bottom"/>
          </w:tcPr>
          <w:p w:rsidR="00B53407" w:rsidRPr="00281756" w:rsidP="00BB5D47">
            <w:pPr>
              <w:bidi w:val="0"/>
              <w:jc w:val="center"/>
              <w:rPr>
                <w:rFonts w:ascii="Times New Roman" w:hAnsi="Times New Roman"/>
                <w:b/>
              </w:rPr>
            </w:pPr>
            <w:r w:rsidRPr="00281756">
              <w:rPr>
                <w:rFonts w:ascii="Times New Roman" w:hAnsi="Times New Roman"/>
                <w:b/>
              </w:rPr>
              <w:t>2014</w:t>
            </w:r>
          </w:p>
        </w:tc>
      </w:tr>
      <w:tr>
        <w:tblPrEx>
          <w:tblW w:w="7739" w:type="dxa"/>
          <w:tblCellMar>
            <w:left w:w="70" w:type="dxa"/>
            <w:right w:w="70" w:type="dxa"/>
          </w:tblCellMar>
          <w:tblLook w:val="00A0"/>
        </w:tblPrEx>
        <w:trPr>
          <w:trHeight w:val="300"/>
        </w:trPr>
        <w:tc>
          <w:tcPr>
            <w:tcW w:w="1474"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281756" w:rsidP="00BA3FEB">
            <w:pPr>
              <w:bidi w:val="0"/>
              <w:rPr>
                <w:rFonts w:ascii="Times New Roman" w:hAnsi="Times New Roman"/>
                <w:b/>
              </w:rPr>
            </w:pPr>
            <w:r w:rsidRPr="00281756">
              <w:rPr>
                <w:rFonts w:ascii="Times New Roman" w:hAnsi="Times New Roman"/>
                <w:b/>
              </w:rPr>
              <w:t>Optimistický vývoj</w:t>
            </w:r>
          </w:p>
        </w:tc>
        <w:tc>
          <w:tcPr>
            <w:tcW w:w="2012" w:type="dxa"/>
            <w:tcBorders>
              <w:top w:val="single" w:sz="4" w:space="0" w:color="auto"/>
              <w:left w:val="nil"/>
              <w:bottom w:val="single" w:sz="4" w:space="0" w:color="auto"/>
              <w:right w:val="single" w:sz="4" w:space="0" w:color="auto"/>
            </w:tcBorders>
            <w:noWrap/>
            <w:textDirection w:val="lrTb"/>
            <w:vAlign w:val="bottom"/>
          </w:tcPr>
          <w:p w:rsidR="00BA3FEB" w:rsidRPr="00281756" w:rsidP="00BA3FEB">
            <w:pPr>
              <w:bidi w:val="0"/>
              <w:jc w:val="center"/>
              <w:rPr>
                <w:rFonts w:ascii="Times New Roman" w:hAnsi="Times New Roman"/>
              </w:rPr>
            </w:pPr>
          </w:p>
        </w:tc>
        <w:tc>
          <w:tcPr>
            <w:tcW w:w="1418" w:type="dxa"/>
            <w:tcBorders>
              <w:top w:val="single" w:sz="4" w:space="0" w:color="auto"/>
              <w:left w:val="nil"/>
              <w:bottom w:val="single" w:sz="4" w:space="0" w:color="auto"/>
              <w:right w:val="single" w:sz="4" w:space="0" w:color="auto"/>
            </w:tcBorders>
            <w:noWrap/>
            <w:textDirection w:val="lrTb"/>
            <w:vAlign w:val="bottom"/>
          </w:tcPr>
          <w:p w:rsidR="00BA3FEB" w:rsidRPr="00281756" w:rsidP="00BA3FEB">
            <w:pPr>
              <w:bidi w:val="0"/>
              <w:jc w:val="center"/>
              <w:rPr>
                <w:rFonts w:ascii="Times New Roman" w:hAnsi="Times New Roman"/>
              </w:rPr>
            </w:pPr>
          </w:p>
        </w:tc>
        <w:tc>
          <w:tcPr>
            <w:tcW w:w="1417" w:type="dxa"/>
            <w:tcBorders>
              <w:top w:val="single" w:sz="4" w:space="0" w:color="auto"/>
              <w:left w:val="nil"/>
              <w:bottom w:val="single" w:sz="4" w:space="0" w:color="auto"/>
              <w:right w:val="single" w:sz="4" w:space="0" w:color="auto"/>
            </w:tcBorders>
            <w:noWrap/>
            <w:textDirection w:val="lrTb"/>
            <w:vAlign w:val="bottom"/>
          </w:tcPr>
          <w:p w:rsidR="00BA3FEB" w:rsidRPr="00281756" w:rsidP="00BA3FEB">
            <w:pPr>
              <w:bidi w:val="0"/>
              <w:jc w:val="center"/>
              <w:rPr>
                <w:rFonts w:ascii="Times New Roman" w:hAnsi="Times New Roman"/>
              </w:rPr>
            </w:pPr>
          </w:p>
        </w:tc>
        <w:tc>
          <w:tcPr>
            <w:tcW w:w="1418" w:type="dxa"/>
            <w:tcBorders>
              <w:top w:val="single" w:sz="4" w:space="0" w:color="auto"/>
              <w:left w:val="nil"/>
              <w:bottom w:val="single" w:sz="4" w:space="0" w:color="auto"/>
              <w:right w:val="single" w:sz="4" w:space="0" w:color="auto"/>
            </w:tcBorders>
            <w:noWrap/>
            <w:textDirection w:val="lrTb"/>
            <w:vAlign w:val="bottom"/>
          </w:tcPr>
          <w:p w:rsidR="00BA3FEB" w:rsidRPr="00281756" w:rsidP="00BA3FEB">
            <w:pPr>
              <w:bidi w:val="0"/>
              <w:jc w:val="center"/>
              <w:rPr>
                <w:rFonts w:ascii="Times New Roman" w:hAnsi="Times New Roman"/>
              </w:rPr>
            </w:pPr>
          </w:p>
        </w:tc>
      </w:tr>
      <w:tr>
        <w:tblPrEx>
          <w:tblW w:w="7739" w:type="dxa"/>
          <w:tblCellMar>
            <w:left w:w="70" w:type="dxa"/>
            <w:right w:w="70" w:type="dxa"/>
          </w:tblCellMar>
          <w:tblLook w:val="00A0"/>
        </w:tblPrEx>
        <w:trPr>
          <w:trHeight w:val="300"/>
        </w:trPr>
        <w:tc>
          <w:tcPr>
            <w:tcW w:w="1474" w:type="dxa"/>
            <w:tcBorders>
              <w:top w:val="nil"/>
              <w:left w:val="single" w:sz="4" w:space="0" w:color="auto"/>
              <w:bottom w:val="single" w:sz="4" w:space="0" w:color="auto"/>
              <w:right w:val="single" w:sz="4" w:space="0" w:color="auto"/>
            </w:tcBorders>
            <w:noWrap/>
            <w:textDirection w:val="lrTb"/>
            <w:vAlign w:val="bottom"/>
          </w:tcPr>
          <w:p w:rsidR="00DF3A7A" w:rsidRPr="00281756" w:rsidP="00BA3FEB">
            <w:pPr>
              <w:bidi w:val="0"/>
              <w:rPr>
                <w:rFonts w:ascii="Times New Roman" w:hAnsi="Times New Roman"/>
              </w:rPr>
            </w:pPr>
            <w:r w:rsidRPr="00281756">
              <w:rPr>
                <w:rFonts w:ascii="Times New Roman" w:hAnsi="Times New Roman"/>
              </w:rPr>
              <w:t>Bez novely</w:t>
            </w:r>
          </w:p>
        </w:tc>
        <w:tc>
          <w:tcPr>
            <w:tcW w:w="2012" w:type="dxa"/>
            <w:tcBorders>
              <w:top w:val="nil"/>
              <w:left w:val="nil"/>
              <w:bottom w:val="single" w:sz="4" w:space="0" w:color="auto"/>
              <w:right w:val="single" w:sz="4" w:space="0" w:color="auto"/>
            </w:tcBorders>
            <w:noWrap/>
            <w:textDirection w:val="lrTb"/>
            <w:vAlign w:val="bottom"/>
          </w:tcPr>
          <w:p w:rsidR="00DF3A7A" w:rsidRPr="00326E33">
            <w:pPr>
              <w:bidi w:val="0"/>
              <w:jc w:val="right"/>
              <w:rPr>
                <w:rFonts w:ascii="Times New Roman" w:hAnsi="Times New Roman"/>
              </w:rPr>
            </w:pPr>
            <w:r w:rsidRPr="00590859">
              <w:rPr>
                <w:rFonts w:ascii="Times New Roman" w:hAnsi="Times New Roman"/>
              </w:rPr>
              <w:t>-2 408 683</w:t>
            </w:r>
          </w:p>
        </w:tc>
        <w:tc>
          <w:tcPr>
            <w:tcW w:w="1418" w:type="dxa"/>
            <w:tcBorders>
              <w:top w:val="nil"/>
              <w:left w:val="nil"/>
              <w:bottom w:val="single" w:sz="4" w:space="0" w:color="auto"/>
              <w:right w:val="single" w:sz="4" w:space="0" w:color="auto"/>
            </w:tcBorders>
            <w:noWrap/>
            <w:textDirection w:val="lrTb"/>
            <w:vAlign w:val="bottom"/>
          </w:tcPr>
          <w:p w:rsidR="00DF3A7A" w:rsidRPr="00326E33">
            <w:pPr>
              <w:bidi w:val="0"/>
              <w:jc w:val="right"/>
              <w:rPr>
                <w:rFonts w:ascii="Times New Roman" w:hAnsi="Times New Roman"/>
              </w:rPr>
            </w:pPr>
            <w:r w:rsidRPr="00590859">
              <w:rPr>
                <w:rFonts w:ascii="Times New Roman" w:hAnsi="Times New Roman"/>
              </w:rPr>
              <w:t>-2 186 543</w:t>
            </w:r>
          </w:p>
        </w:tc>
        <w:tc>
          <w:tcPr>
            <w:tcW w:w="1417" w:type="dxa"/>
            <w:tcBorders>
              <w:top w:val="nil"/>
              <w:left w:val="nil"/>
              <w:bottom w:val="single" w:sz="4" w:space="0" w:color="auto"/>
              <w:right w:val="single" w:sz="4" w:space="0" w:color="auto"/>
            </w:tcBorders>
            <w:noWrap/>
            <w:textDirection w:val="lrTb"/>
            <w:vAlign w:val="bottom"/>
          </w:tcPr>
          <w:p w:rsidR="00DF3A7A" w:rsidRPr="00326E33">
            <w:pPr>
              <w:bidi w:val="0"/>
              <w:jc w:val="right"/>
              <w:rPr>
                <w:rFonts w:ascii="Times New Roman" w:hAnsi="Times New Roman"/>
              </w:rPr>
            </w:pPr>
            <w:r w:rsidRPr="00590859">
              <w:rPr>
                <w:rFonts w:ascii="Times New Roman" w:hAnsi="Times New Roman"/>
              </w:rPr>
              <w:t>3 313 967</w:t>
            </w:r>
          </w:p>
        </w:tc>
        <w:tc>
          <w:tcPr>
            <w:tcW w:w="1418" w:type="dxa"/>
            <w:tcBorders>
              <w:top w:val="nil"/>
              <w:left w:val="nil"/>
              <w:bottom w:val="single" w:sz="4" w:space="0" w:color="auto"/>
              <w:right w:val="single" w:sz="4" w:space="0" w:color="auto"/>
            </w:tcBorders>
            <w:noWrap/>
            <w:textDirection w:val="lrTb"/>
            <w:vAlign w:val="bottom"/>
          </w:tcPr>
          <w:p w:rsidR="00DF3A7A" w:rsidRPr="00326E33">
            <w:pPr>
              <w:bidi w:val="0"/>
              <w:jc w:val="right"/>
              <w:rPr>
                <w:rFonts w:ascii="Times New Roman" w:hAnsi="Times New Roman"/>
              </w:rPr>
            </w:pPr>
            <w:r w:rsidRPr="00590859">
              <w:rPr>
                <w:rFonts w:ascii="Times New Roman" w:hAnsi="Times New Roman"/>
              </w:rPr>
              <w:t>8 510 260</w:t>
            </w:r>
          </w:p>
        </w:tc>
      </w:tr>
      <w:tr>
        <w:tblPrEx>
          <w:tblW w:w="7739" w:type="dxa"/>
          <w:tblCellMar>
            <w:left w:w="70" w:type="dxa"/>
            <w:right w:w="70" w:type="dxa"/>
          </w:tblCellMar>
          <w:tblLook w:val="00A0"/>
        </w:tblPrEx>
        <w:trPr>
          <w:trHeight w:val="300"/>
        </w:trPr>
        <w:tc>
          <w:tcPr>
            <w:tcW w:w="1474" w:type="dxa"/>
            <w:tcBorders>
              <w:top w:val="nil"/>
              <w:left w:val="single" w:sz="4" w:space="0" w:color="auto"/>
              <w:bottom w:val="single" w:sz="4" w:space="0" w:color="auto"/>
              <w:right w:val="single" w:sz="4" w:space="0" w:color="auto"/>
            </w:tcBorders>
            <w:noWrap/>
            <w:textDirection w:val="lrTb"/>
            <w:vAlign w:val="bottom"/>
          </w:tcPr>
          <w:p w:rsidR="0045399D" w:rsidRPr="00D84558" w:rsidP="00BA3FEB">
            <w:pPr>
              <w:bidi w:val="0"/>
              <w:rPr>
                <w:rFonts w:ascii="Times New Roman" w:hAnsi="Times New Roman"/>
              </w:rPr>
            </w:pPr>
            <w:r w:rsidRPr="00D84558">
              <w:rPr>
                <w:rFonts w:ascii="Times New Roman" w:hAnsi="Times New Roman"/>
              </w:rPr>
              <w:t>S novelou</w:t>
            </w:r>
          </w:p>
        </w:tc>
        <w:tc>
          <w:tcPr>
            <w:tcW w:w="2012" w:type="dxa"/>
            <w:tcBorders>
              <w:top w:val="nil"/>
              <w:left w:val="nil"/>
              <w:bottom w:val="single" w:sz="4" w:space="0" w:color="auto"/>
              <w:right w:val="single" w:sz="4" w:space="0" w:color="auto"/>
            </w:tcBorders>
            <w:noWrap/>
            <w:textDirection w:val="lrTb"/>
            <w:vAlign w:val="bottom"/>
          </w:tcPr>
          <w:p w:rsidR="0045399D" w:rsidRPr="00D84558">
            <w:pPr>
              <w:bidi w:val="0"/>
              <w:jc w:val="right"/>
              <w:rPr>
                <w:rFonts w:ascii="Times New Roman" w:hAnsi="Times New Roman"/>
              </w:rPr>
            </w:pPr>
            <w:r w:rsidRPr="00590859">
              <w:rPr>
                <w:rFonts w:ascii="Times New Roman" w:hAnsi="Times New Roman"/>
              </w:rPr>
              <w:t>-3 582 691</w:t>
            </w:r>
          </w:p>
        </w:tc>
        <w:tc>
          <w:tcPr>
            <w:tcW w:w="1418" w:type="dxa"/>
            <w:tcBorders>
              <w:top w:val="nil"/>
              <w:left w:val="nil"/>
              <w:bottom w:val="single" w:sz="4" w:space="0" w:color="auto"/>
              <w:right w:val="single" w:sz="4" w:space="0" w:color="auto"/>
            </w:tcBorders>
            <w:noWrap/>
            <w:textDirection w:val="lrTb"/>
            <w:vAlign w:val="bottom"/>
          </w:tcPr>
          <w:p w:rsidR="0045399D" w:rsidRPr="00D84558">
            <w:pPr>
              <w:bidi w:val="0"/>
              <w:jc w:val="right"/>
              <w:rPr>
                <w:rFonts w:ascii="Times New Roman" w:hAnsi="Times New Roman"/>
              </w:rPr>
            </w:pPr>
            <w:r w:rsidRPr="00AF3658">
              <w:rPr>
                <w:rFonts w:ascii="Times New Roman" w:hAnsi="Times New Roman"/>
              </w:rPr>
              <w:t>-707 337</w:t>
            </w:r>
          </w:p>
        </w:tc>
        <w:tc>
          <w:tcPr>
            <w:tcW w:w="1417" w:type="dxa"/>
            <w:tcBorders>
              <w:top w:val="nil"/>
              <w:left w:val="nil"/>
              <w:bottom w:val="single" w:sz="4" w:space="0" w:color="auto"/>
              <w:right w:val="single" w:sz="4" w:space="0" w:color="auto"/>
            </w:tcBorders>
            <w:noWrap/>
            <w:textDirection w:val="lrTb"/>
            <w:vAlign w:val="bottom"/>
          </w:tcPr>
          <w:p w:rsidR="0045399D" w:rsidRPr="00D84558">
            <w:pPr>
              <w:bidi w:val="0"/>
              <w:jc w:val="right"/>
              <w:rPr>
                <w:rFonts w:ascii="Times New Roman" w:hAnsi="Times New Roman"/>
              </w:rPr>
            </w:pPr>
            <w:r w:rsidRPr="00AF3658">
              <w:rPr>
                <w:rFonts w:ascii="Times New Roman" w:hAnsi="Times New Roman"/>
              </w:rPr>
              <w:t>8 101 037</w:t>
            </w:r>
          </w:p>
        </w:tc>
        <w:tc>
          <w:tcPr>
            <w:tcW w:w="1418" w:type="dxa"/>
            <w:tcBorders>
              <w:top w:val="nil"/>
              <w:left w:val="nil"/>
              <w:bottom w:val="single" w:sz="4" w:space="0" w:color="auto"/>
              <w:right w:val="single" w:sz="4" w:space="0" w:color="auto"/>
            </w:tcBorders>
            <w:noWrap/>
            <w:textDirection w:val="lrTb"/>
            <w:vAlign w:val="bottom"/>
          </w:tcPr>
          <w:p w:rsidR="0045399D" w:rsidRPr="00D84558">
            <w:pPr>
              <w:bidi w:val="0"/>
              <w:jc w:val="right"/>
              <w:rPr>
                <w:rFonts w:ascii="Times New Roman" w:hAnsi="Times New Roman"/>
              </w:rPr>
            </w:pPr>
            <w:r w:rsidRPr="00AF3658">
              <w:rPr>
                <w:rFonts w:ascii="Times New Roman" w:hAnsi="Times New Roman"/>
              </w:rPr>
              <w:t>14 357 023</w:t>
            </w:r>
          </w:p>
        </w:tc>
      </w:tr>
      <w:tr>
        <w:tblPrEx>
          <w:tblW w:w="7739" w:type="dxa"/>
          <w:tblCellMar>
            <w:left w:w="70" w:type="dxa"/>
            <w:right w:w="70" w:type="dxa"/>
          </w:tblCellMar>
          <w:tblLook w:val="00A0"/>
        </w:tblPrEx>
        <w:trPr>
          <w:trHeight w:val="300"/>
        </w:trPr>
        <w:tc>
          <w:tcPr>
            <w:tcW w:w="1474" w:type="dxa"/>
            <w:tcBorders>
              <w:top w:val="nil"/>
              <w:left w:val="single" w:sz="4" w:space="0" w:color="auto"/>
              <w:bottom w:val="single" w:sz="4" w:space="0" w:color="auto"/>
              <w:right w:val="single" w:sz="4" w:space="0" w:color="auto"/>
            </w:tcBorders>
            <w:noWrap/>
            <w:textDirection w:val="lrTb"/>
            <w:vAlign w:val="bottom"/>
          </w:tcPr>
          <w:p w:rsidR="00BA3FEB" w:rsidRPr="00D84558" w:rsidP="00BA3FEB">
            <w:pPr>
              <w:bidi w:val="0"/>
              <w:rPr>
                <w:rFonts w:ascii="Times New Roman" w:hAnsi="Times New Roman"/>
                <w:b/>
              </w:rPr>
            </w:pPr>
            <w:r w:rsidRPr="00D84558">
              <w:rPr>
                <w:rFonts w:ascii="Times New Roman" w:hAnsi="Times New Roman"/>
                <w:b/>
              </w:rPr>
              <w:t>Neutrálny vývoj</w:t>
            </w:r>
          </w:p>
        </w:tc>
        <w:tc>
          <w:tcPr>
            <w:tcW w:w="2012" w:type="dxa"/>
            <w:tcBorders>
              <w:top w:val="nil"/>
              <w:left w:val="nil"/>
              <w:bottom w:val="single" w:sz="4" w:space="0" w:color="auto"/>
              <w:right w:val="single" w:sz="4" w:space="0" w:color="auto"/>
            </w:tcBorders>
            <w:noWrap/>
            <w:textDirection w:val="lrTb"/>
            <w:vAlign w:val="bottom"/>
          </w:tcPr>
          <w:p w:rsidR="00BA3FEB" w:rsidRPr="00D84558" w:rsidP="00326E33">
            <w:pPr>
              <w:bidi w:val="0"/>
              <w:jc w:val="right"/>
              <w:rPr>
                <w:rFonts w:ascii="Times New Roman" w:hAnsi="Times New Roman"/>
              </w:rPr>
            </w:pPr>
          </w:p>
        </w:tc>
        <w:tc>
          <w:tcPr>
            <w:tcW w:w="1418" w:type="dxa"/>
            <w:tcBorders>
              <w:top w:val="nil"/>
              <w:left w:val="nil"/>
              <w:bottom w:val="single" w:sz="4" w:space="0" w:color="auto"/>
              <w:right w:val="single" w:sz="4" w:space="0" w:color="auto"/>
            </w:tcBorders>
            <w:noWrap/>
            <w:textDirection w:val="lrTb"/>
            <w:vAlign w:val="bottom"/>
          </w:tcPr>
          <w:p w:rsidR="00BA3FEB" w:rsidRPr="00D84558" w:rsidP="00326E33">
            <w:pPr>
              <w:bidi w:val="0"/>
              <w:jc w:val="right"/>
              <w:rPr>
                <w:rFonts w:ascii="Times New Roman" w:hAnsi="Times New Roman"/>
              </w:rPr>
            </w:pPr>
          </w:p>
        </w:tc>
        <w:tc>
          <w:tcPr>
            <w:tcW w:w="1417" w:type="dxa"/>
            <w:tcBorders>
              <w:top w:val="nil"/>
              <w:left w:val="nil"/>
              <w:bottom w:val="single" w:sz="4" w:space="0" w:color="auto"/>
              <w:right w:val="single" w:sz="4" w:space="0" w:color="auto"/>
            </w:tcBorders>
            <w:noWrap/>
            <w:textDirection w:val="lrTb"/>
            <w:vAlign w:val="bottom"/>
          </w:tcPr>
          <w:p w:rsidR="00BA3FEB" w:rsidRPr="00D84558" w:rsidP="00326E33">
            <w:pPr>
              <w:bidi w:val="0"/>
              <w:jc w:val="right"/>
              <w:rPr>
                <w:rFonts w:ascii="Times New Roman" w:hAnsi="Times New Roman"/>
              </w:rPr>
            </w:pPr>
          </w:p>
        </w:tc>
        <w:tc>
          <w:tcPr>
            <w:tcW w:w="1418" w:type="dxa"/>
            <w:tcBorders>
              <w:top w:val="nil"/>
              <w:left w:val="nil"/>
              <w:bottom w:val="single" w:sz="4" w:space="0" w:color="auto"/>
              <w:right w:val="single" w:sz="4" w:space="0" w:color="auto"/>
            </w:tcBorders>
            <w:noWrap/>
            <w:textDirection w:val="lrTb"/>
            <w:vAlign w:val="bottom"/>
          </w:tcPr>
          <w:p w:rsidR="00BA3FEB" w:rsidRPr="00D84558" w:rsidP="00326E33">
            <w:pPr>
              <w:bidi w:val="0"/>
              <w:jc w:val="right"/>
              <w:rPr>
                <w:rFonts w:ascii="Times New Roman" w:hAnsi="Times New Roman"/>
              </w:rPr>
            </w:pPr>
          </w:p>
        </w:tc>
      </w:tr>
      <w:tr>
        <w:tblPrEx>
          <w:tblW w:w="7739" w:type="dxa"/>
          <w:tblCellMar>
            <w:left w:w="70" w:type="dxa"/>
            <w:right w:w="70" w:type="dxa"/>
          </w:tblCellMar>
          <w:tblLook w:val="00A0"/>
        </w:tblPrEx>
        <w:trPr>
          <w:trHeight w:val="300"/>
        </w:trPr>
        <w:tc>
          <w:tcPr>
            <w:tcW w:w="1474" w:type="dxa"/>
            <w:tcBorders>
              <w:top w:val="nil"/>
              <w:left w:val="single" w:sz="4" w:space="0" w:color="auto"/>
              <w:bottom w:val="single" w:sz="4" w:space="0" w:color="auto"/>
              <w:right w:val="single" w:sz="4" w:space="0" w:color="auto"/>
            </w:tcBorders>
            <w:noWrap/>
            <w:textDirection w:val="lrTb"/>
            <w:vAlign w:val="bottom"/>
          </w:tcPr>
          <w:p w:rsidR="00DF3A7A" w:rsidRPr="00D84558" w:rsidP="00BA3FEB">
            <w:pPr>
              <w:bidi w:val="0"/>
              <w:rPr>
                <w:rFonts w:ascii="Times New Roman" w:hAnsi="Times New Roman"/>
              </w:rPr>
            </w:pPr>
            <w:r w:rsidRPr="00D84558">
              <w:rPr>
                <w:rFonts w:ascii="Times New Roman" w:hAnsi="Times New Roman"/>
              </w:rPr>
              <w:t>Bez novely</w:t>
            </w:r>
          </w:p>
        </w:tc>
        <w:tc>
          <w:tcPr>
            <w:tcW w:w="2012" w:type="dxa"/>
            <w:tcBorders>
              <w:top w:val="nil"/>
              <w:left w:val="nil"/>
              <w:bottom w:val="single" w:sz="4" w:space="0" w:color="auto"/>
              <w:right w:val="single" w:sz="4" w:space="0" w:color="auto"/>
            </w:tcBorders>
            <w:noWrap/>
            <w:textDirection w:val="lrTb"/>
            <w:vAlign w:val="bottom"/>
          </w:tcPr>
          <w:p w:rsidR="00DF3A7A" w:rsidRPr="00D84558">
            <w:pPr>
              <w:bidi w:val="0"/>
              <w:jc w:val="right"/>
              <w:rPr>
                <w:rFonts w:ascii="Times New Roman" w:hAnsi="Times New Roman"/>
              </w:rPr>
            </w:pPr>
            <w:r w:rsidRPr="00590859">
              <w:rPr>
                <w:rFonts w:ascii="Times New Roman" w:hAnsi="Times New Roman"/>
              </w:rPr>
              <w:t>-2 408 683</w:t>
            </w:r>
          </w:p>
        </w:tc>
        <w:tc>
          <w:tcPr>
            <w:tcW w:w="1418" w:type="dxa"/>
            <w:tcBorders>
              <w:top w:val="nil"/>
              <w:left w:val="nil"/>
              <w:bottom w:val="single" w:sz="4" w:space="0" w:color="auto"/>
              <w:right w:val="single" w:sz="4" w:space="0" w:color="auto"/>
            </w:tcBorders>
            <w:noWrap/>
            <w:textDirection w:val="lrTb"/>
            <w:vAlign w:val="bottom"/>
          </w:tcPr>
          <w:p w:rsidR="00DF3A7A" w:rsidRPr="00D84558">
            <w:pPr>
              <w:bidi w:val="0"/>
              <w:jc w:val="right"/>
              <w:rPr>
                <w:rFonts w:ascii="Times New Roman" w:hAnsi="Times New Roman"/>
              </w:rPr>
            </w:pPr>
            <w:r w:rsidRPr="00590859">
              <w:rPr>
                <w:rFonts w:ascii="Times New Roman" w:hAnsi="Times New Roman"/>
              </w:rPr>
              <w:t>-2 186 543</w:t>
            </w:r>
          </w:p>
        </w:tc>
        <w:tc>
          <w:tcPr>
            <w:tcW w:w="1417" w:type="dxa"/>
            <w:tcBorders>
              <w:top w:val="nil"/>
              <w:left w:val="nil"/>
              <w:bottom w:val="single" w:sz="4" w:space="0" w:color="auto"/>
              <w:right w:val="single" w:sz="4" w:space="0" w:color="auto"/>
            </w:tcBorders>
            <w:noWrap/>
            <w:textDirection w:val="lrTb"/>
            <w:vAlign w:val="bottom"/>
          </w:tcPr>
          <w:p w:rsidR="00DF3A7A" w:rsidRPr="00D84558">
            <w:pPr>
              <w:bidi w:val="0"/>
              <w:jc w:val="right"/>
              <w:rPr>
                <w:rFonts w:ascii="Times New Roman" w:hAnsi="Times New Roman"/>
              </w:rPr>
            </w:pPr>
            <w:r w:rsidRPr="00590859">
              <w:rPr>
                <w:rFonts w:ascii="Times New Roman" w:hAnsi="Times New Roman"/>
              </w:rPr>
              <w:t>1 633 708</w:t>
            </w:r>
          </w:p>
        </w:tc>
        <w:tc>
          <w:tcPr>
            <w:tcW w:w="1418" w:type="dxa"/>
            <w:tcBorders>
              <w:top w:val="nil"/>
              <w:left w:val="nil"/>
              <w:bottom w:val="single" w:sz="4" w:space="0" w:color="auto"/>
              <w:right w:val="single" w:sz="4" w:space="0" w:color="auto"/>
            </w:tcBorders>
            <w:noWrap/>
            <w:textDirection w:val="lrTb"/>
            <w:vAlign w:val="bottom"/>
          </w:tcPr>
          <w:p w:rsidR="00DF3A7A" w:rsidRPr="00D84558">
            <w:pPr>
              <w:bidi w:val="0"/>
              <w:jc w:val="right"/>
              <w:rPr>
                <w:rFonts w:ascii="Times New Roman" w:hAnsi="Times New Roman"/>
              </w:rPr>
            </w:pPr>
            <w:r w:rsidRPr="00590859">
              <w:rPr>
                <w:rFonts w:ascii="Times New Roman" w:hAnsi="Times New Roman"/>
              </w:rPr>
              <w:t>5 922 190</w:t>
            </w:r>
          </w:p>
        </w:tc>
      </w:tr>
      <w:tr>
        <w:tblPrEx>
          <w:tblW w:w="7739" w:type="dxa"/>
          <w:tblCellMar>
            <w:left w:w="70" w:type="dxa"/>
            <w:right w:w="70" w:type="dxa"/>
          </w:tblCellMar>
          <w:tblLook w:val="00A0"/>
        </w:tblPrEx>
        <w:trPr>
          <w:trHeight w:val="300"/>
        </w:trPr>
        <w:tc>
          <w:tcPr>
            <w:tcW w:w="1474" w:type="dxa"/>
            <w:tcBorders>
              <w:top w:val="nil"/>
              <w:left w:val="single" w:sz="4" w:space="0" w:color="auto"/>
              <w:bottom w:val="single" w:sz="4" w:space="0" w:color="auto"/>
              <w:right w:val="single" w:sz="4" w:space="0" w:color="auto"/>
            </w:tcBorders>
            <w:noWrap/>
            <w:textDirection w:val="lrTb"/>
            <w:vAlign w:val="bottom"/>
          </w:tcPr>
          <w:p w:rsidR="0045399D" w:rsidRPr="00D84558" w:rsidP="00BA3FEB">
            <w:pPr>
              <w:bidi w:val="0"/>
              <w:rPr>
                <w:rFonts w:ascii="Times New Roman" w:hAnsi="Times New Roman"/>
              </w:rPr>
            </w:pPr>
            <w:r w:rsidRPr="00D84558">
              <w:rPr>
                <w:rFonts w:ascii="Times New Roman" w:hAnsi="Times New Roman"/>
              </w:rPr>
              <w:t>S novelou</w:t>
            </w:r>
          </w:p>
        </w:tc>
        <w:tc>
          <w:tcPr>
            <w:tcW w:w="2012" w:type="dxa"/>
            <w:tcBorders>
              <w:top w:val="nil"/>
              <w:left w:val="nil"/>
              <w:bottom w:val="single" w:sz="4" w:space="0" w:color="auto"/>
              <w:right w:val="single" w:sz="4" w:space="0" w:color="auto"/>
            </w:tcBorders>
            <w:noWrap/>
            <w:textDirection w:val="lrTb"/>
            <w:vAlign w:val="bottom"/>
          </w:tcPr>
          <w:p w:rsidR="0045399D" w:rsidRPr="00D84558">
            <w:pPr>
              <w:bidi w:val="0"/>
              <w:jc w:val="right"/>
              <w:rPr>
                <w:rFonts w:ascii="Times New Roman" w:hAnsi="Times New Roman"/>
              </w:rPr>
            </w:pPr>
            <w:r w:rsidRPr="00590859">
              <w:rPr>
                <w:rFonts w:ascii="Times New Roman" w:hAnsi="Times New Roman"/>
              </w:rPr>
              <w:t>-3 582 691</w:t>
            </w:r>
          </w:p>
        </w:tc>
        <w:tc>
          <w:tcPr>
            <w:tcW w:w="1418" w:type="dxa"/>
            <w:tcBorders>
              <w:top w:val="nil"/>
              <w:left w:val="nil"/>
              <w:bottom w:val="single" w:sz="4" w:space="0" w:color="auto"/>
              <w:right w:val="single" w:sz="4" w:space="0" w:color="auto"/>
            </w:tcBorders>
            <w:noWrap/>
            <w:textDirection w:val="lrTb"/>
            <w:vAlign w:val="bottom"/>
          </w:tcPr>
          <w:p w:rsidR="0045399D" w:rsidRPr="00D84558">
            <w:pPr>
              <w:bidi w:val="0"/>
              <w:jc w:val="right"/>
              <w:rPr>
                <w:rFonts w:ascii="Times New Roman" w:hAnsi="Times New Roman"/>
              </w:rPr>
            </w:pPr>
            <w:r w:rsidRPr="00AF3658">
              <w:rPr>
                <w:rFonts w:ascii="Times New Roman" w:hAnsi="Times New Roman"/>
              </w:rPr>
              <w:t>-707 337</w:t>
            </w:r>
          </w:p>
        </w:tc>
        <w:tc>
          <w:tcPr>
            <w:tcW w:w="1417" w:type="dxa"/>
            <w:tcBorders>
              <w:top w:val="nil"/>
              <w:left w:val="nil"/>
              <w:bottom w:val="single" w:sz="4" w:space="0" w:color="auto"/>
              <w:right w:val="single" w:sz="4" w:space="0" w:color="auto"/>
            </w:tcBorders>
            <w:noWrap/>
            <w:textDirection w:val="lrTb"/>
            <w:vAlign w:val="bottom"/>
          </w:tcPr>
          <w:p w:rsidR="0045399D" w:rsidRPr="00D84558">
            <w:pPr>
              <w:bidi w:val="0"/>
              <w:jc w:val="right"/>
              <w:rPr>
                <w:rFonts w:ascii="Times New Roman" w:hAnsi="Times New Roman"/>
              </w:rPr>
            </w:pPr>
            <w:r w:rsidRPr="00AF3658">
              <w:rPr>
                <w:rFonts w:ascii="Times New Roman" w:hAnsi="Times New Roman"/>
              </w:rPr>
              <w:t>5 310 572</w:t>
            </w:r>
          </w:p>
        </w:tc>
        <w:tc>
          <w:tcPr>
            <w:tcW w:w="1418" w:type="dxa"/>
            <w:tcBorders>
              <w:top w:val="nil"/>
              <w:left w:val="nil"/>
              <w:bottom w:val="single" w:sz="4" w:space="0" w:color="auto"/>
              <w:right w:val="single" w:sz="4" w:space="0" w:color="auto"/>
            </w:tcBorders>
            <w:noWrap/>
            <w:textDirection w:val="lrTb"/>
            <w:vAlign w:val="bottom"/>
          </w:tcPr>
          <w:p w:rsidR="0045399D" w:rsidRPr="00D84558">
            <w:pPr>
              <w:bidi w:val="0"/>
              <w:jc w:val="right"/>
              <w:rPr>
                <w:rFonts w:ascii="Times New Roman" w:hAnsi="Times New Roman"/>
              </w:rPr>
            </w:pPr>
            <w:r w:rsidRPr="00AF3658">
              <w:rPr>
                <w:rFonts w:ascii="Times New Roman" w:hAnsi="Times New Roman"/>
              </w:rPr>
              <w:t>10 689 459</w:t>
            </w:r>
          </w:p>
        </w:tc>
      </w:tr>
      <w:tr>
        <w:tblPrEx>
          <w:tblW w:w="7739" w:type="dxa"/>
          <w:tblCellMar>
            <w:left w:w="70" w:type="dxa"/>
            <w:right w:w="70" w:type="dxa"/>
          </w:tblCellMar>
          <w:tblLook w:val="00A0"/>
        </w:tblPrEx>
        <w:trPr>
          <w:trHeight w:val="300"/>
        </w:trPr>
        <w:tc>
          <w:tcPr>
            <w:tcW w:w="1474"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D84558" w:rsidP="00BA3FEB">
            <w:pPr>
              <w:bidi w:val="0"/>
              <w:rPr>
                <w:rFonts w:ascii="Times New Roman" w:hAnsi="Times New Roman"/>
                <w:b/>
              </w:rPr>
            </w:pPr>
            <w:r w:rsidRPr="00D84558">
              <w:rPr>
                <w:rFonts w:ascii="Times New Roman" w:hAnsi="Times New Roman"/>
                <w:b/>
              </w:rPr>
              <w:t>Pesimistický vývoj</w:t>
            </w:r>
          </w:p>
        </w:tc>
        <w:tc>
          <w:tcPr>
            <w:tcW w:w="2012" w:type="dxa"/>
            <w:tcBorders>
              <w:top w:val="single" w:sz="4" w:space="0" w:color="auto"/>
              <w:left w:val="nil"/>
              <w:bottom w:val="single" w:sz="4" w:space="0" w:color="auto"/>
              <w:right w:val="single" w:sz="4" w:space="0" w:color="auto"/>
            </w:tcBorders>
            <w:noWrap/>
            <w:textDirection w:val="lrTb"/>
            <w:vAlign w:val="bottom"/>
          </w:tcPr>
          <w:p w:rsidR="00BA3FEB" w:rsidRPr="00D84558" w:rsidP="00326E33">
            <w:pPr>
              <w:bidi w:val="0"/>
              <w:jc w:val="right"/>
              <w:rPr>
                <w:rFonts w:ascii="Times New Roman" w:hAnsi="Times New Roman"/>
              </w:rPr>
            </w:pPr>
          </w:p>
        </w:tc>
        <w:tc>
          <w:tcPr>
            <w:tcW w:w="1418" w:type="dxa"/>
            <w:tcBorders>
              <w:top w:val="single" w:sz="4" w:space="0" w:color="auto"/>
              <w:left w:val="nil"/>
              <w:bottom w:val="single" w:sz="4" w:space="0" w:color="auto"/>
              <w:right w:val="single" w:sz="4" w:space="0" w:color="auto"/>
            </w:tcBorders>
            <w:noWrap/>
            <w:textDirection w:val="lrTb"/>
            <w:vAlign w:val="bottom"/>
          </w:tcPr>
          <w:p w:rsidR="00BA3FEB" w:rsidRPr="00D84558" w:rsidP="00326E33">
            <w:pPr>
              <w:bidi w:val="0"/>
              <w:jc w:val="right"/>
              <w:rPr>
                <w:rFonts w:ascii="Times New Roman" w:hAnsi="Times New Roman"/>
              </w:rPr>
            </w:pPr>
          </w:p>
        </w:tc>
        <w:tc>
          <w:tcPr>
            <w:tcW w:w="1417" w:type="dxa"/>
            <w:tcBorders>
              <w:top w:val="single" w:sz="4" w:space="0" w:color="auto"/>
              <w:left w:val="nil"/>
              <w:bottom w:val="single" w:sz="4" w:space="0" w:color="auto"/>
              <w:right w:val="single" w:sz="4" w:space="0" w:color="auto"/>
            </w:tcBorders>
            <w:noWrap/>
            <w:textDirection w:val="lrTb"/>
            <w:vAlign w:val="bottom"/>
          </w:tcPr>
          <w:p w:rsidR="00BA3FEB" w:rsidRPr="00D84558" w:rsidP="00326E33">
            <w:pPr>
              <w:bidi w:val="0"/>
              <w:jc w:val="right"/>
              <w:rPr>
                <w:rFonts w:ascii="Times New Roman" w:hAnsi="Times New Roman"/>
              </w:rPr>
            </w:pPr>
          </w:p>
        </w:tc>
        <w:tc>
          <w:tcPr>
            <w:tcW w:w="1418" w:type="dxa"/>
            <w:tcBorders>
              <w:top w:val="single" w:sz="4" w:space="0" w:color="auto"/>
              <w:left w:val="nil"/>
              <w:bottom w:val="single" w:sz="4" w:space="0" w:color="auto"/>
              <w:right w:val="single" w:sz="4" w:space="0" w:color="auto"/>
            </w:tcBorders>
            <w:noWrap/>
            <w:textDirection w:val="lrTb"/>
            <w:vAlign w:val="bottom"/>
          </w:tcPr>
          <w:p w:rsidR="00BA3FEB" w:rsidRPr="00D84558" w:rsidP="00326E33">
            <w:pPr>
              <w:bidi w:val="0"/>
              <w:jc w:val="right"/>
              <w:rPr>
                <w:rFonts w:ascii="Times New Roman" w:hAnsi="Times New Roman"/>
              </w:rPr>
            </w:pPr>
          </w:p>
        </w:tc>
      </w:tr>
      <w:tr>
        <w:tblPrEx>
          <w:tblW w:w="7739" w:type="dxa"/>
          <w:tblCellMar>
            <w:left w:w="70" w:type="dxa"/>
            <w:right w:w="70" w:type="dxa"/>
          </w:tblCellMar>
          <w:tblLook w:val="00A0"/>
        </w:tblPrEx>
        <w:trPr>
          <w:trHeight w:val="300"/>
        </w:trPr>
        <w:tc>
          <w:tcPr>
            <w:tcW w:w="1474" w:type="dxa"/>
            <w:tcBorders>
              <w:top w:val="single" w:sz="4" w:space="0" w:color="auto"/>
              <w:left w:val="single" w:sz="4" w:space="0" w:color="auto"/>
              <w:bottom w:val="single" w:sz="4" w:space="0" w:color="auto"/>
              <w:right w:val="single" w:sz="4" w:space="0" w:color="auto"/>
            </w:tcBorders>
            <w:noWrap/>
            <w:textDirection w:val="lrTb"/>
            <w:vAlign w:val="bottom"/>
          </w:tcPr>
          <w:p w:rsidR="00DF3A7A" w:rsidRPr="00D84558" w:rsidP="00BA3FEB">
            <w:pPr>
              <w:bidi w:val="0"/>
              <w:rPr>
                <w:rFonts w:ascii="Times New Roman" w:hAnsi="Times New Roman"/>
              </w:rPr>
            </w:pPr>
            <w:r w:rsidRPr="00D84558">
              <w:rPr>
                <w:rFonts w:ascii="Times New Roman" w:hAnsi="Times New Roman"/>
              </w:rPr>
              <w:t>Bez novely</w:t>
            </w:r>
          </w:p>
        </w:tc>
        <w:tc>
          <w:tcPr>
            <w:tcW w:w="2012" w:type="dxa"/>
            <w:tcBorders>
              <w:top w:val="single" w:sz="4" w:space="0" w:color="auto"/>
              <w:left w:val="nil"/>
              <w:bottom w:val="single" w:sz="4" w:space="0" w:color="auto"/>
              <w:right w:val="single" w:sz="4" w:space="0" w:color="auto"/>
            </w:tcBorders>
            <w:noWrap/>
            <w:textDirection w:val="lrTb"/>
            <w:vAlign w:val="bottom"/>
          </w:tcPr>
          <w:p w:rsidR="00DF3A7A" w:rsidRPr="00D84558">
            <w:pPr>
              <w:bidi w:val="0"/>
              <w:jc w:val="right"/>
              <w:rPr>
                <w:rFonts w:ascii="Times New Roman" w:hAnsi="Times New Roman"/>
              </w:rPr>
            </w:pPr>
            <w:r w:rsidRPr="00590859">
              <w:rPr>
                <w:rFonts w:ascii="Times New Roman" w:hAnsi="Times New Roman"/>
              </w:rPr>
              <w:t>-2 408 683</w:t>
            </w:r>
          </w:p>
        </w:tc>
        <w:tc>
          <w:tcPr>
            <w:tcW w:w="1418" w:type="dxa"/>
            <w:tcBorders>
              <w:top w:val="single" w:sz="4" w:space="0" w:color="auto"/>
              <w:left w:val="nil"/>
              <w:bottom w:val="single" w:sz="4" w:space="0" w:color="auto"/>
              <w:right w:val="single" w:sz="4" w:space="0" w:color="auto"/>
            </w:tcBorders>
            <w:noWrap/>
            <w:textDirection w:val="lrTb"/>
            <w:vAlign w:val="bottom"/>
          </w:tcPr>
          <w:p w:rsidR="00DF3A7A" w:rsidRPr="00D84558">
            <w:pPr>
              <w:bidi w:val="0"/>
              <w:jc w:val="right"/>
              <w:rPr>
                <w:rFonts w:ascii="Times New Roman" w:hAnsi="Times New Roman"/>
              </w:rPr>
            </w:pPr>
            <w:r w:rsidRPr="00590859">
              <w:rPr>
                <w:rFonts w:ascii="Times New Roman" w:hAnsi="Times New Roman"/>
              </w:rPr>
              <w:t>-2 186 543</w:t>
            </w:r>
          </w:p>
        </w:tc>
        <w:tc>
          <w:tcPr>
            <w:tcW w:w="1417" w:type="dxa"/>
            <w:tcBorders>
              <w:top w:val="single" w:sz="4" w:space="0" w:color="auto"/>
              <w:left w:val="nil"/>
              <w:bottom w:val="single" w:sz="4" w:space="0" w:color="auto"/>
              <w:right w:val="single" w:sz="4" w:space="0" w:color="auto"/>
            </w:tcBorders>
            <w:noWrap/>
            <w:textDirection w:val="lrTb"/>
            <w:vAlign w:val="bottom"/>
          </w:tcPr>
          <w:p w:rsidR="00DF3A7A" w:rsidRPr="00D84558">
            <w:pPr>
              <w:bidi w:val="0"/>
              <w:jc w:val="right"/>
              <w:rPr>
                <w:rFonts w:ascii="Times New Roman" w:hAnsi="Times New Roman"/>
              </w:rPr>
            </w:pPr>
            <w:r w:rsidRPr="00590859">
              <w:rPr>
                <w:rFonts w:ascii="Times New Roman" w:hAnsi="Times New Roman"/>
              </w:rPr>
              <w:t>175 253</w:t>
            </w:r>
          </w:p>
        </w:tc>
        <w:tc>
          <w:tcPr>
            <w:tcW w:w="1418" w:type="dxa"/>
            <w:tcBorders>
              <w:top w:val="single" w:sz="4" w:space="0" w:color="auto"/>
              <w:left w:val="nil"/>
              <w:bottom w:val="single" w:sz="4" w:space="0" w:color="auto"/>
              <w:right w:val="single" w:sz="4" w:space="0" w:color="auto"/>
            </w:tcBorders>
            <w:noWrap/>
            <w:textDirection w:val="lrTb"/>
            <w:vAlign w:val="bottom"/>
          </w:tcPr>
          <w:p w:rsidR="00DF3A7A" w:rsidRPr="00D84558">
            <w:pPr>
              <w:bidi w:val="0"/>
              <w:jc w:val="right"/>
              <w:rPr>
                <w:rFonts w:ascii="Times New Roman" w:hAnsi="Times New Roman"/>
              </w:rPr>
            </w:pPr>
            <w:r w:rsidRPr="00590859">
              <w:rPr>
                <w:rFonts w:ascii="Times New Roman" w:hAnsi="Times New Roman"/>
              </w:rPr>
              <w:t>3 699 565</w:t>
            </w:r>
          </w:p>
        </w:tc>
      </w:tr>
      <w:tr>
        <w:tblPrEx>
          <w:tblW w:w="7739" w:type="dxa"/>
          <w:tblCellMar>
            <w:left w:w="70" w:type="dxa"/>
            <w:right w:w="70" w:type="dxa"/>
          </w:tblCellMar>
          <w:tblLook w:val="00A0"/>
        </w:tblPrEx>
        <w:trPr>
          <w:trHeight w:val="300"/>
        </w:trPr>
        <w:tc>
          <w:tcPr>
            <w:tcW w:w="1474" w:type="dxa"/>
            <w:tcBorders>
              <w:top w:val="single" w:sz="4" w:space="0" w:color="auto"/>
              <w:left w:val="single" w:sz="4" w:space="0" w:color="auto"/>
              <w:bottom w:val="single" w:sz="4" w:space="0" w:color="auto"/>
              <w:right w:val="single" w:sz="4" w:space="0" w:color="auto"/>
            </w:tcBorders>
            <w:noWrap/>
            <w:textDirection w:val="lrTb"/>
            <w:vAlign w:val="bottom"/>
          </w:tcPr>
          <w:p w:rsidR="0045399D" w:rsidRPr="00D84558" w:rsidP="00BA3FEB">
            <w:pPr>
              <w:bidi w:val="0"/>
              <w:rPr>
                <w:rFonts w:ascii="Times New Roman" w:hAnsi="Times New Roman"/>
              </w:rPr>
            </w:pPr>
            <w:r w:rsidRPr="00D84558">
              <w:rPr>
                <w:rFonts w:ascii="Times New Roman" w:hAnsi="Times New Roman"/>
              </w:rPr>
              <w:t>S novelou</w:t>
            </w:r>
          </w:p>
        </w:tc>
        <w:tc>
          <w:tcPr>
            <w:tcW w:w="2012" w:type="dxa"/>
            <w:tcBorders>
              <w:top w:val="single" w:sz="4" w:space="0" w:color="auto"/>
              <w:left w:val="nil"/>
              <w:bottom w:val="single" w:sz="4" w:space="0" w:color="auto"/>
              <w:right w:val="single" w:sz="4" w:space="0" w:color="auto"/>
            </w:tcBorders>
            <w:noWrap/>
            <w:textDirection w:val="lrTb"/>
            <w:vAlign w:val="bottom"/>
          </w:tcPr>
          <w:p w:rsidR="0045399D" w:rsidRPr="00D84558">
            <w:pPr>
              <w:bidi w:val="0"/>
              <w:jc w:val="right"/>
              <w:rPr>
                <w:rFonts w:ascii="Times New Roman" w:hAnsi="Times New Roman"/>
              </w:rPr>
            </w:pPr>
            <w:r w:rsidRPr="00590859">
              <w:rPr>
                <w:rFonts w:ascii="Times New Roman" w:hAnsi="Times New Roman"/>
              </w:rPr>
              <w:t>-3 582 691</w:t>
            </w:r>
          </w:p>
        </w:tc>
        <w:tc>
          <w:tcPr>
            <w:tcW w:w="1418" w:type="dxa"/>
            <w:tcBorders>
              <w:top w:val="single" w:sz="4" w:space="0" w:color="auto"/>
              <w:left w:val="nil"/>
              <w:bottom w:val="single" w:sz="4" w:space="0" w:color="auto"/>
              <w:right w:val="single" w:sz="4" w:space="0" w:color="auto"/>
            </w:tcBorders>
            <w:noWrap/>
            <w:textDirection w:val="lrTb"/>
            <w:vAlign w:val="bottom"/>
          </w:tcPr>
          <w:p w:rsidR="0045399D" w:rsidRPr="00D84558">
            <w:pPr>
              <w:bidi w:val="0"/>
              <w:jc w:val="right"/>
              <w:rPr>
                <w:rFonts w:ascii="Times New Roman" w:hAnsi="Times New Roman"/>
              </w:rPr>
            </w:pPr>
            <w:r w:rsidRPr="00AF3658">
              <w:rPr>
                <w:rFonts w:ascii="Times New Roman" w:hAnsi="Times New Roman"/>
              </w:rPr>
              <w:t>-707 337</w:t>
            </w:r>
          </w:p>
        </w:tc>
        <w:tc>
          <w:tcPr>
            <w:tcW w:w="1417" w:type="dxa"/>
            <w:tcBorders>
              <w:top w:val="single" w:sz="4" w:space="0" w:color="auto"/>
              <w:left w:val="nil"/>
              <w:bottom w:val="single" w:sz="4" w:space="0" w:color="auto"/>
              <w:right w:val="single" w:sz="4" w:space="0" w:color="auto"/>
            </w:tcBorders>
            <w:noWrap/>
            <w:textDirection w:val="lrTb"/>
            <w:vAlign w:val="bottom"/>
          </w:tcPr>
          <w:p w:rsidR="0045399D" w:rsidRPr="00D84558">
            <w:pPr>
              <w:bidi w:val="0"/>
              <w:jc w:val="right"/>
              <w:rPr>
                <w:rFonts w:ascii="Times New Roman" w:hAnsi="Times New Roman"/>
              </w:rPr>
            </w:pPr>
            <w:r w:rsidRPr="00AF3658">
              <w:rPr>
                <w:rFonts w:ascii="Times New Roman" w:hAnsi="Times New Roman"/>
              </w:rPr>
              <w:t>1 429 610</w:t>
            </w:r>
          </w:p>
        </w:tc>
        <w:tc>
          <w:tcPr>
            <w:tcW w:w="1418" w:type="dxa"/>
            <w:tcBorders>
              <w:top w:val="single" w:sz="4" w:space="0" w:color="auto"/>
              <w:left w:val="nil"/>
              <w:bottom w:val="single" w:sz="4" w:space="0" w:color="auto"/>
              <w:right w:val="single" w:sz="4" w:space="0" w:color="auto"/>
            </w:tcBorders>
            <w:noWrap/>
            <w:textDirection w:val="lrTb"/>
            <w:vAlign w:val="bottom"/>
          </w:tcPr>
          <w:p w:rsidR="0045399D" w:rsidRPr="00326E33">
            <w:pPr>
              <w:bidi w:val="0"/>
              <w:jc w:val="right"/>
              <w:rPr>
                <w:rFonts w:ascii="Times New Roman" w:hAnsi="Times New Roman"/>
              </w:rPr>
            </w:pPr>
            <w:r w:rsidRPr="00AF3658">
              <w:rPr>
                <w:rFonts w:ascii="Times New Roman" w:hAnsi="Times New Roman"/>
              </w:rPr>
              <w:t>5 690 870</w:t>
            </w:r>
          </w:p>
        </w:tc>
      </w:tr>
    </w:tbl>
    <w:p w:rsidR="00B53407" w:rsidRPr="005F4EFA" w:rsidP="00B53407">
      <w:pPr>
        <w:pStyle w:val="Title"/>
        <w:bidi w:val="0"/>
        <w:jc w:val="both"/>
        <w:rPr>
          <w:rFonts w:ascii="Times New Roman" w:hAnsi="Times New Roman"/>
          <w:sz w:val="20"/>
        </w:rPr>
      </w:pPr>
      <w:r>
        <w:rPr>
          <w:rFonts w:ascii="Times New Roman" w:hAnsi="Times New Roman"/>
          <w:sz w:val="20"/>
        </w:rPr>
        <w:t xml:space="preserve">Poznámky: </w:t>
        <w:tab/>
        <w:t xml:space="preserve">bez novely - </w:t>
      </w:r>
      <w:r w:rsidRPr="005F4EFA">
        <w:rPr>
          <w:rFonts w:ascii="Times New Roman" w:hAnsi="Times New Roman"/>
          <w:sz w:val="20"/>
        </w:rPr>
        <w:t>pokračovanie súčasnej právnej úpravy</w:t>
      </w:r>
    </w:p>
    <w:p w:rsidR="00B53407" w:rsidP="00B53407">
      <w:pPr>
        <w:pStyle w:val="Title"/>
        <w:bidi w:val="0"/>
        <w:ind w:left="702" w:firstLine="708"/>
        <w:jc w:val="both"/>
        <w:rPr>
          <w:rFonts w:ascii="Times New Roman" w:hAnsi="Times New Roman"/>
          <w:sz w:val="20"/>
        </w:rPr>
      </w:pPr>
      <w:r>
        <w:rPr>
          <w:rFonts w:ascii="Times New Roman" w:hAnsi="Times New Roman"/>
          <w:sz w:val="20"/>
        </w:rPr>
        <w:t>s novelou - po zmenách, tak ako vyplývajú z novely</w:t>
      </w:r>
    </w:p>
    <w:p w:rsidR="00B53407" w:rsidP="00B53407">
      <w:pPr>
        <w:pStyle w:val="Title"/>
        <w:bidi w:val="0"/>
        <w:jc w:val="both"/>
        <w:rPr>
          <w:rFonts w:ascii="Times New Roman" w:hAnsi="Times New Roman"/>
          <w:sz w:val="24"/>
          <w:szCs w:val="24"/>
        </w:rPr>
      </w:pPr>
    </w:p>
    <w:p w:rsidR="00B53407" w:rsidP="00B53407">
      <w:pPr>
        <w:pStyle w:val="Title"/>
        <w:bidi w:val="0"/>
        <w:jc w:val="both"/>
        <w:rPr>
          <w:rFonts w:ascii="Times New Roman" w:hAnsi="Times New Roman"/>
          <w:sz w:val="24"/>
          <w:szCs w:val="24"/>
        </w:rPr>
      </w:pPr>
    </w:p>
    <w:p w:rsidR="00B53407" w:rsidP="00B53407">
      <w:pPr>
        <w:pStyle w:val="Title"/>
        <w:bidi w:val="0"/>
        <w:jc w:val="both"/>
        <w:rPr>
          <w:rFonts w:ascii="Times New Roman" w:hAnsi="Times New Roman"/>
          <w:sz w:val="24"/>
          <w:szCs w:val="24"/>
        </w:rPr>
      </w:pPr>
      <w:r>
        <w:rPr>
          <w:rFonts w:ascii="Times New Roman" w:hAnsi="Times New Roman"/>
          <w:sz w:val="24"/>
          <w:szCs w:val="24"/>
        </w:rPr>
        <w:t>Predpoklady:</w:t>
      </w:r>
    </w:p>
    <w:p w:rsidR="00B53407" w:rsidRPr="0023555F" w:rsidP="00B53407">
      <w:pPr>
        <w:pStyle w:val="Title"/>
        <w:numPr>
          <w:numId w:val="5"/>
        </w:numPr>
        <w:bidi w:val="0"/>
        <w:jc w:val="both"/>
        <w:rPr>
          <w:rFonts w:ascii="Times New Roman" w:hAnsi="Times New Roman"/>
          <w:color w:val="FF0000"/>
          <w:sz w:val="24"/>
          <w:szCs w:val="24"/>
        </w:rPr>
      </w:pPr>
      <w:r>
        <w:rPr>
          <w:rFonts w:ascii="Times New Roman" w:hAnsi="Times New Roman"/>
          <w:sz w:val="24"/>
          <w:szCs w:val="24"/>
        </w:rPr>
        <w:t xml:space="preserve">povinný vstup pre prvopoistencov </w:t>
      </w:r>
      <w:r w:rsidRPr="00CC7A25">
        <w:rPr>
          <w:rFonts w:ascii="Times New Roman" w:hAnsi="Times New Roman"/>
          <w:sz w:val="24"/>
          <w:szCs w:val="24"/>
        </w:rPr>
        <w:t>od 1.</w:t>
      </w:r>
      <w:r w:rsidR="00DF3A7A">
        <w:rPr>
          <w:rFonts w:ascii="Times New Roman" w:hAnsi="Times New Roman"/>
          <w:sz w:val="24"/>
          <w:szCs w:val="24"/>
        </w:rPr>
        <w:t>4</w:t>
      </w:r>
      <w:r w:rsidRPr="00CC7A25">
        <w:rPr>
          <w:rFonts w:ascii="Times New Roman" w:hAnsi="Times New Roman"/>
          <w:sz w:val="24"/>
          <w:szCs w:val="24"/>
        </w:rPr>
        <w:t>.2012</w:t>
      </w:r>
      <w:r w:rsidR="00EA0490">
        <w:rPr>
          <w:rFonts w:ascii="Times New Roman" w:hAnsi="Times New Roman"/>
          <w:sz w:val="24"/>
          <w:szCs w:val="24"/>
        </w:rPr>
        <w:t xml:space="preserve">, dobrovoľne vystúpi do </w:t>
      </w:r>
      <w:r w:rsidRPr="00D84558" w:rsidR="00EA0490">
        <w:rPr>
          <w:rFonts w:ascii="Times New Roman" w:hAnsi="Times New Roman"/>
          <w:sz w:val="24"/>
          <w:szCs w:val="24"/>
        </w:rPr>
        <w:t>2 rokov</w:t>
      </w:r>
      <w:r>
        <w:rPr>
          <w:rFonts w:ascii="Times New Roman" w:hAnsi="Times New Roman"/>
          <w:sz w:val="24"/>
          <w:szCs w:val="24"/>
        </w:rPr>
        <w:t xml:space="preserve"> od vstupu približne 10 % sporiteľov</w:t>
      </w:r>
      <w:r w:rsidRPr="0023555F">
        <w:rPr>
          <w:rFonts w:ascii="Times New Roman" w:hAnsi="Times New Roman"/>
          <w:color w:val="FF0000"/>
          <w:sz w:val="24"/>
          <w:szCs w:val="24"/>
        </w:rPr>
        <w:t>,</w:t>
      </w:r>
    </w:p>
    <w:p w:rsidR="00B53407" w:rsidP="00B53407">
      <w:pPr>
        <w:pStyle w:val="Title"/>
        <w:numPr>
          <w:numId w:val="5"/>
        </w:numPr>
        <w:bidi w:val="0"/>
        <w:jc w:val="both"/>
        <w:rPr>
          <w:rFonts w:ascii="Times New Roman" w:hAnsi="Times New Roman"/>
          <w:sz w:val="24"/>
          <w:szCs w:val="24"/>
        </w:rPr>
      </w:pPr>
      <w:r>
        <w:rPr>
          <w:rFonts w:ascii="Times New Roman" w:hAnsi="Times New Roman"/>
          <w:sz w:val="24"/>
          <w:szCs w:val="24"/>
        </w:rPr>
        <w:t>zmena výšky</w:t>
      </w:r>
      <w:r w:rsidRPr="00E77855">
        <w:rPr>
          <w:rFonts w:ascii="Times New Roman" w:hAnsi="Times New Roman"/>
          <w:sz w:val="24"/>
          <w:szCs w:val="24"/>
        </w:rPr>
        <w:t xml:space="preserve"> odpl</w:t>
      </w:r>
      <w:r>
        <w:rPr>
          <w:rFonts w:ascii="Times New Roman" w:hAnsi="Times New Roman"/>
          <w:sz w:val="24"/>
          <w:szCs w:val="24"/>
        </w:rPr>
        <w:t>a</w:t>
      </w:r>
      <w:r w:rsidRPr="00E77855">
        <w:rPr>
          <w:rFonts w:ascii="Times New Roman" w:hAnsi="Times New Roman"/>
          <w:sz w:val="24"/>
          <w:szCs w:val="24"/>
        </w:rPr>
        <w:t>t</w:t>
      </w:r>
      <w:r>
        <w:rPr>
          <w:rFonts w:ascii="Times New Roman" w:hAnsi="Times New Roman"/>
          <w:sz w:val="24"/>
          <w:szCs w:val="24"/>
        </w:rPr>
        <w:t>y</w:t>
      </w:r>
      <w:r w:rsidRPr="00E77855">
        <w:rPr>
          <w:rFonts w:ascii="Times New Roman" w:hAnsi="Times New Roman"/>
          <w:sz w:val="24"/>
          <w:szCs w:val="24"/>
        </w:rPr>
        <w:t xml:space="preserve"> </w:t>
      </w:r>
      <w:r>
        <w:rPr>
          <w:rFonts w:ascii="Times New Roman" w:hAnsi="Times New Roman"/>
          <w:sz w:val="24"/>
          <w:szCs w:val="24"/>
        </w:rPr>
        <w:t>za </w:t>
      </w:r>
      <w:r w:rsidR="0045399D">
        <w:rPr>
          <w:rFonts w:ascii="Times New Roman" w:hAnsi="Times New Roman"/>
          <w:sz w:val="24"/>
          <w:szCs w:val="24"/>
        </w:rPr>
        <w:t xml:space="preserve">zhodnotenie </w:t>
      </w:r>
      <w:r>
        <w:rPr>
          <w:rFonts w:ascii="Times New Roman" w:hAnsi="Times New Roman"/>
          <w:sz w:val="24"/>
          <w:szCs w:val="24"/>
        </w:rPr>
        <w:t xml:space="preserve">a zmena spôsobu výpočtu odplaty za zhodnotenie </w:t>
      </w:r>
      <w:r w:rsidRPr="00CC7A25">
        <w:rPr>
          <w:rFonts w:ascii="Times New Roman" w:hAnsi="Times New Roman"/>
          <w:sz w:val="24"/>
          <w:szCs w:val="24"/>
        </w:rPr>
        <w:t>od 1.</w:t>
      </w:r>
      <w:r w:rsidR="00DF3A7A">
        <w:rPr>
          <w:rFonts w:ascii="Times New Roman" w:hAnsi="Times New Roman"/>
          <w:sz w:val="24"/>
          <w:szCs w:val="24"/>
        </w:rPr>
        <w:t>4</w:t>
      </w:r>
      <w:r w:rsidRPr="00CC7A25">
        <w:rPr>
          <w:rFonts w:ascii="Times New Roman" w:hAnsi="Times New Roman"/>
          <w:sz w:val="24"/>
          <w:szCs w:val="24"/>
        </w:rPr>
        <w:t>.2012</w:t>
      </w:r>
      <w:r>
        <w:rPr>
          <w:rFonts w:ascii="Times New Roman" w:hAnsi="Times New Roman"/>
          <w:sz w:val="24"/>
          <w:szCs w:val="24"/>
        </w:rPr>
        <w:t>,</w:t>
      </w:r>
    </w:p>
    <w:p w:rsidR="00B53407" w:rsidP="00B53407">
      <w:pPr>
        <w:pStyle w:val="Title"/>
        <w:numPr>
          <w:numId w:val="5"/>
        </w:numPr>
        <w:bidi w:val="0"/>
        <w:jc w:val="both"/>
        <w:rPr>
          <w:rFonts w:ascii="Times New Roman" w:hAnsi="Times New Roman"/>
          <w:sz w:val="24"/>
          <w:szCs w:val="24"/>
        </w:rPr>
      </w:pPr>
      <w:r>
        <w:rPr>
          <w:rFonts w:ascii="Times New Roman" w:hAnsi="Times New Roman"/>
          <w:sz w:val="24"/>
          <w:szCs w:val="24"/>
        </w:rPr>
        <w:t xml:space="preserve">fondy začnú meniť svoje portfóliá v priebehu roka 2012, zvýšené zhodnotenie sa prejaví až od roku 2013 (dovtedy vo všetkých fondoch konzervatívne investovanie so zhodnotením približne 1,2 % p. a. na základe skutočnosti za rok 2010), </w:t>
      </w:r>
      <w:r w:rsidRPr="008C4D55">
        <w:rPr>
          <w:rFonts w:ascii="Times New Roman" w:hAnsi="Times New Roman"/>
          <w:sz w:val="24"/>
          <w:szCs w:val="24"/>
        </w:rPr>
        <w:t xml:space="preserve">v prípade pokračovania súčasného právneho stavu by všetky 3 fondy dosahovali zhodnotenie rovnaké ako </w:t>
      </w:r>
      <w:r>
        <w:rPr>
          <w:rFonts w:ascii="Times New Roman" w:hAnsi="Times New Roman"/>
          <w:sz w:val="24"/>
          <w:szCs w:val="24"/>
        </w:rPr>
        <w:t>dlhopisový</w:t>
      </w:r>
      <w:r w:rsidRPr="008C4D55">
        <w:rPr>
          <w:rFonts w:ascii="Times New Roman" w:hAnsi="Times New Roman"/>
          <w:sz w:val="24"/>
          <w:szCs w:val="24"/>
        </w:rPr>
        <w:t xml:space="preserve"> dôchodkový fond,</w:t>
      </w:r>
    </w:p>
    <w:p w:rsidR="00B53407" w:rsidRPr="008C4D55" w:rsidP="00B53407">
      <w:pPr>
        <w:pStyle w:val="Title"/>
        <w:numPr>
          <w:numId w:val="5"/>
        </w:numPr>
        <w:bidi w:val="0"/>
        <w:jc w:val="both"/>
        <w:rPr>
          <w:rFonts w:ascii="Times New Roman" w:hAnsi="Times New Roman"/>
          <w:sz w:val="24"/>
          <w:szCs w:val="24"/>
        </w:rPr>
      </w:pPr>
      <w:r w:rsidRPr="00392BC8">
        <w:rPr>
          <w:rFonts w:ascii="Times New Roman" w:hAnsi="Times New Roman"/>
          <w:sz w:val="24"/>
          <w:szCs w:val="24"/>
        </w:rPr>
        <w:t xml:space="preserve">priemerné ročné náklady </w:t>
      </w:r>
      <w:r w:rsidRPr="00392BC8" w:rsidR="00083D72">
        <w:rPr>
          <w:rFonts w:ascii="Times New Roman" w:hAnsi="Times New Roman"/>
          <w:sz w:val="24"/>
          <w:szCs w:val="24"/>
        </w:rPr>
        <w:t>dôchodkových správcovských spoločností</w:t>
      </w:r>
      <w:r w:rsidRPr="00392BC8">
        <w:rPr>
          <w:rFonts w:ascii="Times New Roman" w:hAnsi="Times New Roman"/>
          <w:sz w:val="24"/>
          <w:szCs w:val="24"/>
        </w:rPr>
        <w:t xml:space="preserve"> spolu v roku 2010: 25 000 000 </w:t>
      </w:r>
      <w:r w:rsidRPr="009E6B1E" w:rsidR="00FD3869">
        <w:rPr>
          <w:rFonts w:ascii="Times New Roman" w:hAnsi="Times New Roman"/>
          <w:sz w:val="24"/>
          <w:szCs w:val="24"/>
        </w:rPr>
        <w:t>eur</w:t>
      </w:r>
      <w:r w:rsidRPr="00732CA4">
        <w:rPr>
          <w:rFonts w:ascii="Times New Roman" w:hAnsi="Times New Roman"/>
          <w:sz w:val="24"/>
          <w:szCs w:val="24"/>
        </w:rPr>
        <w:t>, bez novely by rástli o 3 % ročne, s novelou jednorazový rast v 2011 na 26 </w:t>
      </w:r>
      <w:r w:rsidRPr="00392BC8" w:rsidR="00083D72">
        <w:rPr>
          <w:rFonts w:ascii="Times New Roman" w:hAnsi="Times New Roman"/>
          <w:sz w:val="24"/>
          <w:szCs w:val="24"/>
        </w:rPr>
        <w:t>920</w:t>
      </w:r>
      <w:r w:rsidRPr="00392BC8">
        <w:rPr>
          <w:rFonts w:ascii="Times New Roman" w:hAnsi="Times New Roman"/>
          <w:sz w:val="24"/>
          <w:szCs w:val="24"/>
        </w:rPr>
        <w:t xml:space="preserve"> 000 </w:t>
      </w:r>
      <w:r w:rsidRPr="00392BC8" w:rsidR="00FD3869">
        <w:rPr>
          <w:rFonts w:ascii="Times New Roman" w:hAnsi="Times New Roman"/>
          <w:sz w:val="24"/>
          <w:szCs w:val="24"/>
        </w:rPr>
        <w:t>eur</w:t>
      </w:r>
      <w:r w:rsidRPr="008C4D55">
        <w:rPr>
          <w:rFonts w:ascii="Times New Roman" w:hAnsi="Times New Roman"/>
          <w:sz w:val="24"/>
          <w:szCs w:val="24"/>
        </w:rPr>
        <w:t xml:space="preserve"> a potom </w:t>
      </w:r>
      <w:r w:rsidRPr="005F14C6">
        <w:rPr>
          <w:rFonts w:ascii="Times New Roman" w:hAnsi="Times New Roman"/>
          <w:sz w:val="24"/>
          <w:szCs w:val="24"/>
        </w:rPr>
        <w:t>3 % ročný</w:t>
      </w:r>
      <w:r w:rsidRPr="008C4D55">
        <w:rPr>
          <w:rFonts w:ascii="Times New Roman" w:hAnsi="Times New Roman"/>
          <w:sz w:val="24"/>
          <w:szCs w:val="24"/>
        </w:rPr>
        <w:t xml:space="preserve"> rast,</w:t>
      </w:r>
      <w:r>
        <w:rPr>
          <w:rFonts w:ascii="Times New Roman" w:hAnsi="Times New Roman"/>
          <w:sz w:val="24"/>
          <w:szCs w:val="24"/>
        </w:rPr>
        <w:t xml:space="preserve"> od roku 2012 však prechádza časť nákladov predtým hradených dôchodkovou správcovskou spoločnosťou na dôchodkový fond,</w:t>
      </w:r>
      <w:r w:rsidRPr="008C4D55">
        <w:rPr>
          <w:rFonts w:ascii="Times New Roman" w:hAnsi="Times New Roman"/>
          <w:sz w:val="24"/>
          <w:szCs w:val="24"/>
        </w:rPr>
        <w:t xml:space="preserve"> v </w:t>
      </w:r>
      <w:r w:rsidRPr="0066443D">
        <w:rPr>
          <w:rFonts w:ascii="Times New Roman" w:hAnsi="Times New Roman"/>
          <w:sz w:val="24"/>
          <w:szCs w:val="24"/>
        </w:rPr>
        <w:t>prepočtoch sa nezohľadňuje daň z príjmu PO, lebo DSS si môžu odrátať straty za predchádzajúce obdobie,</w:t>
      </w:r>
    </w:p>
    <w:p w:rsidR="00B53407" w:rsidP="00B53407">
      <w:pPr>
        <w:pStyle w:val="Title"/>
        <w:numPr>
          <w:numId w:val="5"/>
        </w:numPr>
        <w:bidi w:val="0"/>
        <w:jc w:val="both"/>
        <w:rPr>
          <w:rFonts w:ascii="Times New Roman" w:hAnsi="Times New Roman"/>
          <w:sz w:val="24"/>
          <w:szCs w:val="24"/>
        </w:rPr>
      </w:pPr>
      <w:r>
        <w:rPr>
          <w:rFonts w:ascii="Times New Roman" w:hAnsi="Times New Roman"/>
          <w:sz w:val="24"/>
          <w:szCs w:val="24"/>
        </w:rPr>
        <w:t>priemerný rast miezd vychádza z makroekonomickej prognózy MF SR z februára 2011,</w:t>
      </w:r>
    </w:p>
    <w:p w:rsidR="00B53407" w:rsidP="00B53407">
      <w:pPr>
        <w:pStyle w:val="Title"/>
        <w:numPr>
          <w:numId w:val="5"/>
        </w:numPr>
        <w:bidi w:val="0"/>
        <w:jc w:val="both"/>
        <w:rPr>
          <w:rFonts w:ascii="Times New Roman" w:hAnsi="Times New Roman"/>
          <w:sz w:val="24"/>
          <w:szCs w:val="24"/>
        </w:rPr>
      </w:pPr>
      <w:r>
        <w:rPr>
          <w:rFonts w:ascii="Times New Roman" w:hAnsi="Times New Roman"/>
          <w:sz w:val="24"/>
          <w:szCs w:val="24"/>
        </w:rPr>
        <w:t>dôchodkové správcovské spoločnosti využijú sadzby odplát v maximálnych výškach, ktoré zákon pripúšťa,</w:t>
      </w:r>
    </w:p>
    <w:p w:rsidR="00B53407" w:rsidRPr="00BA3FEB" w:rsidP="00BA3FEB">
      <w:pPr>
        <w:pStyle w:val="Title"/>
        <w:numPr>
          <w:numId w:val="5"/>
        </w:numPr>
        <w:bidi w:val="0"/>
        <w:ind w:left="714" w:hanging="357"/>
        <w:jc w:val="both"/>
        <w:rPr>
          <w:rFonts w:ascii="Times New Roman" w:hAnsi="Times New Roman"/>
          <w:sz w:val="24"/>
          <w:szCs w:val="24"/>
        </w:rPr>
      </w:pPr>
      <w:r w:rsidRPr="001C1443">
        <w:rPr>
          <w:rFonts w:ascii="Times New Roman" w:hAnsi="Times New Roman"/>
          <w:sz w:val="24"/>
          <w:szCs w:val="24"/>
        </w:rPr>
        <w:t xml:space="preserve">podiel </w:t>
      </w:r>
      <w:r w:rsidRPr="001C1443" w:rsidR="001C1443">
        <w:rPr>
          <w:rFonts w:ascii="Times New Roman" w:hAnsi="Times New Roman"/>
          <w:bCs/>
          <w:sz w:val="24"/>
          <w:szCs w:val="24"/>
        </w:rPr>
        <w:t>povinne poistených osôb</w:t>
      </w:r>
      <w:r w:rsidR="001C1443">
        <w:rPr>
          <w:rFonts w:ascii="Times New Roman" w:hAnsi="Times New Roman"/>
          <w:bCs/>
        </w:rPr>
        <w:t xml:space="preserve"> </w:t>
      </w:r>
      <w:r w:rsidR="00C11899">
        <w:rPr>
          <w:rFonts w:ascii="Times New Roman" w:hAnsi="Times New Roman"/>
          <w:sz w:val="24"/>
          <w:szCs w:val="24"/>
        </w:rPr>
        <w:t>v</w:t>
      </w:r>
      <w:r>
        <w:rPr>
          <w:rFonts w:ascii="Times New Roman" w:hAnsi="Times New Roman"/>
          <w:sz w:val="24"/>
          <w:szCs w:val="24"/>
        </w:rPr>
        <w:t xml:space="preserve"> jednotlivých fondov: dlhopisový 10 %, zmiešaný 30 %, akciový 6</w:t>
      </w:r>
      <w:r w:rsidR="001C1443">
        <w:rPr>
          <w:rFonts w:ascii="Times New Roman" w:hAnsi="Times New Roman"/>
          <w:sz w:val="24"/>
          <w:szCs w:val="24"/>
        </w:rPr>
        <w:t>0 %, pričom sa</w:t>
      </w:r>
      <w:r w:rsidRPr="001C1443" w:rsidR="001C1443">
        <w:rPr>
          <w:rFonts w:ascii="Times New Roman" w:hAnsi="Times New Roman"/>
          <w:sz w:val="24"/>
          <w:szCs w:val="24"/>
        </w:rPr>
        <w:t xml:space="preserve"> </w:t>
      </w:r>
      <w:r w:rsidR="001C1443">
        <w:rPr>
          <w:rFonts w:ascii="Times New Roman" w:hAnsi="Times New Roman"/>
          <w:sz w:val="24"/>
          <w:szCs w:val="24"/>
        </w:rPr>
        <w:t xml:space="preserve">vychádzalo </w:t>
      </w:r>
      <w:r w:rsidRPr="001C1443" w:rsidR="001C1443">
        <w:rPr>
          <w:rFonts w:ascii="Times New Roman" w:hAnsi="Times New Roman"/>
          <w:bCs/>
          <w:sz w:val="24"/>
          <w:szCs w:val="24"/>
        </w:rPr>
        <w:t>zo súčasného rozdelenia sporiteľov v dôchodkových fondoch upraveného o vplyv navrhovaných zmien (nárast počtu sporiteľov v zmiešanom dôchodkovom fonde, ktorým bude tento dôchodkový fond pridelený Sociálnou poisťovňou)</w:t>
      </w:r>
      <w:r w:rsidR="001C1443">
        <w:rPr>
          <w:rFonts w:ascii="Times New Roman" w:hAnsi="Times New Roman"/>
          <w:bCs/>
          <w:sz w:val="24"/>
          <w:szCs w:val="24"/>
        </w:rPr>
        <w:t>.</w:t>
      </w:r>
    </w:p>
    <w:p w:rsidR="00BA3FEB" w:rsidRPr="001C1443" w:rsidP="00BA3FEB">
      <w:pPr>
        <w:pStyle w:val="Title"/>
        <w:bidi w:val="0"/>
        <w:jc w:val="both"/>
        <w:rPr>
          <w:rFonts w:ascii="Times New Roman" w:hAnsi="Times New Roman"/>
          <w:sz w:val="24"/>
          <w:szCs w:val="24"/>
        </w:rPr>
      </w:pPr>
    </w:p>
    <w:p w:rsidR="00B53407" w:rsidP="00BA3FEB">
      <w:pPr>
        <w:pStyle w:val="Title"/>
        <w:bidi w:val="0"/>
        <w:jc w:val="left"/>
        <w:rPr>
          <w:rFonts w:ascii="Times New Roman" w:hAnsi="Times New Roman"/>
          <w:sz w:val="24"/>
          <w:szCs w:val="24"/>
        </w:rPr>
      </w:pPr>
      <w:r>
        <w:rPr>
          <w:rFonts w:ascii="Times New Roman" w:hAnsi="Times New Roman"/>
          <w:sz w:val="24"/>
          <w:szCs w:val="24"/>
        </w:rPr>
        <w:t>Vývoj priemerného ročného zhodnotenia v dôchodkových fondoch pre neutrálny a optimistický vývoj:</w:t>
      </w:r>
    </w:p>
    <w:tbl>
      <w:tblPr>
        <w:tblStyle w:val="TableNormal"/>
        <w:tblpPr w:leftFromText="141" w:rightFromText="141" w:vertAnchor="text" w:horzAnchor="page" w:tblpXSpec="center" w:tblpY="111"/>
        <w:tblW w:w="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913"/>
        <w:gridCol w:w="2835"/>
      </w:tblGrid>
      <w:tr>
        <w:tblPrEx>
          <w:tblW w:w="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Ex>
        <w:trPr>
          <w:trHeight w:val="300"/>
        </w:trPr>
        <w:tc>
          <w:tcPr>
            <w:tcW w:w="1913" w:type="dxa"/>
            <w:tcBorders>
              <w:top w:val="single" w:sz="4" w:space="0" w:color="auto"/>
              <w:left w:val="single" w:sz="4" w:space="0" w:color="auto"/>
              <w:bottom w:val="single" w:sz="4" w:space="0" w:color="auto"/>
              <w:right w:val="single" w:sz="4" w:space="0" w:color="auto"/>
            </w:tcBorders>
            <w:noWrap/>
            <w:textDirection w:val="lrTb"/>
            <w:vAlign w:val="bottom"/>
          </w:tcPr>
          <w:p w:rsidR="00B53407" w:rsidRPr="008C2FEC" w:rsidP="00BA3FEB">
            <w:pPr>
              <w:keepNext/>
              <w:keepLines/>
              <w:bidi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B53407" w:rsidRPr="008C2FEC" w:rsidP="00BA3FEB">
            <w:pPr>
              <w:keepNext/>
              <w:keepLines/>
              <w:bidi w:val="0"/>
              <w:jc w:val="center"/>
              <w:rPr>
                <w:rFonts w:ascii="Times New Roman" w:hAnsi="Times New Roman"/>
                <w:b/>
              </w:rPr>
            </w:pPr>
            <w:r w:rsidRPr="008C2FEC">
              <w:rPr>
                <w:rFonts w:ascii="Times New Roman" w:hAnsi="Times New Roman"/>
                <w:b/>
              </w:rPr>
              <w:t>Zhodnotenie (</w:t>
            </w:r>
            <w:r>
              <w:rPr>
                <w:rFonts w:ascii="Times New Roman" w:hAnsi="Times New Roman"/>
                <w:b/>
              </w:rPr>
              <w:t xml:space="preserve">v % </w:t>
            </w:r>
            <w:r w:rsidRPr="008C2FEC">
              <w:rPr>
                <w:rFonts w:ascii="Times New Roman" w:hAnsi="Times New Roman"/>
                <w:b/>
              </w:rPr>
              <w:t>p. a.)</w:t>
            </w:r>
          </w:p>
        </w:tc>
      </w:tr>
      <w:tr>
        <w:tblPrEx>
          <w:tblW w:w="4748" w:type="dxa"/>
          <w:tblCellMar>
            <w:left w:w="70" w:type="dxa"/>
            <w:right w:w="70" w:type="dxa"/>
          </w:tblCellMar>
          <w:tblLook w:val="00A0"/>
        </w:tblPrEx>
        <w:trPr>
          <w:trHeight w:val="300"/>
        </w:trPr>
        <w:tc>
          <w:tcPr>
            <w:tcW w:w="1913"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8C2FEC" w:rsidP="00BA3FEB">
            <w:pPr>
              <w:keepNext/>
              <w:keepLines/>
              <w:bidi w:val="0"/>
              <w:rPr>
                <w:rFonts w:ascii="Times New Roman" w:hAnsi="Times New Roman"/>
                <w:b/>
              </w:rPr>
            </w:pPr>
            <w:r>
              <w:rPr>
                <w:rFonts w:ascii="Times New Roman" w:hAnsi="Times New Roman"/>
                <w:b/>
              </w:rPr>
              <w:t>O</w:t>
            </w:r>
            <w:r w:rsidRPr="008C2FEC">
              <w:rPr>
                <w:rFonts w:ascii="Times New Roman" w:hAnsi="Times New Roman"/>
                <w:b/>
              </w:rPr>
              <w:t>ptimistický vývoj</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8C2FEC" w:rsidP="00BA3FEB">
            <w:pPr>
              <w:keepNext/>
              <w:keepLines/>
              <w:bidi w:val="0"/>
              <w:jc w:val="center"/>
              <w:rPr>
                <w:rFonts w:ascii="Times New Roman" w:hAnsi="Times New Roman"/>
              </w:rPr>
            </w:pPr>
          </w:p>
        </w:tc>
      </w:tr>
      <w:tr>
        <w:tblPrEx>
          <w:tblW w:w="4748" w:type="dxa"/>
          <w:tblCellMar>
            <w:left w:w="70" w:type="dxa"/>
            <w:right w:w="70" w:type="dxa"/>
          </w:tblCellMar>
          <w:tblLook w:val="00A0"/>
        </w:tblPrEx>
        <w:trPr>
          <w:trHeight w:val="300"/>
        </w:trPr>
        <w:tc>
          <w:tcPr>
            <w:tcW w:w="1913"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8C2FEC" w:rsidP="00BA3FEB">
            <w:pPr>
              <w:keepNext/>
              <w:keepLines/>
              <w:bidi w:val="0"/>
              <w:rPr>
                <w:rFonts w:ascii="Times New Roman" w:hAnsi="Times New Roman"/>
              </w:rPr>
            </w:pPr>
            <w:r>
              <w:rPr>
                <w:rFonts w:ascii="Times New Roman" w:hAnsi="Times New Roman"/>
              </w:rPr>
              <w:t>dlhopisový</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8C2FEC" w:rsidP="00BA3FEB">
            <w:pPr>
              <w:keepNext/>
              <w:keepLines/>
              <w:bidi w:val="0"/>
              <w:jc w:val="center"/>
              <w:rPr>
                <w:rFonts w:ascii="Times New Roman" w:hAnsi="Times New Roman"/>
              </w:rPr>
            </w:pPr>
            <w:r w:rsidRPr="008C2FEC">
              <w:rPr>
                <w:rFonts w:ascii="Times New Roman" w:hAnsi="Times New Roman"/>
              </w:rPr>
              <w:t>2</w:t>
            </w:r>
            <w:r>
              <w:rPr>
                <w:rFonts w:ascii="Times New Roman" w:hAnsi="Times New Roman"/>
              </w:rPr>
              <w:t>,0</w:t>
            </w:r>
          </w:p>
        </w:tc>
      </w:tr>
      <w:tr>
        <w:tblPrEx>
          <w:tblW w:w="4748" w:type="dxa"/>
          <w:tblCellMar>
            <w:left w:w="70" w:type="dxa"/>
            <w:right w:w="70" w:type="dxa"/>
          </w:tblCellMar>
          <w:tblLook w:val="00A0"/>
        </w:tblPrEx>
        <w:trPr>
          <w:trHeight w:val="300"/>
        </w:trPr>
        <w:tc>
          <w:tcPr>
            <w:tcW w:w="1913"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8C2FEC" w:rsidP="00BA3FEB">
            <w:pPr>
              <w:keepNext/>
              <w:keepLines/>
              <w:bidi w:val="0"/>
              <w:rPr>
                <w:rFonts w:ascii="Times New Roman" w:hAnsi="Times New Roman"/>
              </w:rPr>
            </w:pPr>
            <w:r>
              <w:rPr>
                <w:rFonts w:ascii="Times New Roman" w:hAnsi="Times New Roman"/>
              </w:rPr>
              <w:t>zmiešaný</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8C2FEC" w:rsidP="00BA3FEB">
            <w:pPr>
              <w:keepNext/>
              <w:keepLines/>
              <w:bidi w:val="0"/>
              <w:jc w:val="center"/>
              <w:rPr>
                <w:rFonts w:ascii="Times New Roman" w:hAnsi="Times New Roman"/>
              </w:rPr>
            </w:pPr>
            <w:r w:rsidRPr="008C2FEC">
              <w:rPr>
                <w:rFonts w:ascii="Times New Roman" w:hAnsi="Times New Roman"/>
              </w:rPr>
              <w:t>2</w:t>
            </w:r>
            <w:r>
              <w:rPr>
                <w:rFonts w:ascii="Times New Roman" w:hAnsi="Times New Roman"/>
              </w:rPr>
              <w:t>,</w:t>
            </w:r>
            <w:r w:rsidRPr="008C2FEC">
              <w:rPr>
                <w:rFonts w:ascii="Times New Roman" w:hAnsi="Times New Roman"/>
              </w:rPr>
              <w:t>5</w:t>
            </w:r>
          </w:p>
        </w:tc>
      </w:tr>
      <w:tr>
        <w:tblPrEx>
          <w:tblW w:w="4748" w:type="dxa"/>
          <w:tblCellMar>
            <w:left w:w="70" w:type="dxa"/>
            <w:right w:w="70" w:type="dxa"/>
          </w:tblCellMar>
          <w:tblLook w:val="00A0"/>
        </w:tblPrEx>
        <w:trPr>
          <w:trHeight w:val="300"/>
        </w:trPr>
        <w:tc>
          <w:tcPr>
            <w:tcW w:w="1913"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8C2FEC" w:rsidP="00BA3FEB">
            <w:pPr>
              <w:keepNext/>
              <w:keepLines/>
              <w:bidi w:val="0"/>
              <w:rPr>
                <w:rFonts w:ascii="Times New Roman" w:hAnsi="Times New Roman"/>
              </w:rPr>
            </w:pPr>
            <w:r>
              <w:rPr>
                <w:rFonts w:ascii="Times New Roman" w:hAnsi="Times New Roman"/>
              </w:rPr>
              <w:t>akciový</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8C2FEC" w:rsidP="00BA3FEB">
            <w:pPr>
              <w:keepNext/>
              <w:keepLines/>
              <w:bidi w:val="0"/>
              <w:jc w:val="center"/>
              <w:rPr>
                <w:rFonts w:ascii="Times New Roman" w:hAnsi="Times New Roman"/>
              </w:rPr>
            </w:pPr>
            <w:r w:rsidRPr="008C2FEC">
              <w:rPr>
                <w:rFonts w:ascii="Times New Roman" w:hAnsi="Times New Roman"/>
              </w:rPr>
              <w:t>3</w:t>
            </w:r>
            <w:r>
              <w:rPr>
                <w:rFonts w:ascii="Times New Roman" w:hAnsi="Times New Roman"/>
              </w:rPr>
              <w:t>,0</w:t>
            </w:r>
          </w:p>
        </w:tc>
      </w:tr>
      <w:tr>
        <w:tblPrEx>
          <w:tblW w:w="4748" w:type="dxa"/>
          <w:tblCellMar>
            <w:left w:w="70" w:type="dxa"/>
            <w:right w:w="70" w:type="dxa"/>
          </w:tblCellMar>
          <w:tblLook w:val="00A0"/>
        </w:tblPrEx>
        <w:trPr>
          <w:trHeight w:val="300"/>
        </w:trPr>
        <w:tc>
          <w:tcPr>
            <w:tcW w:w="1913"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8C2FEC" w:rsidP="00BA3FEB">
            <w:pPr>
              <w:keepNext/>
              <w:keepLines/>
              <w:bidi w:val="0"/>
              <w:rPr>
                <w:rFonts w:ascii="Times New Roman" w:hAnsi="Times New Roman"/>
                <w:b/>
              </w:rPr>
            </w:pPr>
            <w:r w:rsidRPr="008C2FEC">
              <w:rPr>
                <w:rFonts w:ascii="Times New Roman" w:hAnsi="Times New Roman"/>
                <w:b/>
              </w:rPr>
              <w:t>Neutrálny vývoj</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8C2FEC" w:rsidP="00BA3FEB">
            <w:pPr>
              <w:keepNext/>
              <w:keepLines/>
              <w:bidi w:val="0"/>
              <w:jc w:val="center"/>
              <w:rPr>
                <w:rFonts w:ascii="Times New Roman" w:hAnsi="Times New Roman"/>
              </w:rPr>
            </w:pPr>
          </w:p>
        </w:tc>
      </w:tr>
      <w:tr>
        <w:tblPrEx>
          <w:tblW w:w="4748" w:type="dxa"/>
          <w:tblCellMar>
            <w:left w:w="70" w:type="dxa"/>
            <w:right w:w="70" w:type="dxa"/>
          </w:tblCellMar>
          <w:tblLook w:val="00A0"/>
        </w:tblPrEx>
        <w:trPr>
          <w:trHeight w:val="300"/>
        </w:trPr>
        <w:tc>
          <w:tcPr>
            <w:tcW w:w="1913"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8C2FEC" w:rsidP="00BA3FEB">
            <w:pPr>
              <w:keepNext/>
              <w:keepLines/>
              <w:bidi w:val="0"/>
              <w:rPr>
                <w:rFonts w:ascii="Times New Roman" w:hAnsi="Times New Roman"/>
              </w:rPr>
            </w:pPr>
            <w:r>
              <w:rPr>
                <w:rFonts w:ascii="Times New Roman" w:hAnsi="Times New Roman"/>
              </w:rPr>
              <w:t>dlhopisový</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8C2FEC" w:rsidP="00BA3FEB">
            <w:pPr>
              <w:keepNext/>
              <w:keepLines/>
              <w:bidi w:val="0"/>
              <w:jc w:val="center"/>
              <w:rPr>
                <w:rFonts w:ascii="Times New Roman" w:hAnsi="Times New Roman"/>
              </w:rPr>
            </w:pPr>
            <w:r w:rsidRPr="008C2FEC">
              <w:rPr>
                <w:rFonts w:ascii="Times New Roman" w:hAnsi="Times New Roman"/>
              </w:rPr>
              <w:t>1</w:t>
            </w:r>
            <w:r>
              <w:rPr>
                <w:rFonts w:ascii="Times New Roman" w:hAnsi="Times New Roman"/>
              </w:rPr>
              <w:t>,</w:t>
            </w:r>
            <w:r w:rsidRPr="008C2FEC">
              <w:rPr>
                <w:rFonts w:ascii="Times New Roman" w:hAnsi="Times New Roman"/>
              </w:rPr>
              <w:t>2</w:t>
            </w:r>
          </w:p>
        </w:tc>
      </w:tr>
      <w:tr>
        <w:tblPrEx>
          <w:tblW w:w="4748" w:type="dxa"/>
          <w:tblCellMar>
            <w:left w:w="70" w:type="dxa"/>
            <w:right w:w="70" w:type="dxa"/>
          </w:tblCellMar>
          <w:tblLook w:val="00A0"/>
        </w:tblPrEx>
        <w:trPr>
          <w:trHeight w:val="300"/>
        </w:trPr>
        <w:tc>
          <w:tcPr>
            <w:tcW w:w="1913"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8C2FEC" w:rsidP="00BA3FEB">
            <w:pPr>
              <w:keepNext/>
              <w:keepLines/>
              <w:bidi w:val="0"/>
              <w:rPr>
                <w:rFonts w:ascii="Times New Roman" w:hAnsi="Times New Roman"/>
              </w:rPr>
            </w:pPr>
            <w:r>
              <w:rPr>
                <w:rFonts w:ascii="Times New Roman" w:hAnsi="Times New Roman"/>
              </w:rPr>
              <w:t>zmiešaný</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8C2FEC" w:rsidP="00BA3FEB">
            <w:pPr>
              <w:keepNext/>
              <w:keepLines/>
              <w:bidi w:val="0"/>
              <w:jc w:val="center"/>
              <w:rPr>
                <w:rFonts w:ascii="Times New Roman" w:hAnsi="Times New Roman"/>
              </w:rPr>
            </w:pPr>
            <w:r w:rsidRPr="008C2FEC">
              <w:rPr>
                <w:rFonts w:ascii="Times New Roman" w:hAnsi="Times New Roman"/>
              </w:rPr>
              <w:t>1</w:t>
            </w:r>
            <w:r>
              <w:rPr>
                <w:rFonts w:ascii="Times New Roman" w:hAnsi="Times New Roman"/>
              </w:rPr>
              <w:t>,</w:t>
            </w:r>
            <w:r w:rsidRPr="008C2FEC">
              <w:rPr>
                <w:rFonts w:ascii="Times New Roman" w:hAnsi="Times New Roman"/>
              </w:rPr>
              <w:t>6</w:t>
            </w:r>
          </w:p>
        </w:tc>
      </w:tr>
      <w:tr>
        <w:tblPrEx>
          <w:tblW w:w="4748" w:type="dxa"/>
          <w:tblCellMar>
            <w:left w:w="70" w:type="dxa"/>
            <w:right w:w="70" w:type="dxa"/>
          </w:tblCellMar>
          <w:tblLook w:val="00A0"/>
        </w:tblPrEx>
        <w:trPr>
          <w:trHeight w:val="300"/>
        </w:trPr>
        <w:tc>
          <w:tcPr>
            <w:tcW w:w="1913"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8C2FEC" w:rsidP="00BA3FEB">
            <w:pPr>
              <w:keepNext/>
              <w:keepLines/>
              <w:bidi w:val="0"/>
              <w:rPr>
                <w:rFonts w:ascii="Times New Roman" w:hAnsi="Times New Roman"/>
              </w:rPr>
            </w:pPr>
            <w:r>
              <w:rPr>
                <w:rFonts w:ascii="Times New Roman" w:hAnsi="Times New Roman"/>
              </w:rPr>
              <w:t>akciový</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8C2FEC" w:rsidP="00BA3FEB">
            <w:pPr>
              <w:keepNext/>
              <w:keepLines/>
              <w:bidi w:val="0"/>
              <w:jc w:val="center"/>
              <w:rPr>
                <w:rFonts w:ascii="Times New Roman" w:hAnsi="Times New Roman"/>
              </w:rPr>
            </w:pPr>
            <w:r w:rsidRPr="008C2FEC">
              <w:rPr>
                <w:rFonts w:ascii="Times New Roman" w:hAnsi="Times New Roman"/>
              </w:rPr>
              <w:t>2</w:t>
            </w:r>
            <w:r>
              <w:rPr>
                <w:rFonts w:ascii="Times New Roman" w:hAnsi="Times New Roman"/>
              </w:rPr>
              <w:t>,0</w:t>
            </w:r>
          </w:p>
        </w:tc>
      </w:tr>
      <w:tr>
        <w:tblPrEx>
          <w:tblW w:w="4748" w:type="dxa"/>
          <w:tblCellMar>
            <w:left w:w="70" w:type="dxa"/>
            <w:right w:w="70" w:type="dxa"/>
          </w:tblCellMar>
          <w:tblLook w:val="00A0"/>
        </w:tblPrEx>
        <w:trPr>
          <w:trHeight w:val="300"/>
        </w:trPr>
        <w:tc>
          <w:tcPr>
            <w:tcW w:w="1913"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594991" w:rsidP="00BA3FEB">
            <w:pPr>
              <w:keepNext/>
              <w:keepLines/>
              <w:bidi w:val="0"/>
              <w:rPr>
                <w:rFonts w:ascii="Times New Roman" w:hAnsi="Times New Roman"/>
                <w:b/>
                <w:color w:val="FF0000"/>
              </w:rPr>
            </w:pPr>
            <w:r w:rsidRPr="00392BC8">
              <w:rPr>
                <w:rFonts w:ascii="Times New Roman" w:hAnsi="Times New Roman"/>
                <w:b/>
              </w:rPr>
              <w:t>Pesimistický vývoj</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8C2FEC" w:rsidP="00BA3FEB">
            <w:pPr>
              <w:keepNext/>
              <w:keepLines/>
              <w:bidi w:val="0"/>
              <w:jc w:val="center"/>
              <w:rPr>
                <w:rFonts w:ascii="Times New Roman" w:hAnsi="Times New Roman"/>
              </w:rPr>
            </w:pPr>
          </w:p>
        </w:tc>
      </w:tr>
      <w:tr>
        <w:tblPrEx>
          <w:tblW w:w="4748" w:type="dxa"/>
          <w:tblCellMar>
            <w:left w:w="70" w:type="dxa"/>
            <w:right w:w="70" w:type="dxa"/>
          </w:tblCellMar>
          <w:tblLook w:val="00A0"/>
        </w:tblPrEx>
        <w:trPr>
          <w:trHeight w:val="300"/>
        </w:trPr>
        <w:tc>
          <w:tcPr>
            <w:tcW w:w="1913"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8C2FEC" w:rsidP="00BA3FEB">
            <w:pPr>
              <w:keepNext/>
              <w:keepLines/>
              <w:bidi w:val="0"/>
              <w:rPr>
                <w:rFonts w:ascii="Times New Roman" w:hAnsi="Times New Roman"/>
              </w:rPr>
            </w:pPr>
            <w:r>
              <w:rPr>
                <w:rFonts w:ascii="Times New Roman" w:hAnsi="Times New Roman"/>
              </w:rPr>
              <w:t>dlhopisový</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8C2FEC" w:rsidP="00BA3FEB">
            <w:pPr>
              <w:keepNext/>
              <w:keepLines/>
              <w:bidi w:val="0"/>
              <w:jc w:val="center"/>
              <w:rPr>
                <w:rFonts w:ascii="Times New Roman" w:hAnsi="Times New Roman"/>
              </w:rPr>
            </w:pPr>
            <w:r>
              <w:rPr>
                <w:rFonts w:ascii="Times New Roman" w:hAnsi="Times New Roman"/>
              </w:rPr>
              <w:t>0,5</w:t>
            </w:r>
          </w:p>
        </w:tc>
      </w:tr>
      <w:tr>
        <w:tblPrEx>
          <w:tblW w:w="4748" w:type="dxa"/>
          <w:tblCellMar>
            <w:left w:w="70" w:type="dxa"/>
            <w:right w:w="70" w:type="dxa"/>
          </w:tblCellMar>
          <w:tblLook w:val="00A0"/>
        </w:tblPrEx>
        <w:trPr>
          <w:trHeight w:val="300"/>
        </w:trPr>
        <w:tc>
          <w:tcPr>
            <w:tcW w:w="1913"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8C2FEC" w:rsidP="00BA3FEB">
            <w:pPr>
              <w:keepNext/>
              <w:keepLines/>
              <w:bidi w:val="0"/>
              <w:rPr>
                <w:rFonts w:ascii="Times New Roman" w:hAnsi="Times New Roman"/>
              </w:rPr>
            </w:pPr>
            <w:r>
              <w:rPr>
                <w:rFonts w:ascii="Times New Roman" w:hAnsi="Times New Roman"/>
              </w:rPr>
              <w:t>zmiešaný</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8C2FEC" w:rsidP="00BA3FEB">
            <w:pPr>
              <w:keepNext/>
              <w:keepLines/>
              <w:bidi w:val="0"/>
              <w:jc w:val="center"/>
              <w:rPr>
                <w:rFonts w:ascii="Times New Roman" w:hAnsi="Times New Roman"/>
              </w:rPr>
            </w:pPr>
            <w:r>
              <w:rPr>
                <w:rFonts w:ascii="Times New Roman" w:hAnsi="Times New Roman"/>
              </w:rPr>
              <w:t>0,</w:t>
            </w:r>
            <w:r w:rsidRPr="008C2FEC">
              <w:rPr>
                <w:rFonts w:ascii="Times New Roman" w:hAnsi="Times New Roman"/>
              </w:rPr>
              <w:t>5</w:t>
            </w:r>
          </w:p>
        </w:tc>
      </w:tr>
      <w:tr>
        <w:tblPrEx>
          <w:tblW w:w="4748" w:type="dxa"/>
          <w:tblCellMar>
            <w:left w:w="70" w:type="dxa"/>
            <w:right w:w="70" w:type="dxa"/>
          </w:tblCellMar>
          <w:tblLook w:val="00A0"/>
        </w:tblPrEx>
        <w:trPr>
          <w:trHeight w:val="300"/>
        </w:trPr>
        <w:tc>
          <w:tcPr>
            <w:tcW w:w="1913"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8C2FEC" w:rsidP="00BA3FEB">
            <w:pPr>
              <w:keepNext/>
              <w:keepLines/>
              <w:bidi w:val="0"/>
              <w:rPr>
                <w:rFonts w:ascii="Times New Roman" w:hAnsi="Times New Roman"/>
              </w:rPr>
            </w:pPr>
            <w:r>
              <w:rPr>
                <w:rFonts w:ascii="Times New Roman" w:hAnsi="Times New Roman"/>
              </w:rPr>
              <w:t>akciový</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BA3FEB" w:rsidRPr="008C2FEC" w:rsidP="00BA3FEB">
            <w:pPr>
              <w:keepNext/>
              <w:keepLines/>
              <w:bidi w:val="0"/>
              <w:jc w:val="center"/>
              <w:rPr>
                <w:rFonts w:ascii="Times New Roman" w:hAnsi="Times New Roman"/>
              </w:rPr>
            </w:pPr>
            <w:r>
              <w:rPr>
                <w:rFonts w:ascii="Times New Roman" w:hAnsi="Times New Roman"/>
              </w:rPr>
              <w:t>0,5</w:t>
            </w:r>
          </w:p>
        </w:tc>
      </w:tr>
    </w:tbl>
    <w:p w:rsidR="00B53407" w:rsidP="00BA3FEB">
      <w:pPr>
        <w:pStyle w:val="Title"/>
        <w:keepNext/>
        <w:keepLines/>
        <w:bidi w:val="0"/>
        <w:ind w:left="720"/>
        <w:jc w:val="both"/>
        <w:rPr>
          <w:rFonts w:ascii="Times New Roman" w:hAnsi="Times New Roman"/>
          <w:sz w:val="24"/>
          <w:szCs w:val="24"/>
        </w:rPr>
      </w:pPr>
    </w:p>
    <w:p w:rsidR="00B53407" w:rsidP="00BA3FEB">
      <w:pPr>
        <w:pStyle w:val="Title"/>
        <w:keepNext/>
        <w:keepLines/>
        <w:bidi w:val="0"/>
        <w:ind w:left="720"/>
        <w:jc w:val="left"/>
        <w:rPr>
          <w:rFonts w:ascii="Times New Roman" w:hAnsi="Times New Roman"/>
          <w:sz w:val="24"/>
          <w:szCs w:val="24"/>
        </w:rPr>
      </w:pPr>
    </w:p>
    <w:p w:rsidR="00B53407" w:rsidRPr="00E77855" w:rsidP="00B53407">
      <w:pPr>
        <w:pStyle w:val="Title"/>
        <w:keepNext/>
        <w:keepLines/>
        <w:bidi w:val="0"/>
        <w:ind w:left="720"/>
        <w:jc w:val="left"/>
        <w:rPr>
          <w:rFonts w:ascii="Times New Roman" w:hAnsi="Times New Roman"/>
          <w:sz w:val="24"/>
          <w:szCs w:val="24"/>
        </w:rPr>
      </w:pPr>
    </w:p>
    <w:p w:rsidR="00B53407" w:rsidP="00C6246E">
      <w:pPr>
        <w:bidi w:val="0"/>
        <w:jc w:val="both"/>
        <w:rPr>
          <w:rFonts w:ascii="Times New Roman" w:hAnsi="Times New Roman"/>
        </w:rPr>
      </w:pPr>
    </w:p>
    <w:p w:rsidR="00B53407" w:rsidRPr="00B53407" w:rsidP="00B53407">
      <w:pPr>
        <w:bidi w:val="0"/>
        <w:rPr>
          <w:rFonts w:ascii="Times New Roman" w:hAnsi="Times New Roman"/>
        </w:rPr>
      </w:pPr>
    </w:p>
    <w:p w:rsidR="00B53407" w:rsidRPr="00B53407" w:rsidP="00B53407">
      <w:pPr>
        <w:bidi w:val="0"/>
        <w:rPr>
          <w:rFonts w:ascii="Times New Roman" w:hAnsi="Times New Roman"/>
        </w:rPr>
      </w:pPr>
    </w:p>
    <w:p w:rsidR="00B53407" w:rsidRPr="00B53407" w:rsidP="00B53407">
      <w:pPr>
        <w:bidi w:val="0"/>
        <w:rPr>
          <w:rFonts w:ascii="Times New Roman" w:hAnsi="Times New Roman"/>
        </w:rPr>
      </w:pPr>
    </w:p>
    <w:p w:rsidR="00B53407" w:rsidRPr="00B53407" w:rsidP="00B53407">
      <w:pPr>
        <w:bidi w:val="0"/>
        <w:rPr>
          <w:rFonts w:ascii="Times New Roman" w:hAnsi="Times New Roman"/>
        </w:rPr>
      </w:pPr>
    </w:p>
    <w:p w:rsidR="00B53407" w:rsidRPr="00B53407" w:rsidP="00B53407">
      <w:pPr>
        <w:bidi w:val="0"/>
        <w:rPr>
          <w:rFonts w:ascii="Times New Roman" w:hAnsi="Times New Roman"/>
        </w:rPr>
      </w:pPr>
    </w:p>
    <w:p w:rsidR="00B53407" w:rsidRPr="00B53407" w:rsidP="00B53407">
      <w:pPr>
        <w:bidi w:val="0"/>
        <w:rPr>
          <w:rFonts w:ascii="Times New Roman" w:hAnsi="Times New Roman"/>
        </w:rPr>
      </w:pPr>
    </w:p>
    <w:p w:rsidR="00B53407" w:rsidP="00B53407">
      <w:pPr>
        <w:bidi w:val="0"/>
        <w:rPr>
          <w:rFonts w:ascii="Times New Roman" w:hAnsi="Times New Roman"/>
        </w:rPr>
      </w:pPr>
    </w:p>
    <w:p w:rsidR="00BA3FEB" w:rsidP="00B53407">
      <w:pPr>
        <w:bidi w:val="0"/>
        <w:rPr>
          <w:rFonts w:ascii="Times New Roman" w:hAnsi="Times New Roman"/>
        </w:rPr>
      </w:pPr>
    </w:p>
    <w:p w:rsidR="00BA3FEB" w:rsidP="00B53407">
      <w:pPr>
        <w:bidi w:val="0"/>
        <w:rPr>
          <w:rFonts w:ascii="Times New Roman" w:hAnsi="Times New Roman"/>
        </w:rPr>
      </w:pPr>
    </w:p>
    <w:p w:rsidR="00BA3FEB" w:rsidP="00B53407">
      <w:pPr>
        <w:bidi w:val="0"/>
        <w:rPr>
          <w:rFonts w:ascii="Times New Roman" w:hAnsi="Times New Roman"/>
        </w:rPr>
      </w:pPr>
    </w:p>
    <w:p w:rsidR="00BA3FEB" w:rsidP="00B53407">
      <w:pPr>
        <w:bidi w:val="0"/>
        <w:rPr>
          <w:rFonts w:ascii="Times New Roman" w:hAnsi="Times New Roman"/>
        </w:rPr>
      </w:pPr>
    </w:p>
    <w:p w:rsidR="00BA3FEB" w:rsidP="00B53407">
      <w:pPr>
        <w:bidi w:val="0"/>
        <w:rPr>
          <w:rFonts w:ascii="Times New Roman" w:hAnsi="Times New Roman"/>
        </w:rPr>
      </w:pPr>
    </w:p>
    <w:p w:rsidR="00BA3FEB" w:rsidRPr="00B53407" w:rsidP="00B53407">
      <w:pPr>
        <w:bidi w:val="0"/>
        <w:rPr>
          <w:rFonts w:ascii="Times New Roman" w:hAnsi="Times New Roman"/>
        </w:rPr>
      </w:pPr>
    </w:p>
    <w:p w:rsidR="00B53407" w:rsidRPr="00B53407" w:rsidP="00B53407">
      <w:pPr>
        <w:bidi w:val="0"/>
        <w:rPr>
          <w:rFonts w:ascii="Times New Roman" w:hAnsi="Times New Roman"/>
        </w:rPr>
      </w:pPr>
    </w:p>
    <w:p w:rsidR="00B53407" w:rsidP="00B53407">
      <w:pPr>
        <w:bidi w:val="0"/>
        <w:rPr>
          <w:rFonts w:ascii="Times New Roman" w:hAnsi="Times New Roman"/>
        </w:rPr>
        <w:sectPr w:rsidSect="00BB5D47">
          <w:headerReference w:type="default" r:id="rId9"/>
          <w:pgSz w:w="11906" w:h="16838"/>
          <w:pgMar w:top="1418" w:right="1417" w:bottom="1276" w:left="1417" w:header="708" w:footer="708" w:gutter="0"/>
          <w:lnNumType w:distance="0"/>
          <w:cols w:space="708"/>
          <w:noEndnote w:val="0"/>
          <w:bidi w:val="0"/>
          <w:docGrid w:linePitch="360"/>
        </w:sectPr>
      </w:pPr>
    </w:p>
    <w:p w:rsidR="00B53407" w:rsidP="00B53407">
      <w:pPr>
        <w:bidi w:val="0"/>
        <w:rPr>
          <w:rFonts w:ascii="Times New Roman" w:hAnsi="Times New Roman"/>
          <w:b/>
          <w:sz w:val="28"/>
          <w:szCs w:val="28"/>
        </w:rPr>
      </w:pPr>
      <w:r>
        <w:rPr>
          <w:rFonts w:ascii="Times New Roman" w:hAnsi="Times New Roman"/>
          <w:b/>
          <w:sz w:val="28"/>
          <w:szCs w:val="28"/>
        </w:rPr>
        <w:t>Sociálne vplyvy -  vplyvy na hospodárenie obyvateľstva, sociálnu exklúziu, rovnosť príležitostí a rodovú rovnosť a na zamestnanosť</w:t>
      </w:r>
    </w:p>
    <w:p w:rsidR="00B53407" w:rsidP="00B53407">
      <w:pPr>
        <w:bidi w:val="0"/>
        <w:rPr>
          <w:rFonts w:ascii="Times New Roman" w:hAnsi="Times New Roman"/>
          <w:b/>
          <w:bCs/>
        </w:rPr>
      </w:pPr>
    </w:p>
    <w:tbl>
      <w:tblPr>
        <w:tblStyle w:val="TableNormal"/>
        <w:tblW w:w="9349" w:type="dxa"/>
        <w:jc w:val="center"/>
        <w:tblInd w:w="-428" w:type="dxa"/>
        <w:tblCellMar>
          <w:left w:w="70" w:type="dxa"/>
          <w:right w:w="70" w:type="dxa"/>
        </w:tblCellMar>
      </w:tblPr>
      <w:tblGrid>
        <w:gridCol w:w="4875"/>
        <w:gridCol w:w="4474"/>
      </w:tblGrid>
      <w:tr>
        <w:tblPrEx>
          <w:tblW w:w="9349" w:type="dxa"/>
          <w:jc w:val="center"/>
          <w:tblInd w:w="-428" w:type="dxa"/>
          <w:tblCellMar>
            <w:left w:w="70" w:type="dxa"/>
            <w:right w:w="70" w:type="dxa"/>
          </w:tblCellMar>
        </w:tblPrEx>
        <w:trPr>
          <w:trHeight w:val="660"/>
          <w:jc w:val="center"/>
        </w:trPr>
        <w:tc>
          <w:tcPr>
            <w:tcW w:w="9349"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B53407" w:rsidP="00BB5D47">
            <w:pPr>
              <w:bidi w:val="0"/>
              <w:jc w:val="center"/>
              <w:rPr>
                <w:rFonts w:ascii="Times New Roman" w:hAnsi="Times New Roman"/>
                <w:b/>
                <w:bCs/>
                <w:color w:val="FFFFFF"/>
              </w:rPr>
            </w:pPr>
            <w:r>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349" w:type="dxa"/>
          <w:jc w:val="center"/>
          <w:tblInd w:w="-428" w:type="dxa"/>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B53407" w:rsidP="00BB5D47">
            <w:pPr>
              <w:bidi w:val="0"/>
              <w:jc w:val="both"/>
              <w:rPr>
                <w:rFonts w:ascii="Times New Roman" w:hAnsi="Times New Roman"/>
              </w:rPr>
            </w:pPr>
            <w:r>
              <w:rPr>
                <w:rFonts w:ascii="Times New Roman" w:hAnsi="Times New Roman"/>
                <w:b/>
              </w:rPr>
              <w:t>4.1.</w:t>
            </w:r>
            <w:r>
              <w:rPr>
                <w:rFonts w:ascii="Times New Roman" w:hAnsi="Times New Roman"/>
              </w:rPr>
              <w:t xml:space="preserve"> Identifikujte vplyv na hospodárenie   domácností a </w:t>
            </w:r>
            <w:r w:rsidRPr="00E26609">
              <w:rPr>
                <w:rFonts w:ascii="Times New Roman" w:hAnsi="Times New Roman"/>
              </w:rPr>
              <w:t xml:space="preserve">špecifikujte </w:t>
            </w:r>
            <w:r w:rsidRPr="003979B1">
              <w:rPr>
                <w:rFonts w:ascii="Times New Roman" w:hAnsi="Times New Roman"/>
              </w:rPr>
              <w:t>ovplyvnené skupiny</w:t>
            </w:r>
            <w:r>
              <w:rPr>
                <w:rFonts w:ascii="Times New Roman" w:hAnsi="Times New Roman"/>
              </w:rPr>
              <w:t xml:space="preserve"> domácností, ktoré budú pozitívne/negatívne ovplyvnené.</w:t>
            </w:r>
          </w:p>
        </w:tc>
        <w:tc>
          <w:tcPr>
            <w:tcW w:w="4474" w:type="dxa"/>
            <w:tcBorders>
              <w:top w:val="single" w:sz="4" w:space="0" w:color="auto"/>
              <w:left w:val="nil"/>
              <w:bottom w:val="single" w:sz="4" w:space="0" w:color="auto"/>
              <w:right w:val="single" w:sz="4" w:space="0" w:color="auto"/>
            </w:tcBorders>
            <w:textDirection w:val="lrTb"/>
            <w:vAlign w:val="top"/>
          </w:tcPr>
          <w:p w:rsidR="00B53407" w:rsidRPr="004C04DF" w:rsidP="00BB5D47">
            <w:pPr>
              <w:pStyle w:val="BodyText"/>
              <w:tabs>
                <w:tab w:val="num" w:pos="1080"/>
              </w:tabs>
              <w:bidi w:val="0"/>
              <w:jc w:val="both"/>
              <w:rPr>
                <w:rFonts w:ascii="Times New Roman" w:hAnsi="Times New Roman"/>
                <w:b w:val="0"/>
              </w:rPr>
            </w:pPr>
            <w:r w:rsidRPr="004C04DF">
              <w:rPr>
                <w:rFonts w:ascii="Times New Roman" w:hAnsi="Times New Roman"/>
                <w:b w:val="0"/>
              </w:rPr>
              <w:t xml:space="preserve">Ovplyvnené skupiny tvoria súčasní a budúci sporitelia zapojení v systéme starobného dôchodkového sporenia. </w:t>
            </w:r>
          </w:p>
          <w:p w:rsidR="00B53407" w:rsidRPr="004C04DF" w:rsidP="00BB5D47">
            <w:pPr>
              <w:pStyle w:val="BodyText"/>
              <w:tabs>
                <w:tab w:val="num" w:pos="1080"/>
              </w:tabs>
              <w:bidi w:val="0"/>
              <w:jc w:val="both"/>
              <w:rPr>
                <w:rFonts w:ascii="Times New Roman" w:hAnsi="Times New Roman"/>
                <w:b w:val="0"/>
              </w:rPr>
            </w:pPr>
          </w:p>
          <w:p w:rsidR="00B53407" w:rsidRPr="004C04DF" w:rsidP="00BB5D47">
            <w:pPr>
              <w:pStyle w:val="BodyText"/>
              <w:tabs>
                <w:tab w:val="num" w:pos="1080"/>
              </w:tabs>
              <w:bidi w:val="0"/>
              <w:jc w:val="both"/>
              <w:rPr>
                <w:rFonts w:ascii="Times New Roman" w:hAnsi="Times New Roman"/>
              </w:rPr>
            </w:pPr>
            <w:r w:rsidRPr="004C04DF">
              <w:rPr>
                <w:rFonts w:ascii="Times New Roman" w:hAnsi="Times New Roman"/>
                <w:b w:val="0"/>
              </w:rPr>
              <w:t xml:space="preserve">V prípade prijatia navrhovaných legislatívnych zmien by sa prostredníctvom predpokladaného uvoľnenia investičnej politiky a pri súčasnom splnení určitých optimistických predpokladov týkajúcich sa vývoja na finančných trhoch malo zvýšiť zhodnotenie finančných prostriedkov v dôchodkových fondoch, z čoho budú vyplývať vyššie budúce dôchodkové príjmy súčasných aj budúcich sporiteľov. </w:t>
            </w:r>
          </w:p>
        </w:tc>
      </w:tr>
      <w:tr>
        <w:tblPrEx>
          <w:tblW w:w="9349" w:type="dxa"/>
          <w:jc w:val="center"/>
          <w:tblInd w:w="-428" w:type="dxa"/>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B53407" w:rsidRPr="00083D72" w:rsidP="00842DE0">
            <w:pPr>
              <w:bidi w:val="0"/>
              <w:ind w:firstLine="480" w:firstLineChars="200"/>
              <w:jc w:val="both"/>
              <w:rPr>
                <w:rFonts w:ascii="Times New Roman" w:hAnsi="Times New Roman"/>
                <w:b/>
              </w:rPr>
            </w:pPr>
            <w:r w:rsidRPr="00083D72">
              <w:rPr>
                <w:rFonts w:ascii="Times New Roman" w:hAnsi="Times New Roman"/>
                <w:b/>
              </w:rPr>
              <w:t>Kvantifikujte:</w:t>
            </w:r>
          </w:p>
        </w:tc>
        <w:tc>
          <w:tcPr>
            <w:tcW w:w="4474" w:type="dxa"/>
            <w:vMerge w:val="restart"/>
            <w:tcBorders>
              <w:top w:val="none" w:sz="0" w:space="0" w:color="auto"/>
              <w:left w:val="nil"/>
              <w:bottom w:val="single" w:sz="4" w:space="0" w:color="auto"/>
              <w:right w:val="single" w:sz="4" w:space="0" w:color="auto"/>
            </w:tcBorders>
            <w:textDirection w:val="lrTb"/>
            <w:vAlign w:val="top"/>
          </w:tcPr>
          <w:p w:rsidR="00B53407" w:rsidRPr="00083D72" w:rsidP="00BB5D47">
            <w:pPr>
              <w:bidi w:val="0"/>
              <w:jc w:val="both"/>
              <w:rPr>
                <w:rFonts w:ascii="Times New Roman" w:hAnsi="Times New Roman"/>
                <w:szCs w:val="20"/>
              </w:rPr>
            </w:pPr>
            <w:r w:rsidRPr="00083D72">
              <w:rPr>
                <w:rFonts w:ascii="Times New Roman" w:hAnsi="Times New Roman"/>
                <w:szCs w:val="20"/>
              </w:rPr>
              <w:t>Vplyvom zmien vyplývajúcich z novely sa predpokladá, že dôjde k vyššiemu zhodnoteniu a nárastu objemu majetku na osobnom dôchodkovom účte sporiteľa.</w:t>
            </w:r>
          </w:p>
          <w:p w:rsidR="00B53407" w:rsidRPr="00083D72" w:rsidP="00BB5D47">
            <w:pPr>
              <w:bidi w:val="0"/>
              <w:jc w:val="both"/>
              <w:rPr>
                <w:rFonts w:ascii="Times New Roman" w:hAnsi="Times New Roman"/>
              </w:rPr>
            </w:pPr>
          </w:p>
          <w:p w:rsidR="00B53407" w:rsidRPr="00083D72" w:rsidP="00BB5D47">
            <w:pPr>
              <w:bidi w:val="0"/>
              <w:jc w:val="both"/>
              <w:rPr>
                <w:rFonts w:ascii="Times New Roman" w:hAnsi="Times New Roman"/>
              </w:rPr>
            </w:pPr>
            <w:r w:rsidRPr="00083D72">
              <w:rPr>
                <w:rFonts w:ascii="Times New Roman" w:hAnsi="Times New Roman"/>
              </w:rPr>
              <w:t>Vplyv na súčasných sporiteľov (sú použité rovnaké predpoklady ako pri vplyve na podnikateľské prostredie, pre zjednodušenie sa uvažuje, že majetok sporiteľa je iba v jednom fonde), porovnáva sa stav osobného účtu na konci sledovaného obdobia (31. decembra 2014) po novele so stavom, ak by ostal zachovalý súčasný právny stav:</w:t>
            </w:r>
          </w:p>
          <w:p w:rsidR="00B53407" w:rsidRPr="00392BC8" w:rsidP="00B53407">
            <w:pPr>
              <w:numPr>
                <w:numId w:val="6"/>
              </w:numPr>
              <w:bidi w:val="0"/>
              <w:jc w:val="both"/>
              <w:rPr>
                <w:rFonts w:ascii="Times New Roman" w:hAnsi="Times New Roman"/>
              </w:rPr>
            </w:pPr>
            <w:r w:rsidRPr="00392BC8">
              <w:rPr>
                <w:rFonts w:ascii="Times New Roman" w:hAnsi="Times New Roman"/>
              </w:rPr>
              <w:t>V dlhopisovom dôchodkovom fonde rast majet</w:t>
            </w:r>
            <w:r w:rsidRPr="009E6B1E">
              <w:rPr>
                <w:rFonts w:ascii="Times New Roman" w:hAnsi="Times New Roman"/>
              </w:rPr>
              <w:t>ku na jedného sporiteľa v prieme</w:t>
            </w:r>
            <w:r w:rsidRPr="00392BC8" w:rsidR="00BA3FEB">
              <w:rPr>
                <w:rFonts w:ascii="Times New Roman" w:hAnsi="Times New Roman"/>
              </w:rPr>
              <w:t xml:space="preserve">re </w:t>
            </w:r>
            <w:r w:rsidRPr="00392BC8" w:rsidR="0095242F">
              <w:rPr>
                <w:rFonts w:ascii="Times New Roman" w:hAnsi="Times New Roman"/>
              </w:rPr>
              <w:t>1</w:t>
            </w:r>
            <w:r w:rsidRPr="00392BC8" w:rsidR="0045399D">
              <w:rPr>
                <w:rFonts w:ascii="Times New Roman" w:hAnsi="Times New Roman"/>
              </w:rPr>
              <w:t>5</w:t>
            </w:r>
            <w:r w:rsidRPr="00392BC8" w:rsidR="00BA3FEB">
              <w:rPr>
                <w:rFonts w:ascii="Times New Roman" w:hAnsi="Times New Roman"/>
              </w:rPr>
              <w:t xml:space="preserve"> EUR pre neutrálny vývoj, </w:t>
            </w:r>
            <w:r w:rsidRPr="00392BC8" w:rsidR="0045399D">
              <w:rPr>
                <w:rFonts w:ascii="Times New Roman" w:hAnsi="Times New Roman"/>
              </w:rPr>
              <w:t>20</w:t>
            </w:r>
            <w:r w:rsidRPr="00392BC8">
              <w:rPr>
                <w:rFonts w:ascii="Times New Roman" w:hAnsi="Times New Roman"/>
              </w:rPr>
              <w:t xml:space="preserve"> EUR pre pozitívny vývoj</w:t>
            </w:r>
            <w:r w:rsidRPr="00392BC8" w:rsidR="00BA3FEB">
              <w:rPr>
                <w:rFonts w:ascii="Times New Roman" w:hAnsi="Times New Roman"/>
              </w:rPr>
              <w:t xml:space="preserve"> a</w:t>
            </w:r>
            <w:r w:rsidRPr="00392BC8" w:rsidR="0095242F">
              <w:rPr>
                <w:rFonts w:ascii="Times New Roman" w:hAnsi="Times New Roman"/>
              </w:rPr>
              <w:t> </w:t>
            </w:r>
            <w:r w:rsidRPr="00392BC8" w:rsidR="0045399D">
              <w:rPr>
                <w:rFonts w:ascii="Times New Roman" w:hAnsi="Times New Roman"/>
              </w:rPr>
              <w:t>10</w:t>
            </w:r>
            <w:r w:rsidRPr="00392BC8" w:rsidR="0095242F">
              <w:rPr>
                <w:rFonts w:ascii="Times New Roman" w:hAnsi="Times New Roman"/>
              </w:rPr>
              <w:t xml:space="preserve"> EUR</w:t>
            </w:r>
            <w:r w:rsidRPr="00392BC8" w:rsidR="0095242F">
              <w:rPr>
                <w:rFonts w:ascii="Times New Roman" w:hAnsi="Times New Roman"/>
              </w:rPr>
              <w:t xml:space="preserve"> </w:t>
            </w:r>
            <w:r w:rsidRPr="00392BC8" w:rsidR="00BA3FEB">
              <w:rPr>
                <w:rFonts w:ascii="Times New Roman" w:hAnsi="Times New Roman"/>
              </w:rPr>
              <w:t xml:space="preserve"> pre </w:t>
            </w:r>
            <w:r w:rsidRPr="00392BC8" w:rsidR="00902654">
              <w:rPr>
                <w:rFonts w:ascii="Times New Roman" w:hAnsi="Times New Roman"/>
              </w:rPr>
              <w:t>pesimistický</w:t>
            </w:r>
            <w:r w:rsidRPr="00392BC8" w:rsidR="00BA3FEB">
              <w:rPr>
                <w:rFonts w:ascii="Times New Roman" w:hAnsi="Times New Roman"/>
              </w:rPr>
              <w:t xml:space="preserve"> vývoj</w:t>
            </w:r>
            <w:r w:rsidRPr="00392BC8">
              <w:rPr>
                <w:rFonts w:ascii="Times New Roman" w:hAnsi="Times New Roman"/>
              </w:rPr>
              <w:t>.</w:t>
            </w:r>
          </w:p>
          <w:p w:rsidR="00B53407" w:rsidRPr="00083D72" w:rsidP="00B53407">
            <w:pPr>
              <w:numPr>
                <w:numId w:val="6"/>
              </w:numPr>
              <w:bidi w:val="0"/>
              <w:jc w:val="both"/>
              <w:rPr>
                <w:rFonts w:ascii="Times New Roman" w:hAnsi="Times New Roman"/>
              </w:rPr>
            </w:pPr>
            <w:r w:rsidRPr="00083D72">
              <w:rPr>
                <w:rFonts w:ascii="Times New Roman" w:hAnsi="Times New Roman"/>
              </w:rPr>
              <w:t>V zmiešanom dôchodkovom fonde rast majetku na</w:t>
            </w:r>
            <w:r w:rsidRPr="00083D72" w:rsidR="008A3637">
              <w:rPr>
                <w:rFonts w:ascii="Times New Roman" w:hAnsi="Times New Roman"/>
              </w:rPr>
              <w:t xml:space="preserve"> jedného sporiteľa v priemere </w:t>
            </w:r>
            <w:r w:rsidR="0045399D">
              <w:rPr>
                <w:rFonts w:ascii="Times New Roman" w:hAnsi="Times New Roman"/>
              </w:rPr>
              <w:t>6</w:t>
            </w:r>
            <w:r w:rsidR="0095242F">
              <w:rPr>
                <w:rFonts w:ascii="Times New Roman" w:hAnsi="Times New Roman"/>
              </w:rPr>
              <w:t>0</w:t>
            </w:r>
            <w:r w:rsidRPr="00083D72" w:rsidR="008A3637">
              <w:rPr>
                <w:rFonts w:ascii="Times New Roman" w:hAnsi="Times New Roman"/>
              </w:rPr>
              <w:t xml:space="preserve"> EUR (</w:t>
            </w:r>
            <w:r w:rsidR="0076336B">
              <w:rPr>
                <w:rFonts w:ascii="Times New Roman" w:hAnsi="Times New Roman"/>
              </w:rPr>
              <w:t xml:space="preserve">rast o </w:t>
            </w:r>
            <w:r w:rsidR="0045399D">
              <w:rPr>
                <w:rFonts w:ascii="Times New Roman" w:hAnsi="Times New Roman"/>
              </w:rPr>
              <w:t>75</w:t>
            </w:r>
            <w:r w:rsidRPr="00083D72">
              <w:rPr>
                <w:rFonts w:ascii="Times New Roman" w:hAnsi="Times New Roman"/>
              </w:rPr>
              <w:t xml:space="preserve"> EUR</w:t>
            </w:r>
            <w:r w:rsidR="0045399D">
              <w:rPr>
                <w:rFonts w:ascii="Times New Roman" w:hAnsi="Times New Roman"/>
              </w:rPr>
              <w:t>,</w:t>
            </w:r>
            <w:r w:rsidRPr="00083D72" w:rsidR="008A3637">
              <w:rPr>
                <w:rFonts w:ascii="Times New Roman" w:hAnsi="Times New Roman"/>
              </w:rPr>
              <w:t>,</w:t>
            </w:r>
            <w:r w:rsidR="0045399D">
              <w:rPr>
                <w:rFonts w:ascii="Times New Roman" w:hAnsi="Times New Roman"/>
              </w:rPr>
              <w:t xml:space="preserve"> rast o 10 EUR</w:t>
            </w:r>
            <w:r w:rsidRPr="00083D72">
              <w:rPr>
                <w:rFonts w:ascii="Times New Roman" w:hAnsi="Times New Roman"/>
              </w:rPr>
              <w:t>).</w:t>
            </w:r>
          </w:p>
          <w:p w:rsidR="00B53407" w:rsidRPr="00083D72" w:rsidP="00B53407">
            <w:pPr>
              <w:numPr>
                <w:numId w:val="6"/>
              </w:numPr>
              <w:bidi w:val="0"/>
              <w:jc w:val="both"/>
              <w:rPr>
                <w:rFonts w:ascii="Times New Roman" w:hAnsi="Times New Roman"/>
              </w:rPr>
            </w:pPr>
            <w:r w:rsidRPr="00083D72">
              <w:rPr>
                <w:rFonts w:ascii="Times New Roman" w:hAnsi="Times New Roman"/>
              </w:rPr>
              <w:t>V akciovom dôchodkovom fonde rast majetku na</w:t>
            </w:r>
            <w:r w:rsidRPr="00083D72" w:rsidR="008A3637">
              <w:rPr>
                <w:rFonts w:ascii="Times New Roman" w:hAnsi="Times New Roman"/>
              </w:rPr>
              <w:t xml:space="preserve"> jedného sporiteľa v priemere </w:t>
            </w:r>
            <w:r w:rsidR="0045399D">
              <w:rPr>
                <w:rFonts w:ascii="Times New Roman" w:hAnsi="Times New Roman"/>
              </w:rPr>
              <w:t>90</w:t>
            </w:r>
            <w:r w:rsidRPr="00083D72" w:rsidR="008A3637">
              <w:rPr>
                <w:rFonts w:ascii="Times New Roman" w:hAnsi="Times New Roman"/>
              </w:rPr>
              <w:t xml:space="preserve"> EUR (</w:t>
            </w:r>
            <w:r w:rsidR="00DF3A7A">
              <w:rPr>
                <w:rFonts w:ascii="Times New Roman" w:hAnsi="Times New Roman"/>
              </w:rPr>
              <w:t xml:space="preserve">rast o </w:t>
            </w:r>
            <w:r w:rsidR="0045399D">
              <w:rPr>
                <w:rFonts w:ascii="Times New Roman" w:hAnsi="Times New Roman"/>
              </w:rPr>
              <w:t>120</w:t>
            </w:r>
            <w:r w:rsidRPr="00083D72">
              <w:rPr>
                <w:rFonts w:ascii="Times New Roman" w:hAnsi="Times New Roman"/>
              </w:rPr>
              <w:t xml:space="preserve"> EUR</w:t>
            </w:r>
            <w:r w:rsidRPr="00083D72" w:rsidR="008A3637">
              <w:rPr>
                <w:rFonts w:ascii="Times New Roman" w:hAnsi="Times New Roman"/>
              </w:rPr>
              <w:t>,</w:t>
            </w:r>
            <w:r w:rsidR="00DF3A7A">
              <w:rPr>
                <w:rFonts w:ascii="Times New Roman" w:hAnsi="Times New Roman"/>
              </w:rPr>
              <w:t xml:space="preserve"> </w:t>
            </w:r>
            <w:r w:rsidR="0045399D">
              <w:rPr>
                <w:rFonts w:ascii="Times New Roman" w:hAnsi="Times New Roman"/>
              </w:rPr>
              <w:t>rast</w:t>
            </w:r>
            <w:r w:rsidR="00DF3A7A">
              <w:rPr>
                <w:rFonts w:ascii="Times New Roman" w:hAnsi="Times New Roman"/>
              </w:rPr>
              <w:t xml:space="preserve"> o</w:t>
            </w:r>
            <w:r w:rsidRPr="00083D72" w:rsidR="008A3637">
              <w:rPr>
                <w:rFonts w:ascii="Times New Roman" w:hAnsi="Times New Roman"/>
              </w:rPr>
              <w:t xml:space="preserve"> </w:t>
            </w:r>
            <w:r w:rsidR="0095242F">
              <w:rPr>
                <w:rFonts w:ascii="Times New Roman" w:hAnsi="Times New Roman"/>
              </w:rPr>
              <w:t>15</w:t>
            </w:r>
            <w:r w:rsidRPr="00083D72" w:rsidR="008A3637">
              <w:rPr>
                <w:rFonts w:ascii="Times New Roman" w:hAnsi="Times New Roman"/>
              </w:rPr>
              <w:t xml:space="preserve"> EUR</w:t>
            </w:r>
            <w:r w:rsidRPr="00083D72">
              <w:rPr>
                <w:rFonts w:ascii="Times New Roman" w:hAnsi="Times New Roman"/>
              </w:rPr>
              <w:t>).</w:t>
            </w:r>
          </w:p>
          <w:p w:rsidR="00B53407" w:rsidP="00BB5D47">
            <w:pPr>
              <w:bidi w:val="0"/>
              <w:jc w:val="both"/>
              <w:rPr>
                <w:rFonts w:ascii="Times New Roman" w:hAnsi="Times New Roman"/>
              </w:rPr>
            </w:pPr>
            <w:r w:rsidRPr="00083D72">
              <w:rPr>
                <w:rFonts w:ascii="Times New Roman" w:hAnsi="Times New Roman"/>
              </w:rPr>
              <w:t>Výška vplyvu bude závisieť od schopnosti dôchodkových správcovských spoločností zhodnotiť finančné prostriedky sporiteľov.  Pre nových sporiteľov sa výška vplyvu nedá presne vyčísliť, keďže každý vstúpi do systému v inom čase. Pri splnení skôr spomenutých predpokladov by však mali mať všetci sporitelia na svojich dôchodkových účtoch väčší objem úspor ako v prípade, že by bol zachovaný súčasný právny stav.</w:t>
            </w:r>
          </w:p>
          <w:p w:rsidR="00313E0F" w:rsidRPr="00083D72" w:rsidP="0076336B">
            <w:pPr>
              <w:bidi w:val="0"/>
              <w:jc w:val="both"/>
              <w:rPr>
                <w:rFonts w:ascii="Times New Roman" w:hAnsi="Times New Roman"/>
              </w:rPr>
            </w:pPr>
            <w:r w:rsidRPr="00590859">
              <w:rPr>
                <w:rFonts w:ascii="Times New Roman" w:hAnsi="Times New Roman"/>
              </w:rPr>
              <w:t xml:space="preserve">Odplata za vedenie osobného dôchodkového účtu sa nezvyšuje, </w:t>
            </w:r>
            <w:r w:rsidR="0076336B">
              <w:rPr>
                <w:rFonts w:ascii="Times New Roman" w:hAnsi="Times New Roman"/>
              </w:rPr>
              <w:t>jej výška sa mení z pevne určeného 1 % na maximálne 1 %</w:t>
            </w:r>
            <w:r w:rsidRPr="00590859">
              <w:rPr>
                <w:rFonts w:ascii="Times New Roman" w:hAnsi="Times New Roman"/>
              </w:rPr>
              <w:t>.</w:t>
            </w:r>
          </w:p>
        </w:tc>
      </w:tr>
      <w:tr>
        <w:tblPrEx>
          <w:tblW w:w="9349" w:type="dxa"/>
          <w:jc w:val="center"/>
          <w:tblInd w:w="-428" w:type="dxa"/>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B53407" w:rsidRPr="00083D72" w:rsidP="00BB5D47">
            <w:pPr>
              <w:bidi w:val="0"/>
              <w:ind w:firstLine="720" w:firstLineChars="300"/>
              <w:jc w:val="both"/>
              <w:rPr>
                <w:rFonts w:ascii="Times New Roman" w:hAnsi="Times New Roman"/>
              </w:rPr>
            </w:pPr>
            <w:r w:rsidRPr="00083D72">
              <w:rPr>
                <w:rFonts w:ascii="Times New Roman" w:hAnsi="Times New Roman"/>
              </w:rPr>
              <w:t>-Rast alebo pokles príjmov/výdavkov            na priemerného obyvateľa</w:t>
            </w:r>
          </w:p>
        </w:tc>
        <w:tc>
          <w:tcPr>
            <w:tcW w:w="4474" w:type="dxa"/>
            <w:vMerge/>
            <w:tcBorders>
              <w:top w:val="nil"/>
              <w:left w:val="nil"/>
              <w:bottom w:val="single" w:sz="4" w:space="0" w:color="auto"/>
              <w:right w:val="single" w:sz="4" w:space="0" w:color="auto"/>
            </w:tcBorders>
            <w:textDirection w:val="lrTb"/>
            <w:vAlign w:val="center"/>
          </w:tcPr>
          <w:p w:rsidR="00B53407" w:rsidRPr="00083D72" w:rsidP="00BB5D47">
            <w:pPr>
              <w:bidi w:val="0"/>
              <w:rPr>
                <w:rFonts w:ascii="Times New Roman" w:hAnsi="Times New Roman"/>
              </w:rPr>
            </w:pPr>
          </w:p>
        </w:tc>
      </w:tr>
      <w:tr>
        <w:tblPrEx>
          <w:tblW w:w="9349" w:type="dxa"/>
          <w:jc w:val="center"/>
          <w:tblInd w:w="-428" w:type="dxa"/>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B53407" w:rsidRPr="00083D72" w:rsidP="00BB5D47">
            <w:pPr>
              <w:bidi w:val="0"/>
              <w:ind w:firstLine="720" w:firstLineChars="300"/>
              <w:jc w:val="both"/>
              <w:rPr>
                <w:rFonts w:ascii="Times New Roman" w:hAnsi="Times New Roman"/>
              </w:rPr>
            </w:pPr>
            <w:r w:rsidRPr="00083D72">
              <w:rPr>
                <w:rFonts w:ascii="Times New Roman" w:hAnsi="Times New Roman"/>
              </w:rPr>
              <w:t>-Rast alebo pokles príjmov/výdavkov                  za jednotlivé ovplyvnené  skupiny domácností</w:t>
            </w:r>
          </w:p>
          <w:p w:rsidR="00B53407" w:rsidRPr="00083D72" w:rsidP="00842DE0">
            <w:pPr>
              <w:bidi w:val="0"/>
              <w:ind w:firstLine="660" w:firstLineChars="300"/>
              <w:jc w:val="both"/>
              <w:rPr>
                <w:rFonts w:ascii="Times New Roman" w:hAnsi="Times New Roman"/>
                <w:b/>
                <w:sz w:val="22"/>
                <w:szCs w:val="22"/>
              </w:rPr>
            </w:pPr>
            <w:r w:rsidRPr="00083D72">
              <w:rPr>
                <w:rFonts w:ascii="Times New Roman" w:hAnsi="Times New Roman"/>
                <w:b/>
                <w:sz w:val="22"/>
                <w:szCs w:val="22"/>
              </w:rPr>
              <w:t>-</w:t>
            </w:r>
            <w:r w:rsidRPr="00083D72">
              <w:rPr>
                <w:rFonts w:ascii="Times New Roman" w:hAnsi="Times New Roman"/>
                <w:sz w:val="22"/>
                <w:szCs w:val="22"/>
              </w:rPr>
              <w:t>Celkový počet obyvateľstva/domácností ovplyvnených predkladaným materiálom</w:t>
            </w:r>
          </w:p>
        </w:tc>
        <w:tc>
          <w:tcPr>
            <w:tcW w:w="4474" w:type="dxa"/>
            <w:vMerge/>
            <w:tcBorders>
              <w:top w:val="nil"/>
              <w:left w:val="nil"/>
              <w:bottom w:val="single" w:sz="4" w:space="0" w:color="auto"/>
              <w:right w:val="single" w:sz="4" w:space="0" w:color="auto"/>
            </w:tcBorders>
            <w:textDirection w:val="lrTb"/>
            <w:vAlign w:val="center"/>
          </w:tcPr>
          <w:p w:rsidR="00B53407" w:rsidRPr="00083D72" w:rsidP="00BB5D47">
            <w:pPr>
              <w:bidi w:val="0"/>
              <w:rPr>
                <w:rFonts w:ascii="Times New Roman" w:hAnsi="Times New Roman"/>
              </w:rPr>
            </w:pPr>
          </w:p>
        </w:tc>
      </w:tr>
      <w:tr>
        <w:tblPrEx>
          <w:tblW w:w="9349" w:type="dxa"/>
          <w:jc w:val="center"/>
          <w:tblInd w:w="-428" w:type="dxa"/>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B53407" w:rsidRPr="00083D72" w:rsidP="00BB5D47">
            <w:pPr>
              <w:bidi w:val="0"/>
              <w:jc w:val="both"/>
              <w:rPr>
                <w:rFonts w:ascii="Times New Roman" w:hAnsi="Times New Roman"/>
              </w:rPr>
            </w:pPr>
          </w:p>
        </w:tc>
        <w:tc>
          <w:tcPr>
            <w:tcW w:w="4474" w:type="dxa"/>
            <w:vMerge/>
            <w:tcBorders>
              <w:top w:val="nil"/>
              <w:left w:val="nil"/>
              <w:bottom w:val="single" w:sz="4" w:space="0" w:color="auto"/>
              <w:right w:val="single" w:sz="4" w:space="0" w:color="auto"/>
            </w:tcBorders>
            <w:textDirection w:val="lrTb"/>
            <w:vAlign w:val="center"/>
          </w:tcPr>
          <w:p w:rsidR="00B53407" w:rsidRPr="00083D72" w:rsidP="00BB5D47">
            <w:pPr>
              <w:bidi w:val="0"/>
              <w:rPr>
                <w:rFonts w:ascii="Times New Roman" w:hAnsi="Times New Roman"/>
              </w:rPr>
            </w:pPr>
          </w:p>
        </w:tc>
      </w:tr>
      <w:tr>
        <w:tblPrEx>
          <w:tblW w:w="9349" w:type="dxa"/>
          <w:jc w:val="center"/>
          <w:tblInd w:w="-428" w:type="dxa"/>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B53407" w:rsidP="00BB5D47">
            <w:pPr>
              <w:bidi w:val="0"/>
              <w:jc w:val="both"/>
              <w:rPr>
                <w:rFonts w:ascii="Times New Roman" w:hAnsi="Times New Roman"/>
              </w:rPr>
            </w:pPr>
            <w:r>
              <w:rPr>
                <w:rFonts w:ascii="Times New Roman" w:hAnsi="Times New Roman"/>
                <w:b/>
              </w:rPr>
              <w:t>4.2.</w:t>
            </w:r>
            <w:r>
              <w:rPr>
                <w:rFonts w:ascii="Times New Roman" w:hAnsi="Times New Roman"/>
              </w:rPr>
              <w:t xml:space="preserve"> Zhodnoťte kvalitatívne (prípadne kvantitatívne) vplyvy na </w:t>
            </w:r>
            <w:r w:rsidRPr="00F13D72">
              <w:rPr>
                <w:rFonts w:ascii="Times New Roman" w:hAnsi="Times New Roman"/>
                <w:b/>
              </w:rPr>
              <w:t>prístup k zdrojom</w:t>
            </w:r>
            <w:r>
              <w:rPr>
                <w:rFonts w:ascii="Times New Roman" w:hAnsi="Times New Roman"/>
              </w:rPr>
              <w:t>, právam, tovarom a službám u jednotlivých ovplyvnených skupín obyvateľstva.</w:t>
            </w:r>
          </w:p>
        </w:tc>
        <w:tc>
          <w:tcPr>
            <w:tcW w:w="4474" w:type="dxa"/>
            <w:tcBorders>
              <w:top w:val="nil"/>
              <w:left w:val="nil"/>
              <w:bottom w:val="single" w:sz="4" w:space="0" w:color="auto"/>
              <w:right w:val="single" w:sz="4" w:space="0" w:color="auto"/>
            </w:tcBorders>
            <w:textDirection w:val="lrTb"/>
            <w:vAlign w:val="top"/>
          </w:tcPr>
          <w:p w:rsidR="00B53407" w:rsidP="00BB5D47">
            <w:pPr>
              <w:bidi w:val="0"/>
              <w:jc w:val="both"/>
              <w:rPr>
                <w:rFonts w:ascii="Times New Roman" w:hAnsi="Times New Roman"/>
              </w:rPr>
            </w:pPr>
            <w:r>
              <w:rPr>
                <w:rFonts w:ascii="Times New Roman" w:hAnsi="Times New Roman"/>
              </w:rPr>
              <w:t>Návrh zákona nemá vplyv na prístup k zdrojom, právam, tovarom a službám pre sporiteľov.</w:t>
            </w:r>
          </w:p>
        </w:tc>
      </w:tr>
      <w:tr>
        <w:tblPrEx>
          <w:tblW w:w="9349" w:type="dxa"/>
          <w:jc w:val="center"/>
          <w:tblInd w:w="-428" w:type="dxa"/>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B53407" w:rsidP="00BB5D47">
            <w:pPr>
              <w:bidi w:val="0"/>
              <w:jc w:val="both"/>
              <w:rPr>
                <w:rFonts w:ascii="Times New Roman" w:hAnsi="Times New Roman"/>
              </w:rPr>
            </w:pPr>
          </w:p>
          <w:p w:rsidR="00B53407" w:rsidP="00BB5D47">
            <w:pPr>
              <w:bidi w:val="0"/>
              <w:jc w:val="both"/>
              <w:rPr>
                <w:rFonts w:ascii="Times New Roman" w:hAnsi="Times New Roman"/>
              </w:rPr>
            </w:pPr>
            <w:r>
              <w:rPr>
                <w:rFonts w:ascii="Times New Roman" w:hAnsi="Times New Roman"/>
                <w:b/>
              </w:rPr>
              <w:t>4.3.</w:t>
            </w:r>
            <w:r>
              <w:rPr>
                <w:rFonts w:ascii="Times New Roman" w:hAnsi="Times New Roman"/>
                <w:sz w:val="22"/>
                <w:szCs w:val="22"/>
              </w:rPr>
              <w:t xml:space="preserve">  </w:t>
            </w:r>
            <w:r>
              <w:rPr>
                <w:rFonts w:ascii="Times New Roman" w:hAnsi="Times New Roman"/>
              </w:rPr>
              <w:t>Zhodnoťte vplyv na rovnosť príležitostí:</w:t>
            </w:r>
          </w:p>
          <w:p w:rsidR="00B53407" w:rsidP="00BB5D47">
            <w:pPr>
              <w:bidi w:val="0"/>
              <w:jc w:val="both"/>
              <w:rPr>
                <w:rFonts w:ascii="Times New Roman" w:hAnsi="Times New Roman"/>
              </w:rPr>
            </w:pPr>
          </w:p>
          <w:p w:rsidR="00B53407" w:rsidP="00BB5D47">
            <w:pPr>
              <w:bidi w:val="0"/>
              <w:jc w:val="both"/>
              <w:rPr>
                <w:rFonts w:ascii="Times New Roman" w:hAnsi="Times New Roman"/>
              </w:rPr>
            </w:pPr>
            <w:r>
              <w:rPr>
                <w:rFonts w:ascii="Times New Roman" w:hAnsi="Times New Roman"/>
              </w:rPr>
              <w:t>Zhodnoťte vplyv na rodovú rovnosť.</w:t>
            </w:r>
          </w:p>
          <w:p w:rsidR="00B53407" w:rsidP="00BB5D47">
            <w:pPr>
              <w:bidi w:val="0"/>
              <w:jc w:val="both"/>
              <w:rPr>
                <w:rFonts w:ascii="Times New Roman" w:hAnsi="Times New Roman"/>
              </w:rPr>
            </w:pPr>
          </w:p>
        </w:tc>
        <w:tc>
          <w:tcPr>
            <w:tcW w:w="4474" w:type="dxa"/>
            <w:tcBorders>
              <w:top w:val="nil"/>
              <w:left w:val="nil"/>
              <w:bottom w:val="single" w:sz="4" w:space="0" w:color="auto"/>
              <w:right w:val="single" w:sz="4" w:space="0" w:color="auto"/>
            </w:tcBorders>
            <w:textDirection w:val="lrTb"/>
            <w:vAlign w:val="top"/>
          </w:tcPr>
          <w:p w:rsidR="00B53407" w:rsidP="00BB5D47">
            <w:pPr>
              <w:bidi w:val="0"/>
              <w:jc w:val="both"/>
              <w:rPr>
                <w:rFonts w:ascii="Times New Roman" w:hAnsi="Times New Roman"/>
              </w:rPr>
            </w:pPr>
            <w:r>
              <w:rPr>
                <w:rFonts w:ascii="Times New Roman" w:hAnsi="Times New Roman"/>
              </w:rPr>
              <w:t>Návrh zákona nemá vplyv na rovnosť príležitostí ani na rodovú rovnosť.</w:t>
            </w:r>
          </w:p>
        </w:tc>
      </w:tr>
      <w:tr>
        <w:tblPrEx>
          <w:tblW w:w="9349" w:type="dxa"/>
          <w:jc w:val="center"/>
          <w:tblInd w:w="-428" w:type="dxa"/>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B53407" w:rsidP="00BB5D47">
            <w:pPr>
              <w:bidi w:val="0"/>
              <w:jc w:val="both"/>
              <w:rPr>
                <w:rFonts w:ascii="Times New Roman" w:hAnsi="Times New Roman"/>
              </w:rPr>
            </w:pPr>
            <w:r>
              <w:rPr>
                <w:rFonts w:ascii="Times New Roman" w:hAnsi="Times New Roman"/>
                <w:b/>
              </w:rPr>
              <w:t xml:space="preserve">4.4. </w:t>
            </w:r>
            <w:r>
              <w:rPr>
                <w:rFonts w:ascii="Times New Roman" w:hAnsi="Times New Roman"/>
              </w:rPr>
              <w:t>Zhodnoťte vplyvy na zamestnanosť.</w:t>
            </w:r>
          </w:p>
          <w:p w:rsidR="00B53407" w:rsidP="00BB5D47">
            <w:pPr>
              <w:bidi w:val="0"/>
              <w:jc w:val="both"/>
              <w:rPr>
                <w:rFonts w:ascii="Times New Roman" w:hAnsi="Times New Roman"/>
                <w:b/>
              </w:rPr>
            </w:pPr>
          </w:p>
          <w:p w:rsidR="00B53407" w:rsidP="00BB5D47">
            <w:pPr>
              <w:bidi w:val="0"/>
              <w:jc w:val="both"/>
              <w:rPr>
                <w:rFonts w:ascii="Times New Roman" w:hAnsi="Times New Roman"/>
                <w:bCs/>
              </w:rPr>
            </w:pPr>
            <w:r w:rsidR="0076336B">
              <w:rPr>
                <w:rFonts w:ascii="Times New Roman" w:hAnsi="Times New Roman"/>
                <w:bCs/>
              </w:rPr>
              <w:t xml:space="preserve">Aké sú </w:t>
            </w:r>
            <w:r>
              <w:rPr>
                <w:rFonts w:ascii="Times New Roman" w:hAnsi="Times New Roman"/>
                <w:bCs/>
              </w:rPr>
              <w:t>vplyvy na zamestnanosť?</w:t>
            </w:r>
          </w:p>
          <w:p w:rsidR="00B53407" w:rsidP="00BB5D47">
            <w:pPr>
              <w:bidi w:val="0"/>
              <w:jc w:val="both"/>
              <w:rPr>
                <w:rFonts w:ascii="Times New Roman" w:hAnsi="Times New Roman"/>
              </w:rPr>
            </w:pPr>
            <w:r>
              <w:rPr>
                <w:rFonts w:ascii="Times New Roman" w:hAnsi="Times New Roman"/>
                <w:bCs/>
              </w:rPr>
              <w:t>Ktoré skupiny zamestnancov budú ohrozené schválením predkladaného materiálu?</w:t>
            </w:r>
          </w:p>
          <w:p w:rsidR="00B53407" w:rsidP="00BB5D47">
            <w:pPr>
              <w:bidi w:val="0"/>
              <w:jc w:val="both"/>
              <w:rPr>
                <w:rFonts w:ascii="Times New Roman" w:hAnsi="Times New Roman"/>
                <w:bCs/>
              </w:rPr>
            </w:pPr>
            <w:r>
              <w:rPr>
                <w:rFonts w:ascii="Times New Roman" w:hAnsi="Times New Roman"/>
                <w:bCs/>
              </w:rPr>
              <w:t>Hrozí v prípade schválenia predkladaného materiálu hromadné prepúšťanie?</w:t>
            </w:r>
          </w:p>
        </w:tc>
        <w:tc>
          <w:tcPr>
            <w:tcW w:w="4474" w:type="dxa"/>
            <w:tcBorders>
              <w:top w:val="single" w:sz="4" w:space="0" w:color="auto"/>
              <w:left w:val="single" w:sz="4" w:space="0" w:color="auto"/>
              <w:bottom w:val="single" w:sz="4" w:space="0" w:color="auto"/>
              <w:right w:val="single" w:sz="4" w:space="0" w:color="auto"/>
            </w:tcBorders>
            <w:textDirection w:val="lrTb"/>
            <w:vAlign w:val="top"/>
          </w:tcPr>
          <w:p w:rsidR="00B53407" w:rsidP="00BB5D47">
            <w:pPr>
              <w:bidi w:val="0"/>
              <w:jc w:val="both"/>
              <w:rPr>
                <w:rFonts w:ascii="Times New Roman" w:hAnsi="Times New Roman"/>
              </w:rPr>
            </w:pPr>
            <w:r>
              <w:rPr>
                <w:rFonts w:ascii="Times New Roman" w:hAnsi="Times New Roman"/>
              </w:rPr>
              <w:t>Návrh zákona nemá vplyv na zamestnanosť.</w:t>
            </w:r>
          </w:p>
        </w:tc>
      </w:tr>
    </w:tbl>
    <w:p w:rsidR="00B53407" w:rsidP="00B53407">
      <w:pPr>
        <w:pStyle w:val="BodyText"/>
        <w:tabs>
          <w:tab w:val="num" w:pos="1080"/>
        </w:tabs>
        <w:bidi w:val="0"/>
        <w:jc w:val="both"/>
        <w:rPr>
          <w:rFonts w:ascii="Times New Roman" w:hAnsi="Times New Roman"/>
          <w:b w:val="0"/>
          <w:bCs/>
        </w:rPr>
      </w:pPr>
    </w:p>
    <w:p w:rsidR="003F210C" w:rsidP="00B53407">
      <w:pPr>
        <w:bidi w:val="0"/>
        <w:rPr>
          <w:rFonts w:ascii="Times New Roman" w:hAnsi="Times New Roman"/>
        </w:rPr>
      </w:pPr>
    </w:p>
    <w:p w:rsidR="0051198B" w:rsidP="00B53407">
      <w:pPr>
        <w:bidi w:val="0"/>
        <w:rPr>
          <w:rFonts w:ascii="Times New Roman" w:hAnsi="Times New Roman"/>
        </w:rPr>
      </w:pPr>
    </w:p>
    <w:p w:rsidR="0051198B" w:rsidP="00B53407">
      <w:pPr>
        <w:bidi w:val="0"/>
        <w:rPr>
          <w:rFonts w:ascii="Times New Roman" w:hAnsi="Times New Roman"/>
        </w:rPr>
      </w:pPr>
    </w:p>
    <w:p w:rsidR="0051198B" w:rsidRPr="0093685A" w:rsidP="0051198B">
      <w:pPr>
        <w:pStyle w:val="BodyText"/>
        <w:bidi w:val="0"/>
        <w:jc w:val="center"/>
        <w:rPr>
          <w:rFonts w:ascii="Times New Roman" w:hAnsi="Times New Roman"/>
          <w:bCs/>
          <w:color w:val="000000"/>
          <w:sz w:val="28"/>
          <w:szCs w:val="28"/>
        </w:rPr>
      </w:pPr>
      <w:r w:rsidRPr="0093685A">
        <w:rPr>
          <w:rFonts w:ascii="Times New Roman" w:hAnsi="Times New Roman"/>
          <w:bCs/>
          <w:color w:val="000000"/>
          <w:sz w:val="28"/>
          <w:szCs w:val="28"/>
        </w:rPr>
        <w:t>Vplyvy na informatizáciu spoločnosti</w:t>
      </w:r>
    </w:p>
    <w:p w:rsidR="0051198B" w:rsidRPr="00594991" w:rsidP="0051198B">
      <w:pPr>
        <w:pStyle w:val="BodyText"/>
        <w:bidi w:val="0"/>
        <w:jc w:val="both"/>
        <w:rPr>
          <w:rFonts w:ascii="Times New Roman" w:hAnsi="Times New Roman"/>
          <w:bCs/>
          <w:color w:val="FF0000"/>
          <w:sz w:val="28"/>
          <w:szCs w:val="28"/>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51198B" w:rsidP="009C2EA3">
            <w:pPr>
              <w:bidi w:val="0"/>
              <w:jc w:val="both"/>
              <w:rPr>
                <w:rFonts w:ascii="Times New Roman" w:hAnsi="Times New Roman"/>
                <w:b/>
                <w:sz w:val="22"/>
                <w:szCs w:val="22"/>
              </w:rPr>
            </w:pPr>
            <w:r>
              <w:rPr>
                <w:rFonts w:ascii="Times New Roman" w:hAnsi="Times New Roman"/>
                <w:b/>
                <w:sz w:val="22"/>
                <w:szCs w:val="22"/>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51198B" w:rsidP="009C2EA3">
            <w:pPr>
              <w:bidi w:val="0"/>
              <w:rPr>
                <w:rFonts w:ascii="Times New Roman" w:hAnsi="Times New Roman"/>
                <w:b/>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51198B" w:rsidP="009C2EA3">
            <w:pPr>
              <w:bidi w:val="0"/>
              <w:jc w:val="both"/>
              <w:rPr>
                <w:rFonts w:ascii="Times New Roman" w:hAnsi="Times New Roman"/>
                <w:b/>
                <w:sz w:val="22"/>
                <w:szCs w:val="22"/>
              </w:rPr>
            </w:pPr>
            <w:r>
              <w:rPr>
                <w:rFonts w:ascii="Times New Roman" w:hAnsi="Times New Roman"/>
                <w:b/>
                <w:sz w:val="22"/>
                <w:szCs w:val="22"/>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51198B" w:rsidP="009C2EA3">
            <w:pPr>
              <w:bidi w:val="0"/>
              <w:rPr>
                <w:rFonts w:ascii="Times New Roman" w:hAnsi="Times New Roman"/>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jc w:val="both"/>
              <w:rPr>
                <w:rFonts w:ascii="Times New Roman" w:hAnsi="Times New Roman"/>
                <w:sz w:val="22"/>
                <w:szCs w:val="22"/>
              </w:rPr>
            </w:pPr>
            <w:r>
              <w:rPr>
                <w:rFonts w:ascii="Times New Roman" w:hAnsi="Times New Roman"/>
                <w:b/>
                <w:sz w:val="22"/>
                <w:szCs w:val="22"/>
              </w:rPr>
              <w:t>6.1.</w:t>
            </w:r>
            <w:r>
              <w:rPr>
                <w:rFonts w:ascii="Times New Roman" w:hAnsi="Times New Roman"/>
                <w:sz w:val="22"/>
                <w:szCs w:val="22"/>
              </w:rPr>
              <w:t xml:space="preserve"> Rozširujú alebo inovujú  sa existujúce alebo vytvárajú sa či zavádzajú  sa nové elektronické služby?</w:t>
            </w:r>
          </w:p>
          <w:p w:rsidR="0051198B" w:rsidP="009C2EA3">
            <w:pPr>
              <w:bidi w:val="0"/>
              <w:jc w:val="both"/>
              <w:rPr>
                <w:rFonts w:ascii="Times New Roman" w:hAnsi="Times New Roman"/>
                <w:sz w:val="20"/>
                <w:szCs w:val="20"/>
              </w:rPr>
            </w:pPr>
            <w:r>
              <w:rPr>
                <w:rFonts w:ascii="Times New Roman" w:hAnsi="Times New Roman"/>
                <w:i/>
                <w:iCs/>
                <w:sz w:val="20"/>
                <w:szCs w:val="20"/>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rPr>
                <w:rFonts w:ascii="Times New Roman" w:hAnsi="Times New Roman"/>
                <w:i/>
                <w:iCs/>
                <w:sz w:val="22"/>
                <w:szCs w:val="22"/>
              </w:rPr>
            </w:pPr>
            <w:r w:rsidRPr="007566C9">
              <w:rPr>
                <w:rFonts w:ascii="Arial Narrow" w:hAnsi="Arial Narrow" w:cs="Arial Narrow"/>
                <w:sz w:val="22"/>
                <w:szCs w:val="22"/>
              </w:rPr>
              <w:t xml:space="preserve">Áno, dôchodková správcovská spoločnosť(DDS) zverejňuje na svojom webovom sídle zmenu odplaty DSS a zmenu názvu konzervatívneho dôchodkového fondu na </w:t>
            </w:r>
            <w:r w:rsidRPr="00392BC8">
              <w:rPr>
                <w:rFonts w:ascii="Arial Narrow" w:hAnsi="Arial Narrow" w:cs="Arial Narrow"/>
                <w:sz w:val="22"/>
                <w:szCs w:val="22"/>
              </w:rPr>
              <w:t>dlhopis</w:t>
            </w:r>
            <w:r w:rsidRPr="00392BC8" w:rsidR="00842DE0">
              <w:rPr>
                <w:rFonts w:ascii="Arial Narrow" w:hAnsi="Arial Narrow" w:cs="Arial Narrow"/>
                <w:sz w:val="22"/>
                <w:szCs w:val="22"/>
              </w:rPr>
              <w:t>ov</w:t>
            </w:r>
            <w:r w:rsidRPr="009E6B1E">
              <w:rPr>
                <w:rFonts w:ascii="Arial Narrow" w:hAnsi="Arial Narrow" w:cs="Arial Narrow"/>
                <w:sz w:val="22"/>
                <w:szCs w:val="22"/>
              </w:rPr>
              <w:t>ý</w:t>
            </w:r>
            <w:r w:rsidRPr="007566C9">
              <w:rPr>
                <w:rFonts w:ascii="Arial Narrow" w:hAnsi="Arial Narrow" w:cs="Arial Narrow"/>
                <w:sz w:val="22"/>
                <w:szCs w:val="22"/>
              </w:rPr>
              <w:t xml:space="preserve"> dôchodkový fond,  čím sa zavádza nová elektronická služba s úrovňou I. (informatívna úroveň). Sociálna poisťovňa pri plnení povinnosti vyžiadania si od DDS vrátenie príspevkov podľa § 28a ods. </w:t>
            </w:r>
            <w:smartTag w:uri="urn:schemas-microsoft-com:office:smarttags" w:element="metricconverter">
              <w:smartTagPr>
                <w:attr w:name="ProductID" w:val="3 a"/>
              </w:smartTagPr>
              <w:r w:rsidRPr="007566C9">
                <w:rPr>
                  <w:rFonts w:ascii="Arial Narrow" w:hAnsi="Arial Narrow" w:cs="Arial Narrow"/>
                  <w:sz w:val="22"/>
                  <w:szCs w:val="22"/>
                </w:rPr>
                <w:t>3 a</w:t>
              </w:r>
            </w:smartTag>
            <w:r w:rsidRPr="007566C9">
              <w:rPr>
                <w:rFonts w:ascii="Arial Narrow" w:hAnsi="Arial Narrow" w:cs="Arial Narrow"/>
                <w:sz w:val="22"/>
                <w:szCs w:val="22"/>
              </w:rPr>
              <w:t xml:space="preserve"> § 64a ods. 11, môže zvoliť okrem listinnej formy aj elektronickú formu, čím sa zavádza elektronická služba s úrovňou III.(obojsmerná interakcia).</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jc w:val="both"/>
              <w:rPr>
                <w:rFonts w:ascii="Times New Roman" w:hAnsi="Times New Roman"/>
                <w:sz w:val="22"/>
                <w:szCs w:val="22"/>
              </w:rPr>
            </w:pPr>
            <w:r>
              <w:rPr>
                <w:rFonts w:ascii="Times New Roman" w:hAnsi="Times New Roman"/>
                <w:b/>
                <w:sz w:val="22"/>
                <w:szCs w:val="22"/>
              </w:rPr>
              <w:t>6.2.</w:t>
            </w:r>
            <w:r>
              <w:rPr>
                <w:rFonts w:ascii="Times New Roman" w:hAnsi="Times New Roman"/>
                <w:sz w:val="22"/>
                <w:szCs w:val="22"/>
              </w:rPr>
              <w:t xml:space="preserve"> Vytvárajú sa podmienky pre sémantickú interoperabilitu?</w:t>
            </w:r>
          </w:p>
          <w:p w:rsidR="0051198B" w:rsidP="009C2EA3">
            <w:pPr>
              <w:bidi w:val="0"/>
              <w:jc w:val="both"/>
              <w:rPr>
                <w:rFonts w:ascii="Times New Roman" w:hAnsi="Times New Roman"/>
                <w:sz w:val="20"/>
                <w:szCs w:val="20"/>
              </w:rPr>
            </w:pPr>
            <w:r>
              <w:rPr>
                <w:rFonts w:ascii="Times New Roman" w:hAnsi="Times New Roman"/>
                <w:i/>
                <w:iCs/>
                <w:sz w:val="20"/>
                <w:szCs w:val="20"/>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0B6879" w:rsidP="0076336B">
            <w:pPr>
              <w:bidi w:val="0"/>
              <w:rPr>
                <w:rFonts w:ascii="Times New Roman" w:hAnsi="Times New Roman"/>
                <w:i/>
                <w:iCs/>
                <w:sz w:val="22"/>
                <w:szCs w:val="22"/>
              </w:rPr>
            </w:pPr>
            <w:r w:rsidR="0051198B">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51198B" w:rsidP="009C2EA3">
            <w:pPr>
              <w:bidi w:val="0"/>
              <w:jc w:val="both"/>
              <w:rPr>
                <w:rFonts w:ascii="Times New Roman" w:hAnsi="Times New Roman"/>
                <w:b/>
                <w:color w:val="FFFFFF"/>
                <w:sz w:val="22"/>
                <w:szCs w:val="22"/>
              </w:rPr>
            </w:pPr>
            <w:r>
              <w:rPr>
                <w:rFonts w:ascii="Times New Roman" w:hAnsi="Times New Roman"/>
                <w:b/>
                <w:sz w:val="22"/>
                <w:szCs w:val="22"/>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51198B" w:rsidP="009C2EA3">
            <w:pPr>
              <w:bidi w:val="0"/>
              <w:rPr>
                <w:rFonts w:ascii="Times New Roman" w:hAnsi="Times New Roman"/>
                <w:b/>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jc w:val="both"/>
              <w:rPr>
                <w:rFonts w:ascii="Times New Roman" w:hAnsi="Times New Roman"/>
                <w:sz w:val="22"/>
                <w:szCs w:val="22"/>
              </w:rPr>
            </w:pPr>
            <w:r>
              <w:rPr>
                <w:rFonts w:ascii="Times New Roman" w:hAnsi="Times New Roman"/>
                <w:b/>
                <w:sz w:val="22"/>
                <w:szCs w:val="22"/>
              </w:rPr>
              <w:t>6.3.</w:t>
            </w:r>
            <w:r>
              <w:rPr>
                <w:rFonts w:ascii="Times New Roman" w:hAnsi="Times New Roman"/>
                <w:sz w:val="22"/>
                <w:szCs w:val="22"/>
              </w:rPr>
              <w:t xml:space="preserve"> Zabezpečuje sa vzdelávanie v oblasti počítačovej gramotnosti a rozširovanie vedomostí o IKT?</w:t>
            </w:r>
          </w:p>
          <w:p w:rsidR="0051198B" w:rsidP="009C2EA3">
            <w:pPr>
              <w:bidi w:val="0"/>
              <w:jc w:val="both"/>
              <w:rPr>
                <w:rFonts w:ascii="Times New Roman" w:hAnsi="Times New Roman"/>
                <w:sz w:val="20"/>
                <w:szCs w:val="20"/>
              </w:rPr>
            </w:pPr>
            <w:r>
              <w:rPr>
                <w:rFonts w:ascii="Times New Roman" w:hAnsi="Times New Roman"/>
                <w:i/>
                <w:iCs/>
                <w:sz w:val="20"/>
                <w:szCs w:val="20"/>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51198B" w:rsidP="009C2EA3">
            <w:pPr>
              <w:bidi w:val="0"/>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jc w:val="both"/>
              <w:rPr>
                <w:rFonts w:ascii="Times New Roman" w:hAnsi="Times New Roman"/>
                <w:sz w:val="22"/>
                <w:szCs w:val="22"/>
              </w:rPr>
            </w:pPr>
            <w:r>
              <w:rPr>
                <w:rFonts w:ascii="Times New Roman" w:hAnsi="Times New Roman"/>
                <w:b/>
                <w:sz w:val="22"/>
                <w:szCs w:val="22"/>
              </w:rPr>
              <w:t>6.4.</w:t>
            </w:r>
            <w:r>
              <w:rPr>
                <w:rFonts w:ascii="Times New Roman" w:hAnsi="Times New Roman"/>
                <w:sz w:val="22"/>
                <w:szCs w:val="22"/>
              </w:rPr>
              <w:t xml:space="preserve"> Zabezpečuje sa rozvoj elektronického vzdelávania?</w:t>
            </w:r>
          </w:p>
          <w:p w:rsidR="0051198B" w:rsidP="009C2EA3">
            <w:pPr>
              <w:bidi w:val="0"/>
              <w:jc w:val="both"/>
              <w:rPr>
                <w:rFonts w:ascii="Times New Roman" w:hAnsi="Times New Roman"/>
                <w:color w:val="FFFFFF"/>
                <w:sz w:val="20"/>
                <w:szCs w:val="20"/>
              </w:rPr>
            </w:pPr>
            <w:r>
              <w:rPr>
                <w:rFonts w:ascii="Times New Roman" w:hAnsi="Times New Roman"/>
                <w:i/>
                <w:iCs/>
                <w:sz w:val="20"/>
                <w:szCs w:val="20"/>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jc w:val="both"/>
              <w:rPr>
                <w:rFonts w:ascii="Times New Roman" w:hAnsi="Times New Roman"/>
                <w:sz w:val="22"/>
                <w:szCs w:val="22"/>
              </w:rPr>
            </w:pPr>
            <w:r>
              <w:rPr>
                <w:rFonts w:ascii="Times New Roman" w:hAnsi="Times New Roman"/>
                <w:b/>
                <w:sz w:val="22"/>
                <w:szCs w:val="22"/>
              </w:rPr>
              <w:t>6.5.</w:t>
            </w:r>
            <w:r>
              <w:rPr>
                <w:rFonts w:ascii="Times New Roman" w:hAnsi="Times New Roman"/>
                <w:sz w:val="22"/>
                <w:szCs w:val="22"/>
              </w:rPr>
              <w:t xml:space="preserve"> Zabezpečuje sa podporná a propagačná aktivita zameraná na zvyšovanie povedomia o informatizácii a IKT?</w:t>
            </w:r>
          </w:p>
          <w:p w:rsidR="0051198B" w:rsidP="009C2EA3">
            <w:pPr>
              <w:bidi w:val="0"/>
              <w:jc w:val="both"/>
              <w:rPr>
                <w:rFonts w:ascii="Times New Roman" w:hAnsi="Times New Roman"/>
                <w:color w:val="FFFFFF"/>
                <w:sz w:val="20"/>
                <w:szCs w:val="20"/>
              </w:rPr>
            </w:pPr>
            <w:r>
              <w:rPr>
                <w:rFonts w:ascii="Times New Roman" w:hAnsi="Times New Roman"/>
                <w:i/>
                <w:iCs/>
                <w:sz w:val="20"/>
                <w:szCs w:val="20"/>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jc w:val="both"/>
              <w:rPr>
                <w:rFonts w:ascii="Times New Roman" w:hAnsi="Times New Roman"/>
                <w:sz w:val="22"/>
                <w:szCs w:val="22"/>
              </w:rPr>
            </w:pPr>
            <w:r>
              <w:rPr>
                <w:rFonts w:ascii="Times New Roman" w:hAnsi="Times New Roman"/>
                <w:b/>
                <w:sz w:val="22"/>
                <w:szCs w:val="22"/>
              </w:rPr>
              <w:t>6.6.</w:t>
            </w:r>
            <w:r>
              <w:rPr>
                <w:rFonts w:ascii="Times New Roman" w:hAnsi="Times New Roman"/>
                <w:sz w:val="22"/>
                <w:szCs w:val="22"/>
              </w:rPr>
              <w:t xml:space="preserve"> Zabezpečuje/zohľadňuje/zlepšuje sa prístup znevýhodnených osôb k službám informačnej spoločnosti?</w:t>
            </w:r>
          </w:p>
          <w:p w:rsidR="0051198B" w:rsidP="009C2EA3">
            <w:pPr>
              <w:bidi w:val="0"/>
              <w:jc w:val="both"/>
              <w:rPr>
                <w:rFonts w:ascii="Times New Roman" w:hAnsi="Times New Roman"/>
                <w:sz w:val="20"/>
                <w:szCs w:val="20"/>
              </w:rPr>
            </w:pPr>
            <w:r>
              <w:rPr>
                <w:rFonts w:ascii="Times New Roman" w:hAnsi="Times New Roman"/>
                <w:i/>
                <w:iCs/>
                <w:sz w:val="20"/>
                <w:szCs w:val="20"/>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51198B" w:rsidP="009C2EA3">
            <w:pPr>
              <w:bidi w:val="0"/>
              <w:jc w:val="both"/>
              <w:rPr>
                <w:rFonts w:ascii="Times New Roman" w:hAnsi="Times New Roman"/>
                <w:b/>
                <w:sz w:val="22"/>
                <w:szCs w:val="22"/>
              </w:rPr>
            </w:pPr>
            <w:r>
              <w:rPr>
                <w:rFonts w:ascii="Times New Roman" w:hAnsi="Times New Roman"/>
                <w:b/>
                <w:sz w:val="22"/>
                <w:szCs w:val="22"/>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51198B" w:rsidP="009C2EA3">
            <w:pPr>
              <w:bidi w:val="0"/>
              <w:rPr>
                <w:rFonts w:ascii="Times New Roman" w:hAnsi="Times New Roman"/>
                <w:b/>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jc w:val="both"/>
              <w:rPr>
                <w:rFonts w:ascii="Times New Roman" w:hAnsi="Times New Roman"/>
                <w:sz w:val="22"/>
                <w:szCs w:val="22"/>
              </w:rPr>
            </w:pPr>
            <w:r>
              <w:rPr>
                <w:rFonts w:ascii="Times New Roman" w:hAnsi="Times New Roman"/>
                <w:b/>
                <w:sz w:val="22"/>
                <w:szCs w:val="22"/>
              </w:rPr>
              <w:t>6.7.</w:t>
            </w:r>
            <w:r>
              <w:rPr>
                <w:rFonts w:ascii="Times New Roman" w:hAnsi="Times New Roman"/>
                <w:sz w:val="22"/>
                <w:szCs w:val="22"/>
              </w:rPr>
              <w:t xml:space="preserve"> Rozširuje, inovuje, vytvára alebo zavádza sa nový informačný systém?</w:t>
            </w:r>
          </w:p>
          <w:p w:rsidR="0051198B" w:rsidP="009C2EA3">
            <w:pPr>
              <w:bidi w:val="0"/>
              <w:jc w:val="both"/>
              <w:rPr>
                <w:rFonts w:ascii="Times New Roman" w:hAnsi="Times New Roman"/>
                <w:sz w:val="20"/>
                <w:szCs w:val="20"/>
              </w:rPr>
            </w:pPr>
            <w:r>
              <w:rPr>
                <w:rFonts w:ascii="Times New Roman" w:hAnsi="Times New Roman"/>
                <w:i/>
                <w:iCs/>
                <w:sz w:val="20"/>
                <w:szCs w:val="20"/>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jc w:val="both"/>
              <w:rPr>
                <w:rFonts w:ascii="Times New Roman" w:hAnsi="Times New Roman"/>
                <w:sz w:val="22"/>
                <w:szCs w:val="22"/>
              </w:rPr>
            </w:pPr>
            <w:r>
              <w:rPr>
                <w:rFonts w:ascii="Times New Roman" w:hAnsi="Times New Roman"/>
                <w:b/>
                <w:sz w:val="22"/>
                <w:szCs w:val="22"/>
              </w:rPr>
              <w:t>6.8.</w:t>
            </w:r>
            <w:r>
              <w:rPr>
                <w:rFonts w:ascii="Times New Roman" w:hAnsi="Times New Roman"/>
                <w:sz w:val="22"/>
                <w:szCs w:val="22"/>
              </w:rPr>
              <w:t xml:space="preserve"> Rozširuje sa prístupnosť k internetu?</w:t>
            </w:r>
          </w:p>
          <w:p w:rsidR="0051198B" w:rsidP="009C2EA3">
            <w:pPr>
              <w:bidi w:val="0"/>
              <w:jc w:val="both"/>
              <w:rPr>
                <w:rFonts w:ascii="Times New Roman" w:hAnsi="Times New Roman"/>
                <w:sz w:val="20"/>
                <w:szCs w:val="20"/>
              </w:rPr>
            </w:pPr>
            <w:r>
              <w:rPr>
                <w:rFonts w:ascii="Times New Roman" w:hAnsi="Times New Roman"/>
                <w:i/>
                <w:iCs/>
                <w:sz w:val="20"/>
                <w:szCs w:val="20"/>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rPr>
                <w:rFonts w:ascii="Times New Roman" w:hAnsi="Times New Roman"/>
                <w:sz w:val="22"/>
                <w:szCs w:val="22"/>
              </w:rPr>
            </w:pPr>
            <w:r>
              <w:rPr>
                <w:rFonts w:ascii="Times New Roman" w:hAnsi="Times New Roman"/>
                <w:b/>
                <w:sz w:val="22"/>
                <w:szCs w:val="22"/>
              </w:rPr>
              <w:t>6.9.</w:t>
            </w:r>
            <w:r>
              <w:rPr>
                <w:rFonts w:ascii="Times New Roman" w:hAnsi="Times New Roman"/>
                <w:sz w:val="22"/>
                <w:szCs w:val="22"/>
              </w:rPr>
              <w:t xml:space="preserve"> Rozširuje sa prístupnosť k elektronickým službám?</w:t>
            </w:r>
          </w:p>
          <w:p w:rsidR="0051198B" w:rsidP="009C2EA3">
            <w:pPr>
              <w:bidi w:val="0"/>
              <w:rPr>
                <w:rFonts w:ascii="Times New Roman" w:hAnsi="Times New Roman"/>
                <w:sz w:val="20"/>
                <w:szCs w:val="20"/>
              </w:rPr>
            </w:pPr>
            <w:r>
              <w:rPr>
                <w:rFonts w:ascii="Times New Roman" w:hAnsi="Times New Roman"/>
                <w:i/>
                <w:iCs/>
                <w:sz w:val="20"/>
                <w:szCs w:val="20"/>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jc w:val="both"/>
              <w:rPr>
                <w:rFonts w:ascii="Times New Roman" w:hAnsi="Times New Roman"/>
                <w:sz w:val="22"/>
                <w:szCs w:val="22"/>
              </w:rPr>
            </w:pPr>
            <w:r>
              <w:rPr>
                <w:rFonts w:ascii="Times New Roman" w:hAnsi="Times New Roman"/>
                <w:b/>
                <w:sz w:val="22"/>
                <w:szCs w:val="22"/>
              </w:rPr>
              <w:t>6.10.</w:t>
            </w:r>
            <w:r>
              <w:rPr>
                <w:rFonts w:ascii="Times New Roman" w:hAnsi="Times New Roman"/>
                <w:sz w:val="22"/>
                <w:szCs w:val="22"/>
              </w:rPr>
              <w:t xml:space="preserve"> Zabezpečuje sa technická interoperabilita?</w:t>
            </w:r>
          </w:p>
          <w:p w:rsidR="0051198B" w:rsidP="009C2EA3">
            <w:pPr>
              <w:bidi w:val="0"/>
              <w:jc w:val="both"/>
              <w:rPr>
                <w:rFonts w:ascii="Times New Roman" w:hAnsi="Times New Roman"/>
                <w:sz w:val="20"/>
                <w:szCs w:val="20"/>
              </w:rPr>
            </w:pPr>
            <w:r>
              <w:rPr>
                <w:rFonts w:ascii="Times New Roman" w:hAnsi="Times New Roman"/>
                <w:i/>
                <w:iCs/>
                <w:sz w:val="20"/>
                <w:szCs w:val="20"/>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jc w:val="both"/>
              <w:rPr>
                <w:rFonts w:ascii="Times New Roman" w:hAnsi="Times New Roman"/>
                <w:sz w:val="22"/>
                <w:szCs w:val="22"/>
              </w:rPr>
            </w:pPr>
            <w:r>
              <w:rPr>
                <w:rFonts w:ascii="Times New Roman" w:hAnsi="Times New Roman"/>
                <w:b/>
                <w:sz w:val="22"/>
                <w:szCs w:val="22"/>
              </w:rPr>
              <w:t>6.11.</w:t>
            </w:r>
            <w:r>
              <w:rPr>
                <w:rFonts w:ascii="Times New Roman" w:hAnsi="Times New Roman"/>
                <w:sz w:val="22"/>
                <w:szCs w:val="22"/>
              </w:rPr>
              <w:t xml:space="preserve"> Zvyšuje sa bezpečnosť IT?</w:t>
            </w:r>
          </w:p>
          <w:p w:rsidR="0051198B" w:rsidP="009C2EA3">
            <w:pPr>
              <w:bidi w:val="0"/>
              <w:jc w:val="both"/>
              <w:rPr>
                <w:rFonts w:ascii="Times New Roman" w:hAnsi="Times New Roman"/>
                <w:sz w:val="20"/>
                <w:szCs w:val="20"/>
              </w:rPr>
            </w:pPr>
            <w:r>
              <w:rPr>
                <w:rFonts w:ascii="Times New Roman" w:hAnsi="Times New Roman"/>
                <w:sz w:val="20"/>
                <w:szCs w:val="20"/>
              </w:rPr>
              <w:t>(</w:t>
            </w:r>
            <w:r>
              <w:rPr>
                <w:rFonts w:ascii="Times New Roman" w:hAnsi="Times New Roman"/>
                <w:i/>
                <w:iCs/>
                <w:sz w:val="20"/>
                <w:szCs w:val="20"/>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jc w:val="both"/>
              <w:rPr>
                <w:rFonts w:ascii="Times New Roman" w:hAnsi="Times New Roman"/>
                <w:sz w:val="22"/>
                <w:szCs w:val="22"/>
              </w:rPr>
            </w:pPr>
            <w:r>
              <w:rPr>
                <w:rFonts w:ascii="Times New Roman" w:hAnsi="Times New Roman"/>
                <w:b/>
                <w:sz w:val="22"/>
                <w:szCs w:val="22"/>
              </w:rPr>
              <w:t>6.12.</w:t>
            </w:r>
            <w:r>
              <w:rPr>
                <w:rFonts w:ascii="Times New Roman" w:hAnsi="Times New Roman"/>
                <w:sz w:val="22"/>
                <w:szCs w:val="22"/>
              </w:rPr>
              <w:t xml:space="preserve"> Rozširuje sa technická infraštruktúra?</w:t>
            </w:r>
          </w:p>
          <w:p w:rsidR="0051198B" w:rsidP="009C2EA3">
            <w:pPr>
              <w:bidi w:val="0"/>
              <w:jc w:val="both"/>
              <w:rPr>
                <w:rFonts w:ascii="Times New Roman" w:hAnsi="Times New Roman"/>
                <w:sz w:val="20"/>
                <w:szCs w:val="20"/>
              </w:rPr>
            </w:pPr>
            <w:r>
              <w:rPr>
                <w:rFonts w:ascii="Times New Roman" w:hAnsi="Times New Roman"/>
                <w:sz w:val="20"/>
                <w:szCs w:val="20"/>
              </w:rPr>
              <w:t>(</w:t>
            </w:r>
            <w:r>
              <w:rPr>
                <w:rFonts w:ascii="Times New Roman" w:hAnsi="Times New Roman"/>
                <w:i/>
                <w:iCs/>
                <w:sz w:val="20"/>
                <w:szCs w:val="20"/>
              </w:rPr>
              <w:t>Uveďte stručný popis zavádzanej infraštruktúry.)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51198B" w:rsidP="009C2EA3">
            <w:pPr>
              <w:bidi w:val="0"/>
              <w:rPr>
                <w:rFonts w:ascii="Times New Roman" w:hAnsi="Times New Roman"/>
                <w:b/>
                <w:sz w:val="22"/>
                <w:szCs w:val="22"/>
              </w:rPr>
            </w:pPr>
            <w:r>
              <w:rPr>
                <w:rFonts w:ascii="Times New Roman" w:hAnsi="Times New Roman"/>
                <w:b/>
                <w:sz w:val="22"/>
                <w:szCs w:val="22"/>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51198B" w:rsidP="009C2EA3">
            <w:pPr>
              <w:bidi w:val="0"/>
              <w:jc w:val="center"/>
              <w:rPr>
                <w:rFonts w:ascii="Times New Roman" w:hAnsi="Times New Roman"/>
                <w:b/>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jc w:val="both"/>
              <w:rPr>
                <w:rFonts w:ascii="Times New Roman" w:hAnsi="Times New Roman"/>
                <w:sz w:val="22"/>
                <w:szCs w:val="22"/>
              </w:rPr>
            </w:pPr>
            <w:r>
              <w:rPr>
                <w:rFonts w:ascii="Times New Roman" w:hAnsi="Times New Roman"/>
                <w:b/>
                <w:sz w:val="22"/>
                <w:szCs w:val="22"/>
              </w:rPr>
              <w:t>6.13.</w:t>
            </w:r>
            <w:r>
              <w:rPr>
                <w:rFonts w:ascii="Times New Roman" w:hAnsi="Times New Roman"/>
                <w:sz w:val="22"/>
                <w:szCs w:val="22"/>
              </w:rPr>
              <w:t xml:space="preserve"> Predpokladajú sa zmeny v riadení procesu informatizácie?</w:t>
            </w:r>
          </w:p>
          <w:p w:rsidR="0051198B" w:rsidP="009C2EA3">
            <w:pPr>
              <w:bidi w:val="0"/>
              <w:jc w:val="both"/>
              <w:rPr>
                <w:rFonts w:ascii="Times New Roman" w:hAnsi="Times New Roman"/>
                <w:sz w:val="20"/>
                <w:szCs w:val="20"/>
              </w:rPr>
            </w:pPr>
            <w:r>
              <w:rPr>
                <w:rFonts w:ascii="Times New Roman" w:hAnsi="Times New Roman"/>
                <w:i/>
                <w:iCs/>
                <w:sz w:val="20"/>
                <w:szCs w:val="20"/>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51198B" w:rsidP="009C2EA3">
            <w:pPr>
              <w:bidi w:val="0"/>
              <w:jc w:val="both"/>
              <w:rPr>
                <w:rFonts w:ascii="Times New Roman" w:hAnsi="Times New Roman"/>
                <w:b/>
                <w:sz w:val="22"/>
                <w:szCs w:val="22"/>
              </w:rPr>
            </w:pPr>
            <w:r>
              <w:rPr>
                <w:rFonts w:ascii="Times New Roman" w:hAnsi="Times New Roman"/>
                <w:b/>
                <w:sz w:val="22"/>
                <w:szCs w:val="22"/>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51198B" w:rsidP="009C2EA3">
            <w:pPr>
              <w:bidi w:val="0"/>
              <w:rPr>
                <w:rFonts w:ascii="Times New Roman" w:hAnsi="Times New Roman"/>
                <w:b/>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rPr>
                <w:rFonts w:ascii="Times New Roman" w:hAnsi="Times New Roman"/>
                <w:sz w:val="22"/>
                <w:szCs w:val="22"/>
              </w:rPr>
            </w:pPr>
            <w:r>
              <w:rPr>
                <w:rFonts w:ascii="Times New Roman" w:hAnsi="Times New Roman"/>
                <w:b/>
                <w:sz w:val="22"/>
                <w:szCs w:val="22"/>
              </w:rPr>
              <w:t>6.14.</w:t>
            </w:r>
            <w:r>
              <w:rPr>
                <w:rFonts w:ascii="Times New Roman" w:hAnsi="Times New Roman"/>
                <w:sz w:val="22"/>
                <w:szCs w:val="22"/>
              </w:rPr>
              <w:t xml:space="preserve"> Vyžaduje si proces informatizácie  finančné investície?</w:t>
            </w:r>
          </w:p>
          <w:p w:rsidR="0051198B" w:rsidP="009C2EA3">
            <w:pPr>
              <w:bidi w:val="0"/>
              <w:rPr>
                <w:rFonts w:ascii="Times New Roman" w:hAnsi="Times New Roman"/>
                <w:sz w:val="20"/>
                <w:szCs w:val="20"/>
              </w:rPr>
            </w:pPr>
            <w:r>
              <w:rPr>
                <w:rFonts w:ascii="Times New Roman" w:hAnsi="Times New Roman"/>
                <w:i/>
                <w:iCs/>
                <w:sz w:val="20"/>
                <w:szCs w:val="20"/>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51198B" w:rsidP="009C2EA3">
            <w:pPr>
              <w:bidi w:val="0"/>
              <w:jc w:val="both"/>
              <w:rPr>
                <w:rFonts w:ascii="Times New Roman" w:hAnsi="Times New Roman"/>
                <w:b/>
                <w:sz w:val="22"/>
                <w:szCs w:val="22"/>
              </w:rPr>
            </w:pPr>
            <w:r>
              <w:rPr>
                <w:rFonts w:ascii="Times New Roman" w:hAnsi="Times New Roman"/>
                <w:b/>
                <w:sz w:val="22"/>
                <w:szCs w:val="22"/>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51198B" w:rsidP="009C2EA3">
            <w:pPr>
              <w:bidi w:val="0"/>
              <w:rPr>
                <w:rFonts w:ascii="Times New Roman" w:hAnsi="Times New Roman"/>
                <w:b/>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rPr>
                <w:rFonts w:ascii="Times New Roman" w:hAnsi="Times New Roman"/>
                <w:sz w:val="22"/>
                <w:szCs w:val="22"/>
              </w:rPr>
            </w:pPr>
            <w:r>
              <w:rPr>
                <w:rFonts w:ascii="Times New Roman" w:hAnsi="Times New Roman"/>
                <w:b/>
                <w:sz w:val="22"/>
                <w:szCs w:val="22"/>
              </w:rPr>
              <w:t>6.15.</w:t>
            </w:r>
            <w:r>
              <w:rPr>
                <w:rFonts w:ascii="Times New Roman" w:hAnsi="Times New Roman"/>
                <w:sz w:val="22"/>
                <w:szCs w:val="22"/>
              </w:rPr>
              <w:t xml:space="preserve"> Predpokladá nelegislatívny materiál potrebu úpravy legislatívneho prostredia  procesu informatizácie?</w:t>
            </w:r>
          </w:p>
          <w:p w:rsidR="0051198B" w:rsidP="009C2EA3">
            <w:pPr>
              <w:bidi w:val="0"/>
              <w:rPr>
                <w:rFonts w:ascii="Times New Roman" w:hAnsi="Times New Roman"/>
                <w:sz w:val="20"/>
                <w:szCs w:val="20"/>
              </w:rPr>
            </w:pPr>
            <w:r>
              <w:rPr>
                <w:rFonts w:ascii="Times New Roman" w:hAnsi="Times New Roman"/>
                <w:i/>
                <w:iCs/>
                <w:sz w:val="20"/>
                <w:szCs w:val="20"/>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1198B" w:rsidP="009C2EA3">
            <w:pPr>
              <w:bidi w:val="0"/>
              <w:rPr>
                <w:rFonts w:ascii="Times New Roman" w:hAnsi="Times New Roman"/>
                <w:i/>
                <w:iCs/>
                <w:sz w:val="22"/>
                <w:szCs w:val="22"/>
              </w:rPr>
            </w:pPr>
            <w:r>
              <w:rPr>
                <w:rFonts w:ascii="Times New Roman" w:hAnsi="Times New Roman"/>
                <w:i/>
                <w:iCs/>
                <w:sz w:val="22"/>
                <w:szCs w:val="22"/>
              </w:rPr>
              <w:t>Nie</w:t>
            </w:r>
          </w:p>
        </w:tc>
      </w:tr>
    </w:tbl>
    <w:p w:rsidR="0051198B" w:rsidP="0051198B">
      <w:pPr>
        <w:bidi w:val="0"/>
        <w:spacing w:line="240" w:lineRule="atLeast"/>
        <w:rPr>
          <w:rFonts w:ascii="Times New Roman" w:hAnsi="Times New Roman"/>
        </w:rPr>
      </w:pPr>
    </w:p>
    <w:p w:rsidR="0051198B" w:rsidRPr="00B53407" w:rsidP="00B53407">
      <w:pPr>
        <w:bidi w:val="0"/>
        <w:rPr>
          <w:rFonts w:ascii="Times New Roman" w:hAnsi="Times New Roman"/>
        </w:rPr>
      </w:pPr>
    </w:p>
    <w:sectPr w:rsidSect="00BB5D47">
      <w:headerReference w:type="default" r:id="rId10"/>
      <w:footerReference w:type="even" r:id="rId11"/>
      <w:footerReference w:type="default" r:id="rId12"/>
      <w:headerReference w:type="first" r:id="rId13"/>
      <w:pgSz w:w="11906" w:h="16838"/>
      <w:pgMar w:top="1134" w:right="1417" w:bottom="993" w:left="1417" w:header="708" w:footer="708" w:gutter="0"/>
      <w:lnNumType w:distance="0"/>
      <w:pgNumType w:start="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Arial Narrow">
    <w:panose1 w:val="00000000000000000000"/>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859" w:rsidP="00BB5D47">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90859" w:rsidP="00BB5D47">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859" w:rsidP="00BB5D47">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E6054">
      <w:rPr>
        <w:rStyle w:val="PageNumber"/>
        <w:rFonts w:ascii="Times New Roman" w:hAnsi="Times New Roman"/>
        <w:noProof/>
      </w:rPr>
      <w:t>10</w:t>
    </w:r>
    <w:r>
      <w:rPr>
        <w:rStyle w:val="PageNumber"/>
        <w:rFonts w:ascii="Times New Roman" w:hAnsi="Times New Roman"/>
      </w:rPr>
      <w:fldChar w:fldCharType="end"/>
    </w:r>
  </w:p>
  <w:p w:rsidR="00590859" w:rsidP="00BB5D47">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859">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90859">
    <w:pPr>
      <w:pStyle w:val="Footer"/>
      <w:bidi w:val="0"/>
      <w:ind w:right="360"/>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859">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859" w:rsidP="00B53407">
    <w:pPr>
      <w:pStyle w:val="Header"/>
      <w:bidi w:val="0"/>
      <w:jc w:val="right"/>
      <w:rPr>
        <w:rFonts w:ascii="Times New Roman" w:hAnsi="Times New Roman"/>
      </w:rPr>
    </w:pPr>
    <w:r>
      <w:rPr>
        <w:rFonts w:ascii="Times New Roman" w:hAnsi="Times New Roman"/>
      </w:rPr>
      <w:t>Príloha č.2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859" w:rsidRPr="002E1304" w:rsidP="00BB5D47">
    <w:pPr>
      <w:pStyle w:val="Header"/>
      <w:bidi w:val="0"/>
      <w:rPr>
        <w:rFonts w:ascii="Times New Roman" w:hAnsi="Times New Roman"/>
      </w:rPr>
    </w:pPr>
    <w:r>
      <w:rPr>
        <w:rFonts w:ascii="Times New Roman" w:hAnsi="Times New Roman"/>
      </w:rPr>
      <w:t xml:space="preserve">                                                                                                                               Príloha č. 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859">
    <w:pPr>
      <w:pStyle w:val="Header"/>
      <w:bidi w:val="0"/>
      <w:jc w:val="right"/>
      <w:rPr>
        <w:rFonts w:ascii="Times New Roman" w:hAnsi="Times New Roman"/>
      </w:rPr>
    </w:pPr>
    <w:r>
      <w:rPr>
        <w:rFonts w:ascii="Times New Roman" w:hAnsi="Times New Roman"/>
      </w:rPr>
      <w:t>Príloha č.4</w:t>
    </w:r>
  </w:p>
  <w:p w:rsidR="00590859">
    <w:pPr>
      <w:pStyle w:val="Header"/>
      <w:bidi w:val="0"/>
      <w:jc w:val="right"/>
      <w:rPr>
        <w:rFonts w:ascii="Times New Roman" w:hAnsi="Times New Roma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859">
    <w:pPr>
      <w:pStyle w:val="Header"/>
      <w:bidi w:val="0"/>
      <w:jc w:val="right"/>
      <w:rPr>
        <w:rFonts w:ascii="Times New Roman" w:hAnsi="Times New Roman"/>
      </w:rPr>
    </w:pPr>
    <w:r>
      <w:rPr>
        <w:rFonts w:ascii="Times New Roman" w:hAnsi="Times New Roman"/>
      </w:rPr>
      <w:t>Príloha č.4</w:t>
    </w:r>
  </w:p>
  <w:p w:rsidR="00590859">
    <w:pPr>
      <w:pStyle w:val="Header"/>
      <w:bidi w:val="0"/>
      <w:jc w:val="right"/>
      <w:rPr>
        <w:rFonts w:ascii="Times New Roman" w:hAnsi="Times New Roman"/>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859">
    <w:pPr>
      <w:pStyle w:val="Header"/>
      <w:bidi w:val="0"/>
      <w:jc w:val="right"/>
      <w:rPr>
        <w:rFonts w:ascii="Times New Roman" w:hAnsi="Times New Roman"/>
      </w:rPr>
    </w:pPr>
    <w:r>
      <w:rPr>
        <w:rFonts w:ascii="Times New Roman" w:hAnsi="Times New Roman"/>
      </w:rPr>
      <w:t>Príloha č.4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E37A2"/>
    <w:multiLevelType w:val="hybridMultilevel"/>
    <w:tmpl w:val="D4044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BE5EC3"/>
    <w:multiLevelType w:val="hybridMultilevel"/>
    <w:tmpl w:val="7320F300"/>
    <w:lvl w:ilvl="0">
      <w:start w:val="1"/>
      <w:numFmt w:val="decimal"/>
      <w:lvlText w:val="%1."/>
      <w:lvlJc w:val="left"/>
      <w:pPr>
        <w:ind w:left="1140" w:hanging="360"/>
      </w:pPr>
      <w:rPr>
        <w:rFonts w:cs="Times New Roman"/>
        <w:rtl w:val="0"/>
        <w:cs w:val="0"/>
      </w:rPr>
    </w:lvl>
    <w:lvl w:ilvl="1">
      <w:start w:val="1"/>
      <w:numFmt w:val="lowerLetter"/>
      <w:lvlText w:val="%2."/>
      <w:lvlJc w:val="left"/>
      <w:pPr>
        <w:ind w:left="1860" w:hanging="360"/>
      </w:pPr>
      <w:rPr>
        <w:rFonts w:cs="Times New Roman"/>
        <w:rtl w:val="0"/>
        <w:cs w:val="0"/>
      </w:rPr>
    </w:lvl>
    <w:lvl w:ilvl="2">
      <w:start w:val="1"/>
      <w:numFmt w:val="lowerRoman"/>
      <w:lvlText w:val="%3."/>
      <w:lvlJc w:val="right"/>
      <w:pPr>
        <w:ind w:left="2580" w:hanging="180"/>
      </w:pPr>
      <w:rPr>
        <w:rFonts w:cs="Times New Roman"/>
        <w:rtl w:val="0"/>
        <w:cs w:val="0"/>
      </w:rPr>
    </w:lvl>
    <w:lvl w:ilvl="3">
      <w:start w:val="1"/>
      <w:numFmt w:val="decimal"/>
      <w:lvlText w:val="%4."/>
      <w:lvlJc w:val="left"/>
      <w:pPr>
        <w:ind w:left="3300" w:hanging="360"/>
      </w:pPr>
      <w:rPr>
        <w:rFonts w:cs="Times New Roman"/>
        <w:rtl w:val="0"/>
        <w:cs w:val="0"/>
      </w:rPr>
    </w:lvl>
    <w:lvl w:ilvl="4">
      <w:start w:val="1"/>
      <w:numFmt w:val="lowerLetter"/>
      <w:lvlText w:val="%5."/>
      <w:lvlJc w:val="left"/>
      <w:pPr>
        <w:ind w:left="4020" w:hanging="360"/>
      </w:pPr>
      <w:rPr>
        <w:rFonts w:cs="Times New Roman"/>
        <w:rtl w:val="0"/>
        <w:cs w:val="0"/>
      </w:rPr>
    </w:lvl>
    <w:lvl w:ilvl="5">
      <w:start w:val="1"/>
      <w:numFmt w:val="lowerRoman"/>
      <w:lvlText w:val="%6."/>
      <w:lvlJc w:val="right"/>
      <w:pPr>
        <w:ind w:left="4740" w:hanging="180"/>
      </w:pPr>
      <w:rPr>
        <w:rFonts w:cs="Times New Roman"/>
        <w:rtl w:val="0"/>
        <w:cs w:val="0"/>
      </w:rPr>
    </w:lvl>
    <w:lvl w:ilvl="6">
      <w:start w:val="1"/>
      <w:numFmt w:val="decimal"/>
      <w:lvlText w:val="%7."/>
      <w:lvlJc w:val="left"/>
      <w:pPr>
        <w:ind w:left="5460" w:hanging="360"/>
      </w:pPr>
      <w:rPr>
        <w:rFonts w:cs="Times New Roman"/>
        <w:rtl w:val="0"/>
        <w:cs w:val="0"/>
      </w:rPr>
    </w:lvl>
    <w:lvl w:ilvl="7">
      <w:start w:val="1"/>
      <w:numFmt w:val="lowerLetter"/>
      <w:lvlText w:val="%8."/>
      <w:lvlJc w:val="left"/>
      <w:pPr>
        <w:ind w:left="6180" w:hanging="360"/>
      </w:pPr>
      <w:rPr>
        <w:rFonts w:cs="Times New Roman"/>
        <w:rtl w:val="0"/>
        <w:cs w:val="0"/>
      </w:rPr>
    </w:lvl>
    <w:lvl w:ilvl="8">
      <w:start w:val="1"/>
      <w:numFmt w:val="lowerRoman"/>
      <w:lvlText w:val="%9."/>
      <w:lvlJc w:val="right"/>
      <w:pPr>
        <w:ind w:left="6900" w:hanging="180"/>
      </w:pPr>
      <w:rPr>
        <w:rFonts w:cs="Times New Roman"/>
        <w:rtl w:val="0"/>
        <w:cs w:val="0"/>
      </w:rPr>
    </w:lvl>
  </w:abstractNum>
  <w:abstractNum w:abstractNumId="2">
    <w:nsid w:val="18733217"/>
    <w:multiLevelType w:val="hybridMultilevel"/>
    <w:tmpl w:val="D5640FC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DA252CC"/>
    <w:multiLevelType w:val="hybridMultilevel"/>
    <w:tmpl w:val="56686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D3A1C06"/>
    <w:multiLevelType w:val="hybridMultilevel"/>
    <w:tmpl w:val="0C0A3834"/>
    <w:lvl w:ilvl="0">
      <w:start w:val="0"/>
      <w:numFmt w:val="bullet"/>
      <w:lvlText w:val="-"/>
      <w:lvlJc w:val="left"/>
      <w:pPr>
        <w:ind w:left="420" w:hanging="360"/>
      </w:pPr>
      <w:rPr>
        <w:rFonts w:ascii="Times New Roman" w:eastAsia="Times New Roman" w:hAnsi="Times New Roman"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5">
    <w:nsid w:val="3DA10FEF"/>
    <w:multiLevelType w:val="hybridMultilevel"/>
    <w:tmpl w:val="F1C82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E29576C"/>
    <w:multiLevelType w:val="hybridMultilevel"/>
    <w:tmpl w:val="3D28BC90"/>
    <w:lvl w:ilvl="0">
      <w:start w:val="1"/>
      <w:numFmt w:val="decimal"/>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7">
    <w:nsid w:val="779279F5"/>
    <w:multiLevelType w:val="hybridMultilevel"/>
    <w:tmpl w:val="F7FC0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3"/>
  </w:num>
  <w:num w:numId="5">
    <w:abstractNumId w:val="7"/>
  </w:num>
  <w:num w:numId="6">
    <w:abstractNumId w:val="4"/>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C6246E"/>
    <w:rsid w:val="0000255A"/>
    <w:rsid w:val="00022A11"/>
    <w:rsid w:val="00045090"/>
    <w:rsid w:val="00051296"/>
    <w:rsid w:val="00055658"/>
    <w:rsid w:val="0006266F"/>
    <w:rsid w:val="00063DEF"/>
    <w:rsid w:val="00083D72"/>
    <w:rsid w:val="00084FC1"/>
    <w:rsid w:val="000971B9"/>
    <w:rsid w:val="000B6879"/>
    <w:rsid w:val="000C38C5"/>
    <w:rsid w:val="000D5962"/>
    <w:rsid w:val="000F4D29"/>
    <w:rsid w:val="001301E2"/>
    <w:rsid w:val="001317A8"/>
    <w:rsid w:val="0013334A"/>
    <w:rsid w:val="00135281"/>
    <w:rsid w:val="00162776"/>
    <w:rsid w:val="00163F7B"/>
    <w:rsid w:val="00171D0C"/>
    <w:rsid w:val="00186263"/>
    <w:rsid w:val="001B4C18"/>
    <w:rsid w:val="001C1443"/>
    <w:rsid w:val="001D72D8"/>
    <w:rsid w:val="001F4914"/>
    <w:rsid w:val="002076B4"/>
    <w:rsid w:val="002228D8"/>
    <w:rsid w:val="00222B5C"/>
    <w:rsid w:val="0023555F"/>
    <w:rsid w:val="00254E0B"/>
    <w:rsid w:val="0026104F"/>
    <w:rsid w:val="00263416"/>
    <w:rsid w:val="00281756"/>
    <w:rsid w:val="002852F4"/>
    <w:rsid w:val="002960DC"/>
    <w:rsid w:val="00297B4A"/>
    <w:rsid w:val="002D4452"/>
    <w:rsid w:val="002E1304"/>
    <w:rsid w:val="002E2CA8"/>
    <w:rsid w:val="00304123"/>
    <w:rsid w:val="00312C09"/>
    <w:rsid w:val="0031324D"/>
    <w:rsid w:val="00313E0F"/>
    <w:rsid w:val="003254A6"/>
    <w:rsid w:val="00326E33"/>
    <w:rsid w:val="003348C0"/>
    <w:rsid w:val="00334FCC"/>
    <w:rsid w:val="00335DA3"/>
    <w:rsid w:val="00350466"/>
    <w:rsid w:val="003573CF"/>
    <w:rsid w:val="00365DEA"/>
    <w:rsid w:val="003670B1"/>
    <w:rsid w:val="00372B2C"/>
    <w:rsid w:val="003853A9"/>
    <w:rsid w:val="00391E53"/>
    <w:rsid w:val="00392BC8"/>
    <w:rsid w:val="003979B1"/>
    <w:rsid w:val="003A0439"/>
    <w:rsid w:val="003A20FA"/>
    <w:rsid w:val="003A43F0"/>
    <w:rsid w:val="003C2580"/>
    <w:rsid w:val="003C35C7"/>
    <w:rsid w:val="003C573B"/>
    <w:rsid w:val="003D3980"/>
    <w:rsid w:val="003D5393"/>
    <w:rsid w:val="003E42A5"/>
    <w:rsid w:val="003F210C"/>
    <w:rsid w:val="00403806"/>
    <w:rsid w:val="0040793B"/>
    <w:rsid w:val="004161A1"/>
    <w:rsid w:val="0041754E"/>
    <w:rsid w:val="004261CD"/>
    <w:rsid w:val="0045399D"/>
    <w:rsid w:val="00460C5C"/>
    <w:rsid w:val="004645C1"/>
    <w:rsid w:val="0046704B"/>
    <w:rsid w:val="00467A27"/>
    <w:rsid w:val="00471298"/>
    <w:rsid w:val="00472DEB"/>
    <w:rsid w:val="00481D48"/>
    <w:rsid w:val="004A6094"/>
    <w:rsid w:val="004B2729"/>
    <w:rsid w:val="004C04DF"/>
    <w:rsid w:val="004C0750"/>
    <w:rsid w:val="004C753E"/>
    <w:rsid w:val="004D007C"/>
    <w:rsid w:val="004D7E76"/>
    <w:rsid w:val="004E23F7"/>
    <w:rsid w:val="004E5B3A"/>
    <w:rsid w:val="004E7D94"/>
    <w:rsid w:val="004F2E89"/>
    <w:rsid w:val="004F3123"/>
    <w:rsid w:val="004F3D7E"/>
    <w:rsid w:val="0050732C"/>
    <w:rsid w:val="0051198B"/>
    <w:rsid w:val="005119EF"/>
    <w:rsid w:val="00511BF6"/>
    <w:rsid w:val="00532DE3"/>
    <w:rsid w:val="0054067D"/>
    <w:rsid w:val="005441A8"/>
    <w:rsid w:val="00550EEF"/>
    <w:rsid w:val="005575B5"/>
    <w:rsid w:val="00560D2C"/>
    <w:rsid w:val="0057110C"/>
    <w:rsid w:val="00571783"/>
    <w:rsid w:val="00590859"/>
    <w:rsid w:val="00594991"/>
    <w:rsid w:val="005E071C"/>
    <w:rsid w:val="005E2999"/>
    <w:rsid w:val="005E36D1"/>
    <w:rsid w:val="005F14C6"/>
    <w:rsid w:val="005F4EFA"/>
    <w:rsid w:val="0060062B"/>
    <w:rsid w:val="0060282B"/>
    <w:rsid w:val="00611678"/>
    <w:rsid w:val="006208A2"/>
    <w:rsid w:val="00631097"/>
    <w:rsid w:val="0063733B"/>
    <w:rsid w:val="00655E2D"/>
    <w:rsid w:val="00657C52"/>
    <w:rsid w:val="0066443D"/>
    <w:rsid w:val="00683015"/>
    <w:rsid w:val="00694372"/>
    <w:rsid w:val="006A6CD3"/>
    <w:rsid w:val="006B2221"/>
    <w:rsid w:val="006C2055"/>
    <w:rsid w:val="006C5A68"/>
    <w:rsid w:val="00702C25"/>
    <w:rsid w:val="00723A4A"/>
    <w:rsid w:val="00732CA4"/>
    <w:rsid w:val="00752D11"/>
    <w:rsid w:val="007566C9"/>
    <w:rsid w:val="0076336B"/>
    <w:rsid w:val="0077173A"/>
    <w:rsid w:val="00783B51"/>
    <w:rsid w:val="00796F1B"/>
    <w:rsid w:val="007A56FD"/>
    <w:rsid w:val="007B5E48"/>
    <w:rsid w:val="007C2E83"/>
    <w:rsid w:val="007C41A1"/>
    <w:rsid w:val="007E7E31"/>
    <w:rsid w:val="007F2B08"/>
    <w:rsid w:val="007F326F"/>
    <w:rsid w:val="00811396"/>
    <w:rsid w:val="00832315"/>
    <w:rsid w:val="00833E13"/>
    <w:rsid w:val="00842DE0"/>
    <w:rsid w:val="00843369"/>
    <w:rsid w:val="00857398"/>
    <w:rsid w:val="0086356D"/>
    <w:rsid w:val="0088695D"/>
    <w:rsid w:val="008A14D6"/>
    <w:rsid w:val="008A3637"/>
    <w:rsid w:val="008C0AA3"/>
    <w:rsid w:val="008C2FEC"/>
    <w:rsid w:val="008C3121"/>
    <w:rsid w:val="008C3BC1"/>
    <w:rsid w:val="008C4D55"/>
    <w:rsid w:val="008C7F58"/>
    <w:rsid w:val="008D410B"/>
    <w:rsid w:val="008E0B58"/>
    <w:rsid w:val="008F386F"/>
    <w:rsid w:val="00902654"/>
    <w:rsid w:val="00904741"/>
    <w:rsid w:val="00915AFF"/>
    <w:rsid w:val="00916325"/>
    <w:rsid w:val="009358C2"/>
    <w:rsid w:val="00935C16"/>
    <w:rsid w:val="0093685A"/>
    <w:rsid w:val="00942C67"/>
    <w:rsid w:val="00951637"/>
    <w:rsid w:val="0095242F"/>
    <w:rsid w:val="0096258E"/>
    <w:rsid w:val="00990E6D"/>
    <w:rsid w:val="009A12CA"/>
    <w:rsid w:val="009B132C"/>
    <w:rsid w:val="009C2EA3"/>
    <w:rsid w:val="009E6B1E"/>
    <w:rsid w:val="009E6CC9"/>
    <w:rsid w:val="00A027DE"/>
    <w:rsid w:val="00A06525"/>
    <w:rsid w:val="00A3383B"/>
    <w:rsid w:val="00A43749"/>
    <w:rsid w:val="00A57007"/>
    <w:rsid w:val="00A5797B"/>
    <w:rsid w:val="00A776AD"/>
    <w:rsid w:val="00A85070"/>
    <w:rsid w:val="00A95D3A"/>
    <w:rsid w:val="00AA251B"/>
    <w:rsid w:val="00AA2803"/>
    <w:rsid w:val="00AC05EE"/>
    <w:rsid w:val="00AE30E1"/>
    <w:rsid w:val="00AE7304"/>
    <w:rsid w:val="00AF3658"/>
    <w:rsid w:val="00AF581C"/>
    <w:rsid w:val="00B00199"/>
    <w:rsid w:val="00B21603"/>
    <w:rsid w:val="00B219FD"/>
    <w:rsid w:val="00B2752D"/>
    <w:rsid w:val="00B279A2"/>
    <w:rsid w:val="00B30A1A"/>
    <w:rsid w:val="00B335DF"/>
    <w:rsid w:val="00B53407"/>
    <w:rsid w:val="00B564AB"/>
    <w:rsid w:val="00B57E41"/>
    <w:rsid w:val="00B62982"/>
    <w:rsid w:val="00B64E99"/>
    <w:rsid w:val="00B81D57"/>
    <w:rsid w:val="00B860D0"/>
    <w:rsid w:val="00B94D4A"/>
    <w:rsid w:val="00BA0900"/>
    <w:rsid w:val="00BA3FEB"/>
    <w:rsid w:val="00BB4FAB"/>
    <w:rsid w:val="00BB5D47"/>
    <w:rsid w:val="00BC3616"/>
    <w:rsid w:val="00BD312E"/>
    <w:rsid w:val="00BD545C"/>
    <w:rsid w:val="00BE6054"/>
    <w:rsid w:val="00BF7648"/>
    <w:rsid w:val="00C05E95"/>
    <w:rsid w:val="00C11899"/>
    <w:rsid w:val="00C1728D"/>
    <w:rsid w:val="00C25241"/>
    <w:rsid w:val="00C3402E"/>
    <w:rsid w:val="00C46E3E"/>
    <w:rsid w:val="00C53620"/>
    <w:rsid w:val="00C54965"/>
    <w:rsid w:val="00C6246E"/>
    <w:rsid w:val="00C81F9E"/>
    <w:rsid w:val="00C91129"/>
    <w:rsid w:val="00CA2B6E"/>
    <w:rsid w:val="00CC5D6F"/>
    <w:rsid w:val="00CC7A25"/>
    <w:rsid w:val="00CF3B2E"/>
    <w:rsid w:val="00CF55EC"/>
    <w:rsid w:val="00D02023"/>
    <w:rsid w:val="00D17B0B"/>
    <w:rsid w:val="00D2227F"/>
    <w:rsid w:val="00D2469D"/>
    <w:rsid w:val="00D347EE"/>
    <w:rsid w:val="00D525B2"/>
    <w:rsid w:val="00D55136"/>
    <w:rsid w:val="00D80F0D"/>
    <w:rsid w:val="00D827C9"/>
    <w:rsid w:val="00D84558"/>
    <w:rsid w:val="00D943BD"/>
    <w:rsid w:val="00DA7D83"/>
    <w:rsid w:val="00DC0C93"/>
    <w:rsid w:val="00DD4F96"/>
    <w:rsid w:val="00DF0AD9"/>
    <w:rsid w:val="00DF14C4"/>
    <w:rsid w:val="00DF3A7A"/>
    <w:rsid w:val="00E01178"/>
    <w:rsid w:val="00E02DC0"/>
    <w:rsid w:val="00E061DE"/>
    <w:rsid w:val="00E26609"/>
    <w:rsid w:val="00E26B01"/>
    <w:rsid w:val="00E429F0"/>
    <w:rsid w:val="00E54C87"/>
    <w:rsid w:val="00E66B23"/>
    <w:rsid w:val="00E744A0"/>
    <w:rsid w:val="00E77684"/>
    <w:rsid w:val="00E77855"/>
    <w:rsid w:val="00E779C0"/>
    <w:rsid w:val="00E85268"/>
    <w:rsid w:val="00E85614"/>
    <w:rsid w:val="00E9501A"/>
    <w:rsid w:val="00E96017"/>
    <w:rsid w:val="00EA0490"/>
    <w:rsid w:val="00EA0914"/>
    <w:rsid w:val="00ED3C93"/>
    <w:rsid w:val="00EE5E6C"/>
    <w:rsid w:val="00F1060A"/>
    <w:rsid w:val="00F13D72"/>
    <w:rsid w:val="00F20230"/>
    <w:rsid w:val="00F2761C"/>
    <w:rsid w:val="00F307D3"/>
    <w:rsid w:val="00F35772"/>
    <w:rsid w:val="00F37D44"/>
    <w:rsid w:val="00F47D8D"/>
    <w:rsid w:val="00F60A30"/>
    <w:rsid w:val="00FD2980"/>
    <w:rsid w:val="00FD3869"/>
    <w:rsid w:val="00FD4B16"/>
    <w:rsid w:val="00FE3A29"/>
    <w:rsid w:val="00FE481C"/>
    <w:rsid w:val="00FF464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46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C6246E"/>
    <w:pPr>
      <w:jc w:val="left"/>
    </w:pPr>
    <w:rPr>
      <w:b/>
      <w:szCs w:val="20"/>
    </w:rPr>
  </w:style>
  <w:style w:type="character" w:customStyle="1" w:styleId="ZkladntextChar">
    <w:name w:val="Základný text Char"/>
    <w:basedOn w:val="DefaultParagraphFont"/>
    <w:link w:val="BodyText"/>
    <w:uiPriority w:val="99"/>
    <w:locked/>
    <w:rsid w:val="0051198B"/>
    <w:rPr>
      <w:rFonts w:cs="Times New Roman"/>
      <w:b/>
      <w:sz w:val="24"/>
      <w:rtl w:val="0"/>
      <w:cs w:val="0"/>
    </w:rPr>
  </w:style>
  <w:style w:type="paragraph" w:styleId="BodyText2">
    <w:name w:val="Body Text 2"/>
    <w:basedOn w:val="Normal"/>
    <w:link w:val="Zkladntext2Char"/>
    <w:uiPriority w:val="99"/>
    <w:rsid w:val="00C6246E"/>
    <w:pPr>
      <w:jc w:val="left"/>
    </w:pPr>
    <w:rPr>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Header">
    <w:name w:val="header"/>
    <w:basedOn w:val="Normal"/>
    <w:link w:val="HlavikaChar"/>
    <w:uiPriority w:val="99"/>
    <w:rsid w:val="00C6246E"/>
    <w:pPr>
      <w:tabs>
        <w:tab w:val="center" w:pos="4536"/>
        <w:tab w:val="right" w:pos="9072"/>
      </w:tabs>
      <w:jc w:val="left"/>
    </w:pPr>
  </w:style>
  <w:style w:type="character" w:customStyle="1" w:styleId="HlavikaChar">
    <w:name w:val="Hlavička Char"/>
    <w:basedOn w:val="DefaultParagraphFont"/>
    <w:link w:val="Header"/>
    <w:uiPriority w:val="99"/>
    <w:locked/>
    <w:rsid w:val="00B53407"/>
    <w:rPr>
      <w:rFonts w:cs="Times New Roman"/>
      <w:sz w:val="24"/>
      <w:rtl w:val="0"/>
      <w:cs w:val="0"/>
    </w:rPr>
  </w:style>
  <w:style w:type="paragraph" w:customStyle="1" w:styleId="Odsekzoznamu1">
    <w:name w:val="Odsek zoznamu1"/>
    <w:basedOn w:val="Normal"/>
    <w:rsid w:val="00BD312E"/>
    <w:pPr>
      <w:spacing w:after="200" w:line="276" w:lineRule="auto"/>
      <w:ind w:left="720"/>
      <w:contextualSpacing/>
      <w:jc w:val="left"/>
    </w:pPr>
    <w:rPr>
      <w:rFonts w:ascii="Calibri" w:hAnsi="Calibri"/>
      <w:sz w:val="22"/>
      <w:szCs w:val="22"/>
      <w:lang w:eastAsia="en-US"/>
    </w:rPr>
  </w:style>
  <w:style w:type="paragraph" w:styleId="NormalWeb">
    <w:name w:val="Normal (Web)"/>
    <w:basedOn w:val="Normal"/>
    <w:uiPriority w:val="99"/>
    <w:rsid w:val="004C0750"/>
    <w:pPr>
      <w:spacing w:before="100" w:beforeAutospacing="1" w:after="100" w:afterAutospacing="1"/>
      <w:jc w:val="left"/>
    </w:pPr>
  </w:style>
  <w:style w:type="paragraph" w:styleId="ListParagraph">
    <w:name w:val="List Paragraph"/>
    <w:basedOn w:val="Normal"/>
    <w:uiPriority w:val="99"/>
    <w:qFormat/>
    <w:rsid w:val="004C0750"/>
    <w:pPr>
      <w:ind w:left="708"/>
      <w:jc w:val="left"/>
    </w:pPr>
  </w:style>
  <w:style w:type="paragraph" w:styleId="BalloonText">
    <w:name w:val="Balloon Text"/>
    <w:basedOn w:val="Normal"/>
    <w:link w:val="TextbublinyChar"/>
    <w:uiPriority w:val="99"/>
    <w:rsid w:val="001D72D8"/>
    <w:pPr>
      <w:jc w:val="left"/>
    </w:pPr>
    <w:rPr>
      <w:rFonts w:ascii="Tahoma" w:hAnsi="Tahoma"/>
      <w:sz w:val="16"/>
      <w:szCs w:val="16"/>
    </w:rPr>
  </w:style>
  <w:style w:type="character" w:customStyle="1" w:styleId="TextbublinyChar">
    <w:name w:val="Text bubliny Char"/>
    <w:basedOn w:val="DefaultParagraphFont"/>
    <w:link w:val="BalloonText"/>
    <w:uiPriority w:val="99"/>
    <w:locked/>
    <w:rsid w:val="001D72D8"/>
    <w:rPr>
      <w:rFonts w:ascii="Tahoma" w:hAnsi="Tahoma" w:cs="Times New Roman"/>
      <w:sz w:val="16"/>
      <w:rtl w:val="0"/>
      <w:cs w:val="0"/>
    </w:rPr>
  </w:style>
  <w:style w:type="character" w:styleId="CommentReference">
    <w:name w:val="annotation reference"/>
    <w:basedOn w:val="DefaultParagraphFont"/>
    <w:uiPriority w:val="99"/>
    <w:rsid w:val="00A85070"/>
    <w:rPr>
      <w:rFonts w:cs="Times New Roman"/>
      <w:sz w:val="16"/>
      <w:rtl w:val="0"/>
      <w:cs w:val="0"/>
    </w:rPr>
  </w:style>
  <w:style w:type="paragraph" w:styleId="CommentText">
    <w:name w:val="annotation text"/>
    <w:basedOn w:val="Normal"/>
    <w:link w:val="TextkomentraChar"/>
    <w:uiPriority w:val="99"/>
    <w:rsid w:val="00A85070"/>
    <w:pPr>
      <w:jc w:val="left"/>
    </w:pPr>
    <w:rPr>
      <w:sz w:val="20"/>
      <w:szCs w:val="20"/>
    </w:rPr>
  </w:style>
  <w:style w:type="character" w:customStyle="1" w:styleId="TextkomentraChar">
    <w:name w:val="Text komentára Char"/>
    <w:basedOn w:val="DefaultParagraphFont"/>
    <w:link w:val="CommentText"/>
    <w:uiPriority w:val="99"/>
    <w:locked/>
    <w:rsid w:val="00A85070"/>
    <w:rPr>
      <w:rFonts w:cs="Times New Roman"/>
      <w:rtl w:val="0"/>
      <w:cs w:val="0"/>
    </w:rPr>
  </w:style>
  <w:style w:type="paragraph" w:styleId="CommentSubject">
    <w:name w:val="annotation subject"/>
    <w:basedOn w:val="CommentText"/>
    <w:next w:val="CommentText"/>
    <w:link w:val="PredmetkomentraChar"/>
    <w:uiPriority w:val="99"/>
    <w:rsid w:val="00A85070"/>
    <w:pPr>
      <w:jc w:val="left"/>
    </w:pPr>
    <w:rPr>
      <w:b/>
      <w:bCs/>
    </w:rPr>
  </w:style>
  <w:style w:type="character" w:customStyle="1" w:styleId="PredmetkomentraChar">
    <w:name w:val="Predmet komentára Char"/>
    <w:basedOn w:val="TextkomentraChar"/>
    <w:link w:val="CommentSubject"/>
    <w:uiPriority w:val="99"/>
    <w:locked/>
    <w:rsid w:val="00A85070"/>
    <w:rPr>
      <w:b/>
    </w:rPr>
  </w:style>
  <w:style w:type="paragraph" w:styleId="FootnoteText">
    <w:name w:val="footnote text"/>
    <w:basedOn w:val="Normal"/>
    <w:link w:val="TextpoznmkypodiarouChar"/>
    <w:uiPriority w:val="99"/>
    <w:rsid w:val="00162776"/>
    <w:pPr>
      <w:jc w:val="left"/>
    </w:pPr>
    <w:rPr>
      <w:sz w:val="20"/>
      <w:szCs w:val="20"/>
    </w:rPr>
  </w:style>
  <w:style w:type="character" w:customStyle="1" w:styleId="TextpoznmkypodiarouChar">
    <w:name w:val="Text poznámky pod čiarou Char"/>
    <w:basedOn w:val="DefaultParagraphFont"/>
    <w:link w:val="FootnoteText"/>
    <w:uiPriority w:val="99"/>
    <w:locked/>
    <w:rsid w:val="00162776"/>
    <w:rPr>
      <w:rFonts w:cs="Times New Roman"/>
      <w:rtl w:val="0"/>
      <w:cs w:val="0"/>
    </w:rPr>
  </w:style>
  <w:style w:type="character" w:styleId="FootnoteReference">
    <w:name w:val="footnote reference"/>
    <w:basedOn w:val="DefaultParagraphFont"/>
    <w:uiPriority w:val="99"/>
    <w:rsid w:val="00162776"/>
    <w:rPr>
      <w:rFonts w:cs="Times New Roman"/>
      <w:vertAlign w:val="superscript"/>
      <w:rtl w:val="0"/>
      <w:cs w:val="0"/>
    </w:rPr>
  </w:style>
  <w:style w:type="paragraph" w:styleId="Footer">
    <w:name w:val="footer"/>
    <w:basedOn w:val="Normal"/>
    <w:link w:val="PtaChar"/>
    <w:uiPriority w:val="99"/>
    <w:rsid w:val="00B53407"/>
    <w:pPr>
      <w:tabs>
        <w:tab w:val="center" w:pos="4536"/>
        <w:tab w:val="right" w:pos="9072"/>
      </w:tabs>
      <w:jc w:val="left"/>
    </w:pPr>
  </w:style>
  <w:style w:type="character" w:customStyle="1" w:styleId="PtaChar">
    <w:name w:val="Päta Char"/>
    <w:basedOn w:val="DefaultParagraphFont"/>
    <w:link w:val="Footer"/>
    <w:uiPriority w:val="99"/>
    <w:locked/>
    <w:rsid w:val="00B53407"/>
    <w:rPr>
      <w:rFonts w:cs="Times New Roman"/>
      <w:sz w:val="24"/>
      <w:rtl w:val="0"/>
      <w:cs w:val="0"/>
    </w:rPr>
  </w:style>
  <w:style w:type="character" w:styleId="PageNumber">
    <w:name w:val="page number"/>
    <w:basedOn w:val="DefaultParagraphFont"/>
    <w:uiPriority w:val="99"/>
    <w:rsid w:val="00B53407"/>
    <w:rPr>
      <w:rFonts w:cs="Times New Roman"/>
      <w:rtl w:val="0"/>
      <w:cs w:val="0"/>
    </w:rPr>
  </w:style>
  <w:style w:type="paragraph" w:styleId="Title">
    <w:name w:val="Title"/>
    <w:basedOn w:val="Normal"/>
    <w:link w:val="NzovChar"/>
    <w:uiPriority w:val="99"/>
    <w:qFormat/>
    <w:rsid w:val="00B53407"/>
    <w:pPr>
      <w:jc w:val="center"/>
    </w:pPr>
    <w:rPr>
      <w:sz w:val="28"/>
      <w:szCs w:val="20"/>
    </w:rPr>
  </w:style>
  <w:style w:type="character" w:customStyle="1" w:styleId="NzovChar">
    <w:name w:val="Názov Char"/>
    <w:basedOn w:val="DefaultParagraphFont"/>
    <w:link w:val="Title"/>
    <w:uiPriority w:val="99"/>
    <w:locked/>
    <w:rsid w:val="00B53407"/>
    <w:rPr>
      <w:rFonts w:cs="Times New Roman"/>
      <w:sz w:val="2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DA5A0-E127-41D4-A561-8D74FC18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15</Pages>
  <Words>4191</Words>
  <Characters>25478</Characters>
  <Application>Microsoft Office Word</Application>
  <DocSecurity>0</DocSecurity>
  <Lines>0</Lines>
  <Paragraphs>0</Paragraphs>
  <ScaleCrop>false</ScaleCrop>
  <Company>mhsr</Company>
  <LinksUpToDate>false</LinksUpToDate>
  <CharactersWithSpaces>29610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jureckovak</dc:creator>
  <cp:lastModifiedBy>cebulakova</cp:lastModifiedBy>
  <cp:revision>3</cp:revision>
  <cp:lastPrinted>2011-06-09T13:27:00Z</cp:lastPrinted>
  <dcterms:created xsi:type="dcterms:W3CDTF">2011-06-03T07:12:00Z</dcterms:created>
  <dcterms:modified xsi:type="dcterms:W3CDTF">2011-06-09T13:27:00Z</dcterms:modified>
</cp:coreProperties>
</file>