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47A" w:rsidRPr="00066469" w:rsidP="003364E6">
      <w:pPr>
        <w:keepNext/>
        <w:widowControl/>
        <w:jc w:val="center"/>
        <w:rPr>
          <w:szCs w:val="24"/>
        </w:rPr>
      </w:pPr>
      <w:r w:rsidRPr="00066469">
        <w:rPr>
          <w:szCs w:val="24"/>
        </w:rPr>
        <w:t>Návrh</w:t>
      </w:r>
    </w:p>
    <w:p w:rsidR="0047747A" w:rsidRPr="00066469" w:rsidP="0047747A">
      <w:pPr>
        <w:pStyle w:val="Heading1"/>
        <w:rPr>
          <w:b w:val="0"/>
          <w:bCs w:val="0"/>
          <w:kern w:val="0"/>
          <w:szCs w:val="24"/>
        </w:rPr>
      </w:pPr>
      <w:r w:rsidRPr="00066469" w:rsidR="00066469">
        <w:rPr>
          <w:b w:val="0"/>
          <w:bCs w:val="0"/>
          <w:kern w:val="0"/>
          <w:szCs w:val="24"/>
        </w:rPr>
        <w:t>Vyhláška</w:t>
      </w:r>
    </w:p>
    <w:p w:rsidR="00066469" w:rsidRPr="00066469" w:rsidP="00066469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Ministerstva pôdohospodárstva a rozvoja vidieka Slovenskej republiky</w:t>
      </w:r>
    </w:p>
    <w:p w:rsidR="0047747A" w:rsidRPr="00066469" w:rsidP="0047747A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z ................ 2011,</w:t>
      </w:r>
    </w:p>
    <w:p w:rsidR="0047747A" w:rsidRPr="00066469" w:rsidP="0047747A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ktorým sa vydávajú podrobnosti o tabakových výrobkoch</w:t>
      </w:r>
    </w:p>
    <w:p w:rsidR="0047747A" w:rsidRPr="00066469" w:rsidP="003364E6">
      <w:pPr>
        <w:pStyle w:val="odsek"/>
        <w:spacing w:before="600" w:after="600"/>
        <w:rPr>
          <w:szCs w:val="24"/>
        </w:rPr>
      </w:pPr>
      <w:r w:rsidRPr="00066469" w:rsidR="00066469">
        <w:rPr>
          <w:szCs w:val="24"/>
        </w:rPr>
        <w:t xml:space="preserve">Ministerstvo pôdohospodárstva a rozvoja vidieka Slovenskej republiky </w:t>
      </w:r>
      <w:r w:rsidRPr="00066469">
        <w:rPr>
          <w:szCs w:val="24"/>
        </w:rPr>
        <w:t>podľa § 16 zákona č. .../2011 Z. z.</w:t>
      </w:r>
      <w:r w:rsidRPr="00066469" w:rsidR="003364E6">
        <w:rPr>
          <w:szCs w:val="24"/>
        </w:rPr>
        <w:t xml:space="preserve"> o tabakových výrobkoch </w:t>
      </w:r>
      <w:r w:rsidRPr="00066469">
        <w:rPr>
          <w:szCs w:val="24"/>
        </w:rPr>
        <w:t>ustanovuje:</w:t>
      </w:r>
    </w:p>
    <w:p w:rsidR="0047747A" w:rsidRPr="00066469" w:rsidP="0047747A">
      <w:pPr>
        <w:pStyle w:val="a"/>
        <w:rPr>
          <w:b w:val="0"/>
          <w:szCs w:val="24"/>
        </w:rPr>
      </w:pPr>
    </w:p>
    <w:p w:rsidR="0047747A" w:rsidRPr="00066469" w:rsidP="0047747A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Predmet úpravy</w:t>
      </w:r>
    </w:p>
    <w:p w:rsidR="0047747A" w:rsidRPr="00066469" w:rsidP="0047747A">
      <w:pPr>
        <w:pStyle w:val="odsek"/>
        <w:rPr>
          <w:szCs w:val="24"/>
        </w:rPr>
      </w:pPr>
      <w:r w:rsidRPr="00066469">
        <w:rPr>
          <w:szCs w:val="24"/>
        </w:rPr>
        <w:t>T</w:t>
      </w:r>
      <w:r w:rsidRPr="00066469" w:rsidR="00066469">
        <w:rPr>
          <w:szCs w:val="24"/>
        </w:rPr>
        <w:t>ou</w:t>
      </w:r>
      <w:r w:rsidRPr="00066469">
        <w:rPr>
          <w:szCs w:val="24"/>
        </w:rPr>
        <w:t xml:space="preserve">to </w:t>
      </w:r>
      <w:r w:rsidRPr="00066469" w:rsidR="00066469">
        <w:rPr>
          <w:szCs w:val="24"/>
        </w:rPr>
        <w:t>vyhláškou</w:t>
      </w:r>
      <w:r w:rsidRPr="00066469">
        <w:rPr>
          <w:szCs w:val="24"/>
        </w:rPr>
        <w:t xml:space="preserve"> sa ustanovujú podrobnosti o</w:t>
      </w:r>
    </w:p>
    <w:p w:rsidR="00066469" w:rsidRPr="00066469" w:rsidP="00066469">
      <w:pPr>
        <w:pStyle w:val="adda"/>
        <w:numPr>
          <w:ilvl w:val="0"/>
          <w:numId w:val="16"/>
        </w:numPr>
        <w:autoSpaceDE/>
        <w:autoSpaceDN/>
        <w:adjustRightInd/>
        <w:ind w:left="357" w:hanging="357"/>
        <w:rPr>
          <w:szCs w:val="24"/>
        </w:rPr>
      </w:pPr>
      <w:r w:rsidRPr="00066469">
        <w:rPr>
          <w:szCs w:val="24"/>
        </w:rPr>
        <w:t>zložkách, surovinách a iných látkach, ktoré sú povolené pri výrobe tabakových výrobkov a ich množstvo, ktoré je povolené,</w:t>
      </w:r>
    </w:p>
    <w:p w:rsidR="00066469" w:rsidRPr="00066469" w:rsidP="00066469">
      <w:pPr>
        <w:pStyle w:val="adda"/>
        <w:numPr>
          <w:ilvl w:val="0"/>
          <w:numId w:val="16"/>
        </w:numPr>
        <w:autoSpaceDE/>
        <w:autoSpaceDN/>
        <w:adjustRightInd/>
        <w:ind w:left="357" w:hanging="357"/>
        <w:rPr>
          <w:szCs w:val="24"/>
        </w:rPr>
      </w:pPr>
      <w:r w:rsidRPr="00066469">
        <w:rPr>
          <w:szCs w:val="24"/>
        </w:rPr>
        <w:t>zložkách, ktoré sú zakázané používať pri výrobe tabakových výrobkov,</w:t>
      </w:r>
    </w:p>
    <w:p w:rsidR="00066469" w:rsidRPr="00066469" w:rsidP="00066469">
      <w:pPr>
        <w:pStyle w:val="adda"/>
        <w:numPr>
          <w:ilvl w:val="0"/>
          <w:numId w:val="13"/>
        </w:numPr>
        <w:autoSpaceDE/>
        <w:autoSpaceDN/>
        <w:adjustRightInd/>
        <w:ind w:left="357" w:hanging="357"/>
        <w:rPr>
          <w:szCs w:val="24"/>
        </w:rPr>
      </w:pPr>
      <w:r w:rsidRPr="00066469">
        <w:rPr>
          <w:szCs w:val="24"/>
        </w:rPr>
        <w:t>požiadavkách na kvalitu tabakových výrobkov,</w:t>
      </w:r>
    </w:p>
    <w:p w:rsidR="00066469" w:rsidRPr="00066469" w:rsidP="00066469">
      <w:pPr>
        <w:pStyle w:val="adda"/>
        <w:numPr>
          <w:ilvl w:val="0"/>
          <w:numId w:val="13"/>
        </w:numPr>
        <w:autoSpaceDE/>
        <w:autoSpaceDN/>
        <w:adjustRightInd/>
        <w:ind w:left="357" w:hanging="357"/>
        <w:rPr>
          <w:szCs w:val="24"/>
        </w:rPr>
      </w:pPr>
      <w:r w:rsidRPr="00066469">
        <w:rPr>
          <w:szCs w:val="24"/>
        </w:rPr>
        <w:t>požiadavkách na prevádzkarne, v ktorých sa tabakové výrobky a zložky tabakových výrobkov vyrábajú a skladujú,</w:t>
      </w:r>
    </w:p>
    <w:p w:rsidR="00066469" w:rsidRPr="00066469" w:rsidP="00066469">
      <w:pPr>
        <w:pStyle w:val="adda"/>
        <w:numPr>
          <w:ilvl w:val="0"/>
          <w:numId w:val="13"/>
        </w:numPr>
        <w:autoSpaceDE/>
        <w:autoSpaceDN/>
        <w:adjustRightInd/>
        <w:ind w:left="357" w:hanging="357"/>
        <w:rPr>
          <w:szCs w:val="24"/>
        </w:rPr>
      </w:pPr>
      <w:r w:rsidRPr="00066469">
        <w:rPr>
          <w:szCs w:val="24"/>
        </w:rPr>
        <w:t>označovaní tabakových výrobkov,</w:t>
      </w:r>
    </w:p>
    <w:p w:rsidR="0047747A" w:rsidRPr="00066469" w:rsidP="00066469">
      <w:pPr>
        <w:pStyle w:val="adda"/>
        <w:numPr>
          <w:ilvl w:val="0"/>
          <w:numId w:val="5"/>
        </w:numPr>
        <w:autoSpaceDE/>
        <w:autoSpaceDN/>
        <w:adjustRightInd/>
        <w:ind w:left="357" w:hanging="357"/>
        <w:rPr>
          <w:szCs w:val="24"/>
        </w:rPr>
      </w:pPr>
      <w:r w:rsidRPr="00066469" w:rsidR="00066469">
        <w:rPr>
          <w:szCs w:val="24"/>
        </w:rPr>
        <w:t>vzore oznámenia o registrácii výroby tabakových výrobkov a činností súvisiacich s ich umiestňovaním na trh.</w:t>
      </w:r>
    </w:p>
    <w:p w:rsidR="003856EA" w:rsidRPr="00066469" w:rsidP="003856EA">
      <w:pPr>
        <w:pStyle w:val="a"/>
        <w:rPr>
          <w:b w:val="0"/>
          <w:szCs w:val="24"/>
        </w:rPr>
      </w:pPr>
    </w:p>
    <w:p w:rsidR="003856EA" w:rsidRPr="00066469" w:rsidP="003856EA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Základné pojmy</w:t>
      </w:r>
    </w:p>
    <w:p w:rsidR="003856EA" w:rsidRPr="00066469" w:rsidP="003856EA">
      <w:pPr>
        <w:pStyle w:val="odsek"/>
        <w:rPr>
          <w:szCs w:val="24"/>
        </w:rPr>
      </w:pPr>
      <w:r w:rsidRPr="00066469">
        <w:rPr>
          <w:szCs w:val="24"/>
        </w:rPr>
        <w:t>Na účely t</w:t>
      </w:r>
      <w:r w:rsidRPr="00066469" w:rsidR="00066469">
        <w:rPr>
          <w:szCs w:val="24"/>
        </w:rPr>
        <w:t>ejto</w:t>
      </w:r>
      <w:r w:rsidRPr="00066469">
        <w:rPr>
          <w:szCs w:val="24"/>
        </w:rPr>
        <w:t xml:space="preserve"> </w:t>
      </w:r>
      <w:r w:rsidRPr="00066469" w:rsidR="00066469">
        <w:rPr>
          <w:szCs w:val="24"/>
        </w:rPr>
        <w:t>vyhlášky</w:t>
      </w:r>
      <w:r w:rsidRPr="00066469">
        <w:rPr>
          <w:szCs w:val="24"/>
        </w:rPr>
        <w:t xml:space="preserve"> sa rozumie:</w:t>
      </w:r>
    </w:p>
    <w:p w:rsidR="0047747A" w:rsidRPr="00066469" w:rsidP="003856EA">
      <w:pPr>
        <w:pStyle w:val="adda"/>
        <w:rPr>
          <w:szCs w:val="24"/>
        </w:rPr>
      </w:pPr>
      <w:r w:rsidRPr="00066469" w:rsidR="003856EA">
        <w:rPr>
          <w:szCs w:val="24"/>
        </w:rPr>
        <w:t>t</w:t>
      </w:r>
      <w:r w:rsidRPr="00066469">
        <w:rPr>
          <w:szCs w:val="24"/>
        </w:rPr>
        <w:t>abakov</w:t>
      </w:r>
      <w:r w:rsidRPr="00066469" w:rsidR="003856EA">
        <w:rPr>
          <w:szCs w:val="24"/>
        </w:rPr>
        <w:t>ou</w:t>
      </w:r>
      <w:r w:rsidRPr="00066469">
        <w:rPr>
          <w:szCs w:val="24"/>
        </w:rPr>
        <w:t xml:space="preserve"> surovin</w:t>
      </w:r>
      <w:r w:rsidRPr="00066469" w:rsidR="003856EA">
        <w:rPr>
          <w:szCs w:val="24"/>
        </w:rPr>
        <w:t>ou</w:t>
      </w:r>
      <w:r w:rsidRPr="00066469">
        <w:rPr>
          <w:szCs w:val="24"/>
        </w:rPr>
        <w:t xml:space="preserve"> prírodne alebo umele sušený alebo</w:t>
      </w:r>
      <w:r w:rsidRPr="00066469" w:rsidR="003856EA">
        <w:rPr>
          <w:szCs w:val="24"/>
        </w:rPr>
        <w:t xml:space="preserve"> </w:t>
      </w:r>
      <w:r w:rsidRPr="00066469">
        <w:rPr>
          <w:szCs w:val="24"/>
        </w:rPr>
        <w:t>fermentovaný tabakový list rastliny druhu Nicotiana tabacum, ako aj jej časti; tabakové listy môžu byť celé, vyžilené, trhané alebo lámané. Za tabakovú surovinu sa považuje aj tabaková fólia a tabakový zvyšok, ak nie je tabakovým výrobkom podľa osobitného predpisu</w:t>
      </w:r>
      <w:r w:rsidRPr="00066469" w:rsidR="003856EA">
        <w:rPr>
          <w:szCs w:val="24"/>
        </w:rPr>
        <w:t>,</w:t>
      </w:r>
      <w:r>
        <w:rPr>
          <w:rStyle w:val="FootnoteReference"/>
          <w:szCs w:val="24"/>
          <w:vertAlign w:val="baseline"/>
        </w:rPr>
        <w:footnoteReference w:id="2"/>
      </w:r>
      <w:r w:rsidRPr="00066469" w:rsidR="003856EA">
        <w:rPr>
          <w:szCs w:val="24"/>
        </w:rPr>
        <w:t>)</w:t>
      </w:r>
    </w:p>
    <w:p w:rsidR="0047747A" w:rsidRPr="00066469" w:rsidP="003856EA">
      <w:pPr>
        <w:pStyle w:val="adda"/>
        <w:rPr>
          <w:szCs w:val="24"/>
        </w:rPr>
      </w:pPr>
      <w:r w:rsidRPr="00066469" w:rsidR="003856EA">
        <w:rPr>
          <w:szCs w:val="24"/>
        </w:rPr>
        <w:t>t</w:t>
      </w:r>
      <w:r w:rsidRPr="00066469">
        <w:rPr>
          <w:szCs w:val="24"/>
        </w:rPr>
        <w:t>abakov</w:t>
      </w:r>
      <w:r w:rsidRPr="00066469" w:rsidR="003856EA">
        <w:rPr>
          <w:szCs w:val="24"/>
        </w:rPr>
        <w:t>ou</w:t>
      </w:r>
      <w:r w:rsidRPr="00066469">
        <w:rPr>
          <w:szCs w:val="24"/>
        </w:rPr>
        <w:t xml:space="preserve"> fóli</w:t>
      </w:r>
      <w:r w:rsidRPr="00066469" w:rsidR="003856EA">
        <w:rPr>
          <w:szCs w:val="24"/>
        </w:rPr>
        <w:t>ou</w:t>
      </w:r>
      <w:r w:rsidRPr="00066469">
        <w:rPr>
          <w:szCs w:val="24"/>
        </w:rPr>
        <w:t xml:space="preserve"> homogenizovaný alebo rekonštituovaný tab</w:t>
      </w:r>
      <w:r w:rsidRPr="00066469">
        <w:rPr>
          <w:szCs w:val="24"/>
        </w:rPr>
        <w:t>ak vyrobený spojením jemne rozdrobeného</w:t>
      </w:r>
      <w:r w:rsidRPr="00066469" w:rsidR="003856EA">
        <w:rPr>
          <w:szCs w:val="24"/>
        </w:rPr>
        <w:t xml:space="preserve"> tabaku, spracovateľného tabakového zvyšku a tabakového prachu,</w:t>
      </w:r>
    </w:p>
    <w:p w:rsidR="0047747A" w:rsidRPr="00066469" w:rsidP="003856EA">
      <w:pPr>
        <w:pStyle w:val="adda"/>
        <w:rPr>
          <w:szCs w:val="24"/>
        </w:rPr>
      </w:pPr>
      <w:r w:rsidRPr="00066469" w:rsidR="003856EA">
        <w:rPr>
          <w:szCs w:val="24"/>
        </w:rPr>
        <w:t>t</w:t>
      </w:r>
      <w:r w:rsidRPr="00066469">
        <w:rPr>
          <w:szCs w:val="24"/>
        </w:rPr>
        <w:t>abakový</w:t>
      </w:r>
      <w:r w:rsidRPr="00066469" w:rsidR="003856EA">
        <w:rPr>
          <w:szCs w:val="24"/>
        </w:rPr>
        <w:t>m</w:t>
      </w:r>
      <w:r w:rsidRPr="00066469">
        <w:rPr>
          <w:szCs w:val="24"/>
        </w:rPr>
        <w:t xml:space="preserve"> zvyšk</w:t>
      </w:r>
      <w:r w:rsidRPr="00066469" w:rsidR="003856EA">
        <w:rPr>
          <w:szCs w:val="24"/>
        </w:rPr>
        <w:t>om</w:t>
      </w:r>
      <w:r w:rsidRPr="00066469">
        <w:rPr>
          <w:szCs w:val="24"/>
        </w:rPr>
        <w:t xml:space="preserve"> z</w:t>
      </w:r>
      <w:r w:rsidRPr="00066469" w:rsidR="003856EA">
        <w:rPr>
          <w:szCs w:val="24"/>
        </w:rPr>
        <w:t>ostatok</w:t>
      </w:r>
      <w:r w:rsidRPr="00066469">
        <w:rPr>
          <w:szCs w:val="24"/>
        </w:rPr>
        <w:t xml:space="preserve"> z tabakových listov a ich častí, vznikajúci pri ich spracovaní a manipulácií s nimi, alebo pri výrobe tabakových výrobkov.</w:t>
      </w:r>
    </w:p>
    <w:p w:rsidR="00A4223B" w:rsidRPr="00066469" w:rsidP="00A4223B">
      <w:pPr>
        <w:pStyle w:val="a"/>
        <w:rPr>
          <w:b w:val="0"/>
          <w:szCs w:val="24"/>
        </w:rPr>
      </w:pPr>
      <w:r w:rsidRPr="00066469" w:rsidR="00066469">
        <w:rPr>
          <w:b w:val="0"/>
          <w:szCs w:val="24"/>
        </w:rPr>
        <w:br w:type="page"/>
      </w:r>
    </w:p>
    <w:p w:rsidR="0047747A" w:rsidRPr="00066469" w:rsidP="00A4223B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Používanie zložiek</w:t>
      </w:r>
    </w:p>
    <w:p w:rsidR="00A4223B" w:rsidRPr="00066469" w:rsidP="00A4223B">
      <w:pPr>
        <w:pStyle w:val="odsek1"/>
        <w:rPr>
          <w:szCs w:val="24"/>
        </w:rPr>
      </w:pPr>
      <w:r w:rsidRPr="00066469">
        <w:rPr>
          <w:szCs w:val="24"/>
        </w:rPr>
        <w:t>Zoznam zložiek, ktoré možno pridávať do tabakovej suroviny je uvedený v</w:t>
      </w:r>
      <w:r w:rsidRPr="00066469" w:rsidR="003364E6">
        <w:rPr>
          <w:szCs w:val="24"/>
        </w:rPr>
        <w:t> </w:t>
      </w:r>
      <w:r w:rsidRPr="00066469">
        <w:rPr>
          <w:szCs w:val="24"/>
        </w:rPr>
        <w:t>prílohe č. 1.</w:t>
      </w:r>
    </w:p>
    <w:p w:rsidR="00A4223B" w:rsidRPr="00066469" w:rsidP="00A4223B">
      <w:pPr>
        <w:pStyle w:val="odsek1"/>
        <w:rPr>
          <w:szCs w:val="24"/>
        </w:rPr>
      </w:pPr>
      <w:r w:rsidRPr="00066469">
        <w:rPr>
          <w:szCs w:val="24"/>
        </w:rPr>
        <w:t xml:space="preserve">Zoznam zložiek, ktoré možno používať pri výrobe jednotlivých kategórií zložiek je uvedený v prílohe č. </w:t>
      </w:r>
      <w:r w:rsidRPr="00066469" w:rsidR="001E6791">
        <w:rPr>
          <w:szCs w:val="24"/>
        </w:rPr>
        <w:t>1</w:t>
      </w:r>
      <w:r w:rsidRPr="00066469">
        <w:rPr>
          <w:szCs w:val="24"/>
        </w:rPr>
        <w:t>.</w:t>
      </w:r>
    </w:p>
    <w:p w:rsidR="00A4223B" w:rsidRPr="00066469" w:rsidP="00A4223B">
      <w:pPr>
        <w:pStyle w:val="odsek1"/>
        <w:rPr>
          <w:szCs w:val="24"/>
        </w:rPr>
      </w:pPr>
      <w:r w:rsidRPr="00066469">
        <w:rPr>
          <w:szCs w:val="24"/>
        </w:rPr>
        <w:t xml:space="preserve">Zoznam zložiek, ktoré nemožno používať pri výrobe tabakových výrobkov je uvedený v prílohe č. </w:t>
      </w:r>
      <w:r w:rsidRPr="00066469" w:rsidR="00176343">
        <w:rPr>
          <w:szCs w:val="24"/>
        </w:rPr>
        <w:t>2</w:t>
      </w:r>
      <w:r w:rsidRPr="00066469">
        <w:rPr>
          <w:szCs w:val="24"/>
        </w:rPr>
        <w:t>.</w:t>
      </w:r>
    </w:p>
    <w:p w:rsidR="00A4223B" w:rsidRPr="00066469" w:rsidP="00A4223B">
      <w:pPr>
        <w:pStyle w:val="a"/>
        <w:rPr>
          <w:b w:val="0"/>
          <w:szCs w:val="24"/>
        </w:rPr>
      </w:pPr>
    </w:p>
    <w:p w:rsidR="00A4223B" w:rsidRPr="00066469" w:rsidP="00A4223B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Určovanie prípustného množstva škodlivých látok</w:t>
      </w:r>
    </w:p>
    <w:p w:rsidR="00A4223B" w:rsidRPr="00066469" w:rsidP="00A4223B">
      <w:pPr>
        <w:pStyle w:val="odsek"/>
        <w:rPr>
          <w:szCs w:val="24"/>
        </w:rPr>
      </w:pPr>
      <w:r w:rsidRPr="00066469">
        <w:rPr>
          <w:szCs w:val="24"/>
        </w:rPr>
        <w:t>Stanovenie obsahu dechtu, nikotínu, oxidu uhoľnatého v cigaretách a overovanie údajov o obsahu dechtu a nikotínu uvádzaných na spotrebiteľských baleniach cigariet sa vykonáva podľa medzinárodných noriem</w:t>
      </w:r>
      <w:r>
        <w:rPr>
          <w:rStyle w:val="FootnoteReference"/>
          <w:szCs w:val="24"/>
          <w:vertAlign w:val="baseline"/>
        </w:rPr>
        <w:footnoteReference w:id="3"/>
      </w:r>
      <w:r w:rsidRPr="00066469">
        <w:rPr>
          <w:szCs w:val="24"/>
        </w:rPr>
        <w:t>).</w:t>
      </w:r>
    </w:p>
    <w:p w:rsidR="00A4223B" w:rsidRPr="00066469" w:rsidP="00A4223B">
      <w:pPr>
        <w:pStyle w:val="a"/>
        <w:rPr>
          <w:b w:val="0"/>
          <w:szCs w:val="24"/>
        </w:rPr>
      </w:pPr>
    </w:p>
    <w:p w:rsidR="00A4223B" w:rsidRPr="00066469" w:rsidP="00A4223B">
      <w:pPr>
        <w:pStyle w:val="Heading2"/>
        <w:rPr>
          <w:b w:val="0"/>
          <w:bCs w:val="0"/>
          <w:iCs w:val="0"/>
          <w:szCs w:val="24"/>
        </w:rPr>
      </w:pPr>
      <w:r w:rsidRPr="00066469" w:rsidR="00066469">
        <w:rPr>
          <w:b w:val="0"/>
          <w:bCs w:val="0"/>
          <w:iCs w:val="0"/>
          <w:szCs w:val="24"/>
        </w:rPr>
        <w:t>O</w:t>
      </w:r>
      <w:r w:rsidRPr="00066469">
        <w:rPr>
          <w:b w:val="0"/>
          <w:bCs w:val="0"/>
          <w:iCs w:val="0"/>
          <w:szCs w:val="24"/>
        </w:rPr>
        <w:t>značovanie tabakových výrobkov</w:t>
      </w:r>
    </w:p>
    <w:p w:rsidR="00D37F62" w:rsidRPr="00066469" w:rsidP="00B419B7">
      <w:pPr>
        <w:pStyle w:val="odsek1"/>
        <w:numPr>
          <w:ilvl w:val="0"/>
          <w:numId w:val="7"/>
        </w:numPr>
        <w:ind w:left="0" w:firstLine="709"/>
        <w:rPr>
          <w:szCs w:val="24"/>
        </w:rPr>
      </w:pPr>
      <w:r w:rsidRPr="00066469">
        <w:rPr>
          <w:szCs w:val="24"/>
        </w:rPr>
        <w:t>Označovanie tabakových výrobkov uvádzaných do obehu musí spĺňať požiadavky ustanovené týmto výnosom a osobitnými predpismi.</w:t>
      </w:r>
      <w:r>
        <w:rPr>
          <w:rStyle w:val="FootnoteReference"/>
          <w:szCs w:val="24"/>
          <w:vertAlign w:val="baseline"/>
        </w:rPr>
        <w:footnoteReference w:id="4"/>
      </w:r>
      <w:r w:rsidRPr="00066469">
        <w:rPr>
          <w:szCs w:val="24"/>
        </w:rPr>
        <w:t>)</w:t>
      </w:r>
    </w:p>
    <w:p w:rsidR="00A4223B" w:rsidRPr="00066469" w:rsidP="00D37F62">
      <w:pPr>
        <w:pStyle w:val="odsek1"/>
        <w:rPr>
          <w:szCs w:val="24"/>
        </w:rPr>
      </w:pPr>
      <w:r w:rsidRPr="00066469" w:rsidR="00D37F62">
        <w:rPr>
          <w:szCs w:val="24"/>
        </w:rPr>
        <w:t>Tabakové výrobky nemusia byť označené dátumom m</w:t>
      </w:r>
      <w:r w:rsidRPr="00066469" w:rsidR="00D37F62">
        <w:rPr>
          <w:szCs w:val="24"/>
        </w:rPr>
        <w:t>inimálnej trvanlivosti ani dátumom spotreby.</w:t>
      </w:r>
    </w:p>
    <w:p w:rsidR="00D37F62" w:rsidRPr="00066469" w:rsidP="00D37F62">
      <w:pPr>
        <w:pStyle w:val="a"/>
        <w:rPr>
          <w:b w:val="0"/>
          <w:szCs w:val="24"/>
        </w:rPr>
      </w:pPr>
    </w:p>
    <w:p w:rsidR="00D37F62" w:rsidRPr="00066469" w:rsidP="00D37F62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Základné údaje</w:t>
      </w:r>
    </w:p>
    <w:p w:rsidR="00D37F62" w:rsidRPr="00066469" w:rsidP="00B419B7">
      <w:pPr>
        <w:pStyle w:val="odsek1"/>
        <w:numPr>
          <w:ilvl w:val="0"/>
          <w:numId w:val="8"/>
        </w:numPr>
        <w:ind w:left="0" w:firstLine="709"/>
        <w:rPr>
          <w:szCs w:val="24"/>
        </w:rPr>
      </w:pPr>
      <w:r w:rsidRPr="00066469">
        <w:rPr>
          <w:szCs w:val="24"/>
        </w:rPr>
        <w:t>Na spotrebiteľskom obale tabakového výrobku okrem dodatočných priehľadných obalov sa v štátnom jazyku</w:t>
      </w:r>
      <w:r>
        <w:rPr>
          <w:rStyle w:val="FootnoteReference"/>
          <w:szCs w:val="24"/>
          <w:vertAlign w:val="baseline"/>
        </w:rPr>
        <w:footnoteReference w:id="5"/>
      </w:r>
      <w:r w:rsidRPr="00066469" w:rsidR="00575476">
        <w:rPr>
          <w:szCs w:val="24"/>
        </w:rPr>
        <w:t>)</w:t>
      </w:r>
      <w:r w:rsidRPr="00066469">
        <w:rPr>
          <w:szCs w:val="24"/>
        </w:rPr>
        <w:t xml:space="preserve"> uvádzajú tieto údaje:</w:t>
      </w:r>
    </w:p>
    <w:p w:rsidR="00D37F62" w:rsidRPr="00066469" w:rsidP="00B419B7">
      <w:pPr>
        <w:keepNext/>
        <w:widowControl/>
        <w:numPr>
          <w:ilvl w:val="0"/>
          <w:numId w:val="4"/>
        </w:numPr>
        <w:shd w:val="clear" w:color="auto" w:fill="FFFFFF"/>
        <w:tabs>
          <w:tab w:val="left" w:pos="283"/>
        </w:tabs>
        <w:spacing w:line="288" w:lineRule="exact"/>
        <w:rPr>
          <w:szCs w:val="24"/>
        </w:rPr>
      </w:pPr>
      <w:r w:rsidRPr="00066469">
        <w:rPr>
          <w:szCs w:val="24"/>
        </w:rPr>
        <w:t>obchodný názov,</w:t>
      </w:r>
    </w:p>
    <w:p w:rsidR="00D37F62" w:rsidRPr="00066469" w:rsidP="00B419B7">
      <w:pPr>
        <w:keepNext/>
        <w:widowControl/>
        <w:numPr>
          <w:ilvl w:val="0"/>
          <w:numId w:val="4"/>
        </w:numPr>
        <w:shd w:val="clear" w:color="auto" w:fill="FFFFFF"/>
        <w:tabs>
          <w:tab w:val="left" w:pos="283"/>
        </w:tabs>
        <w:spacing w:line="288" w:lineRule="exact"/>
        <w:ind w:left="283" w:hanging="283"/>
        <w:rPr>
          <w:szCs w:val="24"/>
        </w:rPr>
      </w:pPr>
      <w:r w:rsidRPr="00066469">
        <w:rPr>
          <w:szCs w:val="24"/>
        </w:rPr>
        <w:t>obchodné meno a sídlo výrobcu, baliarne, distribútora</w:t>
      </w:r>
      <w:r w:rsidRPr="00066469">
        <w:rPr>
          <w:szCs w:val="24"/>
        </w:rPr>
        <w:t xml:space="preserve"> alebo dovozcu,</w:t>
      </w:r>
    </w:p>
    <w:p w:rsidR="00D37F62" w:rsidRPr="00066469" w:rsidP="00B419B7">
      <w:pPr>
        <w:keepNext/>
        <w:widowControl/>
        <w:numPr>
          <w:ilvl w:val="0"/>
          <w:numId w:val="4"/>
        </w:numPr>
        <w:shd w:val="clear" w:color="auto" w:fill="FFFFFF"/>
        <w:tabs>
          <w:tab w:val="left" w:pos="283"/>
        </w:tabs>
        <w:spacing w:line="288" w:lineRule="exact"/>
        <w:rPr>
          <w:szCs w:val="24"/>
        </w:rPr>
      </w:pPr>
      <w:r w:rsidRPr="00066469">
        <w:rPr>
          <w:szCs w:val="24"/>
        </w:rPr>
        <w:t>údaj o množstve,</w:t>
      </w:r>
    </w:p>
    <w:p w:rsidR="00D37F62" w:rsidRPr="00066469" w:rsidP="00B419B7">
      <w:pPr>
        <w:keepNext/>
        <w:widowControl/>
        <w:numPr>
          <w:ilvl w:val="0"/>
          <w:numId w:val="4"/>
        </w:numPr>
        <w:shd w:val="clear" w:color="auto" w:fill="FFFFFF"/>
        <w:tabs>
          <w:tab w:val="left" w:pos="283"/>
        </w:tabs>
        <w:spacing w:line="288" w:lineRule="exact"/>
        <w:rPr>
          <w:szCs w:val="24"/>
        </w:rPr>
      </w:pPr>
      <w:r w:rsidRPr="00066469">
        <w:rPr>
          <w:szCs w:val="24"/>
        </w:rPr>
        <w:t>pôvod tabakového výrobku,</w:t>
      </w:r>
    </w:p>
    <w:p w:rsidR="00D37F62" w:rsidRPr="00066469" w:rsidP="00B419B7">
      <w:pPr>
        <w:keepNext/>
        <w:widowControl/>
        <w:numPr>
          <w:ilvl w:val="0"/>
          <w:numId w:val="4"/>
        </w:numPr>
        <w:shd w:val="clear" w:color="auto" w:fill="FFFFFF"/>
        <w:tabs>
          <w:tab w:val="left" w:pos="283"/>
        </w:tabs>
        <w:spacing w:line="288" w:lineRule="exact"/>
        <w:rPr>
          <w:szCs w:val="24"/>
        </w:rPr>
      </w:pPr>
      <w:r w:rsidRPr="00066469">
        <w:rPr>
          <w:szCs w:val="24"/>
        </w:rPr>
        <w:t>identifikácia dávky, šarže alebo jej ekvivalentu.</w:t>
      </w:r>
    </w:p>
    <w:p w:rsidR="00D37F62" w:rsidRPr="00066469" w:rsidP="00D37F62">
      <w:pPr>
        <w:pStyle w:val="odsek1"/>
        <w:rPr>
          <w:szCs w:val="24"/>
        </w:rPr>
      </w:pPr>
      <w:r w:rsidRPr="00066469">
        <w:rPr>
          <w:szCs w:val="24"/>
        </w:rPr>
        <w:t>Označovanie tabakového výrobku aj v iných jazykoch nesmie byť prekážkou čitateľnosti údajov uvádzaných v štátnom jazyku.</w:t>
      </w:r>
    </w:p>
    <w:p w:rsidR="00575476" w:rsidRPr="00066469" w:rsidP="00575476">
      <w:pPr>
        <w:pStyle w:val="a"/>
        <w:rPr>
          <w:b w:val="0"/>
          <w:szCs w:val="24"/>
        </w:rPr>
      </w:pPr>
    </w:p>
    <w:p w:rsidR="00575476" w:rsidRPr="00066469" w:rsidP="00575476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Označovanie obchodným náz</w:t>
      </w:r>
      <w:r w:rsidRPr="00066469">
        <w:rPr>
          <w:b w:val="0"/>
          <w:bCs w:val="0"/>
          <w:iCs w:val="0"/>
          <w:szCs w:val="24"/>
        </w:rPr>
        <w:t>vom</w:t>
      </w:r>
    </w:p>
    <w:p w:rsidR="00575476" w:rsidRPr="00066469" w:rsidP="00B419B7">
      <w:pPr>
        <w:pStyle w:val="odsek1"/>
        <w:numPr>
          <w:ilvl w:val="0"/>
          <w:numId w:val="9"/>
        </w:numPr>
        <w:ind w:left="0" w:firstLine="709"/>
        <w:rPr>
          <w:szCs w:val="24"/>
        </w:rPr>
      </w:pPr>
      <w:r w:rsidRPr="00066469">
        <w:rPr>
          <w:szCs w:val="24"/>
        </w:rPr>
        <w:t>Obchodný názov je názov, pod ktorým sa tabakový výrobok uvádza na trh a ktorý vyjadruje jeho podstatu a spôsob použitia.</w:t>
      </w:r>
    </w:p>
    <w:p w:rsidR="00575476" w:rsidRPr="00066469" w:rsidP="00575476">
      <w:pPr>
        <w:pStyle w:val="odsek1"/>
        <w:rPr>
          <w:szCs w:val="24"/>
        </w:rPr>
      </w:pPr>
      <w:r w:rsidRPr="00066469">
        <w:rPr>
          <w:szCs w:val="24"/>
        </w:rPr>
        <w:t>Obchodný názov tabakového výrobku môže byť utvorený kombináciou slova a znaku alebo slova a grafického vyobrazenia s označením údaja o množstve.</w:t>
      </w:r>
    </w:p>
    <w:p w:rsidR="00575476" w:rsidRPr="00066469" w:rsidP="00575476">
      <w:pPr>
        <w:pStyle w:val="odsek1"/>
        <w:rPr>
          <w:szCs w:val="24"/>
        </w:rPr>
      </w:pPr>
      <w:r w:rsidRPr="00066469">
        <w:rPr>
          <w:szCs w:val="24"/>
        </w:rPr>
        <w:t>Ochranná známka, obchodná značka, značkové meno, chránený názov alebo iný názov tabakového výrobku nenahrádza údaj podľa odseku 1.</w:t>
      </w:r>
    </w:p>
    <w:p w:rsidR="00575476" w:rsidRPr="00066469" w:rsidP="00575476">
      <w:pPr>
        <w:pStyle w:val="a"/>
        <w:rPr>
          <w:b w:val="0"/>
          <w:szCs w:val="24"/>
        </w:rPr>
      </w:pPr>
    </w:p>
    <w:p w:rsidR="00575476" w:rsidRPr="00066469" w:rsidP="00575476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Označovanie obchodného mena a sídla výrobcu, baliarne, distribútora alebo dovozcu</w:t>
      </w:r>
    </w:p>
    <w:p w:rsidR="00575476" w:rsidRPr="00066469" w:rsidP="00B419B7">
      <w:pPr>
        <w:pStyle w:val="odsek1"/>
        <w:numPr>
          <w:ilvl w:val="0"/>
          <w:numId w:val="10"/>
        </w:numPr>
        <w:ind w:left="0" w:firstLine="709"/>
        <w:rPr>
          <w:szCs w:val="24"/>
        </w:rPr>
      </w:pPr>
      <w:r w:rsidRPr="00066469">
        <w:rPr>
          <w:szCs w:val="24"/>
        </w:rPr>
        <w:t>Ako sídlo výrobcu, baliarne,</w:t>
      </w:r>
      <w:r w:rsidRPr="00066469">
        <w:rPr>
          <w:szCs w:val="24"/>
        </w:rPr>
        <w:t xml:space="preserve"> distribútora alebo dovozcu tabakového výrobku sa uvádza len názov obce.</w:t>
      </w:r>
    </w:p>
    <w:p w:rsidR="00575476" w:rsidRPr="00066469" w:rsidP="00575476">
      <w:pPr>
        <w:pStyle w:val="odsek1"/>
        <w:rPr>
          <w:szCs w:val="24"/>
        </w:rPr>
      </w:pPr>
      <w:r w:rsidRPr="00066469">
        <w:rPr>
          <w:szCs w:val="24"/>
        </w:rPr>
        <w:t>Z označenia podľa § 6 ods. 1 písm. b) musí byť zrejmé, či ide o výrobcu, baliareň, distribútora alebo dovozcu tabakového výrobku.</w:t>
      </w:r>
    </w:p>
    <w:p w:rsidR="00575476" w:rsidRPr="00066469" w:rsidP="00575476">
      <w:pPr>
        <w:pStyle w:val="a"/>
        <w:rPr>
          <w:b w:val="0"/>
          <w:szCs w:val="24"/>
        </w:rPr>
      </w:pPr>
    </w:p>
    <w:p w:rsidR="00575476" w:rsidRPr="00066469" w:rsidP="00575476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Označovanie údajov o množstve</w:t>
      </w:r>
    </w:p>
    <w:p w:rsidR="00575476" w:rsidRPr="00066469" w:rsidP="00B419B7">
      <w:pPr>
        <w:pStyle w:val="odsek1"/>
        <w:numPr>
          <w:ilvl w:val="0"/>
          <w:numId w:val="11"/>
        </w:numPr>
        <w:ind w:left="0" w:firstLine="709"/>
        <w:rPr>
          <w:szCs w:val="24"/>
        </w:rPr>
      </w:pPr>
      <w:r w:rsidRPr="00066469">
        <w:rPr>
          <w:szCs w:val="24"/>
        </w:rPr>
        <w:t>Údaj o množstve sa označuje podľa druhu tabakového výrobku v kusoch (ks) alebo v hmotnostných jednotkách v gramoch (g) alebo v kilogramoch (kg).</w:t>
      </w:r>
    </w:p>
    <w:p w:rsidR="00575476" w:rsidRPr="00066469" w:rsidP="00575476">
      <w:pPr>
        <w:pStyle w:val="odsek1"/>
        <w:rPr>
          <w:szCs w:val="24"/>
        </w:rPr>
      </w:pPr>
      <w:r w:rsidRPr="00066469">
        <w:rPr>
          <w:szCs w:val="24"/>
        </w:rPr>
        <w:t>Označenie údaja o hmotnosti znamená hmotnosť tabakového výrobku bez obalu.</w:t>
      </w:r>
    </w:p>
    <w:p w:rsidR="009641C8" w:rsidRPr="00066469" w:rsidP="009641C8">
      <w:pPr>
        <w:pStyle w:val="odsek1"/>
        <w:rPr>
          <w:szCs w:val="24"/>
        </w:rPr>
      </w:pPr>
      <w:r w:rsidRPr="00066469">
        <w:rPr>
          <w:szCs w:val="24"/>
        </w:rPr>
        <w:t>Údaj o hmotnosti, ak nie je označený značkou „e“ podľa osobitného predpisu</w:t>
      </w:r>
      <w:r>
        <w:rPr>
          <w:rStyle w:val="FootnoteReference"/>
          <w:szCs w:val="24"/>
          <w:vertAlign w:val="baseline"/>
        </w:rPr>
        <w:footnoteReference w:id="6"/>
      </w:r>
      <w:r w:rsidRPr="00066469">
        <w:rPr>
          <w:szCs w:val="24"/>
        </w:rPr>
        <w:t>) sa musí doplniť na obale o označenie zápornej odchýlky hmotnosti. Odchýlku možno označovať v jednotkách hmotnosti alebo v percentách so záporným znamienkom.</w:t>
      </w:r>
    </w:p>
    <w:p w:rsidR="009641C8" w:rsidRPr="00066469" w:rsidP="009641C8">
      <w:pPr>
        <w:pStyle w:val="odsek1"/>
        <w:rPr>
          <w:szCs w:val="24"/>
        </w:rPr>
      </w:pPr>
      <w:r w:rsidRPr="00066469">
        <w:rPr>
          <w:szCs w:val="24"/>
        </w:rPr>
        <w:t>Údaj o množstve sa nemusí označovať, ak je počet alebo hmotnosť výrobku uvedená v označení tabakového výrobku.</w:t>
      </w:r>
    </w:p>
    <w:p w:rsidR="009641C8" w:rsidRPr="00066469" w:rsidP="009641C8">
      <w:pPr>
        <w:pStyle w:val="a"/>
        <w:rPr>
          <w:b w:val="0"/>
          <w:szCs w:val="24"/>
        </w:rPr>
      </w:pPr>
    </w:p>
    <w:p w:rsidR="009641C8" w:rsidRPr="00066469" w:rsidP="009641C8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Označovanie pôvodu</w:t>
      </w:r>
    </w:p>
    <w:p w:rsidR="009641C8" w:rsidRPr="00066469" w:rsidP="00B419B7">
      <w:pPr>
        <w:pStyle w:val="odsek1"/>
        <w:numPr>
          <w:ilvl w:val="0"/>
          <w:numId w:val="12"/>
        </w:numPr>
        <w:ind w:left="0" w:firstLine="709"/>
        <w:rPr>
          <w:szCs w:val="24"/>
        </w:rPr>
      </w:pPr>
      <w:r w:rsidRPr="00066469">
        <w:rPr>
          <w:szCs w:val="24"/>
        </w:rPr>
        <w:t>Pôvod tabakového výrobku alebo miesto pôvodu tabakového výrobku sa uvádza na obale tabakového výrobku len ak táto informácia už nie je uvedená v označení výrobcu, alebo ak by jej neuvedenie mohlo uviesť spotrebiteľa do omylu.</w:t>
      </w:r>
    </w:p>
    <w:p w:rsidR="009641C8" w:rsidRPr="00066469" w:rsidP="009641C8">
      <w:pPr>
        <w:pStyle w:val="odsek1"/>
        <w:rPr>
          <w:szCs w:val="24"/>
        </w:rPr>
      </w:pPr>
      <w:r w:rsidRPr="00066469">
        <w:rPr>
          <w:szCs w:val="24"/>
        </w:rPr>
        <w:t>Tabakové výrobky, ktoré pochádzajú z niektorého členského štátu Európskej únie možno označiť slovami „Vyrobené v EÚ“.</w:t>
      </w:r>
    </w:p>
    <w:p w:rsidR="009641C8" w:rsidRPr="00066469" w:rsidP="009641C8">
      <w:pPr>
        <w:pStyle w:val="a"/>
        <w:rPr>
          <w:b w:val="0"/>
          <w:szCs w:val="24"/>
        </w:rPr>
      </w:pPr>
      <w:r w:rsidR="00413FC2">
        <w:rPr>
          <w:b w:val="0"/>
          <w:szCs w:val="24"/>
        </w:rPr>
        <w:br w:type="page"/>
      </w:r>
    </w:p>
    <w:p w:rsidR="009641C8" w:rsidRPr="00066469" w:rsidP="009641C8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Požiadavky na skladovanie a prepravu</w:t>
      </w:r>
    </w:p>
    <w:p w:rsidR="009641C8" w:rsidRPr="00066469" w:rsidP="00C50060">
      <w:pPr>
        <w:pStyle w:val="odsek"/>
        <w:rPr>
          <w:szCs w:val="24"/>
        </w:rPr>
      </w:pPr>
      <w:r w:rsidRPr="00066469">
        <w:rPr>
          <w:szCs w:val="24"/>
        </w:rPr>
        <w:t>V skladoch s betónovou podlahou alebo inou podlahou ako drevenou sa prepravné obaly tabakových výrobkov ukladajú na drevené suché palety. Prepravné obaly sa umiestňujú aspoň 50 cm od stien a okien; musia byť chránené pred priamymi poveternostnými vplyvmi, pred zemnou vlhkosťou, sálavým teplom vyhrievacích telies a cudzími pachmi.</w:t>
      </w:r>
    </w:p>
    <w:p w:rsidR="009641C8" w:rsidRPr="00066469" w:rsidP="00C50060">
      <w:pPr>
        <w:pStyle w:val="a"/>
        <w:rPr>
          <w:b w:val="0"/>
          <w:szCs w:val="24"/>
        </w:rPr>
      </w:pPr>
    </w:p>
    <w:p w:rsidR="00D100E9" w:rsidRPr="00066469" w:rsidP="00D100E9">
      <w:pPr>
        <w:pStyle w:val="odsek"/>
        <w:rPr>
          <w:szCs w:val="24"/>
        </w:rPr>
      </w:pPr>
      <w:r w:rsidRPr="00066469">
        <w:rPr>
          <w:szCs w:val="24"/>
        </w:rPr>
        <w:t>Vzor oznámenia o registrácii výroby tabakových výrobkov a činností súvisiacich s ich umiestňovaním na trh je uvedený v prílohe č. 3.</w:t>
      </w:r>
    </w:p>
    <w:p w:rsidR="00D100E9" w:rsidRPr="00066469" w:rsidP="00D100E9">
      <w:pPr>
        <w:pStyle w:val="a"/>
        <w:rPr>
          <w:b w:val="0"/>
          <w:szCs w:val="24"/>
        </w:rPr>
      </w:pPr>
    </w:p>
    <w:p w:rsidR="00C50060" w:rsidRPr="00066469" w:rsidP="00C50060">
      <w:pPr>
        <w:pStyle w:val="odsek"/>
        <w:rPr>
          <w:szCs w:val="24"/>
        </w:rPr>
      </w:pPr>
      <w:r w:rsidRPr="00066469">
        <w:rPr>
          <w:szCs w:val="24"/>
        </w:rPr>
        <w:t>Požiadavky podľa t</w:t>
      </w:r>
      <w:r w:rsidRPr="00066469" w:rsidR="00066469">
        <w:rPr>
          <w:szCs w:val="24"/>
        </w:rPr>
        <w:t>ejto vyhlášky</w:t>
      </w:r>
      <w:r w:rsidRPr="00066469">
        <w:rPr>
          <w:szCs w:val="24"/>
        </w:rPr>
        <w:t xml:space="preserve"> sa nevzťahujú na výrobky, ktoré boli vyrobené alebo uvedené na trh v inom členskom štáte Európskej únie v súlade s právom členského štátu, alebo boli uvedené na trh v súlade s právom niektorého zo štátov Európskeho združenia voľného obchodu, ktoré sú súčasne zmluvnou stranou dohody Európskeho hospodárskeho priestoru a Turecka.</w:t>
      </w:r>
    </w:p>
    <w:p w:rsidR="00C50060" w:rsidRPr="00066469" w:rsidP="00C50060">
      <w:pPr>
        <w:pStyle w:val="a"/>
        <w:rPr>
          <w:b w:val="0"/>
          <w:szCs w:val="24"/>
        </w:rPr>
      </w:pPr>
    </w:p>
    <w:p w:rsidR="00C50060" w:rsidRPr="00066469" w:rsidP="00C50060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Záverečné ustanovenia</w:t>
      </w:r>
    </w:p>
    <w:p w:rsidR="00C50060" w:rsidRPr="00066469" w:rsidP="00C50060">
      <w:pPr>
        <w:pStyle w:val="odsek"/>
        <w:rPr>
          <w:szCs w:val="24"/>
        </w:rPr>
      </w:pPr>
      <w:r w:rsidRPr="00066469">
        <w:rPr>
          <w:szCs w:val="24"/>
        </w:rPr>
        <w:t>Tento zákon bol prijatý v súlade s právne záväzným aktom Európskej únie v oblasti technických noriem a technických predpisov.</w:t>
      </w:r>
      <w:r>
        <w:rPr>
          <w:rStyle w:val="FootnoteReference"/>
          <w:szCs w:val="24"/>
          <w:vertAlign w:val="baseline"/>
        </w:rPr>
        <w:footnoteReference w:id="7"/>
      </w:r>
      <w:r w:rsidRPr="00066469">
        <w:rPr>
          <w:szCs w:val="24"/>
        </w:rPr>
        <w:t>)</w:t>
      </w:r>
    </w:p>
    <w:p w:rsidR="00C50060" w:rsidRPr="00066469" w:rsidP="00C50060">
      <w:pPr>
        <w:pStyle w:val="a"/>
        <w:rPr>
          <w:b w:val="0"/>
          <w:szCs w:val="24"/>
        </w:rPr>
      </w:pPr>
    </w:p>
    <w:p w:rsidR="00C50060" w:rsidRPr="00066469" w:rsidP="00C50060">
      <w:pPr>
        <w:pStyle w:val="Heading2"/>
        <w:rPr>
          <w:b w:val="0"/>
          <w:bCs w:val="0"/>
          <w:iCs w:val="0"/>
          <w:szCs w:val="24"/>
        </w:rPr>
      </w:pPr>
      <w:r w:rsidRPr="00066469">
        <w:rPr>
          <w:b w:val="0"/>
          <w:bCs w:val="0"/>
          <w:iCs w:val="0"/>
          <w:szCs w:val="24"/>
        </w:rPr>
        <w:t>Účinnosť</w:t>
      </w:r>
    </w:p>
    <w:p w:rsidR="00C50060" w:rsidRPr="00066469" w:rsidP="00C50060">
      <w:pPr>
        <w:pStyle w:val="odsek"/>
        <w:rPr>
          <w:szCs w:val="24"/>
        </w:rPr>
      </w:pPr>
      <w:r w:rsidRPr="00066469">
        <w:rPr>
          <w:szCs w:val="24"/>
        </w:rPr>
        <w:t>Tento zákon nadobúda účinnosť 1. októbra 2011.</w:t>
      </w:r>
    </w:p>
    <w:sectPr w:rsidSect="003364E6">
      <w:footerReference w:type="default" r:id="rId6"/>
      <w:type w:val="continuous"/>
      <w:pgSz w:w="11909" w:h="16834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B060402020202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  <w:embedRegular r:id="rId1" w:subsetted="1" w:fontKey="{55640BC6-CB89-4A46-A458-A8C099B23548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E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13FC2">
      <w:rPr>
        <w:noProof/>
      </w:rPr>
      <w:t>4</w:t>
    </w:r>
    <w:r>
      <w:fldChar w:fldCharType="end"/>
    </w:r>
  </w:p>
  <w:p w:rsidR="003364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4C" w:rsidP="003856EA">
      <w:pPr>
        <w:spacing w:before="0" w:after="0"/>
      </w:pPr>
      <w:r>
        <w:separator/>
      </w:r>
    </w:p>
  </w:footnote>
  <w:footnote w:type="continuationSeparator" w:id="1">
    <w:p w:rsidR="00AC6E4C" w:rsidP="003856EA">
      <w:pPr>
        <w:spacing w:before="0" w:after="0"/>
      </w:pPr>
      <w:r>
        <w:continuationSeparator/>
      </w:r>
    </w:p>
  </w:footnote>
  <w:footnote w:id="2">
    <w:p w:rsidR="003856EA" w:rsidRPr="00A4223B" w:rsidP="00575476">
      <w:pPr>
        <w:pStyle w:val="FootnoteText"/>
        <w:ind w:left="227" w:hanging="227"/>
      </w:pPr>
      <w:r w:rsidRPr="00A4223B">
        <w:rPr>
          <w:rStyle w:val="FootnoteReference"/>
        </w:rPr>
        <w:footnoteRef/>
      </w:r>
      <w:r w:rsidRPr="00A4223B">
        <w:t>) § 4 ods. 3 písm. c) druhý bod zákona č. 106/2004 Z. z. o spotrebnej dani z</w:t>
      </w:r>
      <w:r w:rsidR="00A4223B">
        <w:t> </w:t>
      </w:r>
      <w:r w:rsidRPr="00A4223B">
        <w:t>tabakových</w:t>
      </w:r>
      <w:r w:rsidR="00A4223B">
        <w:t xml:space="preserve"> </w:t>
      </w:r>
      <w:r w:rsidRPr="00A4223B">
        <w:t>výrobkov v znení neskorších predpisov.</w:t>
      </w:r>
    </w:p>
  </w:footnote>
  <w:footnote w:id="3">
    <w:p w:rsidR="00A4223B" w:rsidRPr="00A4223B" w:rsidP="00575476">
      <w:pPr>
        <w:pStyle w:val="FootnoteText"/>
        <w:ind w:left="227" w:hanging="227"/>
      </w:pPr>
      <w:r w:rsidRPr="00A4223B">
        <w:rPr>
          <w:rStyle w:val="FootnoteReference"/>
        </w:rPr>
        <w:footnoteRef/>
      </w:r>
      <w:r w:rsidRPr="00A4223B">
        <w:t xml:space="preserve">) </w:t>
      </w:r>
      <w:r w:rsidR="00575476">
        <w:t xml:space="preserve">Napríklad STN </w:t>
      </w:r>
      <w:r w:rsidRPr="00A4223B">
        <w:t xml:space="preserve">ISO 4387 Cigarety. Stanovenie celkového množstva tuhých látok a beznikotínovej sušiny použitím analytického nafajčovacieho stroja; </w:t>
      </w:r>
      <w:r w:rsidR="00575476">
        <w:t xml:space="preserve">STN </w:t>
      </w:r>
      <w:r w:rsidRPr="00A4223B">
        <w:t>ISO 10315 Cigarety. Stanovenie nikotínu v kondenzátoch dymu. Metódy plynovej chromatografie;</w:t>
      </w:r>
      <w:r w:rsidR="00575476">
        <w:t xml:space="preserve"> STN</w:t>
      </w:r>
      <w:r w:rsidRPr="00A4223B">
        <w:t xml:space="preserve"> ISO 8454 Cigarety. Stanovenie oxidu uhoľnatého v plynnej fáze cigaretového dymu. NDIR metóda;</w:t>
      </w:r>
      <w:r w:rsidR="00575476">
        <w:t xml:space="preserve"> STN</w:t>
      </w:r>
      <w:r w:rsidRPr="00A4223B">
        <w:t xml:space="preserve"> ISO 8243 Cigarety. Odber vzoriek.</w:t>
      </w:r>
    </w:p>
  </w:footnote>
  <w:footnote w:id="4">
    <w:p w:rsidR="00D37F62" w:rsidRPr="00D37F62" w:rsidP="00575476">
      <w:pPr>
        <w:pStyle w:val="FootnoteText"/>
        <w:ind w:left="227" w:hanging="227"/>
      </w:pPr>
      <w:r w:rsidRPr="00D37F62">
        <w:rPr>
          <w:rStyle w:val="FootnoteReference"/>
        </w:rPr>
        <w:footnoteRef/>
      </w:r>
      <w:r w:rsidRPr="00D37F62">
        <w:t>) Napríklad zákon č. 377/2004 Z. z. o ochrane nefajčiarov, zákon č. 106/2004 Z. z. o</w:t>
      </w:r>
      <w:r>
        <w:t> </w:t>
      </w:r>
      <w:r w:rsidRPr="00D37F62">
        <w:t>spotrebnej</w:t>
      </w:r>
      <w:r>
        <w:t xml:space="preserve"> </w:t>
      </w:r>
      <w:r w:rsidRPr="00D37F62">
        <w:t>dani z tabakových výrobkov.</w:t>
      </w:r>
    </w:p>
  </w:footnote>
  <w:footnote w:id="5">
    <w:p w:rsidR="00575476" w:rsidP="00575476">
      <w:pPr>
        <w:pStyle w:val="FootnoteText"/>
        <w:ind w:left="227" w:hanging="227"/>
      </w:pPr>
      <w:r>
        <w:rPr>
          <w:rStyle w:val="FootnoteReference"/>
        </w:rPr>
        <w:footnoteRef/>
      </w:r>
      <w:r>
        <w:t xml:space="preserve">) </w:t>
      </w:r>
      <w:r w:rsidRPr="00FB4C45">
        <w:t>Zákon č. 270/1995 Z. z. o štátnom jazyku Slovenskej republiky</w:t>
      </w:r>
      <w:r>
        <w:t xml:space="preserve"> v znení neskorších predpisov</w:t>
      </w:r>
      <w:r w:rsidRPr="00FB4C45">
        <w:t>.</w:t>
      </w:r>
    </w:p>
  </w:footnote>
  <w:footnote w:id="6">
    <w:p w:rsidR="009641C8" w:rsidRPr="009641C8" w:rsidP="009641C8">
      <w:pPr>
        <w:pStyle w:val="FootnoteText"/>
        <w:spacing w:before="0" w:after="0"/>
        <w:ind w:left="227" w:hanging="227"/>
      </w:pPr>
      <w:r w:rsidRPr="009641C8">
        <w:rPr>
          <w:rStyle w:val="FootnoteReference"/>
        </w:rPr>
        <w:footnoteRef/>
      </w:r>
      <w:r w:rsidRPr="009641C8">
        <w:t>) Vyhláška Úradu pre normalizáciu, metrológiu a skúšobníctvo Slovenskej republiky č. 207/2000 Z. z. o označenom spotrebiteľskom balení.</w:t>
      </w:r>
    </w:p>
  </w:footnote>
  <w:footnote w:id="7">
    <w:p w:rsidR="00C50060" w:rsidRPr="0030090A" w:rsidP="00C50060">
      <w:pPr>
        <w:pStyle w:val="FootnoteText"/>
        <w:keepNext/>
        <w:widowControl/>
        <w:spacing w:before="0" w:after="0"/>
        <w:ind w:left="227" w:hanging="227"/>
      </w:pPr>
      <w:r w:rsidRPr="0030090A">
        <w:rPr>
          <w:rStyle w:val="FootnoteReference"/>
        </w:rPr>
        <w:footnoteRef/>
      </w:r>
      <w:r w:rsidRPr="0030090A">
        <w:t xml:space="preserve">) Smernica Európskeho parlamentu a Rady 98/34/ES z 22. júna 1998 </w:t>
      </w:r>
      <w:r w:rsidRPr="0030090A">
        <w:rPr>
          <w:rStyle w:val="ppp-input-value1"/>
          <w:rFonts w:ascii="Times New Roman" w:hAnsi="Times New Roman" w:cs="Times New Roman"/>
          <w:color w:val="auto"/>
          <w:sz w:val="20"/>
          <w:szCs w:val="20"/>
        </w:rPr>
        <w:t>ktorou sa ustanovuje postup pri poskytovaní informácií</w:t>
      </w:r>
      <w:r>
        <w:rPr>
          <w:rStyle w:val="ppp-input-value1"/>
        </w:rPr>
        <w:t xml:space="preserve"> </w:t>
      </w:r>
      <w:r w:rsidRPr="0030090A">
        <w:t>v oblasti technických noriem a predpisov, ako aj pravidiel vzťahujúcich sa na služby informačnej spoločnosti (Mimoriadne vydanie Ú. v. EÚ, kap. 13/zv. 20) v 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20A"/>
    <w:multiLevelType w:val="hybridMultilevel"/>
    <w:tmpl w:val="52864B74"/>
    <w:lvl w:ilvl="0">
      <w:start w:val="1"/>
      <w:numFmt w:val="lowerLetter"/>
      <w:pStyle w:val="adda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1ED3"/>
    <w:multiLevelType w:val="singleLevel"/>
    <w:tmpl w:val="94DC51A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792445F"/>
    <w:multiLevelType w:val="hybridMultilevel"/>
    <w:tmpl w:val="AF26DC06"/>
    <w:lvl w:ilvl="0">
      <w:start w:val="1"/>
      <w:numFmt w:val="decimal"/>
      <w:pStyle w:val="a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AF6D70"/>
    <w:multiLevelType w:val="hybridMultilevel"/>
    <w:tmpl w:val="5ED6949C"/>
    <w:lvl w:ilvl="0">
      <w:start w:val="1"/>
      <w:numFmt w:val="lowerLetter"/>
      <w:pStyle w:val="a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C56D5F"/>
    <w:multiLevelType w:val="hybridMultilevel"/>
    <w:tmpl w:val="5672BEB6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TrueTypeFonts/>
  <w:saveSubsetFonts/>
  <w:proofState w:grammar="clean"/>
  <w:stylePaneFormatFilter w:val="9001"/>
  <w:stylePaneSortMethod w:val="0003"/>
  <w:doNotTrackMoves/>
  <w:defaultTabStop w:val="708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47A"/>
    <w:rsid w:val="00062C4C"/>
    <w:rsid w:val="00066469"/>
    <w:rsid w:val="000B6DFD"/>
    <w:rsid w:val="00114AD2"/>
    <w:rsid w:val="00176343"/>
    <w:rsid w:val="001E6791"/>
    <w:rsid w:val="00243A22"/>
    <w:rsid w:val="0027477F"/>
    <w:rsid w:val="0030090A"/>
    <w:rsid w:val="003364E6"/>
    <w:rsid w:val="003856EA"/>
    <w:rsid w:val="003A6F36"/>
    <w:rsid w:val="00413FC2"/>
    <w:rsid w:val="0047747A"/>
    <w:rsid w:val="00570D41"/>
    <w:rsid w:val="00575476"/>
    <w:rsid w:val="005C7AC0"/>
    <w:rsid w:val="005E106C"/>
    <w:rsid w:val="006A4D39"/>
    <w:rsid w:val="00730A38"/>
    <w:rsid w:val="00915EBD"/>
    <w:rsid w:val="009531D5"/>
    <w:rsid w:val="009641C8"/>
    <w:rsid w:val="009A25A4"/>
    <w:rsid w:val="009B72CB"/>
    <w:rsid w:val="00A06D2D"/>
    <w:rsid w:val="00A4223B"/>
    <w:rsid w:val="00AC6E4C"/>
    <w:rsid w:val="00B419B7"/>
    <w:rsid w:val="00C50060"/>
    <w:rsid w:val="00D100E9"/>
    <w:rsid w:val="00D37F62"/>
    <w:rsid w:val="00D760EF"/>
    <w:rsid w:val="00F72453"/>
    <w:rsid w:val="00FA550A"/>
    <w:rsid w:val="00FB4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7A"/>
    <w:pPr>
      <w:widowControl w:val="0"/>
      <w:autoSpaceDE w:val="0"/>
      <w:autoSpaceDN w:val="0"/>
      <w:adjustRightInd w:val="0"/>
      <w:spacing w:before="60" w:after="60"/>
      <w:jc w:val="both"/>
    </w:pPr>
    <w:rPr>
      <w:rFonts w:ascii="Times New Roman" w:hAnsi="Times New Roman"/>
      <w:sz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A550A"/>
    <w:pPr>
      <w:keepNext/>
      <w:widowControl/>
      <w:spacing w:before="360" w:after="12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A550A"/>
    <w:pPr>
      <w:keepNext/>
      <w:widowControl/>
      <w:spacing w:before="240"/>
      <w:jc w:val="center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50060"/>
    <w:pPr>
      <w:keepNext/>
      <w:spacing w:before="24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rsid w:val="00FA550A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dpis2Char">
    <w:name w:val="Nadpis 2 Char"/>
    <w:link w:val="Heading2"/>
    <w:uiPriority w:val="9"/>
    <w:rsid w:val="00FA550A"/>
    <w:rPr>
      <w:rFonts w:ascii="Times New Roman" w:hAnsi="Times New Roman"/>
      <w:b/>
      <w:bCs/>
      <w:iCs/>
      <w:sz w:val="24"/>
      <w:szCs w:val="28"/>
    </w:rPr>
  </w:style>
  <w:style w:type="paragraph" w:customStyle="1" w:styleId="odsek">
    <w:name w:val="odsek"/>
    <w:basedOn w:val="Normal"/>
    <w:qFormat/>
    <w:rsid w:val="00FA550A"/>
    <w:pPr>
      <w:keepNext/>
      <w:widowControl/>
      <w:ind w:firstLine="709"/>
    </w:pPr>
  </w:style>
  <w:style w:type="paragraph" w:customStyle="1" w:styleId="odsek1">
    <w:name w:val="odsek1"/>
    <w:basedOn w:val="odsek"/>
    <w:uiPriority w:val="99"/>
    <w:qFormat/>
    <w:rsid w:val="003856EA"/>
    <w:pPr>
      <w:numPr>
        <w:ilvl w:val="0"/>
        <w:numId w:val="1"/>
      </w:numPr>
      <w:spacing w:before="120" w:after="120"/>
      <w:ind w:left="0" w:firstLine="709"/>
    </w:pPr>
  </w:style>
  <w:style w:type="paragraph" w:customStyle="1" w:styleId="adda">
    <w:name w:val="adda"/>
    <w:basedOn w:val="Normal"/>
    <w:qFormat/>
    <w:rsid w:val="0047747A"/>
    <w:pPr>
      <w:keepNext/>
      <w:widowControl/>
      <w:numPr>
        <w:ilvl w:val="0"/>
        <w:numId w:val="2"/>
      </w:numPr>
      <w:ind w:left="357" w:hanging="357"/>
    </w:pPr>
  </w:style>
  <w:style w:type="paragraph" w:customStyle="1" w:styleId="a">
    <w:name w:val="§"/>
    <w:basedOn w:val="Normal"/>
    <w:next w:val="odsek1"/>
    <w:qFormat/>
    <w:rsid w:val="003856EA"/>
    <w:pPr>
      <w:keepNext/>
      <w:widowControl/>
      <w:numPr>
        <w:ilvl w:val="0"/>
        <w:numId w:val="3"/>
      </w:numPr>
      <w:tabs>
        <w:tab w:val="left" w:pos="425"/>
      </w:tabs>
      <w:spacing w:before="240" w:after="120"/>
      <w:ind w:left="357" w:hanging="357"/>
      <w:jc w:val="center"/>
    </w:pPr>
    <w:rPr>
      <w:b/>
    </w:rPr>
  </w:style>
  <w:style w:type="paragraph" w:styleId="FootnoteText">
    <w:name w:val="footnote text"/>
    <w:basedOn w:val="Normal"/>
    <w:link w:val="TextpoznmkypodiarouChar"/>
    <w:uiPriority w:val="99"/>
    <w:unhideWhenUsed/>
    <w:qFormat/>
    <w:rsid w:val="003856EA"/>
    <w:rPr>
      <w:sz w:val="20"/>
    </w:rPr>
  </w:style>
  <w:style w:type="character" w:customStyle="1" w:styleId="TextpoznmkypodiarouChar">
    <w:name w:val="Text poznámky pod čiarou Char"/>
    <w:link w:val="FootnoteText"/>
    <w:uiPriority w:val="99"/>
    <w:rsid w:val="003856E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3856EA"/>
    <w:rPr>
      <w:vertAlign w:val="superscript"/>
    </w:rPr>
  </w:style>
  <w:style w:type="character" w:customStyle="1" w:styleId="Nadpis3Char">
    <w:name w:val="Nadpis 3 Char"/>
    <w:link w:val="Heading3"/>
    <w:uiPriority w:val="9"/>
    <w:semiHidden/>
    <w:rsid w:val="00C500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pp-input-value1">
    <w:name w:val="ppp-input-value1"/>
    <w:rsid w:val="00C50060"/>
    <w:rPr>
      <w:rFonts w:ascii="Tahoma" w:hAnsi="Tahoma" w:cs="Tahoma"/>
      <w:color w:val="837A73"/>
      <w:sz w:val="16"/>
      <w:szCs w:val="16"/>
    </w:rPr>
  </w:style>
  <w:style w:type="paragraph" w:styleId="Header">
    <w:name w:val="header"/>
    <w:basedOn w:val="Normal"/>
    <w:link w:val="HlavikaChar"/>
    <w:uiPriority w:val="99"/>
    <w:unhideWhenUsed/>
    <w:rsid w:val="003364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3364E6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PtaChar"/>
    <w:uiPriority w:val="99"/>
    <w:unhideWhenUsed/>
    <w:rsid w:val="003364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3364E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1050-306E-4412-A660-CDD2287F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Ňuňuk</dc:creator>
  <cp:lastModifiedBy>timea.lengyelova</cp:lastModifiedBy>
  <cp:revision>7</cp:revision>
  <dcterms:created xsi:type="dcterms:W3CDTF">2011-05-25T20:22:00Z</dcterms:created>
  <dcterms:modified xsi:type="dcterms:W3CDTF">2011-06-08T09:13:00Z</dcterms:modified>
</cp:coreProperties>
</file>