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62C72" w:rsidP="00517C45">
      <w:pPr>
        <w:keepNext/>
        <w:jc w:val="center"/>
        <w:rPr>
          <w:b/>
          <w:bCs/>
          <w:sz w:val="28"/>
          <w:szCs w:val="28"/>
        </w:rPr>
      </w:pPr>
      <w:r>
        <w:rPr>
          <w:b/>
          <w:bCs/>
          <w:sz w:val="28"/>
          <w:szCs w:val="28"/>
        </w:rPr>
        <w:t>Dôvodová správa</w:t>
      </w:r>
    </w:p>
    <w:p w:rsidR="00662C72" w:rsidP="00517C45">
      <w:pPr>
        <w:keepNext/>
        <w:jc w:val="both"/>
        <w:rPr>
          <w:b/>
          <w:bCs/>
        </w:rPr>
      </w:pPr>
    </w:p>
    <w:p w:rsidR="00662C72" w:rsidP="00517C45">
      <w:pPr>
        <w:keepNext/>
        <w:jc w:val="both"/>
        <w:rPr>
          <w:b/>
          <w:bCs/>
        </w:rPr>
      </w:pPr>
      <w:r>
        <w:rPr>
          <w:b/>
          <w:bCs/>
        </w:rPr>
        <w:t>Všeobecná časť</w:t>
      </w:r>
    </w:p>
    <w:p w:rsidR="00662C72" w:rsidP="00517C45">
      <w:pPr>
        <w:keepNext/>
        <w:jc w:val="both"/>
      </w:pPr>
    </w:p>
    <w:p w:rsidR="00662C72" w:rsidP="00517C45">
      <w:pPr>
        <w:keepNext/>
        <w:spacing w:before="120" w:after="120"/>
        <w:ind w:firstLine="709"/>
        <w:jc w:val="both"/>
      </w:pPr>
      <w:r>
        <w:t>Návrh zákona o tabakových výrobkoch predkladá Ministerstvo pôdohospodárstva a rozvoja vidieka Slovenskej republiky ako iniciatívny návrh.</w:t>
      </w:r>
    </w:p>
    <w:p w:rsidR="00662C72" w:rsidP="00517C45">
      <w:pPr>
        <w:keepNext/>
        <w:spacing w:before="120" w:after="120"/>
        <w:ind w:firstLine="709"/>
        <w:jc w:val="both"/>
        <w:rPr>
          <w:color w:val="000000"/>
        </w:rPr>
      </w:pPr>
      <w:r>
        <w:t>Ministerstvo pôdohospodárstva a rozvoja vidieka Slovenskej republiky pripravilo uvedený návrh zákona, ktorým sa vyčleňujú tabakové výrobky zo zákona č. 152/1995 Z. z. o potravinách v znení neskorších predpisov najmä vzhľadom na to, že n</w:t>
      </w:r>
      <w:r>
        <w:rPr>
          <w:color w:val="000000"/>
          <w:lang w:eastAsia="sk-SK"/>
        </w:rPr>
        <w:t>ariadenie Európskeho parlamentu a Rady (ES) č. 178/2002 z 28. januára 2002, ktorým sa ustanovujú všeobecné zásady a požiadavky potravinového práva, zriaďuje Európsky úrad pre bezpečnosť potravín a stanovujú postupy v záležitostiach bezpečnosti potravín (Mimoriadne vydanie Ú. v. EÚ, kap. 15/zv. 6) v platnom znení, nezahŕňa tabakové výrobky medzi potraviny.</w:t>
      </w:r>
    </w:p>
    <w:p w:rsidR="00662C72" w:rsidP="00517C45">
      <w:pPr>
        <w:keepNext/>
        <w:spacing w:before="120" w:after="120"/>
        <w:ind w:firstLine="709"/>
        <w:jc w:val="both"/>
      </w:pPr>
      <w:r>
        <w:t>Predložený návrh zákona upravuje požiadavky na výrobu tabakových výrobkov,</w:t>
      </w:r>
      <w:r w:rsidR="009B6975">
        <w:t xml:space="preserve"> ich</w:t>
      </w:r>
      <w:r>
        <w:t xml:space="preserve"> umiestňovanie na trh, označovanie, ako aj organizáciu</w:t>
      </w:r>
      <w:r w:rsidR="00F87622">
        <w:t xml:space="preserve"> </w:t>
      </w:r>
      <w:r>
        <w:t>úradnej kontroly tabakových výrobkov.</w:t>
      </w:r>
    </w:p>
    <w:p w:rsidR="00662C72" w:rsidP="00517C45">
      <w:pPr>
        <w:keepNext/>
        <w:spacing w:before="120" w:after="120"/>
        <w:ind w:firstLine="709"/>
        <w:jc w:val="both"/>
        <w:rPr>
          <w:color w:val="000000"/>
        </w:rPr>
      </w:pPr>
      <w:r>
        <w:t xml:space="preserve">Prijatie navrhovaného zákona bude mať </w:t>
      </w:r>
      <w:r>
        <w:rPr>
          <w:rStyle w:val="placeholdertext0"/>
          <w:color w:val="000000"/>
        </w:rPr>
        <w:t xml:space="preserve">pozitívny dopad na rozpočet verejnej správy a nebude mať negatívny dopad  na rozpočty vyšších územných celkov, rozpočty obcí, zamestnanosť, na životné </w:t>
      </w:r>
      <w:r>
        <w:t>prostredie</w:t>
      </w:r>
      <w:r>
        <w:rPr>
          <w:rStyle w:val="placeholdertext0"/>
          <w:color w:val="000000"/>
        </w:rPr>
        <w:t xml:space="preserve"> , podnikateľské prostredie ani na informatizáciu spoločnosti. </w:t>
      </w:r>
    </w:p>
    <w:p w:rsidR="00662C72" w:rsidP="00517C45">
      <w:pPr>
        <w:keepNext/>
        <w:spacing w:before="120" w:after="120"/>
        <w:ind w:firstLine="709"/>
        <w:jc w:val="both"/>
      </w:pPr>
      <w:r>
        <w:rPr>
          <w:rStyle w:val="PlaceholderText"/>
          <w:color w:val="000000"/>
        </w:rPr>
        <w:t>Návrh zákona je v súlade s Ústavou Slovenskej republiky, ústavnými zákonmi a osta</w:t>
      </w:r>
      <w:r>
        <w:rPr>
          <w:rStyle w:val="PlaceholderText"/>
          <w:color w:val="000000"/>
        </w:rPr>
        <w:t>tnými všeobecne záväznými právnymi predpismi, medzinárodnými zmluvami a inými medzinárodnými dokumentmi, ktorými je Slovenská republika viazaná, a s právom Európskej únie.</w:t>
      </w:r>
    </w:p>
    <w:p w:rsidR="00662C72" w:rsidP="00517C45">
      <w:pPr>
        <w:keepNext/>
        <w:jc w:val="center"/>
        <w:rPr>
          <w:b/>
          <w:bCs/>
          <w:caps/>
          <w:spacing w:val="30"/>
        </w:rPr>
      </w:pPr>
      <w:r>
        <w:rPr>
          <w:b/>
          <w:bCs/>
          <w:caps/>
          <w:spacing w:val="30"/>
        </w:rPr>
        <w:t>Doložka</w:t>
      </w:r>
    </w:p>
    <w:p w:rsidR="00662C72" w:rsidP="00517C45">
      <w:pPr>
        <w:keepNext/>
        <w:jc w:val="center"/>
        <w:rPr>
          <w:b/>
          <w:bCs/>
        </w:rPr>
      </w:pPr>
      <w:r>
        <w:rPr>
          <w:b/>
          <w:bCs/>
        </w:rPr>
        <w:t>vybraných vplyvov</w:t>
      </w:r>
    </w:p>
    <w:p w:rsidR="00662C72" w:rsidP="00517C45">
      <w:pPr>
        <w:keepNext/>
      </w:pPr>
    </w:p>
    <w:p w:rsidR="00662C72" w:rsidP="00517C45">
      <w:pPr>
        <w:keepNext/>
      </w:pPr>
      <w:r>
        <w:rPr>
          <w:b/>
          <w:bCs/>
        </w:rPr>
        <w:t xml:space="preserve">A.1. Názov materiálu: </w:t>
      </w:r>
      <w:r>
        <w:t>Návrh zákona o tabakových výrobkoch</w:t>
      </w:r>
    </w:p>
    <w:p w:rsidR="00662C72" w:rsidP="00517C45">
      <w:pPr>
        <w:keepNext/>
        <w:rPr>
          <w:b/>
          <w:bCs/>
        </w:rPr>
      </w:pPr>
      <w:r>
        <w:rPr>
          <w:b/>
          <w:bCs/>
        </w:rPr>
        <w:t>        Termín začatia a ukončenia PPK:</w:t>
      </w:r>
      <w:r>
        <w:t xml:space="preserve"> </w:t>
      </w:r>
    </w:p>
    <w:p w:rsidR="00662C72" w:rsidP="00517C45">
      <w:pPr>
        <w:keepNext/>
        <w:rPr>
          <w:b/>
          <w:bCs/>
        </w:rPr>
      </w:pPr>
    </w:p>
    <w:p w:rsidR="00662C72" w:rsidP="00517C45">
      <w:pPr>
        <w:keepNext/>
        <w:rPr>
          <w:b/>
          <w:bCs/>
        </w:rPr>
      </w:pPr>
      <w:r>
        <w:rPr>
          <w:b/>
          <w:bCs/>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
      <w:tblGrid>
        <w:gridCol w:w="5786"/>
        <w:gridCol w:w="1212"/>
        <w:gridCol w:w="1212"/>
        <w:gridCol w:w="1212"/>
      </w:tblGrid>
      <w:tr w:rsidTr="00662C72">
        <w:tblPrEx>
          <w:tblW w:w="5000" w:type="pct"/>
          <w:tblInd w:w="1"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both"/>
            </w:pP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 Pozitívne </w:t>
            </w: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 Žiadne </w:t>
            </w: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 Negatívne </w:t>
            </w: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x</w:t>
            </w: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rPr>
                <w:sz w:val="20"/>
                <w:szCs w:val="20"/>
                <w:lang w:eastAsia="sk-SK"/>
              </w:rPr>
            </w:pP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x</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3. Sociálne vplyvy</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x</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both"/>
            </w:pPr>
          </w:p>
        </w:tc>
        <w:tc>
          <w:tcPr>
            <w:tcW w:w="0" w:type="auto"/>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both"/>
            </w:pPr>
          </w:p>
        </w:tc>
        <w:tc>
          <w:tcPr>
            <w:tcW w:w="0" w:type="auto"/>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both"/>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x</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r w:rsidTr="00662C72">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both"/>
            </w:pPr>
            <w:r>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c>
          <w:tcPr>
            <w:tcW w:w="1200" w:type="dxa"/>
            <w:tcBorders>
              <w:top w:val="outset" w:sz="6" w:space="0" w:color="auto"/>
              <w:left w:val="outset" w:sz="6" w:space="0" w:color="auto"/>
              <w:bottom w:val="outset" w:sz="6" w:space="0" w:color="auto"/>
              <w:right w:val="outset" w:sz="6" w:space="0" w:color="auto"/>
            </w:tcBorders>
            <w:vAlign w:val="center"/>
            <w:hideMark/>
          </w:tcPr>
          <w:p w:rsidR="00662C72" w:rsidP="00517C45">
            <w:pPr>
              <w:keepNext/>
              <w:spacing w:before="60"/>
              <w:jc w:val="center"/>
            </w:pPr>
            <w:r>
              <w:t>x</w:t>
            </w:r>
          </w:p>
        </w:tc>
        <w:tc>
          <w:tcPr>
            <w:tcW w:w="1200" w:type="dxa"/>
            <w:tcBorders>
              <w:top w:val="outset" w:sz="6" w:space="0" w:color="auto"/>
              <w:left w:val="outset" w:sz="6" w:space="0" w:color="auto"/>
              <w:bottom w:val="outset" w:sz="6" w:space="0" w:color="auto"/>
              <w:right w:val="outset" w:sz="6" w:space="0" w:color="auto"/>
            </w:tcBorders>
            <w:vAlign w:val="center"/>
          </w:tcPr>
          <w:p w:rsidR="00662C72" w:rsidP="00517C45">
            <w:pPr>
              <w:keepNext/>
              <w:spacing w:before="60"/>
              <w:jc w:val="center"/>
            </w:pPr>
          </w:p>
        </w:tc>
      </w:tr>
    </w:tbl>
    <w:p w:rsidR="00662C72" w:rsidP="00517C45">
      <w:pPr>
        <w:keepNext/>
      </w:pPr>
      <w:r>
        <w:t> </w:t>
      </w:r>
    </w:p>
    <w:p w:rsidR="00662C72" w:rsidP="00517C45">
      <w:pPr>
        <w:keepNext/>
        <w:rPr>
          <w:b/>
          <w:bCs/>
        </w:rPr>
      </w:pPr>
    </w:p>
    <w:p w:rsidR="00662C72" w:rsidP="00517C45">
      <w:pPr>
        <w:keepNext/>
        <w:rPr>
          <w:b/>
          <w:bCs/>
        </w:rPr>
      </w:pPr>
      <w:r>
        <w:rPr>
          <w:b/>
          <w:bCs/>
        </w:rPr>
        <w:t>A.3. Poznámky</w:t>
      </w:r>
    </w:p>
    <w:p w:rsidR="00662C72" w:rsidP="00517C45">
      <w:pPr>
        <w:keepNext/>
        <w:rPr>
          <w:bCs/>
        </w:rPr>
      </w:pPr>
      <w:r>
        <w:t> </w:t>
      </w:r>
      <w:r>
        <w:rPr>
          <w:bCs/>
        </w:rPr>
        <w:t>Výdavky spojené s odberom a analýzou vzorky, ak kontrolovaná vzorka je v súlade so zákonnými požiadavkami budú zabezpečené v rámci schválených limitov výdavkov Ministerstva pôdohospodárstva a rozvoja vidiek SR  na príslušný rozpočtový rok.</w:t>
      </w:r>
    </w:p>
    <w:p w:rsidR="00662C72" w:rsidP="00517C45">
      <w:pPr>
        <w:keepNext/>
        <w:rPr>
          <w:iCs/>
        </w:rPr>
      </w:pPr>
    </w:p>
    <w:p w:rsidR="00662C72" w:rsidP="00517C45">
      <w:pPr>
        <w:keepNext/>
        <w:rPr>
          <w:b/>
          <w:bCs/>
        </w:rPr>
      </w:pPr>
      <w:r>
        <w:rPr>
          <w:b/>
          <w:bCs/>
        </w:rPr>
        <w:t>A.4. Alternatívne riešenia</w:t>
      </w:r>
    </w:p>
    <w:p w:rsidR="00662C72" w:rsidP="00517C45">
      <w:pPr>
        <w:keepNext/>
        <w:rPr>
          <w:b/>
          <w:bCs/>
        </w:rPr>
      </w:pPr>
    </w:p>
    <w:p w:rsidR="00662C72" w:rsidP="00517C45">
      <w:pPr>
        <w:keepNext/>
        <w:rPr>
          <w:b/>
          <w:bCs/>
        </w:rPr>
      </w:pPr>
    </w:p>
    <w:p w:rsidR="00662C72" w:rsidP="00517C45">
      <w:pPr>
        <w:keepNext/>
        <w:rPr>
          <w:b/>
          <w:bCs/>
        </w:rPr>
      </w:pPr>
      <w:r>
        <w:rPr>
          <w:b/>
          <w:bCs/>
        </w:rPr>
        <w:t>A.5. Stanovisko</w:t>
      </w:r>
      <w:r>
        <w:rPr>
          <w:b/>
          <w:bCs/>
        </w:rPr>
        <w:t xml:space="preserve"> gestorov</w:t>
      </w:r>
    </w:p>
    <w:p w:rsidR="00662C72" w:rsidP="00517C45">
      <w:pPr>
        <w:keepNext/>
        <w:rPr>
          <w:rFonts w:ascii="Arial" w:hAnsi="Arial" w:cs="Arial"/>
          <w:sz w:val="20"/>
          <w:szCs w:val="20"/>
        </w:rPr>
      </w:pPr>
    </w:p>
    <w:p w:rsidR="00662C72" w:rsidP="00517C45">
      <w:pPr>
        <w:keepNext/>
        <w:rPr>
          <w:bCs/>
        </w:rPr>
      </w:pPr>
      <w:r>
        <w:rPr>
          <w:b/>
          <w:bCs/>
        </w:rPr>
        <w:t>Ministerstvo financií SR</w:t>
      </w:r>
      <w:r>
        <w:rPr>
          <w:bCs/>
        </w:rPr>
        <w:t xml:space="preserve"> nemá pripomienky k doložke vybraných vplyvov z hľadiska vplyvov na informatizáciu spoločnosti.  </w:t>
      </w:r>
    </w:p>
    <w:p w:rsidR="00662C72" w:rsidP="00517C45">
      <w:pPr>
        <w:keepNext/>
        <w:ind w:firstLine="709"/>
        <w:jc w:val="both"/>
        <w:rPr>
          <w:bCs/>
        </w:rPr>
      </w:pPr>
      <w:r>
        <w:rPr>
          <w:bCs/>
        </w:rPr>
        <w:t>Sekcia rozpočtovej politiky ako gestor posudzovania návrhu za oblasť vplyvov na rozpočet verejnej správy a zamestnanosť vo verejnej správe má k predloženej doložke nasledovné zásadné pripomienky.</w:t>
      </w:r>
    </w:p>
    <w:p w:rsidR="00662C72" w:rsidP="00517C45">
      <w:pPr>
        <w:keepNext/>
        <w:ind w:firstLine="709"/>
        <w:jc w:val="both"/>
        <w:rPr>
          <w:bCs/>
        </w:rPr>
      </w:pPr>
      <w:r>
        <w:rPr>
          <w:bCs/>
        </w:rPr>
        <w:t xml:space="preserve">V § 13 ods. 3 zákona sa uvádza, že ak sa na základe analýzy odobratej vzorky zistí, že výrobok nezodpovedá požiadavkám tohto zákona alebo predpisov vydaných na jeho vykonanie, kontrolovaný subjekt je povinný uhradiť náklady spojené s odberom vzorky a jej analýzou. V materiáli žiadame špecifikovať, kto uhrádza náklady spojené s odberom a analýzou vzorky v prípade, ak kontrolovaná vzorka je v súlade s požiadavkami uloženými týmto zákonom, resp. vykonávacími predpismi. V prípade, ak tieto náklady uhrádza orgán úradnej kontroly, žiadame ich kvantifikovať v analýze vplyvov a upozorňujeme, že musia byť zabezpečené v rámci schválených limitov výdavkov dotknutých subjektov verejnej správy na príslušný rozpočtový rok. </w:t>
      </w:r>
    </w:p>
    <w:p w:rsidR="00662C72" w:rsidP="00517C45">
      <w:pPr>
        <w:keepNext/>
        <w:ind w:firstLine="709"/>
        <w:rPr>
          <w:bCs/>
        </w:rPr>
      </w:pPr>
      <w:r>
        <w:rPr>
          <w:bCs/>
        </w:rPr>
        <w:t xml:space="preserve">Vzhľadom na kompetenciu orgánov úradnej kontroly ukladať pokuty, ktoré sú príjmom štátneho rozpočtu, žiadame v súlade s aktualizovanou Jednotnou metodikou na posudzovanie vybraných vplyvov v doložke uviesť, že návrh bude mať pozitívny vplyv na rozpočet verejnej správy a zároveň žiadame uviesť aspoň kvalifikovaný odhad týchto príjmov. </w:t>
      </w:r>
    </w:p>
    <w:p w:rsidR="00662C72" w:rsidP="00517C45">
      <w:pPr>
        <w:keepNext/>
      </w:pPr>
    </w:p>
    <w:p w:rsidR="00662C72" w:rsidP="00517C45">
      <w:pPr>
        <w:keepNext/>
        <w:rPr>
          <w:bCs/>
        </w:rPr>
      </w:pPr>
      <w:r>
        <w:rPr>
          <w:b/>
          <w:bCs/>
        </w:rPr>
        <w:t>Ministerstvo životného prostredia SR</w:t>
      </w:r>
      <w:r>
        <w:rPr>
          <w:bCs/>
        </w:rPr>
        <w:t xml:space="preserve"> súhlasí s predloženou doložkou vybraných vplyvov bez pripomienok.</w:t>
      </w:r>
    </w:p>
    <w:p w:rsidR="00662C72" w:rsidP="00517C45">
      <w:pPr>
        <w:pStyle w:val="PlainText"/>
        <w:keepNext/>
        <w:rPr>
          <w:rFonts w:ascii="Calibri" w:hAnsi="Calibri" w:cs="Calibri"/>
          <w:sz w:val="22"/>
          <w:szCs w:val="22"/>
        </w:rPr>
      </w:pPr>
    </w:p>
    <w:p w:rsidR="00662C72" w:rsidP="00517C45">
      <w:pPr>
        <w:keepNext/>
      </w:pPr>
      <w:r>
        <w:rPr>
          <w:b/>
        </w:rPr>
        <w:t xml:space="preserve">Ministerstvo práce, sociálnych vecí a rodiny </w:t>
      </w:r>
      <w:r>
        <w:rPr>
          <w:b/>
        </w:rPr>
        <w:t>SR</w:t>
      </w:r>
      <w:r>
        <w:t xml:space="preserve"> súhlasí s doložkou vybraných vplyvov v časti sociálne vplyvy pripravenou k predloženému návrhu.</w:t>
      </w:r>
    </w:p>
    <w:p w:rsidR="00662C72" w:rsidP="00517C45">
      <w:pPr>
        <w:keepNext/>
      </w:pPr>
    </w:p>
    <w:p w:rsidR="00662C72" w:rsidP="00517C45">
      <w:pPr>
        <w:keepNext/>
      </w:pPr>
      <w:r>
        <w:rPr>
          <w:b/>
        </w:rPr>
        <w:t>Ministerstvo hospodárstva SR</w:t>
      </w:r>
      <w:r>
        <w:t xml:space="preserve"> k materiálu „Návrh zákona o tabakových výrobkoch“ nesúhlasí s doložkou vplyvov na podnikateľské prostredie a žiada zmeniť v kol</w:t>
      </w:r>
      <w:r>
        <w:t xml:space="preserve">ónke </w:t>
      </w:r>
    </w:p>
    <w:p w:rsidR="00662C72" w:rsidP="00517C45">
      <w:pPr>
        <w:keepNext/>
      </w:pPr>
      <w:r>
        <w:t>2. Vplyvy na podnikateľské prostredie – dochádza k zvýšeniu regulačného zaťaženia? na „Negatívne“.</w:t>
      </w:r>
    </w:p>
    <w:p w:rsidR="00662C72" w:rsidP="00517C45">
      <w:pPr>
        <w:keepNext/>
      </w:pPr>
    </w:p>
    <w:p w:rsidR="00662C72" w:rsidP="00517C45">
      <w:pPr>
        <w:keepNext/>
      </w:pPr>
      <w:r>
        <w:t xml:space="preserve">Odôvodnenie: </w:t>
      </w:r>
    </w:p>
    <w:p w:rsidR="00662C72" w:rsidP="00517C45">
      <w:pPr>
        <w:keepNext/>
        <w:ind w:firstLine="709"/>
        <w:jc w:val="both"/>
      </w:pPr>
      <w:r>
        <w:t>Navrhovaný zákon upravuje základné povinnosti pri výrobe, manipulácii a umiestnení tabakových výrobkov na trh, upravuje požiadavky pri výrobe tabakových výrobkov, ustanovuje povinnosť registrácie prevádzkarní, upravuje požiadavky na dovoz, upravuje požiadavky na balenie tabakových výrobkov, atď. – čo jednoznačne predstavuje zvýšenie nákladov pre podnikateľské prostredie.</w:t>
      </w:r>
    </w:p>
    <w:p w:rsidR="00662C72" w:rsidP="00517C45">
      <w:pPr>
        <w:keepNext/>
      </w:pPr>
    </w:p>
    <w:p w:rsidR="00662C72" w:rsidP="00517C45">
      <w:pPr>
        <w:keepNext/>
        <w:rPr>
          <w:b/>
        </w:rPr>
      </w:pPr>
      <w:r>
        <w:rPr>
          <w:b/>
        </w:rPr>
        <w:t>Stanovisko predkladateľa:</w:t>
      </w:r>
    </w:p>
    <w:p w:rsidR="00662C72" w:rsidP="00517C45">
      <w:pPr>
        <w:keepNext/>
      </w:pPr>
      <w:r>
        <w:t>Predkladateľ zásadne  nesúhlasí so stanoviskom Ministerstva hospodárstva SR, nakoľko povinnosti pri výrobe tabakových výrobkov, manipulácii, umiestňovania na trh, registrácie atď. vyplývali so zákona č. 152/1995 Z. z. o potravinách v znení neskorších predpisov( ďalej len „zákon o potravinách“) a týmto zákonom  prichádza len k odčleneniu tabakových výrobkov so zákona o potravinách a ku žiadnemu zvýšeniu regulačného zaťaženia neprichádza.</w:t>
      </w:r>
    </w:p>
    <w:p w:rsidR="00662C72" w:rsidP="00517C45">
      <w:pPr>
        <w:keepNext/>
      </w:pPr>
    </w:p>
    <w:p w:rsidR="00662C72" w:rsidP="00517C45">
      <w:pPr>
        <w:keepNext/>
        <w:jc w:val="center"/>
      </w:pPr>
      <w:r>
        <w:rPr>
          <w:b/>
          <w:bCs/>
          <w:sz w:val="28"/>
          <w:szCs w:val="28"/>
        </w:rPr>
        <w:t>Vplyvy na rozpočet verejnej správy,</w:t>
      </w:r>
    </w:p>
    <w:p w:rsidR="00662C72" w:rsidP="00517C45">
      <w:pPr>
        <w:keepNext/>
        <w:jc w:val="center"/>
      </w:pPr>
      <w:r>
        <w:rPr>
          <w:b/>
          <w:bCs/>
          <w:sz w:val="28"/>
          <w:szCs w:val="28"/>
        </w:rPr>
        <w:t>na zamestnanosť vo verejn</w:t>
      </w:r>
      <w:r>
        <w:rPr>
          <w:b/>
          <w:bCs/>
          <w:sz w:val="28"/>
          <w:szCs w:val="28"/>
        </w:rPr>
        <w:t>ej správe a financovanie návrhu</w:t>
      </w:r>
    </w:p>
    <w:p w:rsidR="00662C72" w:rsidP="00517C45">
      <w:pPr>
        <w:keepNext/>
      </w:pPr>
      <w:r>
        <w:t> </w:t>
      </w:r>
    </w:p>
    <w:p w:rsidR="00662C72" w:rsidP="00517C45">
      <w:pPr>
        <w:keepNext/>
      </w:pPr>
      <w:r>
        <w:rPr>
          <w:b/>
          <w:bCs/>
        </w:rPr>
        <w:t>2.1. Zhrnutie vplyvov na rozpočet verejnej správy v návrhu</w:t>
      </w:r>
    </w:p>
    <w:p w:rsidR="00662C72" w:rsidP="00517C45">
      <w:pPr>
        <w:keepNext/>
        <w:jc w:val="right"/>
      </w:pPr>
      <w:r>
        <w:rPr>
          <w:sz w:val="20"/>
          <w:szCs w:val="20"/>
        </w:rPr>
        <w:t xml:space="preserve">Tabuľka č. 1 </w:t>
      </w:r>
    </w:p>
    <w:tbl>
      <w:tblPr>
        <w:tblStyle w:val="TableNormal"/>
        <w:tblW w:w="9729" w:type="dxa"/>
        <w:tblCellMar>
          <w:left w:w="0" w:type="dxa"/>
          <w:right w:w="0" w:type="dxa"/>
        </w:tblCellMar>
        <w:tblLook w:val="04A0"/>
      </w:tblPr>
      <w:tblGrid>
        <w:gridCol w:w="4661"/>
        <w:gridCol w:w="1267"/>
        <w:gridCol w:w="1267"/>
        <w:gridCol w:w="1267"/>
        <w:gridCol w:w="1267"/>
      </w:tblGrid>
      <w:tr w:rsidTr="00662C72">
        <w:tblPrEx>
          <w:tblW w:w="9729" w:type="dxa"/>
          <w:tblCellMar>
            <w:left w:w="0" w:type="dxa"/>
            <w:right w:w="0" w:type="dxa"/>
          </w:tblCellMar>
          <w:tblLook w:val="04A0"/>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194" w:lineRule="atLeast"/>
              <w:jc w:val="center"/>
            </w:pPr>
            <w:bookmarkStart w:id="0" w:name="OLE_LINK1"/>
            <w:bookmarkEnd w:id="0"/>
            <w:r>
              <w:rPr>
                <w:b/>
                <w:bCs/>
                <w:color w:val="FFFFFF"/>
              </w:rPr>
              <w:t xml:space="preserve">Vplyvy na </w:t>
            </w:r>
            <w:r>
              <w:rPr>
                <w:b/>
                <w:bCs/>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194" w:lineRule="atLeast"/>
              <w:jc w:val="center"/>
            </w:pPr>
            <w:r>
              <w:rPr>
                <w:b/>
                <w:bCs/>
                <w:color w:val="FFFFFF"/>
              </w:rPr>
              <w:t xml:space="preserve">Vplyv na rozpočet verejnej správy </w:t>
            </w:r>
            <w:r>
              <w:rPr>
                <w:b/>
                <w:bCs/>
              </w:rPr>
              <w:t>(v eurách)</w:t>
            </w:r>
          </w:p>
        </w:tc>
      </w:tr>
      <w:tr w:rsidTr="00662C72">
        <w:tblPrEx>
          <w:tblW w:w="9729"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 + 1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 + 2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 + 3</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pPr>
            <w:r>
              <w:rPr>
                <w:b/>
                <w:bCs/>
              </w:rPr>
              <w:t>Príjmy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1780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10500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10500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10500</w:t>
            </w:r>
          </w:p>
        </w:tc>
      </w:tr>
      <w:tr w:rsidTr="00662C72">
        <w:tblPrEx>
          <w:tblW w:w="9729" w:type="dxa"/>
          <w:tblCellMar>
            <w:left w:w="0" w:type="dxa"/>
            <w:right w:w="0" w:type="dxa"/>
          </w:tblCellMar>
          <w:tblLook w:val="04A0"/>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2" w:lineRule="atLeast"/>
            </w:pPr>
            <w: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2"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2" w:lineRule="atLeast"/>
              <w:jc w:val="right"/>
            </w:pPr>
            <w:r>
              <w:t>0</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rPr>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r>
      <w:tr w:rsidTr="00662C72">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pPr>
            <w:r>
              <w:rPr>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r>
      <w:tr w:rsidTr="00662C72">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pPr>
            <w:r>
              <w:rPr>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r>
      <w:tr w:rsidTr="00662C72">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125" w:lineRule="atLeast"/>
            </w:pPr>
            <w:r>
              <w:rPr>
                <w:b/>
                <w:bCs/>
              </w:rPr>
              <w:t>Výdavky verejnej správy celkom</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125" w:lineRule="atLeast"/>
              <w:jc w:val="right"/>
            </w:pPr>
            <w:r>
              <w:rPr>
                <w:b/>
                <w:bCs/>
              </w:rPr>
              <w:t>1700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125" w:lineRule="atLeast"/>
              <w:jc w:val="right"/>
            </w:pPr>
            <w:r>
              <w:rPr>
                <w:b/>
                <w:bCs/>
              </w:rPr>
              <w:t>10000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125" w:lineRule="atLeast"/>
              <w:jc w:val="right"/>
            </w:pPr>
            <w:r>
              <w:rPr>
                <w:b/>
                <w:bCs/>
              </w:rPr>
              <w:t>10000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125" w:lineRule="atLeast"/>
              <w:jc w:val="right"/>
            </w:pPr>
            <w:r>
              <w:rPr>
                <w:b/>
                <w:bCs/>
              </w:rPr>
              <w:t xml:space="preserve">  10000 </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rPr>
                <w:b/>
                <w:bCs/>
                <w:i/>
                <w:iCs/>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
                <w:iCs/>
              </w:rPr>
              <w:t> </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rPr>
                <w:b/>
                <w:bCs/>
                <w:i/>
                <w:iCs/>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iCs/>
              </w:rPr>
              <w:t>0</w:t>
            </w:r>
          </w:p>
        </w:tc>
      </w:tr>
      <w:tr w:rsidTr="00662C72">
        <w:tblPrEx>
          <w:tblW w:w="9729" w:type="dxa"/>
          <w:tblCellMar>
            <w:left w:w="0" w:type="dxa"/>
            <w:right w:w="0" w:type="dxa"/>
          </w:tblCellMar>
          <w:tblLook w:val="04A0"/>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pPr>
            <w:r>
              <w:rPr>
                <w:b/>
                <w:bCs/>
                <w:i/>
                <w:iCs/>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25" w:lineRule="atLeast"/>
              <w:jc w:val="right"/>
            </w:pPr>
            <w:r>
              <w:rPr>
                <w:b/>
                <w:bCs/>
                <w:iCs/>
              </w:rPr>
              <w:t>0</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pPr>
            <w:r>
              <w:rPr>
                <w:b/>
                <w:bCs/>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rPr>
                <w:b/>
                <w:bCs/>
                <w:i/>
                <w:iCs/>
              </w:rPr>
              <w:t>- z toho vplyv na ŠR</w:t>
            </w:r>
            <w: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pPr>
            <w:r>
              <w:rPr>
                <w:b/>
                <w:bCs/>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hideMark/>
          </w:tcPr>
          <w:p w:rsidR="00662C72" w:rsidP="00517C45">
            <w:pPr>
              <w:keepNext/>
              <w:spacing w:line="70" w:lineRule="atLeast"/>
              <w:jc w:val="right"/>
            </w:pPr>
            <w:r>
              <w:rPr>
                <w:b/>
                <w:bCs/>
              </w:rPr>
              <w:t>0</w:t>
            </w:r>
          </w:p>
        </w:tc>
      </w:tr>
      <w:tr w:rsidTr="00662C72">
        <w:tblPrEx>
          <w:tblW w:w="9729" w:type="dxa"/>
          <w:tblCellMar>
            <w:left w:w="0" w:type="dxa"/>
            <w:right w:w="0" w:type="dxa"/>
          </w:tblCellMar>
          <w:tblLook w:val="04A0"/>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r>
      <w:tr w:rsidTr="00662C72">
        <w:tblPrEx>
          <w:tblW w:w="9729" w:type="dxa"/>
          <w:tblCellMar>
            <w:left w:w="0" w:type="dxa"/>
            <w:right w:w="0" w:type="dxa"/>
          </w:tblCellMar>
          <w:tblLook w:val="04A0"/>
        </w:tblPrEx>
        <w:tc>
          <w:tcPr>
            <w:tcW w:w="4661" w:type="dxa"/>
            <w:vAlign w:val="center"/>
          </w:tcPr>
          <w:p w:rsidR="00662C72" w:rsidP="00517C45">
            <w:pPr>
              <w:keepNext/>
              <w:rPr>
                <w:sz w:val="2"/>
              </w:rPr>
            </w:pPr>
          </w:p>
        </w:tc>
        <w:tc>
          <w:tcPr>
            <w:tcW w:w="1267" w:type="dxa"/>
            <w:vAlign w:val="center"/>
          </w:tcPr>
          <w:p w:rsidR="00662C72" w:rsidP="00517C45">
            <w:pPr>
              <w:keepNext/>
              <w:rPr>
                <w:sz w:val="2"/>
              </w:rPr>
            </w:pPr>
          </w:p>
        </w:tc>
        <w:tc>
          <w:tcPr>
            <w:tcW w:w="1267" w:type="dxa"/>
            <w:vAlign w:val="center"/>
          </w:tcPr>
          <w:p w:rsidR="00662C72" w:rsidP="00517C45">
            <w:pPr>
              <w:keepNext/>
              <w:rPr>
                <w:sz w:val="2"/>
              </w:rPr>
            </w:pPr>
          </w:p>
        </w:tc>
        <w:tc>
          <w:tcPr>
            <w:tcW w:w="1267" w:type="dxa"/>
            <w:vAlign w:val="center"/>
          </w:tcPr>
          <w:p w:rsidR="00662C72" w:rsidP="00517C45">
            <w:pPr>
              <w:keepNext/>
              <w:rPr>
                <w:sz w:val="2"/>
              </w:rPr>
            </w:pPr>
          </w:p>
        </w:tc>
        <w:tc>
          <w:tcPr>
            <w:tcW w:w="1267" w:type="dxa"/>
            <w:vAlign w:val="center"/>
          </w:tcPr>
          <w:p w:rsidR="00662C72" w:rsidP="00517C45">
            <w:pPr>
              <w:keepNext/>
              <w:rPr>
                <w:sz w:val="2"/>
              </w:rPr>
            </w:pPr>
          </w:p>
        </w:tc>
      </w:tr>
    </w:tbl>
    <w:p w:rsidR="00662C72" w:rsidP="00517C45">
      <w:pPr>
        <w:keepNext/>
      </w:pPr>
      <w:r>
        <w:t> </w:t>
      </w:r>
    </w:p>
    <w:p w:rsidR="00662C72" w:rsidP="00517C45">
      <w:pPr>
        <w:keepNext/>
      </w:pPr>
      <w:r>
        <w:rPr>
          <w:b/>
          <w:bCs/>
        </w:rPr>
        <w:t>2.2. Financovanie návrhu</w:t>
      </w:r>
    </w:p>
    <w:p w:rsidR="00662C72" w:rsidP="00517C45">
      <w:pPr>
        <w:keepNext/>
        <w:jc w:val="right"/>
      </w:pPr>
      <w:r>
        <w:rPr>
          <w:sz w:val="20"/>
          <w:szCs w:val="20"/>
        </w:rPr>
        <w:t>Tabuľka č. 2</w:t>
      </w:r>
    </w:p>
    <w:tbl>
      <w:tblPr>
        <w:tblStyle w:val="TableNormal"/>
        <w:tblW w:w="9360" w:type="dxa"/>
        <w:tblCellMar>
          <w:left w:w="0" w:type="dxa"/>
          <w:right w:w="0" w:type="dxa"/>
        </w:tblCellMar>
        <w:tblLook w:val="04A0"/>
      </w:tblPr>
      <w:tblGrid>
        <w:gridCol w:w="4304"/>
        <w:gridCol w:w="1264"/>
        <w:gridCol w:w="1264"/>
        <w:gridCol w:w="1264"/>
        <w:gridCol w:w="1264"/>
      </w:tblGrid>
      <w:tr w:rsidTr="00662C72">
        <w:tblPrEx>
          <w:tblW w:w="9360" w:type="dxa"/>
          <w:tblCellMar>
            <w:left w:w="0" w:type="dxa"/>
            <w:right w:w="0" w:type="dxa"/>
          </w:tblCellMar>
          <w:tblLook w:val="04A0"/>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 xml:space="preserve">Vplyv na rozpočet verejnej správy </w:t>
            </w:r>
            <w:r>
              <w:rPr>
                <w:b/>
                <w:bCs/>
              </w:rPr>
              <w:t>(v eurách)</w:t>
            </w:r>
          </w:p>
        </w:tc>
      </w:tr>
      <w:tr w:rsidTr="00662C72">
        <w:tblPrEx>
          <w:tblW w:w="9360" w:type="dxa"/>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 + 1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 + 2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keepNext/>
              <w:spacing w:line="70" w:lineRule="atLeast"/>
              <w:jc w:val="center"/>
            </w:pPr>
            <w:r>
              <w:rPr>
                <w:b/>
                <w:bCs/>
                <w:color w:val="FFFFFF"/>
              </w:rPr>
              <w:t>r + 3</w:t>
            </w:r>
          </w:p>
        </w:tc>
      </w:tr>
      <w:tr w:rsidTr="00662C72">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rPr>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r>
      <w:tr w:rsidTr="00662C72">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t>0</w:t>
            </w:r>
          </w:p>
        </w:tc>
      </w:tr>
      <w:tr w:rsidTr="00662C72">
        <w:tblPrEx>
          <w:tblW w:w="9360" w:type="dxa"/>
          <w:tblCellMar>
            <w:left w:w="0" w:type="dxa"/>
            <w:right w:w="0" w:type="dxa"/>
          </w:tblCellMar>
          <w:tblLook w:val="04A0"/>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51" w:lineRule="atLeast"/>
            </w:pPr>
            <w: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51"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51"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51"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51" w:lineRule="atLeast"/>
              <w:jc w:val="right"/>
            </w:pPr>
            <w:r>
              <w:t>0</w:t>
            </w:r>
          </w:p>
        </w:tc>
      </w:tr>
      <w:tr w:rsidTr="00662C72">
        <w:tblPrEx>
          <w:tblW w:w="9360" w:type="dxa"/>
          <w:tblCellMar>
            <w:left w:w="0" w:type="dxa"/>
            <w:right w:w="0" w:type="dxa"/>
          </w:tblCellMar>
          <w:tblLook w:val="04A0"/>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5" w:lineRule="atLeast"/>
            </w:pPr>
            <w: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5" w:lineRule="atLeast"/>
              <w:jc w:val="right"/>
            </w:pPr>
            <w: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135" w:lineRule="atLeast"/>
              <w:jc w:val="right"/>
            </w:pPr>
            <w:r>
              <w:t>0</w:t>
            </w:r>
          </w:p>
        </w:tc>
      </w:tr>
      <w:tr w:rsidTr="00662C72">
        <w:tblPrEx>
          <w:tblW w:w="9360" w:type="dxa"/>
          <w:tblCellMar>
            <w:left w:w="0" w:type="dxa"/>
            <w:right w:w="0" w:type="dxa"/>
          </w:tblCellMar>
          <w:tblLook w:val="04A0"/>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pPr>
            <w:r>
              <w:rPr>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keepNext/>
              <w:spacing w:line="70" w:lineRule="atLeast"/>
              <w:jc w:val="right"/>
            </w:pPr>
            <w:r>
              <w:rPr>
                <w:b/>
                <w:bCs/>
              </w:rPr>
              <w:t>0</w:t>
            </w:r>
          </w:p>
        </w:tc>
      </w:tr>
      <w:tr w:rsidTr="00662C72">
        <w:tblPrEx>
          <w:tblW w:w="9360" w:type="dxa"/>
          <w:tblCellMar>
            <w:left w:w="0" w:type="dxa"/>
            <w:right w:w="0" w:type="dxa"/>
          </w:tblCellMar>
          <w:tblLook w:val="04A0"/>
        </w:tblPrEx>
        <w:tc>
          <w:tcPr>
            <w:tcW w:w="4304" w:type="dxa"/>
            <w:vAlign w:val="center"/>
          </w:tcPr>
          <w:p w:rsidR="00662C72" w:rsidP="00517C45">
            <w:pPr>
              <w:keepNext/>
              <w:rPr>
                <w:sz w:val="2"/>
              </w:rPr>
            </w:pPr>
          </w:p>
        </w:tc>
        <w:tc>
          <w:tcPr>
            <w:tcW w:w="1264" w:type="dxa"/>
            <w:vAlign w:val="center"/>
          </w:tcPr>
          <w:p w:rsidR="00662C72" w:rsidP="00517C45">
            <w:pPr>
              <w:keepNext/>
              <w:rPr>
                <w:sz w:val="2"/>
              </w:rPr>
            </w:pPr>
          </w:p>
        </w:tc>
        <w:tc>
          <w:tcPr>
            <w:tcW w:w="1264" w:type="dxa"/>
            <w:vAlign w:val="center"/>
          </w:tcPr>
          <w:p w:rsidR="00662C72" w:rsidP="00517C45">
            <w:pPr>
              <w:keepNext/>
              <w:rPr>
                <w:sz w:val="2"/>
              </w:rPr>
            </w:pPr>
          </w:p>
        </w:tc>
        <w:tc>
          <w:tcPr>
            <w:tcW w:w="1264" w:type="dxa"/>
            <w:vAlign w:val="center"/>
          </w:tcPr>
          <w:p w:rsidR="00662C72" w:rsidP="00517C45">
            <w:pPr>
              <w:keepNext/>
              <w:rPr>
                <w:sz w:val="2"/>
              </w:rPr>
            </w:pPr>
          </w:p>
        </w:tc>
        <w:tc>
          <w:tcPr>
            <w:tcW w:w="1264" w:type="dxa"/>
            <w:vAlign w:val="center"/>
          </w:tcPr>
          <w:p w:rsidR="00662C72" w:rsidP="00517C45">
            <w:pPr>
              <w:keepNext/>
              <w:rPr>
                <w:sz w:val="2"/>
              </w:rPr>
            </w:pPr>
          </w:p>
        </w:tc>
      </w:tr>
    </w:tbl>
    <w:p w:rsidR="00662C72" w:rsidP="00517C45">
      <w:pPr>
        <w:keepNext/>
      </w:pPr>
      <w:r>
        <w:t> </w:t>
      </w:r>
    </w:p>
    <w:p w:rsidR="00662C72" w:rsidP="00517C45">
      <w:pPr>
        <w:keepNext/>
      </w:pPr>
      <w:r>
        <w:rPr>
          <w:b/>
          <w:bCs/>
        </w:rPr>
        <w:t> </w:t>
      </w:r>
    </w:p>
    <w:p w:rsidR="00662C72" w:rsidP="00517C45">
      <w:pPr>
        <w:keepNext/>
      </w:pPr>
      <w:r>
        <w:rPr>
          <w:b/>
          <w:bCs/>
        </w:rPr>
        <w:t>Návrh na riešenie úbytku príjmov alebo zvýšených výdavkov podľa § 33 ods. 1 zákona č. 523/2004 Z. z. o rozpočtových pravidlách verejnej</w:t>
      </w:r>
      <w:r>
        <w:rPr>
          <w:b/>
          <w:bCs/>
        </w:rPr>
        <w:t xml:space="preserve"> správy:</w:t>
      </w:r>
    </w:p>
    <w:p w:rsidR="00662C72" w:rsidP="00517C45">
      <w:pPr>
        <w:keepNext/>
        <w:pBdr>
          <w:top w:val="single" w:sz="4" w:space="1" w:color="000000"/>
          <w:left w:val="single" w:sz="4" w:space="4" w:color="000000"/>
          <w:bottom w:val="single" w:sz="4" w:space="1" w:color="000000"/>
          <w:right w:val="single" w:sz="4" w:space="4" w:color="000000"/>
        </w:pBdr>
      </w:pPr>
      <w:r>
        <w:rPr>
          <w:b/>
          <w:bCs/>
        </w:rPr>
        <w:t> </w:t>
      </w:r>
    </w:p>
    <w:p w:rsidR="00662C72" w:rsidP="00517C45">
      <w:pPr>
        <w:keepNext/>
        <w:pBdr>
          <w:top w:val="single" w:sz="4" w:space="1" w:color="000000"/>
          <w:left w:val="single" w:sz="4" w:space="4" w:color="000000"/>
          <w:bottom w:val="single" w:sz="4" w:space="1" w:color="000000"/>
          <w:right w:val="single" w:sz="4" w:space="4" w:color="000000"/>
        </w:pBdr>
      </w:pPr>
      <w:r>
        <w:rPr>
          <w:b/>
          <w:bCs/>
        </w:rPr>
        <w:t> </w:t>
      </w:r>
    </w:p>
    <w:p w:rsidR="00662C72" w:rsidP="00517C45">
      <w:pPr>
        <w:keepNext/>
        <w:pBdr>
          <w:top w:val="single" w:sz="4" w:space="1" w:color="000000"/>
          <w:left w:val="single" w:sz="4" w:space="4" w:color="000000"/>
          <w:bottom w:val="single" w:sz="4" w:space="1" w:color="000000"/>
          <w:right w:val="single" w:sz="4" w:space="4" w:color="000000"/>
        </w:pBdr>
      </w:pPr>
      <w:r>
        <w:rPr>
          <w:b/>
          <w:bCs/>
        </w:rPr>
        <w:t> </w:t>
      </w:r>
    </w:p>
    <w:p w:rsidR="00662C72" w:rsidP="00517C45">
      <w:pPr>
        <w:keepNext/>
        <w:pBdr>
          <w:top w:val="single" w:sz="4" w:space="1" w:color="000000"/>
          <w:left w:val="single" w:sz="4" w:space="4" w:color="000000"/>
          <w:bottom w:val="single" w:sz="4" w:space="1" w:color="000000"/>
          <w:right w:val="single" w:sz="4" w:space="4" w:color="000000"/>
        </w:pBdr>
      </w:pPr>
      <w:r>
        <w:rPr>
          <w:b/>
          <w:bCs/>
        </w:rPr>
        <w:t> </w:t>
      </w:r>
    </w:p>
    <w:p w:rsidR="00662C72" w:rsidP="00517C45">
      <w:pPr>
        <w:keepNext/>
        <w:pBdr>
          <w:top w:val="single" w:sz="4" w:space="1" w:color="000000"/>
          <w:left w:val="single" w:sz="4" w:space="4" w:color="000000"/>
          <w:bottom w:val="single" w:sz="4" w:space="1" w:color="000000"/>
          <w:right w:val="single" w:sz="4" w:space="4" w:color="000000"/>
        </w:pBdr>
      </w:pPr>
      <w:r>
        <w:rPr>
          <w:b/>
          <w:bCs/>
        </w:rPr>
        <w:t> </w:t>
      </w:r>
    </w:p>
    <w:p w:rsidR="00662C72" w:rsidP="00517C45">
      <w:pPr>
        <w:keepNext/>
        <w:pBdr>
          <w:top w:val="single" w:sz="4" w:space="1" w:color="000000"/>
          <w:left w:val="single" w:sz="4" w:space="4" w:color="000000"/>
          <w:bottom w:val="single" w:sz="4" w:space="1" w:color="000000"/>
          <w:right w:val="single" w:sz="4" w:space="4" w:color="000000"/>
        </w:pBdr>
      </w:pPr>
    </w:p>
    <w:p w:rsidR="00662C72" w:rsidP="00517C45">
      <w:pPr>
        <w:keepNext/>
        <w:rPr>
          <w:b/>
          <w:bCs/>
        </w:rPr>
      </w:pPr>
    </w:p>
    <w:p w:rsidR="00662C72" w:rsidP="00517C45">
      <w:pPr>
        <w:keepNext/>
        <w:rPr>
          <w:b/>
          <w:bCs/>
        </w:rPr>
      </w:pPr>
    </w:p>
    <w:p w:rsidR="00662C72" w:rsidP="00517C45">
      <w:pPr>
        <w:keepNext/>
      </w:pPr>
      <w:r>
        <w:rPr>
          <w:b/>
          <w:bCs/>
        </w:rPr>
        <w:t>2.3. Popis a charakteristika návrhu</w:t>
      </w:r>
    </w:p>
    <w:p w:rsidR="00662C72" w:rsidP="00517C45">
      <w:pPr>
        <w:keepNext/>
      </w:pPr>
      <w:r>
        <w:t> </w:t>
      </w:r>
    </w:p>
    <w:p w:rsidR="00662C72" w:rsidP="00517C45">
      <w:pPr>
        <w:keepNext/>
        <w:jc w:val="both"/>
      </w:pPr>
      <w:r>
        <w:rPr>
          <w:b/>
          <w:bCs/>
        </w:rPr>
        <w:t>2.3.1. Popis návrhu:</w:t>
      </w:r>
    </w:p>
    <w:p w:rsidR="00662C72" w:rsidP="00517C45">
      <w:pPr>
        <w:keepNext/>
        <w:jc w:val="both"/>
      </w:pPr>
      <w:r>
        <w:rPr>
          <w:b/>
          <w:bCs/>
        </w:rPr>
        <w:t> </w:t>
      </w:r>
    </w:p>
    <w:p w:rsidR="00662C72" w:rsidP="00517C45">
      <w:pPr>
        <w:keepNext/>
        <w:ind w:firstLine="708"/>
        <w:jc w:val="both"/>
      </w:pPr>
      <w:r>
        <w:t>Akú problematiku návrhu rieši? Kto bude návrh implementovať? Kde sa budú služby poskytovať?</w:t>
      </w:r>
    </w:p>
    <w:p w:rsidR="00662C72" w:rsidP="00517C45">
      <w:pPr>
        <w:keepNext/>
      </w:pPr>
      <w:r>
        <w:t> </w:t>
      </w:r>
    </w:p>
    <w:p w:rsidR="00662C72" w:rsidP="00517C45">
      <w:pPr>
        <w:keepNext/>
      </w:pPr>
      <w:r>
        <w:t>...............................................................................</w:t>
      </w:r>
      <w:r>
        <w:t>........................................................................</w:t>
      </w:r>
    </w:p>
    <w:p w:rsidR="00662C72" w:rsidP="00517C45">
      <w:pPr>
        <w:keepNext/>
      </w:pPr>
      <w:r>
        <w:t> </w:t>
      </w:r>
    </w:p>
    <w:p w:rsidR="00662C72" w:rsidP="00517C45">
      <w:pPr>
        <w:keepNext/>
      </w:pPr>
      <w:r>
        <w:rPr>
          <w:b/>
          <w:bCs/>
        </w:rPr>
        <w:t>2.3.2. Charakteristika návrhu podľa bodu  2.3.2. Metodiky :</w:t>
      </w:r>
    </w:p>
    <w:p w:rsidR="00662C72" w:rsidP="00517C45">
      <w:pPr>
        <w:keepNext/>
      </w:pPr>
      <w:r>
        <w:t> </w:t>
      </w:r>
    </w:p>
    <w:p w:rsidR="00662C72" w:rsidP="00517C45">
      <w:pPr>
        <w:keepNext/>
      </w:pPr>
      <w:r>
        <w:rPr>
          <w:b/>
          <w:bCs/>
          <w:bdr w:val="single" w:sz="4" w:space="0" w:color="000000" w:frame="1"/>
        </w:rPr>
        <w:t xml:space="preserve">     </w:t>
      </w:r>
      <w:r>
        <w:rPr>
          <w:b/>
          <w:bCs/>
        </w:rPr>
        <w:t xml:space="preserve">  </w:t>
      </w:r>
      <w:r>
        <w:t>zmena sadzby</w:t>
      </w:r>
    </w:p>
    <w:p w:rsidR="00662C72" w:rsidP="00517C45">
      <w:pPr>
        <w:keepNext/>
      </w:pPr>
      <w:r>
        <w:rPr>
          <w:bdr w:val="single" w:sz="4" w:space="0" w:color="000000" w:frame="1"/>
        </w:rPr>
        <w:t xml:space="preserve">     </w:t>
      </w:r>
      <w:r>
        <w:t>  zmena v nároku</w:t>
      </w:r>
    </w:p>
    <w:p w:rsidR="00662C72" w:rsidP="00517C45">
      <w:pPr>
        <w:keepNext/>
      </w:pPr>
      <w:r>
        <w:rPr>
          <w:bdr w:val="single" w:sz="4" w:space="0" w:color="000000" w:frame="1"/>
        </w:rPr>
        <w:t xml:space="preserve">     </w:t>
      </w:r>
      <w:r>
        <w:t>  nová služba alebo nariadenie (alebo ich zrušenie)</w:t>
      </w:r>
    </w:p>
    <w:p w:rsidR="00662C72" w:rsidP="00517C45">
      <w:pPr>
        <w:keepNext/>
      </w:pPr>
      <w:r>
        <w:rPr>
          <w:bdr w:val="single" w:sz="4" w:space="0" w:color="000000" w:frame="1"/>
        </w:rPr>
        <w:t xml:space="preserve">     </w:t>
      </w:r>
      <w:r>
        <w:t>  kombinovaný n</w:t>
      </w:r>
      <w:r>
        <w:t>ávrh</w:t>
      </w:r>
    </w:p>
    <w:p w:rsidR="00662C72" w:rsidP="00517C45">
      <w:pPr>
        <w:keepNext/>
      </w:pPr>
      <w:r>
        <w:rPr>
          <w:bdr w:val="single" w:sz="4" w:space="0" w:color="000000" w:frame="1"/>
        </w:rPr>
        <w:t xml:space="preserve">     </w:t>
      </w:r>
      <w:r>
        <w:t xml:space="preserve">  iné </w:t>
      </w:r>
    </w:p>
    <w:p w:rsidR="00662C72" w:rsidP="00517C45">
      <w:pPr>
        <w:keepNext/>
      </w:pPr>
      <w:r>
        <w:t> </w:t>
      </w:r>
    </w:p>
    <w:p w:rsidR="00662C72" w:rsidP="00517C45">
      <w:pPr>
        <w:keepNext/>
      </w:pPr>
      <w:r>
        <w:t> </w:t>
      </w:r>
    </w:p>
    <w:p w:rsidR="00662C72" w:rsidP="00517C45">
      <w:pPr>
        <w:keepNext/>
      </w:pPr>
      <w:r>
        <w:rPr>
          <w:b/>
          <w:bCs/>
        </w:rPr>
        <w:t>2.3.3. Predpoklady vývoja objemu aktivít:</w:t>
      </w:r>
    </w:p>
    <w:p w:rsidR="00662C72" w:rsidP="00517C45">
      <w:pPr>
        <w:keepNext/>
      </w:pPr>
      <w:r>
        <w:t> </w:t>
      </w:r>
    </w:p>
    <w:p w:rsidR="00662C72" w:rsidP="00517C45">
      <w:pPr>
        <w:keepNext/>
        <w:ind w:firstLine="708"/>
        <w:jc w:val="both"/>
      </w:pPr>
      <w:r>
        <w:t>Jasne popíšte, v prípade potreby použite nižšie uvedenú tabuľku. Uveďte aj odhady základov daní a/alebo poplatkov, ak sa ich táto zmena týka.</w:t>
      </w:r>
    </w:p>
    <w:p w:rsidR="00662C72" w:rsidP="00517C45">
      <w:pPr>
        <w:keepNext/>
        <w:jc w:val="right"/>
      </w:pPr>
      <w:r>
        <w:rPr>
          <w:sz w:val="20"/>
          <w:szCs w:val="20"/>
        </w:rPr>
        <w:t xml:space="preserve">Tabuľka č. 3 </w:t>
      </w:r>
    </w:p>
    <w:tbl>
      <w:tblPr>
        <w:tblStyle w:val="TableNormal"/>
        <w:tblW w:w="0" w:type="auto"/>
        <w:tblCellMar>
          <w:left w:w="0" w:type="dxa"/>
          <w:right w:w="0" w:type="dxa"/>
        </w:tblCellMar>
        <w:tblLook w:val="04A0"/>
      </w:tblPr>
      <w:tblGrid>
        <w:gridCol w:w="4530"/>
        <w:gridCol w:w="1134"/>
        <w:gridCol w:w="1134"/>
        <w:gridCol w:w="1134"/>
        <w:gridCol w:w="1134"/>
      </w:tblGrid>
      <w:tr w:rsidTr="00662C72">
        <w:tblPrEx>
          <w:tblW w:w="0" w:type="auto"/>
          <w:tblCellMar>
            <w:left w:w="0" w:type="dxa"/>
            <w:right w:w="0" w:type="dxa"/>
          </w:tblCellMar>
          <w:tblLook w:val="04A0"/>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662C72" w:rsidP="00517C45">
            <w:pPr>
              <w:keepNext/>
              <w:spacing w:line="70" w:lineRule="atLeast"/>
              <w:jc w:val="center"/>
            </w:pPr>
            <w:r>
              <w:rPr>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662C72" w:rsidP="00517C45">
            <w:pPr>
              <w:keepNext/>
              <w:spacing w:line="70" w:lineRule="atLeast"/>
              <w:jc w:val="center"/>
            </w:pPr>
            <w:r>
              <w:rPr>
                <w:b/>
                <w:bCs/>
                <w:color w:val="FFFFFF"/>
              </w:rPr>
              <w:t>Odhadované objemy</w:t>
            </w:r>
          </w:p>
        </w:tc>
      </w:tr>
      <w:tr w:rsidTr="00662C72">
        <w:tblPrEx>
          <w:tblW w:w="0" w:type="auto"/>
          <w:tblCellMar>
            <w:left w:w="0" w:type="dxa"/>
            <w:right w:w="0" w:type="dxa"/>
          </w:tblCellMar>
          <w:tblLook w:val="04A0"/>
        </w:tblPrEx>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662C72" w:rsidP="00517C45">
            <w:pPr>
              <w:keepNext/>
              <w:spacing w:line="70" w:lineRule="atLeast"/>
              <w:jc w:val="center"/>
            </w:pPr>
            <w:r>
              <w:rPr>
                <w:b/>
                <w:bCs/>
                <w:color w:val="FFFFFF"/>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662C72" w:rsidP="00517C45">
            <w:pPr>
              <w:keepNext/>
              <w:spacing w:line="70" w:lineRule="atLeast"/>
              <w:jc w:val="center"/>
            </w:pPr>
            <w:r>
              <w:rPr>
                <w:b/>
                <w:bCs/>
                <w:color w:val="FFFFFF"/>
              </w:rPr>
              <w:t>r + 1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662C72" w:rsidP="00517C45">
            <w:pPr>
              <w:keepNext/>
              <w:spacing w:line="70" w:lineRule="atLeast"/>
              <w:jc w:val="center"/>
            </w:pPr>
            <w:r>
              <w:rPr>
                <w:b/>
                <w:bCs/>
                <w:color w:val="FFFFFF"/>
              </w:rPr>
              <w:t>r + 2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662C72" w:rsidP="00517C45">
            <w:pPr>
              <w:keepNext/>
              <w:spacing w:line="70" w:lineRule="atLeast"/>
              <w:jc w:val="center"/>
            </w:pPr>
            <w:r>
              <w:rPr>
                <w:b/>
                <w:bCs/>
                <w:color w:val="FFFFFF"/>
              </w:rPr>
              <w:t>r + 3</w:t>
            </w:r>
          </w:p>
        </w:tc>
      </w:tr>
      <w:tr w:rsidTr="00662C72">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pPr>
            <w:r>
              <w:rPr>
                <w:color w:val="000000"/>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r>
      <w:tr w:rsidTr="00662C72">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pPr>
            <w:r>
              <w:rPr>
                <w:color w:val="000000"/>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r>
      <w:tr w:rsidTr="00662C72">
        <w:tblPrEx>
          <w:tblW w:w="0" w:type="auto"/>
          <w:tblCellMar>
            <w:left w:w="0" w:type="dxa"/>
            <w:right w:w="0" w:type="dxa"/>
          </w:tblCellMar>
          <w:tblLook w:val="04A0"/>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pPr>
            <w:r>
              <w:rPr>
                <w:color w:val="000000"/>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62C72" w:rsidP="00517C45">
            <w:pPr>
              <w:keepNext/>
              <w:spacing w:line="70" w:lineRule="atLeast"/>
              <w:jc w:val="right"/>
            </w:pPr>
            <w:r>
              <w:rPr>
                <w:color w:val="000000"/>
              </w:rPr>
              <w:t> </w:t>
            </w:r>
          </w:p>
        </w:tc>
      </w:tr>
      <w:tr w:rsidTr="00662C72">
        <w:tblPrEx>
          <w:tblW w:w="0" w:type="auto"/>
          <w:tblCellMar>
            <w:left w:w="0" w:type="dxa"/>
            <w:right w:w="0" w:type="dxa"/>
          </w:tblCellMar>
          <w:tblLook w:val="04A0"/>
        </w:tblPrEx>
        <w:tc>
          <w:tcPr>
            <w:tcW w:w="4530" w:type="dxa"/>
            <w:vAlign w:val="center"/>
          </w:tcPr>
          <w:p w:rsidR="00662C72" w:rsidP="00517C45">
            <w:pPr>
              <w:keepNext/>
              <w:rPr>
                <w:sz w:val="2"/>
              </w:rPr>
            </w:pPr>
          </w:p>
        </w:tc>
        <w:tc>
          <w:tcPr>
            <w:tcW w:w="1134" w:type="dxa"/>
            <w:vAlign w:val="center"/>
          </w:tcPr>
          <w:p w:rsidR="00662C72" w:rsidP="00517C45">
            <w:pPr>
              <w:keepNext/>
              <w:rPr>
                <w:sz w:val="2"/>
              </w:rPr>
            </w:pPr>
          </w:p>
        </w:tc>
        <w:tc>
          <w:tcPr>
            <w:tcW w:w="1134" w:type="dxa"/>
            <w:vAlign w:val="center"/>
          </w:tcPr>
          <w:p w:rsidR="00662C72" w:rsidP="00517C45">
            <w:pPr>
              <w:keepNext/>
              <w:rPr>
                <w:sz w:val="2"/>
              </w:rPr>
            </w:pPr>
          </w:p>
        </w:tc>
        <w:tc>
          <w:tcPr>
            <w:tcW w:w="1134" w:type="dxa"/>
            <w:vAlign w:val="center"/>
          </w:tcPr>
          <w:p w:rsidR="00662C72" w:rsidP="00517C45">
            <w:pPr>
              <w:keepNext/>
              <w:rPr>
                <w:sz w:val="2"/>
              </w:rPr>
            </w:pPr>
          </w:p>
        </w:tc>
        <w:tc>
          <w:tcPr>
            <w:tcW w:w="1134" w:type="dxa"/>
            <w:vAlign w:val="center"/>
          </w:tcPr>
          <w:p w:rsidR="00662C72" w:rsidP="00517C45">
            <w:pPr>
              <w:keepNext/>
              <w:rPr>
                <w:sz w:val="2"/>
              </w:rPr>
            </w:pPr>
          </w:p>
        </w:tc>
      </w:tr>
    </w:tbl>
    <w:p w:rsidR="00662C72" w:rsidP="00517C45">
      <w:pPr>
        <w:keepNext/>
      </w:pPr>
      <w:r>
        <w:t> </w:t>
      </w:r>
    </w:p>
    <w:p w:rsidR="00662C72" w:rsidP="00517C45">
      <w:pPr>
        <w:keepNext/>
      </w:pPr>
      <w:r>
        <w:t> </w:t>
      </w:r>
    </w:p>
    <w:p w:rsidR="00662C72" w:rsidP="00517C45">
      <w:pPr>
        <w:keepNext/>
      </w:pPr>
      <w:r>
        <w:rPr>
          <w:b/>
          <w:bCs/>
        </w:rPr>
        <w:t>2.3.4. Výpočty vplyvov na verejné financie</w:t>
      </w:r>
    </w:p>
    <w:p w:rsidR="00662C72" w:rsidP="00517C45">
      <w:pPr>
        <w:keepNext/>
      </w:pPr>
      <w:r>
        <w:t> </w:t>
      </w:r>
    </w:p>
    <w:p w:rsidR="00662C72" w:rsidP="00517C45">
      <w:pPr>
        <w:keepNext/>
        <w:ind w:firstLine="708"/>
        <w:jc w:val="both"/>
      </w:pPr>
      <w: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62C72" w:rsidP="00517C45">
      <w:pPr>
        <w:keepNext/>
        <w:jc w:val="both"/>
      </w:pPr>
      <w:r>
        <w:t> </w:t>
      </w:r>
    </w:p>
    <w:p w:rsidR="00662C72" w:rsidP="00517C45">
      <w:pPr>
        <w:keepNext/>
        <w:sectPr>
          <w:footerReference w:type="default" r:id="rId4"/>
          <w:pgSz w:w="12240" w:h="15840"/>
          <w:pgMar w:top="1417" w:right="1417" w:bottom="1417" w:left="1417" w:header="708" w:footer="708" w:gutter="0"/>
          <w:cols w:space="708"/>
          <w:rtlGutter/>
        </w:sectPr>
      </w:pPr>
    </w:p>
    <w:p w:rsidR="00662C72" w:rsidP="00517C45">
      <w:pPr>
        <w:pStyle w:val="NormalWeb"/>
        <w:keepNext/>
        <w:spacing w:before="0" w:beforeAutospacing="0" w:after="0" w:afterAutospacing="0"/>
        <w:jc w:val="right"/>
      </w:pPr>
      <w:r>
        <w:t xml:space="preserve">Tabuľka č. 4 </w:t>
      </w:r>
    </w:p>
    <w:tbl>
      <w:tblPr>
        <w:tblStyle w:val="TableNormal"/>
        <w:tblW w:w="13950" w:type="dxa"/>
        <w:tblCellMar>
          <w:left w:w="0" w:type="dxa"/>
          <w:right w:w="0" w:type="dxa"/>
        </w:tblCellMar>
        <w:tblLook w:val="04A0"/>
      </w:tblPr>
      <w:tblGrid>
        <w:gridCol w:w="4950"/>
        <w:gridCol w:w="1500"/>
        <w:gridCol w:w="1500"/>
        <w:gridCol w:w="1500"/>
        <w:gridCol w:w="1500"/>
        <w:gridCol w:w="3000"/>
      </w:tblGrid>
      <w:tr w:rsidTr="00662C72">
        <w:tblPrEx>
          <w:tblW w:w="13950" w:type="dxa"/>
          <w:tblCellMar>
            <w:left w:w="0" w:type="dxa"/>
            <w:right w:w="0" w:type="dxa"/>
          </w:tblCellMar>
          <w:tblLook w:val="04A0"/>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pStyle w:val="NormalWeb"/>
              <w:keepNext/>
              <w:spacing w:before="0" w:beforeAutospacing="0" w:after="0" w:afterAutospacing="0"/>
              <w:jc w:val="center"/>
            </w:pPr>
            <w:r>
              <w:t> </w:t>
            </w:r>
            <w:r>
              <w:rPr>
                <w:b/>
                <w:bCs/>
                <w:color w:val="FFFFFF"/>
              </w:rPr>
              <w:t>Príjmy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pStyle w:val="NormalWeb"/>
              <w:keepNext/>
              <w:spacing w:before="0" w:beforeAutospacing="0" w:after="0" w:afterAutospacing="0"/>
              <w:jc w:val="center"/>
            </w:pPr>
            <w:r>
              <w:rPr>
                <w:b/>
                <w:bCs/>
                <w:color w:val="FFFFFF"/>
              </w:rPr>
              <w:t>poznámka</w:t>
            </w:r>
          </w:p>
        </w:tc>
      </w:tr>
      <w:tr w:rsidTr="00662C72">
        <w:tblPrEx>
          <w:tblW w:w="13950"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rPr>
                <w:lang w:eastAsia="sk-SK"/>
              </w:rPr>
            </w:pP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+ 1</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+ 2</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rPr>
                <w:lang w:eastAsia="sk-SK"/>
              </w:rPr>
            </w:pPr>
          </w:p>
        </w:tc>
      </w:tr>
      <w:tr w:rsidTr="00662C72">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rPr>
              <w:t xml:space="preserve">Daňové </w:t>
            </w:r>
            <w:r>
              <w:rPr>
                <w:b/>
                <w:bCs/>
              </w:rPr>
              <w:t>príjmy (100)</w:t>
            </w:r>
            <w:r>
              <w:rPr>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rPr>
              <w:t>Nedaňové príjmy (200)</w:t>
            </w:r>
            <w:r>
              <w:rPr>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rPr>
              <w:t>Granty a transfery (300)</w:t>
            </w:r>
            <w:r>
              <w:rPr>
                <w:b/>
                <w:bCs/>
                <w:sz w:val="16"/>
                <w:szCs w:val="16"/>
                <w:vertAlign w:val="superscript"/>
              </w:rPr>
              <w:t>1</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rPr>
              <w:t>Príjmy z transakcií s finančnými aktívami a finančnými pasívami (400)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rPr>
              <w:t>Prijaté úvery, pôžičky a návratné finančné výpomoci (500)</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150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300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3950" w:type="dxa"/>
          <w:tblCellMar>
            <w:left w:w="0" w:type="dxa"/>
            <w:right w:w="0" w:type="dxa"/>
          </w:tblCellMar>
          <w:tblLook w:val="04A0"/>
        </w:tblPrEx>
        <w:trPr>
          <w:trHeight w:val="255"/>
        </w:trPr>
        <w:tc>
          <w:tcPr>
            <w:tcW w:w="4950" w:type="dxa"/>
            <w:tcBorders>
              <w:top w:val="nil"/>
              <w:left w:val="single" w:sz="4" w:space="0" w:color="000000"/>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pPr>
            <w:r>
              <w:rPr>
                <w:b/>
                <w:bCs/>
                <w:color w:val="FFFFFF"/>
              </w:rPr>
              <w:t>Dopad na p</w:t>
            </w:r>
            <w:r>
              <w:rPr>
                <w:b/>
                <w:bCs/>
                <w:color w:val="FFFFFF"/>
              </w:rPr>
              <w:t>ríjmy verejnej správy celkom</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 </w:t>
            </w: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 </w:t>
            </w:r>
          </w:p>
        </w:tc>
        <w:tc>
          <w:tcPr>
            <w:tcW w:w="30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vAlign w:val="bottom"/>
            <w:hideMark/>
          </w:tcPr>
          <w:p w:rsidR="00662C72" w:rsidP="00517C45">
            <w:pPr>
              <w:pStyle w:val="NormalWeb"/>
              <w:keepNext/>
              <w:spacing w:before="0" w:beforeAutospacing="0" w:after="0" w:afterAutospacing="0"/>
            </w:pPr>
            <w:r>
              <w:rPr>
                <w:color w:val="FFFFFF"/>
              </w:rPr>
              <w:t> </w:t>
            </w:r>
          </w:p>
        </w:tc>
      </w:tr>
      <w:tr w:rsidTr="00662C72">
        <w:tblPrEx>
          <w:tblW w:w="13950" w:type="dxa"/>
          <w:tblCellMar>
            <w:left w:w="0" w:type="dxa"/>
            <w:right w:w="0" w:type="dxa"/>
          </w:tblCellMar>
          <w:tblLook w:val="04A0"/>
        </w:tblPrEx>
        <w:tc>
          <w:tcPr>
            <w:tcW w:w="4950" w:type="dxa"/>
            <w:vAlign w:val="center"/>
          </w:tcPr>
          <w:p w:rsidR="00662C72" w:rsidP="00517C45">
            <w:pPr>
              <w:keepNext/>
              <w:rPr>
                <w:sz w:val="2"/>
              </w:rPr>
            </w:pPr>
          </w:p>
        </w:tc>
        <w:tc>
          <w:tcPr>
            <w:tcW w:w="1500" w:type="dxa"/>
            <w:vAlign w:val="center"/>
          </w:tcPr>
          <w:p w:rsidR="00662C72" w:rsidP="00517C45">
            <w:pPr>
              <w:keepNext/>
              <w:rPr>
                <w:sz w:val="2"/>
              </w:rPr>
            </w:pPr>
          </w:p>
        </w:tc>
        <w:tc>
          <w:tcPr>
            <w:tcW w:w="1500" w:type="dxa"/>
            <w:vAlign w:val="center"/>
          </w:tcPr>
          <w:p w:rsidR="00662C72" w:rsidP="00517C45">
            <w:pPr>
              <w:keepNext/>
              <w:rPr>
                <w:sz w:val="2"/>
              </w:rPr>
            </w:pPr>
          </w:p>
        </w:tc>
        <w:tc>
          <w:tcPr>
            <w:tcW w:w="1500" w:type="dxa"/>
            <w:vAlign w:val="center"/>
          </w:tcPr>
          <w:p w:rsidR="00662C72" w:rsidP="00517C45">
            <w:pPr>
              <w:keepNext/>
              <w:rPr>
                <w:sz w:val="2"/>
              </w:rPr>
            </w:pPr>
          </w:p>
        </w:tc>
        <w:tc>
          <w:tcPr>
            <w:tcW w:w="1500" w:type="dxa"/>
            <w:vAlign w:val="center"/>
          </w:tcPr>
          <w:p w:rsidR="00662C72" w:rsidP="00517C45">
            <w:pPr>
              <w:keepNext/>
              <w:rPr>
                <w:sz w:val="2"/>
              </w:rPr>
            </w:pPr>
          </w:p>
        </w:tc>
        <w:tc>
          <w:tcPr>
            <w:tcW w:w="3000" w:type="dxa"/>
            <w:vAlign w:val="center"/>
          </w:tcPr>
          <w:p w:rsidR="00662C72" w:rsidP="00517C45">
            <w:pPr>
              <w:keepNext/>
              <w:rPr>
                <w:sz w:val="2"/>
              </w:rPr>
            </w:pPr>
          </w:p>
        </w:tc>
      </w:tr>
    </w:tbl>
    <w:p w:rsidR="00662C72" w:rsidP="00517C45">
      <w:pPr>
        <w:pStyle w:val="NormalWeb"/>
        <w:keepNext/>
        <w:spacing w:before="0" w:beforeAutospacing="0" w:after="0" w:afterAutospacing="0"/>
        <w:jc w:val="both"/>
        <w:rPr>
          <w:sz w:val="20"/>
          <w:szCs w:val="20"/>
        </w:rPr>
      </w:pPr>
      <w:r>
        <w:rPr>
          <w:sz w:val="20"/>
          <w:szCs w:val="20"/>
        </w:rPr>
        <w:t xml:space="preserve">1 –  príjmy rozpísať až do položiek platnej ekonomickej klasifikácie    </w:t>
      </w:r>
    </w:p>
    <w:p w:rsidR="00662C72" w:rsidP="00517C45">
      <w:pPr>
        <w:pStyle w:val="NormalWeb"/>
        <w:keepNext/>
        <w:spacing w:before="0" w:beforeAutospacing="0" w:after="0" w:afterAutospacing="0"/>
        <w:jc w:val="both"/>
        <w:rPr>
          <w:sz w:val="20"/>
          <w:szCs w:val="20"/>
        </w:rPr>
      </w:pPr>
    </w:p>
    <w:p w:rsidR="00662C72" w:rsidP="00517C45">
      <w:pPr>
        <w:pStyle w:val="NormalWeb"/>
        <w:keepNext/>
        <w:spacing w:before="0" w:beforeAutospacing="0" w:after="0" w:afterAutospacing="0"/>
        <w:jc w:val="both"/>
      </w:pPr>
      <w:r>
        <w:rPr>
          <w:sz w:val="20"/>
          <w:szCs w:val="20"/>
        </w:rPr>
        <w:t xml:space="preserve">                                                                                                                                       </w:t>
      </w:r>
      <w:r>
        <w:rPr>
          <w:sz w:val="20"/>
          <w:szCs w:val="20"/>
        </w:rPr>
        <w:t xml:space="preserve">                                                                                                    </w:t>
      </w:r>
      <w:r>
        <w:t xml:space="preserve">Tabuľka č. 5 </w:t>
      </w:r>
    </w:p>
    <w:tbl>
      <w:tblPr>
        <w:tblStyle w:val="TableNormal"/>
        <w:tblW w:w="15450" w:type="dxa"/>
        <w:tblInd w:w="-1223" w:type="dxa"/>
        <w:tblCellMar>
          <w:left w:w="0" w:type="dxa"/>
          <w:right w:w="0" w:type="dxa"/>
        </w:tblCellMar>
        <w:tblLook w:val="04A0"/>
      </w:tblPr>
      <w:tblGrid>
        <w:gridCol w:w="7070"/>
        <w:gridCol w:w="1540"/>
        <w:gridCol w:w="1540"/>
        <w:gridCol w:w="1540"/>
        <w:gridCol w:w="1540"/>
        <w:gridCol w:w="2220"/>
      </w:tblGrid>
      <w:tr w:rsidTr="00662C72">
        <w:tblPrEx>
          <w:tblW w:w="15450" w:type="dxa"/>
          <w:tblInd w:w="-1223" w:type="dxa"/>
          <w:tblCellMar>
            <w:left w:w="0" w:type="dxa"/>
            <w:right w:w="0" w:type="dxa"/>
          </w:tblCellMar>
          <w:tblLook w:val="04A0"/>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pStyle w:val="NormalWeb"/>
              <w:keepNext/>
              <w:spacing w:before="0" w:beforeAutospacing="0" w:after="0" w:afterAutospacing="0"/>
              <w:jc w:val="center"/>
            </w:pPr>
            <w:r>
              <w:rPr>
                <w:b/>
                <w:bCs/>
                <w:color w:val="FFFFFF"/>
                <w:sz w:val="20"/>
                <w:szCs w:val="20"/>
              </w:rPr>
              <w:t>Výdavky (v eurách)</w:t>
            </w:r>
          </w:p>
        </w:tc>
        <w:tc>
          <w:tcPr>
            <w:tcW w:w="0" w:type="auto"/>
            <w:gridSpan w:val="4"/>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pStyle w:val="NormalWeb"/>
              <w:keepNext/>
              <w:spacing w:before="0" w:beforeAutospacing="0" w:after="0" w:afterAutospacing="0"/>
              <w:jc w:val="center"/>
            </w:pPr>
            <w:r>
              <w:rPr>
                <w:b/>
                <w:bCs/>
                <w:color w:val="FFFFFF"/>
              </w:rPr>
              <w:t>poznámka</w:t>
            </w:r>
          </w:p>
        </w:tc>
      </w:tr>
      <w:tr w:rsidTr="00662C72">
        <w:tblPrEx>
          <w:tblW w:w="15450" w:type="dxa"/>
          <w:tblInd w:w="-1223" w:type="dxa"/>
          <w:tblCellMar>
            <w:left w:w="0" w:type="dxa"/>
            <w:right w:w="0" w:type="dxa"/>
          </w:tblCellMar>
          <w:tblLook w:val="04A0"/>
        </w:tblPrEx>
        <w:trPr>
          <w:trHeight w:val="1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rPr>
                <w:lang w:eastAsia="sk-SK"/>
              </w:rPr>
            </w:pP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r</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r + 1</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r + 2</w:t>
            </w:r>
          </w:p>
        </w:tc>
        <w:tc>
          <w:tcPr>
            <w:tcW w:w="154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rPr>
                <w:lang w:eastAsia="sk-SK"/>
              </w:rPr>
            </w:pP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sz w:val="20"/>
                <w:szCs w:val="20"/>
              </w:rPr>
              <w:t>Bežné výdavky (600)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Mzdy, platy, služobné príjmy a ostatné osobné vyrovnania (610)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Poistné a príspevok do poisťovní (620)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Tovary a služby (630)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Bežné transfery (640)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2C72" w:rsidP="00517C45">
            <w:pPr>
              <w:pStyle w:val="NormalWeb"/>
              <w:keepNext/>
              <w:spacing w:before="0" w:beforeAutospacing="0" w:after="0" w:afterAutospacing="0"/>
            </w:pPr>
            <w:r>
              <w:rPr>
                <w:sz w:val="20"/>
                <w:szCs w:val="20"/>
              </w:rPr>
              <w:t>  Splácanie úrokov a ostatné platby súvisiace s úvermi, pôžičkami a NFV (650)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sz w:val="20"/>
                <w:szCs w:val="20"/>
              </w:rPr>
              <w:t>Kapitálové výdavky (700)</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Obstarávanie kapitálových aktív (710)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Kapitálové transfery (720)</w:t>
            </w:r>
            <w:r>
              <w:rPr>
                <w:sz w:val="13"/>
                <w:szCs w:val="13"/>
                <w:vertAlign w:val="superscript"/>
              </w:rPr>
              <w:t>2</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sz w:val="20"/>
                <w:szCs w:val="20"/>
              </w:rPr>
              <w:t>Výdavky z transakcií s finančnými aktívami a finančnými pasívami (800)</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shd w:val="clear" w:color="auto" w:fill="FFFF99"/>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nil"/>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pPr>
            <w:r>
              <w:rPr>
                <w:b/>
                <w:bCs/>
                <w:color w:val="FFFFFF"/>
                <w:sz w:val="20"/>
                <w:szCs w:val="20"/>
              </w:rPr>
              <w:t>Dopad na výdavky verejnej správy celkom</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sz w:val="20"/>
                <w:szCs w:val="20"/>
              </w:rPr>
              <w:t> </w:t>
            </w:r>
          </w:p>
        </w:tc>
        <w:tc>
          <w:tcPr>
            <w:tcW w:w="1540" w:type="dxa"/>
            <w:tcBorders>
              <w:top w:val="nil"/>
              <w:left w:val="nil"/>
              <w:bottom w:val="nil"/>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 </w:t>
            </w:r>
          </w:p>
        </w:tc>
        <w:tc>
          <w:tcPr>
            <w:tcW w:w="2220" w:type="dxa"/>
            <w:tcBorders>
              <w:top w:val="nil"/>
              <w:left w:val="nil"/>
              <w:bottom w:val="nil"/>
              <w:right w:val="single" w:sz="4" w:space="0" w:color="000000"/>
            </w:tcBorders>
            <w:shd w:val="clear" w:color="auto" w:fill="000000"/>
            <w:tcMar>
              <w:top w:w="0" w:type="dxa"/>
              <w:left w:w="70" w:type="dxa"/>
              <w:bottom w:w="0" w:type="dxa"/>
              <w:right w:w="70" w:type="dxa"/>
            </w:tcMar>
            <w:vAlign w:val="bottom"/>
            <w:hideMark/>
          </w:tcPr>
          <w:p w:rsidR="00662C72" w:rsidP="00517C45">
            <w:pPr>
              <w:pStyle w:val="NormalWeb"/>
              <w:keepNext/>
              <w:spacing w:before="0" w:beforeAutospacing="0" w:after="0" w:afterAutospacing="0"/>
            </w:pPr>
            <w:r>
              <w:rPr>
                <w:color w:val="FFFFFF"/>
              </w:rPr>
              <w:t> </w:t>
            </w:r>
          </w:p>
        </w:tc>
      </w:tr>
      <w:tr w:rsidTr="00662C72">
        <w:tblPrEx>
          <w:tblW w:w="15450" w:type="dxa"/>
          <w:tblInd w:w="-1223" w:type="dxa"/>
          <w:tblCellMar>
            <w:left w:w="0" w:type="dxa"/>
            <w:right w:w="0" w:type="dxa"/>
          </w:tblCellMar>
          <w:tblLook w:val="04A0"/>
        </w:tblPrEx>
        <w:trPr>
          <w:trHeight w:val="255"/>
        </w:trPr>
        <w:tc>
          <w:tcPr>
            <w:tcW w:w="7070"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sz w:val="20"/>
                <w:szCs w:val="20"/>
              </w:rPr>
              <w:t>  z toho výdavky na ŠR</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Bežné výdavky</w:t>
            </w:r>
            <w:r>
              <w:rPr>
                <w:b/>
                <w:bCs/>
                <w:sz w:val="20"/>
                <w:szCs w:val="20"/>
              </w:rPr>
              <w:t xml:space="preserve"> </w:t>
            </w:r>
            <w:r>
              <w:rPr>
                <w:sz w:val="20"/>
                <w:szCs w:val="20"/>
              </w:rPr>
              <w:t>(600)</w:t>
            </w:r>
            <w:r>
              <w:rPr>
                <w:b/>
                <w:bCs/>
                <w:sz w:val="20"/>
                <w:szCs w:val="20"/>
              </w:rPr>
              <w:t xml:space="preserve">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b/>
                <w:bCs/>
                <w:sz w:val="20"/>
                <w:szCs w:val="20"/>
              </w:rPr>
              <w:t>    </w:t>
            </w:r>
            <w:r>
              <w:rPr>
                <w:sz w:val="20"/>
                <w:szCs w:val="20"/>
              </w:rPr>
              <w:t>Mzdy, platy, služobné príjmy a ostatné osobné vyrovnania (610)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Kapitálové výdavky (700)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pPr>
            <w:r>
              <w:rPr>
                <w:sz w:val="20"/>
                <w:szCs w:val="20"/>
              </w:rPr>
              <w:t>    Výdavky z transakcií s finančnými aktívami a finančnými pasívami (800)</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sz w:val="20"/>
                <w:szCs w:val="20"/>
              </w:rPr>
              <w:t> </w:t>
            </w:r>
          </w:p>
        </w:tc>
        <w:tc>
          <w:tcPr>
            <w:tcW w:w="154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222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450" w:type="dxa"/>
          <w:tblInd w:w="-1223" w:type="dxa"/>
          <w:tblCellMar>
            <w:left w:w="0" w:type="dxa"/>
            <w:right w:w="0" w:type="dxa"/>
          </w:tblCellMar>
          <w:tblLook w:val="04A0"/>
        </w:tblPrEx>
        <w:tc>
          <w:tcPr>
            <w:tcW w:w="7070" w:type="dxa"/>
            <w:vAlign w:val="center"/>
          </w:tcPr>
          <w:p w:rsidR="00662C72" w:rsidP="00517C45">
            <w:pPr>
              <w:keepNext/>
              <w:rPr>
                <w:sz w:val="2"/>
              </w:rPr>
            </w:pPr>
          </w:p>
        </w:tc>
        <w:tc>
          <w:tcPr>
            <w:tcW w:w="1540" w:type="dxa"/>
            <w:vAlign w:val="center"/>
          </w:tcPr>
          <w:p w:rsidR="00662C72" w:rsidP="00517C45">
            <w:pPr>
              <w:keepNext/>
              <w:rPr>
                <w:sz w:val="2"/>
              </w:rPr>
            </w:pPr>
          </w:p>
        </w:tc>
        <w:tc>
          <w:tcPr>
            <w:tcW w:w="1540" w:type="dxa"/>
            <w:vAlign w:val="center"/>
          </w:tcPr>
          <w:p w:rsidR="00662C72" w:rsidP="00517C45">
            <w:pPr>
              <w:keepNext/>
              <w:rPr>
                <w:sz w:val="2"/>
              </w:rPr>
            </w:pPr>
          </w:p>
        </w:tc>
        <w:tc>
          <w:tcPr>
            <w:tcW w:w="1540" w:type="dxa"/>
            <w:vAlign w:val="center"/>
          </w:tcPr>
          <w:p w:rsidR="00662C72" w:rsidP="00517C45">
            <w:pPr>
              <w:keepNext/>
              <w:rPr>
                <w:sz w:val="2"/>
              </w:rPr>
            </w:pPr>
          </w:p>
        </w:tc>
        <w:tc>
          <w:tcPr>
            <w:tcW w:w="1540" w:type="dxa"/>
            <w:vAlign w:val="center"/>
          </w:tcPr>
          <w:p w:rsidR="00662C72" w:rsidP="00517C45">
            <w:pPr>
              <w:keepNext/>
              <w:rPr>
                <w:sz w:val="2"/>
              </w:rPr>
            </w:pPr>
          </w:p>
        </w:tc>
        <w:tc>
          <w:tcPr>
            <w:tcW w:w="2220" w:type="dxa"/>
            <w:vAlign w:val="center"/>
          </w:tcPr>
          <w:p w:rsidR="00662C72" w:rsidP="00517C45">
            <w:pPr>
              <w:keepNext/>
              <w:rPr>
                <w:sz w:val="2"/>
              </w:rPr>
            </w:pPr>
          </w:p>
        </w:tc>
      </w:tr>
    </w:tbl>
    <w:p w:rsidR="00662C72" w:rsidP="00517C45">
      <w:pPr>
        <w:pStyle w:val="NormalWeb"/>
        <w:keepNext/>
        <w:spacing w:before="0" w:beforeAutospacing="0" w:after="0" w:afterAutospacing="0"/>
        <w:jc w:val="both"/>
      </w:pPr>
      <w:r>
        <w:rPr>
          <w:sz w:val="20"/>
          <w:szCs w:val="20"/>
        </w:rPr>
        <w:t>2 –  výdavky rozpísať až do položiek platnej ekonomickej klasifikácie</w:t>
      </w:r>
    </w:p>
    <w:p w:rsidR="00662C72" w:rsidP="00517C45">
      <w:pPr>
        <w:pStyle w:val="NormalWeb"/>
        <w:keepNext/>
        <w:spacing w:before="0" w:beforeAutospacing="0" w:after="0" w:afterAutospacing="0"/>
        <w:jc w:val="both"/>
      </w:pPr>
      <w:r>
        <w:rPr>
          <w:sz w:val="20"/>
          <w:szCs w:val="20"/>
        </w:rPr>
        <w:t xml:space="preserve">                                                                                                                                                                                                                       </w:t>
      </w:r>
      <w:r>
        <w:t xml:space="preserve">                 Tabuľka č. 6 </w:t>
      </w:r>
    </w:p>
    <w:tbl>
      <w:tblPr>
        <w:tblStyle w:val="TableNormal"/>
        <w:tblpPr w:leftFromText="141" w:rightFromText="141" w:vertAnchor="text" w:horzAnchor="margin" w:tblpXSpec="center" w:tblpX="1" w:tblpY="170"/>
        <w:tblW w:w="15114" w:type="dxa"/>
        <w:tblCellMar>
          <w:left w:w="0" w:type="dxa"/>
          <w:right w:w="0" w:type="dxa"/>
        </w:tblCellMar>
        <w:tblLook w:val="04A0"/>
      </w:tblPr>
      <w:tblGrid>
        <w:gridCol w:w="5932"/>
        <w:gridCol w:w="1500"/>
        <w:gridCol w:w="1598"/>
        <w:gridCol w:w="564"/>
        <w:gridCol w:w="1491"/>
        <w:gridCol w:w="1550"/>
        <w:gridCol w:w="933"/>
        <w:gridCol w:w="1546"/>
      </w:tblGrid>
      <w:tr w:rsidTr="00662C72">
        <w:tblPrEx>
          <w:tblW w:w="15114" w:type="dxa"/>
          <w:tblCellMar>
            <w:left w:w="0" w:type="dxa"/>
            <w:right w:w="0" w:type="dxa"/>
          </w:tblCellMar>
          <w:tblLook w:val="04A0"/>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pStyle w:val="NormalWeb"/>
              <w:keepNext/>
              <w:spacing w:before="0" w:beforeAutospacing="0" w:after="0" w:afterAutospacing="0"/>
              <w:jc w:val="center"/>
            </w:pPr>
            <w:r>
              <w:rPr>
                <w:b/>
                <w:bCs/>
                <w:color w:val="FFFFFF"/>
              </w:rPr>
              <w:t>Zamestnanosť</w:t>
            </w:r>
          </w:p>
        </w:tc>
        <w:tc>
          <w:tcPr>
            <w:tcW w:w="0" w:type="auto"/>
            <w:gridSpan w:val="5"/>
            <w:tcBorders>
              <w:top w:val="single" w:sz="4" w:space="0" w:color="000000"/>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vAlign w:val="center"/>
            <w:hideMark/>
          </w:tcPr>
          <w:p w:rsidR="00662C72" w:rsidP="00517C45">
            <w:pPr>
              <w:pStyle w:val="NormalWeb"/>
              <w:keepNext/>
              <w:spacing w:before="0" w:beforeAutospacing="0" w:after="0" w:afterAutospacing="0"/>
              <w:jc w:val="center"/>
            </w:pPr>
            <w:r>
              <w:rPr>
                <w:b/>
                <w:bCs/>
                <w:color w:val="FFFFFF"/>
              </w:rPr>
              <w:t>poznámka</w:t>
            </w:r>
          </w:p>
        </w:tc>
      </w:tr>
      <w:tr w:rsidTr="00662C72">
        <w:tblPrEx>
          <w:tblW w:w="15114" w:type="dxa"/>
          <w:tblCellMar>
            <w:left w:w="0" w:type="dxa"/>
            <w:right w:w="0" w:type="dxa"/>
          </w:tblCellMar>
          <w:tblLook w:val="04A0"/>
        </w:tblPrEx>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2C72" w:rsidP="00517C45">
            <w:pPr>
              <w:keepNext/>
              <w:rPr>
                <w:lang w:eastAsia="sk-SK"/>
              </w:rPr>
            </w:pPr>
          </w:p>
        </w:tc>
        <w:tc>
          <w:tcPr>
            <w:tcW w:w="150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w:t>
            </w:r>
          </w:p>
        </w:tc>
        <w:tc>
          <w:tcPr>
            <w:tcW w:w="1598"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+ 1</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+ 2</w:t>
            </w:r>
          </w:p>
        </w:tc>
        <w:tc>
          <w:tcPr>
            <w:tcW w:w="155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r + 3</w:t>
            </w:r>
          </w:p>
        </w:tc>
        <w:tc>
          <w:tcPr>
            <w:tcW w:w="0" w:type="auto"/>
            <w:gridSpan w:val="2"/>
            <w:vMerge/>
            <w:tcBorders>
              <w:top w:val="nil"/>
              <w:left w:val="nil"/>
              <w:bottom w:val="single" w:sz="4" w:space="0" w:color="000000"/>
              <w:right w:val="single" w:sz="4" w:space="0" w:color="000000"/>
            </w:tcBorders>
            <w:vAlign w:val="center"/>
            <w:hideMark/>
          </w:tcPr>
          <w:p w:rsidR="00662C72" w:rsidP="00517C45">
            <w:pPr>
              <w:keepNext/>
              <w:rPr>
                <w:lang w:eastAsia="sk-SK"/>
              </w:rPr>
            </w:pP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Počet zamestnancov celkom*</w:t>
            </w:r>
          </w:p>
        </w:tc>
        <w:tc>
          <w:tcPr>
            <w:tcW w:w="1500"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98"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   z toho vplyv na ŠR</w:t>
            </w:r>
          </w:p>
        </w:tc>
        <w:tc>
          <w:tcPr>
            <w:tcW w:w="1500" w:type="dxa"/>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98" w:type="dxa"/>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0" w:type="auto"/>
            <w:gridSpan w:val="2"/>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Priemerný mzdový výdavok (v eurách)*</w:t>
            </w:r>
          </w:p>
        </w:tc>
        <w:tc>
          <w:tcPr>
            <w:tcW w:w="1500" w:type="dxa"/>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98" w:type="dxa"/>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0" w:type="auto"/>
            <w:gridSpan w:val="2"/>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   z toho vplyv na ŠR</w:t>
            </w:r>
          </w:p>
        </w:tc>
        <w:tc>
          <w:tcPr>
            <w:tcW w:w="1500" w:type="dxa"/>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1598" w:type="dxa"/>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0" w:type="auto"/>
            <w:gridSpan w:val="2"/>
            <w:tcBorders>
              <w:top w:val="single" w:sz="4" w:space="0" w:color="000000"/>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1550" w:type="dxa"/>
            <w:tcBorders>
              <w:top w:val="single" w:sz="4" w:space="0" w:color="000000"/>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shd w:val="clear" w:color="auto" w:fill="000000"/>
            <w:hideMark/>
          </w:tcPr>
          <w:p w:rsidR="00662C72" w:rsidP="00517C45">
            <w:pPr>
              <w:pStyle w:val="NormalWeb"/>
              <w:keepNext/>
              <w:spacing w:before="0" w:beforeAutospacing="0" w:after="0" w:afterAutospacing="0"/>
            </w:pPr>
            <w:r>
              <w:rPr>
                <w:b/>
                <w:bCs/>
                <w:color w:val="FFFFFF"/>
              </w:rPr>
              <w:t>Osobné výdavky celkom (v eurách)</w:t>
            </w:r>
          </w:p>
        </w:tc>
        <w:tc>
          <w:tcPr>
            <w:tcW w:w="1500" w:type="dxa"/>
            <w:tcBorders>
              <w:top w:val="nil"/>
              <w:left w:val="nil"/>
              <w:bottom w:val="single" w:sz="4" w:space="0" w:color="000000"/>
              <w:right w:val="single" w:sz="4" w:space="0" w:color="000000"/>
            </w:tcBorders>
            <w:shd w:val="clear" w:color="auto" w:fill="000000"/>
            <w:hideMark/>
          </w:tcPr>
          <w:p w:rsidR="00662C72" w:rsidP="00517C45">
            <w:pPr>
              <w:pStyle w:val="NormalWeb"/>
              <w:keepNext/>
              <w:spacing w:before="0" w:beforeAutospacing="0" w:after="0" w:afterAutospacing="0"/>
              <w:jc w:val="center"/>
            </w:pPr>
            <w:r>
              <w:rPr>
                <w:b/>
                <w:bCs/>
                <w:color w:val="FFFFFF"/>
              </w:rPr>
              <w:t> </w:t>
            </w:r>
          </w:p>
        </w:tc>
        <w:tc>
          <w:tcPr>
            <w:tcW w:w="1598" w:type="dxa"/>
            <w:tcBorders>
              <w:top w:val="nil"/>
              <w:left w:val="nil"/>
              <w:bottom w:val="single" w:sz="4" w:space="0" w:color="000000"/>
              <w:right w:val="single" w:sz="4" w:space="0" w:color="000000"/>
            </w:tcBorders>
            <w:shd w:val="clear" w:color="auto" w:fill="000000"/>
            <w:hideMark/>
          </w:tcPr>
          <w:p w:rsidR="00662C72" w:rsidP="00517C45">
            <w:pPr>
              <w:pStyle w:val="NormalWeb"/>
              <w:keepNext/>
              <w:spacing w:before="0" w:beforeAutospacing="0" w:after="0" w:afterAutospacing="0"/>
              <w:jc w:val="center"/>
            </w:pPr>
            <w:r>
              <w:rPr>
                <w:b/>
                <w:bCs/>
                <w:color w:val="FFFFFF"/>
              </w:rPr>
              <w:t> </w:t>
            </w:r>
          </w:p>
        </w:tc>
        <w:tc>
          <w:tcPr>
            <w:tcW w:w="0" w:type="auto"/>
            <w:gridSpan w:val="2"/>
            <w:tcBorders>
              <w:top w:val="nil"/>
              <w:left w:val="nil"/>
              <w:bottom w:val="single" w:sz="4" w:space="0" w:color="000000"/>
              <w:right w:val="single" w:sz="4" w:space="0" w:color="000000"/>
            </w:tcBorders>
            <w:shd w:val="clear" w:color="auto" w:fill="000000"/>
            <w:hideMark/>
          </w:tcPr>
          <w:p w:rsidR="00662C72" w:rsidP="00517C45">
            <w:pPr>
              <w:pStyle w:val="NormalWeb"/>
              <w:keepNext/>
              <w:spacing w:before="0" w:beforeAutospacing="0" w:after="0" w:afterAutospacing="0"/>
              <w:jc w:val="center"/>
            </w:pPr>
            <w:r>
              <w:rPr>
                <w:b/>
                <w:bCs/>
                <w:color w:val="FFFFFF"/>
              </w:rPr>
              <w:t> </w:t>
            </w:r>
          </w:p>
        </w:tc>
        <w:tc>
          <w:tcPr>
            <w:tcW w:w="1550" w:type="dxa"/>
            <w:tcBorders>
              <w:top w:val="nil"/>
              <w:left w:val="nil"/>
              <w:bottom w:val="single" w:sz="4" w:space="0" w:color="000000"/>
              <w:right w:val="single" w:sz="4" w:space="0" w:color="000000"/>
            </w:tcBorders>
            <w:shd w:val="clear" w:color="auto" w:fill="000000"/>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color w:val="FFFFFF"/>
              </w:rPr>
              <w:t> </w:t>
            </w:r>
          </w:p>
        </w:tc>
        <w:tc>
          <w:tcPr>
            <w:tcW w:w="0" w:type="auto"/>
            <w:gridSpan w:val="2"/>
            <w:tcBorders>
              <w:top w:val="nil"/>
              <w:left w:val="nil"/>
              <w:bottom w:val="single" w:sz="4" w:space="0" w:color="000000"/>
              <w:right w:val="single" w:sz="4" w:space="0" w:color="000000"/>
            </w:tcBorders>
            <w:shd w:val="clear" w:color="auto" w:fill="000000"/>
            <w:tcMar>
              <w:top w:w="0" w:type="dxa"/>
              <w:left w:w="70" w:type="dxa"/>
              <w:bottom w:w="0" w:type="dxa"/>
              <w:right w:w="70" w:type="dxa"/>
            </w:tcMar>
            <w:vAlign w:val="bottom"/>
            <w:hideMark/>
          </w:tcPr>
          <w:p w:rsidR="00662C72" w:rsidP="00517C45">
            <w:pPr>
              <w:pStyle w:val="NormalWeb"/>
              <w:keepNext/>
              <w:spacing w:before="0" w:beforeAutospacing="0" w:after="0" w:afterAutospacing="0"/>
            </w:pPr>
            <w:r>
              <w:rPr>
                <w:b/>
                <w:bCs/>
                <w:color w:val="FFFFFF"/>
              </w:rP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 xml:space="preserve">Mzdy, platy, služobné príjmy a ostatné osobné vyrovnania (610)* </w:t>
            </w:r>
          </w:p>
        </w:tc>
        <w:tc>
          <w:tcPr>
            <w:tcW w:w="1500"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98"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rPr>
                <w:b/>
                <w:bCs/>
              </w:rP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   z toho vplyv na ŠR</w:t>
            </w:r>
          </w:p>
        </w:tc>
        <w:tc>
          <w:tcPr>
            <w:tcW w:w="1500"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1598"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0" w:type="auto"/>
            <w:gridSpan w:val="2"/>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Poistné a príspevok do poisťovní (620)*</w:t>
            </w:r>
          </w:p>
        </w:tc>
        <w:tc>
          <w:tcPr>
            <w:tcW w:w="1500"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98"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rPr>
                <w:b/>
                <w:bCs/>
              </w:rP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rPr>
                <w:b/>
                <w:bCs/>
              </w:rP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rPr>
                <w:b/>
                <w:bCs/>
              </w:rPr>
              <w:t> </w:t>
            </w:r>
          </w:p>
        </w:tc>
      </w:tr>
      <w:tr w:rsidTr="00662C72">
        <w:tblPrEx>
          <w:tblW w:w="15114" w:type="dxa"/>
          <w:tblCellMar>
            <w:left w:w="0" w:type="dxa"/>
            <w:right w:w="0" w:type="dxa"/>
          </w:tblCellMar>
          <w:tblLook w:val="04A0"/>
        </w:tblPrEx>
        <w:trPr>
          <w:trHeight w:val="255"/>
        </w:trPr>
        <w:tc>
          <w:tcPr>
            <w:tcW w:w="5932" w:type="dxa"/>
            <w:tcBorders>
              <w:top w:val="nil"/>
              <w:left w:val="single" w:sz="4" w:space="0" w:color="000000"/>
              <w:bottom w:val="single" w:sz="4" w:space="0" w:color="000000"/>
              <w:right w:val="single" w:sz="4" w:space="0" w:color="000000"/>
            </w:tcBorders>
            <w:hideMark/>
          </w:tcPr>
          <w:p w:rsidR="00662C72" w:rsidP="00517C45">
            <w:pPr>
              <w:pStyle w:val="NormalWeb"/>
              <w:keepNext/>
              <w:spacing w:before="0" w:beforeAutospacing="0" w:after="0" w:afterAutospacing="0"/>
            </w:pPr>
            <w:r>
              <w:rPr>
                <w:b/>
                <w:bCs/>
              </w:rPr>
              <w:t>   z toho vplyv na ŠR</w:t>
            </w:r>
          </w:p>
        </w:tc>
        <w:tc>
          <w:tcPr>
            <w:tcW w:w="1500"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1598" w:type="dxa"/>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0" w:type="auto"/>
            <w:gridSpan w:val="2"/>
            <w:tcBorders>
              <w:top w:val="nil"/>
              <w:left w:val="nil"/>
              <w:bottom w:val="single" w:sz="4" w:space="0" w:color="000000"/>
              <w:right w:val="single" w:sz="4" w:space="0" w:color="000000"/>
            </w:tcBorders>
            <w:hideMark/>
          </w:tcPr>
          <w:p w:rsidR="00662C72" w:rsidP="00517C45">
            <w:pPr>
              <w:pStyle w:val="NormalWeb"/>
              <w:keepNext/>
              <w:spacing w:before="0" w:beforeAutospacing="0" w:after="0" w:afterAutospacing="0"/>
              <w:jc w:val="center"/>
            </w:pPr>
            <w:r>
              <w:t> </w:t>
            </w:r>
          </w:p>
        </w:tc>
        <w:tc>
          <w:tcPr>
            <w:tcW w:w="1550" w:type="dxa"/>
            <w:tcBorders>
              <w:top w:val="nil"/>
              <w:left w:val="nil"/>
              <w:bottom w:val="single" w:sz="4" w:space="0" w:color="000000"/>
              <w:right w:val="single" w:sz="4" w:space="0" w:color="000000"/>
            </w:tcBorders>
            <w:tcMar>
              <w:top w:w="0" w:type="dxa"/>
              <w:left w:w="70" w:type="dxa"/>
              <w:bottom w:w="0" w:type="dxa"/>
              <w:right w:w="70" w:type="dxa"/>
            </w:tcMar>
            <w:hideMark/>
          </w:tcPr>
          <w:p w:rsidR="00662C72" w:rsidP="00517C45">
            <w:pPr>
              <w:pStyle w:val="NormalWeb"/>
              <w:keepNext/>
              <w:spacing w:before="0" w:beforeAutospacing="0" w:after="0" w:afterAutospacing="0"/>
              <w:jc w:val="center"/>
            </w:pPr>
            <w:r>
              <w:t> </w:t>
            </w:r>
          </w:p>
        </w:tc>
        <w:tc>
          <w:tcPr>
            <w:tcW w:w="0" w:type="auto"/>
            <w:gridSpan w:val="2"/>
            <w:tcBorders>
              <w:top w:val="nil"/>
              <w:left w:val="nil"/>
              <w:bottom w:val="single" w:sz="4" w:space="0" w:color="000000"/>
              <w:right w:val="single" w:sz="4" w:space="0" w:color="000000"/>
            </w:tcBorders>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vAlign w:val="bottom"/>
            <w:hideMark/>
          </w:tcPr>
          <w:p w:rsidR="00662C72" w:rsidP="00517C45">
            <w:pPr>
              <w:pStyle w:val="NormalWeb"/>
              <w:keepNext/>
              <w:spacing w:before="0" w:beforeAutospacing="0" w:after="0" w:afterAutospacing="0"/>
            </w:pPr>
            <w:r>
              <w:t> </w:t>
            </w:r>
          </w:p>
        </w:tc>
        <w:tc>
          <w:tcPr>
            <w:tcW w:w="1500" w:type="dxa"/>
            <w:vAlign w:val="bottom"/>
            <w:hideMark/>
          </w:tcPr>
          <w:p w:rsidR="00662C72" w:rsidP="00517C45">
            <w:pPr>
              <w:pStyle w:val="NormalWeb"/>
              <w:keepNext/>
              <w:spacing w:before="0" w:beforeAutospacing="0" w:after="0" w:afterAutospacing="0"/>
            </w:pPr>
            <w:r>
              <w:t> </w:t>
            </w:r>
          </w:p>
        </w:tc>
        <w:tc>
          <w:tcPr>
            <w:tcW w:w="1598" w:type="dxa"/>
            <w:vAlign w:val="bottom"/>
            <w:hideMark/>
          </w:tcPr>
          <w:p w:rsidR="00662C72" w:rsidP="00517C45">
            <w:pPr>
              <w:pStyle w:val="NormalWeb"/>
              <w:keepNext/>
              <w:spacing w:before="0" w:beforeAutospacing="0" w:after="0" w:afterAutospacing="0"/>
            </w:pPr>
            <w:r>
              <w:t> </w:t>
            </w:r>
          </w:p>
        </w:tc>
        <w:tc>
          <w:tcPr>
            <w:tcW w:w="0" w:type="auto"/>
            <w:gridSpan w:val="2"/>
            <w:vAlign w:val="bottom"/>
            <w:hideMark/>
          </w:tcPr>
          <w:p w:rsidR="00662C72" w:rsidP="00517C45">
            <w:pPr>
              <w:pStyle w:val="NormalWeb"/>
              <w:keepNext/>
              <w:spacing w:before="0" w:beforeAutospacing="0" w:after="0" w:afterAutospacing="0"/>
            </w:pPr>
            <w:r>
              <w:t> </w:t>
            </w:r>
          </w:p>
        </w:tc>
        <w:tc>
          <w:tcPr>
            <w:tcW w:w="1550" w:type="dxa"/>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c>
          <w:tcPr>
            <w:tcW w:w="0" w:type="auto"/>
            <w:gridSpan w:val="2"/>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5932" w:type="dxa"/>
            <w:hideMark/>
          </w:tcPr>
          <w:p w:rsidR="00662C72" w:rsidP="00517C45">
            <w:pPr>
              <w:pStyle w:val="NormalWeb"/>
              <w:keepNext/>
              <w:spacing w:before="0" w:beforeAutospacing="0" w:after="0" w:afterAutospacing="0"/>
            </w:pPr>
            <w:r>
              <w:rPr>
                <w:b/>
                <w:bCs/>
              </w:rPr>
              <w:t>Poznámky:</w:t>
            </w:r>
          </w:p>
        </w:tc>
        <w:tc>
          <w:tcPr>
            <w:tcW w:w="1500" w:type="dxa"/>
            <w:vAlign w:val="bottom"/>
            <w:hideMark/>
          </w:tcPr>
          <w:p w:rsidR="00662C72" w:rsidP="00517C45">
            <w:pPr>
              <w:pStyle w:val="NormalWeb"/>
              <w:keepNext/>
              <w:spacing w:before="0" w:beforeAutospacing="0" w:after="0" w:afterAutospacing="0"/>
            </w:pPr>
            <w:r>
              <w:t> </w:t>
            </w:r>
          </w:p>
        </w:tc>
        <w:tc>
          <w:tcPr>
            <w:tcW w:w="1598" w:type="dxa"/>
            <w:vAlign w:val="bottom"/>
            <w:hideMark/>
          </w:tcPr>
          <w:p w:rsidR="00662C72" w:rsidP="00517C45">
            <w:pPr>
              <w:pStyle w:val="NormalWeb"/>
              <w:keepNext/>
              <w:spacing w:before="0" w:beforeAutospacing="0" w:after="0" w:afterAutospacing="0"/>
            </w:pPr>
            <w:r>
              <w:t> </w:t>
            </w:r>
          </w:p>
        </w:tc>
        <w:tc>
          <w:tcPr>
            <w:tcW w:w="0" w:type="auto"/>
            <w:gridSpan w:val="2"/>
            <w:vAlign w:val="bottom"/>
            <w:hideMark/>
          </w:tcPr>
          <w:p w:rsidR="00662C72" w:rsidP="00517C45">
            <w:pPr>
              <w:pStyle w:val="NormalWeb"/>
              <w:keepNext/>
              <w:spacing w:before="0" w:beforeAutospacing="0" w:after="0" w:afterAutospacing="0"/>
            </w:pPr>
            <w:r>
              <w:t> </w:t>
            </w:r>
          </w:p>
        </w:tc>
        <w:tc>
          <w:tcPr>
            <w:tcW w:w="1550" w:type="dxa"/>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c>
          <w:tcPr>
            <w:tcW w:w="0" w:type="auto"/>
            <w:gridSpan w:val="2"/>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12635" w:type="dxa"/>
            <w:gridSpan w:val="6"/>
            <w:tcMar>
              <w:top w:w="0" w:type="dxa"/>
              <w:left w:w="70" w:type="dxa"/>
              <w:bottom w:w="0" w:type="dxa"/>
              <w:right w:w="70" w:type="dxa"/>
            </w:tcMar>
            <w:hideMark/>
          </w:tcPr>
          <w:p w:rsidR="00662C72" w:rsidP="00517C45">
            <w:pPr>
              <w:pStyle w:val="NormalWeb"/>
              <w:keepNext/>
              <w:spacing w:before="0" w:beforeAutospacing="0" w:after="0" w:afterAutospacing="0"/>
            </w:pPr>
            <w:r>
              <w:t>Priemerný mzdový výdavok je tvorený podielom mzdových výdavkov na jedného zamestnanca na jeden kalendárny mesiac bežného roka</w:t>
            </w:r>
          </w:p>
        </w:tc>
        <w:tc>
          <w:tcPr>
            <w:tcW w:w="0" w:type="auto"/>
            <w:gridSpan w:val="2"/>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rPr>
          <w:trHeight w:val="255"/>
        </w:trPr>
        <w:tc>
          <w:tcPr>
            <w:tcW w:w="15114" w:type="dxa"/>
            <w:gridSpan w:val="8"/>
            <w:tcMar>
              <w:top w:w="0" w:type="dxa"/>
              <w:left w:w="70" w:type="dxa"/>
              <w:bottom w:w="0" w:type="dxa"/>
              <w:right w:w="70" w:type="dxa"/>
            </w:tcMar>
            <w:vAlign w:val="bottom"/>
            <w:hideMark/>
          </w:tcPr>
          <w:p w:rsidR="00662C72" w:rsidP="00517C45">
            <w:pPr>
              <w:pStyle w:val="NormalWeb"/>
              <w:keepNext/>
              <w:spacing w:before="0" w:beforeAutospacing="0" w:after="0" w:afterAutospacing="0"/>
            </w:pPr>
            <w: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rsidTr="00662C72">
        <w:tblPrEx>
          <w:tblW w:w="15114" w:type="dxa"/>
          <w:tblCellMar>
            <w:left w:w="0" w:type="dxa"/>
            <w:right w:w="0" w:type="dxa"/>
          </w:tblCellMar>
          <w:tblLook w:val="04A0"/>
        </w:tblPrEx>
        <w:trPr>
          <w:trHeight w:val="255"/>
        </w:trPr>
        <w:tc>
          <w:tcPr>
            <w:tcW w:w="9594" w:type="dxa"/>
            <w:gridSpan w:val="4"/>
            <w:vAlign w:val="bottom"/>
            <w:hideMark/>
          </w:tcPr>
          <w:p w:rsidR="00662C72" w:rsidP="00517C45">
            <w:pPr>
              <w:pStyle w:val="NormalWeb"/>
              <w:keepNext/>
              <w:spacing w:before="0" w:beforeAutospacing="0" w:after="0" w:afterAutospacing="0"/>
            </w:pPr>
            <w:r>
              <w:t>Kategórie 610 a 620 sú z tejto prílohy automaticky prenášané do príslušných kategórií prílohy „výdavky“</w:t>
            </w:r>
          </w:p>
        </w:tc>
        <w:tc>
          <w:tcPr>
            <w:tcW w:w="1491" w:type="dxa"/>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c>
          <w:tcPr>
            <w:tcW w:w="0" w:type="auto"/>
            <w:gridSpan w:val="2"/>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c>
          <w:tcPr>
            <w:tcW w:w="1546" w:type="dxa"/>
            <w:tcMar>
              <w:top w:w="0" w:type="dxa"/>
              <w:left w:w="70" w:type="dxa"/>
              <w:bottom w:w="0" w:type="dxa"/>
              <w:right w:w="70" w:type="dxa"/>
            </w:tcMar>
            <w:vAlign w:val="bottom"/>
            <w:hideMark/>
          </w:tcPr>
          <w:p w:rsidR="00662C72" w:rsidP="00517C45">
            <w:pPr>
              <w:pStyle w:val="NormalWeb"/>
              <w:keepNext/>
              <w:spacing w:before="0" w:beforeAutospacing="0" w:after="0" w:afterAutospacing="0"/>
            </w:pPr>
            <w:r>
              <w:t> </w:t>
            </w:r>
          </w:p>
        </w:tc>
      </w:tr>
      <w:tr w:rsidTr="00662C72">
        <w:tblPrEx>
          <w:tblW w:w="15114" w:type="dxa"/>
          <w:tblCellMar>
            <w:left w:w="0" w:type="dxa"/>
            <w:right w:w="0" w:type="dxa"/>
          </w:tblCellMar>
          <w:tblLook w:val="04A0"/>
        </w:tblPrEx>
        <w:tc>
          <w:tcPr>
            <w:tcW w:w="5932" w:type="dxa"/>
            <w:vAlign w:val="center"/>
          </w:tcPr>
          <w:p w:rsidR="00662C72" w:rsidP="00517C45">
            <w:pPr>
              <w:keepNext/>
              <w:rPr>
                <w:sz w:val="2"/>
              </w:rPr>
            </w:pPr>
          </w:p>
        </w:tc>
        <w:tc>
          <w:tcPr>
            <w:tcW w:w="1500" w:type="dxa"/>
            <w:vAlign w:val="center"/>
          </w:tcPr>
          <w:p w:rsidR="00662C72" w:rsidP="00517C45">
            <w:pPr>
              <w:keepNext/>
              <w:rPr>
                <w:sz w:val="2"/>
              </w:rPr>
            </w:pPr>
          </w:p>
        </w:tc>
        <w:tc>
          <w:tcPr>
            <w:tcW w:w="1598" w:type="dxa"/>
            <w:vAlign w:val="center"/>
          </w:tcPr>
          <w:p w:rsidR="00662C72" w:rsidP="00517C45">
            <w:pPr>
              <w:keepNext/>
              <w:rPr>
                <w:sz w:val="2"/>
              </w:rPr>
            </w:pPr>
          </w:p>
        </w:tc>
        <w:tc>
          <w:tcPr>
            <w:tcW w:w="564" w:type="dxa"/>
            <w:vAlign w:val="center"/>
          </w:tcPr>
          <w:p w:rsidR="00662C72" w:rsidP="00517C45">
            <w:pPr>
              <w:keepNext/>
              <w:rPr>
                <w:sz w:val="2"/>
              </w:rPr>
            </w:pPr>
          </w:p>
        </w:tc>
        <w:tc>
          <w:tcPr>
            <w:tcW w:w="1491" w:type="dxa"/>
            <w:vAlign w:val="center"/>
          </w:tcPr>
          <w:p w:rsidR="00662C72" w:rsidP="00517C45">
            <w:pPr>
              <w:keepNext/>
              <w:rPr>
                <w:sz w:val="2"/>
              </w:rPr>
            </w:pPr>
          </w:p>
        </w:tc>
        <w:tc>
          <w:tcPr>
            <w:tcW w:w="1550" w:type="dxa"/>
            <w:vAlign w:val="center"/>
          </w:tcPr>
          <w:p w:rsidR="00662C72" w:rsidP="00517C45">
            <w:pPr>
              <w:keepNext/>
              <w:rPr>
                <w:sz w:val="2"/>
              </w:rPr>
            </w:pPr>
          </w:p>
        </w:tc>
        <w:tc>
          <w:tcPr>
            <w:tcW w:w="933" w:type="dxa"/>
            <w:vAlign w:val="center"/>
          </w:tcPr>
          <w:p w:rsidR="00662C72" w:rsidP="00517C45">
            <w:pPr>
              <w:keepNext/>
              <w:rPr>
                <w:sz w:val="2"/>
              </w:rPr>
            </w:pPr>
          </w:p>
        </w:tc>
        <w:tc>
          <w:tcPr>
            <w:tcW w:w="1546" w:type="dxa"/>
            <w:vAlign w:val="center"/>
          </w:tcPr>
          <w:p w:rsidR="00662C72" w:rsidP="00517C45">
            <w:pPr>
              <w:keepNext/>
              <w:rPr>
                <w:sz w:val="2"/>
              </w:rPr>
            </w:pPr>
          </w:p>
        </w:tc>
      </w:tr>
    </w:tbl>
    <w:p w:rsidR="00662C72" w:rsidP="00517C45">
      <w:pPr>
        <w:pStyle w:val="NormalWeb"/>
        <w:keepNext/>
        <w:spacing w:before="0" w:beforeAutospacing="0" w:after="0" w:afterAutospacing="0"/>
        <w:jc w:val="both"/>
      </w:pPr>
      <w:r>
        <w:t> </w:t>
      </w:r>
    </w:p>
    <w:p w:rsidR="00662C72" w:rsidP="00517C45">
      <w:pPr>
        <w:pStyle w:val="NormalWeb"/>
        <w:keepNext/>
        <w:spacing w:before="0" w:beforeAutospacing="0" w:after="0" w:afterAutospacing="0"/>
      </w:pPr>
      <w:r>
        <w:rPr>
          <w:b/>
          <w:bCs/>
        </w:rPr>
        <w:t>* počet zamestnancov,  mzdy a poistné rozpísať podľa spôsobu odmeňovania (napr. policajti, colníci ...)</w:t>
      </w:r>
    </w:p>
    <w:p w:rsidR="00662C72" w:rsidP="00517C45">
      <w:pPr>
        <w:keepNext/>
        <w:rPr>
          <w:b/>
          <w:bCs/>
          <w:caps/>
          <w:sz w:val="26"/>
          <w:szCs w:val="26"/>
        </w:rPr>
        <w:sectPr>
          <w:pgSz w:w="16838" w:h="11906" w:orient="landscape"/>
          <w:pgMar w:top="1417" w:right="1417" w:bottom="1417" w:left="1417" w:header="708" w:footer="708" w:gutter="0"/>
          <w:cols w:space="708"/>
        </w:sectPr>
      </w:pPr>
    </w:p>
    <w:p w:rsidR="00662C72" w:rsidP="00517C45">
      <w:pPr>
        <w:keepNext/>
        <w:jc w:val="center"/>
        <w:rPr>
          <w:b/>
          <w:bCs/>
          <w:caps/>
          <w:sz w:val="26"/>
          <w:szCs w:val="26"/>
        </w:rPr>
      </w:pPr>
      <w:r>
        <w:rPr>
          <w:b/>
          <w:bCs/>
          <w:caps/>
          <w:sz w:val="26"/>
          <w:szCs w:val="26"/>
        </w:rPr>
        <w:t>Doložka zlUčite</w:t>
      </w:r>
      <w:r>
        <w:rPr>
          <w:rFonts w:ascii="Times New Roman" w:hAnsi="Times New Roman"/>
          <w:b/>
          <w:bCs/>
          <w:caps/>
          <w:sz w:val="26"/>
          <w:szCs w:val="26"/>
        </w:rPr>
        <w:t>Ľ</w:t>
      </w:r>
      <w:r>
        <w:rPr>
          <w:b/>
          <w:bCs/>
          <w:caps/>
          <w:sz w:val="26"/>
          <w:szCs w:val="26"/>
        </w:rPr>
        <w:t>nosti</w:t>
      </w:r>
    </w:p>
    <w:p w:rsidR="00662C72" w:rsidP="00517C45">
      <w:pPr>
        <w:keepNext/>
        <w:jc w:val="center"/>
        <w:rPr>
          <w:b/>
          <w:bCs/>
          <w:sz w:val="26"/>
          <w:szCs w:val="26"/>
        </w:rPr>
      </w:pPr>
      <w:r>
        <w:rPr>
          <w:b/>
          <w:bCs/>
          <w:sz w:val="26"/>
          <w:szCs w:val="26"/>
        </w:rPr>
        <w:t>právneho predpisu</w:t>
      </w:r>
    </w:p>
    <w:p w:rsidR="00662C72" w:rsidP="00517C45">
      <w:pPr>
        <w:keepNext/>
        <w:jc w:val="center"/>
        <w:rPr>
          <w:b/>
          <w:bCs/>
          <w:sz w:val="26"/>
          <w:szCs w:val="26"/>
        </w:rPr>
      </w:pPr>
      <w:r>
        <w:rPr>
          <w:b/>
          <w:bCs/>
          <w:sz w:val="26"/>
          <w:szCs w:val="26"/>
        </w:rPr>
        <w:t>s právom Európskych spoločenstiev a právom Európskej</w:t>
      </w:r>
      <w:r>
        <w:rPr>
          <w:sz w:val="26"/>
          <w:szCs w:val="26"/>
        </w:rPr>
        <w:t xml:space="preserve"> </w:t>
      </w:r>
      <w:r>
        <w:rPr>
          <w:b/>
          <w:bCs/>
          <w:sz w:val="26"/>
          <w:szCs w:val="26"/>
        </w:rPr>
        <w:t>únie</w:t>
      </w:r>
    </w:p>
    <w:p w:rsidR="00662C72" w:rsidP="00517C45">
      <w:pPr>
        <w:keepNext/>
        <w:jc w:val="both"/>
      </w:pPr>
    </w:p>
    <w:p w:rsidR="00662C72" w:rsidP="00517C45">
      <w:pPr>
        <w:keepNext/>
        <w:numPr>
          <w:ilvl w:val="0"/>
          <w:numId w:val="1"/>
        </w:numPr>
        <w:jc w:val="both"/>
      </w:pPr>
      <w:r>
        <w:rPr>
          <w:b/>
          <w:bCs/>
        </w:rPr>
        <w:t>Predkladateľ  právneho predpisu</w:t>
      </w:r>
      <w:r>
        <w:t>: Ministerstvo pôdohospodárstva a rozvoja vidieka Slovenskej republiky</w:t>
      </w:r>
    </w:p>
    <w:p w:rsidR="00662C72" w:rsidP="00517C45">
      <w:pPr>
        <w:pStyle w:val="Styl1"/>
        <w:keepNext/>
      </w:pPr>
    </w:p>
    <w:p w:rsidR="00517C45" w:rsidRPr="00517C45" w:rsidP="00517C45">
      <w:pPr>
        <w:keepNext/>
        <w:numPr>
          <w:ilvl w:val="0"/>
          <w:numId w:val="2"/>
        </w:numPr>
        <w:spacing w:before="60" w:after="60"/>
        <w:ind w:left="360"/>
        <w:jc w:val="both"/>
        <w:rPr>
          <w:b/>
          <w:bCs/>
        </w:rPr>
      </w:pPr>
      <w:r w:rsidRPr="00517C45" w:rsidR="00662C72">
        <w:rPr>
          <w:b/>
          <w:bCs/>
        </w:rPr>
        <w:t>Názov návrhu právneho predpisu</w:t>
      </w:r>
      <w:r w:rsidR="00662C72">
        <w:t>: Návrh zákona o tabakových výrobkoch</w:t>
      </w:r>
    </w:p>
    <w:p w:rsidR="00662C72" w:rsidRPr="00517C45" w:rsidP="00517C45">
      <w:pPr>
        <w:keepNext/>
        <w:numPr>
          <w:ilvl w:val="0"/>
          <w:numId w:val="2"/>
        </w:numPr>
        <w:spacing w:before="60" w:after="60"/>
        <w:ind w:left="360"/>
        <w:jc w:val="both"/>
        <w:rPr>
          <w:b/>
          <w:bCs/>
        </w:rPr>
      </w:pPr>
      <w:r w:rsidRPr="00517C45">
        <w:rPr>
          <w:b/>
          <w:bCs/>
        </w:rPr>
        <w:t>Problematika návrhu právneho predpisu:</w:t>
      </w:r>
    </w:p>
    <w:p w:rsidR="00662C72" w:rsidP="00517C45">
      <w:pPr>
        <w:keepNext/>
        <w:numPr>
          <w:ilvl w:val="1"/>
          <w:numId w:val="3"/>
        </w:numPr>
        <w:spacing w:before="60" w:after="60"/>
        <w:ind w:left="900" w:hanging="540"/>
        <w:jc w:val="both"/>
      </w:pPr>
      <w:r>
        <w:t xml:space="preserve"> je upravená v práve Európskej únie</w:t>
      </w:r>
    </w:p>
    <w:p w:rsidR="00492075" w:rsidRPr="009D26F5" w:rsidP="00517C45">
      <w:pPr>
        <w:keepNext/>
        <w:ind w:left="708"/>
        <w:jc w:val="both"/>
        <w:rPr>
          <w:i/>
          <w:iCs/>
          <w:color w:val="000000"/>
        </w:rPr>
      </w:pPr>
      <w:r>
        <w:rPr>
          <w:i/>
          <w:iCs/>
          <w:color w:val="000000"/>
        </w:rPr>
        <w:t>- sekundárnom (prijatom pred</w:t>
      </w:r>
      <w:r w:rsidRPr="009D26F5">
        <w:rPr>
          <w:i/>
          <w:iCs/>
          <w:color w:val="000000"/>
        </w:rPr>
        <w:t xml:space="preserve"> nadobudnutí platnosti Lisabonskej zmluvy, ktorou sa mení a dopĺňa Zmluva o Európskom spoločenstv</w:t>
      </w:r>
      <w:r>
        <w:rPr>
          <w:i/>
          <w:iCs/>
          <w:color w:val="000000"/>
        </w:rPr>
        <w:t>e a Zmluva o Európskej únii – do</w:t>
      </w:r>
      <w:r w:rsidRPr="009D26F5">
        <w:rPr>
          <w:i/>
          <w:iCs/>
          <w:color w:val="000000"/>
        </w:rPr>
        <w:t xml:space="preserve"> 30. novembri 2009)</w:t>
      </w:r>
      <w:r w:rsidR="002717C7">
        <w:rPr>
          <w:i/>
          <w:iCs/>
          <w:color w:val="000000"/>
        </w:rPr>
        <w:t>:</w:t>
      </w:r>
    </w:p>
    <w:p w:rsidR="00492075" w:rsidP="00517C45">
      <w:pPr>
        <w:keepNext/>
        <w:ind w:left="708"/>
        <w:jc w:val="both"/>
      </w:pPr>
      <w:r>
        <w:t>Nariadenie</w:t>
      </w:r>
      <w:r w:rsidRPr="006646A1">
        <w:t xml:space="preserve"> </w:t>
      </w:r>
      <w:r w:rsidRPr="00492075">
        <w:t>Európskeho parlamentu a Rady (ES) č. 764/2008 z 9. júla 2008, ktorým sa ustanovujú postupy týkajúce sa uplatňovania určitých vnútroštátnych technických pravidiel na výrobky, ktoré sú v súlade s právnymi predpismi uvedené na trh v inom členskom štáte, a ktorým sa zrušuje rozhodnutie č. 3052/95/ES</w:t>
      </w:r>
      <w:r w:rsidRPr="006646A1">
        <w:t xml:space="preserve"> </w:t>
      </w:r>
      <w:r>
        <w:t>(Ú. v. EÚ L 218, 13.8.2008</w:t>
      </w:r>
      <w:r w:rsidRPr="006646A1">
        <w:t>).</w:t>
      </w:r>
    </w:p>
    <w:p w:rsidR="00662C72" w:rsidP="00517C45">
      <w:pPr>
        <w:keepNext/>
        <w:numPr>
          <w:ilvl w:val="1"/>
          <w:numId w:val="3"/>
        </w:numPr>
        <w:spacing w:before="60" w:after="60"/>
        <w:ind w:left="720"/>
        <w:jc w:val="both"/>
      </w:pPr>
      <w:r>
        <w:t>nie je obsiahnutá v judikatúre Súdneho dvora Európskej únie .</w:t>
      </w:r>
    </w:p>
    <w:p w:rsidR="00517C45" w:rsidRPr="00071AF2" w:rsidP="00517C45">
      <w:pPr>
        <w:keepNext/>
        <w:numPr>
          <w:ilvl w:val="0"/>
          <w:numId w:val="2"/>
        </w:numPr>
        <w:spacing w:before="60" w:after="60"/>
        <w:ind w:left="360"/>
        <w:jc w:val="both"/>
        <w:rPr>
          <w:b/>
          <w:bCs/>
        </w:rPr>
      </w:pPr>
      <w:r w:rsidRPr="00071AF2">
        <w:rPr>
          <w:b/>
          <w:bCs/>
        </w:rPr>
        <w:t>Záväzky Slovenskej republiky vo vzťahu k Európskej únii:</w:t>
      </w:r>
    </w:p>
    <w:p w:rsidR="00517C45" w:rsidRPr="00517C45" w:rsidP="00517C45">
      <w:pPr>
        <w:keepNext/>
        <w:numPr>
          <w:ilvl w:val="0"/>
          <w:numId w:val="6"/>
        </w:numPr>
        <w:tabs>
          <w:tab w:val="num" w:pos="720"/>
          <w:tab w:val="clear" w:pos="1416"/>
        </w:tabs>
        <w:spacing w:before="60" w:after="60"/>
        <w:ind w:left="720"/>
        <w:jc w:val="both"/>
        <w:rPr>
          <w:color w:val="000000"/>
        </w:rPr>
      </w:pPr>
      <w:r>
        <w:t>lehota na prebratie smernice alebo lehota na implementáciu nariadenia alebo rozhodnutia- bezpredmetné.</w:t>
      </w:r>
    </w:p>
    <w:p w:rsidR="00517C45" w:rsidRPr="00071AF2" w:rsidP="00517C45">
      <w:pPr>
        <w:keepNext/>
        <w:numPr>
          <w:ilvl w:val="0"/>
          <w:numId w:val="6"/>
        </w:numPr>
        <w:tabs>
          <w:tab w:val="num" w:pos="720"/>
          <w:tab w:val="clear" w:pos="1416"/>
        </w:tabs>
        <w:spacing w:before="60" w:after="60"/>
        <w:ind w:left="720"/>
        <w:jc w:val="both"/>
      </w:pPr>
      <w:r w:rsidRPr="00517C45">
        <w:rPr>
          <w:color w:val="000000"/>
        </w:rPr>
        <w:t>lehota určená na predloženie návrhu právneho predpisu na rokovanie vlády  podľa určenia gestorských ústredných orgánov štátnej správy zodpovedných za prebratie smerníc a vypracovanie tabuliek zhody k návrhom všeobecne záväzných právnych predpisov alebo lehota na implementáciu nariadenia alebo rozhodnutia z nich vyplývajúca- bezpredmetné.</w:t>
      </w:r>
    </w:p>
    <w:p w:rsidR="00517C45" w:rsidRPr="009D26F5" w:rsidP="00517C45">
      <w:pPr>
        <w:keepNext/>
        <w:numPr>
          <w:ilvl w:val="0"/>
          <w:numId w:val="6"/>
        </w:numPr>
        <w:tabs>
          <w:tab w:val="num" w:pos="720"/>
          <w:tab w:val="clear" w:pos="1416"/>
        </w:tabs>
        <w:spacing w:before="60" w:after="60"/>
        <w:ind w:left="720"/>
        <w:jc w:val="both"/>
        <w:rPr>
          <w:color w:val="000000"/>
        </w:rPr>
      </w:pPr>
      <w:r>
        <w:rPr>
          <w:color w:val="000000"/>
        </w:rPr>
        <w:t xml:space="preserve">V oblasti, ktorú upravuje tento návrh zákona  </w:t>
      </w:r>
      <w:r w:rsidRPr="009D26F5">
        <w:rPr>
          <w:color w:val="000000"/>
        </w:rPr>
        <w:t>nebolo začaté konanie proti Slovenskej republike o porušení Zmluvy o fungovaní Európskej únie podľa čl. 258 až 260 Zml</w:t>
      </w:r>
      <w:r>
        <w:rPr>
          <w:color w:val="000000"/>
        </w:rPr>
        <w:t>uvy o fungovaní Európskej únie - bezpredmetné</w:t>
      </w:r>
    </w:p>
    <w:p w:rsidR="00517C45" w:rsidRPr="009D26F5" w:rsidP="00517C45">
      <w:pPr>
        <w:keepNext/>
        <w:numPr>
          <w:ilvl w:val="0"/>
          <w:numId w:val="6"/>
        </w:numPr>
        <w:tabs>
          <w:tab w:val="num" w:pos="720"/>
          <w:tab w:val="clear" w:pos="1416"/>
        </w:tabs>
        <w:spacing w:before="60" w:after="60"/>
        <w:ind w:left="720"/>
        <w:jc w:val="both"/>
        <w:rPr>
          <w:color w:val="000000"/>
        </w:rPr>
      </w:pPr>
      <w:r w:rsidRPr="009D26F5">
        <w:rPr>
          <w:color w:val="000000"/>
        </w:rPr>
        <w:t>informácia o právnych predpisoch, v ktorých sú preberané smernice už prebraté spolu s uvedením rozsahu tohto prebratia</w:t>
      </w:r>
      <w:r>
        <w:rPr>
          <w:color w:val="000000"/>
        </w:rPr>
        <w:t xml:space="preserve"> - bezpredmetné</w:t>
      </w:r>
    </w:p>
    <w:p w:rsidR="00517C45" w:rsidRPr="00071AF2" w:rsidP="00517C45">
      <w:pPr>
        <w:keepNext/>
        <w:numPr>
          <w:ilvl w:val="0"/>
          <w:numId w:val="2"/>
        </w:numPr>
        <w:spacing w:before="60" w:after="60"/>
        <w:ind w:left="360"/>
        <w:jc w:val="both"/>
        <w:rPr>
          <w:b/>
          <w:bCs/>
        </w:rPr>
      </w:pPr>
      <w:r w:rsidRPr="00071AF2">
        <w:rPr>
          <w:b/>
          <w:bCs/>
        </w:rPr>
        <w:t>Stupeň zlučiteľnosti návrhu právneho predpisu s právom Európskej únie</w:t>
      </w:r>
    </w:p>
    <w:p w:rsidR="00517C45" w:rsidRPr="00071AF2" w:rsidP="00517C45">
      <w:pPr>
        <w:ind w:firstLine="283"/>
      </w:pPr>
      <w:r>
        <w:t>úplný</w:t>
      </w:r>
    </w:p>
    <w:p w:rsidR="00517C45" w:rsidRPr="00071AF2" w:rsidP="00517C45">
      <w:pPr>
        <w:keepNext/>
        <w:numPr>
          <w:ilvl w:val="0"/>
          <w:numId w:val="2"/>
        </w:numPr>
        <w:spacing w:before="60" w:after="60"/>
        <w:ind w:left="360"/>
        <w:jc w:val="both"/>
        <w:rPr>
          <w:b/>
          <w:bCs/>
        </w:rPr>
      </w:pPr>
      <w:r w:rsidRPr="00071AF2">
        <w:rPr>
          <w:b/>
          <w:bCs/>
        </w:rPr>
        <w:t>Gestor a spolupracujúce rezorty:</w:t>
      </w:r>
    </w:p>
    <w:p w:rsidR="00517C45" w:rsidP="00517C45">
      <w:pPr>
        <w:ind w:firstLine="283"/>
      </w:pPr>
      <w:r w:rsidRPr="00071AF2">
        <w:t>Ministerstvo pôdohospodárstva</w:t>
      </w:r>
      <w:r>
        <w:t xml:space="preserve"> a rozvoja vidieka </w:t>
      </w:r>
      <w:r w:rsidRPr="00071AF2">
        <w:t>Slovenskej republiky</w:t>
      </w:r>
      <w:r>
        <w:t>.</w:t>
      </w:r>
    </w:p>
    <w:p w:rsidR="00662C72" w:rsidP="00517C45">
      <w:pPr>
        <w:keepNext/>
        <w:jc w:val="both"/>
        <w:rPr>
          <w:b/>
          <w:bCs/>
        </w:rPr>
      </w:pPr>
    </w:p>
    <w:p w:rsidR="00662C72" w:rsidP="00517C45">
      <w:pPr>
        <w:keepNext/>
        <w:ind w:firstLine="708"/>
        <w:jc w:val="both"/>
        <w:rPr>
          <w:b/>
          <w:bCs/>
        </w:rPr>
      </w:pPr>
    </w:p>
    <w:p w:rsidR="00662C72" w:rsidP="00517C45">
      <w:pPr>
        <w:keepNext/>
        <w:jc w:val="both"/>
      </w:pPr>
    </w:p>
    <w:p w:rsidR="00662C72" w:rsidP="00517C45">
      <w:pPr>
        <w:keepNext/>
        <w:jc w:val="both"/>
        <w:rPr>
          <w:b/>
          <w:bCs/>
        </w:rPr>
      </w:pPr>
      <w:r w:rsidR="00517C45">
        <w:rPr>
          <w:b/>
          <w:bCs/>
        </w:rPr>
        <w:br w:type="page"/>
      </w:r>
      <w:r>
        <w:rPr>
          <w:b/>
          <w:bCs/>
        </w:rPr>
        <w:t>OSOBITNÁ ČASŤ</w:t>
      </w:r>
    </w:p>
    <w:p w:rsidR="00662C72" w:rsidP="00517C45">
      <w:pPr>
        <w:pStyle w:val="Heading3"/>
      </w:pPr>
      <w:r>
        <w:t>K § 1</w:t>
      </w:r>
    </w:p>
    <w:p w:rsidR="00662C72" w:rsidP="00517C45">
      <w:pPr>
        <w:keepNext/>
        <w:spacing w:before="120" w:after="120"/>
        <w:ind w:firstLine="708"/>
        <w:jc w:val="both"/>
        <w:rPr>
          <w:bCs/>
        </w:rPr>
      </w:pPr>
      <w:r>
        <w:rPr>
          <w:bCs/>
        </w:rPr>
        <w:t xml:space="preserve">Predmet úpravy. </w:t>
      </w:r>
    </w:p>
    <w:p w:rsidR="00662C72" w:rsidP="00517C45">
      <w:pPr>
        <w:pStyle w:val="Heading3"/>
      </w:pPr>
      <w:r>
        <w:t>K § 2</w:t>
      </w:r>
    </w:p>
    <w:p w:rsidR="00662C72" w:rsidP="00517C45">
      <w:pPr>
        <w:keepNext/>
        <w:spacing w:before="120" w:after="120"/>
        <w:ind w:firstLine="708"/>
        <w:jc w:val="both"/>
        <w:rPr>
          <w:bCs/>
        </w:rPr>
      </w:pPr>
      <w:r>
        <w:rPr>
          <w:bCs/>
        </w:rPr>
        <w:t>Vymedzuje pojmy.</w:t>
      </w:r>
    </w:p>
    <w:p w:rsidR="00662C72" w:rsidP="00517C45">
      <w:pPr>
        <w:pStyle w:val="Heading3"/>
      </w:pPr>
      <w:r>
        <w:t>K § 3</w:t>
      </w:r>
    </w:p>
    <w:p w:rsidR="00662C72" w:rsidP="00517C45">
      <w:pPr>
        <w:keepNext/>
        <w:spacing w:before="120" w:after="120"/>
        <w:ind w:firstLine="708"/>
        <w:jc w:val="both"/>
        <w:rPr>
          <w:bCs/>
        </w:rPr>
      </w:pPr>
      <w:r w:rsidR="007F69EB">
        <w:rPr>
          <w:bCs/>
        </w:rPr>
        <w:t xml:space="preserve"> Vymedzuje sa pojem prevádzkovateľ a u</w:t>
      </w:r>
      <w:r>
        <w:rPr>
          <w:bCs/>
        </w:rPr>
        <w:t>stanovuje sa</w:t>
      </w:r>
      <w:r w:rsidR="007F69EB">
        <w:rPr>
          <w:bCs/>
        </w:rPr>
        <w:t xml:space="preserve"> mu</w:t>
      </w:r>
      <w:r>
        <w:rPr>
          <w:bCs/>
        </w:rPr>
        <w:t xml:space="preserve"> povinnosť registrovať prevádzkareň v ktorej sa vykonáva výroba tabakových výrobkov na akomkoľvek stupni výroby.</w:t>
      </w:r>
      <w:r w:rsidR="00565D66">
        <w:rPr>
          <w:bCs/>
        </w:rPr>
        <w:t xml:space="preserve"> </w:t>
      </w:r>
      <w:r w:rsidR="00300C94">
        <w:rPr>
          <w:bCs/>
        </w:rPr>
        <w:t>Na základe registrácie vyd</w:t>
      </w:r>
      <w:r w:rsidR="00565D66">
        <w:rPr>
          <w:bCs/>
        </w:rPr>
        <w:t>á ministerstvo prevádzkovateľovi</w:t>
      </w:r>
      <w:r w:rsidR="00300C94">
        <w:rPr>
          <w:bCs/>
        </w:rPr>
        <w:t xml:space="preserve"> osvedčenie</w:t>
      </w:r>
      <w:r w:rsidRPr="00565D66" w:rsidR="00565D66">
        <w:t xml:space="preserve"> </w:t>
      </w:r>
      <w:r w:rsidRPr="00AD4391" w:rsidR="00565D66">
        <w:t>na výrobu tabakových výrobkov</w:t>
      </w:r>
    </w:p>
    <w:p w:rsidR="00662C72" w:rsidP="00517C45">
      <w:pPr>
        <w:keepNext/>
        <w:spacing w:before="120" w:after="120"/>
        <w:ind w:firstLine="708"/>
        <w:jc w:val="both"/>
        <w:rPr>
          <w:bCs/>
        </w:rPr>
      </w:pPr>
      <w:r>
        <w:rPr>
          <w:bCs/>
        </w:rPr>
        <w:t>Ustanovuje sa kompetencia</w:t>
      </w:r>
      <w:r>
        <w:t xml:space="preserve"> Štátnej veterinárnej a potravinovej správy Slovenskej republiky viesť aktuálny zoznam registrovaných prevádzkarní.</w:t>
      </w:r>
    </w:p>
    <w:p w:rsidR="00662C72" w:rsidP="00517C45">
      <w:pPr>
        <w:pStyle w:val="Heading3"/>
      </w:pPr>
      <w:r>
        <w:t xml:space="preserve">K § 4 </w:t>
      </w:r>
    </w:p>
    <w:p w:rsidR="00662C72" w:rsidP="00517C45">
      <w:pPr>
        <w:keepNext/>
        <w:spacing w:before="120" w:after="120"/>
        <w:ind w:firstLine="708"/>
        <w:jc w:val="both"/>
        <w:rPr>
          <w:bCs/>
        </w:rPr>
      </w:pPr>
      <w:r>
        <w:rPr>
          <w:bCs/>
        </w:rPr>
        <w:t>Upravuje požiadavky na výrobcu tabakových výrobkov, ktoré musí splniť pri výrobe tabakových výrobkov,</w:t>
      </w:r>
      <w:r w:rsidRPr="00662C72">
        <w:rPr>
          <w:bCs/>
        </w:rPr>
        <w:t xml:space="preserve"> </w:t>
      </w:r>
      <w:r>
        <w:rPr>
          <w:bCs/>
        </w:rPr>
        <w:t xml:space="preserve">najmä používať len stanovené suroviny a zložky, vhodné technologické zariadenia či overovať kvalitu tabakových výrobkov aby zodpovedali požiadavkám tohto zákona. </w:t>
      </w:r>
    </w:p>
    <w:p w:rsidR="00662C72" w:rsidP="00517C45">
      <w:pPr>
        <w:pStyle w:val="Heading3"/>
      </w:pPr>
      <w:r>
        <w:t>K § 5</w:t>
      </w:r>
    </w:p>
    <w:p w:rsidR="00662C72" w:rsidP="00517C45">
      <w:pPr>
        <w:keepNext/>
        <w:spacing w:before="120" w:after="120"/>
        <w:ind w:firstLine="708"/>
        <w:jc w:val="both"/>
        <w:rPr>
          <w:bCs/>
        </w:rPr>
      </w:pPr>
      <w:r>
        <w:rPr>
          <w:bCs/>
        </w:rPr>
        <w:t xml:space="preserve">Ustanovujú  dôvody ,pri ktorých je osoba ktorá umiestňuje tabakové výrobky na trh </w:t>
      </w:r>
      <w:r w:rsidR="00530635">
        <w:rPr>
          <w:bCs/>
        </w:rPr>
        <w:t xml:space="preserve"> povinná </w:t>
      </w:r>
      <w:r>
        <w:rPr>
          <w:bCs/>
        </w:rPr>
        <w:t xml:space="preserve">bezodkladne </w:t>
      </w:r>
      <w:r w:rsidRPr="00F96A2B">
        <w:t>vyradiť z trhu tabakové výrobky</w:t>
      </w:r>
      <w:r>
        <w:t>.</w:t>
      </w:r>
    </w:p>
    <w:p w:rsidR="00662C72" w:rsidP="00517C45">
      <w:pPr>
        <w:pStyle w:val="Heading3"/>
      </w:pPr>
      <w:r>
        <w:t>K § 6</w:t>
      </w:r>
    </w:p>
    <w:p w:rsidR="00530635" w:rsidP="00517C45">
      <w:pPr>
        <w:keepNext/>
        <w:spacing w:before="120" w:after="120"/>
        <w:ind w:firstLine="708"/>
        <w:jc w:val="both"/>
        <w:rPr>
          <w:bCs/>
        </w:rPr>
      </w:pPr>
      <w:r>
        <w:rPr>
          <w:bCs/>
        </w:rPr>
        <w:t>Ustanovuje povinnosť pre osobu ktorá</w:t>
      </w:r>
      <w:r>
        <w:t xml:space="preserve"> balí tabakové výrobky pri ich výrobe alebo ich umiestňovaní na trh</w:t>
      </w:r>
      <w:r>
        <w:rPr>
          <w:bCs/>
        </w:rPr>
        <w:t xml:space="preserve">  </w:t>
      </w:r>
      <w:r>
        <w:t>používať len  určené obaly a obalové materiály.</w:t>
      </w:r>
    </w:p>
    <w:p w:rsidR="00662C72" w:rsidP="00517C45">
      <w:pPr>
        <w:pStyle w:val="Heading3"/>
      </w:pPr>
      <w:r>
        <w:t>K § 7</w:t>
      </w:r>
    </w:p>
    <w:p w:rsidR="00530635" w:rsidP="00517C45">
      <w:pPr>
        <w:keepNext/>
        <w:spacing w:before="120" w:after="120"/>
        <w:ind w:firstLine="708"/>
        <w:jc w:val="both"/>
        <w:rPr>
          <w:bCs/>
        </w:rPr>
      </w:pPr>
      <w:r>
        <w:rPr>
          <w:bCs/>
        </w:rPr>
        <w:t>Ustanovuje sa povinnosť označovať v kodifikovanej podobe štátneho jazyka každé  spotrebiteľské balenie tabakového výrobku vymedzenými údajmi.</w:t>
      </w:r>
    </w:p>
    <w:p w:rsidR="00662C72" w:rsidP="00517C45">
      <w:pPr>
        <w:pStyle w:val="Heading3"/>
      </w:pPr>
      <w:r>
        <w:t>K § 8</w:t>
      </w:r>
    </w:p>
    <w:p w:rsidR="00530635" w:rsidP="00517C45">
      <w:pPr>
        <w:keepNext/>
        <w:spacing w:before="120" w:after="120"/>
        <w:ind w:firstLine="708"/>
        <w:jc w:val="both"/>
        <w:rPr>
          <w:bCs/>
        </w:rPr>
      </w:pPr>
      <w:r>
        <w:rPr>
          <w:bCs/>
        </w:rPr>
        <w:t xml:space="preserve">Ustanovuje povinnosti pre osobu ktorá </w:t>
      </w:r>
      <w:r>
        <w:t>skladuje tabakové výrobky a zložky na ich výrobu, pričom musí dodržiavať aj ďalšie podmienky ustanovené prevádzkovateľom.</w:t>
      </w:r>
    </w:p>
    <w:p w:rsidR="00662C72" w:rsidP="00517C45">
      <w:pPr>
        <w:pStyle w:val="Heading3"/>
      </w:pPr>
      <w:r>
        <w:t>K § 9</w:t>
      </w:r>
    </w:p>
    <w:p w:rsidR="00530635" w:rsidP="00517C45">
      <w:pPr>
        <w:keepNext/>
        <w:spacing w:before="120" w:after="120"/>
        <w:ind w:firstLine="708"/>
        <w:jc w:val="both"/>
        <w:rPr>
          <w:bCs/>
        </w:rPr>
      </w:pPr>
      <w:r>
        <w:rPr>
          <w:bCs/>
        </w:rPr>
        <w:t xml:space="preserve">Ustanovuje povinnosti pre osobu ktorá </w:t>
      </w:r>
      <w:r>
        <w:t>prepravuje tabakové výrobky a zložky na ich výrobu</w:t>
      </w:r>
      <w:r>
        <w:rPr>
          <w:bCs/>
        </w:rPr>
        <w:t>.</w:t>
      </w:r>
    </w:p>
    <w:p w:rsidR="00662C72" w:rsidP="00517C45">
      <w:pPr>
        <w:pStyle w:val="Heading3"/>
      </w:pPr>
      <w:r>
        <w:t>K § 10</w:t>
      </w:r>
    </w:p>
    <w:p w:rsidR="00530635" w:rsidP="00517C45">
      <w:pPr>
        <w:keepNext/>
        <w:spacing w:before="120" w:after="120"/>
        <w:ind w:firstLine="708"/>
        <w:jc w:val="both"/>
        <w:rPr>
          <w:bCs/>
        </w:rPr>
      </w:pPr>
      <w:r>
        <w:rPr>
          <w:bCs/>
        </w:rPr>
        <w:t>Ustanovuje zodpovednosť a  povinnosti pre osobu, ktorá predáva tabakové výrobky.</w:t>
      </w:r>
    </w:p>
    <w:p w:rsidR="00662C72" w:rsidP="00517C45">
      <w:pPr>
        <w:pStyle w:val="Heading3"/>
      </w:pPr>
      <w:r>
        <w:t>K § 11</w:t>
      </w:r>
    </w:p>
    <w:p w:rsidR="00530635" w:rsidP="00517C45">
      <w:pPr>
        <w:keepNext/>
        <w:spacing w:before="120" w:after="120"/>
        <w:ind w:firstLine="709"/>
        <w:jc w:val="both"/>
      </w:pPr>
      <w:r>
        <w:rPr>
          <w:bCs/>
        </w:rPr>
        <w:t xml:space="preserve">Vymedzujú sa </w:t>
      </w:r>
      <w:r>
        <w:t>orgány štátnej správy vo veciach úradnej kontroly tabakových výrobkov, ich kompetencie a jednotlivé opatrenia ktoré môžu prijať v rámci svojej pôsobnosti na základe zistení pri výkone úradnej kontroly tabakových výrobkov. Ustanovuje sa oprávnenie prevádzkovateľa byť prítomný počas výkonu kontroly, vyjadrovať sa k priebehu kontroly a  podať námietky  voči uloženému opatreniu ak s ním nesúhlasí.</w:t>
      </w:r>
    </w:p>
    <w:p w:rsidR="00662C72" w:rsidP="00517C45">
      <w:pPr>
        <w:pStyle w:val="Heading3"/>
      </w:pPr>
      <w:r>
        <w:t>K § 12</w:t>
      </w:r>
    </w:p>
    <w:p w:rsidR="00530635" w:rsidP="00517C45">
      <w:pPr>
        <w:keepNext/>
        <w:spacing w:before="120" w:after="120"/>
        <w:ind w:firstLine="709"/>
        <w:jc w:val="both"/>
        <w:rPr>
          <w:bCs/>
        </w:rPr>
      </w:pPr>
      <w:r>
        <w:rPr>
          <w:bCs/>
        </w:rPr>
        <w:t xml:space="preserve">Ustanovujú sa oprávnenia zamestnancov </w:t>
      </w:r>
      <w:r>
        <w:t>orgánu úradnej kontroly, pri výkone úradnej kontroly  ohľadne odberu vzoriek tabakových výrobkov na analýzy a hodnotenia. Ustanovujú sa povinnosti a oprávnenia zamestnanca orgánu úradnej kontroly pri výkone úradnej kontroly tabakových výrobkov</w:t>
      </w:r>
      <w:r>
        <w:rPr>
          <w:bCs/>
        </w:rPr>
        <w:t>.</w:t>
      </w:r>
    </w:p>
    <w:p w:rsidR="00662C72" w:rsidP="00517C45">
      <w:pPr>
        <w:pStyle w:val="Heading3"/>
      </w:pPr>
      <w:r>
        <w:t>K§ 13</w:t>
      </w:r>
    </w:p>
    <w:p w:rsidR="00615A43" w:rsidP="00517C45">
      <w:pPr>
        <w:keepNext/>
        <w:spacing w:before="120" w:after="120"/>
        <w:ind w:firstLine="708"/>
        <w:jc w:val="both"/>
        <w:rPr>
          <w:bCs/>
        </w:rPr>
      </w:pPr>
      <w:r>
        <w:rPr>
          <w:bCs/>
        </w:rPr>
        <w:t>Ustanovuje sa skutková podstata správnych deliktov a sankcie.</w:t>
      </w:r>
    </w:p>
    <w:p w:rsidR="00662C72" w:rsidP="00517C45">
      <w:pPr>
        <w:pStyle w:val="Heading3"/>
      </w:pPr>
      <w:r>
        <w:t>K § 14</w:t>
      </w:r>
    </w:p>
    <w:p w:rsidR="00615A43" w:rsidP="00517C45">
      <w:pPr>
        <w:keepNext/>
        <w:spacing w:before="120" w:after="120"/>
        <w:ind w:firstLine="708"/>
        <w:jc w:val="both"/>
        <w:rPr>
          <w:bCs/>
        </w:rPr>
      </w:pPr>
      <w:r>
        <w:rPr>
          <w:bCs/>
        </w:rPr>
        <w:t>Ustanovuje sa pôsobnosť správneho poriadku na konanie podľa tohto zákona.</w:t>
      </w:r>
    </w:p>
    <w:p w:rsidR="00662C72" w:rsidP="00517C45">
      <w:pPr>
        <w:pStyle w:val="Heading3"/>
      </w:pPr>
      <w:r>
        <w:t>K § 15</w:t>
      </w:r>
    </w:p>
    <w:p w:rsidR="00615A43" w:rsidP="00517C45">
      <w:pPr>
        <w:keepNext/>
        <w:spacing w:before="120" w:after="120"/>
        <w:ind w:firstLine="708"/>
        <w:jc w:val="both"/>
        <w:rPr>
          <w:bCs/>
        </w:rPr>
      </w:pPr>
      <w:r>
        <w:rPr>
          <w:bCs/>
        </w:rPr>
        <w:t>Splnomocňovacie ustanovenie na vydanie nariadenia vlády Slovenskej republiky.</w:t>
      </w:r>
    </w:p>
    <w:p w:rsidR="00662C72" w:rsidP="00517C45">
      <w:pPr>
        <w:pStyle w:val="Heading3"/>
      </w:pPr>
      <w:r>
        <w:t>K § 16</w:t>
      </w:r>
    </w:p>
    <w:p w:rsidR="00615A43" w:rsidP="00517C45">
      <w:pPr>
        <w:keepNext/>
        <w:spacing w:before="120" w:after="120"/>
        <w:ind w:firstLine="708"/>
        <w:jc w:val="both"/>
        <w:rPr>
          <w:bCs/>
        </w:rPr>
      </w:pPr>
      <w:r>
        <w:rPr>
          <w:bCs/>
        </w:rPr>
        <w:t>Prechodné ustanovenie o platnosti registrácie, vytvára sa priestor jedného roku na preregistrovanie prevádzkovateľov podľa tohto zákona.</w:t>
      </w:r>
    </w:p>
    <w:p w:rsidR="00662C72" w:rsidP="00517C45">
      <w:pPr>
        <w:pStyle w:val="Heading3"/>
      </w:pPr>
      <w:r>
        <w:t>K § 17</w:t>
      </w:r>
      <w:r w:rsidR="00615A43">
        <w:t xml:space="preserve"> </w:t>
      </w:r>
    </w:p>
    <w:p w:rsidR="00615A43" w:rsidP="00517C45">
      <w:pPr>
        <w:keepNext/>
        <w:spacing w:before="120" w:after="120"/>
        <w:ind w:firstLine="708"/>
        <w:jc w:val="both"/>
        <w:rPr>
          <w:bCs/>
        </w:rPr>
      </w:pPr>
      <w:r>
        <w:rPr>
          <w:bCs/>
        </w:rPr>
        <w:t>Zrušuje sa doteraz platný výnos Potravinového kódexu, ktorý upravoval technické parametre tabakových výrobkov.</w:t>
      </w:r>
    </w:p>
    <w:p w:rsidR="00662C72" w:rsidP="00517C45">
      <w:pPr>
        <w:pStyle w:val="Heading3"/>
      </w:pPr>
      <w:r>
        <w:t>K § 18</w:t>
      </w:r>
    </w:p>
    <w:p w:rsidR="00317A1C" w:rsidP="00517C45">
      <w:pPr>
        <w:keepNext/>
        <w:spacing w:before="120" w:after="120"/>
        <w:ind w:firstLine="708"/>
        <w:jc w:val="both"/>
        <w:rPr>
          <w:bCs/>
        </w:rPr>
      </w:pPr>
      <w:r>
        <w:rPr>
          <w:bCs/>
        </w:rPr>
        <w:t>Uvádza sa súlad s predpisom Európskej únie ,nakoľko sa jedná aj o technický predpis.</w:t>
      </w:r>
    </w:p>
    <w:p w:rsidR="00662C72" w:rsidP="00517C45">
      <w:pPr>
        <w:pStyle w:val="Heading3"/>
      </w:pPr>
      <w:r>
        <w:t>K § 19</w:t>
      </w:r>
    </w:p>
    <w:p w:rsidR="00317A1C" w:rsidP="00517C45">
      <w:pPr>
        <w:keepNext/>
        <w:spacing w:before="120" w:after="120"/>
        <w:ind w:firstLine="708"/>
        <w:jc w:val="both"/>
        <w:rPr>
          <w:bCs/>
        </w:rPr>
      </w:pPr>
      <w:r>
        <w:rPr>
          <w:bCs/>
        </w:rPr>
        <w:t>Navrhuje sa dátum účinnosti.</w:t>
      </w:r>
    </w:p>
    <w:p w:rsidR="00130A4A" w:rsidP="00517C45">
      <w:pPr>
        <w:keepNext/>
      </w:pPr>
    </w:p>
    <w:p w:rsidR="00130A4A" w:rsidRPr="009B3B04" w:rsidP="00517C45">
      <w:pPr>
        <w:keepNext/>
      </w:pPr>
      <w:r>
        <w:t>Bratislava  8. júna 2011</w:t>
      </w:r>
    </w:p>
    <w:p w:rsidR="00130A4A" w:rsidP="00517C45">
      <w:pPr>
        <w:keepNext/>
      </w:pPr>
    </w:p>
    <w:p w:rsidR="00130A4A" w:rsidP="00517C45">
      <w:pPr>
        <w:keepNext/>
      </w:pPr>
    </w:p>
    <w:p w:rsidR="00130A4A" w:rsidP="00517C45">
      <w:pPr>
        <w:keepNext/>
      </w:pPr>
    </w:p>
    <w:p w:rsidR="00517C45" w:rsidP="00517C45">
      <w:pPr>
        <w:keepNext/>
        <w:jc w:val="center"/>
        <w:rPr>
          <w:bCs/>
        </w:rPr>
      </w:pPr>
    </w:p>
    <w:p w:rsidR="00517C45" w:rsidP="00517C45">
      <w:pPr>
        <w:keepNext/>
        <w:jc w:val="center"/>
        <w:rPr>
          <w:bCs/>
        </w:rPr>
      </w:pPr>
    </w:p>
    <w:p w:rsidR="00130A4A" w:rsidRPr="00CB10DB" w:rsidP="00517C45">
      <w:pPr>
        <w:keepNext/>
        <w:jc w:val="center"/>
      </w:pPr>
      <w:r>
        <w:rPr>
          <w:bCs/>
        </w:rPr>
        <w:t>Iveta  R a d i č o v</w:t>
      </w:r>
      <w:r w:rsidR="00AE48A5">
        <w:rPr>
          <w:bCs/>
        </w:rPr>
        <w:t> </w:t>
      </w:r>
      <w:r>
        <w:rPr>
          <w:bCs/>
        </w:rPr>
        <w:t>á</w:t>
      </w:r>
      <w:r w:rsidR="00AE48A5">
        <w:rPr>
          <w:bCs/>
        </w:rPr>
        <w:t>, v. r.</w:t>
      </w:r>
      <w:r>
        <w:rPr>
          <w:bCs/>
        </w:rPr>
        <w:t xml:space="preserve">  </w:t>
      </w:r>
    </w:p>
    <w:p w:rsidR="00130A4A" w:rsidRPr="00CB10DB" w:rsidP="00517C45">
      <w:pPr>
        <w:keepNext/>
        <w:jc w:val="center"/>
      </w:pPr>
      <w:r>
        <w:t xml:space="preserve">predsedníčka </w:t>
      </w:r>
      <w:r w:rsidRPr="00CB10DB">
        <w:t>vlády</w:t>
      </w:r>
    </w:p>
    <w:p w:rsidR="00130A4A" w:rsidRPr="00CB10DB" w:rsidP="00517C45">
      <w:pPr>
        <w:keepNext/>
        <w:jc w:val="center"/>
      </w:pPr>
      <w:r w:rsidRPr="00CB10DB">
        <w:t>Slovenskej republiky</w:t>
      </w:r>
    </w:p>
    <w:p w:rsidR="00130A4A" w:rsidP="00517C45">
      <w:pPr>
        <w:keepNext/>
      </w:pPr>
    </w:p>
    <w:p w:rsidR="00130A4A" w:rsidP="00517C45">
      <w:pPr>
        <w:keepNext/>
      </w:pPr>
    </w:p>
    <w:p w:rsidR="00130A4A" w:rsidRPr="00CB10DB" w:rsidP="00517C45">
      <w:pPr>
        <w:keepNext/>
      </w:pPr>
    </w:p>
    <w:p w:rsidR="00130A4A" w:rsidRPr="00CB10DB" w:rsidP="00517C45">
      <w:pPr>
        <w:keepNext/>
      </w:pPr>
    </w:p>
    <w:p w:rsidR="00517C45" w:rsidP="00517C45">
      <w:pPr>
        <w:keepNext/>
        <w:jc w:val="center"/>
        <w:rPr>
          <w:bCs/>
        </w:rPr>
      </w:pPr>
    </w:p>
    <w:p w:rsidR="00517C45" w:rsidP="00517C45">
      <w:pPr>
        <w:keepNext/>
        <w:jc w:val="center"/>
        <w:rPr>
          <w:bCs/>
        </w:rPr>
      </w:pPr>
    </w:p>
    <w:p w:rsidR="00517C45" w:rsidP="00517C45">
      <w:pPr>
        <w:keepNext/>
        <w:jc w:val="center"/>
        <w:rPr>
          <w:bCs/>
        </w:rPr>
      </w:pPr>
    </w:p>
    <w:p w:rsidR="00130A4A" w:rsidRPr="00CB10DB" w:rsidP="00517C45">
      <w:pPr>
        <w:keepNext/>
        <w:jc w:val="center"/>
      </w:pPr>
      <w:r>
        <w:rPr>
          <w:bCs/>
        </w:rPr>
        <w:t>Zsolt  S i m o</w:t>
      </w:r>
      <w:r w:rsidR="00AE48A5">
        <w:rPr>
          <w:bCs/>
        </w:rPr>
        <w:t> </w:t>
      </w:r>
      <w:r>
        <w:rPr>
          <w:bCs/>
        </w:rPr>
        <w:t>n</w:t>
      </w:r>
      <w:r w:rsidR="00AE48A5">
        <w:rPr>
          <w:bCs/>
        </w:rPr>
        <w:t>, v. r.</w:t>
      </w:r>
      <w:r>
        <w:rPr>
          <w:bCs/>
        </w:rPr>
        <w:t xml:space="preserve"> </w:t>
      </w:r>
    </w:p>
    <w:p w:rsidR="00130A4A" w:rsidP="00517C45">
      <w:pPr>
        <w:keepNext/>
        <w:jc w:val="center"/>
      </w:pPr>
      <w:r w:rsidRPr="00CB10DB">
        <w:t xml:space="preserve">minister </w:t>
      </w:r>
      <w:r>
        <w:t xml:space="preserve">pôdohospodárstva, </w:t>
      </w:r>
    </w:p>
    <w:p w:rsidR="00130A4A" w:rsidRPr="00CE6BB4" w:rsidP="00517C45">
      <w:pPr>
        <w:keepNext/>
        <w:jc w:val="center"/>
        <w:rPr>
          <w:rStyle w:val="PlaceholderText"/>
          <w:b/>
        </w:rPr>
      </w:pPr>
      <w:r>
        <w:t>a rozvoja vidieka Slovenskej republiky</w:t>
      </w:r>
    </w:p>
    <w:p w:rsidR="00876DF6" w:rsidRPr="00662C72" w:rsidP="00517C45">
      <w:pPr>
        <w:keepNext/>
      </w:pPr>
    </w:p>
    <w:sectPr w:rsidSect="00876D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B0604020202020204"/>
    <w:charset w:val="EE"/>
    <w:family w:val="swiss"/>
    <w:pitch w:val="variable"/>
    <w:sig w:usb0="E10002FF" w:usb1="4000ACFF" w:usb2="00000009" w:usb3="00000000" w:csb0="0000019F" w:csb1="00000000"/>
  </w:font>
  <w:font w:name="Consolas">
    <w:panose1 w:val="020B0604020202020204"/>
    <w:charset w:val="EE"/>
    <w:family w:val="modern"/>
    <w:pitch w:val="fixed"/>
    <w:sig w:usb0="E10002FF" w:usb1="4000F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Math">
    <w:panose1 w:val="020B060402020202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16">
    <w:pPr>
      <w:pStyle w:val="Footer"/>
      <w:jc w:val="center"/>
    </w:pPr>
    <w:r>
      <w:fldChar w:fldCharType="begin"/>
    </w:r>
    <w:r>
      <w:instrText>PAGE   \* MERGEFORMAT</w:instrText>
    </w:r>
    <w:r>
      <w:fldChar w:fldCharType="separate"/>
    </w:r>
    <w:r w:rsidR="00AE48A5">
      <w:rPr>
        <w:noProof/>
      </w:rPr>
      <w:t>9</w:t>
    </w:r>
    <w:r>
      <w:fldChar w:fldCharType="end"/>
    </w:r>
  </w:p>
  <w:p w:rsidR="0055461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7D9"/>
    <w:multiLevelType w:val="multilevel"/>
    <w:tmpl w:val="B704BE68"/>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lvl w:ilvl="1">
      <w:start w:val="1"/>
      <w:numFmt w:val="decimal"/>
      <w:pStyle w:val="Normal"/>
      <w:lvlText w:val="%2."/>
      <w:lvlJc w:val="left"/>
      <w:pPr>
        <w:tabs>
          <w:tab w:val="num" w:pos="1440"/>
        </w:tabs>
        <w:ind w:left="1440" w:hanging="360"/>
      </w:pPr>
      <w:rPr>
        <w:rFonts w:cs="Times New Roman"/>
      </w:rPr>
    </w:lvl>
    <w:lvl w:ilvl="2">
      <w:start w:val="1"/>
      <w:numFmt w:val="decimal"/>
      <w:pStyle w:val="Normal"/>
      <w:lvlText w:val="%3."/>
      <w:lvlJc w:val="left"/>
      <w:pPr>
        <w:tabs>
          <w:tab w:val="num" w:pos="2160"/>
        </w:tabs>
        <w:ind w:left="2160" w:hanging="360"/>
      </w:pPr>
      <w:rPr>
        <w:rFonts w:cs="Times New Roman"/>
      </w:rPr>
    </w:lvl>
    <w:lvl w:ilvl="3">
      <w:start w:val="1"/>
      <w:numFmt w:val="decimal"/>
      <w:pStyle w:val="Normal"/>
      <w:lvlText w:val="%4."/>
      <w:lvlJc w:val="left"/>
      <w:pPr>
        <w:tabs>
          <w:tab w:val="num" w:pos="2880"/>
        </w:tabs>
        <w:ind w:left="2880" w:hanging="360"/>
      </w:pPr>
      <w:rPr>
        <w:rFonts w:cs="Times New Roman"/>
      </w:rPr>
    </w:lvl>
    <w:lvl w:ilvl="4">
      <w:start w:val="1"/>
      <w:numFmt w:val="decimal"/>
      <w:pStyle w:val="Normal"/>
      <w:lvlText w:val="%5."/>
      <w:lvlJc w:val="left"/>
      <w:pPr>
        <w:tabs>
          <w:tab w:val="num" w:pos="3600"/>
        </w:tabs>
        <w:ind w:left="3600" w:hanging="360"/>
      </w:pPr>
      <w:rPr>
        <w:rFonts w:cs="Times New Roman"/>
      </w:rPr>
    </w:lvl>
    <w:lvl w:ilvl="5">
      <w:start w:val="1"/>
      <w:numFmt w:val="decimal"/>
      <w:pStyle w:val="Normal"/>
      <w:lvlText w:val="%6."/>
      <w:lvlJc w:val="left"/>
      <w:pPr>
        <w:tabs>
          <w:tab w:val="num" w:pos="4320"/>
        </w:tabs>
        <w:ind w:left="4320" w:hanging="360"/>
      </w:pPr>
      <w:rPr>
        <w:rFonts w:cs="Times New Roman"/>
      </w:rPr>
    </w:lvl>
    <w:lvl w:ilvl="6">
      <w:start w:val="1"/>
      <w:numFmt w:val="decimal"/>
      <w:pStyle w:val="Normal"/>
      <w:lvlText w:val="%7."/>
      <w:lvlJc w:val="left"/>
      <w:pPr>
        <w:tabs>
          <w:tab w:val="num" w:pos="5040"/>
        </w:tabs>
        <w:ind w:left="5040" w:hanging="360"/>
      </w:pPr>
      <w:rPr>
        <w:rFonts w:cs="Times New Roman"/>
      </w:rPr>
    </w:lvl>
    <w:lvl w:ilvl="7">
      <w:start w:val="1"/>
      <w:numFmt w:val="decimal"/>
      <w:pStyle w:val="Normal"/>
      <w:lvlText w:val="%8."/>
      <w:lvlJc w:val="left"/>
      <w:pPr>
        <w:tabs>
          <w:tab w:val="num" w:pos="5760"/>
        </w:tabs>
        <w:ind w:left="5760" w:hanging="360"/>
      </w:pPr>
      <w:rPr>
        <w:rFonts w:cs="Times New Roman"/>
      </w:rPr>
    </w:lvl>
    <w:lvl w:ilvl="8">
      <w:start w:val="1"/>
      <w:numFmt w:val="decimal"/>
      <w:pStyle w:val="Normal"/>
      <w:lvlText w:val="%9."/>
      <w:lvlJc w:val="left"/>
      <w:pPr>
        <w:tabs>
          <w:tab w:val="num" w:pos="6480"/>
        </w:tabs>
        <w:ind w:left="6480" w:hanging="360"/>
      </w:pPr>
      <w:rPr>
        <w:rFonts w:cs="Times New Roman"/>
      </w:rPr>
    </w:lvl>
  </w:abstractNum>
  <w:abstractNum w:abstractNumId="1">
    <w:nsid w:val="0D757411"/>
    <w:multiLevelType w:val="hybridMultilevel"/>
    <w:tmpl w:val="70C6BB3A"/>
    <w:lvl w:ilvl="0">
      <w:start w:val="1"/>
      <w:numFmt w:val="decimal"/>
      <w:lvlText w:val="%1."/>
      <w:lvlJc w:val="left"/>
      <w:pPr>
        <w:tabs>
          <w:tab w:val="num" w:pos="720"/>
        </w:tabs>
        <w:ind w:left="720" w:hanging="360"/>
      </w:pPr>
      <w:rPr>
        <w:rFonts w:cs="Times New Roman"/>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32F2C4A"/>
    <w:multiLevelType w:val="hybridMultilevel"/>
    <w:tmpl w:val="2D1A8BCE"/>
    <w:lvl w:ilvl="0">
      <w:start w:val="1"/>
      <w:numFmt w:val="lowerLetter"/>
      <w:lvlText w:val="%1)"/>
      <w:lvlJc w:val="left"/>
      <w:pPr>
        <w:tabs>
          <w:tab w:val="num" w:pos="1416"/>
        </w:tabs>
        <w:ind w:left="1416" w:hanging="360"/>
      </w:pPr>
      <w:rPr>
        <w:rFonts w:cs="Times New Roman"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88E2F58"/>
    <w:multiLevelType w:val="singleLevel"/>
    <w:tmpl w:val="17BCCA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abstractNum w:abstractNumId="4">
    <w:nsid w:val="1DE049B7"/>
    <w:multiLevelType w:val="singleLevel"/>
    <w:tmpl w:val="4C6C6236"/>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nsid w:val="62EE15EA"/>
    <w:multiLevelType w:val="hybridMultilevel"/>
    <w:tmpl w:val="69C2C3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num>
  <w:num w:numId="2">
    <w:abstractNumId w:val="4"/>
    <w:lvlOverride w:ilvl="0">
      <w:startOverride w:val="2"/>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C72"/>
    <w:rsid w:val="00071AF2"/>
    <w:rsid w:val="00130A4A"/>
    <w:rsid w:val="002717C7"/>
    <w:rsid w:val="00300C94"/>
    <w:rsid w:val="00317A1C"/>
    <w:rsid w:val="00492075"/>
    <w:rsid w:val="00517C45"/>
    <w:rsid w:val="00530635"/>
    <w:rsid w:val="00554616"/>
    <w:rsid w:val="00565D66"/>
    <w:rsid w:val="00615A43"/>
    <w:rsid w:val="0064520A"/>
    <w:rsid w:val="00662C72"/>
    <w:rsid w:val="006646A1"/>
    <w:rsid w:val="007F69EB"/>
    <w:rsid w:val="00876DF6"/>
    <w:rsid w:val="00913703"/>
    <w:rsid w:val="0095021B"/>
    <w:rsid w:val="009B3B04"/>
    <w:rsid w:val="009B6975"/>
    <w:rsid w:val="009D26F5"/>
    <w:rsid w:val="00A7278D"/>
    <w:rsid w:val="00AD4391"/>
    <w:rsid w:val="00AE48A5"/>
    <w:rsid w:val="00B73F65"/>
    <w:rsid w:val="00CB10DB"/>
    <w:rsid w:val="00CE6BB4"/>
    <w:rsid w:val="00F87622"/>
    <w:rsid w:val="00F96A2B"/>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72"/>
    <w:rPr>
      <w:rFonts w:ascii="Times New Roman" w:eastAsia="Times New Roman" w:hAnsi="Times New Roman"/>
      <w:sz w:val="24"/>
      <w:szCs w:val="24"/>
      <w:lang w:val="sk-SK" w:eastAsia="cs-CZ" w:bidi="ar-SA"/>
    </w:rPr>
  </w:style>
  <w:style w:type="paragraph" w:styleId="Heading3">
    <w:name w:val="heading 3"/>
    <w:basedOn w:val="Normal"/>
    <w:next w:val="Normal"/>
    <w:link w:val="Nadpis3Char"/>
    <w:uiPriority w:val="9"/>
    <w:unhideWhenUsed/>
    <w:qFormat/>
    <w:rsid w:val="00662C72"/>
    <w:pPr>
      <w:keepNext/>
      <w:spacing w:before="120" w:after="120"/>
      <w:jc w:val="both"/>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3Char">
    <w:name w:val="Nadpis 3 Char"/>
    <w:link w:val="Heading3"/>
    <w:uiPriority w:val="9"/>
    <w:rsid w:val="00662C72"/>
    <w:rPr>
      <w:rFonts w:ascii="Times New Roman" w:eastAsia="Times New Roman" w:hAnsi="Times New Roman" w:cs="Times New Roman"/>
      <w:b/>
      <w:bCs/>
      <w:sz w:val="24"/>
      <w:szCs w:val="26"/>
      <w:lang w:eastAsia="cs-CZ"/>
    </w:rPr>
  </w:style>
  <w:style w:type="paragraph" w:styleId="NormalWeb">
    <w:name w:val="Normal (Web)"/>
    <w:basedOn w:val="Normal"/>
    <w:uiPriority w:val="99"/>
    <w:unhideWhenUsed/>
    <w:rsid w:val="00662C72"/>
    <w:pPr>
      <w:spacing w:before="100" w:beforeAutospacing="1" w:after="100" w:afterAutospacing="1"/>
    </w:pPr>
    <w:rPr>
      <w:lang w:eastAsia="sk-SK"/>
    </w:rPr>
  </w:style>
  <w:style w:type="paragraph" w:styleId="PlainText">
    <w:name w:val="Plain Text"/>
    <w:basedOn w:val="Normal"/>
    <w:link w:val="ObyajntextChar"/>
    <w:uiPriority w:val="99"/>
    <w:semiHidden/>
    <w:unhideWhenUsed/>
    <w:rsid w:val="00662C72"/>
    <w:rPr>
      <w:rFonts w:ascii="Consolas" w:hAnsi="Consolas" w:cs="Consolas"/>
      <w:sz w:val="21"/>
      <w:szCs w:val="21"/>
      <w:lang w:eastAsia="sk-SK"/>
    </w:rPr>
  </w:style>
  <w:style w:type="character" w:customStyle="1" w:styleId="ObyajntextChar">
    <w:name w:val="Obyčajný text Char"/>
    <w:link w:val="PlainText"/>
    <w:uiPriority w:val="99"/>
    <w:semiHidden/>
    <w:rsid w:val="00662C72"/>
    <w:rPr>
      <w:rFonts w:ascii="Consolas" w:eastAsia="Times New Roman" w:hAnsi="Consolas" w:cs="Consolas"/>
      <w:sz w:val="21"/>
      <w:szCs w:val="21"/>
      <w:lang w:eastAsia="sk-SK"/>
    </w:rPr>
  </w:style>
  <w:style w:type="paragraph" w:customStyle="1" w:styleId="Styl1">
    <w:name w:val="Styl1"/>
    <w:basedOn w:val="Normal"/>
    <w:uiPriority w:val="99"/>
    <w:rsid w:val="00662C72"/>
    <w:pPr>
      <w:jc w:val="both"/>
    </w:pPr>
  </w:style>
  <w:style w:type="character" w:styleId="PlaceholderText">
    <w:name w:val="Placeholder Text"/>
    <w:uiPriority w:val="99"/>
    <w:semiHidden/>
    <w:rsid w:val="00662C72"/>
    <w:rPr>
      <w:rFonts w:ascii="Times New Roman" w:hAnsi="Times New Roman" w:cs="Times New Roman" w:hint="default"/>
      <w:color w:val="808080"/>
    </w:rPr>
  </w:style>
  <w:style w:type="character" w:customStyle="1" w:styleId="placeholdertext0">
    <w:name w:val="placeholdertext"/>
    <w:rsid w:val="00662C72"/>
    <w:rPr>
      <w:rFonts w:ascii="Times New Roman" w:hAnsi="Times New Roman" w:cs="Times New Roman" w:hint="default"/>
      <w:color w:val="808080"/>
    </w:rPr>
  </w:style>
  <w:style w:type="paragraph" w:styleId="Header">
    <w:name w:val="header"/>
    <w:basedOn w:val="Normal"/>
    <w:link w:val="HlavikaChar"/>
    <w:uiPriority w:val="99"/>
    <w:unhideWhenUsed/>
    <w:rsid w:val="00B73F65"/>
    <w:pPr>
      <w:tabs>
        <w:tab w:val="center" w:pos="4536"/>
        <w:tab w:val="right" w:pos="9072"/>
      </w:tabs>
    </w:pPr>
  </w:style>
  <w:style w:type="character" w:customStyle="1" w:styleId="HlavikaChar">
    <w:name w:val="Hlavička Char"/>
    <w:link w:val="Header"/>
    <w:uiPriority w:val="99"/>
    <w:rsid w:val="00B73F65"/>
    <w:rPr>
      <w:rFonts w:ascii="Times New Roman" w:eastAsia="Times New Roman" w:hAnsi="Times New Roman"/>
      <w:sz w:val="24"/>
      <w:szCs w:val="24"/>
      <w:lang w:eastAsia="cs-CZ"/>
    </w:rPr>
  </w:style>
  <w:style w:type="paragraph" w:styleId="Footer">
    <w:name w:val="footer"/>
    <w:basedOn w:val="Normal"/>
    <w:link w:val="PtaChar"/>
    <w:uiPriority w:val="99"/>
    <w:unhideWhenUsed/>
    <w:rsid w:val="00B73F65"/>
    <w:pPr>
      <w:tabs>
        <w:tab w:val="center" w:pos="4536"/>
        <w:tab w:val="right" w:pos="9072"/>
      </w:tabs>
    </w:pPr>
  </w:style>
  <w:style w:type="character" w:customStyle="1" w:styleId="PtaChar">
    <w:name w:val="Päta Char"/>
    <w:link w:val="Footer"/>
    <w:uiPriority w:val="99"/>
    <w:rsid w:val="00B73F65"/>
    <w:rPr>
      <w:rFonts w:ascii="Times New Roman" w:eastAsia="Times New Roman" w:hAnsi="Times New Roman"/>
      <w:sz w:val="24"/>
      <w:szCs w:val="24"/>
      <w:lang w:eastAsia="cs-CZ"/>
    </w:rPr>
  </w:style>
  <w:style w:type="character" w:customStyle="1" w:styleId="ppp-input-value1">
    <w:name w:val="ppp-input-value1"/>
    <w:uiPriority w:val="99"/>
    <w:rsid w:val="00517C45"/>
    <w:rPr>
      <w:rFonts w:ascii="Tahoma" w:hAnsi="Tahoma" w:cs="Tahoma"/>
      <w:color w:val="837A73"/>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56</TotalTime>
  <Pages>9</Pages>
  <Words>2384</Words>
  <Characters>13589</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peter.mracna</dc:creator>
  <cp:lastModifiedBy>timea.lengyelova</cp:lastModifiedBy>
  <cp:revision>11</cp:revision>
  <cp:lastPrinted>2011-06-09T07:17:00Z</cp:lastPrinted>
  <dcterms:created xsi:type="dcterms:W3CDTF">2011-06-07T06:10:00Z</dcterms:created>
  <dcterms:modified xsi:type="dcterms:W3CDTF">2011-06-09T07:17:00Z</dcterms:modified>
</cp:coreProperties>
</file>