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0ED9" w:rsidRPr="00860ED9" w:rsidP="00860ED9">
      <w:pPr>
        <w:bidi w:val="0"/>
        <w:jc w:val="center"/>
        <w:rPr>
          <w:rFonts w:ascii="Times New Roman" w:hAnsi="Times New Roman"/>
          <w:b/>
          <w:caps/>
          <w:spacing w:val="30"/>
        </w:rPr>
      </w:pPr>
      <w:r w:rsidRPr="00860ED9">
        <w:rPr>
          <w:rFonts w:ascii="Times New Roman" w:hAnsi="Times New Roman"/>
          <w:b/>
          <w:caps/>
          <w:spacing w:val="30"/>
        </w:rPr>
        <w:t>Dôvodová správa</w:t>
      </w:r>
    </w:p>
    <w:p w:rsidR="00860ED9" w:rsidRPr="00860ED9" w:rsidP="00860ED9">
      <w:pPr>
        <w:bidi w:val="0"/>
        <w:jc w:val="both"/>
        <w:rPr>
          <w:rFonts w:ascii="Times New Roman" w:hAnsi="Times New Roman"/>
        </w:rPr>
      </w:pPr>
    </w:p>
    <w:p w:rsidR="00860ED9" w:rsidRPr="00860ED9" w:rsidP="00860ED9">
      <w:pPr>
        <w:bidi w:val="0"/>
        <w:jc w:val="both"/>
        <w:rPr>
          <w:rFonts w:ascii="Times New Roman" w:hAnsi="Times New Roman"/>
          <w:b/>
        </w:rPr>
      </w:pPr>
      <w:r w:rsidRPr="00860ED9">
        <w:rPr>
          <w:rFonts w:ascii="Times New Roman" w:hAnsi="Times New Roman"/>
          <w:b/>
        </w:rPr>
        <w:t>A. Všeobecná časť</w:t>
      </w:r>
    </w:p>
    <w:p w:rsidR="00860ED9" w:rsidRPr="00860ED9" w:rsidP="00860ED9">
      <w:pPr>
        <w:bidi w:val="0"/>
        <w:jc w:val="both"/>
        <w:rPr>
          <w:rFonts w:ascii="Times New Roman" w:hAnsi="Times New Roman"/>
        </w:rPr>
      </w:pPr>
    </w:p>
    <w:p w:rsidR="00860ED9" w:rsidRPr="00860ED9" w:rsidP="00860ED9">
      <w:pPr>
        <w:bidi w:val="0"/>
        <w:ind w:firstLine="851"/>
        <w:jc w:val="both"/>
        <w:rPr>
          <w:rStyle w:val="PlaceholderText"/>
          <w:strike/>
          <w:color w:val="auto"/>
        </w:rPr>
      </w:pPr>
      <w:r w:rsidRPr="00860ED9">
        <w:rPr>
          <w:rStyle w:val="PlaceholderText"/>
          <w:color w:val="auto"/>
        </w:rPr>
        <w:t>Návrh zákona, ktorým sa mení a dopĺňa zákon č. 346/2005 Z. z. o štátnej službe profesionálnych vojakov ozbrojených síl Slovenskej republiky a o zmene a doplnení niektorých zákonov v</w:t>
      </w:r>
      <w:r w:rsidRPr="00860ED9">
        <w:rPr>
          <w:rStyle w:val="PlaceholderText"/>
          <w:b/>
          <w:color w:val="auto"/>
        </w:rPr>
        <w:t> </w:t>
      </w:r>
      <w:r w:rsidRPr="00860ED9">
        <w:rPr>
          <w:rStyle w:val="PlaceholderText"/>
          <w:color w:val="auto"/>
        </w:rPr>
        <w:t>znení neskorších predpisov (ďalej len „návrh zákona“) je vypracovaný na základe potreby zabezpečiť transpozíciu smernice Rady 2010/18/EÚ z 8. marca 2010, ktorou sa vykonáva revidovaná Rámcová dohoda o rodičovskej dovolenke uzavretá medzi BUSINESSEUROPE, UEAPME, CEEP a ETUC a zrušuje smernica 96/34/ES (ďalej len „smernica 2010/18/EÚ“).</w:t>
      </w:r>
    </w:p>
    <w:p w:rsidR="00860ED9" w:rsidRPr="00860ED9" w:rsidP="00860ED9">
      <w:pPr>
        <w:bidi w:val="0"/>
        <w:ind w:firstLine="851"/>
        <w:jc w:val="both"/>
        <w:rPr>
          <w:rStyle w:val="PlaceholderText"/>
          <w:color w:val="auto"/>
        </w:rPr>
      </w:pPr>
      <w:r w:rsidRPr="00860ED9">
        <w:rPr>
          <w:rStyle w:val="PlaceholderText"/>
          <w:color w:val="auto"/>
        </w:rPr>
        <w:t xml:space="preserve">Účelom návrhu zákona je ochrana pracovných podmienok profesionálneho vojaka (profesionálnej vojačky) po skončení rodičovskej dovolenky a zabezpečenie práva vrátiť sa na to isté pracovné miesto, ak to nie je možné, na rovnocenné alebo podobné miesto.  </w:t>
      </w:r>
    </w:p>
    <w:p w:rsidR="00860ED9" w:rsidRPr="00860ED9" w:rsidP="00860ED9">
      <w:pPr>
        <w:bidi w:val="0"/>
        <w:ind w:firstLine="851"/>
        <w:jc w:val="both"/>
        <w:rPr>
          <w:rStyle w:val="PlaceholderText"/>
          <w:color w:val="auto"/>
        </w:rPr>
      </w:pPr>
      <w:r w:rsidRPr="00860ED9">
        <w:rPr>
          <w:rStyle w:val="PlaceholderText"/>
          <w:color w:val="auto"/>
        </w:rPr>
        <w:t xml:space="preserve">Vychádzajúc z minimálnych požiadaviek smernice 2010/18/EÚ týkajúcich sa rodičovskej dovolenky ako dôležitého prostriedku na zosúladenie pracovných a rodinných povinností a podporu rovnosti príležitostí a rovnakého zaobchádzania s mužmi a ženami sa zabezpečujú opatrenia na plynulý  návrat do práce po skončení rodičovskej dovolenky. </w:t>
      </w:r>
    </w:p>
    <w:p w:rsidR="00860ED9" w:rsidRPr="00860ED9" w:rsidP="00860ED9">
      <w:pPr>
        <w:bidi w:val="0"/>
        <w:ind w:firstLine="851"/>
        <w:jc w:val="both"/>
        <w:rPr>
          <w:rStyle w:val="PlaceholderText"/>
          <w:color w:val="auto"/>
        </w:rPr>
      </w:pPr>
      <w:r w:rsidRPr="00860ED9">
        <w:rPr>
          <w:rStyle w:val="PlaceholderText"/>
          <w:color w:val="auto"/>
        </w:rPr>
        <w:t xml:space="preserve">Z dôvodu zachovania práv profesionálneho vojaka, na ktoré mu vznikol nárok v čase začatia rodičovskej dovolenky, v existujúcom rozsahu až do konca rodičovskej dovolenky (smernica 2010/18/EÚ čl. 5 Zamestnanecké práva a zákaz diskriminácie, bod 2) sa mení aj  ustanovenie o príspevku na bývanie. </w:t>
      </w:r>
    </w:p>
    <w:p w:rsidR="00860ED9" w:rsidRPr="00860ED9" w:rsidP="00860ED9">
      <w:pPr>
        <w:bidi w:val="0"/>
        <w:ind w:firstLine="851"/>
        <w:jc w:val="both"/>
        <w:rPr>
          <w:rStyle w:val="PlaceholderText"/>
          <w:color w:val="auto"/>
        </w:rPr>
      </w:pPr>
      <w:r w:rsidRPr="00860ED9">
        <w:rPr>
          <w:rStyle w:val="PlaceholderText"/>
          <w:color w:val="auto"/>
        </w:rPr>
        <w:t>V záujme zosúladenia pracovného a rodinného života sa prijíma opatrenie, podľa ktorého môže profesionálny vojak pri návrate z rodičovskej dovolenky požiadať o zmenu dĺžky služobného času a o zmenu rozvrhnutia služobného času.</w:t>
      </w:r>
    </w:p>
    <w:p w:rsidR="00860ED9" w:rsidRPr="00860ED9" w:rsidP="00860ED9">
      <w:pPr>
        <w:pStyle w:val="BodyText"/>
        <w:bidi w:val="0"/>
        <w:spacing w:after="0"/>
        <w:ind w:firstLine="851"/>
        <w:jc w:val="both"/>
        <w:rPr>
          <w:rFonts w:ascii="Times New Roman" w:hAnsi="Times New Roman"/>
        </w:rPr>
      </w:pPr>
      <w:r w:rsidRPr="00860ED9">
        <w:rPr>
          <w:rFonts w:ascii="Times New Roman" w:hAnsi="Times New Roman"/>
        </w:rPr>
        <w:t xml:space="preserve">Návrh zákona má vplyv na rozpočet verejnej správy. Zvýšené výdavky rozpočtu Ministerstva obrany Slovenskej republiky vo výške 190 854 eur ročne na príspevok na bývanie profesionálnym vojakom na rodičovskej dovolenke budú zabezpečené v rámci stanovených limitov výdavkov rozpočtu kapitoly Ministerstva obrany Slovenskej republiky na jednotlivé rozpočtové roky, bez dodatočných požiadaviek na rozpočet. </w:t>
      </w:r>
    </w:p>
    <w:p w:rsidR="00860ED9" w:rsidRPr="00860ED9" w:rsidP="00860ED9">
      <w:pPr>
        <w:pStyle w:val="BodyText"/>
        <w:bidi w:val="0"/>
        <w:spacing w:after="0"/>
        <w:ind w:firstLine="851"/>
        <w:jc w:val="both"/>
        <w:rPr>
          <w:rFonts w:ascii="Times New Roman" w:hAnsi="Times New Roman"/>
        </w:rPr>
      </w:pPr>
      <w:r w:rsidRPr="00860ED9">
        <w:rPr>
          <w:rFonts w:ascii="Times New Roman" w:hAnsi="Times New Roman"/>
        </w:rPr>
        <w:t xml:space="preserve">Návrh zákona nemá vplyv na podnikateľské prostredie, na hospodárenie obyvateľstva, na zamestnanosť, na životné prostredie a na informatizáciu spoločnosti, má pozitívny vplyv na sociálnu exklúziu, rovnosť príležitostí a rodovú rovnosť. </w:t>
      </w:r>
    </w:p>
    <w:p w:rsidR="00860ED9" w:rsidRPr="00860ED9" w:rsidP="00860ED9">
      <w:pPr>
        <w:pStyle w:val="NormalWeb"/>
        <w:bidi w:val="0"/>
        <w:spacing w:before="0" w:beforeAutospacing="0" w:after="0" w:afterAutospacing="0"/>
        <w:ind w:firstLine="851"/>
        <w:jc w:val="both"/>
        <w:rPr>
          <w:rFonts w:ascii="Times New Roman" w:hAnsi="Times New Roman"/>
        </w:rPr>
      </w:pPr>
      <w:r w:rsidRPr="00860ED9">
        <w:rPr>
          <w:rFonts w:ascii="Times New Roman" w:hAnsi="Times New Roman"/>
        </w:rPr>
        <w:t>Návrh zákona bol podľa § 33 ods. 2 zákona č. 523/2004 Z. z. o rozpočtových pravidlách verejnej správy a o zmene a doplnení niektorých zákonov prerokovaný s Ministerstvom financií Slovenskej republiky.</w:t>
      </w:r>
    </w:p>
    <w:p w:rsidR="00860ED9" w:rsidRPr="00860ED9" w:rsidP="00860ED9">
      <w:pPr>
        <w:bidi w:val="0"/>
        <w:ind w:right="-17" w:firstLine="851"/>
        <w:jc w:val="both"/>
        <w:rPr>
          <w:rStyle w:val="PlaceholderText"/>
          <w:color w:val="auto"/>
        </w:rPr>
      </w:pPr>
      <w:r w:rsidRPr="00860ED9">
        <w:rPr>
          <w:rStyle w:val="PlaceholderText"/>
          <w:color w:val="auto"/>
        </w:rPr>
        <w:t xml:space="preserve">Predkladaný návrh zákona je </w:t>
      </w:r>
      <w:r w:rsidRPr="00860ED9">
        <w:rPr>
          <w:rFonts w:ascii="Times New Roman" w:hAnsi="Times New Roman"/>
        </w:rPr>
        <w:t>v súlade s Ústavou Slovenskej republiky, zákonmi a ostatnými všeobecne záväznými právnymi predpismi, s medzinárodnými zmluvami a inými medzinárodnými dokumentmi, ktorými je Slovenská republika viazaná, a právom Európskej únie.</w:t>
      </w:r>
      <w:r w:rsidRPr="00860ED9">
        <w:rPr>
          <w:rStyle w:val="PlaceholderText"/>
          <w:color w:val="auto"/>
        </w:rPr>
        <w:t xml:space="preserve"> </w:t>
      </w:r>
    </w:p>
    <w:p w:rsidR="00860ED9">
      <w:pPr>
        <w:bidi w:val="0"/>
        <w:rPr>
          <w:rFonts w:ascii="Times New Roman" w:hAnsi="Times New Roman"/>
        </w:rPr>
      </w:pPr>
    </w:p>
    <w:p w:rsidR="00860ED9">
      <w:pPr>
        <w:bidi w:val="0"/>
        <w:rPr>
          <w:rFonts w:ascii="Times New Roman" w:hAnsi="Times New Roman"/>
        </w:rPr>
      </w:pPr>
    </w:p>
    <w:p w:rsidR="00860ED9">
      <w:pPr>
        <w:bidi w:val="0"/>
        <w:rPr>
          <w:rFonts w:ascii="Times New Roman" w:hAnsi="Times New Roman"/>
        </w:rPr>
      </w:pPr>
    </w:p>
    <w:p w:rsidR="00860ED9">
      <w:pPr>
        <w:bidi w:val="0"/>
        <w:rPr>
          <w:rFonts w:ascii="Times New Roman" w:hAnsi="Times New Roman"/>
        </w:rPr>
      </w:pPr>
    </w:p>
    <w:p w:rsidR="00860ED9">
      <w:pPr>
        <w:bidi w:val="0"/>
        <w:rPr>
          <w:rFonts w:ascii="Times New Roman" w:hAnsi="Times New Roman"/>
        </w:rPr>
      </w:pPr>
    </w:p>
    <w:p w:rsidR="00860ED9">
      <w:pPr>
        <w:bidi w:val="0"/>
        <w:rPr>
          <w:rFonts w:ascii="Times New Roman" w:hAnsi="Times New Roman"/>
        </w:rPr>
      </w:pPr>
    </w:p>
    <w:p w:rsidR="00860ED9">
      <w:pPr>
        <w:bidi w:val="0"/>
        <w:rPr>
          <w:rFonts w:ascii="Times New Roman" w:hAnsi="Times New Roman"/>
        </w:rPr>
      </w:pPr>
    </w:p>
    <w:p w:rsidR="00860ED9">
      <w:pPr>
        <w:bidi w:val="0"/>
        <w:rPr>
          <w:rFonts w:ascii="Times New Roman" w:hAnsi="Times New Roman"/>
        </w:rPr>
      </w:pPr>
    </w:p>
    <w:p w:rsidR="00860ED9">
      <w:pPr>
        <w:bidi w:val="0"/>
        <w:rPr>
          <w:rFonts w:ascii="Times New Roman" w:hAnsi="Times New Roman"/>
        </w:rPr>
      </w:pPr>
    </w:p>
    <w:p w:rsidR="00860ED9" w:rsidRPr="00894196" w:rsidP="00860ED9">
      <w:pPr>
        <w:bidi w:val="0"/>
        <w:spacing w:after="280" w:afterAutospacing="1"/>
        <w:jc w:val="center"/>
        <w:rPr>
          <w:rFonts w:ascii="Times New Roman" w:hAnsi="Times New Roman"/>
          <w:b/>
          <w:bCs/>
          <w:sz w:val="28"/>
          <w:szCs w:val="28"/>
        </w:rPr>
      </w:pPr>
      <w:r w:rsidRPr="00894196">
        <w:rPr>
          <w:rFonts w:ascii="Times New Roman" w:hAnsi="Times New Roman"/>
          <w:b/>
          <w:bCs/>
          <w:sz w:val="28"/>
          <w:szCs w:val="28"/>
        </w:rPr>
        <w:t>Doložka vybraných vplyvov</w:t>
      </w:r>
    </w:p>
    <w:p w:rsidR="00860ED9" w:rsidRPr="00894196" w:rsidP="00860ED9">
      <w:pPr>
        <w:bidi w:val="0"/>
        <w:rPr>
          <w:rFonts w:ascii="Times New Roman" w:hAnsi="Times New Roman"/>
          <w:b/>
          <w:bCs/>
        </w:rPr>
      </w:pPr>
    </w:p>
    <w:p w:rsidR="00860ED9" w:rsidRPr="00894196" w:rsidP="00860ED9">
      <w:pPr>
        <w:bidi w:val="0"/>
        <w:ind w:left="540" w:hanging="540"/>
        <w:jc w:val="both"/>
        <w:rPr>
          <w:rFonts w:ascii="Times New Roman" w:hAnsi="Times New Roman"/>
          <w:b/>
        </w:rPr>
      </w:pPr>
      <w:r w:rsidRPr="00894196">
        <w:rPr>
          <w:rFonts w:ascii="Times New Roman" w:hAnsi="Times New Roman"/>
          <w:b/>
          <w:bCs/>
        </w:rPr>
        <w:t xml:space="preserve">A.1. </w:t>
        <w:tab/>
        <w:t xml:space="preserve">Názov materiálu: </w:t>
      </w:r>
      <w:r w:rsidRPr="00894196">
        <w:rPr>
          <w:rFonts w:ascii="Times New Roman" w:hAnsi="Times New Roman"/>
          <w:b/>
        </w:rPr>
        <w:t xml:space="preserve">Návrh zákona, ktorým sa mení a dopĺňa zákon č. 346/2005 Z. z. </w:t>
      </w:r>
      <w:r>
        <w:rPr>
          <w:rFonts w:ascii="Times New Roman" w:hAnsi="Times New Roman"/>
          <w:b/>
        </w:rPr>
        <w:t xml:space="preserve">       </w:t>
      </w:r>
      <w:r w:rsidRPr="00894196">
        <w:rPr>
          <w:rFonts w:ascii="Times New Roman" w:hAnsi="Times New Roman"/>
          <w:b/>
        </w:rPr>
        <w:t>o štátnej službe profesioná</w:t>
      </w:r>
      <w:r w:rsidRPr="00894196">
        <w:rPr>
          <w:rFonts w:ascii="Times New Roman" w:hAnsi="Times New Roman"/>
          <w:b/>
        </w:rPr>
        <w:t>l</w:t>
      </w:r>
      <w:r w:rsidRPr="00894196">
        <w:rPr>
          <w:rFonts w:ascii="Times New Roman" w:hAnsi="Times New Roman"/>
          <w:b/>
        </w:rPr>
        <w:t xml:space="preserve">nych vojakov ozbrojených síl Slovenskej republiky </w:t>
      </w:r>
      <w:r>
        <w:rPr>
          <w:rFonts w:ascii="Times New Roman" w:hAnsi="Times New Roman"/>
          <w:b/>
        </w:rPr>
        <w:t xml:space="preserve">            </w:t>
      </w:r>
      <w:r w:rsidRPr="00894196">
        <w:rPr>
          <w:rFonts w:ascii="Times New Roman" w:hAnsi="Times New Roman"/>
          <w:b/>
        </w:rPr>
        <w:t xml:space="preserve">a o zmene a doplnení niektorých zákonov v znení neskorších predpisov </w:t>
      </w:r>
    </w:p>
    <w:p w:rsidR="00860ED9" w:rsidRPr="00894196" w:rsidP="00860ED9">
      <w:pPr>
        <w:bidi w:val="0"/>
        <w:rPr>
          <w:rFonts w:ascii="Times New Roman" w:hAnsi="Times New Roman"/>
          <w:b/>
          <w:bCs/>
        </w:rPr>
      </w:pPr>
    </w:p>
    <w:p w:rsidR="00860ED9" w:rsidRPr="003C381A" w:rsidP="00860ED9">
      <w:pPr>
        <w:pStyle w:val="NormalWeb"/>
        <w:bidi w:val="0"/>
        <w:spacing w:before="0" w:beforeAutospacing="0" w:after="0" w:afterAutospacing="0"/>
        <w:jc w:val="both"/>
        <w:rPr>
          <w:rFonts w:ascii="Times New Roman" w:hAnsi="Times New Roman"/>
        </w:rPr>
      </w:pPr>
      <w:r w:rsidRPr="00894196">
        <w:rPr>
          <w:rFonts w:ascii="Times New Roman" w:hAnsi="Times New Roman"/>
          <w:b/>
          <w:bCs/>
        </w:rPr>
        <w:t>Termín začatia a ukončenia PPK:</w:t>
      </w:r>
      <w:r>
        <w:rPr>
          <w:rFonts w:ascii="Times New Roman" w:hAnsi="Times New Roman"/>
          <w:b/>
          <w:bCs/>
        </w:rPr>
        <w:t xml:space="preserve"> </w:t>
      </w:r>
      <w:r>
        <w:rPr>
          <w:rFonts w:ascii="Times New Roman" w:hAnsi="Times New Roman"/>
          <w:bCs/>
        </w:rPr>
        <w:t>v súlade s čl. 12 ods. 3 Legislatívnych pravidiel vlády Slovenskej republiky sa PPK neuskutočnilo.</w:t>
      </w:r>
    </w:p>
    <w:p w:rsidR="00860ED9" w:rsidRPr="00894196" w:rsidP="00860ED9">
      <w:pPr>
        <w:bidi w:val="0"/>
        <w:rPr>
          <w:rFonts w:ascii="Times New Roman" w:hAnsi="Times New Roman"/>
          <w:b/>
          <w:bCs/>
        </w:rPr>
      </w:pPr>
    </w:p>
    <w:p w:rsidR="00860ED9" w:rsidRPr="00894196" w:rsidP="00860ED9">
      <w:pPr>
        <w:bidi w:val="0"/>
        <w:rPr>
          <w:rFonts w:ascii="Times New Roman" w:hAnsi="Times New Roman"/>
          <w:b/>
          <w:bCs/>
        </w:rPr>
      </w:pPr>
      <w:r w:rsidRPr="00894196">
        <w:rPr>
          <w:rFonts w:ascii="Times New Roman" w:hAnsi="Times New Roman"/>
          <w:b/>
          <w:bCs/>
        </w:rPr>
        <w:t>A.2. Vplyvy:</w:t>
      </w:r>
    </w:p>
    <w:p w:rsidR="00860ED9" w:rsidRPr="00894196" w:rsidP="00860ED9">
      <w:pPr>
        <w:bidi w:val="0"/>
        <w:rPr>
          <w:rFonts w:ascii="Times New Roman" w:hAnsi="Times New Roman"/>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rPr>
                <w:rFonts w:ascii="Times New Roman" w:hAnsi="Times New Roman"/>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860ED9" w:rsidRPr="00894196" w:rsidP="001F5274">
            <w:pPr>
              <w:bidi w:val="0"/>
              <w:jc w:val="center"/>
              <w:rPr>
                <w:rFonts w:ascii="Times New Roman" w:hAnsi="Times New Roman"/>
              </w:rPr>
            </w:pPr>
            <w:r w:rsidRPr="00894196">
              <w:rPr>
                <w:rFonts w:ascii="Times New Roman" w:hAnsi="Times New Roman"/>
              </w:rPr>
              <w:t xml:space="preserve">Pozitívne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860ED9" w:rsidRPr="00894196" w:rsidP="001F5274">
            <w:pPr>
              <w:bidi w:val="0"/>
              <w:jc w:val="center"/>
              <w:rPr>
                <w:rFonts w:ascii="Times New Roman" w:hAnsi="Times New Roman"/>
              </w:rPr>
            </w:pPr>
            <w:r w:rsidRPr="00894196">
              <w:rPr>
                <w:rFonts w:ascii="Times New Roman" w:hAnsi="Times New Roman"/>
              </w:rPr>
              <w:t>Žiadne</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860ED9" w:rsidRPr="00894196" w:rsidP="001F5274">
            <w:pPr>
              <w:bidi w:val="0"/>
              <w:jc w:val="center"/>
              <w:rPr>
                <w:rFonts w:ascii="Times New Roman" w:hAnsi="Times New Roman"/>
              </w:rPr>
            </w:pPr>
            <w:r w:rsidRPr="00894196">
              <w:rPr>
                <w:rFonts w:ascii="Times New Roman" w:hAnsi="Times New Roman"/>
              </w:rPr>
              <w:t>Negatívne</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rPr>
                <w:rFonts w:ascii="Times New Roman" w:hAnsi="Times New Roman"/>
                <w:bCs/>
                <w:sz w:val="22"/>
                <w:szCs w:val="22"/>
              </w:rPr>
            </w:pPr>
            <w:r w:rsidRPr="00894196">
              <w:rPr>
                <w:rFonts w:ascii="Times New Roman" w:hAnsi="Times New Roman"/>
                <w:bCs/>
                <w:sz w:val="22"/>
                <w:szCs w:val="22"/>
              </w:rPr>
              <w:t>1. Vplyvy na rozpočet verejnej správy</w:t>
            </w:r>
          </w:p>
          <w:p w:rsidR="00860ED9" w:rsidRPr="00894196" w:rsidP="001F5274">
            <w:pPr>
              <w:bidi w:val="0"/>
              <w:rPr>
                <w:rFonts w:ascii="Times New Roman" w:hAnsi="Times New Roman"/>
                <w:i/>
                <w:sz w:val="22"/>
                <w:szCs w:val="22"/>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r w:rsidRPr="00894196">
              <w:rPr>
                <w:rFonts w:ascii="Times New Roman" w:hAnsi="Times New Roman"/>
              </w:rPr>
              <w:t>x</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rPr>
                <w:rFonts w:ascii="Times New Roman" w:hAnsi="Times New Roman"/>
                <w:sz w:val="22"/>
                <w:szCs w:val="22"/>
              </w:rPr>
            </w:pPr>
            <w:r w:rsidRPr="00894196">
              <w:rPr>
                <w:rFonts w:ascii="Times New Roman" w:hAnsi="Times New Roman"/>
                <w:bCs/>
                <w:sz w:val="22"/>
                <w:szCs w:val="22"/>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r w:rsidRPr="00894196">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rPr>
                <w:rFonts w:ascii="Times New Roman" w:hAnsi="Times New Roman"/>
                <w:bCs/>
                <w:sz w:val="22"/>
                <w:szCs w:val="22"/>
              </w:rPr>
            </w:pPr>
            <w:r w:rsidRPr="00894196">
              <w:rPr>
                <w:rFonts w:ascii="Times New Roman" w:hAnsi="Times New Roman"/>
                <w:bCs/>
                <w:sz w:val="22"/>
                <w:szCs w:val="22"/>
              </w:rPr>
              <w:t xml:space="preserve">3. Sociálne vplyvy </w:t>
            </w:r>
          </w:p>
          <w:p w:rsidR="00860ED9" w:rsidRPr="00894196" w:rsidP="001F5274">
            <w:pPr>
              <w:bidi w:val="0"/>
              <w:rPr>
                <w:rFonts w:ascii="Times New Roman" w:hAnsi="Times New Roman"/>
                <w:bCs/>
                <w:sz w:val="22"/>
                <w:szCs w:val="22"/>
              </w:rPr>
            </w:pPr>
            <w:r w:rsidRPr="00894196">
              <w:rPr>
                <w:rFonts w:ascii="Times New Roman" w:hAnsi="Times New Roman"/>
                <w:bCs/>
                <w:sz w:val="22"/>
                <w:szCs w:val="22"/>
              </w:rPr>
              <w:t>– vplyvy  na hospodárenie obyvateľstva,</w:t>
            </w:r>
          </w:p>
          <w:p w:rsidR="00860ED9" w:rsidRPr="00894196" w:rsidP="001F5274">
            <w:pPr>
              <w:bidi w:val="0"/>
              <w:rPr>
                <w:rFonts w:ascii="Times New Roman" w:hAnsi="Times New Roman"/>
                <w:bCs/>
                <w:sz w:val="22"/>
                <w:szCs w:val="22"/>
              </w:rPr>
            </w:pPr>
            <w:r w:rsidRPr="00894196">
              <w:rPr>
                <w:rFonts w:ascii="Times New Roman" w:hAnsi="Times New Roman"/>
                <w:bCs/>
                <w:sz w:val="22"/>
                <w:szCs w:val="22"/>
              </w:rPr>
              <w:t>-  sociálnu exklúziu,</w:t>
            </w:r>
          </w:p>
          <w:p w:rsidR="00860ED9" w:rsidRPr="00894196" w:rsidP="001F5274">
            <w:pPr>
              <w:bidi w:val="0"/>
              <w:rPr>
                <w:rFonts w:ascii="Times New Roman" w:hAnsi="Times New Roman"/>
                <w:sz w:val="22"/>
                <w:szCs w:val="22"/>
              </w:rPr>
            </w:pPr>
            <w:r w:rsidRPr="00894196">
              <w:rPr>
                <w:rFonts w:ascii="Times New Roman" w:hAnsi="Times New Roman"/>
                <w:bCs/>
                <w:sz w:val="22"/>
                <w:szCs w:val="22"/>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r w:rsidRPr="00894196">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rPr>
                <w:rFonts w:ascii="Times New Roman" w:hAnsi="Times New Roman"/>
                <w:sz w:val="22"/>
                <w:szCs w:val="22"/>
              </w:rPr>
            </w:pPr>
            <w:r w:rsidRPr="00894196">
              <w:rPr>
                <w:rFonts w:ascii="Times New Roman" w:hAnsi="Times New Roman"/>
                <w:bCs/>
                <w:sz w:val="22"/>
                <w:szCs w:val="22"/>
                <w:lang w:val="pt-BR"/>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r w:rsidRPr="00894196">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rPr>
                <w:rFonts w:ascii="Times New Roman" w:hAnsi="Times New Roman"/>
                <w:bCs/>
                <w:sz w:val="22"/>
                <w:szCs w:val="22"/>
                <w:lang w:val="pt-BR"/>
              </w:rPr>
            </w:pPr>
            <w:r w:rsidRPr="00894196">
              <w:rPr>
                <w:rFonts w:ascii="Times New Roman" w:hAnsi="Times New Roman"/>
                <w:bCs/>
                <w:sz w:val="22"/>
                <w:szCs w:val="22"/>
                <w:lang w:val="pt-BR"/>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r w:rsidRPr="00894196">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860ED9" w:rsidRPr="00894196" w:rsidP="001F5274">
            <w:pPr>
              <w:bidi w:val="0"/>
              <w:jc w:val="center"/>
              <w:rPr>
                <w:rFonts w:ascii="Times New Roman" w:hAnsi="Times New Roman"/>
              </w:rPr>
            </w:pPr>
          </w:p>
        </w:tc>
      </w:tr>
    </w:tbl>
    <w:p w:rsidR="00860ED9" w:rsidRPr="00894196" w:rsidP="00860ED9">
      <w:pPr>
        <w:pStyle w:val="BodyText"/>
        <w:bidi w:val="0"/>
        <w:jc w:val="both"/>
        <w:rPr>
          <w:rFonts w:ascii="Times New Roman" w:hAnsi="Times New Roman"/>
          <w:b/>
          <w:bCs/>
          <w:sz w:val="16"/>
          <w:szCs w:val="16"/>
        </w:rPr>
      </w:pPr>
    </w:p>
    <w:p w:rsidR="00860ED9" w:rsidRPr="00894196" w:rsidP="00860ED9">
      <w:pPr>
        <w:pStyle w:val="BodyText"/>
        <w:bidi w:val="0"/>
        <w:jc w:val="both"/>
        <w:rPr>
          <w:rFonts w:ascii="Times New Roman" w:hAnsi="Times New Roman"/>
          <w:b/>
          <w:bCs/>
        </w:rPr>
      </w:pPr>
      <w:r w:rsidRPr="00894196">
        <w:rPr>
          <w:rFonts w:ascii="Times New Roman" w:hAnsi="Times New Roman"/>
          <w:b/>
          <w:bCs/>
        </w:rPr>
        <w:t>A.3. Poznámky</w:t>
      </w:r>
    </w:p>
    <w:p w:rsidR="00860ED9" w:rsidRPr="00E42F72" w:rsidP="00860ED9">
      <w:pPr>
        <w:bidi w:val="0"/>
        <w:ind w:firstLine="708"/>
        <w:jc w:val="both"/>
        <w:rPr>
          <w:rStyle w:val="PlaceholderText"/>
          <w:color w:val="000000"/>
        </w:rPr>
      </w:pPr>
      <w:r>
        <w:rPr>
          <w:rStyle w:val="PlaceholderText"/>
          <w:color w:val="000000"/>
        </w:rPr>
        <w:t xml:space="preserve">Účelom predkladanej novely zákona je transpozícia smernice </w:t>
      </w:r>
      <w:r w:rsidRPr="00995145">
        <w:rPr>
          <w:rStyle w:val="PlaceholderText"/>
          <w:color w:val="000000"/>
        </w:rPr>
        <w:t xml:space="preserve">Rady 2010/18/EÚ z 8. marca 2010, ktorou sa vykonáva revidovaná Rámcová dohoda o rodičovskej dovolenke uzavretá medzi BUSINESSEUROPE, UEAPME, CEEP a ETUC a zrušuje </w:t>
      </w:r>
      <w:r>
        <w:rPr>
          <w:rStyle w:val="PlaceholderText"/>
          <w:color w:val="000000"/>
        </w:rPr>
        <w:t xml:space="preserve">smernica 96/34/ES, a z nej </w:t>
      </w:r>
      <w:r w:rsidRPr="00E42F72">
        <w:rPr>
          <w:rStyle w:val="PlaceholderText"/>
          <w:color w:val="000000"/>
        </w:rPr>
        <w:t xml:space="preserve">vyplývajúca ochrana pracovných podmienok profesionálneho vojaka (profesionálnej vojačky) po skončení rodičovskej dovolenky a zabezpečenie práva vrátiť sa na to isté pracovné miesto, ak to nie je možné, na rovnocenné alebo podobné miesto, na ktorom vykonával funkciu pred odchodom na rodičovskú dovolenku. Zároveň sa zachovávajú práva profesionálneho vojaka na príspevok na bývanie, na ktorý mal nárok v čase začatia rodičovskej dovolenky, v existujúcom rozsahu až do konca rodičovskej dovolenky. </w:t>
      </w:r>
    </w:p>
    <w:p w:rsidR="00860ED9" w:rsidP="00860ED9">
      <w:pPr>
        <w:bidi w:val="0"/>
        <w:ind w:firstLine="708"/>
        <w:jc w:val="both"/>
        <w:rPr>
          <w:rStyle w:val="PlaceholderText"/>
          <w:color w:val="000000"/>
        </w:rPr>
      </w:pPr>
      <w:r>
        <w:rPr>
          <w:rStyle w:val="PlaceholderText"/>
          <w:color w:val="000000"/>
        </w:rPr>
        <w:t xml:space="preserve">Predpokladáme, že návrh sa bude týkať 69 profesionálnych vojakov ročne, čo predpokladá náklady vo výške </w:t>
      </w:r>
      <w:r>
        <w:rPr>
          <w:rFonts w:ascii="Times New Roman" w:hAnsi="Times New Roman" w:cs="Calibri"/>
          <w:iCs/>
        </w:rPr>
        <w:t>190 854 eur ročne, ktoré rezort ministerstva obrany pokryje z vlastných zdrojov.</w:t>
      </w:r>
      <w:r>
        <w:rPr>
          <w:rStyle w:val="PlaceholderText"/>
          <w:color w:val="000000"/>
        </w:rPr>
        <w:t xml:space="preserve"> </w:t>
      </w:r>
    </w:p>
    <w:p w:rsidR="00860ED9" w:rsidP="00860ED9">
      <w:pPr>
        <w:pStyle w:val="BodyText"/>
        <w:bidi w:val="0"/>
        <w:jc w:val="both"/>
        <w:rPr>
          <w:rFonts w:ascii="Times New Roman" w:hAnsi="Times New Roman"/>
          <w:b/>
        </w:rPr>
      </w:pPr>
    </w:p>
    <w:p w:rsidR="00E42F72" w:rsidRPr="00894196" w:rsidP="00860ED9">
      <w:pPr>
        <w:pStyle w:val="BodyText"/>
        <w:bidi w:val="0"/>
        <w:jc w:val="both"/>
        <w:rPr>
          <w:rFonts w:ascii="Times New Roman" w:hAnsi="Times New Roman"/>
          <w:b/>
        </w:rPr>
      </w:pPr>
    </w:p>
    <w:p w:rsidR="00860ED9" w:rsidRPr="00894196" w:rsidP="00860ED9">
      <w:pPr>
        <w:pStyle w:val="BodyText"/>
        <w:bidi w:val="0"/>
        <w:jc w:val="both"/>
        <w:rPr>
          <w:rFonts w:ascii="Times New Roman" w:hAnsi="Times New Roman"/>
          <w:b/>
        </w:rPr>
      </w:pPr>
      <w:r w:rsidRPr="00894196">
        <w:rPr>
          <w:rFonts w:ascii="Times New Roman" w:hAnsi="Times New Roman"/>
          <w:b/>
        </w:rPr>
        <w:t>A.4. Alternatívne riešenia</w:t>
      </w:r>
    </w:p>
    <w:p w:rsidR="00860ED9" w:rsidP="00860ED9">
      <w:pPr>
        <w:pStyle w:val="BodyText"/>
        <w:bidi w:val="0"/>
        <w:ind w:left="1416" w:hanging="696"/>
        <w:jc w:val="both"/>
        <w:rPr>
          <w:rFonts w:ascii="Times New Roman" w:hAnsi="Times New Roman"/>
        </w:rPr>
      </w:pPr>
      <w:r w:rsidRPr="00894196">
        <w:rPr>
          <w:rFonts w:ascii="Times New Roman" w:hAnsi="Times New Roman"/>
        </w:rPr>
        <w:t>Nenavrhujú sa.</w:t>
      </w:r>
    </w:p>
    <w:p w:rsidR="00E42F72" w:rsidRPr="00894196" w:rsidP="00860ED9">
      <w:pPr>
        <w:pStyle w:val="BodyText"/>
        <w:bidi w:val="0"/>
        <w:ind w:left="1416" w:hanging="696"/>
        <w:jc w:val="both"/>
        <w:rPr>
          <w:rFonts w:ascii="Times New Roman" w:hAnsi="Times New Roman"/>
        </w:rPr>
      </w:pPr>
    </w:p>
    <w:p w:rsidR="00860ED9" w:rsidP="00860ED9">
      <w:pPr>
        <w:pStyle w:val="BodyText2"/>
        <w:bidi w:val="0"/>
        <w:rPr>
          <w:rFonts w:ascii="Times New Roman" w:hAnsi="Times New Roman"/>
          <w:b/>
        </w:rPr>
      </w:pPr>
      <w:r w:rsidRPr="00894196">
        <w:rPr>
          <w:rFonts w:ascii="Times New Roman" w:hAnsi="Times New Roman"/>
          <w:b/>
        </w:rPr>
        <w:t xml:space="preserve">A.5. Stanovisko gestorov </w:t>
      </w:r>
    </w:p>
    <w:p w:rsidR="00860ED9" w:rsidP="00860ED9">
      <w:pPr>
        <w:bidi w:val="0"/>
        <w:jc w:val="center"/>
        <w:rPr>
          <w:rFonts w:ascii="Times New Roman" w:hAnsi="Times New Roman"/>
        </w:rPr>
      </w:pPr>
      <w:r>
        <w:rPr>
          <w:rFonts w:ascii="Times New Roman" w:hAnsi="Times New Roman"/>
          <w:b/>
          <w:bCs/>
          <w:sz w:val="28"/>
          <w:szCs w:val="28"/>
        </w:rPr>
        <w:t>Vplyvy na rozpočet verejnej správy,</w:t>
      </w:r>
    </w:p>
    <w:p w:rsidR="00860ED9" w:rsidP="00860ED9">
      <w:pPr>
        <w:bidi w:val="0"/>
        <w:jc w:val="center"/>
        <w:rPr>
          <w:rFonts w:ascii="Times New Roman" w:hAnsi="Times New Roman"/>
        </w:rPr>
      </w:pPr>
      <w:r>
        <w:rPr>
          <w:rFonts w:ascii="Times New Roman" w:hAnsi="Times New Roman"/>
          <w:b/>
          <w:bCs/>
          <w:sz w:val="28"/>
          <w:szCs w:val="28"/>
        </w:rPr>
        <w:t>na zamestnanosť vo verejnej správe a financovanie návrhu</w:t>
      </w:r>
    </w:p>
    <w:p w:rsidR="00860ED9" w:rsidP="00860ED9">
      <w:pPr>
        <w:bidi w:val="0"/>
        <w:rPr>
          <w:rFonts w:ascii="Times New Roman" w:hAnsi="Times New Roman"/>
        </w:rPr>
      </w:pPr>
      <w:r>
        <w:rPr>
          <w:rFonts w:ascii="Times New Roman" w:hAnsi="Times New Roman"/>
        </w:rPr>
        <w:t> </w:t>
      </w:r>
    </w:p>
    <w:p w:rsidR="00860ED9" w:rsidP="00860ED9">
      <w:pPr>
        <w:bidi w:val="0"/>
        <w:rPr>
          <w:rFonts w:ascii="Times New Roman" w:hAnsi="Times New Roman"/>
        </w:rPr>
      </w:pPr>
      <w:r>
        <w:rPr>
          <w:rFonts w:ascii="Times New Roman" w:hAnsi="Times New Roman"/>
          <w:b/>
          <w:bCs/>
        </w:rPr>
        <w:t>2.1. Zhrnutie vplyvov na rozpočet verejnej správy v návrhu</w:t>
      </w:r>
    </w:p>
    <w:p w:rsidR="00860ED9" w:rsidP="00860ED9">
      <w:pPr>
        <w:bidi w:val="0"/>
        <w:jc w:val="right"/>
        <w:rPr>
          <w:rFonts w:ascii="Times New Roman" w:hAnsi="Times New Roman"/>
        </w:rPr>
      </w:pPr>
      <w:r>
        <w:rPr>
          <w:rFonts w:ascii="Times New Roman" w:hAnsi="Times New Roman"/>
          <w:sz w:val="20"/>
          <w:szCs w:val="20"/>
        </w:rPr>
        <w:t xml:space="preserve">Tabuľka č. 1 </w:t>
      </w:r>
    </w:p>
    <w:tbl>
      <w:tblPr>
        <w:tblStyle w:val="TableNormal"/>
        <w:tblW w:w="13530" w:type="dxa"/>
        <w:tblCellMar>
          <w:left w:w="0" w:type="dxa"/>
          <w:right w:w="0" w:type="dxa"/>
        </w:tblCellMar>
      </w:tblPr>
      <w:tblGrid>
        <w:gridCol w:w="4661"/>
        <w:gridCol w:w="1267"/>
        <w:gridCol w:w="1267"/>
        <w:gridCol w:w="1267"/>
        <w:gridCol w:w="1267"/>
        <w:gridCol w:w="1267"/>
        <w:gridCol w:w="1267"/>
        <w:gridCol w:w="1267"/>
      </w:tblGrid>
      <w:tr>
        <w:tblPrEx>
          <w:tblW w:w="13530" w:type="dxa"/>
          <w:tblCellMar>
            <w:left w:w="0" w:type="dxa"/>
            <w:right w:w="0" w:type="dxa"/>
          </w:tblCellMar>
        </w:tblPrEx>
        <w:trPr>
          <w:gridAfter w:val="3"/>
          <w:wAfter w:w="3801" w:type="dxa"/>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bidi w:val="0"/>
              <w:spacing w:line="194" w:lineRule="atLeast"/>
              <w:jc w:val="center"/>
              <w:rPr>
                <w:rFonts w:ascii="Times New Roman" w:hAnsi="Times New Roman"/>
              </w:rPr>
            </w:pPr>
            <w:bookmarkStart w:id="0" w:name="OLE_LINK1"/>
            <w:bookmarkEnd w:id="0"/>
            <w:r>
              <w:rPr>
                <w:rFonts w:ascii="Times New Roman" w:hAnsi="Times New Roman"/>
                <w:b/>
                <w:bCs/>
                <w:color w:val="FFFFFF"/>
              </w:rPr>
              <w:t xml:space="preserve">Vplyvy na </w:t>
            </w:r>
            <w:r>
              <w:rPr>
                <w:rFonts w:ascii="Times New Roman" w:hAnsi="Times New Roman"/>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bidi w:val="0"/>
              <w:spacing w:line="194" w:lineRule="atLeast"/>
              <w:jc w:val="center"/>
              <w:rPr>
                <w:rFonts w:ascii="Times New Roman" w:hAnsi="Times New Roman"/>
              </w:rPr>
            </w:pPr>
            <w:r>
              <w:rPr>
                <w:rFonts w:ascii="Times New Roman" w:hAnsi="Times New Roman"/>
                <w:b/>
                <w:bCs/>
                <w:color w:val="FFFFFF"/>
              </w:rPr>
              <w:t xml:space="preserve">Vplyv na rozpočet verejnej správy </w:t>
            </w:r>
            <w:r>
              <w:rPr>
                <w:rFonts w:ascii="Times New Roman" w:hAnsi="Times New Roman"/>
                <w:b/>
                <w:bCs/>
              </w:rPr>
              <w:t>(v eurách)</w:t>
            </w:r>
          </w:p>
        </w:tc>
      </w:tr>
      <w:tr>
        <w:tblPrEx>
          <w:tblW w:w="13530" w:type="dxa"/>
          <w:tblCellMar>
            <w:left w:w="0" w:type="dxa"/>
            <w:right w:w="0" w:type="dxa"/>
          </w:tblCellMar>
        </w:tblPrEx>
        <w:trPr>
          <w:gridAfter w:val="3"/>
          <w:wAfter w:w="3801" w:type="dxa"/>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860ED9" w:rsidP="001F5274">
            <w:pPr>
              <w:bidi w:val="0"/>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bidi w:val="0"/>
              <w:spacing w:line="70" w:lineRule="atLeast"/>
              <w:jc w:val="center"/>
              <w:rPr>
                <w:rFonts w:ascii="Times New Roman" w:hAnsi="Times New Roman"/>
              </w:rPr>
            </w:pPr>
            <w:r>
              <w:rPr>
                <w:rFonts w:ascii="Times New Roman" w:hAnsi="Times New Roman"/>
                <w:b/>
                <w:bCs/>
                <w:color w:val="FFFFFF"/>
              </w:rPr>
              <w:t>r</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bidi w:val="0"/>
              <w:spacing w:line="70" w:lineRule="atLeast"/>
              <w:jc w:val="center"/>
              <w:rPr>
                <w:rFonts w:ascii="Times New Roman" w:hAnsi="Times New Roman"/>
              </w:rPr>
            </w:pPr>
            <w:r>
              <w:rPr>
                <w:rFonts w:ascii="Times New Roman" w:hAnsi="Times New Roman"/>
                <w:b/>
                <w:bCs/>
                <w:color w:val="FFFFFF"/>
              </w:rPr>
              <w:t>r + 1</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bidi w:val="0"/>
              <w:spacing w:line="70" w:lineRule="atLeast"/>
              <w:jc w:val="center"/>
              <w:rPr>
                <w:rFonts w:ascii="Times New Roman" w:hAnsi="Times New Roman"/>
              </w:rPr>
            </w:pPr>
            <w:r>
              <w:rPr>
                <w:rFonts w:ascii="Times New Roman" w:hAnsi="Times New Roman"/>
                <w:b/>
                <w:bCs/>
                <w:color w:val="FFFFFF"/>
              </w:rPr>
              <w:t>r + 2</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bidi w:val="0"/>
              <w:spacing w:line="70" w:lineRule="atLeast"/>
              <w:jc w:val="center"/>
              <w:rPr>
                <w:rFonts w:ascii="Times New Roman" w:hAnsi="Times New Roman"/>
              </w:rPr>
            </w:pPr>
            <w:r>
              <w:rPr>
                <w:rFonts w:ascii="Times New Roman" w:hAnsi="Times New Roman"/>
                <w:b/>
                <w:bCs/>
                <w:color w:val="FFFFFF"/>
              </w:rPr>
              <w:t>r + 3</w:t>
            </w:r>
          </w:p>
        </w:tc>
      </w:tr>
      <w:tr>
        <w:tblPrEx>
          <w:tblW w:w="13530" w:type="dxa"/>
          <w:tblCellMar>
            <w:left w:w="0" w:type="dxa"/>
            <w:right w:w="0" w:type="dxa"/>
          </w:tblCellMar>
        </w:tblPrEx>
        <w:trPr>
          <w:gridAfter w:val="3"/>
          <w:wAfter w:w="3801" w:type="dxa"/>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rPr>
                <w:rFonts w:ascii="Times New Roman" w:hAnsi="Times New Roman"/>
              </w:rPr>
            </w:pPr>
            <w:r>
              <w:rPr>
                <w:rFonts w:ascii="Times New Roman" w:hAnsi="Times New Roman"/>
                <w:b/>
                <w:bCs/>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rPr>
              <w:t>0</w:t>
            </w:r>
          </w:p>
        </w:tc>
      </w:tr>
      <w:tr>
        <w:tblPrEx>
          <w:tblW w:w="13530" w:type="dxa"/>
          <w:tblCellMar>
            <w:left w:w="0" w:type="dxa"/>
            <w:right w:w="0" w:type="dxa"/>
          </w:tblCellMar>
        </w:tblPrEx>
        <w:trPr>
          <w:gridAfter w:val="3"/>
          <w:wAfter w:w="3801" w:type="dxa"/>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32" w:lineRule="atLeast"/>
              <w:rPr>
                <w:rFonts w:ascii="Times New Roman" w:hAnsi="Times New Roman"/>
              </w:rPr>
            </w:pPr>
            <w:r>
              <w:rPr>
                <w:rFonts w:ascii="Times New Roman" w:hAnsi="Times New Roman"/>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32" w:lineRule="atLeast"/>
              <w:jc w:val="right"/>
              <w:rPr>
                <w:rFonts w:ascii="Times New Roman" w:hAnsi="Times New Roman"/>
              </w:rPr>
            </w:pPr>
            <w:r>
              <w:rPr>
                <w:rFonts w:ascii="Times New Roman" w:hAnsi="Times New Roman"/>
              </w:rPr>
              <w:t>0</w:t>
            </w:r>
          </w:p>
        </w:tc>
      </w:tr>
      <w:tr>
        <w:tblPrEx>
          <w:tblW w:w="13530" w:type="dxa"/>
          <w:tblCellMar>
            <w:left w:w="0" w:type="dxa"/>
            <w:right w:w="0" w:type="dxa"/>
          </w:tblCellMar>
        </w:tblPrEx>
        <w:trPr>
          <w:gridAfter w:val="3"/>
          <w:wAfter w:w="3801" w:type="dxa"/>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rPr>
                <w:rFonts w:ascii="Times New Roman" w:hAnsi="Times New Roman"/>
              </w:rPr>
            </w:pPr>
            <w:r>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i/>
                <w:iCs/>
              </w:rPr>
              <w:t> </w:t>
            </w:r>
          </w:p>
        </w:tc>
      </w:tr>
      <w:tr>
        <w:tblPrEx>
          <w:tblW w:w="13530" w:type="dxa"/>
          <w:tblCellMar>
            <w:left w:w="0" w:type="dxa"/>
            <w:right w:w="0" w:type="dxa"/>
          </w:tblCellMar>
        </w:tblPrEx>
        <w:trPr>
          <w:gridAfter w:val="3"/>
          <w:wAfter w:w="3801" w:type="dxa"/>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rPr>
                <w:rFonts w:ascii="Times New Roman" w:hAnsi="Times New Roman"/>
              </w:rPr>
            </w:pPr>
            <w:r>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r>
      <w:tr>
        <w:tblPrEx>
          <w:tblW w:w="13530"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rPr>
                <w:rFonts w:ascii="Times New Roman" w:hAnsi="Times New Roman"/>
              </w:rPr>
            </w:pPr>
            <w:r>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r>
      <w:tr>
        <w:tblPrEx>
          <w:tblW w:w="13530" w:type="dxa"/>
          <w:tblCellMar>
            <w:left w:w="0" w:type="dxa"/>
            <w:right w:w="0" w:type="dxa"/>
          </w:tblCellMar>
        </w:tblPrEx>
        <w:trPr>
          <w:gridAfter w:val="3"/>
          <w:wAfter w:w="3801" w:type="dxa"/>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125" w:lineRule="atLeast"/>
              <w:rPr>
                <w:rFonts w:ascii="Times New Roman" w:hAnsi="Times New Roman"/>
              </w:rPr>
            </w:pPr>
            <w:r>
              <w:rPr>
                <w:rFonts w:ascii="Times New Roman" w:hAnsi="Times New Roman"/>
                <w:b/>
                <w:bCs/>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r>
              <w:rPr>
                <w:rFonts w:ascii="Times New Roman" w:hAnsi="Times New Roman"/>
                <w:b/>
                <w:bCs/>
              </w:rPr>
              <w:t xml:space="preserve"> </w:t>
            </w:r>
          </w:p>
        </w:tc>
      </w:tr>
      <w:tr>
        <w:tblPrEx>
          <w:tblW w:w="13530" w:type="dxa"/>
          <w:tblCellMar>
            <w:left w:w="0" w:type="dxa"/>
            <w:right w:w="0" w:type="dxa"/>
          </w:tblCellMar>
        </w:tblPrEx>
        <w:trPr>
          <w:gridAfter w:val="3"/>
          <w:wAfter w:w="3801" w:type="dxa"/>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rPr>
                <w:rFonts w:ascii="Times New Roman" w:hAnsi="Times New Roman"/>
              </w:rPr>
            </w:pPr>
            <w:r>
              <w:rPr>
                <w:rFonts w:ascii="Times New Roman" w:hAnsi="Times New Roman"/>
              </w:rPr>
              <w:t>v tom: Ministerstvo obrany SR 096 obrana</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r>
              <w:rPr>
                <w:rFonts w:ascii="Times New Roman" w:hAnsi="Times New Roman"/>
                <w:b/>
                <w:bCs/>
              </w:rPr>
              <w:t xml:space="preserve"> </w:t>
            </w:r>
          </w:p>
        </w:tc>
      </w:tr>
      <w:tr>
        <w:tblPrEx>
          <w:tblW w:w="13530" w:type="dxa"/>
          <w:tblCellMar>
            <w:left w:w="0" w:type="dxa"/>
            <w:right w:w="0" w:type="dxa"/>
          </w:tblCellMar>
        </w:tblPrEx>
        <w:trPr>
          <w:gridAfter w:val="3"/>
          <w:wAfter w:w="3801" w:type="dxa"/>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rPr>
                <w:rFonts w:ascii="Times New Roman" w:hAnsi="Times New Roman"/>
              </w:rPr>
            </w:pPr>
            <w:r>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i/>
                <w:iCs/>
              </w:rPr>
              <w:t> </w:t>
            </w:r>
          </w:p>
        </w:tc>
      </w:tr>
      <w:tr>
        <w:tblPrEx>
          <w:tblW w:w="13530" w:type="dxa"/>
          <w:tblCellMar>
            <w:left w:w="0" w:type="dxa"/>
            <w:right w:w="0" w:type="dxa"/>
          </w:tblCellMar>
        </w:tblPrEx>
        <w:trPr>
          <w:gridAfter w:val="3"/>
          <w:wAfter w:w="3801" w:type="dxa"/>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rPr>
                <w:rFonts w:ascii="Times New Roman" w:hAnsi="Times New Roman"/>
              </w:rPr>
            </w:pPr>
            <w:r>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r>
              <w:rPr>
                <w:rFonts w:ascii="Times New Roman" w:hAnsi="Times New Roman"/>
                <w:b/>
                <w:bCs/>
              </w:rPr>
              <w:t xml:space="preserve"> </w:t>
            </w:r>
          </w:p>
        </w:tc>
      </w:tr>
      <w:tr>
        <w:tblPrEx>
          <w:tblW w:w="13530" w:type="dxa"/>
          <w:tblCellMar>
            <w:left w:w="0" w:type="dxa"/>
            <w:right w:w="0" w:type="dxa"/>
          </w:tblCellMar>
        </w:tblPrEx>
        <w:trPr>
          <w:gridAfter w:val="3"/>
          <w:wAfter w:w="3801" w:type="dxa"/>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rPr>
                <w:rFonts w:ascii="Times New Roman" w:hAnsi="Times New Roman"/>
              </w:rPr>
            </w:pPr>
            <w:r>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b/>
                <w:bCs/>
                <w:iCs/>
              </w:rPr>
              <w:t>0</w:t>
            </w:r>
          </w:p>
        </w:tc>
      </w:tr>
      <w:tr>
        <w:tblPrEx>
          <w:tblW w:w="13530" w:type="dxa"/>
          <w:tblCellMar>
            <w:left w:w="0" w:type="dxa"/>
            <w:right w:w="0" w:type="dxa"/>
          </w:tblCellMar>
        </w:tblPrEx>
        <w:trPr>
          <w:gridAfter w:val="3"/>
          <w:wAfter w:w="3801" w:type="dxa"/>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rPr>
                <w:rFonts w:ascii="Times New Roman" w:hAnsi="Times New Roman"/>
              </w:rPr>
            </w:pPr>
            <w:r>
              <w:rPr>
                <w:rFonts w:ascii="Times New Roman" w:hAnsi="Times New Roman"/>
                <w:b/>
                <w:bCs/>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rPr>
              <w:t>0</w:t>
            </w:r>
          </w:p>
        </w:tc>
      </w:tr>
      <w:tr>
        <w:tblPrEx>
          <w:tblW w:w="13530" w:type="dxa"/>
          <w:tblCellMar>
            <w:left w:w="0" w:type="dxa"/>
            <w:right w:w="0" w:type="dxa"/>
          </w:tblCellMar>
        </w:tblPrEx>
        <w:trPr>
          <w:gridAfter w:val="3"/>
          <w:wAfter w:w="3801" w:type="dxa"/>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rPr>
                <w:rFonts w:ascii="Times New Roman" w:hAnsi="Times New Roman"/>
              </w:rPr>
            </w:pPr>
            <w:r>
              <w:rPr>
                <w:rFonts w:ascii="Times New Roman" w:hAnsi="Times New Roman"/>
                <w:b/>
                <w:bCs/>
                <w:i/>
                <w:iCs/>
              </w:rPr>
              <w:t>- z toho vplyv na ŠR</w:t>
            </w:r>
            <w:r>
              <w:rPr>
                <w:rFonts w:ascii="Times New Roman" w:hAnsi="Times New Roman"/>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rPr>
              <w:t>0</w:t>
            </w:r>
          </w:p>
        </w:tc>
      </w:tr>
      <w:tr>
        <w:tblPrEx>
          <w:tblW w:w="13530" w:type="dxa"/>
          <w:tblCellMar>
            <w:left w:w="0" w:type="dxa"/>
            <w:right w:w="0" w:type="dxa"/>
          </w:tblCellMar>
        </w:tblPrEx>
        <w:trPr>
          <w:gridAfter w:val="3"/>
          <w:wAfter w:w="3801" w:type="dxa"/>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rPr>
                <w:rFonts w:ascii="Times New Roman" w:hAnsi="Times New Roman"/>
              </w:rPr>
            </w:pPr>
            <w:r>
              <w:rPr>
                <w:rFonts w:ascii="Times New Roman" w:hAnsi="Times New Roman"/>
                <w:b/>
                <w:bCs/>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cs="Calibri"/>
                <w:iCs/>
              </w:rPr>
              <w:t>190 854</w:t>
            </w:r>
          </w:p>
        </w:tc>
      </w:tr>
      <w:tr>
        <w:tblPrEx>
          <w:tblW w:w="13530" w:type="dxa"/>
          <w:tblCellMar>
            <w:left w:w="0" w:type="dxa"/>
            <w:right w:w="0" w:type="dxa"/>
          </w:tblCellMar>
        </w:tblPrEx>
        <w:trPr>
          <w:gridAfter w:val="3"/>
          <w:wAfter w:w="3801" w:type="dxa"/>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rPr>
                <w:rFonts w:ascii="Times New Roman" w:hAnsi="Times New Roman"/>
              </w:rPr>
            </w:pPr>
            <w:r>
              <w:rPr>
                <w:rFonts w:ascii="Times New Roman" w:hAnsi="Times New Roman"/>
              </w:rPr>
              <w:t>v tom: Ministerstvo obrany SR 096 obrana</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r>
              <w:rPr>
                <w:rFonts w:ascii="Times New Roman" w:hAnsi="Times New Roman"/>
                <w:b/>
                <w:bCs/>
              </w:rPr>
              <w:t xml:space="preserve"> </w:t>
            </w:r>
          </w:p>
        </w:tc>
      </w:tr>
      <w:tr>
        <w:tblPrEx>
          <w:tblW w:w="13530" w:type="dxa"/>
          <w:tblCellMar>
            <w:left w:w="0" w:type="dxa"/>
            <w:right w:w="0" w:type="dxa"/>
          </w:tblCellMar>
        </w:tblPrEx>
        <w:trPr>
          <w:gridAfter w:val="3"/>
          <w:wAfter w:w="3801" w:type="dxa"/>
        </w:trPr>
        <w:tc>
          <w:tcPr>
            <w:tcW w:w="4661"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r>
    </w:tbl>
    <w:p w:rsidR="00860ED9" w:rsidP="00860ED9">
      <w:pPr>
        <w:bidi w:val="0"/>
        <w:rPr>
          <w:rFonts w:ascii="Times New Roman" w:hAnsi="Times New Roman"/>
        </w:rPr>
      </w:pPr>
      <w:r>
        <w:rPr>
          <w:rFonts w:ascii="Times New Roman" w:hAnsi="Times New Roman"/>
        </w:rPr>
        <w:t> </w:t>
      </w:r>
    </w:p>
    <w:p w:rsidR="00860ED9" w:rsidP="00860ED9">
      <w:pPr>
        <w:bidi w:val="0"/>
        <w:rPr>
          <w:rFonts w:ascii="Times New Roman" w:hAnsi="Times New Roman"/>
        </w:rPr>
      </w:pPr>
      <w:r>
        <w:rPr>
          <w:rFonts w:ascii="Times New Roman" w:hAnsi="Times New Roman"/>
        </w:rPr>
        <w:t>Pri vypracúvaní vplyvov na rozpočet verejnej správy sa vychádzalo z počtov profesionálnych vojakov na rodičovskej dovolenke v roku 2010.</w:t>
      </w:r>
    </w:p>
    <w:p w:rsidR="00860ED9" w:rsidP="00860ED9">
      <w:pPr>
        <w:bidi w:val="0"/>
        <w:rPr>
          <w:rFonts w:ascii="Times New Roman" w:hAnsi="Times New Roman"/>
        </w:rPr>
      </w:pPr>
    </w:p>
    <w:p w:rsidR="00860ED9" w:rsidP="00860ED9">
      <w:pPr>
        <w:bidi w:val="0"/>
        <w:rPr>
          <w:rFonts w:ascii="Times New Roman" w:hAnsi="Times New Roman"/>
        </w:rPr>
      </w:pPr>
      <w:r>
        <w:rPr>
          <w:rFonts w:ascii="Times New Roman" w:hAnsi="Times New Roman"/>
          <w:b/>
          <w:bCs/>
        </w:rPr>
        <w:t>2.2. Financovanie návrhu</w:t>
      </w:r>
    </w:p>
    <w:p w:rsidR="00860ED9" w:rsidP="00860ED9">
      <w:pPr>
        <w:bidi w:val="0"/>
        <w:jc w:val="right"/>
        <w:rPr>
          <w:rFonts w:ascii="Times New Roman" w:hAnsi="Times New Roman"/>
        </w:rPr>
      </w:pPr>
      <w:r>
        <w:rPr>
          <w:rFonts w:ascii="Times New Roman" w:hAnsi="Times New Roman"/>
          <w:sz w:val="20"/>
          <w:szCs w:val="20"/>
        </w:rPr>
        <w:t>Tabuľka č. 2</w:t>
      </w:r>
    </w:p>
    <w:tbl>
      <w:tblPr>
        <w:tblStyle w:val="TableNormal"/>
        <w:tblW w:w="9360" w:type="dxa"/>
        <w:tblCellMar>
          <w:left w:w="0" w:type="dxa"/>
          <w:right w:w="0" w:type="dxa"/>
        </w:tblCellMar>
      </w:tblPr>
      <w:tblGrid>
        <w:gridCol w:w="4304"/>
        <w:gridCol w:w="1264"/>
        <w:gridCol w:w="1264"/>
        <w:gridCol w:w="1264"/>
        <w:gridCol w:w="1264"/>
      </w:tblGrid>
      <w:tr>
        <w:tblPrEx>
          <w:tblW w:w="9360" w:type="dxa"/>
          <w:tblCellMar>
            <w:left w:w="0" w:type="dxa"/>
            <w:right w:w="0" w:type="dxa"/>
          </w:tblCellMar>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bidi w:val="0"/>
              <w:spacing w:line="70" w:lineRule="atLeast"/>
              <w:jc w:val="center"/>
              <w:rPr>
                <w:rFonts w:ascii="Times New Roman" w:hAnsi="Times New Roman"/>
              </w:rPr>
            </w:pPr>
            <w:r>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bidi w:val="0"/>
              <w:spacing w:line="70" w:lineRule="atLeast"/>
              <w:jc w:val="center"/>
              <w:rPr>
                <w:rFonts w:ascii="Times New Roman" w:hAnsi="Times New Roman"/>
              </w:rPr>
            </w:pPr>
            <w:r>
              <w:rPr>
                <w:rFonts w:ascii="Times New Roman" w:hAnsi="Times New Roman"/>
                <w:b/>
                <w:bCs/>
                <w:color w:val="FFFFFF"/>
              </w:rPr>
              <w:t xml:space="preserve">Vplyv na rozpočet verejnej správy </w:t>
            </w:r>
            <w:r>
              <w:rPr>
                <w:rFonts w:ascii="Times New Roman" w:hAnsi="Times New Roman"/>
                <w:b/>
                <w:bCs/>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860ED9" w:rsidP="001F5274">
            <w:pPr>
              <w:bidi w:val="0"/>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bidi w:val="0"/>
              <w:spacing w:line="70" w:lineRule="atLeast"/>
              <w:jc w:val="center"/>
              <w:rPr>
                <w:rFonts w:ascii="Times New Roman" w:hAnsi="Times New Roman"/>
              </w:rPr>
            </w:pPr>
            <w:r>
              <w:rPr>
                <w:rFonts w:ascii="Times New Roman" w:hAnsi="Times New Roman"/>
                <w:b/>
                <w:bCs/>
                <w:color w:val="FFFFFF"/>
              </w:rPr>
              <w:t>r</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bidi w:val="0"/>
              <w:spacing w:line="70" w:lineRule="atLeast"/>
              <w:jc w:val="center"/>
              <w:rPr>
                <w:rFonts w:ascii="Times New Roman" w:hAnsi="Times New Roman"/>
              </w:rPr>
            </w:pPr>
            <w:r>
              <w:rPr>
                <w:rFonts w:ascii="Times New Roman" w:hAnsi="Times New Roman"/>
                <w:b/>
                <w:bCs/>
                <w:color w:val="FFFFFF"/>
              </w:rPr>
              <w:t>r + 1</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bidi w:val="0"/>
              <w:spacing w:line="70" w:lineRule="atLeast"/>
              <w:jc w:val="center"/>
              <w:rPr>
                <w:rFonts w:ascii="Times New Roman" w:hAnsi="Times New Roman"/>
              </w:rPr>
            </w:pPr>
            <w:r>
              <w:rPr>
                <w:rFonts w:ascii="Times New Roman" w:hAnsi="Times New Roman"/>
                <w:b/>
                <w:bCs/>
                <w:color w:val="FFFFFF"/>
              </w:rPr>
              <w:t>r + 2</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bidi w:val="0"/>
              <w:spacing w:line="70" w:lineRule="atLeast"/>
              <w:jc w:val="center"/>
              <w:rPr>
                <w:rFonts w:ascii="Times New Roman" w:hAnsi="Times New Roman"/>
              </w:rPr>
            </w:pPr>
            <w:r>
              <w:rPr>
                <w:rFonts w:ascii="Times New Roman" w:hAnsi="Times New Roman"/>
                <w:b/>
                <w:bCs/>
                <w:color w:val="FFFFFF"/>
              </w:rPr>
              <w:t>r + 3</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rPr>
                <w:rFonts w:ascii="Times New Roman" w:hAnsi="Times New Roman"/>
              </w:rPr>
            </w:pPr>
            <w:r>
              <w:rPr>
                <w:rFonts w:ascii="Times New Roman" w:hAnsi="Times New Roman"/>
                <w:b/>
                <w:bCs/>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cs="Calibri"/>
                <w:iCs/>
              </w:rPr>
              <w:t>190 854</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cs="Calibri"/>
                <w:iCs/>
              </w:rPr>
              <w:t>190 854</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cs="Calibri"/>
                <w:iCs/>
              </w:rPr>
              <w:t>190 854</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cs="Calibri"/>
                <w:iCs/>
              </w:rPr>
              <w:t>190 854</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rPr>
                <w:rFonts w:ascii="Times New Roman" w:hAnsi="Times New Roman"/>
              </w:rPr>
            </w:pPr>
            <w:r>
              <w:rPr>
                <w:rFonts w:ascii="Times New Roman" w:hAnsi="Times New Roman"/>
              </w:rP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r>
              <w:rPr>
                <w:rFonts w:ascii="Times New Roman" w:hAnsi="Times New Roman"/>
                <w:b/>
                <w:bCs/>
              </w:rPr>
              <w:t xml:space="preserve"> </w:t>
            </w:r>
          </w:p>
        </w:tc>
      </w:tr>
      <w:tr>
        <w:tblPrEx>
          <w:tblW w:w="9360" w:type="dxa"/>
          <w:tblCellMar>
            <w:left w:w="0" w:type="dxa"/>
            <w:right w:w="0" w:type="dxa"/>
          </w:tblCellMar>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51" w:lineRule="atLeast"/>
              <w:rPr>
                <w:rFonts w:ascii="Times New Roman" w:hAnsi="Times New Roman"/>
              </w:rPr>
            </w:pPr>
            <w:r>
              <w:rPr>
                <w:rFonts w:ascii="Times New Roman" w:hAnsi="Times New Roman"/>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51" w:lineRule="atLeast"/>
              <w:jc w:val="right"/>
              <w:rPr>
                <w:rFonts w:ascii="Times New Roman" w:hAnsi="Times New Roman"/>
              </w:rPr>
            </w:pPr>
            <w:r>
              <w:rPr>
                <w:rFonts w:ascii="Times New Roman" w:hAnsi="Times New Roman" w:cs="Calibri"/>
                <w:iCs/>
              </w:rPr>
              <w:t>190 854</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51" w:lineRule="atLeast"/>
              <w:jc w:val="right"/>
              <w:rPr>
                <w:rFonts w:ascii="Times New Roman" w:hAnsi="Times New Roman"/>
              </w:rPr>
            </w:pPr>
            <w:r>
              <w:rPr>
                <w:rFonts w:ascii="Times New Roman" w:hAnsi="Times New Roman" w:cs="Calibri"/>
                <w:iCs/>
              </w:rPr>
              <w:t>190 854</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51" w:lineRule="atLeast"/>
              <w:jc w:val="right"/>
              <w:rPr>
                <w:rFonts w:ascii="Times New Roman" w:hAnsi="Times New Roman"/>
              </w:rPr>
            </w:pPr>
            <w:r>
              <w:rPr>
                <w:rFonts w:ascii="Times New Roman" w:hAnsi="Times New Roman" w:cs="Calibri"/>
                <w:iCs/>
              </w:rPr>
              <w:t>190 854</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51" w:lineRule="atLeast"/>
              <w:jc w:val="right"/>
              <w:rPr>
                <w:rFonts w:ascii="Times New Roman" w:hAnsi="Times New Roman"/>
              </w:rPr>
            </w:pPr>
            <w:r>
              <w:rPr>
                <w:rFonts w:ascii="Times New Roman" w:hAnsi="Times New Roman" w:cs="Calibri"/>
                <w:iCs/>
              </w:rPr>
              <w:t>190 854</w:t>
            </w:r>
          </w:p>
        </w:tc>
      </w:tr>
      <w:tr>
        <w:tblPrEx>
          <w:tblW w:w="9360" w:type="dxa"/>
          <w:tblCellMar>
            <w:left w:w="0" w:type="dxa"/>
            <w:right w:w="0" w:type="dxa"/>
          </w:tblCellMar>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35" w:lineRule="atLeast"/>
              <w:rPr>
                <w:rFonts w:ascii="Times New Roman" w:hAnsi="Times New Roman"/>
              </w:rPr>
            </w:pPr>
            <w:r>
              <w:rPr>
                <w:rFonts w:ascii="Times New Roman" w:hAnsi="Times New Roman"/>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35" w:lineRule="atLeast"/>
              <w:jc w:val="right"/>
              <w:rPr>
                <w:rFonts w:ascii="Times New Roman" w:hAnsi="Times New Roman"/>
              </w:rPr>
            </w:pPr>
            <w:r>
              <w:rPr>
                <w:rFonts w:ascii="Times New Roman" w:hAnsi="Times New Roman"/>
              </w:rPr>
              <w:t>0</w:t>
            </w:r>
          </w:p>
        </w:tc>
      </w:tr>
      <w:tr>
        <w:tblPrEx>
          <w:tblW w:w="9360"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rPr>
                <w:rFonts w:ascii="Times New Roman" w:hAnsi="Times New Roman"/>
              </w:rPr>
            </w:pPr>
            <w:r>
              <w:rPr>
                <w:rFonts w:ascii="Times New Roman" w:hAnsi="Times New Roman"/>
                <w:b/>
                <w:bCs/>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70" w:lineRule="atLeast"/>
              <w:jc w:val="right"/>
              <w:rPr>
                <w:rFonts w:ascii="Times New Roman" w:hAnsi="Times New Roman"/>
              </w:rPr>
            </w:pPr>
            <w:r>
              <w:rPr>
                <w:rFonts w:ascii="Times New Roman" w:hAnsi="Times New Roman"/>
                <w:b/>
                <w:bCs/>
              </w:rPr>
              <w:t>0</w:t>
            </w:r>
          </w:p>
        </w:tc>
      </w:tr>
      <w:tr>
        <w:tblPrEx>
          <w:tblW w:w="9360" w:type="dxa"/>
          <w:tblCellMar>
            <w:left w:w="0" w:type="dxa"/>
            <w:right w:w="0" w:type="dxa"/>
          </w:tblCellMar>
        </w:tblPrEx>
        <w:tc>
          <w:tcPr>
            <w:tcW w:w="4304"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1264"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1264"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1264"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1264"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r>
    </w:tbl>
    <w:p w:rsidR="00860ED9" w:rsidP="00860ED9">
      <w:pPr>
        <w:bidi w:val="0"/>
        <w:rPr>
          <w:rFonts w:ascii="Times New Roman" w:hAnsi="Times New Roman"/>
        </w:rPr>
      </w:pPr>
    </w:p>
    <w:p w:rsidR="00E42F72" w:rsidP="00860ED9">
      <w:pPr>
        <w:bidi w:val="0"/>
        <w:rPr>
          <w:rFonts w:ascii="Times New Roman" w:hAnsi="Times New Roman"/>
        </w:rPr>
      </w:pPr>
    </w:p>
    <w:p w:rsidR="00E42F72" w:rsidP="00860ED9">
      <w:pPr>
        <w:bidi w:val="0"/>
        <w:rPr>
          <w:rFonts w:ascii="Times New Roman" w:hAnsi="Times New Roman"/>
        </w:rPr>
      </w:pPr>
    </w:p>
    <w:p w:rsidR="00860ED9" w:rsidP="00860ED9">
      <w:pPr>
        <w:bidi w:val="0"/>
        <w:rPr>
          <w:rFonts w:ascii="Times New Roman" w:hAnsi="Times New Roman"/>
        </w:rPr>
      </w:pPr>
      <w:r>
        <w:rPr>
          <w:rFonts w:ascii="Times New Roman" w:hAnsi="Times New Roman"/>
          <w:b/>
          <w:bCs/>
        </w:rPr>
        <w:t>Návrh na riešenie úbytku príjmov alebo zvýšených výdavkov podľa § 33 ods. 1 zákona        č. 523/2004 Z. z. o rozpočtových pravidlách verejnej správy:</w:t>
      </w:r>
    </w:p>
    <w:p w:rsidR="00860ED9" w:rsidP="00860ED9">
      <w:pPr>
        <w:pBdr>
          <w:top w:val="single" w:sz="4" w:space="1" w:color="auto"/>
          <w:left w:val="single" w:sz="4" w:space="4" w:color="auto"/>
          <w:bottom w:val="single" w:sz="4" w:space="0" w:color="auto"/>
          <w:right w:val="single" w:sz="4" w:space="4" w:color="auto"/>
        </w:pBdr>
        <w:bidi w:val="0"/>
        <w:jc w:val="both"/>
        <w:rPr>
          <w:rFonts w:ascii="Times New Roman" w:hAnsi="Times New Roman"/>
          <w:bCs/>
        </w:rPr>
      </w:pPr>
      <w:r>
        <w:rPr>
          <w:rFonts w:ascii="Times New Roman" w:hAnsi="Times New Roman"/>
          <w:bCs/>
        </w:rPr>
        <w:t>Zvýšenie finančných výdavkov v súvislosti so zachovaním nároku na príspevok na bývanie pre profesionálnych vojakov na rodičovskej dovolenke je zabezpečené v rámci rozpočtových limitov rozpočtovej kapitoly Ministerstva obrany Slovenskej republiky.</w:t>
      </w:r>
    </w:p>
    <w:p w:rsidR="00860ED9" w:rsidP="00860ED9">
      <w:pPr>
        <w:bidi w:val="0"/>
        <w:rPr>
          <w:rFonts w:ascii="Times New Roman" w:hAnsi="Times New Roman"/>
          <w:b/>
          <w:bCs/>
        </w:rPr>
      </w:pPr>
    </w:p>
    <w:p w:rsidR="00860ED9" w:rsidP="00860ED9">
      <w:pPr>
        <w:bidi w:val="0"/>
        <w:rPr>
          <w:rFonts w:ascii="Times New Roman" w:hAnsi="Times New Roman"/>
        </w:rPr>
      </w:pPr>
      <w:r>
        <w:rPr>
          <w:rFonts w:ascii="Times New Roman" w:hAnsi="Times New Roman"/>
          <w:b/>
          <w:bCs/>
        </w:rPr>
        <w:t>2.3. Popis a charakteristika návrhu</w:t>
      </w:r>
    </w:p>
    <w:p w:rsidR="00860ED9" w:rsidP="00860ED9">
      <w:pPr>
        <w:bidi w:val="0"/>
        <w:rPr>
          <w:rFonts w:ascii="Times New Roman" w:hAnsi="Times New Roman"/>
        </w:rPr>
      </w:pPr>
      <w:r>
        <w:rPr>
          <w:rFonts w:ascii="Times New Roman" w:hAnsi="Times New Roman"/>
        </w:rPr>
        <w:t> </w:t>
      </w:r>
    </w:p>
    <w:p w:rsidR="00860ED9" w:rsidP="00860ED9">
      <w:pPr>
        <w:bidi w:val="0"/>
        <w:jc w:val="both"/>
        <w:rPr>
          <w:rFonts w:ascii="Times New Roman" w:hAnsi="Times New Roman"/>
        </w:rPr>
      </w:pPr>
      <w:r>
        <w:rPr>
          <w:rFonts w:ascii="Times New Roman" w:hAnsi="Times New Roman"/>
          <w:b/>
          <w:bCs/>
        </w:rPr>
        <w:t>2.3.1. Popis návrhu:</w:t>
      </w:r>
    </w:p>
    <w:p w:rsidR="00860ED9" w:rsidRPr="009252B9" w:rsidP="00860ED9">
      <w:pPr>
        <w:bidi w:val="0"/>
        <w:jc w:val="both"/>
        <w:rPr>
          <w:rFonts w:ascii="Times New Roman" w:hAnsi="Times New Roman"/>
        </w:rPr>
      </w:pPr>
      <w:r>
        <w:rPr>
          <w:rFonts w:ascii="Times New Roman" w:hAnsi="Times New Roman"/>
          <w:b/>
          <w:bCs/>
        </w:rPr>
        <w:t> </w:t>
      </w:r>
    </w:p>
    <w:p w:rsidR="00860ED9" w:rsidRPr="009252B9" w:rsidP="00860ED9">
      <w:pPr>
        <w:bidi w:val="0"/>
        <w:ind w:firstLine="708"/>
        <w:jc w:val="both"/>
        <w:rPr>
          <w:rStyle w:val="PlaceholderText"/>
        </w:rPr>
      </w:pPr>
      <w:r w:rsidRPr="009252B9">
        <w:rPr>
          <w:rStyle w:val="PlaceholderText"/>
        </w:rPr>
        <w:t xml:space="preserve">Predpokladáme, že návrh sa bude týkať 69 profesionálnych vojakov ročne, čo predpokladá náklady vo výške </w:t>
      </w:r>
      <w:r w:rsidRPr="009252B9">
        <w:rPr>
          <w:rFonts w:ascii="Times New Roman" w:hAnsi="Times New Roman" w:cs="Calibri"/>
          <w:iCs/>
        </w:rPr>
        <w:t xml:space="preserve">190 854 eur ročne, ktoré rezort </w:t>
      </w:r>
      <w:r>
        <w:rPr>
          <w:rFonts w:ascii="Times New Roman" w:hAnsi="Times New Roman" w:cs="Calibri"/>
          <w:iCs/>
        </w:rPr>
        <w:t xml:space="preserve">ministerstva </w:t>
      </w:r>
      <w:r w:rsidRPr="009252B9">
        <w:rPr>
          <w:rFonts w:ascii="Times New Roman" w:hAnsi="Times New Roman" w:cs="Calibri"/>
          <w:iCs/>
        </w:rPr>
        <w:t>obrany pokryje z vlastných zdrojov.</w:t>
      </w:r>
      <w:r w:rsidRPr="009252B9">
        <w:rPr>
          <w:rStyle w:val="PlaceholderText"/>
        </w:rPr>
        <w:t xml:space="preserve"> </w:t>
      </w:r>
    </w:p>
    <w:p w:rsidR="00860ED9" w:rsidP="00860ED9">
      <w:pPr>
        <w:bidi w:val="0"/>
        <w:rPr>
          <w:rFonts w:ascii="Times New Roman" w:hAnsi="Times New Roman"/>
        </w:rPr>
      </w:pPr>
      <w:r>
        <w:rPr>
          <w:rFonts w:ascii="Times New Roman" w:hAnsi="Times New Roman"/>
        </w:rPr>
        <w:t>  </w:t>
      </w:r>
    </w:p>
    <w:p w:rsidR="00860ED9" w:rsidP="00860ED9">
      <w:pPr>
        <w:bidi w:val="0"/>
        <w:rPr>
          <w:rFonts w:ascii="Times New Roman" w:hAnsi="Times New Roman"/>
        </w:rPr>
      </w:pPr>
      <w:r>
        <w:rPr>
          <w:rFonts w:ascii="Times New Roman" w:hAnsi="Times New Roman"/>
          <w:b/>
          <w:bCs/>
        </w:rPr>
        <w:t>2.3.2. Charakteristika návrhu:</w:t>
      </w:r>
    </w:p>
    <w:p w:rsidR="00860ED9" w:rsidP="00860ED9">
      <w:pPr>
        <w:bidi w:val="0"/>
        <w:rPr>
          <w:rFonts w:ascii="Times New Roman" w:hAnsi="Times New Roman"/>
        </w:rPr>
      </w:pPr>
      <w:r>
        <w:rPr>
          <w:rFonts w:ascii="Times New Roman" w:hAnsi="Times New Roman"/>
        </w:rPr>
        <w:t> </w:t>
      </w:r>
    </w:p>
    <w:p w:rsidR="00860ED9" w:rsidP="00860ED9">
      <w:pPr>
        <w:bidi w:val="0"/>
        <w:rPr>
          <w:rFonts w:ascii="Times New Roman" w:hAnsi="Times New Roman"/>
        </w:rPr>
      </w:pPr>
      <w:r>
        <w:rPr>
          <w:rFonts w:ascii="Times New Roman" w:hAnsi="Times New Roman"/>
          <w:b/>
          <w:bCs/>
          <w:bdr w:val="single" w:sz="4" w:space="0" w:color="000000" w:frame="1"/>
        </w:rPr>
        <w:t xml:space="preserve">     </w:t>
      </w:r>
      <w:r>
        <w:rPr>
          <w:rFonts w:ascii="Times New Roman" w:hAnsi="Times New Roman"/>
          <w:b/>
          <w:bCs/>
        </w:rPr>
        <w:t xml:space="preserve">  </w:t>
      </w:r>
      <w:r>
        <w:rPr>
          <w:rFonts w:ascii="Times New Roman" w:hAnsi="Times New Roman"/>
        </w:rPr>
        <w:t>zmena sadzby</w:t>
      </w:r>
    </w:p>
    <w:p w:rsidR="00860ED9" w:rsidP="00860ED9">
      <w:pPr>
        <w:bidi w:val="0"/>
        <w:rPr>
          <w:rFonts w:ascii="Times New Roman" w:hAnsi="Times New Roman"/>
        </w:rPr>
      </w:pPr>
      <w:r>
        <w:rPr>
          <w:rFonts w:ascii="Times New Roman" w:hAnsi="Times New Roman"/>
          <w:bdr w:val="single" w:sz="4" w:space="0" w:color="000000" w:frame="1"/>
        </w:rPr>
        <w:t xml:space="preserve"> x  </w:t>
      </w:r>
      <w:r>
        <w:rPr>
          <w:rFonts w:ascii="Times New Roman" w:hAnsi="Times New Roman"/>
        </w:rPr>
        <w:t>  zmena v nároku</w:t>
      </w:r>
    </w:p>
    <w:p w:rsidR="00860ED9" w:rsidP="00860ED9">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860ED9" w:rsidP="00860ED9">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860ED9" w:rsidP="00860ED9">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xml:space="preserve">  iné </w:t>
      </w:r>
    </w:p>
    <w:p w:rsidR="00860ED9" w:rsidP="00860ED9">
      <w:pPr>
        <w:bidi w:val="0"/>
        <w:rPr>
          <w:rFonts w:ascii="Times New Roman" w:hAnsi="Times New Roman"/>
        </w:rPr>
      </w:pPr>
      <w:r>
        <w:rPr>
          <w:rFonts w:ascii="Times New Roman" w:hAnsi="Times New Roman"/>
        </w:rPr>
        <w:t> </w:t>
      </w:r>
    </w:p>
    <w:p w:rsidR="00860ED9" w:rsidP="00860ED9">
      <w:pPr>
        <w:bidi w:val="0"/>
        <w:rPr>
          <w:rFonts w:ascii="Times New Roman" w:hAnsi="Times New Roman"/>
        </w:rPr>
      </w:pPr>
      <w:r>
        <w:rPr>
          <w:rFonts w:ascii="Times New Roman" w:hAnsi="Times New Roman"/>
        </w:rPr>
        <w:t> </w:t>
      </w:r>
    </w:p>
    <w:p w:rsidR="00860ED9" w:rsidP="00860ED9">
      <w:pPr>
        <w:bidi w:val="0"/>
        <w:rPr>
          <w:rFonts w:ascii="Times New Roman" w:hAnsi="Times New Roman"/>
        </w:rPr>
      </w:pPr>
      <w:r>
        <w:rPr>
          <w:rFonts w:ascii="Times New Roman" w:hAnsi="Times New Roman"/>
          <w:b/>
          <w:bCs/>
        </w:rPr>
        <w:t>2.3.3. Predpoklady vývoja objemu aktivít:</w:t>
      </w:r>
    </w:p>
    <w:p w:rsidR="00860ED9" w:rsidP="00860ED9">
      <w:pPr>
        <w:bidi w:val="0"/>
        <w:rPr>
          <w:rFonts w:ascii="Times New Roman" w:hAnsi="Times New Roman"/>
        </w:rPr>
      </w:pPr>
      <w:r>
        <w:rPr>
          <w:rFonts w:ascii="Times New Roman" w:hAnsi="Times New Roman"/>
        </w:rPr>
        <w:t> </w:t>
      </w:r>
    </w:p>
    <w:p w:rsidR="00860ED9" w:rsidP="00860ED9">
      <w:pPr>
        <w:bidi w:val="0"/>
        <w:rPr>
          <w:rFonts w:ascii="Times New Roman" w:hAnsi="Times New Roman"/>
        </w:rPr>
      </w:pPr>
      <w:r>
        <w:rPr>
          <w:rFonts w:ascii="Times New Roman" w:hAnsi="Times New Roman"/>
        </w:rPr>
        <w:t>Návrh neovplyvní vývoj objemu aktivít.</w:t>
      </w:r>
    </w:p>
    <w:p w:rsidR="00860ED9" w:rsidP="00860ED9">
      <w:pPr>
        <w:bidi w:val="0"/>
        <w:rPr>
          <w:rFonts w:ascii="Times New Roman" w:hAnsi="Times New Roman"/>
        </w:rPr>
      </w:pPr>
      <w:r>
        <w:rPr>
          <w:rFonts w:ascii="Times New Roman" w:hAnsi="Times New Roman"/>
        </w:rPr>
        <w:t> </w:t>
      </w:r>
    </w:p>
    <w:p w:rsidR="00860ED9" w:rsidP="00860ED9">
      <w:pPr>
        <w:bidi w:val="0"/>
        <w:rPr>
          <w:rFonts w:ascii="Times New Roman" w:hAnsi="Times New Roman"/>
        </w:rPr>
      </w:pPr>
      <w:r>
        <w:rPr>
          <w:rFonts w:ascii="Times New Roman" w:hAnsi="Times New Roman"/>
          <w:b/>
          <w:bCs/>
        </w:rPr>
        <w:t>2.3.4. Výpočty vplyvov na verejné financie</w:t>
      </w:r>
    </w:p>
    <w:p w:rsidR="00860ED9" w:rsidP="00860ED9">
      <w:pPr>
        <w:bidi w:val="0"/>
        <w:rPr>
          <w:rFonts w:ascii="Times New Roman" w:hAnsi="Times New Roman"/>
        </w:rPr>
      </w:pPr>
      <w:r>
        <w:rPr>
          <w:rFonts w:ascii="Times New Roman" w:hAnsi="Times New Roman"/>
        </w:rPr>
        <w:t> </w:t>
      </w:r>
    </w:p>
    <w:p w:rsidR="00860ED9" w:rsidP="00860ED9">
      <w:pPr>
        <w:bidi w:val="0"/>
        <w:jc w:val="both"/>
        <w:rPr>
          <w:rFonts w:ascii="Times New Roman" w:hAnsi="Times New Roman"/>
        </w:rPr>
      </w:pPr>
      <w:r>
        <w:rPr>
          <w:rFonts w:ascii="Times New Roman" w:hAnsi="Times New Roman"/>
        </w:rPr>
        <w:t>  Pri výpočte vplyvu na rozpočet verejnej správy sa vychádzalo z  údajov za rok 2010:</w:t>
      </w:r>
    </w:p>
    <w:p w:rsidR="00860ED9" w:rsidP="00860ED9">
      <w:pPr>
        <w:bidi w:val="0"/>
        <w:jc w:val="both"/>
        <w:rPr>
          <w:rFonts w:ascii="Times New Roman" w:hAnsi="Times New Roman"/>
        </w:rPr>
      </w:pPr>
    </w:p>
    <w:tbl>
      <w:tblPr>
        <w:tblStyle w:val="TableNormal"/>
        <w:tblW w:w="0" w:type="auto"/>
        <w:tblInd w:w="55" w:type="dxa"/>
        <w:tblLayout w:type="fixed"/>
        <w:tblCellMar>
          <w:left w:w="70" w:type="dxa"/>
          <w:right w:w="70" w:type="dxa"/>
        </w:tblCellMar>
        <w:tblLook w:val="00A0"/>
      </w:tblPr>
      <w:tblGrid>
        <w:gridCol w:w="2355"/>
        <w:gridCol w:w="1429"/>
        <w:gridCol w:w="1334"/>
        <w:gridCol w:w="1665"/>
        <w:gridCol w:w="1454"/>
        <w:gridCol w:w="1546"/>
      </w:tblGrid>
      <w:tr>
        <w:tblPrEx>
          <w:tblW w:w="0" w:type="auto"/>
          <w:tblInd w:w="55" w:type="dxa"/>
          <w:tblLayout w:type="fixed"/>
          <w:tblCellMar>
            <w:left w:w="70" w:type="dxa"/>
            <w:right w:w="70" w:type="dxa"/>
          </w:tblCellMar>
          <w:tblLook w:val="00A0"/>
        </w:tblPrEx>
        <w:trPr>
          <w:trHeight w:val="349"/>
        </w:trPr>
        <w:tc>
          <w:tcPr>
            <w:tcW w:w="2355" w:type="dxa"/>
            <w:tcBorders>
              <w:top w:val="single" w:sz="4" w:space="0" w:color="auto"/>
              <w:left w:val="single" w:sz="4" w:space="0" w:color="auto"/>
              <w:bottom w:val="single" w:sz="4" w:space="0" w:color="auto"/>
              <w:right w:val="single" w:sz="4" w:space="0" w:color="auto"/>
            </w:tcBorders>
            <w:noWrap/>
            <w:textDirection w:val="lrTb"/>
            <w:vAlign w:val="bottom"/>
          </w:tcPr>
          <w:p w:rsidR="00860ED9" w:rsidP="001F5274">
            <w:pPr>
              <w:bidi w:val="0"/>
              <w:rPr>
                <w:rFonts w:ascii="Times New Roman" w:hAnsi="Times New Roman"/>
                <w:b/>
                <w:bCs/>
              </w:rPr>
            </w:pPr>
            <w:r>
              <w:rPr>
                <w:rFonts w:ascii="Times New Roman" w:hAnsi="Times New Roman"/>
                <w:b/>
                <w:bCs/>
              </w:rPr>
              <w:t>Posádka</w:t>
            </w:r>
          </w:p>
        </w:tc>
        <w:tc>
          <w:tcPr>
            <w:tcW w:w="2763" w:type="dxa"/>
            <w:gridSpan w:val="2"/>
            <w:tcBorders>
              <w:top w:val="single" w:sz="4" w:space="0" w:color="auto"/>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b/>
                <w:bCs/>
              </w:rPr>
            </w:pPr>
            <w:r>
              <w:rPr>
                <w:rFonts w:ascii="Times New Roman" w:hAnsi="Times New Roman"/>
                <w:b/>
                <w:bCs/>
              </w:rPr>
              <w:t>Bratislava</w:t>
            </w:r>
          </w:p>
        </w:tc>
        <w:tc>
          <w:tcPr>
            <w:tcW w:w="3119" w:type="dxa"/>
            <w:gridSpan w:val="2"/>
            <w:tcBorders>
              <w:top w:val="single" w:sz="4" w:space="0" w:color="auto"/>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b/>
                <w:bCs/>
              </w:rPr>
            </w:pPr>
            <w:r>
              <w:rPr>
                <w:rFonts w:ascii="Times New Roman" w:hAnsi="Times New Roman"/>
                <w:b/>
                <w:bCs/>
              </w:rPr>
              <w:t>mimo Bratislavy</w:t>
            </w:r>
          </w:p>
        </w:tc>
        <w:tc>
          <w:tcPr>
            <w:tcW w:w="1546" w:type="dxa"/>
            <w:tcBorders>
              <w:top w:val="single" w:sz="4" w:space="0" w:color="auto"/>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b/>
                <w:bCs/>
              </w:rPr>
            </w:pPr>
            <w:r>
              <w:rPr>
                <w:rFonts w:ascii="Times New Roman" w:hAnsi="Times New Roman"/>
                <w:b/>
                <w:bCs/>
              </w:rPr>
              <w:t>SPOLU</w:t>
            </w:r>
          </w:p>
        </w:tc>
      </w:tr>
      <w:tr>
        <w:tblPrEx>
          <w:tblW w:w="0" w:type="auto"/>
          <w:tblInd w:w="55" w:type="dxa"/>
          <w:tblLayout w:type="fixed"/>
          <w:tblCellMar>
            <w:left w:w="70" w:type="dxa"/>
            <w:right w:w="70" w:type="dxa"/>
          </w:tblCellMar>
          <w:tblLook w:val="00A0"/>
        </w:tblPrEx>
        <w:trPr>
          <w:trHeight w:val="349"/>
        </w:trPr>
        <w:tc>
          <w:tcPr>
            <w:tcW w:w="2355" w:type="dxa"/>
            <w:tcBorders>
              <w:top w:val="nil"/>
              <w:left w:val="single" w:sz="4" w:space="0" w:color="auto"/>
              <w:bottom w:val="single" w:sz="4" w:space="0" w:color="auto"/>
              <w:right w:val="single" w:sz="4" w:space="0" w:color="auto"/>
            </w:tcBorders>
            <w:noWrap/>
            <w:textDirection w:val="lrTb"/>
            <w:vAlign w:val="bottom"/>
          </w:tcPr>
          <w:p w:rsidR="00860ED9" w:rsidP="001F5274">
            <w:pPr>
              <w:bidi w:val="0"/>
              <w:rPr>
                <w:rFonts w:ascii="Times New Roman" w:hAnsi="Times New Roman"/>
              </w:rPr>
            </w:pPr>
            <w:r>
              <w:rPr>
                <w:rFonts w:ascii="Times New Roman" w:hAnsi="Times New Roman"/>
              </w:rPr>
              <w:t>Výška príspevku (eur)</w:t>
            </w:r>
          </w:p>
        </w:tc>
        <w:tc>
          <w:tcPr>
            <w:tcW w:w="1429" w:type="dxa"/>
            <w:tcBorders>
              <w:top w:val="nil"/>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rPr>
            </w:pPr>
            <w:r>
              <w:rPr>
                <w:rFonts w:ascii="Times New Roman" w:hAnsi="Times New Roman"/>
              </w:rPr>
              <w:t>276,50</w:t>
            </w:r>
          </w:p>
        </w:tc>
        <w:tc>
          <w:tcPr>
            <w:tcW w:w="1334" w:type="dxa"/>
            <w:tcBorders>
              <w:top w:val="nil"/>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rPr>
            </w:pPr>
            <w:r>
              <w:rPr>
                <w:rFonts w:ascii="Times New Roman" w:hAnsi="Times New Roman"/>
              </w:rPr>
              <w:t>138,50</w:t>
            </w:r>
          </w:p>
        </w:tc>
        <w:tc>
          <w:tcPr>
            <w:tcW w:w="1665" w:type="dxa"/>
            <w:tcBorders>
              <w:top w:val="nil"/>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rPr>
            </w:pPr>
            <w:r>
              <w:rPr>
                <w:rFonts w:ascii="Times New Roman" w:hAnsi="Times New Roman"/>
              </w:rPr>
              <w:t>230,50</w:t>
            </w:r>
          </w:p>
        </w:tc>
        <w:tc>
          <w:tcPr>
            <w:tcW w:w="1454" w:type="dxa"/>
            <w:tcBorders>
              <w:top w:val="nil"/>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rPr>
            </w:pPr>
            <w:r>
              <w:rPr>
                <w:rFonts w:ascii="Times New Roman" w:hAnsi="Times New Roman"/>
              </w:rPr>
              <w:t>115,50</w:t>
            </w:r>
          </w:p>
        </w:tc>
        <w:tc>
          <w:tcPr>
            <w:tcW w:w="1546" w:type="dxa"/>
            <w:tcBorders>
              <w:top w:val="nil"/>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rPr>
            </w:pPr>
            <w:r>
              <w:rPr>
                <w:rFonts w:ascii="Times New Roman" w:hAnsi="Times New Roman"/>
              </w:rPr>
              <w:t> </w:t>
            </w:r>
          </w:p>
        </w:tc>
      </w:tr>
      <w:tr>
        <w:tblPrEx>
          <w:tblW w:w="0" w:type="auto"/>
          <w:tblInd w:w="55" w:type="dxa"/>
          <w:tblLayout w:type="fixed"/>
          <w:tblCellMar>
            <w:left w:w="70" w:type="dxa"/>
            <w:right w:w="70" w:type="dxa"/>
          </w:tblCellMar>
          <w:tblLook w:val="00A0"/>
        </w:tblPrEx>
        <w:trPr>
          <w:trHeight w:val="349"/>
        </w:trPr>
        <w:tc>
          <w:tcPr>
            <w:tcW w:w="2355" w:type="dxa"/>
            <w:tcBorders>
              <w:top w:val="nil"/>
              <w:left w:val="single" w:sz="4" w:space="0" w:color="auto"/>
              <w:bottom w:val="single" w:sz="4" w:space="0" w:color="auto"/>
              <w:right w:val="single" w:sz="4" w:space="0" w:color="auto"/>
            </w:tcBorders>
            <w:noWrap/>
            <w:textDirection w:val="lrTb"/>
            <w:vAlign w:val="bottom"/>
          </w:tcPr>
          <w:p w:rsidR="00860ED9" w:rsidP="001F5274">
            <w:pPr>
              <w:bidi w:val="0"/>
              <w:rPr>
                <w:rFonts w:ascii="Times New Roman" w:hAnsi="Times New Roman"/>
              </w:rPr>
            </w:pPr>
            <w:r>
              <w:rPr>
                <w:rFonts w:ascii="Times New Roman" w:hAnsi="Times New Roman"/>
              </w:rPr>
              <w:t>Počet poberateľov</w:t>
            </w:r>
          </w:p>
        </w:tc>
        <w:tc>
          <w:tcPr>
            <w:tcW w:w="1429" w:type="dxa"/>
            <w:tcBorders>
              <w:top w:val="nil"/>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rPr>
            </w:pPr>
            <w:r>
              <w:rPr>
                <w:rFonts w:ascii="Times New Roman" w:hAnsi="Times New Roman"/>
              </w:rPr>
              <w:t>5</w:t>
            </w:r>
          </w:p>
        </w:tc>
        <w:tc>
          <w:tcPr>
            <w:tcW w:w="1334" w:type="dxa"/>
            <w:tcBorders>
              <w:top w:val="nil"/>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rPr>
            </w:pPr>
            <w:r>
              <w:rPr>
                <w:rFonts w:ascii="Times New Roman" w:hAnsi="Times New Roman"/>
              </w:rPr>
              <w:t>0</w:t>
            </w:r>
          </w:p>
        </w:tc>
        <w:tc>
          <w:tcPr>
            <w:tcW w:w="1665" w:type="dxa"/>
            <w:tcBorders>
              <w:top w:val="nil"/>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rPr>
            </w:pPr>
            <w:r>
              <w:rPr>
                <w:rFonts w:ascii="Times New Roman" w:hAnsi="Times New Roman"/>
              </w:rPr>
              <w:t>62</w:t>
            </w:r>
          </w:p>
        </w:tc>
        <w:tc>
          <w:tcPr>
            <w:tcW w:w="1454" w:type="dxa"/>
            <w:tcBorders>
              <w:top w:val="nil"/>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rPr>
            </w:pPr>
            <w:r>
              <w:rPr>
                <w:rFonts w:ascii="Times New Roman" w:hAnsi="Times New Roman"/>
              </w:rPr>
              <w:t>2</w:t>
            </w:r>
          </w:p>
        </w:tc>
        <w:tc>
          <w:tcPr>
            <w:tcW w:w="1546" w:type="dxa"/>
            <w:tcBorders>
              <w:top w:val="nil"/>
              <w:left w:val="nil"/>
              <w:bottom w:val="single" w:sz="4" w:space="0" w:color="auto"/>
              <w:right w:val="single" w:sz="4" w:space="0" w:color="auto"/>
            </w:tcBorders>
            <w:noWrap/>
            <w:textDirection w:val="lrTb"/>
            <w:vAlign w:val="bottom"/>
          </w:tcPr>
          <w:p w:rsidR="00860ED9" w:rsidP="001F5274">
            <w:pPr>
              <w:bidi w:val="0"/>
              <w:jc w:val="center"/>
              <w:rPr>
                <w:rFonts w:ascii="Times New Roman" w:hAnsi="Times New Roman"/>
              </w:rPr>
            </w:pPr>
            <w:r>
              <w:rPr>
                <w:rFonts w:ascii="Times New Roman" w:hAnsi="Times New Roman"/>
              </w:rPr>
              <w:t>69</w:t>
            </w:r>
          </w:p>
        </w:tc>
      </w:tr>
      <w:tr>
        <w:tblPrEx>
          <w:tblW w:w="0" w:type="auto"/>
          <w:tblInd w:w="55" w:type="dxa"/>
          <w:tblLayout w:type="fixed"/>
          <w:tblCellMar>
            <w:left w:w="70" w:type="dxa"/>
            <w:right w:w="70" w:type="dxa"/>
          </w:tblCellMar>
          <w:tblLook w:val="00A0"/>
        </w:tblPrEx>
        <w:trPr>
          <w:trHeight w:val="331"/>
        </w:trPr>
        <w:tc>
          <w:tcPr>
            <w:tcW w:w="2355" w:type="dxa"/>
            <w:tcBorders>
              <w:top w:val="nil"/>
              <w:left w:val="single" w:sz="4" w:space="0" w:color="auto"/>
              <w:bottom w:val="single" w:sz="4" w:space="0" w:color="auto"/>
              <w:right w:val="single" w:sz="4" w:space="0" w:color="auto"/>
            </w:tcBorders>
            <w:textDirection w:val="lrTb"/>
            <w:vAlign w:val="bottom"/>
          </w:tcPr>
          <w:p w:rsidR="00860ED9" w:rsidP="001F5274">
            <w:pPr>
              <w:bidi w:val="0"/>
              <w:rPr>
                <w:rFonts w:ascii="Times New Roman" w:hAnsi="Times New Roman"/>
              </w:rPr>
            </w:pPr>
            <w:r>
              <w:rPr>
                <w:rFonts w:ascii="Times New Roman" w:hAnsi="Times New Roman"/>
              </w:rPr>
              <w:t>Ročné EK 640    (eur)</w:t>
            </w:r>
          </w:p>
        </w:tc>
        <w:tc>
          <w:tcPr>
            <w:tcW w:w="1429" w:type="dxa"/>
            <w:tcBorders>
              <w:top w:val="nil"/>
              <w:left w:val="nil"/>
              <w:bottom w:val="single" w:sz="4" w:space="0" w:color="auto"/>
              <w:right w:val="single" w:sz="4" w:space="0" w:color="auto"/>
            </w:tcBorders>
            <w:noWrap/>
            <w:textDirection w:val="lrTb"/>
            <w:vAlign w:val="center"/>
          </w:tcPr>
          <w:p w:rsidR="00860ED9" w:rsidP="001F5274">
            <w:pPr>
              <w:bidi w:val="0"/>
              <w:jc w:val="center"/>
              <w:rPr>
                <w:rFonts w:ascii="Times New Roman" w:hAnsi="Times New Roman"/>
              </w:rPr>
            </w:pPr>
            <w:r>
              <w:rPr>
                <w:rFonts w:ascii="Times New Roman" w:hAnsi="Times New Roman"/>
              </w:rPr>
              <w:t>16 590</w:t>
            </w:r>
          </w:p>
        </w:tc>
        <w:tc>
          <w:tcPr>
            <w:tcW w:w="1334" w:type="dxa"/>
            <w:tcBorders>
              <w:top w:val="nil"/>
              <w:left w:val="nil"/>
              <w:bottom w:val="single" w:sz="4" w:space="0" w:color="auto"/>
              <w:right w:val="single" w:sz="4" w:space="0" w:color="auto"/>
            </w:tcBorders>
            <w:noWrap/>
            <w:textDirection w:val="lrTb"/>
            <w:vAlign w:val="center"/>
          </w:tcPr>
          <w:p w:rsidR="00860ED9" w:rsidP="001F5274">
            <w:pPr>
              <w:bidi w:val="0"/>
              <w:jc w:val="center"/>
              <w:rPr>
                <w:rFonts w:ascii="Times New Roman" w:hAnsi="Times New Roman"/>
              </w:rPr>
            </w:pPr>
            <w:r>
              <w:rPr>
                <w:rFonts w:ascii="Times New Roman" w:hAnsi="Times New Roman"/>
              </w:rPr>
              <w:t>0</w:t>
            </w:r>
          </w:p>
        </w:tc>
        <w:tc>
          <w:tcPr>
            <w:tcW w:w="1665" w:type="dxa"/>
            <w:tcBorders>
              <w:top w:val="nil"/>
              <w:left w:val="nil"/>
              <w:bottom w:val="single" w:sz="4" w:space="0" w:color="auto"/>
              <w:right w:val="single" w:sz="4" w:space="0" w:color="auto"/>
            </w:tcBorders>
            <w:noWrap/>
            <w:textDirection w:val="lrTb"/>
            <w:vAlign w:val="center"/>
          </w:tcPr>
          <w:p w:rsidR="00860ED9" w:rsidP="001F5274">
            <w:pPr>
              <w:bidi w:val="0"/>
              <w:jc w:val="center"/>
              <w:rPr>
                <w:rFonts w:ascii="Times New Roman" w:hAnsi="Times New Roman"/>
              </w:rPr>
            </w:pPr>
            <w:r>
              <w:rPr>
                <w:rFonts w:ascii="Times New Roman" w:hAnsi="Times New Roman"/>
              </w:rPr>
              <w:t>171 492</w:t>
            </w:r>
          </w:p>
        </w:tc>
        <w:tc>
          <w:tcPr>
            <w:tcW w:w="1454" w:type="dxa"/>
            <w:tcBorders>
              <w:top w:val="nil"/>
              <w:left w:val="nil"/>
              <w:bottom w:val="single" w:sz="4" w:space="0" w:color="auto"/>
              <w:right w:val="single" w:sz="4" w:space="0" w:color="auto"/>
            </w:tcBorders>
            <w:noWrap/>
            <w:textDirection w:val="lrTb"/>
            <w:vAlign w:val="center"/>
          </w:tcPr>
          <w:p w:rsidR="00860ED9" w:rsidP="001F5274">
            <w:pPr>
              <w:bidi w:val="0"/>
              <w:jc w:val="center"/>
              <w:rPr>
                <w:rFonts w:ascii="Times New Roman" w:hAnsi="Times New Roman"/>
              </w:rPr>
            </w:pPr>
            <w:r>
              <w:rPr>
                <w:rFonts w:ascii="Times New Roman" w:hAnsi="Times New Roman"/>
              </w:rPr>
              <w:t>2 772</w:t>
            </w:r>
          </w:p>
        </w:tc>
        <w:tc>
          <w:tcPr>
            <w:tcW w:w="1546" w:type="dxa"/>
            <w:tcBorders>
              <w:top w:val="nil"/>
              <w:left w:val="nil"/>
              <w:bottom w:val="single" w:sz="4" w:space="0" w:color="auto"/>
              <w:right w:val="single" w:sz="4" w:space="0" w:color="auto"/>
            </w:tcBorders>
            <w:noWrap/>
            <w:textDirection w:val="lrTb"/>
            <w:vAlign w:val="center"/>
          </w:tcPr>
          <w:p w:rsidR="00860ED9" w:rsidP="001F5274">
            <w:pPr>
              <w:bidi w:val="0"/>
              <w:jc w:val="center"/>
              <w:rPr>
                <w:rFonts w:ascii="Times New Roman" w:hAnsi="Times New Roman"/>
              </w:rPr>
            </w:pPr>
            <w:r>
              <w:rPr>
                <w:rFonts w:ascii="Times New Roman" w:hAnsi="Times New Roman"/>
              </w:rPr>
              <w:t>190 854</w:t>
            </w:r>
          </w:p>
        </w:tc>
      </w:tr>
    </w:tbl>
    <w:p w:rsidR="00860ED9" w:rsidP="00860ED9">
      <w:pPr>
        <w:bidi w:val="0"/>
        <w:rPr>
          <w:rFonts w:ascii="Times New Roman" w:hAnsi="Times New Roman"/>
        </w:rPr>
        <w:sectPr>
          <w:pgSz w:w="12240" w:h="15840"/>
          <w:pgMar w:top="1417" w:right="1417" w:bottom="1417" w:left="1417" w:header="708" w:footer="708" w:gutter="0"/>
          <w:lnNumType w:distance="0"/>
          <w:cols w:space="708"/>
          <w:noEndnote w:val="0"/>
          <w:bidi w:val="0"/>
          <w:rtlGutter/>
        </w:sectPr>
      </w:pPr>
    </w:p>
    <w:p w:rsidR="00860ED9" w:rsidP="00860ED9">
      <w:pPr>
        <w:pStyle w:val="NormalWeb"/>
        <w:bidi w:val="0"/>
        <w:spacing w:before="0" w:beforeAutospacing="0" w:after="0" w:afterAutospacing="0"/>
        <w:rPr>
          <w:rFonts w:ascii="Times New Roman" w:hAnsi="Times New Roman"/>
        </w:rPr>
      </w:pPr>
      <w:r>
        <w:rPr>
          <w:rFonts w:ascii="Times New Roman" w:hAnsi="Times New Roman"/>
        </w:rPr>
        <w:t>Návrh zákona nemá vplyv na príjmovú časť rozpočtu verejnej správy, z tohto dôvodu sa tabuľka vplyvu na rozpočet verejnej správy - príjmová časť (tabuľka č. 4) nepredkladá.</w:t>
      </w:r>
    </w:p>
    <w:p w:rsidR="00860ED9" w:rsidP="00860ED9">
      <w:pPr>
        <w:pStyle w:val="NormalWeb"/>
        <w:bidi w:val="0"/>
        <w:spacing w:before="0" w:beforeAutospacing="0" w:after="0" w:afterAutospacing="0"/>
        <w:rPr>
          <w:rFonts w:ascii="Times New Roman" w:hAnsi="Times New Roman"/>
          <w:sz w:val="20"/>
          <w:szCs w:val="20"/>
        </w:rPr>
      </w:pPr>
      <w:r>
        <w:rPr>
          <w:rFonts w:ascii="Times New Roman" w:hAnsi="Times New Roman"/>
        </w:rPr>
        <w:t> </w:t>
      </w:r>
    </w:p>
    <w:p w:rsidR="00860ED9" w:rsidP="00860ED9">
      <w:pPr>
        <w:pStyle w:val="NormalWeb"/>
        <w:bidi w:val="0"/>
        <w:spacing w:before="0" w:beforeAutospacing="0" w:after="0" w:afterAutospacing="0"/>
        <w:jc w:val="both"/>
        <w:rPr>
          <w:rFonts w:ascii="Times New Roman" w:hAnsi="Times New Roman"/>
        </w:rPr>
      </w:pPr>
      <w:r>
        <w:rPr>
          <w:rFonts w:ascii="Times New Roman" w:hAnsi="Times New Roman"/>
          <w:sz w:val="20"/>
          <w:szCs w:val="20"/>
        </w:rPr>
        <w:t xml:space="preserve">                                                                                                                                                                                                                                           </w:t>
      </w:r>
      <w:r>
        <w:rPr>
          <w:rFonts w:ascii="Times New Roman" w:hAnsi="Times New Roman"/>
        </w:rPr>
        <w:t xml:space="preserve">Tabuľka č. 5 </w:t>
      </w:r>
    </w:p>
    <w:tbl>
      <w:tblPr>
        <w:tblStyle w:val="TableNormal"/>
        <w:tblW w:w="15450" w:type="dxa"/>
        <w:tblInd w:w="-1223" w:type="dxa"/>
        <w:tblCellMar>
          <w:left w:w="0" w:type="dxa"/>
          <w:right w:w="0" w:type="dxa"/>
        </w:tblCellMar>
      </w:tblPr>
      <w:tblGrid>
        <w:gridCol w:w="7070"/>
        <w:gridCol w:w="1540"/>
        <w:gridCol w:w="1540"/>
        <w:gridCol w:w="1540"/>
        <w:gridCol w:w="1540"/>
        <w:gridCol w:w="2220"/>
      </w:tblGrid>
      <w:tr>
        <w:tblPrEx>
          <w:tblW w:w="15450" w:type="dxa"/>
          <w:tblInd w:w="-1223" w:type="dxa"/>
          <w:tblCellMar>
            <w:left w:w="0" w:type="dxa"/>
            <w:right w:w="0" w:type="dxa"/>
          </w:tblCellMar>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Výdavky (v eurách)</w:t>
            </w:r>
          </w:p>
        </w:tc>
        <w:tc>
          <w:tcPr>
            <w:tcW w:w="0" w:type="auto"/>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860ED9" w:rsidP="001F5274">
            <w:pPr>
              <w:bidi w:val="0"/>
              <w:rPr>
                <w:rFonts w:ascii="Times New Roman" w:hAnsi="Times New Roman"/>
              </w:rPr>
            </w:pP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r</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r + 1</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r + 2</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r + 3</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860ED9" w:rsidP="001F5274">
            <w:pPr>
              <w:bidi w:val="0"/>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b/>
                <w:bCs/>
                <w:sz w:val="20"/>
                <w:szCs w:val="20"/>
              </w:rPr>
              <w:t>Bežné výdavky (600)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r>
              <w:rPr>
                <w:rFonts w:ascii="Times New Roman" w:hAnsi="Times New Roman"/>
                <w:b/>
                <w:bCs/>
              </w:rPr>
              <w:t xml:space="preserve">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sz w:val="20"/>
                <w:szCs w:val="20"/>
              </w:rPr>
              <w:t>  Mzdy, platy, služobné príjmy a ostatné osobné vyrovnania (610)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sz w:val="20"/>
                <w:szCs w:val="20"/>
              </w:rPr>
              <w:t>  Poistné a príspevok do poisťovní (620)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sz w:val="20"/>
                <w:szCs w:val="20"/>
              </w:rPr>
              <w:t>  Tovary a služby (630)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r>
              <w:rPr>
                <w:rFonts w:ascii="Times New Roman" w:hAnsi="Times New Roman"/>
                <w:b/>
                <w:bCs/>
              </w:rPr>
              <w:t xml:space="preserve">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sz w:val="20"/>
                <w:szCs w:val="20"/>
              </w:rPr>
            </w:pPr>
            <w:r>
              <w:rPr>
                <w:rFonts w:ascii="Times New Roman" w:hAnsi="Times New Roman"/>
                <w:sz w:val="20"/>
                <w:szCs w:val="20"/>
              </w:rPr>
              <w:t>- bežné transfery príspevok na bývanie profesionálnym vojakom  642026</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r>
              <w:rPr>
                <w:rFonts w:ascii="Times New Roman" w:hAnsi="Times New Roman"/>
                <w:b/>
                <w:bCs/>
              </w:rPr>
              <w:t xml:space="preserve">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pStyle w:val="NormalWeb"/>
              <w:bidi w:val="0"/>
              <w:spacing w:before="0" w:beforeAutospacing="0" w:after="0" w:afterAutospacing="0"/>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b/>
                <w:bCs/>
                <w:sz w:val="20"/>
                <w:szCs w:val="20"/>
              </w:rPr>
              <w:t>Kapitálové výdavky (700)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sz w:val="20"/>
                <w:szCs w:val="20"/>
              </w:rPr>
              <w:t>  Obstarávanie kapitálových aktív (710)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b/>
                <w:bCs/>
                <w:sz w:val="20"/>
                <w:szCs w:val="20"/>
              </w:rPr>
              <w:t>Výdavky z transakcií s finančnými aktívami a finančnými pasívami (800)</w:t>
            </w:r>
          </w:p>
        </w:tc>
        <w:tc>
          <w:tcPr>
            <w:tcW w:w="1540" w:type="dxa"/>
            <w:tcBorders>
              <w:top w:val="single" w:sz="4" w:space="0" w:color="000000"/>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nil"/>
              <w:right w:val="single" w:sz="4" w:space="0" w:color="000000"/>
            </w:tcBorders>
            <w:shd w:val="clear" w:color="auto" w:fill="000000"/>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b/>
                <w:bCs/>
                <w:color w:val="FFFFFF"/>
                <w:sz w:val="20"/>
                <w:szCs w:val="20"/>
              </w:rPr>
              <w:t>Dopad na výdavky verejnej správy celkom</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 </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 </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 </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color w:val="FFFFFF"/>
              </w:rPr>
              <w:t> </w:t>
            </w:r>
          </w:p>
        </w:tc>
        <w:tc>
          <w:tcPr>
            <w:tcW w:w="222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color w:val="FFFFFF"/>
              </w:rPr>
              <w:t> </w:t>
            </w:r>
          </w:p>
        </w:tc>
      </w:tr>
      <w:tr>
        <w:tblPrEx>
          <w:tblW w:w="15450" w:type="dxa"/>
          <w:tblInd w:w="-1223" w:type="dxa"/>
          <w:tblCellMar>
            <w:left w:w="0" w:type="dxa"/>
            <w:right w:w="0" w:type="dxa"/>
          </w:tblCellMar>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b/>
                <w:bCs/>
                <w:sz w:val="20"/>
                <w:szCs w:val="20"/>
              </w:rPr>
              <w:t>  z toho výdavky na ŠR</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tcPr>
          <w:p w:rsidR="00860ED9" w:rsidP="001F5274">
            <w:pPr>
              <w:bidi w:val="0"/>
              <w:spacing w:line="125" w:lineRule="atLeast"/>
              <w:jc w:val="right"/>
              <w:rPr>
                <w:rFonts w:ascii="Times New Roman" w:hAnsi="Times New Roman"/>
              </w:rPr>
            </w:pPr>
            <w:r>
              <w:rPr>
                <w:rFonts w:ascii="Times New Roman" w:hAnsi="Times New Roman" w:cs="Calibri"/>
                <w:iCs/>
              </w:rPr>
              <w:t>190 854</w:t>
            </w:r>
            <w:r>
              <w:rPr>
                <w:rFonts w:ascii="Times New Roman" w:hAnsi="Times New Roman"/>
                <w:b/>
                <w:bCs/>
              </w:rPr>
              <w:t xml:space="preserve"> </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sz w:val="20"/>
                <w:szCs w:val="20"/>
              </w:rPr>
              <w:t>    Kapitálové výdavky (700)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rPr>
                <w:rFonts w:ascii="Times New Roman" w:hAnsi="Times New Roman"/>
              </w:rPr>
            </w:pPr>
            <w:r>
              <w:rPr>
                <w:rFonts w:ascii="Times New Roman" w:hAnsi="Times New Roman"/>
                <w:sz w:val="20"/>
                <w:szCs w:val="20"/>
              </w:rPr>
              <w:t>    Výdavky z transakcií s finančnými aktívami a finančnými pasívami (800)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tcPr>
          <w:p w:rsidR="00860ED9" w:rsidP="001F5274">
            <w:pPr>
              <w:pStyle w:val="NormalWeb"/>
              <w:bidi w:val="0"/>
              <w:spacing w:before="0" w:beforeAutospacing="0" w:after="0" w:afterAutospacing="0"/>
              <w:jc w:val="center"/>
              <w:rPr>
                <w:rFonts w:ascii="Times New Roman" w:hAnsi="Times New Roman"/>
              </w:rPr>
            </w:pPr>
            <w:r>
              <w:rPr>
                <w:rFonts w:ascii="Times New Roman" w:hAnsi="Times New Roman"/>
                <w:b/>
                <w:bCs/>
              </w:rPr>
              <w:t> </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tcPr>
          <w:p w:rsidR="00860ED9" w:rsidP="001F5274">
            <w:pPr>
              <w:pStyle w:val="NormalWeb"/>
              <w:bidi w:val="0"/>
              <w:spacing w:before="0" w:beforeAutospacing="0" w:after="0" w:afterAutospacing="0"/>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PrEx>
        <w:tc>
          <w:tcPr>
            <w:tcW w:w="7070"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c>
          <w:tcPr>
            <w:tcW w:w="2220" w:type="dxa"/>
            <w:tcBorders>
              <w:top w:val="none" w:sz="0" w:space="0" w:color="auto"/>
              <w:left w:val="none" w:sz="0" w:space="0" w:color="auto"/>
              <w:bottom w:val="none" w:sz="0" w:space="0" w:color="auto"/>
              <w:right w:val="none" w:sz="0" w:space="0" w:color="auto"/>
            </w:tcBorders>
            <w:textDirection w:val="lrTb"/>
            <w:vAlign w:val="center"/>
          </w:tcPr>
          <w:p w:rsidR="00860ED9" w:rsidP="001F5274">
            <w:pPr>
              <w:bidi w:val="0"/>
              <w:rPr>
                <w:rFonts w:ascii="Times New Roman" w:hAnsi="Times New Roman"/>
                <w:sz w:val="2"/>
              </w:rPr>
            </w:pPr>
          </w:p>
        </w:tc>
      </w:tr>
    </w:tbl>
    <w:p w:rsidR="00860ED9" w:rsidP="00860ED9">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2 –  výdavky rozpísať až do položiek platnej ekonomickej klasifikácie</w:t>
      </w:r>
    </w:p>
    <w:p w:rsidR="00860ED9" w:rsidP="00860ED9">
      <w:pPr>
        <w:pStyle w:val="NormalWeb"/>
        <w:bidi w:val="0"/>
        <w:spacing w:before="0" w:beforeAutospacing="0" w:after="0" w:afterAutospacing="0"/>
        <w:jc w:val="both"/>
        <w:rPr>
          <w:rFonts w:ascii="Times New Roman" w:hAnsi="Times New Roman"/>
          <w:sz w:val="20"/>
          <w:szCs w:val="20"/>
        </w:rPr>
      </w:pPr>
    </w:p>
    <w:p w:rsidR="00860ED9" w:rsidP="00860ED9">
      <w:pPr>
        <w:pStyle w:val="NormalWeb"/>
        <w:bidi w:val="0"/>
        <w:spacing w:before="0" w:beforeAutospacing="0" w:after="0" w:afterAutospacing="0"/>
        <w:rPr>
          <w:rFonts w:ascii="Times New Roman" w:hAnsi="Times New Roman"/>
        </w:rPr>
        <w:sectPr w:rsidSect="001F5274">
          <w:pgSz w:w="16838" w:h="11906" w:orient="landscape"/>
          <w:pgMar w:top="1418" w:right="1418" w:bottom="1418" w:left="1418" w:header="709" w:footer="709" w:gutter="0"/>
          <w:lnNumType w:distance="0"/>
          <w:cols w:space="708"/>
          <w:noEndnote w:val="0"/>
          <w:bidi w:val="0"/>
          <w:docGrid w:linePitch="360"/>
        </w:sectPr>
      </w:pPr>
      <w:r>
        <w:rPr>
          <w:rFonts w:ascii="Times New Roman" w:hAnsi="Times New Roman"/>
        </w:rPr>
        <w:t xml:space="preserve">Návrh zákona nemá vplyv na zamestnanosť vo verejnej správe, z tohto dôvodu sa tabuľka vplyvov na zamestnanosť (tabuľka č. 6) nepredkladá. </w:t>
      </w:r>
    </w:p>
    <w:p w:rsidR="00860ED9" w:rsidP="00860ED9">
      <w:pPr>
        <w:bidi w:val="0"/>
        <w:rPr>
          <w:rFonts w:ascii="Times New Roman" w:hAnsi="Times New Roman"/>
          <w:b/>
          <w:sz w:val="28"/>
          <w:szCs w:val="28"/>
        </w:rPr>
      </w:pPr>
      <w:r>
        <w:rPr>
          <w:rFonts w:ascii="Times New Roman" w:hAnsi="Times New Roman"/>
          <w:b/>
          <w:sz w:val="28"/>
          <w:szCs w:val="28"/>
        </w:rPr>
        <w:t>Sociálne vplyvy -  vplyvy na hospodárenie obyvateľstva, sociálnu exklúziu, rovnosť príležitostí a rodovú rovnosť  a na zamestnanosť</w:t>
      </w:r>
    </w:p>
    <w:p w:rsidR="00860ED9" w:rsidP="00860ED9">
      <w:pPr>
        <w:bidi w:val="0"/>
        <w:rPr>
          <w:rFonts w:ascii="Times New Roman" w:hAnsi="Times New Roman"/>
          <w:b/>
          <w:bCs/>
        </w:rPr>
      </w:pPr>
    </w:p>
    <w:p w:rsidR="00860ED9" w:rsidP="00860ED9">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860ED9" w:rsidP="001F5274">
            <w:pPr>
              <w:bidi w:val="0"/>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top"/>
          </w:tcPr>
          <w:p w:rsidR="00860ED9" w:rsidP="001F5274">
            <w:pPr>
              <w:bidi w:val="0"/>
              <w:jc w:val="both"/>
              <w:rPr>
                <w:rFonts w:ascii="Times New Roman" w:hAnsi="Times New Roman"/>
              </w:rPr>
            </w:pPr>
            <w:r>
              <w:rPr>
                <w:rFonts w:ascii="Times New Roman" w:hAnsi="Times New Roman"/>
                <w:b/>
              </w:rPr>
              <w:t>4.1.</w:t>
            </w:r>
            <w:r>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860ED9" w:rsidP="001F5274">
            <w:pPr>
              <w:bidi w:val="0"/>
              <w:jc w:val="both"/>
              <w:rPr>
                <w:rFonts w:ascii="Times New Roman" w:hAnsi="Times New Roman"/>
              </w:rPr>
            </w:pPr>
            <w:r>
              <w:rPr>
                <w:rFonts w:ascii="Times New Roman" w:hAnsi="Times New Roman"/>
              </w:rPr>
              <w:t xml:space="preserve"> Novela zákona nepovedie k zhoršeniu úrovne života domácností profesionálnych vojakov, naopak, zlepší sa príjem a teda aj prístup k nákupným možnostiam služieb. </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860ED9" w:rsidP="001F5274">
            <w:pPr>
              <w:bidi w:val="0"/>
              <w:ind w:firstLine="480" w:firstLineChars="200"/>
              <w:jc w:val="both"/>
              <w:rPr>
                <w:rFonts w:ascii="Times New Roman" w:hAnsi="Times New Roman"/>
              </w:rPr>
            </w:pPr>
            <w:r>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860ED9" w:rsidP="001F5274">
            <w:pPr>
              <w:bidi w:val="0"/>
              <w:jc w:val="both"/>
              <w:rPr>
                <w:rFonts w:ascii="Times New Roman" w:hAnsi="Times New Roman"/>
              </w:rPr>
            </w:pPr>
            <w:r>
              <w:rPr>
                <w:rFonts w:ascii="Times New Roman" w:hAnsi="Times New Roman"/>
              </w:rPr>
              <w:t>Predpokladáme, že návrh na zmenu ustanovenia § 172 sa bude týkať 69 profesionálnych vojakov a ich domácností ročne. Peňažné plnenie  podľa § 170 predstavuje mesačne vo výške 17 % rozdielu medzi hodnostným platom prvého platového stupňa hodnosti generál a hodnostným platom prvého platového stupňa hodnosti vojak 2. stupňa, pričom sa táto suma vynásobí koeficientom 1,20 pre Bratislavu alebo vo výške jednej polovice tejto sumy.</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860ED9" w:rsidP="001F5274">
            <w:pPr>
              <w:bidi w:val="0"/>
              <w:ind w:firstLine="720" w:firstLineChars="300"/>
              <w:jc w:val="both"/>
              <w:rPr>
                <w:rFonts w:ascii="Times New Roman" w:hAnsi="Times New Roman"/>
              </w:rPr>
            </w:pPr>
            <w:r>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860ED9" w:rsidP="001F5274">
            <w:pPr>
              <w:bidi w:val="0"/>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860ED9" w:rsidP="001F5274">
            <w:pPr>
              <w:bidi w:val="0"/>
              <w:ind w:firstLine="720" w:firstLineChars="300"/>
              <w:jc w:val="both"/>
              <w:rPr>
                <w:rFonts w:ascii="Times New Roman" w:hAnsi="Times New Roman"/>
              </w:rPr>
            </w:pPr>
            <w:r>
              <w:rPr>
                <w:rFonts w:ascii="Times New Roman" w:hAnsi="Times New Roman"/>
              </w:rPr>
              <w:t>- Rast alebo pokles príjmov/výdavkov                  za jednotlivé ovplyvnené  skupiny domácností</w:t>
            </w:r>
          </w:p>
          <w:p w:rsidR="00860ED9" w:rsidP="001F5274">
            <w:pPr>
              <w:bidi w:val="0"/>
              <w:ind w:firstLine="720" w:firstLineChars="300"/>
              <w:jc w:val="both"/>
              <w:rPr>
                <w:rFonts w:ascii="Times New Roman" w:hAnsi="Times New Roman"/>
              </w:rPr>
            </w:pPr>
            <w:r>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860ED9" w:rsidP="001F5274">
            <w:pPr>
              <w:bidi w:val="0"/>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860ED9" w:rsidP="001F5274">
            <w:pPr>
              <w:bidi w:val="0"/>
              <w:ind w:firstLine="360" w:firstLineChars="300"/>
              <w:jc w:val="both"/>
              <w:rPr>
                <w:rFonts w:ascii="Times New Roman" w:hAnsi="Times New Roman"/>
                <w:sz w:val="12"/>
              </w:rPr>
            </w:pPr>
          </w:p>
        </w:tc>
        <w:tc>
          <w:tcPr>
            <w:tcW w:w="0" w:type="auto"/>
            <w:vMerge/>
            <w:tcBorders>
              <w:top w:val="nil"/>
              <w:left w:val="nil"/>
              <w:bottom w:val="single" w:sz="4" w:space="0" w:color="auto"/>
              <w:right w:val="single" w:sz="4" w:space="0" w:color="auto"/>
            </w:tcBorders>
            <w:textDirection w:val="lrTb"/>
            <w:vAlign w:val="center"/>
          </w:tcPr>
          <w:p w:rsidR="00860ED9" w:rsidP="001F5274">
            <w:pPr>
              <w:bidi w:val="0"/>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top"/>
          </w:tcPr>
          <w:p w:rsidR="00860ED9" w:rsidP="001F5274">
            <w:pPr>
              <w:bidi w:val="0"/>
              <w:rPr>
                <w:rFonts w:ascii="Times New Roman" w:hAnsi="Times New Roman"/>
              </w:rPr>
            </w:pPr>
            <w:r>
              <w:rPr>
                <w:rFonts w:ascii="Times New Roman" w:hAnsi="Times New Roman"/>
                <w:b/>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860ED9" w:rsidRPr="009D725E" w:rsidP="001F5274">
            <w:pPr>
              <w:bidi w:val="0"/>
              <w:jc w:val="both"/>
              <w:rPr>
                <w:rFonts w:ascii="Times New Roman" w:hAnsi="Times New Roman"/>
              </w:rPr>
            </w:pPr>
            <w:r>
              <w:rPr>
                <w:rFonts w:ascii="Times New Roman" w:hAnsi="Times New Roman"/>
              </w:rPr>
              <w:t> </w:t>
            </w:r>
            <w:r w:rsidRPr="00900B4A">
              <w:rPr>
                <w:rFonts w:ascii="Times New Roman" w:hAnsi="Times New Roman"/>
              </w:rPr>
              <w:t>Bytová a ubytovacia politika rezortu</w:t>
            </w:r>
            <w:r>
              <w:rPr>
                <w:rFonts w:ascii="Times New Roman" w:hAnsi="Times New Roman"/>
              </w:rPr>
              <w:t xml:space="preserve"> ministerstva</w:t>
            </w:r>
            <w:r w:rsidRPr="00900B4A">
              <w:rPr>
                <w:rFonts w:ascii="Times New Roman" w:hAnsi="Times New Roman"/>
              </w:rPr>
              <w:t xml:space="preserve"> obrany je významnou súčasťou sociálnej politiky, ktorá má za úlohu sprostredk</w:t>
            </w:r>
            <w:r>
              <w:rPr>
                <w:rFonts w:ascii="Times New Roman" w:hAnsi="Times New Roman"/>
              </w:rPr>
              <w:t>ú</w:t>
            </w:r>
            <w:r w:rsidRPr="00900B4A">
              <w:rPr>
                <w:rFonts w:ascii="Times New Roman" w:hAnsi="Times New Roman"/>
              </w:rPr>
              <w:t>vať profesionálnym vojakom jedno zo základných práv a zároveň  potrieb každého vojaka</w:t>
            </w:r>
            <w:r w:rsidRPr="00900B4A">
              <w:rPr>
                <w:rFonts w:ascii="Times New Roman" w:hAnsi="Times New Roman"/>
                <w:i/>
              </w:rPr>
              <w:t>.</w:t>
            </w:r>
            <w:r>
              <w:rPr>
                <w:rFonts w:ascii="Times New Roman" w:hAnsi="Times New Roman"/>
              </w:rPr>
              <w:t xml:space="preserve"> </w:t>
            </w:r>
            <w:r>
              <w:rPr>
                <w:rFonts w:ascii="Times New Roman" w:hAnsi="Times New Roman" w:cs="Calibri"/>
                <w:iCs/>
              </w:rPr>
              <w:t xml:space="preserve">Úlohou príspevku na bývanie je podporovať mobilitu profesionálnych vojakov, ktorí sú povinní vykonávať štátnu službu podľa potrieb služobného úradu v ktoromkoľvek mieste na území SR alebo mimo územia SR. </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top"/>
          </w:tcPr>
          <w:p w:rsidR="00860ED9" w:rsidP="001F5274">
            <w:pPr>
              <w:bidi w:val="0"/>
              <w:rPr>
                <w:rFonts w:ascii="Times New Roman" w:hAnsi="Times New Roman"/>
              </w:rPr>
            </w:pPr>
            <w:r>
              <w:rPr>
                <w:rFonts w:ascii="Times New Roman" w:hAnsi="Times New Roman"/>
                <w:b/>
              </w:rPr>
              <w:t>4.3.</w:t>
            </w:r>
            <w:r>
              <w:rPr>
                <w:rFonts w:ascii="Times New Roman" w:hAnsi="Times New Roman"/>
                <w:sz w:val="22"/>
                <w:szCs w:val="22"/>
              </w:rPr>
              <w:t xml:space="preserve">  </w:t>
            </w:r>
            <w:r>
              <w:rPr>
                <w:rFonts w:ascii="Times New Roman" w:hAnsi="Times New Roman"/>
              </w:rPr>
              <w:t>Zhodnoťte vplyv na rovnosť príležitostí:</w:t>
            </w:r>
          </w:p>
          <w:p w:rsidR="00860ED9" w:rsidP="001F5274">
            <w:pPr>
              <w:bidi w:val="0"/>
              <w:rPr>
                <w:rFonts w:ascii="Times New Roman" w:hAnsi="Times New Roman"/>
              </w:rPr>
            </w:pPr>
          </w:p>
          <w:p w:rsidR="00860ED9" w:rsidP="001F5274">
            <w:pPr>
              <w:bidi w:val="0"/>
              <w:rPr>
                <w:rFonts w:ascii="Times New Roman" w:hAnsi="Times New Roman"/>
              </w:rPr>
            </w:pPr>
            <w:r>
              <w:rPr>
                <w:rFonts w:ascii="Times New Roman" w:hAnsi="Times New Roman"/>
              </w:rPr>
              <w:t>Zhodnoťte vplyv na rodovú rovnosť.</w:t>
            </w:r>
          </w:p>
          <w:p w:rsidR="00860ED9" w:rsidP="001F5274">
            <w:pPr>
              <w:bidi w:val="0"/>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860ED9" w:rsidP="001F5274">
            <w:pPr>
              <w:bidi w:val="0"/>
              <w:jc w:val="both"/>
              <w:rPr>
                <w:rFonts w:ascii="Times New Roman" w:hAnsi="Times New Roman"/>
              </w:rPr>
            </w:pPr>
            <w:r>
              <w:rPr>
                <w:rFonts w:ascii="Times New Roman" w:hAnsi="Times New Roman"/>
              </w:rPr>
              <w:t> Nemá vplyv.</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top"/>
          </w:tcPr>
          <w:p w:rsidR="00860ED9" w:rsidP="001F5274">
            <w:pPr>
              <w:bidi w:val="0"/>
              <w:rPr>
                <w:rFonts w:ascii="Times New Roman" w:hAnsi="Times New Roman"/>
              </w:rPr>
            </w:pPr>
            <w:r>
              <w:rPr>
                <w:rFonts w:ascii="Times New Roman" w:hAnsi="Times New Roman"/>
                <w:b/>
              </w:rPr>
              <w:t xml:space="preserve">4.4. </w:t>
            </w:r>
            <w:r>
              <w:rPr>
                <w:rFonts w:ascii="Times New Roman" w:hAnsi="Times New Roman"/>
              </w:rPr>
              <w:t>Zhodnoťte vplyvy na zamestnanosť.</w:t>
            </w:r>
          </w:p>
          <w:p w:rsidR="00860ED9" w:rsidP="001F5274">
            <w:pPr>
              <w:bidi w:val="0"/>
              <w:rPr>
                <w:rFonts w:ascii="Times New Roman" w:hAnsi="Times New Roman"/>
                <w:b/>
              </w:rPr>
            </w:pPr>
          </w:p>
          <w:p w:rsidR="00860ED9" w:rsidP="001F5274">
            <w:pPr>
              <w:bidi w:val="0"/>
              <w:rPr>
                <w:rFonts w:ascii="Times New Roman" w:hAnsi="Times New Roman"/>
                <w:bCs/>
              </w:rPr>
            </w:pPr>
            <w:r>
              <w:rPr>
                <w:rFonts w:ascii="Times New Roman" w:hAnsi="Times New Roman"/>
                <w:bCs/>
              </w:rPr>
              <w:t>Aké sú  vplyvy na zamestnanosť ?</w:t>
            </w:r>
          </w:p>
          <w:p w:rsidR="00860ED9" w:rsidP="001F5274">
            <w:pPr>
              <w:bidi w:val="0"/>
              <w:rPr>
                <w:rFonts w:ascii="Times New Roman" w:hAnsi="Times New Roman"/>
              </w:rPr>
            </w:pPr>
            <w:r>
              <w:rPr>
                <w:rFonts w:ascii="Times New Roman" w:hAnsi="Times New Roman"/>
                <w:bCs/>
              </w:rPr>
              <w:t>Ktoré skupiny zamestnancov budú ohrozené schválením predkladaného materiálu ?</w:t>
            </w:r>
          </w:p>
          <w:p w:rsidR="00860ED9" w:rsidP="001F5274">
            <w:pPr>
              <w:bidi w:val="0"/>
              <w:rPr>
                <w:rFonts w:ascii="Times New Roman" w:hAnsi="Times New Roman"/>
                <w:bCs/>
              </w:rPr>
            </w:pPr>
            <w:r>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860ED9" w:rsidP="001F5274">
            <w:pPr>
              <w:bidi w:val="0"/>
              <w:jc w:val="both"/>
              <w:rPr>
                <w:rFonts w:ascii="Times New Roman" w:hAnsi="Times New Roman"/>
              </w:rPr>
            </w:pPr>
            <w:r>
              <w:rPr>
                <w:rFonts w:ascii="Times New Roman" w:hAnsi="Times New Roman"/>
              </w:rPr>
              <w:t> </w:t>
            </w:r>
          </w:p>
          <w:p w:rsidR="00860ED9" w:rsidP="001F5274">
            <w:pPr>
              <w:bidi w:val="0"/>
              <w:jc w:val="both"/>
              <w:rPr>
                <w:rFonts w:ascii="Times New Roman" w:hAnsi="Times New Roman"/>
              </w:rPr>
            </w:pPr>
            <w:r>
              <w:rPr>
                <w:rFonts w:ascii="Times New Roman" w:hAnsi="Times New Roman"/>
              </w:rPr>
              <w:t>Nemá vplyv.</w:t>
            </w:r>
          </w:p>
          <w:p w:rsidR="00860ED9" w:rsidP="001F5274">
            <w:pPr>
              <w:bidi w:val="0"/>
              <w:jc w:val="both"/>
              <w:rPr>
                <w:rFonts w:ascii="Times New Roman" w:hAnsi="Times New Roman"/>
              </w:rPr>
            </w:pPr>
          </w:p>
          <w:p w:rsidR="00860ED9" w:rsidP="001F5274">
            <w:pPr>
              <w:bidi w:val="0"/>
              <w:jc w:val="both"/>
              <w:rPr>
                <w:rFonts w:ascii="Times New Roman" w:hAnsi="Times New Roman"/>
              </w:rPr>
            </w:pPr>
          </w:p>
          <w:p w:rsidR="00860ED9" w:rsidP="001F5274">
            <w:pPr>
              <w:bidi w:val="0"/>
              <w:jc w:val="both"/>
              <w:rPr>
                <w:rFonts w:ascii="Times New Roman" w:hAnsi="Times New Roman"/>
              </w:rPr>
            </w:pPr>
          </w:p>
          <w:p w:rsidR="00860ED9" w:rsidP="001F5274">
            <w:pPr>
              <w:bidi w:val="0"/>
              <w:jc w:val="both"/>
              <w:rPr>
                <w:rFonts w:ascii="Times New Roman" w:hAnsi="Times New Roman"/>
              </w:rPr>
            </w:pPr>
          </w:p>
          <w:p w:rsidR="00860ED9" w:rsidP="001F5274">
            <w:pPr>
              <w:bidi w:val="0"/>
              <w:jc w:val="both"/>
              <w:rPr>
                <w:rFonts w:ascii="Times New Roman" w:hAnsi="Times New Roman"/>
              </w:rPr>
            </w:pPr>
          </w:p>
        </w:tc>
      </w:tr>
    </w:tbl>
    <w:p w:rsidR="00860ED9" w:rsidRPr="00894196" w:rsidP="00860ED9">
      <w:pPr>
        <w:pStyle w:val="NormalWeb"/>
        <w:bidi w:val="0"/>
        <w:spacing w:before="0" w:beforeAutospacing="0" w:after="0" w:afterAutospacing="0"/>
        <w:rPr>
          <w:rFonts w:ascii="Times New Roman" w:hAnsi="Times New Roman"/>
        </w:rPr>
      </w:pPr>
    </w:p>
    <w:p w:rsidR="00860ED9">
      <w:pPr>
        <w:bidi w:val="0"/>
        <w:rPr>
          <w:rFonts w:ascii="Times New Roman" w:hAnsi="Times New Roman"/>
        </w:rPr>
      </w:pPr>
    </w:p>
    <w:p w:rsidR="00860ED9">
      <w:pPr>
        <w:bidi w:val="0"/>
        <w:rPr>
          <w:rFonts w:ascii="Times New Roman" w:hAnsi="Times New Roman"/>
        </w:rPr>
      </w:pPr>
    </w:p>
    <w:p w:rsidR="00860ED9">
      <w:pPr>
        <w:bidi w:val="0"/>
        <w:rPr>
          <w:rFonts w:ascii="Times New Roman" w:hAnsi="Times New Roman"/>
        </w:rPr>
      </w:pPr>
    </w:p>
    <w:p w:rsidR="001F5274" w:rsidRPr="00894196" w:rsidP="001F5274">
      <w:pPr>
        <w:bidi w:val="0"/>
        <w:spacing w:before="240"/>
        <w:jc w:val="center"/>
        <w:outlineLvl w:val="0"/>
        <w:rPr>
          <w:rFonts w:ascii="Times New Roman" w:hAnsi="Times New Roman"/>
          <w:b/>
        </w:rPr>
      </w:pPr>
      <w:r w:rsidRPr="00894196">
        <w:rPr>
          <w:rFonts w:ascii="Times New Roman" w:hAnsi="Times New Roman"/>
          <w:b/>
        </w:rPr>
        <w:t>DOLOŽKA ZLUČITEĽNOSTI</w:t>
      </w:r>
    </w:p>
    <w:p w:rsidR="001F5274" w:rsidRPr="00894196" w:rsidP="001F5274">
      <w:pPr>
        <w:bidi w:val="0"/>
        <w:spacing w:before="120"/>
        <w:jc w:val="center"/>
        <w:rPr>
          <w:rFonts w:ascii="Times New Roman" w:hAnsi="Times New Roman"/>
          <w:b/>
        </w:rPr>
      </w:pPr>
      <w:r w:rsidRPr="00894196">
        <w:rPr>
          <w:rFonts w:ascii="Times New Roman" w:hAnsi="Times New Roman"/>
          <w:b/>
        </w:rPr>
        <w:t>právneho predpisu s  právom Európskej únie</w:t>
      </w:r>
    </w:p>
    <w:p w:rsidR="001F5274" w:rsidRPr="00894196" w:rsidP="001F5274">
      <w:pPr>
        <w:bidi w:val="0"/>
        <w:jc w:val="both"/>
        <w:rPr>
          <w:rFonts w:ascii="Times New Roman" w:hAnsi="Times New Roman"/>
          <w:spacing w:val="30"/>
        </w:rPr>
      </w:pPr>
    </w:p>
    <w:p w:rsidR="001F5274" w:rsidRPr="00894196" w:rsidP="001F5274">
      <w:pPr>
        <w:bidi w:val="0"/>
        <w:ind w:left="360" w:hanging="360"/>
        <w:rPr>
          <w:rFonts w:ascii="Times New Roman" w:hAnsi="Times New Roman"/>
          <w:b/>
        </w:rPr>
      </w:pPr>
      <w:r w:rsidRPr="00894196">
        <w:rPr>
          <w:rFonts w:ascii="Times New Roman" w:hAnsi="Times New Roman"/>
          <w:b/>
        </w:rPr>
        <w:t>1.</w:t>
        <w:tab/>
        <w:t>Predkladateľ právneho predpisu:</w:t>
      </w:r>
      <w:r w:rsidRPr="00894196">
        <w:rPr>
          <w:rFonts w:ascii="Times New Roman" w:hAnsi="Times New Roman"/>
        </w:rPr>
        <w:t xml:space="preserve"> </w:t>
      </w:r>
      <w:r>
        <w:rPr>
          <w:rFonts w:ascii="Times New Roman" w:hAnsi="Times New Roman"/>
        </w:rPr>
        <w:t>Ministerstvo obrany Slovenskej republiky</w:t>
      </w:r>
    </w:p>
    <w:p w:rsidR="001F5274" w:rsidRPr="00894196" w:rsidP="001F5274">
      <w:pPr>
        <w:tabs>
          <w:tab w:val="left" w:pos="360"/>
        </w:tabs>
        <w:bidi w:val="0"/>
        <w:ind w:left="360"/>
        <w:rPr>
          <w:rFonts w:ascii="Times New Roman" w:hAnsi="Times New Roman"/>
        </w:rPr>
      </w:pPr>
      <w:r w:rsidRPr="00894196">
        <w:rPr>
          <w:rFonts w:ascii="Times New Roman" w:hAnsi="Times New Roman"/>
        </w:rPr>
        <w:t xml:space="preserve"> </w:t>
      </w:r>
    </w:p>
    <w:p w:rsidR="001F5274" w:rsidRPr="00894196" w:rsidP="001F5274">
      <w:pPr>
        <w:bidi w:val="0"/>
        <w:ind w:left="360" w:hanging="360"/>
        <w:jc w:val="both"/>
        <w:rPr>
          <w:rFonts w:ascii="Times New Roman" w:hAnsi="Times New Roman"/>
          <w:b/>
        </w:rPr>
      </w:pPr>
      <w:r w:rsidRPr="00894196">
        <w:rPr>
          <w:rFonts w:ascii="Times New Roman" w:hAnsi="Times New Roman"/>
          <w:b/>
        </w:rPr>
        <w:t>2.</w:t>
        <w:tab/>
        <w:t>Názov návrhu právneho predpisu:</w:t>
      </w:r>
      <w:r w:rsidRPr="00894196">
        <w:rPr>
          <w:rFonts w:ascii="Times New Roman" w:hAnsi="Times New Roman"/>
        </w:rPr>
        <w:t xml:space="preserve"> </w:t>
      </w:r>
      <w:r>
        <w:rPr>
          <w:rFonts w:ascii="Times New Roman" w:hAnsi="Times New Roman"/>
          <w:bCs/>
        </w:rPr>
        <w:t>Návrh zákona</w:t>
      </w:r>
      <w:r w:rsidRPr="00894196">
        <w:rPr>
          <w:rFonts w:ascii="Times New Roman" w:hAnsi="Times New Roman"/>
          <w:bCs/>
        </w:rPr>
        <w:t xml:space="preserve">, ktorým sa mení a dopĺňa zákon </w:t>
      </w:r>
      <w:r>
        <w:rPr>
          <w:rFonts w:ascii="Times New Roman" w:hAnsi="Times New Roman"/>
          <w:bCs/>
        </w:rPr>
        <w:t xml:space="preserve">        </w:t>
      </w:r>
      <w:r w:rsidRPr="00894196">
        <w:rPr>
          <w:rFonts w:ascii="Times New Roman" w:hAnsi="Times New Roman"/>
          <w:bCs/>
        </w:rPr>
        <w:t xml:space="preserve">č. 346/2005 Z. z. o štátnej službe profesionálnych vojakov ozbrojených síl Slovenskej republiky a o zmene a doplnení niektorých zákonov v znení neskorších predpisov </w:t>
      </w:r>
    </w:p>
    <w:p w:rsidR="001F5274" w:rsidRPr="00894196" w:rsidP="001F5274">
      <w:pPr>
        <w:bidi w:val="0"/>
        <w:rPr>
          <w:rFonts w:ascii="Times New Roman" w:hAnsi="Times New Roman"/>
        </w:rPr>
      </w:pPr>
    </w:p>
    <w:p w:rsidR="001F5274" w:rsidRPr="00894196" w:rsidP="001F5274">
      <w:pPr>
        <w:bidi w:val="0"/>
        <w:ind w:left="360" w:hanging="360"/>
        <w:rPr>
          <w:rFonts w:ascii="Times New Roman" w:hAnsi="Times New Roman"/>
          <w:b/>
        </w:rPr>
      </w:pPr>
      <w:r w:rsidRPr="00894196">
        <w:rPr>
          <w:rFonts w:ascii="Times New Roman" w:hAnsi="Times New Roman"/>
          <w:b/>
        </w:rPr>
        <w:t>3.</w:t>
        <w:tab/>
        <w:t>Problematika návrhu právneho predpisu:</w:t>
      </w:r>
    </w:p>
    <w:p w:rsidR="001F5274" w:rsidRPr="00894196" w:rsidP="001F5274">
      <w:pPr>
        <w:bidi w:val="0"/>
        <w:ind w:firstLine="360"/>
        <w:rPr>
          <w:rFonts w:ascii="Times New Roman" w:hAnsi="Times New Roman"/>
        </w:rPr>
      </w:pPr>
    </w:p>
    <w:p w:rsidR="001F5274" w:rsidRPr="00894196" w:rsidP="001F5274">
      <w:pPr>
        <w:bidi w:val="0"/>
        <w:ind w:left="360" w:hanging="360"/>
        <w:rPr>
          <w:rFonts w:ascii="Times New Roman" w:hAnsi="Times New Roman" w:cs="Verdana"/>
        </w:rPr>
      </w:pPr>
      <w:r w:rsidRPr="00894196">
        <w:rPr>
          <w:rFonts w:ascii="Times New Roman" w:hAnsi="Times New Roman"/>
        </w:rPr>
        <w:t>a)</w:t>
        <w:tab/>
        <w:t>je upravená v práve Európskej únie</w:t>
      </w:r>
    </w:p>
    <w:p w:rsidR="001F5274" w:rsidRPr="00894196" w:rsidP="001F5274">
      <w:pPr>
        <w:bidi w:val="0"/>
        <w:ind w:left="360"/>
        <w:rPr>
          <w:rFonts w:ascii="Times New Roman" w:hAnsi="Times New Roman" w:cs="Verdana"/>
        </w:rPr>
      </w:pPr>
    </w:p>
    <w:p w:rsidR="001F5274" w:rsidRPr="00894196" w:rsidP="001F5274">
      <w:pPr>
        <w:tabs>
          <w:tab w:val="left" w:pos="540"/>
        </w:tabs>
        <w:bidi w:val="0"/>
        <w:ind w:left="360"/>
        <w:rPr>
          <w:rFonts w:ascii="Times New Roman" w:hAnsi="Times New Roman"/>
          <w:i/>
          <w:iCs/>
        </w:rPr>
      </w:pPr>
      <w:r w:rsidRPr="00894196">
        <w:rPr>
          <w:rFonts w:ascii="Times New Roman" w:hAnsi="Times New Roman" w:cs="Verdana"/>
        </w:rPr>
        <w:t>-</w:t>
        <w:tab/>
      </w:r>
      <w:r w:rsidRPr="00894196">
        <w:rPr>
          <w:rFonts w:ascii="Times New Roman" w:hAnsi="Times New Roman"/>
          <w:i/>
          <w:iCs/>
        </w:rPr>
        <w:t>primárnom</w:t>
      </w:r>
    </w:p>
    <w:p w:rsidR="001F5274" w:rsidRPr="00572514" w:rsidP="001F5274">
      <w:pPr>
        <w:bidi w:val="0"/>
        <w:ind w:firstLine="360"/>
        <w:jc w:val="both"/>
        <w:rPr>
          <w:rFonts w:ascii="Times New Roman" w:hAnsi="Times New Roman"/>
        </w:rPr>
      </w:pPr>
      <w:r w:rsidRPr="00572514">
        <w:rPr>
          <w:rFonts w:ascii="Times New Roman" w:hAnsi="Times New Roman" w:cs="Verdana"/>
        </w:rPr>
        <w:t>-</w:t>
        <w:tab/>
      </w:r>
      <w:r w:rsidRPr="00572514">
        <w:rPr>
          <w:rFonts w:ascii="Times New Roman" w:hAnsi="Times New Roman"/>
        </w:rPr>
        <w:t xml:space="preserve">čl. 4, čl. 8, čl. 153 ods. 1 písm. c) a i) a čl. 156 Zmluvy o fungovaní Európskej únie v platnom znení, podľa ktorých Únia podporuje a dopĺňa činnosti členských štátov v oblasti sociálneho zabezpečenia a sociálnej ochrany pracovníkov, v oblasti rovnosti medzi mužmi a ženami, pokiaľ ide o rovnaké </w:t>
      </w:r>
      <w:r>
        <w:rPr>
          <w:rFonts w:ascii="Times New Roman" w:hAnsi="Times New Roman"/>
        </w:rPr>
        <w:t>zaobchádzanie v práci.</w:t>
      </w:r>
      <w:r w:rsidRPr="00572514">
        <w:rPr>
          <w:rFonts w:ascii="Times New Roman" w:hAnsi="Times New Roman"/>
        </w:rPr>
        <w:t xml:space="preserve"> </w:t>
      </w:r>
    </w:p>
    <w:p w:rsidR="001F5274" w:rsidRPr="00894196" w:rsidP="001F5274">
      <w:pPr>
        <w:bidi w:val="0"/>
        <w:ind w:firstLine="360"/>
        <w:rPr>
          <w:rFonts w:ascii="Times New Roman" w:hAnsi="Times New Roman"/>
        </w:rPr>
      </w:pPr>
    </w:p>
    <w:p w:rsidR="001F5274" w:rsidRPr="00894196" w:rsidP="001F5274">
      <w:pPr>
        <w:tabs>
          <w:tab w:val="left" w:pos="360"/>
        </w:tabs>
        <w:bidi w:val="0"/>
        <w:ind w:left="540" w:hanging="180"/>
        <w:jc w:val="both"/>
        <w:rPr>
          <w:rFonts w:ascii="Times New Roman" w:hAnsi="Times New Roman"/>
          <w:i/>
          <w:iCs/>
        </w:rPr>
      </w:pPr>
      <w:r w:rsidRPr="00894196">
        <w:rPr>
          <w:rFonts w:ascii="Times New Roman" w:hAnsi="Times New Roman"/>
          <w:i/>
        </w:rPr>
        <w:t>-</w:t>
        <w:tab/>
      </w:r>
      <w:r w:rsidRPr="00894196">
        <w:rPr>
          <w:rFonts w:ascii="Times New Roman" w:hAnsi="Times New Roman"/>
          <w:i/>
          <w:iCs/>
        </w:rPr>
        <w:t xml:space="preserve"> sekundárnom (prijatom po nadobudnutím platnosti Lisabonskej zmluvy, ktorou sa mení a dopĺňa Zmluva o Európskom spoločenstve a Zmluva o Európskej únii – po 30. novembri 2009)</w:t>
      </w:r>
    </w:p>
    <w:p w:rsidR="001F5274" w:rsidRPr="00894196" w:rsidP="001F5274">
      <w:pPr>
        <w:tabs>
          <w:tab w:val="left" w:pos="1068"/>
        </w:tabs>
        <w:bidi w:val="0"/>
        <w:ind w:left="879" w:hanging="171"/>
        <w:rPr>
          <w:rFonts w:ascii="Times New Roman" w:hAnsi="Times New Roman" w:cs="Verdana"/>
          <w:i/>
          <w:iCs/>
        </w:rPr>
      </w:pPr>
    </w:p>
    <w:p w:rsidR="001F5274" w:rsidRPr="00894196" w:rsidP="001F5274">
      <w:pPr>
        <w:widowControl w:val="0"/>
        <w:numPr>
          <w:numId w:val="1"/>
        </w:numPr>
        <w:bidi w:val="0"/>
        <w:adjustRightInd w:val="0"/>
        <w:ind w:left="900"/>
        <w:rPr>
          <w:rFonts w:ascii="Times New Roman" w:hAnsi="Times New Roman" w:cs="Verdana"/>
          <w:i/>
        </w:rPr>
      </w:pPr>
      <w:r w:rsidRPr="00894196">
        <w:rPr>
          <w:rFonts w:ascii="Times New Roman" w:hAnsi="Times New Roman"/>
        </w:rPr>
        <w:t xml:space="preserve">legislatívne akty </w:t>
      </w:r>
    </w:p>
    <w:p w:rsidR="001F5274" w:rsidRPr="00894196" w:rsidP="001F5274">
      <w:pPr>
        <w:bidi w:val="0"/>
        <w:ind w:firstLine="360"/>
        <w:rPr>
          <w:rFonts w:ascii="Times New Roman" w:hAnsi="Times New Roman" w:cs="Verdana"/>
        </w:rPr>
      </w:pPr>
    </w:p>
    <w:p w:rsidR="001F5274" w:rsidRPr="00894196" w:rsidP="001F5274">
      <w:pPr>
        <w:bidi w:val="0"/>
        <w:ind w:left="540"/>
        <w:rPr>
          <w:rFonts w:ascii="Times New Roman" w:hAnsi="Times New Roman"/>
        </w:rPr>
      </w:pPr>
      <w:r>
        <w:rPr>
          <w:rFonts w:ascii="Times New Roman" w:hAnsi="Times New Roman"/>
        </w:rPr>
        <w:t>S</w:t>
      </w:r>
      <w:r w:rsidRPr="00894196">
        <w:rPr>
          <w:rFonts w:ascii="Times New Roman" w:hAnsi="Times New Roman"/>
        </w:rPr>
        <w:t>mernica Rady 2010/18/EÚ z 8. marca 2010, ktorou sa vykonáva revidovaná Rámcová dohoda o rodičovskej dovolenke uzavretá medzi BUSINESSEUROPE, UEAPME, CEEP a ETUC a zrušuje smernica 96/34/ES (Ú. v. EÚ L 68, 18.3.2010); </w:t>
      </w:r>
    </w:p>
    <w:p w:rsidR="001F5274" w:rsidRPr="00894196" w:rsidP="001F5274">
      <w:pPr>
        <w:bidi w:val="0"/>
        <w:ind w:left="851"/>
        <w:rPr>
          <w:rFonts w:ascii="Times New Roman" w:hAnsi="Times New Roman"/>
        </w:rPr>
      </w:pPr>
    </w:p>
    <w:p w:rsidR="001F5274" w:rsidRPr="006D24EC" w:rsidP="001F5274">
      <w:pPr>
        <w:numPr>
          <w:numId w:val="1"/>
        </w:numPr>
        <w:bidi w:val="0"/>
        <w:adjustRightInd w:val="0"/>
        <w:ind w:left="900"/>
        <w:jc w:val="both"/>
        <w:rPr>
          <w:rFonts w:ascii="Times New Roman" w:hAnsi="Times New Roman"/>
          <w:i/>
        </w:rPr>
      </w:pPr>
      <w:r w:rsidRPr="00894196">
        <w:rPr>
          <w:rFonts w:ascii="Times New Roman" w:hAnsi="Times New Roman"/>
        </w:rPr>
        <w:t>nelegislatívne akty</w:t>
      </w:r>
    </w:p>
    <w:p w:rsidR="001F5274" w:rsidP="001F5274">
      <w:pPr>
        <w:bidi w:val="0"/>
        <w:jc w:val="both"/>
        <w:rPr>
          <w:rFonts w:ascii="Times New Roman" w:hAnsi="Times New Roman"/>
        </w:rPr>
      </w:pPr>
    </w:p>
    <w:p w:rsidR="001F5274" w:rsidRPr="00894196" w:rsidP="001F5274">
      <w:pPr>
        <w:tabs>
          <w:tab w:val="left" w:pos="720"/>
        </w:tabs>
        <w:bidi w:val="0"/>
        <w:ind w:left="540" w:hanging="180"/>
        <w:jc w:val="both"/>
        <w:rPr>
          <w:rFonts w:ascii="Times New Roman" w:hAnsi="Times New Roman"/>
          <w:i/>
        </w:rPr>
      </w:pPr>
      <w:r w:rsidRPr="00894196">
        <w:rPr>
          <w:rFonts w:ascii="Times New Roman" w:hAnsi="Times New Roman"/>
          <w:i/>
        </w:rPr>
        <w:t>- sekundárnom (prijatom pred nadobudnutím platnosti Lisabonskej zmluvy, ktorou sa mení a dopĺňa Zmluva o Európskom spoločenstve a Zmluva o Európskej únii – do 30. novembra 2009)</w:t>
      </w:r>
    </w:p>
    <w:p w:rsidR="001F5274" w:rsidRPr="00894196" w:rsidP="001F5274">
      <w:pPr>
        <w:bidi w:val="0"/>
        <w:ind w:left="540"/>
        <w:jc w:val="both"/>
        <w:rPr>
          <w:rFonts w:ascii="Times New Roman" w:hAnsi="Times New Roman"/>
        </w:rPr>
      </w:pPr>
      <w:r w:rsidRPr="00894196">
        <w:rPr>
          <w:rFonts w:ascii="Times New Roman" w:hAnsi="Times New Roman"/>
        </w:rPr>
        <w:t xml:space="preserve">Smernica Rady 96/34/ES z 3. júna 1996 o rámcovej dohode o rodičovskej dovolenke, uzavretej medzi UNICE, CEEP a ETUC v platnom znení (Mimoriadne vydanie Ú. v. EÚ kap. 5/zv. 2), </w:t>
      </w:r>
    </w:p>
    <w:p w:rsidR="001F5274" w:rsidRPr="00894196" w:rsidP="001F5274">
      <w:pPr>
        <w:bidi w:val="0"/>
        <w:ind w:firstLine="360"/>
        <w:jc w:val="both"/>
        <w:rPr>
          <w:rFonts w:ascii="Times New Roman" w:hAnsi="Times New Roman"/>
        </w:rPr>
      </w:pPr>
    </w:p>
    <w:p w:rsidR="001F5274" w:rsidRPr="00894196" w:rsidP="001F5274">
      <w:pPr>
        <w:bidi w:val="0"/>
        <w:ind w:left="360" w:hanging="360"/>
        <w:rPr>
          <w:rFonts w:ascii="Times New Roman" w:hAnsi="Times New Roman"/>
        </w:rPr>
      </w:pPr>
      <w:r w:rsidRPr="00894196">
        <w:rPr>
          <w:rFonts w:ascii="Times New Roman" w:hAnsi="Times New Roman"/>
        </w:rPr>
        <w:t>b)</w:t>
        <w:tab/>
        <w:t>nie je obsiahnutá v judikatúre Súdneho dvora Európskej únie.</w:t>
      </w:r>
    </w:p>
    <w:p w:rsidR="001F5274" w:rsidRPr="00894196" w:rsidP="001F5274">
      <w:pPr>
        <w:bidi w:val="0"/>
        <w:ind w:left="720"/>
        <w:rPr>
          <w:rFonts w:ascii="Times New Roman" w:hAnsi="Times New Roman"/>
        </w:rPr>
      </w:pPr>
    </w:p>
    <w:p w:rsidR="001F5274" w:rsidRPr="00894196" w:rsidP="001F5274">
      <w:pPr>
        <w:bidi w:val="0"/>
        <w:ind w:left="360" w:hanging="360"/>
        <w:rPr>
          <w:rFonts w:ascii="Times New Roman" w:hAnsi="Times New Roman"/>
          <w:b/>
          <w:bCs/>
        </w:rPr>
      </w:pPr>
      <w:r w:rsidRPr="00894196">
        <w:rPr>
          <w:rFonts w:ascii="Times New Roman" w:hAnsi="Times New Roman"/>
          <w:b/>
          <w:bCs/>
        </w:rPr>
        <w:t>4.</w:t>
        <w:tab/>
        <w:t xml:space="preserve">Záväzky Slovenskej republiky vo vzťahu k Európskej únii: </w:t>
      </w:r>
    </w:p>
    <w:p w:rsidR="001F5274" w:rsidRPr="00894196" w:rsidP="001F5274">
      <w:pPr>
        <w:bidi w:val="0"/>
        <w:rPr>
          <w:rFonts w:ascii="Times New Roman" w:hAnsi="Times New Roman" w:cs="Verdana"/>
        </w:rPr>
      </w:pPr>
    </w:p>
    <w:p w:rsidR="001F5274" w:rsidRPr="00894196" w:rsidP="001F5274">
      <w:pPr>
        <w:bidi w:val="0"/>
        <w:ind w:left="360" w:hanging="360"/>
        <w:jc w:val="both"/>
        <w:rPr>
          <w:rFonts w:ascii="Times New Roman" w:hAnsi="Times New Roman" w:cs="Verdana"/>
        </w:rPr>
      </w:pPr>
      <w:r w:rsidRPr="00894196">
        <w:rPr>
          <w:rFonts w:ascii="Times New Roman" w:hAnsi="Times New Roman"/>
        </w:rPr>
        <w:t>a)</w:t>
        <w:tab/>
        <w:t>lehota na prebratie smernice alebo lehota na implementáciu nariadenia alebo rozhodnutia</w:t>
      </w:r>
    </w:p>
    <w:p w:rsidR="001F5274" w:rsidRPr="00894196" w:rsidP="001F5274">
      <w:pPr>
        <w:bidi w:val="0"/>
        <w:ind w:left="720"/>
        <w:rPr>
          <w:rFonts w:ascii="Times New Roman" w:hAnsi="Times New Roman" w:cs="Verdana"/>
        </w:rPr>
      </w:pPr>
    </w:p>
    <w:p w:rsidR="001F5274" w:rsidP="001F5274">
      <w:pPr>
        <w:bidi w:val="0"/>
        <w:ind w:firstLine="851"/>
        <w:jc w:val="both"/>
        <w:rPr>
          <w:rFonts w:ascii="Times New Roman" w:hAnsi="Times New Roman"/>
        </w:rPr>
      </w:pPr>
      <w:r>
        <w:rPr>
          <w:rFonts w:ascii="Times New Roman" w:hAnsi="Times New Roman"/>
        </w:rPr>
        <w:t xml:space="preserve">V súlade s článkom 3 </w:t>
      </w:r>
      <w:r w:rsidRPr="00894196">
        <w:rPr>
          <w:rFonts w:ascii="Times New Roman" w:hAnsi="Times New Roman"/>
        </w:rPr>
        <w:t>smernice Rady 2010/18/EÚ z 8. marca 2010, ktorou sa vykonáva revidovaná Rámcová dohoda o rodičovskej dovolenke uzavretá medzi BUSINESSEUROPE, UEAPME, CEEP a ETUC a zrušuje smernica 96/34/ES (Ú. v. EÚ L 68, 18.3.2010)</w:t>
      </w:r>
      <w:r>
        <w:rPr>
          <w:rFonts w:ascii="Times New Roman" w:hAnsi="Times New Roman"/>
        </w:rPr>
        <w:t>, je</w:t>
      </w:r>
      <w:r w:rsidRPr="00894196">
        <w:rPr>
          <w:rFonts w:ascii="Times New Roman" w:hAnsi="Times New Roman"/>
        </w:rPr>
        <w:t xml:space="preserve"> </w:t>
      </w:r>
      <w:r>
        <w:rPr>
          <w:rFonts w:ascii="Times New Roman" w:hAnsi="Times New Roman"/>
        </w:rPr>
        <w:t>l</w:t>
      </w:r>
      <w:r w:rsidRPr="00894196">
        <w:rPr>
          <w:rFonts w:ascii="Times New Roman" w:hAnsi="Times New Roman"/>
        </w:rPr>
        <w:t xml:space="preserve">ehota na prebratie </w:t>
      </w:r>
      <w:r>
        <w:rPr>
          <w:rFonts w:ascii="Times New Roman" w:hAnsi="Times New Roman"/>
        </w:rPr>
        <w:t xml:space="preserve">smernice </w:t>
      </w:r>
      <w:r w:rsidRPr="00894196">
        <w:rPr>
          <w:rFonts w:ascii="Times New Roman" w:hAnsi="Times New Roman"/>
        </w:rPr>
        <w:t xml:space="preserve">určená na 8. marca 2012. </w:t>
      </w:r>
    </w:p>
    <w:p w:rsidR="001F5274" w:rsidP="001F5274">
      <w:pPr>
        <w:bidi w:val="0"/>
        <w:ind w:firstLine="360"/>
        <w:jc w:val="both"/>
        <w:rPr>
          <w:rFonts w:ascii="Times New Roman" w:hAnsi="Times New Roman"/>
        </w:rPr>
      </w:pPr>
    </w:p>
    <w:p w:rsidR="001F5274" w:rsidP="001F5274">
      <w:pPr>
        <w:bidi w:val="0"/>
        <w:ind w:left="360" w:hanging="360"/>
        <w:jc w:val="both"/>
        <w:rPr>
          <w:rFonts w:ascii="Times New Roman" w:hAnsi="Times New Roman"/>
        </w:rPr>
      </w:pPr>
      <w:r>
        <w:rPr>
          <w:rFonts w:ascii="Times New Roman" w:hAnsi="Times New Roman"/>
        </w:rPr>
        <w:t>b)</w:t>
        <w:tab/>
        <w:t xml:space="preserve">lehota určená na predloženie návrhu právneho predpisu na rokovanie vlády podľa určenia gestorských ústredných orgánov štátnej správy zodpovedných za transpozíciu smerníc a vypracovanie tabuliek zhody k návrhom všeobecne záväzných právnych predpisov </w:t>
      </w:r>
    </w:p>
    <w:p w:rsidR="001F5274" w:rsidP="001F5274">
      <w:pPr>
        <w:bidi w:val="0"/>
        <w:jc w:val="both"/>
        <w:rPr>
          <w:rFonts w:ascii="Times New Roman" w:hAnsi="Times New Roman"/>
        </w:rPr>
      </w:pPr>
    </w:p>
    <w:p w:rsidR="001F5274" w:rsidP="001F5274">
      <w:pPr>
        <w:bidi w:val="0"/>
        <w:ind w:firstLine="851"/>
        <w:jc w:val="both"/>
        <w:rPr>
          <w:rFonts w:ascii="Times New Roman" w:hAnsi="Times New Roman"/>
        </w:rPr>
      </w:pPr>
      <w:r>
        <w:rPr>
          <w:rFonts w:ascii="Times New Roman" w:hAnsi="Times New Roman"/>
        </w:rPr>
        <w:t>U</w:t>
      </w:r>
      <w:r w:rsidRPr="00894196">
        <w:rPr>
          <w:rFonts w:ascii="Times New Roman" w:hAnsi="Times New Roman"/>
        </w:rPr>
        <w:t>znesení</w:t>
      </w:r>
      <w:r>
        <w:rPr>
          <w:rFonts w:ascii="Times New Roman" w:hAnsi="Times New Roman"/>
        </w:rPr>
        <w:t>m</w:t>
      </w:r>
      <w:r w:rsidRPr="00894196">
        <w:rPr>
          <w:rFonts w:ascii="Times New Roman" w:hAnsi="Times New Roman"/>
        </w:rPr>
        <w:t xml:space="preserve"> vlády Slovenskej republiky č. 588 z 8. septembra 2010</w:t>
      </w:r>
      <w:r>
        <w:rPr>
          <w:rFonts w:ascii="Times New Roman" w:hAnsi="Times New Roman"/>
        </w:rPr>
        <w:t xml:space="preserve"> bola podpredsedovi vlády a ministrovi práce, sociálnych vecí a rodiny uložená úloha B.13 – v spolupráci s ministrom obrany a ministrom vnútra predložiť na rokovanie vlády návrh právneho predpisu, ktorým sa zabezpečí prebratie smernice Rady 2010/18/EÚ </w:t>
      </w:r>
      <w:r w:rsidRPr="00894196">
        <w:rPr>
          <w:rFonts w:ascii="Times New Roman" w:hAnsi="Times New Roman"/>
        </w:rPr>
        <w:t>z 8. marca 2010, ktorou sa vykonáva revidovaná Rámcová dohoda o rodičovskej dovolenke uzavretá medzi BUSINESSEUROPE, UEAPME, CEEP a ETUC a zrušuje smernica 96/34/ES</w:t>
      </w:r>
      <w:r>
        <w:rPr>
          <w:rFonts w:ascii="Times New Roman" w:hAnsi="Times New Roman"/>
        </w:rPr>
        <w:t>, do 15. decembra 2011.</w:t>
      </w:r>
    </w:p>
    <w:p w:rsidR="001F5274" w:rsidP="001F5274">
      <w:pPr>
        <w:bidi w:val="0"/>
        <w:jc w:val="both"/>
        <w:rPr>
          <w:rFonts w:ascii="Times New Roman" w:hAnsi="Times New Roman"/>
        </w:rPr>
      </w:pPr>
    </w:p>
    <w:p w:rsidR="001F5274" w:rsidRPr="00894196" w:rsidP="001F5274">
      <w:pPr>
        <w:bidi w:val="0"/>
        <w:ind w:left="360" w:hanging="360"/>
        <w:jc w:val="both"/>
        <w:rPr>
          <w:rFonts w:ascii="Times New Roman" w:hAnsi="Times New Roman"/>
        </w:rPr>
      </w:pPr>
      <w:r>
        <w:rPr>
          <w:rFonts w:ascii="Times New Roman" w:hAnsi="Times New Roman"/>
        </w:rPr>
        <w:t>c)</w:t>
        <w:tab/>
      </w:r>
      <w:r w:rsidRPr="00894196">
        <w:rPr>
          <w:rFonts w:ascii="Times New Roman" w:hAnsi="Times New Roman"/>
        </w:rPr>
        <w:t xml:space="preserve">informácia o konaní začatom proti Slovenskej republike o porušení </w:t>
      </w:r>
      <w:r>
        <w:rPr>
          <w:rFonts w:ascii="Times New Roman" w:hAnsi="Times New Roman"/>
        </w:rPr>
        <w:t>po</w:t>
      </w:r>
      <w:r w:rsidRPr="00894196">
        <w:rPr>
          <w:rFonts w:ascii="Times New Roman" w:hAnsi="Times New Roman"/>
        </w:rPr>
        <w:t>dľa čl. 258 až 260 Zmluvy o</w:t>
      </w:r>
      <w:r>
        <w:rPr>
          <w:rFonts w:ascii="Times New Roman" w:hAnsi="Times New Roman"/>
        </w:rPr>
        <w:t xml:space="preserve"> fungovaní Európskej únie </w:t>
      </w:r>
    </w:p>
    <w:p w:rsidR="001F5274" w:rsidRPr="00894196" w:rsidP="001F5274">
      <w:pPr>
        <w:bidi w:val="0"/>
        <w:ind w:left="720"/>
        <w:rPr>
          <w:rFonts w:ascii="Times New Roman" w:hAnsi="Times New Roman"/>
        </w:rPr>
      </w:pPr>
    </w:p>
    <w:p w:rsidR="001F5274" w:rsidRPr="00894196" w:rsidP="001F5274">
      <w:pPr>
        <w:bidi w:val="0"/>
        <w:ind w:firstLine="708"/>
        <w:jc w:val="both"/>
        <w:rPr>
          <w:rFonts w:ascii="Times New Roman" w:hAnsi="Times New Roman"/>
        </w:rPr>
      </w:pPr>
      <w:r>
        <w:rPr>
          <w:rFonts w:ascii="Times New Roman" w:hAnsi="Times New Roman"/>
        </w:rPr>
        <w:t>P</w:t>
      </w:r>
      <w:r w:rsidRPr="00894196">
        <w:rPr>
          <w:rFonts w:ascii="Times New Roman" w:hAnsi="Times New Roman"/>
        </w:rPr>
        <w:t xml:space="preserve">roti Slovenskej republike nebolo začaté žiadne konanie o porušení </w:t>
      </w:r>
      <w:r>
        <w:rPr>
          <w:rFonts w:ascii="Times New Roman" w:hAnsi="Times New Roman"/>
        </w:rPr>
        <w:t>z</w:t>
      </w:r>
      <w:r w:rsidRPr="00894196">
        <w:rPr>
          <w:rFonts w:ascii="Times New Roman" w:hAnsi="Times New Roman"/>
        </w:rPr>
        <w:t xml:space="preserve">mluvy podľa čl. 258 až 260 Zmluvy o </w:t>
      </w:r>
      <w:r>
        <w:rPr>
          <w:rFonts w:ascii="Times New Roman" w:hAnsi="Times New Roman"/>
        </w:rPr>
        <w:t>fungovaní Európskej únie.</w:t>
      </w:r>
      <w:r w:rsidRPr="00894196">
        <w:rPr>
          <w:rFonts w:ascii="Times New Roman" w:hAnsi="Times New Roman"/>
        </w:rPr>
        <w:t> </w:t>
      </w:r>
    </w:p>
    <w:p w:rsidR="001F5274" w:rsidRPr="00894196" w:rsidP="001F5274">
      <w:pPr>
        <w:bidi w:val="0"/>
        <w:ind w:firstLine="708"/>
        <w:rPr>
          <w:rFonts w:ascii="Times New Roman" w:hAnsi="Times New Roman"/>
        </w:rPr>
      </w:pPr>
    </w:p>
    <w:p w:rsidR="001F5274" w:rsidRPr="00894196" w:rsidP="001F5274">
      <w:pPr>
        <w:bidi w:val="0"/>
        <w:ind w:left="360" w:hanging="360"/>
        <w:jc w:val="both"/>
        <w:rPr>
          <w:rFonts w:ascii="Times New Roman" w:hAnsi="Times New Roman"/>
        </w:rPr>
      </w:pPr>
      <w:r>
        <w:rPr>
          <w:rFonts w:ascii="Times New Roman" w:hAnsi="Times New Roman"/>
        </w:rPr>
        <w:t>d</w:t>
      </w:r>
      <w:r w:rsidRPr="00894196">
        <w:rPr>
          <w:rFonts w:ascii="Times New Roman" w:hAnsi="Times New Roman"/>
        </w:rPr>
        <w:t>)</w:t>
        <w:tab/>
        <w:t xml:space="preserve">informácia o právnych predpisoch, v ktorých sú preberané smernice </w:t>
      </w:r>
      <w:r>
        <w:rPr>
          <w:rFonts w:ascii="Times New Roman" w:hAnsi="Times New Roman"/>
        </w:rPr>
        <w:t>už prebraté spolu s uvedením rozsahu tohto prebratia</w:t>
      </w:r>
    </w:p>
    <w:p w:rsidR="001F5274" w:rsidRPr="00894196" w:rsidP="001F5274">
      <w:pPr>
        <w:bidi w:val="0"/>
        <w:ind w:left="720"/>
        <w:jc w:val="both"/>
        <w:rPr>
          <w:rFonts w:ascii="Times New Roman" w:hAnsi="Times New Roman"/>
        </w:rPr>
      </w:pPr>
    </w:p>
    <w:p w:rsidR="001F5274" w:rsidRPr="00894196" w:rsidP="001F5274">
      <w:pPr>
        <w:bidi w:val="0"/>
        <w:ind w:firstLine="708"/>
        <w:jc w:val="both"/>
        <w:rPr>
          <w:rFonts w:ascii="Times New Roman" w:hAnsi="Times New Roman"/>
        </w:rPr>
      </w:pPr>
      <w:r>
        <w:rPr>
          <w:rFonts w:ascii="Times New Roman" w:hAnsi="Times New Roman"/>
        </w:rPr>
        <w:t>S</w:t>
      </w:r>
      <w:r w:rsidRPr="00894196">
        <w:rPr>
          <w:rFonts w:ascii="Times New Roman" w:hAnsi="Times New Roman"/>
        </w:rPr>
        <w:t>mernica Rady 2010/18/EÚ z 8. marca 2010, ktorou sa vykonáva revidovaná Rámcová dohoda o rodičovskej dovolenke uzavretá medzi BUSINESSEUROPE, UEAPME, CEEP a ETUC a zrušuje smernica 96/34/ES (Ú. v. EÚ L 68, 18.3.2010)</w:t>
      </w:r>
      <w:r>
        <w:rPr>
          <w:rFonts w:ascii="Times New Roman" w:hAnsi="Times New Roman"/>
        </w:rPr>
        <w:t xml:space="preserve"> je prebratá v týchto právnych predpisoch</w:t>
      </w:r>
      <w:r w:rsidRPr="00894196">
        <w:rPr>
          <w:rFonts w:ascii="Times New Roman" w:hAnsi="Times New Roman"/>
        </w:rPr>
        <w:t xml:space="preserve">:  </w:t>
      </w:r>
    </w:p>
    <w:p w:rsidR="001F5274" w:rsidRPr="00894196" w:rsidP="001F5274">
      <w:pPr>
        <w:bidi w:val="0"/>
        <w:ind w:firstLine="708"/>
        <w:jc w:val="both"/>
        <w:rPr>
          <w:rFonts w:ascii="Times New Roman" w:hAnsi="Times New Roman"/>
        </w:rPr>
      </w:pPr>
      <w:r w:rsidRPr="00894196">
        <w:rPr>
          <w:rFonts w:ascii="Times New Roman" w:hAnsi="Times New Roman"/>
        </w:rPr>
        <w:t xml:space="preserve">– </w:t>
      </w:r>
      <w:r>
        <w:rPr>
          <w:rFonts w:ascii="Times New Roman" w:hAnsi="Times New Roman"/>
        </w:rPr>
        <w:t>zákon</w:t>
      </w:r>
      <w:r w:rsidRPr="00894196">
        <w:rPr>
          <w:rFonts w:ascii="Times New Roman" w:hAnsi="Times New Roman"/>
        </w:rPr>
        <w:t xml:space="preserve"> č. 311/2001 Z. z. Zákonník práce v znení neskorších predpisov</w:t>
      </w:r>
      <w:r>
        <w:rPr>
          <w:rFonts w:ascii="Times New Roman" w:hAnsi="Times New Roman"/>
        </w:rPr>
        <w:t>,</w:t>
      </w:r>
      <w:r w:rsidRPr="00894196">
        <w:rPr>
          <w:rFonts w:ascii="Times New Roman" w:hAnsi="Times New Roman"/>
        </w:rPr>
        <w:t xml:space="preserve"> </w:t>
      </w:r>
    </w:p>
    <w:p w:rsidR="001F5274" w:rsidRPr="00894196" w:rsidP="001F5274">
      <w:pPr>
        <w:bidi w:val="0"/>
        <w:ind w:firstLine="708"/>
        <w:jc w:val="both"/>
        <w:rPr>
          <w:rFonts w:ascii="Times New Roman" w:hAnsi="Times New Roman"/>
        </w:rPr>
      </w:pPr>
      <w:r w:rsidRPr="00894196">
        <w:rPr>
          <w:rFonts w:ascii="Times New Roman" w:hAnsi="Times New Roman"/>
        </w:rPr>
        <w:t>–</w:t>
      </w:r>
      <w:r>
        <w:rPr>
          <w:rFonts w:ascii="Times New Roman" w:hAnsi="Times New Roman"/>
        </w:rPr>
        <w:t xml:space="preserve"> zákon</w:t>
      </w:r>
      <w:r w:rsidRPr="00894196">
        <w:rPr>
          <w:rFonts w:ascii="Times New Roman" w:hAnsi="Times New Roman"/>
        </w:rPr>
        <w:t xml:space="preserve"> č. 400/2009 Z. z. o štátnej službe a o zmene a doplnení niektorých zákonov. </w:t>
      </w:r>
    </w:p>
    <w:p w:rsidR="001F5274" w:rsidRPr="00894196" w:rsidP="001F5274">
      <w:pPr>
        <w:bidi w:val="0"/>
        <w:ind w:firstLine="708"/>
        <w:jc w:val="both"/>
        <w:rPr>
          <w:rFonts w:ascii="Times New Roman" w:hAnsi="Times New Roman"/>
        </w:rPr>
      </w:pPr>
    </w:p>
    <w:p w:rsidR="001F5274" w:rsidRPr="00894196" w:rsidP="001F5274">
      <w:pPr>
        <w:bidi w:val="0"/>
        <w:ind w:left="360" w:hanging="360"/>
        <w:rPr>
          <w:rFonts w:ascii="Times New Roman" w:hAnsi="Times New Roman"/>
          <w:b/>
        </w:rPr>
      </w:pPr>
      <w:r w:rsidRPr="00894196">
        <w:rPr>
          <w:rFonts w:ascii="Times New Roman" w:hAnsi="Times New Roman"/>
          <w:b/>
        </w:rPr>
        <w:t>5.</w:t>
        <w:tab/>
        <w:t xml:space="preserve">Stupeň zlučiteľnosti návrhu právneho predpisu </w:t>
      </w:r>
      <w:r>
        <w:rPr>
          <w:rFonts w:ascii="Times New Roman" w:hAnsi="Times New Roman"/>
          <w:b/>
        </w:rPr>
        <w:t xml:space="preserve">právom </w:t>
      </w:r>
      <w:r w:rsidRPr="00894196">
        <w:rPr>
          <w:rFonts w:ascii="Times New Roman" w:hAnsi="Times New Roman"/>
          <w:b/>
        </w:rPr>
        <w:t>Európskej únie:</w:t>
      </w:r>
    </w:p>
    <w:p w:rsidR="001F5274" w:rsidRPr="00894196" w:rsidP="001F5274">
      <w:pPr>
        <w:bidi w:val="0"/>
        <w:rPr>
          <w:rFonts w:ascii="Times New Roman" w:hAnsi="Times New Roman"/>
        </w:rPr>
      </w:pPr>
    </w:p>
    <w:p w:rsidR="001F5274" w:rsidRPr="00894196" w:rsidP="001F5274">
      <w:pPr>
        <w:bidi w:val="0"/>
        <w:ind w:firstLine="360"/>
        <w:rPr>
          <w:rFonts w:ascii="Times New Roman" w:hAnsi="Times New Roman"/>
        </w:rPr>
      </w:pPr>
      <w:r w:rsidRPr="00894196">
        <w:rPr>
          <w:rFonts w:ascii="Times New Roman" w:hAnsi="Times New Roman"/>
        </w:rPr>
        <w:t>Stupeň zlučiteľnosti - čiastočný </w:t>
      </w:r>
    </w:p>
    <w:p w:rsidR="001F5274" w:rsidRPr="00894196" w:rsidP="001F5274">
      <w:pPr>
        <w:bidi w:val="0"/>
        <w:rPr>
          <w:rFonts w:ascii="Times New Roman" w:hAnsi="Times New Roman"/>
        </w:rPr>
      </w:pPr>
    </w:p>
    <w:p w:rsidR="001F5274" w:rsidRPr="00894196" w:rsidP="001F5274">
      <w:pPr>
        <w:bidi w:val="0"/>
        <w:ind w:left="360" w:hanging="360"/>
        <w:rPr>
          <w:rFonts w:ascii="Times New Roman" w:hAnsi="Times New Roman"/>
          <w:b/>
        </w:rPr>
      </w:pPr>
      <w:r w:rsidRPr="00894196">
        <w:rPr>
          <w:rFonts w:ascii="Times New Roman" w:hAnsi="Times New Roman"/>
          <w:b/>
        </w:rPr>
        <w:t>6.</w:t>
        <w:tab/>
        <w:t xml:space="preserve">Gestor a spolupracujúce rezorty: </w:t>
      </w:r>
    </w:p>
    <w:p w:rsidR="001F5274" w:rsidP="001F5274">
      <w:pPr>
        <w:tabs>
          <w:tab w:val="left" w:pos="360"/>
        </w:tabs>
        <w:bidi w:val="0"/>
        <w:ind w:left="360"/>
        <w:rPr>
          <w:rFonts w:ascii="Times New Roman" w:hAnsi="Times New Roman"/>
        </w:rPr>
      </w:pPr>
      <w:r>
        <w:rPr>
          <w:rFonts w:ascii="Times New Roman" w:hAnsi="Times New Roman"/>
        </w:rPr>
        <w:t>Ministerstvo práce, sociálnych vecí a rodiny Slovenskej republiky,</w:t>
      </w:r>
    </w:p>
    <w:p w:rsidR="001F5274" w:rsidP="001F5274">
      <w:pPr>
        <w:bidi w:val="0"/>
        <w:ind w:left="360"/>
        <w:jc w:val="both"/>
        <w:rPr>
          <w:rFonts w:ascii="Times New Roman" w:hAnsi="Times New Roman"/>
          <w:b/>
          <w:caps/>
          <w:spacing w:val="30"/>
        </w:rPr>
      </w:pPr>
      <w:r w:rsidRPr="00894196">
        <w:rPr>
          <w:rFonts w:ascii="Times New Roman" w:hAnsi="Times New Roman"/>
        </w:rPr>
        <w:t>Ministerstvo obrany Slovenskej republiky</w:t>
      </w:r>
      <w:r>
        <w:rPr>
          <w:rFonts w:ascii="Times New Roman" w:hAnsi="Times New Roman"/>
        </w:rPr>
        <w:t>,</w:t>
      </w:r>
    </w:p>
    <w:p w:rsidR="001F5274" w:rsidRPr="00022A1B" w:rsidP="001F5274">
      <w:pPr>
        <w:tabs>
          <w:tab w:val="left" w:pos="360"/>
        </w:tabs>
        <w:bidi w:val="0"/>
        <w:ind w:left="360"/>
        <w:rPr>
          <w:rFonts w:ascii="Times New Roman" w:hAnsi="Times New Roman"/>
        </w:rPr>
      </w:pPr>
      <w:r>
        <w:rPr>
          <w:rFonts w:ascii="Times New Roman" w:hAnsi="Times New Roman"/>
        </w:rPr>
        <w:t>Ministerstvo vnútra Slovenskej republiky</w:t>
      </w:r>
    </w:p>
    <w:p w:rsidR="001F5274" w:rsidP="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1F5274">
      <w:pPr>
        <w:bidi w:val="0"/>
        <w:rPr>
          <w:rFonts w:ascii="Times New Roman" w:hAnsi="Times New Roman"/>
        </w:rPr>
      </w:pPr>
    </w:p>
    <w:p w:rsidR="0037730B">
      <w:pPr>
        <w:bidi w:val="0"/>
        <w:rPr>
          <w:rFonts w:ascii="Times New Roman" w:hAnsi="Times New Roman"/>
        </w:rPr>
      </w:pPr>
    </w:p>
    <w:p w:rsidR="0037730B">
      <w:pPr>
        <w:bidi w:val="0"/>
        <w:rPr>
          <w:rFonts w:ascii="Times New Roman" w:hAnsi="Times New Roman"/>
        </w:rPr>
      </w:pPr>
    </w:p>
    <w:p w:rsidR="0037730B">
      <w:pPr>
        <w:bidi w:val="0"/>
        <w:rPr>
          <w:rFonts w:ascii="Times New Roman" w:hAnsi="Times New Roman"/>
        </w:rPr>
      </w:pPr>
    </w:p>
    <w:p w:rsidR="00860ED9" w:rsidRPr="00894196" w:rsidP="00860ED9">
      <w:pPr>
        <w:bidi w:val="0"/>
        <w:jc w:val="both"/>
        <w:rPr>
          <w:rFonts w:ascii="Times New Roman" w:hAnsi="Times New Roman"/>
        </w:rPr>
      </w:pPr>
      <w:r w:rsidRPr="00894196">
        <w:rPr>
          <w:rFonts w:ascii="Times New Roman" w:hAnsi="Times New Roman"/>
          <w:b/>
        </w:rPr>
        <w:t>Osobitná časť</w:t>
      </w:r>
    </w:p>
    <w:p w:rsidR="00860ED9" w:rsidP="00860ED9">
      <w:pPr>
        <w:bidi w:val="0"/>
        <w:jc w:val="both"/>
        <w:rPr>
          <w:rFonts w:ascii="Times New Roman" w:hAnsi="Times New Roman"/>
          <w:b/>
        </w:rPr>
      </w:pPr>
    </w:p>
    <w:p w:rsidR="00860ED9" w:rsidP="00860ED9">
      <w:pPr>
        <w:bidi w:val="0"/>
        <w:jc w:val="both"/>
        <w:rPr>
          <w:rFonts w:ascii="Times New Roman" w:hAnsi="Times New Roman"/>
          <w:b/>
          <w:u w:val="single"/>
          <w:lang w:eastAsia="cs-CZ"/>
        </w:rPr>
      </w:pPr>
      <w:r w:rsidRPr="001E1EA9">
        <w:rPr>
          <w:rFonts w:ascii="Times New Roman" w:hAnsi="Times New Roman"/>
          <w:b/>
          <w:u w:val="single"/>
          <w:lang w:eastAsia="cs-CZ"/>
        </w:rPr>
        <w:t>K čl. I</w:t>
      </w:r>
    </w:p>
    <w:p w:rsidR="00860ED9" w:rsidRPr="00894196" w:rsidP="00860ED9">
      <w:pPr>
        <w:bidi w:val="0"/>
        <w:jc w:val="both"/>
        <w:rPr>
          <w:rFonts w:ascii="Times New Roman" w:hAnsi="Times New Roman"/>
          <w:b/>
        </w:rPr>
      </w:pPr>
    </w:p>
    <w:p w:rsidR="00860ED9" w:rsidRPr="00894196" w:rsidP="00860ED9">
      <w:pPr>
        <w:bidi w:val="0"/>
        <w:jc w:val="both"/>
        <w:rPr>
          <w:rFonts w:ascii="Times New Roman" w:hAnsi="Times New Roman"/>
          <w:b/>
        </w:rPr>
      </w:pPr>
      <w:r w:rsidRPr="00894196">
        <w:rPr>
          <w:rFonts w:ascii="Times New Roman" w:hAnsi="Times New Roman"/>
          <w:b/>
        </w:rPr>
        <w:t>K bodu 1</w:t>
      </w:r>
    </w:p>
    <w:p w:rsidR="00860ED9" w:rsidRPr="00894196" w:rsidP="00860ED9">
      <w:pPr>
        <w:pStyle w:val="BodyText"/>
        <w:bidi w:val="0"/>
        <w:spacing w:after="0"/>
        <w:ind w:firstLine="851"/>
        <w:jc w:val="both"/>
        <w:rPr>
          <w:rFonts w:ascii="Times New Roman" w:hAnsi="Times New Roman"/>
        </w:rPr>
      </w:pPr>
      <w:r>
        <w:rPr>
          <w:rFonts w:ascii="Times New Roman" w:hAnsi="Times New Roman"/>
        </w:rPr>
        <w:t>Návrhom sa zabezpečuje</w:t>
      </w:r>
      <w:r w:rsidRPr="00894196">
        <w:rPr>
          <w:rFonts w:ascii="Times New Roman" w:hAnsi="Times New Roman"/>
        </w:rPr>
        <w:t>, aby profesionálny vojak bezprostredne po skončení rodičo</w:t>
      </w:r>
      <w:r w:rsidRPr="00894196">
        <w:rPr>
          <w:rFonts w:ascii="Times New Roman" w:hAnsi="Times New Roman"/>
        </w:rPr>
        <w:t>v</w:t>
      </w:r>
      <w:r w:rsidRPr="00894196">
        <w:rPr>
          <w:rFonts w:ascii="Times New Roman" w:hAnsi="Times New Roman"/>
        </w:rPr>
        <w:t>skej dovolenky nebol zaradený do zálohy pre prechodne nezaradených profesionálnych vojakov (má obligatórny charakter), ale aby bol po skončení zaradenia do neplatenej zálohy nasledujúcim dňom ustanovený do funkcie. Týmto návrhom sa zabezpečí komplexnejšie naplnenie transpozície Smernice Rady 2010/18/EÚ</w:t>
      </w:r>
      <w:r>
        <w:rPr>
          <w:rFonts w:ascii="Times New Roman" w:hAnsi="Times New Roman"/>
        </w:rPr>
        <w:t>.</w:t>
      </w:r>
    </w:p>
    <w:p w:rsidR="00860ED9" w:rsidP="00860ED9">
      <w:pPr>
        <w:pStyle w:val="BodyText"/>
        <w:bidi w:val="0"/>
        <w:spacing w:after="0"/>
        <w:ind w:firstLine="708"/>
        <w:jc w:val="both"/>
        <w:rPr>
          <w:rFonts w:ascii="Times New Roman" w:hAnsi="Times New Roman"/>
        </w:rPr>
      </w:pPr>
    </w:p>
    <w:p w:rsidR="00860ED9" w:rsidRPr="00894196" w:rsidP="00860ED9">
      <w:pPr>
        <w:pStyle w:val="BodyText"/>
        <w:bidi w:val="0"/>
        <w:spacing w:after="0"/>
        <w:jc w:val="both"/>
        <w:rPr>
          <w:rFonts w:ascii="Times New Roman" w:hAnsi="Times New Roman"/>
          <w:b/>
        </w:rPr>
      </w:pPr>
      <w:r w:rsidRPr="00894196">
        <w:rPr>
          <w:rFonts w:ascii="Times New Roman" w:hAnsi="Times New Roman"/>
          <w:b/>
        </w:rPr>
        <w:t>K bodu 2</w:t>
      </w:r>
    </w:p>
    <w:p w:rsidR="00860ED9" w:rsidRPr="00155159" w:rsidP="00860ED9">
      <w:pPr>
        <w:pStyle w:val="BodyText"/>
        <w:bidi w:val="0"/>
        <w:spacing w:after="0"/>
        <w:ind w:firstLine="851"/>
        <w:jc w:val="both"/>
        <w:rPr>
          <w:rFonts w:ascii="Times New Roman" w:hAnsi="Times New Roman"/>
          <w:bCs/>
        </w:rPr>
      </w:pPr>
      <w:r w:rsidRPr="00155159">
        <w:rPr>
          <w:rFonts w:ascii="Times New Roman" w:hAnsi="Times New Roman"/>
          <w:bCs/>
        </w:rPr>
        <w:t xml:space="preserve">Úprava v odsekoch 2, 3 a 5 vyplýva z poznatkov aplikačnej praxe a návrhom sa precizuje úprava osobitných podmienok výkonu štátnej služby určitých kategórií profesionálnych vojakov. </w:t>
      </w:r>
    </w:p>
    <w:p w:rsidR="00860ED9" w:rsidRPr="00155159" w:rsidP="00860ED9">
      <w:pPr>
        <w:pStyle w:val="BodyText"/>
        <w:bidi w:val="0"/>
        <w:spacing w:after="0"/>
        <w:ind w:firstLine="851"/>
        <w:jc w:val="both"/>
        <w:rPr>
          <w:rFonts w:ascii="Times New Roman" w:hAnsi="Times New Roman"/>
          <w:bCs/>
        </w:rPr>
      </w:pPr>
      <w:r w:rsidRPr="00155159">
        <w:rPr>
          <w:rFonts w:ascii="Times New Roman" w:hAnsi="Times New Roman"/>
          <w:bCs/>
        </w:rPr>
        <w:t xml:space="preserve">V odseku 2 sa navrhuje spôsob riešenia personálnych podmienok výkonu štátnej služby uvedenej kategórie profesionálnych vojakov, ak v dôsledku organizačnej zmeny (zrušenie funkcie alebo zmena hodnosti plánovanej na funkciu), nemôžu vykonávať doterajšiu funkciu a v mieste výkonu štátnej služby alebo v mieste ich trvalého pobytu nie je vojenský útvar, v ktorom by mohli vykonávať štátnu službu. </w:t>
      </w:r>
    </w:p>
    <w:p w:rsidR="00860ED9" w:rsidRPr="00155159" w:rsidP="00860ED9">
      <w:pPr>
        <w:pStyle w:val="BodyText"/>
        <w:bidi w:val="0"/>
        <w:spacing w:after="0"/>
        <w:ind w:firstLine="851"/>
        <w:jc w:val="both"/>
        <w:rPr>
          <w:rFonts w:ascii="Times New Roman" w:hAnsi="Times New Roman"/>
          <w:bCs/>
        </w:rPr>
      </w:pPr>
      <w:r w:rsidRPr="00155159">
        <w:rPr>
          <w:rFonts w:ascii="Times New Roman" w:hAnsi="Times New Roman"/>
          <w:bCs/>
        </w:rPr>
        <w:t>V odseku 3 sa navrhuje spôsob riešenia personálnych podmienok výkonu štátnej služby uvedenej kategórie profesionálnych vojakov, ak v dôsledku zrušenia vojenského útvaru, v ktorom vykonávali štátnu službu pred poskytnutím rodičovskej dovolenky, nie je v mieste ich výkonu štátnej služby alebo v mieste trvalého pobytu iný vojenský útvar, v ktorom by mohli vykonávať štátnu službu.</w:t>
      </w:r>
    </w:p>
    <w:p w:rsidR="00860ED9" w:rsidRPr="00155159" w:rsidP="00860ED9">
      <w:pPr>
        <w:pStyle w:val="BodyText"/>
        <w:bidi w:val="0"/>
        <w:spacing w:after="0"/>
        <w:ind w:firstLine="851"/>
        <w:jc w:val="both"/>
        <w:rPr>
          <w:rFonts w:ascii="Arial" w:hAnsi="Arial" w:cs="Arial"/>
          <w:sz w:val="20"/>
          <w:szCs w:val="20"/>
        </w:rPr>
      </w:pPr>
      <w:r w:rsidRPr="00155159">
        <w:rPr>
          <w:rFonts w:ascii="Times New Roman" w:hAnsi="Times New Roman"/>
        </w:rPr>
        <w:t>V odseku 4 sa v súlade so smernicou Rady 2010/18/EÚ navrhuje, aby profesionálny vojak po skončení rodičovskej dovolenky, počas ktorej je zaradený do neplatenej zálohy podľa § 63 písm. a) zákona, bol ustanovený do tej istej funkcie, do ktorej bol ustanovený pred odchodom na rodičovskú dovolenku. Iba ak táto funkcia nie je voľná, profesionálny vojak sa ustanoví do inej vhodnej funkcie podľa návrhu zákona za podmienok, ktoré pre neho nie sú menej priaznivé.</w:t>
      </w:r>
    </w:p>
    <w:p w:rsidR="00860ED9" w:rsidRPr="00155159" w:rsidP="00860ED9">
      <w:pPr>
        <w:pStyle w:val="BodyText"/>
        <w:bidi w:val="0"/>
        <w:spacing w:after="0"/>
        <w:ind w:firstLine="851"/>
        <w:jc w:val="both"/>
        <w:rPr>
          <w:rFonts w:ascii="Times New Roman" w:hAnsi="Times New Roman"/>
          <w:bCs/>
        </w:rPr>
      </w:pPr>
      <w:r w:rsidRPr="00155159">
        <w:rPr>
          <w:rFonts w:ascii="Times New Roman" w:hAnsi="Times New Roman"/>
          <w:bCs/>
        </w:rPr>
        <w:t>Odsek 5 ustanovuje fakultatívne oprávnenie vedúceho služobného úradu premiestniť uvedené kategórie profesionálnych vojakov za podmienok ustanovených v odseku 2 (organizačné zmeny) a v odseku 3 (zrušenie vojenského útvaru) do iného miesta výkonu štátnej služby, ktoré je najbližšie k miestu, v ktorom naposledy vykonávali štátnu službu alebo k miestu ich trvalého pobytu. Návrh zákona zároveň ustanovuje možnosť pre profesionálnych vojakov dohodnúť sa s vedúcim služobného úradu na inom riešení vzniknutej situácie.</w:t>
      </w:r>
    </w:p>
    <w:p w:rsidR="00860ED9" w:rsidRPr="007F3A0C" w:rsidP="00860ED9">
      <w:pPr>
        <w:bidi w:val="0"/>
        <w:ind w:firstLine="851"/>
        <w:jc w:val="both"/>
        <w:rPr>
          <w:rStyle w:val="textzstupnhosymbolu"/>
          <w:rFonts w:ascii="Times New Roman" w:hAnsi="Times New Roman"/>
        </w:rPr>
      </w:pPr>
      <w:r w:rsidRPr="007F3A0C">
        <w:rPr>
          <w:rFonts w:ascii="Times New Roman" w:hAnsi="Times New Roman"/>
        </w:rPr>
        <w:t xml:space="preserve">V odseku 6 </w:t>
      </w:r>
      <w:r w:rsidRPr="007F3A0C">
        <w:rPr>
          <w:rStyle w:val="textzstupnhosymbolu"/>
          <w:rFonts w:ascii="Times New Roman" w:hAnsi="Times New Roman"/>
        </w:rPr>
        <w:t xml:space="preserve">sa ustanovuje, že do konca rodičovskej dovolenky sa zachovávajú tie práva profesionálneho vojaka, na ktoré by mal nárok, ak by vykonával funkciu, do ktorej bol ustanovený pred odchodom na rodičovskú dovolenku. </w:t>
      </w:r>
    </w:p>
    <w:p w:rsidR="00860ED9" w:rsidRPr="007F3A0C" w:rsidP="00860ED9">
      <w:pPr>
        <w:pStyle w:val="BodyText"/>
        <w:bidi w:val="0"/>
        <w:spacing w:after="0"/>
        <w:jc w:val="both"/>
        <w:rPr>
          <w:rFonts w:ascii="Times New Roman" w:hAnsi="Times New Roman"/>
        </w:rPr>
      </w:pPr>
    </w:p>
    <w:p w:rsidR="00860ED9" w:rsidP="00860ED9">
      <w:pPr>
        <w:pStyle w:val="BodyText"/>
        <w:bidi w:val="0"/>
        <w:spacing w:after="0"/>
        <w:jc w:val="both"/>
        <w:rPr>
          <w:rFonts w:ascii="Times New Roman" w:hAnsi="Times New Roman"/>
          <w:b/>
          <w:bCs/>
        </w:rPr>
      </w:pPr>
      <w:r w:rsidRPr="00894196">
        <w:rPr>
          <w:rFonts w:ascii="Times New Roman" w:hAnsi="Times New Roman"/>
          <w:b/>
          <w:bCs/>
        </w:rPr>
        <w:t>K bodu 3</w:t>
      </w:r>
    </w:p>
    <w:p w:rsidR="00860ED9" w:rsidRPr="00440AE5" w:rsidP="00860ED9">
      <w:pPr>
        <w:pStyle w:val="BodyText"/>
        <w:bidi w:val="0"/>
        <w:spacing w:after="0"/>
        <w:ind w:firstLine="851"/>
        <w:jc w:val="both"/>
        <w:rPr>
          <w:rFonts w:ascii="Times New Roman" w:hAnsi="Times New Roman"/>
          <w:bCs/>
        </w:rPr>
      </w:pPr>
      <w:r w:rsidRPr="00440AE5">
        <w:rPr>
          <w:rFonts w:ascii="Times New Roman" w:hAnsi="Times New Roman"/>
        </w:rPr>
        <w:t>Návrh zákona umožňuje tehotnej profesionálnej vojačke alebo profesionálnemu vojakovi trvale sa starajúcemu o dieťa mladšie ako osem rokov požiadať o zmenu dĺžky služo</w:t>
      </w:r>
      <w:r w:rsidRPr="00440AE5">
        <w:rPr>
          <w:rFonts w:ascii="Times New Roman" w:hAnsi="Times New Roman"/>
        </w:rPr>
        <w:t>b</w:t>
      </w:r>
      <w:r w:rsidRPr="00440AE5">
        <w:rPr>
          <w:rFonts w:ascii="Times New Roman" w:hAnsi="Times New Roman"/>
        </w:rPr>
        <w:t>ného času a o úpravu rozvrhnutia služobného času. Vedúci služobného úradu alebo veliteľ podanej žiadosti vyhovie, ak tomu nebráni dôležitý zá</w:t>
      </w:r>
      <w:r w:rsidRPr="00440AE5">
        <w:rPr>
          <w:rFonts w:ascii="Times New Roman" w:hAnsi="Times New Roman"/>
        </w:rPr>
        <w:t>u</w:t>
      </w:r>
      <w:r w:rsidRPr="00440AE5">
        <w:rPr>
          <w:rFonts w:ascii="Times New Roman" w:hAnsi="Times New Roman"/>
        </w:rPr>
        <w:t xml:space="preserve">jem štátnej služby. </w:t>
      </w:r>
    </w:p>
    <w:p w:rsidR="00860ED9" w:rsidRPr="00776520" w:rsidP="00860ED9">
      <w:pPr>
        <w:pStyle w:val="BodyText"/>
        <w:bidi w:val="0"/>
        <w:spacing w:after="0"/>
        <w:jc w:val="both"/>
        <w:rPr>
          <w:rFonts w:ascii="Times New Roman" w:hAnsi="Times New Roman"/>
          <w:bCs/>
        </w:rPr>
      </w:pPr>
    </w:p>
    <w:p w:rsidR="00860ED9" w:rsidP="00860ED9">
      <w:pPr>
        <w:pStyle w:val="BodyText"/>
        <w:bidi w:val="0"/>
        <w:spacing w:after="0"/>
        <w:jc w:val="both"/>
        <w:rPr>
          <w:rFonts w:ascii="Times New Roman" w:hAnsi="Times New Roman"/>
          <w:b/>
          <w:bCs/>
        </w:rPr>
      </w:pPr>
      <w:r w:rsidRPr="00894196">
        <w:rPr>
          <w:rFonts w:ascii="Times New Roman" w:hAnsi="Times New Roman"/>
          <w:b/>
          <w:bCs/>
        </w:rPr>
        <w:t>K bodu 4</w:t>
      </w:r>
    </w:p>
    <w:p w:rsidR="00860ED9" w:rsidRPr="00440AE5" w:rsidP="00860ED9">
      <w:pPr>
        <w:pStyle w:val="BodyText"/>
        <w:bidi w:val="0"/>
        <w:spacing w:after="0"/>
        <w:ind w:firstLine="851"/>
        <w:jc w:val="both"/>
        <w:rPr>
          <w:rFonts w:ascii="Times New Roman" w:hAnsi="Times New Roman"/>
        </w:rPr>
      </w:pPr>
      <w:r w:rsidRPr="00440AE5">
        <w:rPr>
          <w:rFonts w:ascii="Times New Roman" w:hAnsi="Times New Roman"/>
        </w:rPr>
        <w:t>Navrhovanou zmenou sa zabezpečí, aby nárok na príspevok na bývanie mal profesionálny vojak aj počas rodičovskej dovolenky. </w:t>
      </w:r>
    </w:p>
    <w:p w:rsidR="00860ED9" w:rsidRPr="00894196" w:rsidP="00860ED9">
      <w:pPr>
        <w:pStyle w:val="BodyText"/>
        <w:bidi w:val="0"/>
        <w:spacing w:after="0"/>
        <w:jc w:val="both"/>
        <w:rPr>
          <w:rFonts w:ascii="Times New Roman" w:hAnsi="Times New Roman"/>
          <w:b/>
          <w:bCs/>
        </w:rPr>
      </w:pPr>
    </w:p>
    <w:p w:rsidR="00860ED9" w:rsidRPr="00440AE5" w:rsidP="00860ED9">
      <w:pPr>
        <w:pStyle w:val="BodyText"/>
        <w:bidi w:val="0"/>
        <w:spacing w:after="0"/>
        <w:jc w:val="both"/>
        <w:rPr>
          <w:rFonts w:ascii="Times New Roman" w:hAnsi="Times New Roman"/>
          <w:b/>
          <w:bCs/>
        </w:rPr>
      </w:pPr>
      <w:r w:rsidRPr="00440AE5">
        <w:rPr>
          <w:rFonts w:ascii="Times New Roman" w:hAnsi="Times New Roman"/>
          <w:b/>
          <w:bCs/>
        </w:rPr>
        <w:t>K bodu 5</w:t>
      </w:r>
    </w:p>
    <w:p w:rsidR="00860ED9" w:rsidRPr="00970E39" w:rsidP="00860ED9">
      <w:pPr>
        <w:pStyle w:val="BodyText"/>
        <w:bidi w:val="0"/>
        <w:spacing w:after="0"/>
        <w:ind w:firstLine="851"/>
        <w:jc w:val="both"/>
        <w:rPr>
          <w:rFonts w:ascii="Times New Roman" w:hAnsi="Times New Roman"/>
        </w:rPr>
      </w:pPr>
      <w:r w:rsidRPr="00970E39">
        <w:rPr>
          <w:rFonts w:ascii="Times New Roman" w:hAnsi="Times New Roman"/>
        </w:rPr>
        <w:t xml:space="preserve">V nadväznosti na úpravu uvedenú v bode </w:t>
      </w:r>
      <w:r>
        <w:rPr>
          <w:rFonts w:ascii="Times New Roman" w:hAnsi="Times New Roman"/>
        </w:rPr>
        <w:t>4</w:t>
      </w:r>
      <w:r w:rsidRPr="00970E39">
        <w:rPr>
          <w:rFonts w:ascii="Times New Roman" w:hAnsi="Times New Roman"/>
        </w:rPr>
        <w:t xml:space="preserve"> [§ 172 ods. 2 písm. c)] sa v prechodnom ustanovení navrhuje, aby profesi</w:t>
      </w:r>
      <w:r w:rsidRPr="00970E39">
        <w:rPr>
          <w:rFonts w:ascii="Times New Roman" w:hAnsi="Times New Roman"/>
        </w:rPr>
        <w:t>o</w:t>
      </w:r>
      <w:r w:rsidRPr="00970E39">
        <w:rPr>
          <w:rFonts w:ascii="Times New Roman" w:hAnsi="Times New Roman"/>
        </w:rPr>
        <w:t>nálnemu vojakovi, ktorý čerpá rodičovskú dovolenku a ktorému z dôvodu zaradenia do neplatenej zálohy podľa právnych predpisov platných do účinnosti tohto zákona zanikol nárok na príspevok na bývanie, patril tento príspevok odo dňa účinnosti tohto zákona. Na vznik nároku na výplatu príspevku na bývanie musí profesionálny vojak v ustanovenej lehote predložiť čestné vyhlásenie podľa §171 ods. 2 zákona.</w:t>
      </w:r>
    </w:p>
    <w:p w:rsidR="00860ED9" w:rsidP="00860ED9">
      <w:pPr>
        <w:pStyle w:val="BodyText"/>
        <w:bidi w:val="0"/>
        <w:spacing w:after="0"/>
        <w:jc w:val="both"/>
        <w:rPr>
          <w:rFonts w:ascii="Times New Roman" w:hAnsi="Times New Roman"/>
          <w:b/>
        </w:rPr>
      </w:pPr>
    </w:p>
    <w:p w:rsidR="00860ED9" w:rsidRPr="00440AE5" w:rsidP="00860ED9">
      <w:pPr>
        <w:pStyle w:val="BodyText"/>
        <w:bidi w:val="0"/>
        <w:spacing w:after="0"/>
        <w:jc w:val="both"/>
        <w:rPr>
          <w:rFonts w:ascii="Times New Roman" w:hAnsi="Times New Roman"/>
          <w:b/>
        </w:rPr>
      </w:pPr>
      <w:r w:rsidRPr="00440AE5">
        <w:rPr>
          <w:rFonts w:ascii="Times New Roman" w:hAnsi="Times New Roman"/>
          <w:b/>
        </w:rPr>
        <w:t>K bodu 6</w:t>
      </w:r>
    </w:p>
    <w:p w:rsidR="00860ED9" w:rsidP="00860ED9">
      <w:pPr>
        <w:pStyle w:val="BodyText"/>
        <w:bidi w:val="0"/>
        <w:spacing w:after="0"/>
        <w:ind w:firstLine="851"/>
        <w:jc w:val="both"/>
        <w:rPr>
          <w:rFonts w:ascii="Times New Roman" w:hAnsi="Times New Roman"/>
        </w:rPr>
      </w:pPr>
      <w:r w:rsidRPr="00FC2E6D">
        <w:rPr>
          <w:rFonts w:ascii="Times New Roman" w:hAnsi="Times New Roman"/>
        </w:rPr>
        <w:t>V súlade s čl.</w:t>
      </w:r>
      <w:r>
        <w:rPr>
          <w:rFonts w:ascii="Times New Roman" w:hAnsi="Times New Roman"/>
        </w:rPr>
        <w:t xml:space="preserve"> 4 ods. 1 Legis</w:t>
      </w:r>
      <w:r w:rsidRPr="00FC2E6D">
        <w:rPr>
          <w:rFonts w:ascii="Times New Roman" w:hAnsi="Times New Roman"/>
        </w:rPr>
        <w:t>l</w:t>
      </w:r>
      <w:r>
        <w:rPr>
          <w:rFonts w:ascii="Times New Roman" w:hAnsi="Times New Roman"/>
        </w:rPr>
        <w:t>a</w:t>
      </w:r>
      <w:r w:rsidRPr="00FC2E6D">
        <w:rPr>
          <w:rFonts w:ascii="Times New Roman" w:hAnsi="Times New Roman"/>
        </w:rPr>
        <w:t>tívnych pravidiel</w:t>
      </w:r>
      <w:r>
        <w:rPr>
          <w:rFonts w:ascii="Times New Roman" w:hAnsi="Times New Roman"/>
        </w:rPr>
        <w:t xml:space="preserve"> vlády Slovenskej republiky sa do transpozičnej prílohy dopĺňa smernica Rady 2010/18/EÚ, ktorá sa návrhom zákona preberá do právneho poriadku Slovenskej republiky.</w:t>
      </w:r>
    </w:p>
    <w:p w:rsidR="00860ED9" w:rsidRPr="00FC2E6D" w:rsidP="00860ED9">
      <w:pPr>
        <w:pStyle w:val="BodyText"/>
        <w:bidi w:val="0"/>
        <w:spacing w:after="0"/>
        <w:rPr>
          <w:rFonts w:ascii="Times New Roman" w:hAnsi="Times New Roman"/>
        </w:rPr>
      </w:pPr>
    </w:p>
    <w:p w:rsidR="00860ED9" w:rsidRPr="00260F61" w:rsidP="00860ED9">
      <w:pPr>
        <w:pStyle w:val="BodyText"/>
        <w:bidi w:val="0"/>
        <w:spacing w:after="0"/>
        <w:rPr>
          <w:rFonts w:ascii="Times New Roman" w:hAnsi="Times New Roman"/>
          <w:b/>
          <w:u w:val="single"/>
        </w:rPr>
      </w:pPr>
      <w:r>
        <w:rPr>
          <w:rFonts w:ascii="Times New Roman" w:hAnsi="Times New Roman"/>
          <w:b/>
          <w:u w:val="single"/>
        </w:rPr>
        <w:t>K č</w:t>
      </w:r>
      <w:r w:rsidRPr="00260F61">
        <w:rPr>
          <w:rFonts w:ascii="Times New Roman" w:hAnsi="Times New Roman"/>
          <w:b/>
          <w:u w:val="single"/>
        </w:rPr>
        <w:t>l. II</w:t>
      </w:r>
    </w:p>
    <w:p w:rsidR="00860ED9" w:rsidP="00860ED9">
      <w:pPr>
        <w:pStyle w:val="BodyText"/>
        <w:bidi w:val="0"/>
        <w:spacing w:after="0"/>
        <w:ind w:firstLine="851"/>
        <w:jc w:val="both"/>
        <w:rPr>
          <w:rFonts w:ascii="Times New Roman" w:hAnsi="Times New Roman"/>
        </w:rPr>
      </w:pPr>
      <w:r w:rsidRPr="00894196">
        <w:rPr>
          <w:rFonts w:ascii="Times New Roman" w:hAnsi="Times New Roman"/>
        </w:rPr>
        <w:t>Navrhuje sa účinnosť zákona od 1. januára 2012.</w:t>
      </w:r>
    </w:p>
    <w:p w:rsidR="00860ED9">
      <w:pPr>
        <w:bidi w:val="0"/>
        <w:rPr>
          <w:rFonts w:ascii="Times New Roman" w:hAnsi="Times New Roman"/>
        </w:rPr>
      </w:pPr>
    </w:p>
    <w:p w:rsidR="008F409A">
      <w:pPr>
        <w:bidi w:val="0"/>
        <w:rPr>
          <w:rFonts w:ascii="Times New Roman" w:hAnsi="Times New Roman"/>
        </w:rPr>
      </w:pPr>
    </w:p>
    <w:p w:rsidR="008F409A">
      <w:pPr>
        <w:bidi w:val="0"/>
        <w:rPr>
          <w:rFonts w:ascii="Times New Roman" w:hAnsi="Times New Roman"/>
        </w:rPr>
      </w:pPr>
      <w:r>
        <w:rPr>
          <w:rFonts w:ascii="Times New Roman" w:hAnsi="Times New Roman"/>
        </w:rPr>
        <w:t xml:space="preserve">Bratislava </w:t>
      </w:r>
      <w:r w:rsidR="004A5CE3">
        <w:rPr>
          <w:rFonts w:ascii="Times New Roman" w:hAnsi="Times New Roman"/>
        </w:rPr>
        <w:t xml:space="preserve"> 8</w:t>
      </w:r>
      <w:r>
        <w:rPr>
          <w:rFonts w:ascii="Times New Roman" w:hAnsi="Times New Roman"/>
        </w:rPr>
        <w:t>. júna 2011</w:t>
      </w:r>
    </w:p>
    <w:p w:rsidR="008F409A">
      <w:pPr>
        <w:bidi w:val="0"/>
        <w:rPr>
          <w:rFonts w:ascii="Times New Roman" w:hAnsi="Times New Roman"/>
        </w:rPr>
      </w:pPr>
    </w:p>
    <w:p w:rsidR="008F409A">
      <w:pPr>
        <w:bidi w:val="0"/>
        <w:rPr>
          <w:rFonts w:ascii="Times New Roman" w:hAnsi="Times New Roman"/>
        </w:rPr>
      </w:pPr>
    </w:p>
    <w:p w:rsidR="008F409A">
      <w:pPr>
        <w:bidi w:val="0"/>
        <w:rPr>
          <w:rFonts w:ascii="Times New Roman" w:hAnsi="Times New Roman"/>
        </w:rPr>
      </w:pPr>
    </w:p>
    <w:p w:rsidR="008F409A" w:rsidRPr="00DA5D3A" w:rsidP="008F409A">
      <w:pPr>
        <w:pStyle w:val="BodyText3"/>
        <w:bidi w:val="0"/>
        <w:spacing w:after="0"/>
        <w:rPr>
          <w:rFonts w:ascii="Times New Roman" w:hAnsi="Times New Roman"/>
          <w:b/>
          <w:sz w:val="24"/>
          <w:szCs w:val="24"/>
        </w:rPr>
      </w:pPr>
    </w:p>
    <w:p w:rsidR="008F409A" w:rsidRPr="00DA5D3A" w:rsidP="008F409A">
      <w:pPr>
        <w:pStyle w:val="BodyText3"/>
        <w:bidi w:val="0"/>
        <w:spacing w:after="0"/>
        <w:jc w:val="center"/>
        <w:rPr>
          <w:rFonts w:ascii="Times New Roman" w:hAnsi="Times New Roman"/>
          <w:b/>
          <w:sz w:val="24"/>
          <w:szCs w:val="24"/>
        </w:rPr>
      </w:pPr>
      <w:r>
        <w:rPr>
          <w:rFonts w:ascii="Times New Roman" w:hAnsi="Times New Roman"/>
          <w:b/>
          <w:sz w:val="24"/>
          <w:szCs w:val="24"/>
        </w:rPr>
        <w:t>Iveta Radičová</w:t>
      </w:r>
      <w:r w:rsidR="000F7EBB">
        <w:rPr>
          <w:rFonts w:ascii="Times New Roman" w:hAnsi="Times New Roman"/>
          <w:b/>
          <w:sz w:val="24"/>
          <w:szCs w:val="24"/>
        </w:rPr>
        <w:t>, v. r.</w:t>
      </w:r>
    </w:p>
    <w:p w:rsidR="008F409A" w:rsidRPr="00DA5D3A" w:rsidP="008F409A">
      <w:pPr>
        <w:pStyle w:val="BodyText3"/>
        <w:bidi w:val="0"/>
        <w:spacing w:after="0"/>
        <w:jc w:val="center"/>
        <w:rPr>
          <w:rFonts w:ascii="Times New Roman" w:hAnsi="Times New Roman"/>
          <w:b/>
          <w:sz w:val="24"/>
          <w:szCs w:val="24"/>
        </w:rPr>
      </w:pPr>
      <w:r>
        <w:rPr>
          <w:rFonts w:ascii="Times New Roman" w:hAnsi="Times New Roman"/>
          <w:b/>
          <w:sz w:val="24"/>
          <w:szCs w:val="24"/>
        </w:rPr>
        <w:t>predsedníčka</w:t>
      </w:r>
      <w:r w:rsidRPr="00DA5D3A">
        <w:rPr>
          <w:rFonts w:ascii="Times New Roman" w:hAnsi="Times New Roman"/>
          <w:b/>
          <w:sz w:val="24"/>
          <w:szCs w:val="24"/>
        </w:rPr>
        <w:t xml:space="preserve"> vlády Slovenskej republiky</w:t>
      </w:r>
    </w:p>
    <w:p w:rsidR="008F409A" w:rsidRPr="00DA5D3A" w:rsidP="008F409A">
      <w:pPr>
        <w:pStyle w:val="BodyText3"/>
        <w:bidi w:val="0"/>
        <w:spacing w:after="0"/>
        <w:jc w:val="center"/>
        <w:rPr>
          <w:rFonts w:ascii="Times New Roman" w:hAnsi="Times New Roman"/>
          <w:b/>
          <w:sz w:val="24"/>
          <w:szCs w:val="24"/>
        </w:rPr>
      </w:pPr>
    </w:p>
    <w:p w:rsidR="008F409A" w:rsidRPr="00DA5D3A" w:rsidP="008F409A">
      <w:pPr>
        <w:pStyle w:val="BodyText3"/>
        <w:bidi w:val="0"/>
        <w:spacing w:after="0"/>
        <w:jc w:val="center"/>
        <w:rPr>
          <w:rFonts w:ascii="Times New Roman" w:hAnsi="Times New Roman"/>
          <w:b/>
          <w:sz w:val="24"/>
          <w:szCs w:val="24"/>
        </w:rPr>
      </w:pPr>
    </w:p>
    <w:p w:rsidR="008F409A" w:rsidRPr="00DA5D3A" w:rsidP="008F409A">
      <w:pPr>
        <w:pStyle w:val="BodyText3"/>
        <w:bidi w:val="0"/>
        <w:spacing w:after="0"/>
        <w:jc w:val="center"/>
        <w:rPr>
          <w:rFonts w:ascii="Times New Roman" w:hAnsi="Times New Roman"/>
          <w:b/>
          <w:sz w:val="24"/>
          <w:szCs w:val="24"/>
        </w:rPr>
      </w:pPr>
    </w:p>
    <w:p w:rsidR="008F409A" w:rsidRPr="00DA5D3A" w:rsidP="008F409A">
      <w:pPr>
        <w:pStyle w:val="BodyText3"/>
        <w:bidi w:val="0"/>
        <w:spacing w:after="0"/>
        <w:jc w:val="center"/>
        <w:rPr>
          <w:rFonts w:ascii="Times New Roman" w:hAnsi="Times New Roman"/>
          <w:b/>
          <w:sz w:val="24"/>
          <w:szCs w:val="24"/>
        </w:rPr>
      </w:pPr>
    </w:p>
    <w:p w:rsidR="008F409A" w:rsidRPr="00DA5D3A" w:rsidP="008F409A">
      <w:pPr>
        <w:pStyle w:val="BodyText3"/>
        <w:bidi w:val="0"/>
        <w:spacing w:after="0"/>
        <w:jc w:val="center"/>
        <w:rPr>
          <w:rFonts w:ascii="Times New Roman" w:hAnsi="Times New Roman"/>
          <w:b/>
          <w:sz w:val="24"/>
          <w:szCs w:val="24"/>
        </w:rPr>
      </w:pPr>
    </w:p>
    <w:p w:rsidR="008F409A" w:rsidRPr="00DA5D3A" w:rsidP="008F409A">
      <w:pPr>
        <w:pStyle w:val="BodyText3"/>
        <w:bidi w:val="0"/>
        <w:spacing w:after="0"/>
        <w:jc w:val="center"/>
        <w:rPr>
          <w:rFonts w:ascii="Times New Roman" w:hAnsi="Times New Roman"/>
          <w:b/>
          <w:sz w:val="24"/>
          <w:szCs w:val="24"/>
        </w:rPr>
      </w:pPr>
      <w:r>
        <w:rPr>
          <w:rFonts w:ascii="Times New Roman" w:hAnsi="Times New Roman"/>
          <w:b/>
          <w:sz w:val="24"/>
          <w:szCs w:val="24"/>
        </w:rPr>
        <w:t>Ľubomír Galko</w:t>
      </w:r>
      <w:r w:rsidR="000F7EBB">
        <w:rPr>
          <w:rFonts w:ascii="Times New Roman" w:hAnsi="Times New Roman"/>
          <w:b/>
          <w:sz w:val="24"/>
          <w:szCs w:val="24"/>
        </w:rPr>
        <w:t>, v. r.</w:t>
      </w:r>
    </w:p>
    <w:p w:rsidR="008F409A" w:rsidRPr="00DA5D3A" w:rsidP="008F409A">
      <w:pPr>
        <w:pStyle w:val="BodyText3"/>
        <w:bidi w:val="0"/>
        <w:spacing w:after="0"/>
        <w:jc w:val="center"/>
        <w:rPr>
          <w:rFonts w:ascii="Times New Roman" w:hAnsi="Times New Roman"/>
          <w:b/>
          <w:sz w:val="24"/>
          <w:szCs w:val="24"/>
        </w:rPr>
      </w:pPr>
      <w:r w:rsidRPr="00DA5D3A">
        <w:rPr>
          <w:rFonts w:ascii="Times New Roman" w:hAnsi="Times New Roman"/>
          <w:b/>
          <w:sz w:val="24"/>
          <w:szCs w:val="24"/>
        </w:rPr>
        <w:t>minister obrany Slovenskej republiky</w:t>
      </w:r>
    </w:p>
    <w:p w:rsidR="008F409A" w:rsidRPr="00DA5D3A" w:rsidP="008F409A">
      <w:pPr>
        <w:bidi w:val="0"/>
        <w:ind w:firstLine="851"/>
        <w:jc w:val="both"/>
        <w:rPr>
          <w:rFonts w:ascii="Times New Roman" w:hAnsi="Times New Roman"/>
        </w:rPr>
      </w:pPr>
    </w:p>
    <w:p w:rsidR="008F409A" w:rsidRPr="00860ED9">
      <w:pPr>
        <w:bidi w:val="0"/>
        <w:rPr>
          <w:rFonts w:ascii="Times New Roman" w:hAnsi="Times New Roman"/>
        </w:rPr>
      </w:pPr>
    </w:p>
    <w:sectPr w:rsidSect="00AB07E0">
      <w:pgSz w:w="11906" w:h="16838"/>
      <w:pgMar w:top="1134" w:right="964" w:bottom="1134"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pStyle w:val="Nosite"/>
      <w:lvlText w:val="%1.%2."/>
      <w:lvlJc w:val="left"/>
      <w:pPr>
        <w:tabs>
          <w:tab w:val="num" w:pos="851"/>
        </w:tabs>
        <w:ind w:left="851" w:hanging="851"/>
      </w:pPr>
      <w:rPr>
        <w:rFonts w:ascii="Times New Roman" w:hAnsi="Times New Roman" w:cs="Times New Roman" w:hint="default"/>
        <w:b w:val="0"/>
        <w:i w:val="0"/>
        <w:sz w:val="24"/>
        <w:szCs w:val="24"/>
        <w:rtl w:val="0"/>
        <w:cs w:val="0"/>
      </w:rPr>
    </w:lvl>
    <w:lvl w:ilvl="2">
      <w:start w:val="1"/>
      <w:numFmt w:val="none"/>
      <w:lvlRestart w:val="0"/>
      <w:pStyle w:val="Zakladnystyl"/>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3">
    <w:nsid w:val="2C630597"/>
    <w:multiLevelType w:val="hybridMultilevel"/>
    <w:tmpl w:val="F6E2CCB4"/>
    <w:lvl w:ilvl="0">
      <w:start w:val="1"/>
      <w:numFmt w:val="lowerLetter"/>
      <w:lvlText w:val="%1)"/>
      <w:lvlJc w:val="left"/>
      <w:pPr>
        <w:tabs>
          <w:tab w:val="num" w:pos="357"/>
        </w:tabs>
        <w:ind w:left="357" w:hanging="357"/>
      </w:pPr>
      <w:rPr>
        <w:rFonts w:cs="Cambria" w:hint="default"/>
        <w:rtl w:val="0"/>
        <w:cs w:val="0"/>
      </w:rPr>
    </w:lvl>
    <w:lvl w:ilvl="1">
      <w:start w:val="1"/>
      <w:numFmt w:val="decimal"/>
      <w:lvlText w:val="%2."/>
      <w:lvlJc w:val="left"/>
      <w:pPr>
        <w:tabs>
          <w:tab w:val="num" w:pos="714"/>
        </w:tabs>
        <w:ind w:left="714" w:hanging="357"/>
      </w:pPr>
      <w:rPr>
        <w:rFonts w:cs="Times New Roman" w:hint="default"/>
        <w:b w:val="0"/>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4876780"/>
    <w:multiLevelType w:val="hybridMultilevel"/>
    <w:tmpl w:val="B2D8B070"/>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C2D1DAB"/>
    <w:multiLevelType w:val="hybridMultilevel"/>
    <w:tmpl w:val="E26CF64C"/>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79251CF"/>
    <w:multiLevelType w:val="hybridMultilevel"/>
    <w:tmpl w:val="346CA39C"/>
    <w:lvl w:ilvl="0">
      <w:start w:val="0"/>
      <w:numFmt w:val="bullet"/>
      <w:lvlText w:val="–"/>
      <w:lvlJc w:val="left"/>
      <w:pPr>
        <w:tabs>
          <w:tab w:val="num" w:pos="1211"/>
        </w:tabs>
        <w:ind w:left="1211" w:hanging="360"/>
      </w:pPr>
      <w:rPr>
        <w:rFonts w:ascii="Times New Roman" w:eastAsia="Times New Roman" w:hAnsi="Times New Roman"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7">
    <w:nsid w:val="6B992D65"/>
    <w:multiLevelType w:val="hybridMultilevel"/>
    <w:tmpl w:val="099E518C"/>
    <w:lvl w:ilvl="0">
      <w:start w:val="5"/>
      <w:numFmt w:val="decimal"/>
      <w:lvlText w:val="%1."/>
      <w:lvlJc w:val="left"/>
      <w:pPr>
        <w:tabs>
          <w:tab w:val="num" w:pos="717"/>
        </w:tabs>
        <w:ind w:left="717" w:hanging="360"/>
      </w:pPr>
      <w:rPr>
        <w:rFonts w:cs="Times New Roman" w:hint="default"/>
        <w:rtl w:val="0"/>
        <w:cs w:val="0"/>
      </w:rPr>
    </w:lvl>
    <w:lvl w:ilvl="1">
      <w:start w:val="1"/>
      <w:numFmt w:val="lowerLetter"/>
      <w:lvlText w:val="%2."/>
      <w:lvlJc w:val="left"/>
      <w:pPr>
        <w:tabs>
          <w:tab w:val="num" w:pos="1437"/>
        </w:tabs>
        <w:ind w:left="1437" w:hanging="360"/>
      </w:pPr>
      <w:rPr>
        <w:rFonts w:cs="Times New Roman"/>
        <w:rtl w:val="0"/>
        <w:cs w:val="0"/>
      </w:rPr>
    </w:lvl>
    <w:lvl w:ilvl="2">
      <w:start w:val="1"/>
      <w:numFmt w:val="lowerRoman"/>
      <w:lvlText w:val="%3."/>
      <w:lvlJc w:val="right"/>
      <w:pPr>
        <w:tabs>
          <w:tab w:val="num" w:pos="2157"/>
        </w:tabs>
        <w:ind w:left="2157" w:hanging="180"/>
      </w:pPr>
      <w:rPr>
        <w:rFonts w:cs="Times New Roman"/>
        <w:rtl w:val="0"/>
        <w:cs w:val="0"/>
      </w:rPr>
    </w:lvl>
    <w:lvl w:ilvl="3">
      <w:start w:val="1"/>
      <w:numFmt w:val="decimal"/>
      <w:lvlText w:val="%4."/>
      <w:lvlJc w:val="left"/>
      <w:pPr>
        <w:tabs>
          <w:tab w:val="num" w:pos="2877"/>
        </w:tabs>
        <w:ind w:left="2877" w:hanging="360"/>
      </w:pPr>
      <w:rPr>
        <w:rFonts w:cs="Times New Roman"/>
        <w:rtl w:val="0"/>
        <w:cs w:val="0"/>
      </w:rPr>
    </w:lvl>
    <w:lvl w:ilvl="4">
      <w:start w:val="1"/>
      <w:numFmt w:val="lowerLetter"/>
      <w:lvlText w:val="%5."/>
      <w:lvlJc w:val="left"/>
      <w:pPr>
        <w:tabs>
          <w:tab w:val="num" w:pos="3597"/>
        </w:tabs>
        <w:ind w:left="3597" w:hanging="360"/>
      </w:pPr>
      <w:rPr>
        <w:rFonts w:cs="Times New Roman"/>
        <w:rtl w:val="0"/>
        <w:cs w:val="0"/>
      </w:rPr>
    </w:lvl>
    <w:lvl w:ilvl="5">
      <w:start w:val="1"/>
      <w:numFmt w:val="lowerRoman"/>
      <w:lvlText w:val="%6."/>
      <w:lvlJc w:val="right"/>
      <w:pPr>
        <w:tabs>
          <w:tab w:val="num" w:pos="4317"/>
        </w:tabs>
        <w:ind w:left="4317" w:hanging="180"/>
      </w:pPr>
      <w:rPr>
        <w:rFonts w:cs="Times New Roman"/>
        <w:rtl w:val="0"/>
        <w:cs w:val="0"/>
      </w:rPr>
    </w:lvl>
    <w:lvl w:ilvl="6">
      <w:start w:val="1"/>
      <w:numFmt w:val="decimal"/>
      <w:lvlText w:val="%7."/>
      <w:lvlJc w:val="left"/>
      <w:pPr>
        <w:tabs>
          <w:tab w:val="num" w:pos="5037"/>
        </w:tabs>
        <w:ind w:left="5037" w:hanging="360"/>
      </w:pPr>
      <w:rPr>
        <w:rFonts w:cs="Times New Roman"/>
        <w:rtl w:val="0"/>
        <w:cs w:val="0"/>
      </w:rPr>
    </w:lvl>
    <w:lvl w:ilvl="7">
      <w:start w:val="1"/>
      <w:numFmt w:val="lowerLetter"/>
      <w:lvlText w:val="%8."/>
      <w:lvlJc w:val="left"/>
      <w:pPr>
        <w:tabs>
          <w:tab w:val="num" w:pos="5757"/>
        </w:tabs>
        <w:ind w:left="5757" w:hanging="360"/>
      </w:pPr>
      <w:rPr>
        <w:rFonts w:cs="Times New Roman"/>
        <w:rtl w:val="0"/>
        <w:cs w:val="0"/>
      </w:rPr>
    </w:lvl>
    <w:lvl w:ilvl="8">
      <w:start w:val="1"/>
      <w:numFmt w:val="lowerRoman"/>
      <w:lvlText w:val="%9."/>
      <w:lvlJc w:val="right"/>
      <w:pPr>
        <w:tabs>
          <w:tab w:val="num" w:pos="6477"/>
        </w:tabs>
        <w:ind w:left="6477" w:hanging="180"/>
      </w:pPr>
      <w:rPr>
        <w:rFonts w:cs="Times New Roman"/>
        <w:rtl w:val="0"/>
        <w:cs w:val="0"/>
      </w:rPr>
    </w:lvl>
  </w:abstractNum>
  <w:abstractNum w:abstractNumId="8">
    <w:nsid w:val="7E7947D1"/>
    <w:multiLevelType w:val="hybridMultilevel"/>
    <w:tmpl w:val="C8FC09E2"/>
    <w:lvl w:ilvl="0">
      <w:start w:val="1"/>
      <w:numFmt w:val="decimal"/>
      <w:pStyle w:val="Apato1"/>
      <w:lvlText w:val="%1."/>
      <w:lvlJc w:val="left"/>
      <w:pPr>
        <w:tabs>
          <w:tab w:val="num" w:pos="684"/>
        </w:tabs>
        <w:ind w:left="684" w:hanging="360"/>
      </w:pPr>
      <w:rPr>
        <w:rFonts w:cs="Times New Roman" w:hint="default"/>
        <w:rtl w:val="0"/>
        <w:cs w:val="0"/>
      </w:rPr>
    </w:lvl>
    <w:lvl w:ilvl="1">
      <w:start w:val="1"/>
      <w:numFmt w:val="lowerLetter"/>
      <w:lvlText w:val="%2."/>
      <w:lvlJc w:val="left"/>
      <w:pPr>
        <w:tabs>
          <w:tab w:val="num" w:pos="1404"/>
        </w:tabs>
        <w:ind w:left="1404" w:hanging="360"/>
      </w:pPr>
      <w:rPr>
        <w:rFonts w:cs="Times New Roman"/>
        <w:rtl w:val="0"/>
        <w:cs w:val="0"/>
      </w:rPr>
    </w:lvl>
    <w:lvl w:ilvl="2">
      <w:start w:val="1"/>
      <w:numFmt w:val="lowerRoman"/>
      <w:lvlText w:val="%3."/>
      <w:lvlJc w:val="right"/>
      <w:pPr>
        <w:tabs>
          <w:tab w:val="num" w:pos="2124"/>
        </w:tabs>
        <w:ind w:left="2124" w:hanging="180"/>
      </w:pPr>
      <w:rPr>
        <w:rFonts w:cs="Times New Roman"/>
        <w:rtl w:val="0"/>
        <w:cs w:val="0"/>
      </w:rPr>
    </w:lvl>
    <w:lvl w:ilvl="3">
      <w:start w:val="1"/>
      <w:numFmt w:val="decimal"/>
      <w:lvlText w:val="%4."/>
      <w:lvlJc w:val="left"/>
      <w:pPr>
        <w:tabs>
          <w:tab w:val="num" w:pos="2844"/>
        </w:tabs>
        <w:ind w:left="2844" w:hanging="360"/>
      </w:pPr>
      <w:rPr>
        <w:rFonts w:cs="Times New Roman"/>
        <w:rtl w:val="0"/>
        <w:cs w:val="0"/>
      </w:rPr>
    </w:lvl>
    <w:lvl w:ilvl="4">
      <w:start w:val="1"/>
      <w:numFmt w:val="lowerLetter"/>
      <w:lvlText w:val="%5."/>
      <w:lvlJc w:val="left"/>
      <w:pPr>
        <w:tabs>
          <w:tab w:val="num" w:pos="3564"/>
        </w:tabs>
        <w:ind w:left="3564" w:hanging="360"/>
      </w:pPr>
      <w:rPr>
        <w:rFonts w:cs="Times New Roman"/>
        <w:rtl w:val="0"/>
        <w:cs w:val="0"/>
      </w:rPr>
    </w:lvl>
    <w:lvl w:ilvl="5">
      <w:start w:val="1"/>
      <w:numFmt w:val="lowerRoman"/>
      <w:lvlText w:val="%6."/>
      <w:lvlJc w:val="right"/>
      <w:pPr>
        <w:tabs>
          <w:tab w:val="num" w:pos="4284"/>
        </w:tabs>
        <w:ind w:left="4284" w:hanging="180"/>
      </w:pPr>
      <w:rPr>
        <w:rFonts w:cs="Times New Roman"/>
        <w:rtl w:val="0"/>
        <w:cs w:val="0"/>
      </w:rPr>
    </w:lvl>
    <w:lvl w:ilvl="6">
      <w:start w:val="1"/>
      <w:numFmt w:val="decimal"/>
      <w:lvlText w:val="%7."/>
      <w:lvlJc w:val="left"/>
      <w:pPr>
        <w:tabs>
          <w:tab w:val="num" w:pos="5004"/>
        </w:tabs>
        <w:ind w:left="5004" w:hanging="360"/>
      </w:pPr>
      <w:rPr>
        <w:rFonts w:cs="Times New Roman"/>
        <w:rtl w:val="0"/>
        <w:cs w:val="0"/>
      </w:rPr>
    </w:lvl>
    <w:lvl w:ilvl="7">
      <w:start w:val="1"/>
      <w:numFmt w:val="lowerLetter"/>
      <w:lvlText w:val="%8."/>
      <w:lvlJc w:val="left"/>
      <w:pPr>
        <w:tabs>
          <w:tab w:val="num" w:pos="5724"/>
        </w:tabs>
        <w:ind w:left="5724" w:hanging="360"/>
      </w:pPr>
      <w:rPr>
        <w:rFonts w:cs="Times New Roman"/>
        <w:rtl w:val="0"/>
        <w:cs w:val="0"/>
      </w:rPr>
    </w:lvl>
    <w:lvl w:ilvl="8">
      <w:start w:val="1"/>
      <w:numFmt w:val="lowerRoman"/>
      <w:lvlText w:val="%9."/>
      <w:lvlJc w:val="right"/>
      <w:pPr>
        <w:tabs>
          <w:tab w:val="num" w:pos="6444"/>
        </w:tabs>
        <w:ind w:left="6444" w:hanging="180"/>
      </w:pPr>
      <w:rPr>
        <w:rFonts w:cs="Times New Roman"/>
        <w:rtl w:val="0"/>
        <w:cs w:val="0"/>
      </w:rPr>
    </w:lvl>
  </w:abstractNum>
  <w:num w:numId="1">
    <w:abstractNumId w:val="1"/>
  </w:num>
  <w:num w:numId="2">
    <w:abstractNumId w:val="2"/>
  </w:num>
  <w:num w:numId="3">
    <w:abstractNumId w:val="8"/>
  </w:num>
  <w:num w:numId="4">
    <w:abstractNumId w:val="6"/>
  </w:num>
  <w:num w:numId="5">
    <w:abstractNumId w:val="0"/>
  </w:num>
  <w:num w:numId="6">
    <w:abstractNumId w:val="3"/>
  </w:num>
  <w:num w:numId="7">
    <w:abstractNumId w:val="7"/>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860ED9"/>
    <w:rsid w:val="00022A1B"/>
    <w:rsid w:val="00041A34"/>
    <w:rsid w:val="000A5187"/>
    <w:rsid w:val="000F7EBB"/>
    <w:rsid w:val="00155159"/>
    <w:rsid w:val="001843F5"/>
    <w:rsid w:val="001C2B6E"/>
    <w:rsid w:val="001E1EA9"/>
    <w:rsid w:val="001F5274"/>
    <w:rsid w:val="00260F61"/>
    <w:rsid w:val="0037730B"/>
    <w:rsid w:val="003C381A"/>
    <w:rsid w:val="003D6E90"/>
    <w:rsid w:val="00440AE5"/>
    <w:rsid w:val="00457104"/>
    <w:rsid w:val="004A5CE3"/>
    <w:rsid w:val="00572514"/>
    <w:rsid w:val="005B42CB"/>
    <w:rsid w:val="006D24EC"/>
    <w:rsid w:val="006D3BBF"/>
    <w:rsid w:val="00776520"/>
    <w:rsid w:val="007F3A0C"/>
    <w:rsid w:val="00860ED9"/>
    <w:rsid w:val="00894196"/>
    <w:rsid w:val="008F409A"/>
    <w:rsid w:val="00900B4A"/>
    <w:rsid w:val="009252B9"/>
    <w:rsid w:val="00970E39"/>
    <w:rsid w:val="00995145"/>
    <w:rsid w:val="009D725E"/>
    <w:rsid w:val="00AB07E0"/>
    <w:rsid w:val="00AF6C8F"/>
    <w:rsid w:val="00DA5D3A"/>
    <w:rsid w:val="00E42F72"/>
    <w:rsid w:val="00E708BB"/>
    <w:rsid w:val="00FC2E6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ED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AB07E0"/>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qFormat/>
    <w:rsid w:val="00AB07E0"/>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AB07E0"/>
    <w:pPr>
      <w:keepNext/>
      <w:jc w:val="left"/>
      <w:outlineLvl w:val="2"/>
    </w:pPr>
    <w:rPr>
      <w:b/>
      <w:bCs/>
      <w:iCs/>
      <w:color w:val="99CC00"/>
      <w:u w:val="single"/>
    </w:rPr>
  </w:style>
  <w:style w:type="paragraph" w:styleId="Heading4">
    <w:name w:val="heading 4"/>
    <w:basedOn w:val="Normal"/>
    <w:next w:val="Normal"/>
    <w:qFormat/>
    <w:rsid w:val="00AB07E0"/>
    <w:pPr>
      <w:keepNext/>
      <w:ind w:left="360" w:hanging="360"/>
      <w:jc w:val="both"/>
      <w:outlineLvl w:val="3"/>
    </w:pPr>
    <w:rPr>
      <w:b/>
      <w:bCs/>
      <w:color w:val="0000FF"/>
      <w:u w:val="single"/>
    </w:rPr>
  </w:style>
  <w:style w:type="paragraph" w:styleId="Heading5">
    <w:name w:val="heading 5"/>
    <w:basedOn w:val="Normal"/>
    <w:next w:val="Normal"/>
    <w:qFormat/>
    <w:rsid w:val="00AB07E0"/>
    <w:pPr>
      <w:numPr>
        <w:ilvl w:val="4"/>
        <w:numId w:val="2"/>
      </w:numPr>
      <w:tabs>
        <w:tab w:val="num" w:pos="3240"/>
      </w:tabs>
      <w:spacing w:before="240" w:after="60"/>
      <w:ind w:left="2880"/>
      <w:jc w:val="left"/>
      <w:outlineLvl w:val="4"/>
    </w:pPr>
    <w:rPr>
      <w:b/>
      <w:bCs/>
      <w:i/>
      <w:iCs/>
      <w:sz w:val="26"/>
      <w:szCs w:val="26"/>
      <w:lang w:eastAsia="cs-CZ"/>
    </w:rPr>
  </w:style>
  <w:style w:type="paragraph" w:styleId="Heading6">
    <w:name w:val="heading 6"/>
    <w:basedOn w:val="Normal"/>
    <w:next w:val="Normal"/>
    <w:qFormat/>
    <w:rsid w:val="00AB07E0"/>
    <w:pPr>
      <w:numPr>
        <w:ilvl w:val="5"/>
        <w:numId w:val="2"/>
      </w:numPr>
      <w:tabs>
        <w:tab w:val="num" w:pos="3960"/>
      </w:tabs>
      <w:spacing w:before="240" w:after="60"/>
      <w:ind w:left="3600"/>
      <w:jc w:val="left"/>
      <w:outlineLvl w:val="5"/>
    </w:pPr>
    <w:rPr>
      <w:b/>
      <w:bCs/>
      <w:sz w:val="22"/>
      <w:szCs w:val="22"/>
      <w:lang w:eastAsia="cs-CZ"/>
    </w:rPr>
  </w:style>
  <w:style w:type="paragraph" w:styleId="Heading7">
    <w:name w:val="heading 7"/>
    <w:basedOn w:val="Normal"/>
    <w:next w:val="Normal"/>
    <w:qFormat/>
    <w:rsid w:val="00AB07E0"/>
    <w:pPr>
      <w:numPr>
        <w:ilvl w:val="6"/>
        <w:numId w:val="2"/>
      </w:numPr>
      <w:tabs>
        <w:tab w:val="num" w:pos="4680"/>
      </w:tabs>
      <w:spacing w:before="240" w:after="60"/>
      <w:ind w:left="4320"/>
      <w:jc w:val="left"/>
      <w:outlineLvl w:val="6"/>
    </w:pPr>
    <w:rPr>
      <w:lang w:eastAsia="cs-CZ"/>
    </w:rPr>
  </w:style>
  <w:style w:type="paragraph" w:styleId="Heading8">
    <w:name w:val="heading 8"/>
    <w:basedOn w:val="Normal"/>
    <w:next w:val="Normal"/>
    <w:qFormat/>
    <w:rsid w:val="00AB07E0"/>
    <w:pPr>
      <w:numPr>
        <w:ilvl w:val="7"/>
        <w:numId w:val="2"/>
      </w:numPr>
      <w:tabs>
        <w:tab w:val="num" w:pos="5400"/>
      </w:tabs>
      <w:spacing w:before="240" w:after="60"/>
      <w:ind w:left="5040"/>
      <w:jc w:val="left"/>
      <w:outlineLvl w:val="7"/>
    </w:pPr>
    <w:rPr>
      <w:i/>
      <w:iCs/>
      <w:lang w:eastAsia="cs-CZ"/>
    </w:rPr>
  </w:style>
  <w:style w:type="paragraph" w:styleId="Heading9">
    <w:name w:val="heading 9"/>
    <w:basedOn w:val="Normal"/>
    <w:next w:val="Normal"/>
    <w:qFormat/>
    <w:rsid w:val="00AB07E0"/>
    <w:pPr>
      <w:numPr>
        <w:ilvl w:val="8"/>
        <w:numId w:val="2"/>
      </w:numPr>
      <w:tabs>
        <w:tab w:val="num" w:pos="6120"/>
      </w:tabs>
      <w:spacing w:before="240" w:after="60"/>
      <w:ind w:left="5760"/>
      <w:jc w:val="left"/>
      <w:outlineLvl w:val="8"/>
    </w:pPr>
    <w:rPr>
      <w:rFonts w:ascii="Arial" w:hAnsi="Arial" w:cs="Arial"/>
      <w:sz w:val="22"/>
      <w:szCs w:val="22"/>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link w:val="BodyTextChar"/>
    <w:rsid w:val="00860ED9"/>
    <w:pPr>
      <w:spacing w:after="120"/>
      <w:jc w:val="left"/>
    </w:pPr>
  </w:style>
  <w:style w:type="character" w:customStyle="1" w:styleId="BodyTextChar">
    <w:name w:val="Body Text Char"/>
    <w:basedOn w:val="DefaultParagraphFont"/>
    <w:link w:val="BodyText"/>
    <w:semiHidden/>
    <w:locked/>
    <w:rsid w:val="00860ED9"/>
    <w:rPr>
      <w:rFonts w:cs="Times New Roman"/>
      <w:sz w:val="24"/>
      <w:szCs w:val="24"/>
      <w:rtl w:val="0"/>
      <w:cs w:val="0"/>
      <w:lang w:val="sk-SK" w:eastAsia="sk-SK" w:bidi="ar-SA"/>
    </w:rPr>
  </w:style>
  <w:style w:type="character" w:styleId="PlaceholderText">
    <w:name w:val="Placeholder Text"/>
    <w:basedOn w:val="DefaultParagraphFont"/>
    <w:semiHidden/>
    <w:rsid w:val="00860ED9"/>
    <w:rPr>
      <w:rFonts w:ascii="Times New Roman" w:hAnsi="Times New Roman" w:cs="Times New Roman"/>
      <w:color w:val="808080"/>
      <w:rtl w:val="0"/>
      <w:cs w:val="0"/>
    </w:rPr>
  </w:style>
  <w:style w:type="paragraph" w:styleId="NormalWeb">
    <w:name w:val="Normal (Web)"/>
    <w:basedOn w:val="Normal"/>
    <w:rsid w:val="00860ED9"/>
    <w:pPr>
      <w:spacing w:before="100" w:beforeAutospacing="1" w:after="100" w:afterAutospacing="1"/>
      <w:jc w:val="left"/>
    </w:pPr>
  </w:style>
  <w:style w:type="paragraph" w:styleId="BodyText2">
    <w:name w:val="Body Text 2"/>
    <w:basedOn w:val="Normal"/>
    <w:rsid w:val="00860ED9"/>
    <w:pPr>
      <w:spacing w:after="120" w:line="480" w:lineRule="auto"/>
      <w:jc w:val="left"/>
    </w:pPr>
  </w:style>
  <w:style w:type="character" w:customStyle="1" w:styleId="ZkladntextChar">
    <w:name w:val="Základný text Char"/>
    <w:basedOn w:val="DefaultParagraphFont"/>
    <w:semiHidden/>
    <w:locked/>
    <w:rsid w:val="00860ED9"/>
    <w:rPr>
      <w:rFonts w:cs="Times New Roman"/>
      <w:sz w:val="24"/>
      <w:szCs w:val="24"/>
      <w:rtl w:val="0"/>
      <w:cs w:val="0"/>
      <w:lang w:val="sk-SK" w:eastAsia="sk-SK" w:bidi="ar-SA"/>
    </w:rPr>
  </w:style>
  <w:style w:type="character" w:customStyle="1" w:styleId="textzstupnhosymbolu">
    <w:name w:val="textzstupnhosymbolu"/>
    <w:basedOn w:val="DefaultParagraphFont"/>
    <w:rsid w:val="00860ED9"/>
    <w:rPr>
      <w:rFonts w:cs="Times New Roman"/>
      <w:rtl w:val="0"/>
      <w:cs w:val="0"/>
    </w:rPr>
  </w:style>
  <w:style w:type="paragraph" w:styleId="BodyText3">
    <w:name w:val="Body Text 3"/>
    <w:basedOn w:val="Normal"/>
    <w:rsid w:val="008F409A"/>
    <w:pPr>
      <w:spacing w:after="120"/>
      <w:jc w:val="left"/>
    </w:pPr>
    <w:rPr>
      <w:sz w:val="16"/>
      <w:szCs w:val="16"/>
    </w:rPr>
  </w:style>
  <w:style w:type="paragraph" w:customStyle="1" w:styleId="CharCharCharCharCharCharChar">
    <w:name w:val="Char Char Char Char Char Char Char"/>
    <w:basedOn w:val="Normal"/>
    <w:rsid w:val="00AB07E0"/>
    <w:pPr>
      <w:spacing w:after="160" w:line="240" w:lineRule="exact"/>
      <w:jc w:val="left"/>
    </w:pPr>
    <w:rPr>
      <w:rFonts w:ascii="Arial" w:hAnsi="Arial"/>
      <w:sz w:val="20"/>
      <w:szCs w:val="20"/>
      <w:lang w:val="en-US" w:eastAsia="en-US"/>
    </w:rPr>
  </w:style>
  <w:style w:type="paragraph" w:customStyle="1" w:styleId="Char">
    <w:name w:val="Char"/>
    <w:basedOn w:val="Normal"/>
    <w:rsid w:val="00AB07E0"/>
    <w:pPr>
      <w:spacing w:after="160" w:line="240" w:lineRule="exact"/>
      <w:jc w:val="left"/>
    </w:pPr>
    <w:rPr>
      <w:rFonts w:ascii="Tahoma" w:hAnsi="Tahoma" w:cs="Tahoma"/>
      <w:sz w:val="20"/>
      <w:szCs w:val="20"/>
      <w:lang w:val="en-US" w:eastAsia="en-US"/>
    </w:rPr>
  </w:style>
  <w:style w:type="paragraph" w:customStyle="1" w:styleId="CharCharChar">
    <w:name w:val="Char Char Char"/>
    <w:basedOn w:val="Normal"/>
    <w:rsid w:val="00AB07E0"/>
    <w:pPr>
      <w:spacing w:after="160" w:line="240" w:lineRule="exact"/>
      <w:jc w:val="left"/>
    </w:pPr>
    <w:rPr>
      <w:rFonts w:ascii="Arial" w:hAnsi="Arial"/>
      <w:sz w:val="20"/>
      <w:szCs w:val="20"/>
      <w:lang w:val="en-US" w:eastAsia="en-US"/>
    </w:rPr>
  </w:style>
  <w:style w:type="paragraph" w:styleId="BlockText">
    <w:name w:val="Block Text"/>
    <w:basedOn w:val="Normal"/>
    <w:rsid w:val="00AB07E0"/>
    <w:pPr>
      <w:tabs>
        <w:tab w:val="num" w:pos="540"/>
      </w:tabs>
      <w:spacing w:line="360" w:lineRule="auto"/>
      <w:ind w:left="540" w:right="108"/>
      <w:jc w:val="both"/>
    </w:pPr>
    <w:rPr>
      <w:szCs w:val="12"/>
      <w:lang w:eastAsia="cs-CZ"/>
    </w:rPr>
  </w:style>
  <w:style w:type="paragraph" w:styleId="BodyTextIndent">
    <w:name w:val="Body Text Indent"/>
    <w:basedOn w:val="Normal"/>
    <w:link w:val="BodyTextIndentChar"/>
    <w:rsid w:val="00AB07E0"/>
    <w:pPr>
      <w:spacing w:after="120"/>
      <w:ind w:left="283"/>
      <w:jc w:val="left"/>
    </w:pPr>
    <w:rPr>
      <w:lang w:eastAsia="cs-CZ"/>
    </w:rPr>
  </w:style>
  <w:style w:type="character" w:customStyle="1" w:styleId="BodyTextIndentChar">
    <w:name w:val="Body Text Indent Char"/>
    <w:basedOn w:val="DefaultParagraphFont"/>
    <w:link w:val="BodyTextIndent"/>
    <w:locked/>
    <w:rsid w:val="00AB07E0"/>
    <w:rPr>
      <w:rFonts w:cs="Times New Roman"/>
      <w:sz w:val="24"/>
      <w:szCs w:val="24"/>
      <w:rtl w:val="0"/>
      <w:cs w:val="0"/>
      <w:lang w:val="sk-SK" w:eastAsia="cs-CZ" w:bidi="ar-SA"/>
    </w:rPr>
  </w:style>
  <w:style w:type="character" w:styleId="FootnoteReference">
    <w:name w:val="footnote reference"/>
    <w:basedOn w:val="DefaultParagraphFont"/>
    <w:semiHidden/>
    <w:rsid w:val="00AB07E0"/>
    <w:rPr>
      <w:rFonts w:cs="Times New Roman"/>
      <w:vertAlign w:val="superscript"/>
      <w:rtl w:val="0"/>
      <w:cs w:val="0"/>
    </w:rPr>
  </w:style>
  <w:style w:type="paragraph" w:styleId="FootnoteText">
    <w:name w:val="footnote text"/>
    <w:basedOn w:val="Normal"/>
    <w:semiHidden/>
    <w:rsid w:val="00AB07E0"/>
    <w:pPr>
      <w:jc w:val="left"/>
    </w:pPr>
    <w:rPr>
      <w:lang w:eastAsia="cs-CZ"/>
    </w:rPr>
  </w:style>
  <w:style w:type="paragraph" w:styleId="Header">
    <w:name w:val="header"/>
    <w:basedOn w:val="Normal"/>
    <w:link w:val="HeaderChar"/>
    <w:rsid w:val="00AB07E0"/>
    <w:pPr>
      <w:tabs>
        <w:tab w:val="center" w:pos="4536"/>
        <w:tab w:val="right" w:pos="9072"/>
      </w:tabs>
      <w:jc w:val="left"/>
    </w:pPr>
  </w:style>
  <w:style w:type="character" w:customStyle="1" w:styleId="HeaderChar">
    <w:name w:val="Header Char"/>
    <w:link w:val="Header"/>
    <w:locked/>
    <w:rsid w:val="00AB07E0"/>
    <w:rPr>
      <w:sz w:val="24"/>
      <w:lang w:val="sk-SK" w:eastAsia="sk-SK"/>
    </w:rPr>
  </w:style>
  <w:style w:type="paragraph" w:customStyle="1" w:styleId="Nadpis1orobas">
    <w:name w:val="Nadpis 1.Čo robí (časť)"/>
    <w:basedOn w:val="Normal"/>
    <w:next w:val="Nosite"/>
    <w:rsid w:val="00AB07E0"/>
    <w:pPr>
      <w:keepNext/>
      <w:numPr>
        <w:numId w:val="2"/>
      </w:numPr>
      <w:tabs>
        <w:tab w:val="num" w:pos="567"/>
      </w:tabs>
      <w:spacing w:before="360"/>
      <w:ind w:left="567" w:hanging="567"/>
      <w:jc w:val="left"/>
    </w:pPr>
    <w:rPr>
      <w:b/>
      <w:bCs/>
      <w:kern w:val="32"/>
      <w:sz w:val="28"/>
      <w:szCs w:val="28"/>
      <w:lang w:eastAsia="cs-CZ"/>
    </w:rPr>
  </w:style>
  <w:style w:type="paragraph" w:customStyle="1" w:styleId="Nosite">
    <w:name w:val="Nositeľ"/>
    <w:basedOn w:val="Zakladnystyl"/>
    <w:next w:val="Nadpis2loha"/>
    <w:rsid w:val="00AB07E0"/>
    <w:pPr>
      <w:numPr>
        <w:ilvl w:val="1"/>
      </w:numPr>
      <w:tabs>
        <w:tab w:val="clear" w:pos="1418"/>
      </w:tabs>
      <w:spacing w:before="240" w:after="120"/>
      <w:ind w:left="567" w:firstLine="0"/>
      <w:jc w:val="left"/>
    </w:pPr>
    <w:rPr>
      <w:b/>
      <w:bCs/>
    </w:rPr>
  </w:style>
  <w:style w:type="paragraph" w:customStyle="1" w:styleId="Zakladnystyl">
    <w:name w:val="Zakladny styl"/>
    <w:rsid w:val="00AB07E0"/>
    <w:pPr>
      <w:framePr w:wrap="auto"/>
      <w:widowControl/>
      <w:numPr>
        <w:ilvl w:val="2"/>
        <w:numId w:val="2"/>
      </w:numPr>
      <w:autoSpaceDE/>
      <w:autoSpaceDN/>
      <w:adjustRightInd/>
      <w:ind w:left="0" w:right="0"/>
      <w:jc w:val="left"/>
      <w:textAlignment w:val="auto"/>
    </w:pPr>
    <w:rPr>
      <w:rFonts w:cs="Times New Roman"/>
      <w:sz w:val="24"/>
      <w:szCs w:val="24"/>
      <w:rtl w:val="0"/>
      <w:cs w:val="0"/>
      <w:lang w:val="sk-SK" w:eastAsia="cs-CZ" w:bidi="ar-SA"/>
    </w:rPr>
  </w:style>
  <w:style w:type="paragraph" w:customStyle="1" w:styleId="Nadpis2loha">
    <w:name w:val="Nadpis 2.Úloha"/>
    <w:basedOn w:val="Normal"/>
    <w:rsid w:val="00AB07E0"/>
    <w:pPr>
      <w:numPr>
        <w:ilvl w:val="3"/>
        <w:numId w:val="2"/>
      </w:numPr>
      <w:tabs>
        <w:tab w:val="num" w:pos="851"/>
      </w:tabs>
      <w:spacing w:before="120"/>
      <w:ind w:left="851" w:hanging="851"/>
      <w:jc w:val="both"/>
    </w:pPr>
    <w:rPr>
      <w:lang w:eastAsia="cs-CZ"/>
    </w:rPr>
  </w:style>
  <w:style w:type="paragraph" w:customStyle="1" w:styleId="Nadpis3Podloha">
    <w:name w:val="Nadpis 3.Podúloha"/>
    <w:basedOn w:val="Normal"/>
    <w:rsid w:val="00AB07E0"/>
    <w:pPr>
      <w:keepNext/>
      <w:numPr>
        <w:ilvl w:val="2"/>
        <w:numId w:val="1"/>
      </w:numPr>
      <w:spacing w:before="120"/>
      <w:ind w:left="2269" w:hanging="180"/>
      <w:jc w:val="left"/>
    </w:pPr>
    <w:rPr>
      <w:lang w:eastAsia="cs-CZ"/>
    </w:rPr>
  </w:style>
  <w:style w:type="paragraph" w:customStyle="1" w:styleId="Nadpis4Termn">
    <w:name w:val="Nadpis 4.Termín"/>
    <w:basedOn w:val="Normal"/>
    <w:next w:val="Nadpis2loha"/>
    <w:rsid w:val="00AB07E0"/>
    <w:pPr>
      <w:numPr>
        <w:ilvl w:val="3"/>
        <w:numId w:val="1"/>
      </w:numPr>
      <w:spacing w:before="120" w:after="120"/>
      <w:ind w:left="3399" w:hanging="360"/>
      <w:jc w:val="left"/>
    </w:pPr>
    <w:rPr>
      <w:i/>
      <w:iCs/>
      <w:lang w:eastAsia="cs-CZ"/>
    </w:rPr>
  </w:style>
  <w:style w:type="paragraph" w:customStyle="1" w:styleId="Vlada">
    <w:name w:val="Vlada"/>
    <w:basedOn w:val="Normal"/>
    <w:rsid w:val="00AB07E0"/>
    <w:pPr>
      <w:spacing w:before="480" w:after="120"/>
      <w:jc w:val="left"/>
    </w:pPr>
    <w:rPr>
      <w:b/>
      <w:bCs/>
      <w:sz w:val="32"/>
      <w:szCs w:val="32"/>
      <w:lang w:eastAsia="cs-CZ"/>
    </w:rPr>
  </w:style>
  <w:style w:type="paragraph" w:styleId="BodyTextIndent3">
    <w:name w:val="Body Text Indent 3"/>
    <w:basedOn w:val="Normal"/>
    <w:rsid w:val="00AB07E0"/>
    <w:pPr>
      <w:spacing w:after="120"/>
      <w:ind w:left="283"/>
      <w:jc w:val="left"/>
    </w:pPr>
    <w:rPr>
      <w:sz w:val="16"/>
      <w:szCs w:val="16"/>
    </w:rPr>
  </w:style>
  <w:style w:type="paragraph" w:styleId="Footer">
    <w:name w:val="footer"/>
    <w:basedOn w:val="Normal"/>
    <w:link w:val="FooterChar"/>
    <w:rsid w:val="00AB07E0"/>
    <w:pPr>
      <w:tabs>
        <w:tab w:val="center" w:pos="4536"/>
        <w:tab w:val="right" w:pos="9072"/>
      </w:tabs>
      <w:jc w:val="left"/>
    </w:pPr>
  </w:style>
  <w:style w:type="character" w:customStyle="1" w:styleId="FooterChar">
    <w:name w:val="Footer Char"/>
    <w:link w:val="Footer"/>
    <w:locked/>
    <w:rsid w:val="00AB07E0"/>
    <w:rPr>
      <w:sz w:val="24"/>
      <w:lang w:val="sk-SK" w:eastAsia="sk-SK"/>
    </w:rPr>
  </w:style>
  <w:style w:type="character" w:styleId="PageNumber">
    <w:name w:val="page number"/>
    <w:basedOn w:val="DefaultParagraphFont"/>
    <w:rsid w:val="00AB07E0"/>
    <w:rPr>
      <w:rFonts w:cs="Times New Roman"/>
      <w:rtl w:val="0"/>
      <w:cs w:val="0"/>
    </w:rPr>
  </w:style>
  <w:style w:type="paragraph" w:styleId="BodyTextIndent2">
    <w:name w:val="Body Text Indent 2"/>
    <w:basedOn w:val="Normal"/>
    <w:rsid w:val="00AB07E0"/>
    <w:pPr>
      <w:ind w:left="340" w:firstLine="368"/>
      <w:jc w:val="both"/>
    </w:pPr>
    <w:rPr>
      <w:color w:val="99CC00"/>
    </w:rPr>
  </w:style>
  <w:style w:type="character" w:styleId="Strong">
    <w:name w:val="Strong"/>
    <w:basedOn w:val="DefaultParagraphFont"/>
    <w:qFormat/>
    <w:rsid w:val="00AB07E0"/>
    <w:rPr>
      <w:rFonts w:cs="Times New Roman"/>
      <w:b/>
      <w:bCs/>
      <w:rtl w:val="0"/>
      <w:cs w:val="0"/>
    </w:rPr>
  </w:style>
  <w:style w:type="paragraph" w:customStyle="1" w:styleId="Apato1">
    <w:name w:val="A_pato1"/>
    <w:basedOn w:val="Heading1"/>
    <w:next w:val="Normal"/>
    <w:autoRedefine/>
    <w:rsid w:val="00AB07E0"/>
    <w:pPr>
      <w:numPr>
        <w:numId w:val="3"/>
      </w:numPr>
      <w:tabs>
        <w:tab w:val="num" w:pos="684"/>
      </w:tabs>
      <w:spacing w:before="0" w:after="0"/>
      <w:ind w:left="684" w:hanging="360"/>
      <w:jc w:val="left"/>
    </w:pPr>
    <w:rPr>
      <w:rFonts w:ascii="Times New Roman" w:hAnsi="Times New Roman" w:cs="Times New Roman"/>
      <w:bCs w:val="0"/>
      <w:kern w:val="0"/>
      <w:sz w:val="24"/>
      <w:szCs w:val="20"/>
    </w:rPr>
  </w:style>
  <w:style w:type="character" w:styleId="Hyperlink">
    <w:name w:val="Hyperlink"/>
    <w:basedOn w:val="DefaultParagraphFont"/>
    <w:rsid w:val="00AB07E0"/>
    <w:rPr>
      <w:rFonts w:cs="Times New Roman"/>
      <w:color w:val="0000FF"/>
      <w:u w:val="single"/>
      <w:rtl w:val="0"/>
      <w:cs w:val="0"/>
    </w:rPr>
  </w:style>
  <w:style w:type="character" w:styleId="FollowedHyperlink">
    <w:name w:val="FollowedHyperlink"/>
    <w:basedOn w:val="DefaultParagraphFont"/>
    <w:rsid w:val="00AB07E0"/>
    <w:rPr>
      <w:rFonts w:cs="Times New Roman"/>
      <w:color w:val="606420"/>
      <w:u w:val="single"/>
      <w:rtl w:val="0"/>
      <w:cs w:val="0"/>
    </w:rPr>
  </w:style>
  <w:style w:type="paragraph" w:customStyle="1" w:styleId="CharCharCharChar">
    <w:name w:val="Char Char Char Char"/>
    <w:basedOn w:val="Normal"/>
    <w:rsid w:val="00AB07E0"/>
    <w:pPr>
      <w:spacing w:after="160" w:line="240" w:lineRule="exact"/>
      <w:jc w:val="left"/>
    </w:pPr>
    <w:rPr>
      <w:rFonts w:ascii="Arial" w:hAnsi="Arial"/>
      <w:sz w:val="20"/>
      <w:szCs w:val="20"/>
      <w:lang w:val="en-US" w:eastAsia="en-US"/>
    </w:rPr>
  </w:style>
  <w:style w:type="paragraph" w:customStyle="1" w:styleId="Char0">
    <w:name w:val="Char_0"/>
    <w:basedOn w:val="Normal"/>
    <w:rsid w:val="00AB07E0"/>
    <w:pPr>
      <w:spacing w:after="160" w:line="240" w:lineRule="exact"/>
      <w:jc w:val="left"/>
    </w:pPr>
    <w:rPr>
      <w:rFonts w:ascii="Tahoma" w:hAnsi="Tahoma"/>
      <w:sz w:val="20"/>
      <w:szCs w:val="20"/>
      <w:lang w:val="en-US" w:eastAsia="en-US"/>
    </w:rPr>
  </w:style>
  <w:style w:type="paragraph" w:customStyle="1" w:styleId="CharChar">
    <w:name w:val="Char Char"/>
    <w:basedOn w:val="Normal"/>
    <w:rsid w:val="00AB07E0"/>
    <w:pPr>
      <w:spacing w:after="160" w:line="240" w:lineRule="exact"/>
      <w:jc w:val="left"/>
    </w:pPr>
    <w:rPr>
      <w:rFonts w:ascii="Arial" w:hAnsi="Arial"/>
      <w:sz w:val="20"/>
      <w:szCs w:val="20"/>
      <w:lang w:val="en-US" w:eastAsia="en-US"/>
    </w:rPr>
  </w:style>
  <w:style w:type="paragraph" w:customStyle="1" w:styleId="Normlny">
    <w:name w:val="_Normálny"/>
    <w:basedOn w:val="Normal"/>
    <w:rsid w:val="00AB07E0"/>
    <w:pPr>
      <w:autoSpaceDE w:val="0"/>
      <w:autoSpaceDN w:val="0"/>
      <w:jc w:val="left"/>
    </w:pPr>
    <w:rPr>
      <w:sz w:val="20"/>
      <w:szCs w:val="20"/>
      <w:lang w:eastAsia="en-US"/>
    </w:rPr>
  </w:style>
  <w:style w:type="paragraph" w:customStyle="1" w:styleId="Odsekzoznamu">
    <w:name w:val="Odsek zoznamu"/>
    <w:basedOn w:val="Normal"/>
    <w:qFormat/>
    <w:rsid w:val="00AB07E0"/>
    <w:pPr>
      <w:spacing w:after="200" w:line="276" w:lineRule="auto"/>
      <w:ind w:left="720"/>
      <w:contextualSpacing/>
      <w:jc w:val="left"/>
    </w:pPr>
    <w:rPr>
      <w:rFonts w:ascii="Calibri" w:eastAsia="Calibri" w:hAnsi="Calibri"/>
      <w:sz w:val="22"/>
      <w:szCs w:val="22"/>
      <w:lang w:eastAsia="en-US"/>
    </w:rPr>
  </w:style>
  <w:style w:type="paragraph" w:customStyle="1" w:styleId="Bezriadkovania">
    <w:name w:val="Bez riadkovania"/>
    <w:qFormat/>
    <w:rsid w:val="00AB07E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PARA">
    <w:name w:val="PARA"/>
    <w:basedOn w:val="Normal"/>
    <w:next w:val="Normal"/>
    <w:rsid w:val="00AB07E0"/>
    <w:pPr>
      <w:keepNext/>
      <w:keepLines/>
      <w:tabs>
        <w:tab w:val="left" w:pos="680"/>
      </w:tabs>
      <w:autoSpaceDE w:val="0"/>
      <w:autoSpaceDN w:val="0"/>
      <w:spacing w:before="240" w:after="120"/>
      <w:jc w:val="center"/>
    </w:pPr>
    <w:rPr>
      <w:lang w:val="en-US"/>
    </w:rPr>
  </w:style>
  <w:style w:type="paragraph" w:customStyle="1" w:styleId="abc">
    <w:name w:val="abc"/>
    <w:basedOn w:val="Normal"/>
    <w:rsid w:val="00AB07E0"/>
    <w:pPr>
      <w:widowControl w:val="0"/>
      <w:tabs>
        <w:tab w:val="left" w:pos="360"/>
        <w:tab w:val="left" w:pos="680"/>
      </w:tabs>
      <w:autoSpaceDE w:val="0"/>
      <w:autoSpaceDN w:val="0"/>
      <w:jc w:val="both"/>
    </w:pPr>
    <w:rPr>
      <w:sz w:val="20"/>
      <w:szCs w:val="20"/>
      <w:lang w:eastAsia="en-US"/>
    </w:rPr>
  </w:style>
  <w:style w:type="paragraph" w:customStyle="1" w:styleId="CM4">
    <w:name w:val="CM4"/>
    <w:basedOn w:val="Normal"/>
    <w:next w:val="Normal"/>
    <w:rsid w:val="00AB07E0"/>
    <w:pPr>
      <w:autoSpaceDE w:val="0"/>
      <w:autoSpaceDN w:val="0"/>
      <w:adjustRightInd w:val="0"/>
      <w:jc w:val="left"/>
    </w:pPr>
    <w:rPr>
      <w:rFonts w:ascii="EUAlbertina" w:hAnsi="EUAlbertin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10</Pages>
  <Words>2885</Words>
  <Characters>16445</Characters>
  <Application>Microsoft Office Word</Application>
  <DocSecurity>0</DocSecurity>
  <Lines>0</Lines>
  <Paragraphs>0</Paragraphs>
  <ScaleCrop>false</ScaleCrop>
  <Company>MOSR</Company>
  <LinksUpToDate>false</LinksUpToDate>
  <CharactersWithSpaces>19292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ondrejcikovaj</dc:creator>
  <cp:lastModifiedBy>Gašparíková, Jarmila</cp:lastModifiedBy>
  <cp:revision>2</cp:revision>
  <cp:lastPrinted>2011-06-09T09:40:00Z</cp:lastPrinted>
  <dcterms:created xsi:type="dcterms:W3CDTF">2011-06-09T15:42:00Z</dcterms:created>
  <dcterms:modified xsi:type="dcterms:W3CDTF">2011-06-09T15:42:00Z</dcterms:modified>
</cp:coreProperties>
</file>