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114A" w:rsidP="0006114A">
      <w:pPr>
        <w:bidi w:val="0"/>
        <w:jc w:val="center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06114A" w:rsidP="0006114A">
      <w:pPr>
        <w:bidi w:val="0"/>
        <w:jc w:val="center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06114A" w:rsidP="0006114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06114A" w:rsidP="0006114A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2.1. Zhrnutie vplyvov na rozpočet verejnej správy v návrhu</w:t>
      </w:r>
    </w:p>
    <w:p w:rsidR="0006114A" w:rsidP="0006114A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9729" w:type="dxa"/>
        <w:tblCellMar>
          <w:left w:w="0" w:type="dxa"/>
          <w:right w:w="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bookmarkStart w:id="0" w:name="OLE_LINK1"/>
            <w:bookmarkEnd w:id="0"/>
            <w:r w:rsidRPr="00FE5285">
              <w:rPr>
                <w:rFonts w:ascii="Times New Roman" w:hAnsi="Times New Roman"/>
                <w:b/>
                <w:bCs/>
              </w:rPr>
              <w:t>Vplyvy na rozpočet verejnej správy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Vplyv na rozpočet verejnej správy (v eurách)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6114A" w:rsidRPr="00FE5285" w:rsidP="00BF60C5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</w:rPr>
            </w:pPr>
            <w:r w:rsidRPr="00FE5285" w:rsidR="00667A31"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FE5285" w:rsidR="00667A31">
              <w:rPr>
                <w:rFonts w:ascii="Times New Roman" w:hAnsi="Times New Roman"/>
                <w:b/>
                <w:bCs/>
              </w:rPr>
              <w:t>2013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FE5285" w:rsidR="00667A31">
              <w:rPr>
                <w:rFonts w:ascii="Times New Roman" w:hAnsi="Times New Roman"/>
                <w:b/>
                <w:bCs/>
              </w:rPr>
              <w:t>2014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FE5285" w:rsidR="00667A31">
              <w:rPr>
                <w:rFonts w:ascii="Times New Roman" w:hAnsi="Times New Roman"/>
                <w:b/>
                <w:bCs/>
              </w:rPr>
              <w:t>2015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32" w:lineRule="atLeas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91B7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 w:rsidR="00B91B7F">
              <w:rPr>
                <w:rFonts w:ascii="Times New Roman" w:hAnsi="Times New Roman"/>
                <w:b/>
                <w:bCs/>
              </w:rPr>
              <w:t>- 709 tis. eur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 w:rsidR="00B91B7F">
              <w:rPr>
                <w:rFonts w:ascii="Times New Roman" w:hAnsi="Times New Roman"/>
                <w:b/>
                <w:bCs/>
              </w:rPr>
              <w:t>- 709 tis. eur*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 w:rsidR="00B91B7F">
              <w:rPr>
                <w:rFonts w:ascii="Times New Roman" w:hAnsi="Times New Roman"/>
                <w:b/>
                <w:bCs/>
              </w:rPr>
              <w:t>-709 tis. eur*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FE5285" w:rsidP="00BF60C5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 w:rsidR="00B91B7F">
              <w:rPr>
                <w:rFonts w:ascii="Times New Roman" w:hAnsi="Times New Roman"/>
                <w:b/>
                <w:bCs/>
              </w:rPr>
              <w:t>- 709 tis. eur*</w:t>
            </w:r>
            <w:r w:rsidRPr="00FE5285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941C1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 xml:space="preserve">v tom: za 017 – program podpory rozvoja bývania kapitola MDVRR SR, </w:t>
            </w:r>
          </w:p>
          <w:p w:rsidR="00775C97" w:rsidRPr="00FE5285" w:rsidP="00941C1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>0170</w:t>
            </w:r>
            <w:r>
              <w:rPr>
                <w:rFonts w:ascii="Times New Roman" w:hAnsi="Times New Roman"/>
              </w:rPr>
              <w:t>7</w:t>
            </w:r>
            <w:r w:rsidRPr="00FE5285">
              <w:rPr>
                <w:rFonts w:ascii="Times New Roman" w:hAnsi="Times New Roman"/>
              </w:rPr>
              <w:t xml:space="preserve"> – štátny príspevok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775C97" w:rsidP="0012041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775C97">
              <w:rPr>
                <w:rFonts w:ascii="Times New Roman" w:hAnsi="Times New Roman"/>
                <w:bCs/>
              </w:rPr>
              <w:t>- 709 tis. eur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775C97" w:rsidP="0012041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775C97">
              <w:rPr>
                <w:rFonts w:ascii="Times New Roman" w:hAnsi="Times New Roman"/>
                <w:bCs/>
              </w:rPr>
              <w:t>- 709 tis. eur*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775C97" w:rsidP="0012041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775C97">
              <w:rPr>
                <w:rFonts w:ascii="Times New Roman" w:hAnsi="Times New Roman"/>
                <w:bCs/>
              </w:rPr>
              <w:t>-709 tis. eur*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775C97" w:rsidP="0012041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775C97">
              <w:rPr>
                <w:rFonts w:ascii="Times New Roman" w:hAnsi="Times New Roman"/>
                <w:bCs/>
              </w:rPr>
              <w:t xml:space="preserve">- 709 tis. eur* 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E4473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- 709 tis. eur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- 709 tis. eur*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- 709 tis. eur*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- 709 tis. eur*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  <w:r w:rsidRPr="00FE528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5C97" w:rsidRPr="00FE5285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E5285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775C97" w:rsidRPr="00FE5285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775C97" w:rsidRPr="00FE5285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775C97" w:rsidRPr="00FE5285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775C97" w:rsidRPr="00FE5285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775C97" w:rsidRPr="00FE5285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06114A" w:rsidRPr="00FE5285" w:rsidP="0006114A">
      <w:pPr>
        <w:bidi w:val="0"/>
        <w:rPr>
          <w:rFonts w:ascii="Times New Roman" w:hAnsi="Times New Roman"/>
        </w:rPr>
      </w:pPr>
      <w:r w:rsidRPr="00FE5285" w:rsidR="00667A31">
        <w:rPr>
          <w:rFonts w:ascii="Times New Roman" w:hAnsi="Times New Roman"/>
        </w:rPr>
        <w:t xml:space="preserve">* Zníženie výdavkov štátneho rozpočtu za uvedené roky </w:t>
      </w:r>
      <w:r w:rsidRPr="00FE5285" w:rsidR="00E21528">
        <w:rPr>
          <w:rFonts w:ascii="Times New Roman" w:hAnsi="Times New Roman"/>
        </w:rPr>
        <w:t>je</w:t>
      </w:r>
      <w:r w:rsidRPr="00FE5285" w:rsidR="00667A31">
        <w:rPr>
          <w:rFonts w:ascii="Times New Roman" w:hAnsi="Times New Roman"/>
        </w:rPr>
        <w:t xml:space="preserve"> určené v rovnakej výške za predpokladu, že vývoj základu pre výpočet </w:t>
      </w:r>
      <w:r w:rsidRPr="00FE5285" w:rsidR="00CA2D30">
        <w:rPr>
          <w:rFonts w:ascii="Times New Roman" w:hAnsi="Times New Roman"/>
        </w:rPr>
        <w:t>výšky štátneho príspevku zostane nemenný.</w:t>
      </w:r>
    </w:p>
    <w:p w:rsidR="00667A31" w:rsidRPr="00FE5285" w:rsidP="0006114A">
      <w:pPr>
        <w:bidi w:val="0"/>
        <w:rPr>
          <w:rFonts w:ascii="Times New Roman" w:hAnsi="Times New Roman"/>
        </w:rPr>
      </w:pPr>
    </w:p>
    <w:p w:rsidR="0006114A" w:rsidRPr="00FE5285" w:rsidP="0006114A">
      <w:pPr>
        <w:bidi w:val="0"/>
        <w:rPr>
          <w:rFonts w:ascii="Times New Roman" w:hAnsi="Times New Roman"/>
        </w:rPr>
      </w:pPr>
      <w:r w:rsidRPr="00FE5285">
        <w:rPr>
          <w:rFonts w:ascii="Times New Roman" w:hAnsi="Times New Roman"/>
          <w:b/>
          <w:bCs/>
        </w:rPr>
        <w:t>2.2. Financovanie návrhu</w:t>
      </w:r>
    </w:p>
    <w:p w:rsidR="0006114A" w:rsidRPr="00FE5285" w:rsidP="0006114A">
      <w:pPr>
        <w:bidi w:val="0"/>
        <w:jc w:val="right"/>
        <w:rPr>
          <w:rFonts w:ascii="Times New Roman" w:hAnsi="Times New Roman"/>
        </w:rPr>
      </w:pPr>
      <w:r w:rsidRPr="00FE5285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4161A1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6114A" w:rsidRPr="004161A1" w:rsidP="00BF60C5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="00CA2D30"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="00CA2D30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="00CA2D30"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="00CA2D30">
              <w:rPr>
                <w:rFonts w:ascii="Times New Roman" w:hAnsi="Times New Roman"/>
                <w:b/>
                <w:bCs/>
                <w:color w:val="FFFFFF"/>
              </w:rPr>
              <w:t>2</w:t>
            </w:r>
            <w:r w:rsidR="009841C0">
              <w:rPr>
                <w:rFonts w:ascii="Times New Roman" w:hAnsi="Times New Roman"/>
                <w:b/>
                <w:bCs/>
                <w:color w:val="FFFFFF"/>
              </w:rPr>
              <w:t>015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z toho vplyv na ŠR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151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financovanie zabezpečené v rozpočte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13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ostatné zdroje financovania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114A" w:rsidRPr="004161A1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114A" w:rsidRPr="004161A1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114A" w:rsidRPr="004161A1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114A" w:rsidRPr="004161A1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114A" w:rsidRPr="004161A1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06114A" w:rsidP="0006114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06114A" w:rsidP="0006114A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06114A" w:rsidP="0006114A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06114A" w:rsidP="000611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06114A" w:rsidP="000611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06114A" w:rsidP="000611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 </w:t>
      </w:r>
    </w:p>
    <w:p w:rsidR="0006114A" w:rsidP="000611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06114A" w:rsidP="000611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</w:p>
    <w:p w:rsidR="0006114A" w:rsidP="0006114A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 Popis a charakteristika návrhu</w:t>
      </w:r>
    </w:p>
    <w:p w:rsidR="0006114A" w:rsidP="0006114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06114A" w:rsidP="0006114A">
      <w:pPr>
        <w:bidi w:val="0"/>
        <w:jc w:val="both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2.3.1. Popis návrhu:</w:t>
      </w:r>
    </w:p>
    <w:p w:rsidR="0006114A" w:rsidP="0006114A">
      <w:pPr>
        <w:bidi w:val="0"/>
        <w:jc w:val="both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06114A" w:rsidP="0006114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Akú problematiku návrhu rieši? Kto bude návrh implementovať? Kde sa budú služby poskytovať?</w:t>
      </w:r>
    </w:p>
    <w:p w:rsidR="0006114A" w:rsidP="0006114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D22D6" w:rsidRPr="00FE5285" w:rsidP="005D22D6">
      <w:pPr>
        <w:bidi w:val="0"/>
        <w:jc w:val="both"/>
        <w:rPr>
          <w:rFonts w:ascii="Times New Roman" w:hAnsi="Times New Roman"/>
        </w:rPr>
      </w:pPr>
      <w:r w:rsidRPr="00FE5285">
        <w:rPr>
          <w:rFonts w:ascii="Times New Roman" w:hAnsi="Times New Roman"/>
        </w:rPr>
        <w:t xml:space="preserve">Predmetom navrhovanej novely zákona o bankách je okrem iného umožnenie „prenosu“ štátneho príspevku, priznaného pred 1. júlom 2003 na pôvodný hypotekárny úver a ktorý je garantovaný po celú dobu splatnosti hypotekárneho úveru, aj na nový hypotekárny úver poskytnutý po 1. januári 2012, ktorým sa splatí pôvodný hypotekárny úver. </w:t>
      </w:r>
      <w:r w:rsidRPr="00FE5285" w:rsidR="008E66E0">
        <w:rPr>
          <w:rFonts w:ascii="Times New Roman" w:hAnsi="Times New Roman"/>
        </w:rPr>
        <w:t xml:space="preserve">Práve tieto hypotekárne úvery s garantovanou výškou štátneho príspevku majú najvyššie úrokové sadzby, ktoré klienti museli a musia akceptovať, ak nechcú stratiť nárok na priznaný štátny príspevok. Možnosť prenosu štátneho príspevku v pôvodnej výške na nový hypotekárny úver bude viesť k lepšej vyjednávacej pozícii klienta pri rokovaní s hypotekárnymi bankami pri refixácii a takisto napomôže </w:t>
      </w:r>
      <w:r w:rsidRPr="00FE5285">
        <w:rPr>
          <w:rFonts w:ascii="Times New Roman" w:hAnsi="Times New Roman"/>
        </w:rPr>
        <w:t>zvýšeniu mobility klientov</w:t>
      </w:r>
      <w:r w:rsidRPr="00FE5285" w:rsidR="008E66E0">
        <w:rPr>
          <w:rFonts w:ascii="Times New Roman" w:hAnsi="Times New Roman"/>
        </w:rPr>
        <w:t xml:space="preserve">, čím sa podporí konkurenčné prostredie </w:t>
      </w:r>
      <w:r w:rsidRPr="00FE5285">
        <w:rPr>
          <w:rFonts w:ascii="Times New Roman" w:hAnsi="Times New Roman"/>
        </w:rPr>
        <w:t>na trhu hypotekárnych úverov</w:t>
      </w:r>
      <w:r w:rsidRPr="00FE5285" w:rsidR="008E66E0">
        <w:rPr>
          <w:rFonts w:ascii="Times New Roman" w:hAnsi="Times New Roman"/>
        </w:rPr>
        <w:t xml:space="preserve">. </w:t>
      </w:r>
      <w:r w:rsidRPr="00FE5285" w:rsidR="00E55EBB">
        <w:rPr>
          <w:rFonts w:ascii="Times New Roman" w:hAnsi="Times New Roman"/>
        </w:rPr>
        <w:t>Zároveň zníženie úrokovej sadzby pri týchto úveroch</w:t>
      </w:r>
      <w:r w:rsidRPr="00FE5285">
        <w:rPr>
          <w:rFonts w:ascii="Times New Roman" w:hAnsi="Times New Roman"/>
        </w:rPr>
        <w:t xml:space="preserve"> bude znamenať zníženie nárokov na štátny rozpočet počnúc rokom 2012.</w:t>
      </w:r>
    </w:p>
    <w:p w:rsidR="0006114A" w:rsidRPr="00FE5285" w:rsidP="0006114A">
      <w:pPr>
        <w:bidi w:val="0"/>
        <w:rPr>
          <w:rFonts w:ascii="Times New Roman" w:hAnsi="Times New Roman"/>
        </w:rPr>
      </w:pPr>
      <w:r w:rsidRPr="00FE5285">
        <w:rPr>
          <w:rFonts w:ascii="Times New Roman" w:hAnsi="Times New Roman"/>
        </w:rPr>
        <w:t> </w:t>
      </w:r>
    </w:p>
    <w:p w:rsidR="0006114A" w:rsidRPr="00FE5285" w:rsidP="0006114A">
      <w:pPr>
        <w:bidi w:val="0"/>
        <w:rPr>
          <w:rFonts w:ascii="Times New Roman" w:hAnsi="Times New Roman"/>
        </w:rPr>
      </w:pPr>
      <w:r w:rsidRPr="00FE5285">
        <w:rPr>
          <w:rFonts w:ascii="Times New Roman" w:hAnsi="Times New Roman"/>
          <w:b/>
          <w:bCs/>
        </w:rPr>
        <w:t>2.3.2. Charakteristika návrhu podľa bodu  2.3.2. Metodiky :</w:t>
      </w:r>
    </w:p>
    <w:p w:rsidR="0006114A" w:rsidRPr="00FE5285" w:rsidP="0006114A">
      <w:pPr>
        <w:bidi w:val="0"/>
        <w:rPr>
          <w:rFonts w:ascii="Times New Roman" w:hAnsi="Times New Roman"/>
        </w:rPr>
      </w:pPr>
      <w:r w:rsidRPr="00FE5285">
        <w:rPr>
          <w:rFonts w:ascii="Times New Roman" w:hAnsi="Times New Roman"/>
        </w:rPr>
        <w:t> </w:t>
      </w:r>
    </w:p>
    <w:p w:rsidR="0006114A" w:rsidRPr="00FE5285" w:rsidP="0006114A">
      <w:pPr>
        <w:bidi w:val="0"/>
        <w:rPr>
          <w:rFonts w:ascii="Times New Roman" w:hAnsi="Times New Roman"/>
        </w:rPr>
      </w:pPr>
      <w:r w:rsidRPr="00FE5285">
        <w:rPr>
          <w:rFonts w:ascii="Times New Roman" w:hAnsi="Times New Roman"/>
          <w:b/>
          <w:bCs/>
          <w:bdr w:val="single" w:sz="4" w:space="0" w:color="000000" w:frame="1"/>
        </w:rPr>
        <w:t xml:space="preserve">     </w:t>
      </w:r>
      <w:r w:rsidRPr="00FE5285">
        <w:rPr>
          <w:rFonts w:ascii="Times New Roman" w:hAnsi="Times New Roman"/>
          <w:b/>
          <w:bCs/>
        </w:rPr>
        <w:t xml:space="preserve">  </w:t>
      </w:r>
      <w:r w:rsidRPr="00FE5285">
        <w:rPr>
          <w:rFonts w:ascii="Times New Roman" w:hAnsi="Times New Roman"/>
        </w:rPr>
        <w:t>zmena sadzby</w:t>
      </w:r>
    </w:p>
    <w:p w:rsidR="0006114A" w:rsidRPr="00FE5285" w:rsidP="0006114A">
      <w:pPr>
        <w:bidi w:val="0"/>
        <w:rPr>
          <w:rFonts w:ascii="Times New Roman" w:hAnsi="Times New Roman"/>
        </w:rPr>
      </w:pPr>
      <w:r w:rsidRPr="00FE5285" w:rsidR="009841C0">
        <w:rPr>
          <w:rFonts w:ascii="Times New Roman" w:hAnsi="Times New Roman"/>
          <w:bdr w:val="single" w:sz="4" w:space="0" w:color="000000" w:frame="1"/>
        </w:rPr>
        <w:t xml:space="preserve"> x  </w:t>
      </w:r>
      <w:r w:rsidRPr="00FE5285">
        <w:rPr>
          <w:rFonts w:ascii="Times New Roman" w:hAnsi="Times New Roman"/>
        </w:rPr>
        <w:t>  zmena v nároku</w:t>
      </w:r>
    </w:p>
    <w:p w:rsidR="0006114A" w:rsidRPr="00FE5285" w:rsidP="0006114A">
      <w:pPr>
        <w:bidi w:val="0"/>
        <w:rPr>
          <w:rFonts w:ascii="Times New Roman" w:hAnsi="Times New Roman"/>
        </w:rPr>
      </w:pPr>
      <w:r w:rsidRPr="00FE5285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FE5285">
        <w:rPr>
          <w:rFonts w:ascii="Times New Roman" w:hAnsi="Times New Roman"/>
        </w:rPr>
        <w:t>  nová služba alebo nariadenie (alebo ich zrušenie)</w:t>
      </w:r>
    </w:p>
    <w:p w:rsidR="0006114A" w:rsidRPr="00FE5285" w:rsidP="0006114A">
      <w:pPr>
        <w:bidi w:val="0"/>
        <w:rPr>
          <w:rFonts w:ascii="Times New Roman" w:hAnsi="Times New Roman"/>
        </w:rPr>
      </w:pPr>
      <w:r w:rsidRPr="00FE5285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FE5285">
        <w:rPr>
          <w:rFonts w:ascii="Times New Roman" w:hAnsi="Times New Roman"/>
        </w:rPr>
        <w:t>  kombinovaný návrh</w:t>
      </w:r>
    </w:p>
    <w:p w:rsidR="0006114A" w:rsidRPr="00FE5285" w:rsidP="0006114A">
      <w:pPr>
        <w:bidi w:val="0"/>
        <w:rPr>
          <w:rFonts w:ascii="Times New Roman" w:hAnsi="Times New Roman"/>
        </w:rPr>
      </w:pPr>
      <w:r w:rsidRPr="00FE5285">
        <w:rPr>
          <w:rFonts w:ascii="Times New Roman" w:hAnsi="Times New Roman"/>
          <w:bdr w:val="single" w:sz="4" w:space="0" w:color="000000" w:frame="1"/>
        </w:rPr>
        <w:t>  </w:t>
      </w:r>
      <w:r w:rsidRPr="00FE5285" w:rsidR="00400E97">
        <w:rPr>
          <w:rFonts w:ascii="Times New Roman" w:hAnsi="Times New Roman"/>
          <w:bdr w:val="single" w:sz="4" w:space="0" w:color="000000" w:frame="1"/>
        </w:rPr>
        <w:t xml:space="preserve">   </w:t>
      </w:r>
      <w:r w:rsidRPr="00FE5285">
        <w:rPr>
          <w:rFonts w:ascii="Times New Roman" w:hAnsi="Times New Roman"/>
        </w:rPr>
        <w:t xml:space="preserve">  iné </w:t>
      </w:r>
    </w:p>
    <w:p w:rsidR="0006114A" w:rsidRPr="00FE5285" w:rsidP="0006114A">
      <w:pPr>
        <w:bidi w:val="0"/>
        <w:rPr>
          <w:rFonts w:ascii="Times New Roman" w:hAnsi="Times New Roman"/>
        </w:rPr>
      </w:pPr>
      <w:r w:rsidRPr="00FE5285">
        <w:rPr>
          <w:rFonts w:ascii="Times New Roman" w:hAnsi="Times New Roman"/>
        </w:rPr>
        <w:t> </w:t>
      </w:r>
    </w:p>
    <w:p w:rsidR="0006114A" w:rsidP="0006114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06114A" w:rsidP="0006114A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2.3.3. Predpoklady vývoja objemu aktivít:</w:t>
      </w:r>
    </w:p>
    <w:p w:rsidR="0006114A" w:rsidP="0006114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06114A" w:rsidP="0006114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Jasne popíšte, v prípade potreby použite nižšie uvedenú tabuľku. Uveďte aj odhady základov daní a/alebo poplatkov, ak sa ich táto zmena týka.</w:t>
      </w:r>
    </w:p>
    <w:p w:rsidR="0006114A" w:rsidP="0006114A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6114A" w:rsidRPr="004161A1" w:rsidP="00BF60C5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="00400E97">
              <w:rPr>
                <w:rFonts w:ascii="Times New Roman" w:hAnsi="Times New Roman"/>
                <w:b/>
                <w:bCs/>
                <w:color w:val="FFFFFF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06114A" w:rsidRPr="004161A1" w:rsidP="00BF60C5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6114A" w:rsidRPr="004161A1" w:rsidP="00400E9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="00400E97">
              <w:rPr>
                <w:rFonts w:ascii="Times New Roman" w:hAnsi="Times New Roman"/>
                <w:color w:val="000000"/>
              </w:rPr>
              <w:t>Počet zmlúv o hypotekárnom úvere s garantovanou výškou štátneho príspevku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="00400E97">
              <w:rPr>
                <w:rFonts w:ascii="Times New Roman" w:hAnsi="Times New Roman"/>
                <w:color w:val="000000"/>
              </w:rPr>
              <w:t>20 600 zmlúv</w:t>
            </w: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6114A" w:rsidRPr="004161A1" w:rsidP="00BF60C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="00400E97">
              <w:rPr>
                <w:rFonts w:ascii="Times New Roman" w:hAnsi="Times New Roman"/>
                <w:color w:val="000000"/>
              </w:rPr>
              <w:t>Pri 10 % týchto zmlúv dôjde k zníženiu úrokovej sadzby na hodnotu 5,4%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="00400E97">
              <w:rPr>
                <w:rFonts w:ascii="Times New Roman" w:hAnsi="Times New Roman"/>
                <w:color w:val="000000"/>
              </w:rPr>
              <w:t>2 060 zmlúv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6114A" w:rsidRPr="004161A1" w:rsidP="00BF60C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="00400E97">
              <w:rPr>
                <w:rFonts w:ascii="Times New Roman" w:hAnsi="Times New Roman"/>
                <w:color w:val="000000"/>
              </w:rPr>
              <w:t>Úspora prostriedkov zo štátneho rozpočtu na týchto zmluvách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="00400E97">
              <w:rPr>
                <w:rFonts w:ascii="Times New Roman" w:hAnsi="Times New Roman"/>
                <w:color w:val="000000"/>
              </w:rPr>
              <w:t>709 tis. eur</w:t>
            </w: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6114A" w:rsidRPr="004161A1" w:rsidP="00BF60C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114A" w:rsidRPr="004161A1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114A" w:rsidRPr="004161A1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114A" w:rsidRPr="004161A1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114A" w:rsidRPr="004161A1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114A" w:rsidRPr="004161A1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06114A" w:rsidP="0006114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06114A" w:rsidP="0006114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06114A" w:rsidP="0006114A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2.3.4. Výpočty vplyvov na verejné financie</w:t>
      </w:r>
    </w:p>
    <w:p w:rsidR="0006114A" w:rsidP="0006114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06114A" w:rsidP="0006114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06114A" w:rsidP="0006114A">
      <w:pPr>
        <w:bidi w:val="0"/>
        <w:jc w:val="both"/>
        <w:rPr>
          <w:rFonts w:ascii="Times New Roman" w:hAnsi="Times New Roman"/>
        </w:rPr>
      </w:pPr>
    </w:p>
    <w:p w:rsidR="0018343B" w:rsidRPr="008515A6" w:rsidP="0018343B">
      <w:pPr>
        <w:pStyle w:val="BodyText2"/>
        <w:tabs>
          <w:tab w:val="left" w:pos="0"/>
        </w:tabs>
        <w:bidi w:val="0"/>
        <w:rPr>
          <w:rFonts w:ascii="Times New Roman" w:hAnsi="Times New Roman"/>
          <w:szCs w:val="24"/>
        </w:rPr>
      </w:pPr>
      <w:r w:rsidRPr="008515A6">
        <w:rPr>
          <w:rFonts w:ascii="Times New Roman" w:hAnsi="Times New Roman"/>
          <w:szCs w:val="24"/>
        </w:rPr>
        <w:t>Ku koncu roka 2010 bolo evidovaných 20 600 zmlúv o hypotekárnom úvere so štátnym príspevkom, ktorý je garantovaný po celú dobu splatnosti hypotekárneho úveru. Mesačné výdavky zo štátneho rozpočtu na tieto úvery boli v roku 2010 okolo 984,749 tis. eur. V prípade, ak by sa pri 10% z celkového počtu hypotekárnych úverov s garantovanou výškou štátneho príspevku vplyvom prenosu štátneho príspevku znížila úroková sadzba na hodnotu 5,4% (priemerná úroková sadzba z novoposkytnutých úverov na bývanie pri fixácii 1 až 10 rokov), ročné úspory štátneho rozpočtu by sa pohybovali okolo 709 tis. eur.</w:t>
      </w:r>
    </w:p>
    <w:p w:rsidR="0018343B" w:rsidP="0006114A">
      <w:pPr>
        <w:bidi w:val="0"/>
        <w:jc w:val="both"/>
        <w:rPr>
          <w:rFonts w:ascii="Times New Roman" w:hAnsi="Times New Roman"/>
        </w:rPr>
      </w:pPr>
    </w:p>
    <w:p w:rsidR="0018343B" w:rsidP="0006114A">
      <w:pPr>
        <w:bidi w:val="0"/>
        <w:jc w:val="both"/>
        <w:rPr>
          <w:rFonts w:ascii="Times New Roman" w:hAnsi="Times New Roman"/>
        </w:rPr>
      </w:pPr>
    </w:p>
    <w:p w:rsidR="0006114A">
      <w:pPr>
        <w:bidi w:val="0"/>
        <w:rPr>
          <w:rFonts w:ascii="Times New Roman" w:hAnsi="Times New Roman"/>
        </w:rPr>
      </w:pPr>
    </w:p>
    <w:p w:rsidR="00C07DB5">
      <w:pPr>
        <w:bidi w:val="0"/>
        <w:rPr>
          <w:rFonts w:ascii="Times New Roman" w:hAnsi="Times New Roman"/>
        </w:rPr>
        <w:sectPr w:rsidSect="00517D38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C07DB5" w:rsidP="00C07DB5">
      <w:pPr>
        <w:pStyle w:val="NormalWeb"/>
        <w:bidi w:val="0"/>
        <w:spacing w:before="0" w:beforeAutospacing="0" w:after="0" w:afterAutospac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Tabuľka č. 4 </w:t>
      </w:r>
    </w:p>
    <w:tbl>
      <w:tblPr>
        <w:tblStyle w:val="TableNormal"/>
        <w:tblW w:w="13950" w:type="dxa"/>
        <w:tblCellMar>
          <w:left w:w="0" w:type="dxa"/>
          <w:right w:w="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/>
                <w:bCs/>
                <w:color w:val="FFFFFF"/>
              </w:rPr>
              <w:t>Príjmy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C07DB5" w:rsidP="00BF60C5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C07DB5" w:rsidP="00BF60C5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Daňové príjmy (100)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Nedaňové príjmy (200)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Granty a transfery (300)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07DB5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07DB5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07DB5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07DB5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07DB5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07DB5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C07DB5" w:rsidP="00C07DB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–  príjmy rozpísať až do položiek platnej ekonomickej klasifikácie    </w:t>
      </w:r>
    </w:p>
    <w:p w:rsidR="00C07DB5" w:rsidP="00C07DB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Tabuľka č. 5 </w:t>
      </w:r>
    </w:p>
    <w:tbl>
      <w:tblPr>
        <w:tblStyle w:val="TableNormal"/>
        <w:tblW w:w="15008" w:type="dxa"/>
        <w:tblInd w:w="-781" w:type="dxa"/>
        <w:tblCellMar>
          <w:left w:w="0" w:type="dxa"/>
          <w:right w:w="0" w:type="dxa"/>
        </w:tblCellMar>
      </w:tblPr>
      <w:tblGrid>
        <w:gridCol w:w="6628"/>
        <w:gridCol w:w="1540"/>
        <w:gridCol w:w="1540"/>
        <w:gridCol w:w="1540"/>
        <w:gridCol w:w="1540"/>
        <w:gridCol w:w="2220"/>
      </w:tblGrid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6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C07DB5" w:rsidP="00BF60C5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RPr="009D10C2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10C2" w:rsidR="009D10C2">
              <w:rPr>
                <w:rFonts w:ascii="Times New Roman" w:hAnsi="Times New Roman"/>
                <w:b/>
                <w:sz w:val="20"/>
                <w:szCs w:val="20"/>
              </w:rPr>
              <w:t>2012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9D10C2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2013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9D10C2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RPr="009D10C2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0C2" w:rsidR="009D10C2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C07DB5" w:rsidP="00BF60C5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Tovary a služby (630)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1C13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="00C07DB5">
              <w:rPr>
                <w:rFonts w:ascii="Times New Roman" w:hAnsi="Times New Roman"/>
                <w:sz w:val="20"/>
                <w:szCs w:val="20"/>
              </w:rPr>
              <w:t>  Bežné transfery (640)</w:t>
            </w:r>
            <w:r w:rsidR="00FE5285">
              <w:rPr>
                <w:rFonts w:ascii="Times New Roman" w:hAnsi="Times New Roman"/>
                <w:sz w:val="13"/>
                <w:szCs w:val="13"/>
                <w:vertAlign w:val="superscript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7DB5" w:rsidP="00FE528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2537EB">
              <w:rPr>
                <w:rFonts w:ascii="Times New Roman" w:hAnsi="Times New Roman"/>
                <w:sz w:val="20"/>
                <w:szCs w:val="20"/>
              </w:rPr>
              <w:t xml:space="preserve">      Bežné transfery j</w:t>
            </w:r>
            <w:r w:rsidR="00941C13">
              <w:rPr>
                <w:rFonts w:ascii="Times New Roman" w:hAnsi="Times New Roman"/>
                <w:sz w:val="20"/>
                <w:szCs w:val="20"/>
              </w:rPr>
              <w:t xml:space="preserve">ednotlivcom </w:t>
            </w:r>
            <w:r w:rsidR="00FE5285">
              <w:rPr>
                <w:rFonts w:ascii="Times New Roman" w:hAnsi="Times New Roman"/>
                <w:sz w:val="20"/>
                <w:szCs w:val="20"/>
              </w:rPr>
              <w:t>(</w:t>
            </w:r>
            <w:r w:rsidR="00941C13">
              <w:rPr>
                <w:rFonts w:ascii="Times New Roman" w:hAnsi="Times New Roman"/>
                <w:sz w:val="20"/>
                <w:szCs w:val="20"/>
              </w:rPr>
              <w:t>642</w:t>
            </w:r>
            <w:r w:rsidR="00FE5285">
              <w:rPr>
                <w:rFonts w:ascii="Times New Roman" w:hAnsi="Times New Roman"/>
                <w:sz w:val="20"/>
                <w:szCs w:val="20"/>
              </w:rPr>
              <w:t> </w:t>
            </w:r>
            <w:r w:rsidR="00941C13">
              <w:rPr>
                <w:rFonts w:ascii="Times New Roman" w:hAnsi="Times New Roman"/>
                <w:sz w:val="20"/>
                <w:szCs w:val="20"/>
              </w:rPr>
              <w:t>014</w:t>
            </w:r>
            <w:r w:rsidR="00FE52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941C13">
              <w:rPr>
                <w:rFonts w:ascii="Times New Roman" w:hAnsi="Times New Roman"/>
              </w:rPr>
              <w:t>- 709 tis. eur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FE5285">
              <w:rPr>
                <w:rFonts w:ascii="Times New Roman" w:hAnsi="Times New Roman"/>
              </w:rPr>
              <w:t>- 709 tis. eur</w:t>
            </w:r>
            <w:r w:rsidR="00E4473B">
              <w:rPr>
                <w:rFonts w:ascii="Times New Roman" w:hAnsi="Times New Roman"/>
              </w:rPr>
              <w:t>*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FE5285">
              <w:rPr>
                <w:rFonts w:ascii="Times New Roman" w:hAnsi="Times New Roman"/>
              </w:rPr>
              <w:t>- 709 tis. eur</w:t>
            </w:r>
            <w:r w:rsidR="00E4473B">
              <w:rPr>
                <w:rFonts w:ascii="Times New Roman" w:hAnsi="Times New Roman"/>
              </w:rPr>
              <w:t>*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FE5285">
              <w:rPr>
                <w:rFonts w:ascii="Times New Roman" w:hAnsi="Times New Roman"/>
              </w:rPr>
              <w:t>- 709 tis. eur</w:t>
            </w:r>
            <w:r w:rsidR="00E4473B">
              <w:rPr>
                <w:rFonts w:ascii="Times New Roman" w:hAnsi="Times New Roman"/>
              </w:rPr>
              <w:t>*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Splácanie úrokov a ostatné platby súvisiace s úvermi, pôžičkami a NFV (650)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Obstarávanie kapitálových aktív (710)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Kapitálové transfery (720)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07DB5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 z toho výdavky na ŠR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- 709 tis. eur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FE5285">
              <w:rPr>
                <w:rFonts w:ascii="Times New Roman" w:hAnsi="Times New Roman"/>
              </w:rPr>
              <w:t>- 709 tis. eur</w:t>
            </w:r>
            <w:r w:rsidR="00E4473B">
              <w:rPr>
                <w:rFonts w:ascii="Times New Roman" w:hAnsi="Times New Roman"/>
              </w:rPr>
              <w:t>*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FE5285">
              <w:rPr>
                <w:rFonts w:ascii="Times New Roman" w:hAnsi="Times New Roman"/>
              </w:rPr>
              <w:t>- 709 tis. eur</w:t>
            </w:r>
            <w:r w:rsidR="00E4473B">
              <w:rPr>
                <w:rFonts w:ascii="Times New Roman" w:hAnsi="Times New Roman"/>
              </w:rPr>
              <w:t>*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FE5285">
              <w:rPr>
                <w:rFonts w:ascii="Times New Roman" w:hAnsi="Times New Roman"/>
              </w:rPr>
              <w:t>- 709 tis. eur</w:t>
            </w:r>
            <w:r w:rsidR="00E4473B">
              <w:rPr>
                <w:rFonts w:ascii="Times New Roman" w:hAnsi="Times New Roman"/>
              </w:rPr>
              <w:t>*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Bežné výdavky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(600)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   </w:t>
            </w:r>
            <w:r>
              <w:rPr>
                <w:rFonts w:ascii="Times New Roman" w:hAnsi="Times New Roman"/>
                <w:sz w:val="20"/>
                <w:szCs w:val="20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 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 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2537EB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08" w:type="dxa"/>
          <w:tblInd w:w="-781" w:type="dxa"/>
          <w:tblCellMar>
            <w:left w:w="0" w:type="dxa"/>
            <w:right w:w="0" w:type="dxa"/>
          </w:tblCellMar>
        </w:tblPrEx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537EB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537EB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537EB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537EB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537EB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537EB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E21528" w:rsidRPr="00FE5285" w:rsidP="00E21528">
      <w:pPr>
        <w:bidi w:val="0"/>
        <w:rPr>
          <w:rFonts w:ascii="Times New Roman" w:hAnsi="Times New Roman"/>
        </w:rPr>
      </w:pPr>
      <w:r w:rsidRPr="00FE5285">
        <w:rPr>
          <w:rFonts w:ascii="Times New Roman" w:hAnsi="Times New Roman"/>
        </w:rPr>
        <w:t>* Zníženie výdavkov štátneho rozpočtu za uvedené roky je určené v rovnakej výške za predpokladu, že vývoj základu pre výpočet výšky štátneho príspevku zostane nemenný.</w:t>
      </w:r>
    </w:p>
    <w:p w:rsidR="00E21528" w:rsidP="00C07DB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</w:p>
    <w:p w:rsidR="00C07DB5" w:rsidP="00C07DB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2 –  výdavky rozpísať až do položiek platnej ekonomickej klasifikácie</w:t>
      </w:r>
    </w:p>
    <w:p w:rsidR="001B1CE4" w:rsidP="001B1CE4">
      <w:pPr>
        <w:pStyle w:val="NormalWeb"/>
        <w:bidi w:val="0"/>
        <w:spacing w:before="0" w:beforeAutospacing="0" w:after="0" w:afterAutospac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Tabuľka č. 6 </w:t>
      </w:r>
    </w:p>
    <w:tbl>
      <w:tblPr>
        <w:tblStyle w:val="TableNormal"/>
        <w:tblpPr w:leftFromText="141" w:rightFromText="141" w:vertAnchor="text" w:horzAnchor="margin" w:tblpXSpec="center" w:tblpY="170"/>
        <w:tblW w:w="15114" w:type="dxa"/>
        <w:tblCellMar>
          <w:left w:w="0" w:type="dxa"/>
          <w:right w:w="0" w:type="dxa"/>
        </w:tblCellMar>
      </w:tblPr>
      <w:tblGrid>
        <w:gridCol w:w="5932"/>
        <w:gridCol w:w="1500"/>
        <w:gridCol w:w="1598"/>
        <w:gridCol w:w="564"/>
        <w:gridCol w:w="1491"/>
        <w:gridCol w:w="1550"/>
        <w:gridCol w:w="933"/>
        <w:gridCol w:w="1546"/>
      </w:tblGrid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1B1CE4" w:rsidP="00BF60C5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1B1CE4" w:rsidP="00BF60C5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Počet zamestnancov celkom*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Priemerný mzdový výdavok (v eurách)*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Mzdy, platy, služobné príjmy a ostatné osobné vyrovnania (610)* 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Poistné a príspevok do poisťovní (620)*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Poznámky: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635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5114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5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1CE4" w:rsidP="00BF60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B1CE4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B1CE4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B1CE4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B1CE4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B1CE4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B1CE4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B1CE4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B1CE4" w:rsidP="00BF60C5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1B1CE4" w:rsidP="001B1CE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07DB5" w:rsidP="001B1CE4">
      <w:pPr>
        <w:bidi w:val="0"/>
        <w:rPr>
          <w:rFonts w:ascii="Times New Roman" w:hAnsi="Times New Roman"/>
        </w:rPr>
      </w:pPr>
      <w:r w:rsidR="001B1CE4">
        <w:rPr>
          <w:rFonts w:ascii="Times New Roman" w:hAnsi="Times New Roman"/>
          <w:b/>
          <w:bCs/>
        </w:rPr>
        <w:t>* počet zamestnancov,  mzdy a poistné rozpísať podľa spôsobu odmeňovania (napr. policajti, colníci ...)</w:t>
      </w:r>
    </w:p>
    <w:p w:rsidR="00C07DB5">
      <w:pPr>
        <w:bidi w:val="0"/>
        <w:rPr>
          <w:rFonts w:ascii="Times New Roman" w:hAnsi="Times New Roman"/>
        </w:rPr>
      </w:pPr>
    </w:p>
    <w:p w:rsidR="00C07DB5">
      <w:pPr>
        <w:bidi w:val="0"/>
        <w:rPr>
          <w:rFonts w:ascii="Times New Roman" w:hAnsi="Times New Roman"/>
        </w:rPr>
      </w:pPr>
    </w:p>
    <w:p w:rsidR="00C07DB5">
      <w:pPr>
        <w:bidi w:val="0"/>
        <w:rPr>
          <w:rFonts w:ascii="Times New Roman" w:hAnsi="Times New Roman"/>
        </w:rPr>
        <w:sectPr w:rsidSect="00C07DB5">
          <w:pgSz w:w="16838" w:h="11906" w:orient="landscape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2F670A" w:rsidRPr="009F3408" w:rsidP="002F670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3408"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2F670A" w:rsidRPr="00724C02" w:rsidP="002F670A">
      <w:pPr>
        <w:bidi w:val="0"/>
        <w:rPr>
          <w:rFonts w:ascii="Times New Roman" w:hAnsi="Times New Roman"/>
          <w:b/>
          <w:bCs/>
        </w:rPr>
      </w:pPr>
    </w:p>
    <w:p w:rsidR="002F670A" w:rsidRPr="00724C02" w:rsidP="002F670A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2F670A" w:rsidRPr="00724C02" w:rsidP="00BF60C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24C02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F670A" w:rsidRPr="00724C02" w:rsidP="00BF60C5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F670A" w:rsidRPr="00724C02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724C02">
              <w:rPr>
                <w:rFonts w:ascii="Times New Roman" w:hAnsi="Times New Roman"/>
                <w:b/>
              </w:rPr>
              <w:t>3.1</w:t>
            </w:r>
            <w:r w:rsidRPr="00724C02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2F670A" w:rsidRPr="00724C02" w:rsidP="00BF60C5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F670A" w:rsidRPr="00724C02" w:rsidP="00BF60C5">
            <w:pPr>
              <w:bidi w:val="0"/>
              <w:rPr>
                <w:rFonts w:ascii="Times New Roman" w:hAnsi="Times New Roman"/>
              </w:rPr>
            </w:pPr>
            <w:r w:rsidR="00724C02">
              <w:rPr>
                <w:rFonts w:ascii="Times New Roman" w:hAnsi="Times New Roman"/>
              </w:rPr>
              <w:t>Hypotekárne banky</w:t>
            </w:r>
            <w:r w:rsidR="00316D2D">
              <w:rPr>
                <w:rFonts w:ascii="Times New Roman" w:hAnsi="Times New Roman"/>
              </w:rPr>
              <w:t xml:space="preserve"> (</w:t>
            </w:r>
            <w:r w:rsidR="00A06CA6">
              <w:rPr>
                <w:rFonts w:ascii="Times New Roman" w:hAnsi="Times New Roman"/>
              </w:rPr>
              <w:t>počet: 7)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F670A" w:rsidRPr="00724C02" w:rsidP="00BF60C5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F670A" w:rsidRPr="00724C02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724C02">
              <w:rPr>
                <w:rFonts w:ascii="Times New Roman" w:hAnsi="Times New Roman"/>
                <w:b/>
              </w:rPr>
              <w:t>3.2</w:t>
            </w:r>
            <w:r w:rsidRPr="00724C02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2F670A" w:rsidRPr="00724C02" w:rsidP="00BF60C5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F670A" w:rsidRPr="00724C02" w:rsidP="0012729A">
            <w:pPr>
              <w:bidi w:val="0"/>
              <w:rPr>
                <w:rFonts w:ascii="Times New Roman" w:hAnsi="Times New Roman"/>
                <w:lang w:val="pt-BR"/>
              </w:rPr>
            </w:pPr>
            <w:r w:rsidR="0012729A">
              <w:rPr>
                <w:rFonts w:ascii="Times New Roman" w:hAnsi="Times New Roman"/>
              </w:rPr>
              <w:t xml:space="preserve">Zníženie úrokových príjmov hypotekárnych bánk vo výške </w:t>
            </w:r>
            <w:r w:rsidRPr="008515A6" w:rsidR="0012729A">
              <w:rPr>
                <w:rFonts w:ascii="Times New Roman" w:hAnsi="Times New Roman"/>
              </w:rPr>
              <w:t>1 454 tis. eur</w:t>
            </w:r>
            <w:r w:rsidR="0031417D">
              <w:rPr>
                <w:rFonts w:ascii="Times New Roman" w:hAnsi="Times New Roman"/>
              </w:rPr>
              <w:t xml:space="preserve"> v roku 2012</w:t>
            </w:r>
            <w:r w:rsidRPr="008515A6" w:rsidR="0012729A">
              <w:rPr>
                <w:rFonts w:ascii="Times New Roman" w:hAnsi="Times New Roman"/>
              </w:rPr>
              <w:t>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F670A" w:rsidRPr="00724C02" w:rsidP="00BF60C5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F670A" w:rsidRPr="00724C02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724C02">
              <w:rPr>
                <w:rFonts w:ascii="Times New Roman" w:hAnsi="Times New Roman"/>
                <w:b/>
              </w:rPr>
              <w:t>3.3</w:t>
            </w:r>
            <w:r w:rsidRPr="00724C02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2F670A" w:rsidRPr="00724C02" w:rsidP="00BF60C5">
            <w:pPr>
              <w:bidi w:val="0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F670A" w:rsidRPr="00724C02" w:rsidP="00BF60C5">
            <w:pPr>
              <w:bidi w:val="0"/>
              <w:rPr>
                <w:rFonts w:ascii="Times New Roman" w:hAnsi="Times New Roman"/>
              </w:rPr>
            </w:pPr>
            <w:r w:rsidR="00A06CA6">
              <w:rPr>
                <w:rFonts w:ascii="Times New Roman" w:hAnsi="Times New Roman"/>
              </w:rPr>
              <w:t>N/A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F670A" w:rsidRPr="00724C02" w:rsidP="00BF60C5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F670A" w:rsidRPr="00724C02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724C02">
              <w:rPr>
                <w:rFonts w:ascii="Times New Roman" w:hAnsi="Times New Roman"/>
                <w:b/>
              </w:rPr>
              <w:t>3.4</w:t>
            </w:r>
            <w:r w:rsidRPr="00724C02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2F670A" w:rsidRPr="00724C02" w:rsidP="00BF60C5">
            <w:pPr>
              <w:bidi w:val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F670A" w:rsidRPr="00724C02" w:rsidP="00BF60C5">
            <w:pPr>
              <w:bidi w:val="0"/>
              <w:rPr>
                <w:rFonts w:ascii="Times New Roman" w:hAnsi="Times New Roman"/>
              </w:rPr>
            </w:pPr>
            <w:r w:rsidR="00A06CA6">
              <w:rPr>
                <w:rFonts w:ascii="Times New Roman" w:hAnsi="Times New Roman"/>
              </w:rPr>
              <w:t>N/A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F670A" w:rsidRPr="00724C02" w:rsidP="00BF60C5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F670A" w:rsidRPr="00724C02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724C02">
              <w:rPr>
                <w:rFonts w:ascii="Times New Roman" w:hAnsi="Times New Roman"/>
                <w:b/>
              </w:rPr>
              <w:t>3.5</w:t>
            </w:r>
            <w:r w:rsidRPr="00724C02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2F670A" w:rsidRPr="00724C02" w:rsidP="00BF60C5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F670A" w:rsidRPr="00724C02" w:rsidP="00BF60C5">
            <w:pPr>
              <w:bidi w:val="0"/>
              <w:rPr>
                <w:rFonts w:ascii="Times New Roman" w:hAnsi="Times New Roman"/>
              </w:rPr>
            </w:pPr>
            <w:r w:rsidR="00A06CA6">
              <w:rPr>
                <w:rFonts w:ascii="Times New Roman" w:hAnsi="Times New Roman"/>
              </w:rPr>
              <w:t>N/A</w:t>
            </w:r>
          </w:p>
        </w:tc>
      </w:tr>
    </w:tbl>
    <w:p w:rsidR="008515A6" w:rsidRPr="00724C02">
      <w:pPr>
        <w:bidi w:val="0"/>
        <w:rPr>
          <w:rFonts w:ascii="Times New Roman" w:hAnsi="Times New Roman"/>
        </w:rPr>
      </w:pPr>
      <w:r w:rsidRPr="00724C02">
        <w:rPr>
          <w:rFonts w:ascii="Times New Roman" w:hAnsi="Times New Roman"/>
        </w:rPr>
        <w:br w:type="page"/>
      </w:r>
    </w:p>
    <w:p w:rsidR="00003947" w:rsidP="00003947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 a na zamestnanosť</w:t>
      </w:r>
    </w:p>
    <w:p w:rsidR="00003947" w:rsidP="00003947">
      <w:pPr>
        <w:bidi w:val="0"/>
        <w:rPr>
          <w:rFonts w:ascii="Times New Roman" w:hAnsi="Times New Roman"/>
          <w:b/>
          <w:bCs/>
        </w:rPr>
      </w:pPr>
    </w:p>
    <w:p w:rsidR="00003947" w:rsidP="00003947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003947" w:rsidP="00985897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03947" w:rsidP="00985897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4.1.</w:t>
            </w:r>
            <w:r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75FC" w:rsidP="00DD6FB6">
            <w:pPr>
              <w:bidi w:val="0"/>
              <w:rPr>
                <w:rFonts w:ascii="Times New Roman" w:hAnsi="Times New Roman"/>
              </w:rPr>
            </w:pPr>
            <w:r w:rsidR="00C324A2">
              <w:rPr>
                <w:rFonts w:ascii="Times New Roman" w:hAnsi="Times New Roman"/>
              </w:rPr>
              <w:t xml:space="preserve">Prijatie návrhu novely zákona </w:t>
            </w:r>
            <w:r>
              <w:rPr>
                <w:rFonts w:ascii="Times New Roman" w:hAnsi="Times New Roman"/>
              </w:rPr>
              <w:t xml:space="preserve">bude </w:t>
            </w:r>
            <w:r w:rsidR="00C324A2">
              <w:rPr>
                <w:rFonts w:ascii="Times New Roman" w:hAnsi="Times New Roman"/>
              </w:rPr>
              <w:t>mať pozitívny vplyv n</w:t>
            </w:r>
            <w:r>
              <w:rPr>
                <w:rFonts w:ascii="Times New Roman" w:hAnsi="Times New Roman"/>
              </w:rPr>
              <w:t xml:space="preserve">a hospodárenie domácností, ktoré čerpajú hypotekárne </w:t>
            </w:r>
            <w:r w:rsidR="00DD6FB6">
              <w:rPr>
                <w:rFonts w:ascii="Times New Roman" w:hAnsi="Times New Roman"/>
              </w:rPr>
              <w:t>úvery</w:t>
            </w:r>
            <w:r>
              <w:rPr>
                <w:rFonts w:ascii="Times New Roman" w:hAnsi="Times New Roman"/>
              </w:rPr>
              <w:t xml:space="preserve">. Zvýšením informovanosti klientov o zložkách úrokovej sadzby </w:t>
            </w:r>
            <w:r w:rsidR="00D10AE6">
              <w:rPr>
                <w:rFonts w:ascii="Times New Roman" w:hAnsi="Times New Roman"/>
              </w:rPr>
              <w:t>a zavedením možnosti prenosu štátneho príspevku na nový hypotekárny úver</w:t>
            </w:r>
            <w:r w:rsidR="00DD6FB6">
              <w:rPr>
                <w:rFonts w:ascii="Times New Roman" w:hAnsi="Times New Roman"/>
              </w:rPr>
              <w:t>, ktorým sa splatí pôvodný hypotekárny úver s fixnou výškou štátneho príspevku,</w:t>
            </w:r>
            <w:r>
              <w:rPr>
                <w:rFonts w:ascii="Times New Roman" w:hAnsi="Times New Roman"/>
              </w:rPr>
              <w:t xml:space="preserve"> sa zlepší ich vyjednávacia pozícia pri rokovaní s bankou o výške úrokovej sadzby. A práve nižšia úroková sadzba bude viesť k nižším nákladom domácností na splácanie úverov na bývanie.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003947" w:rsidP="00985897">
            <w:pPr>
              <w:bidi w:val="0"/>
              <w:ind w:firstLine="48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6FB6" w:rsidP="00985897">
            <w:pPr>
              <w:bidi w:val="0"/>
              <w:rPr>
                <w:rFonts w:ascii="Times New Roman" w:hAnsi="Times New Roman"/>
              </w:rPr>
            </w:pPr>
          </w:p>
          <w:p w:rsidR="00DD6FB6" w:rsidP="00985897">
            <w:pPr>
              <w:bidi w:val="0"/>
              <w:rPr>
                <w:rFonts w:ascii="Times New Roman" w:hAnsi="Times New Roman"/>
              </w:rPr>
            </w:pPr>
          </w:p>
          <w:p w:rsidR="00DD6FB6" w:rsidP="00985897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N/A</w:t>
            </w:r>
          </w:p>
          <w:p w:rsidR="00DD6FB6" w:rsidP="00985897">
            <w:pPr>
              <w:bidi w:val="0"/>
              <w:rPr>
                <w:rFonts w:ascii="Times New Roman" w:hAnsi="Times New Roman"/>
              </w:rPr>
            </w:pPr>
          </w:p>
          <w:p w:rsidR="00DD6FB6" w:rsidP="00985897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pokles výdavkov na splácanie hypotekárnych úverov súhrnne o </w:t>
            </w:r>
            <w:r w:rsidRPr="008515A6">
              <w:rPr>
                <w:rFonts w:ascii="Times New Roman" w:hAnsi="Times New Roman"/>
              </w:rPr>
              <w:t>744 tis. eur</w:t>
            </w:r>
            <w:r>
              <w:rPr>
                <w:rFonts w:ascii="Times New Roman" w:hAnsi="Times New Roman"/>
              </w:rPr>
              <w:t xml:space="preserve"> za rok 2012</w:t>
            </w:r>
          </w:p>
          <w:p w:rsidR="00DD6FB6" w:rsidP="00985897">
            <w:pPr>
              <w:bidi w:val="0"/>
              <w:rPr>
                <w:rFonts w:ascii="Times New Roman" w:hAnsi="Times New Roman"/>
              </w:rPr>
            </w:pPr>
          </w:p>
          <w:p w:rsidR="00003947" w:rsidP="00DD6FB6">
            <w:pPr>
              <w:bidi w:val="0"/>
              <w:rPr>
                <w:rFonts w:ascii="Times New Roman" w:hAnsi="Times New Roman"/>
              </w:rPr>
            </w:pPr>
            <w:r w:rsidR="00DD6FB6">
              <w:rPr>
                <w:rFonts w:ascii="Times New Roman" w:hAnsi="Times New Roman"/>
              </w:rPr>
              <w:t xml:space="preserve">- 20 600 domácností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003947" w:rsidP="00985897">
            <w:pPr>
              <w:bidi w:val="0"/>
              <w:ind w:firstLine="720" w:firstLineChars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Rast alebo pokles príjmov/výdavkov           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03947" w:rsidP="00985897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003947" w:rsidP="00985897">
            <w:pPr>
              <w:bidi w:val="0"/>
              <w:ind w:firstLine="720" w:firstLineChars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Rast alebo pokles príjmov/výdavkov                  za jednotlivé ovplyvnené skupiny domácností</w:t>
            </w:r>
          </w:p>
          <w:p w:rsidR="00FE5285" w:rsidP="00985897">
            <w:pPr>
              <w:bidi w:val="0"/>
              <w:ind w:firstLine="720" w:firstLineChars="300"/>
              <w:rPr>
                <w:rFonts w:ascii="Times New Roman" w:hAnsi="Times New Roman"/>
              </w:rPr>
            </w:pPr>
          </w:p>
          <w:p w:rsidR="00FE5285" w:rsidP="00985897">
            <w:pPr>
              <w:bidi w:val="0"/>
              <w:ind w:firstLine="720" w:firstLineChars="300"/>
              <w:rPr>
                <w:rFonts w:ascii="Times New Roman" w:hAnsi="Times New Roman"/>
              </w:rPr>
            </w:pPr>
          </w:p>
          <w:p w:rsidR="00003947" w:rsidP="00985897">
            <w:pPr>
              <w:bidi w:val="0"/>
              <w:ind w:firstLine="720" w:firstLineChars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03947" w:rsidP="00985897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003947" w:rsidP="00985897">
            <w:pPr>
              <w:bidi w:val="0"/>
              <w:ind w:firstLine="360" w:firstLineChars="300"/>
              <w:rPr>
                <w:rFonts w:ascii="Times New Roman" w:hAns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03947" w:rsidP="00985897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03947" w:rsidP="00985897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4.2.</w:t>
            </w:r>
            <w:r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5A44" w:rsidP="00985897">
            <w:pPr>
              <w:bidi w:val="0"/>
              <w:rPr>
                <w:rFonts w:ascii="Times New Roman" w:hAnsi="Times New Roman"/>
              </w:rPr>
            </w:pPr>
          </w:p>
          <w:p w:rsidR="00003947" w:rsidP="00985897">
            <w:pPr>
              <w:bidi w:val="0"/>
              <w:rPr>
                <w:rFonts w:ascii="Times New Roman" w:hAnsi="Times New Roman"/>
              </w:rPr>
            </w:pPr>
            <w:r w:rsidR="00985897">
              <w:rPr>
                <w:rFonts w:ascii="Times New Roman" w:hAnsi="Times New Roman"/>
              </w:rPr>
              <w:t>Návrh nemá vplyv na prístup k zdrojom, právam, tovarom a službám u jednotlivých ovplyvnených skupín obyvateľstva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03947" w:rsidP="00985897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</w:rPr>
              <w:t>Zhodnoťte vplyv na rovnosť príležitostí:</w:t>
            </w:r>
          </w:p>
          <w:p w:rsidR="00003947" w:rsidP="00985897">
            <w:pPr>
              <w:bidi w:val="0"/>
              <w:rPr>
                <w:rFonts w:ascii="Times New Roman" w:hAnsi="Times New Roman"/>
              </w:rPr>
            </w:pPr>
          </w:p>
          <w:p w:rsidR="00003947" w:rsidP="00985897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Zhodnoťte vplyv na rodovú rovnosť.</w:t>
            </w:r>
          </w:p>
          <w:p w:rsidR="00003947" w:rsidP="00985897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947" w:rsidP="00985897">
            <w:pPr>
              <w:bidi w:val="0"/>
              <w:rPr>
                <w:rFonts w:ascii="Times New Roman" w:hAnsi="Times New Roman"/>
              </w:rPr>
            </w:pPr>
            <w:r w:rsidR="00985897">
              <w:rPr>
                <w:rFonts w:ascii="Times New Roman" w:hAnsi="Times New Roman"/>
              </w:rPr>
              <w:t>Návrh nemá vplyv na rovnosť príležitostí a na rodovú rovnosť.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03947" w:rsidP="00985897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4.4. </w:t>
            </w:r>
            <w:r>
              <w:rPr>
                <w:rFonts w:ascii="Times New Roman" w:hAnsi="Times New Roman"/>
              </w:rPr>
              <w:t>Zhodnoťte vplyvy na zamestnanosť.</w:t>
            </w:r>
          </w:p>
          <w:p w:rsidR="00003947" w:rsidP="00985897">
            <w:pPr>
              <w:bidi w:val="0"/>
              <w:rPr>
                <w:rFonts w:ascii="Times New Roman" w:hAnsi="Times New Roman"/>
                <w:b/>
              </w:rPr>
            </w:pPr>
          </w:p>
          <w:p w:rsidR="00003947" w:rsidP="00985897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Aké sú  vplyvy na zamestnanosť ?</w:t>
            </w:r>
          </w:p>
          <w:p w:rsidR="00003947" w:rsidP="00985897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003947" w:rsidP="00985897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5A44" w:rsidP="00985897">
            <w:pPr>
              <w:bidi w:val="0"/>
              <w:rPr>
                <w:rFonts w:ascii="Times New Roman" w:hAnsi="Times New Roman"/>
              </w:rPr>
            </w:pPr>
          </w:p>
          <w:p w:rsidR="00003947" w:rsidP="00985897">
            <w:pPr>
              <w:bidi w:val="0"/>
              <w:rPr>
                <w:rFonts w:ascii="Times New Roman" w:hAnsi="Times New Roman"/>
              </w:rPr>
            </w:pPr>
            <w:r w:rsidR="00985897">
              <w:rPr>
                <w:rFonts w:ascii="Times New Roman" w:hAnsi="Times New Roman"/>
              </w:rPr>
              <w:t>Návrh nemá vplyv na zamestnanosť.</w:t>
            </w:r>
          </w:p>
          <w:p w:rsidR="00003947" w:rsidP="00985897">
            <w:pPr>
              <w:bidi w:val="0"/>
              <w:rPr>
                <w:rFonts w:ascii="Times New Roman" w:hAnsi="Times New Roman"/>
              </w:rPr>
            </w:pPr>
          </w:p>
          <w:p w:rsidR="00003947" w:rsidP="00985897">
            <w:pPr>
              <w:bidi w:val="0"/>
              <w:rPr>
                <w:rFonts w:ascii="Times New Roman" w:hAnsi="Times New Roman"/>
              </w:rPr>
            </w:pPr>
          </w:p>
          <w:p w:rsidR="00003947" w:rsidP="00985897">
            <w:pPr>
              <w:bidi w:val="0"/>
              <w:rPr>
                <w:rFonts w:ascii="Times New Roman" w:hAnsi="Times New Roman"/>
              </w:rPr>
            </w:pPr>
          </w:p>
          <w:p w:rsidR="00003947" w:rsidP="00985897">
            <w:pPr>
              <w:bidi w:val="0"/>
              <w:rPr>
                <w:rFonts w:ascii="Times New Roman" w:hAnsi="Times New Roman"/>
              </w:rPr>
            </w:pPr>
          </w:p>
          <w:p w:rsidR="00003947" w:rsidP="00985897">
            <w:pPr>
              <w:bidi w:val="0"/>
              <w:rPr>
                <w:rFonts w:ascii="Times New Roman" w:hAnsi="Times New Roman"/>
              </w:rPr>
            </w:pPr>
          </w:p>
          <w:p w:rsidR="00003947" w:rsidP="00985897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8515A6" w:rsidRPr="008515A6">
      <w:pPr>
        <w:bidi w:val="0"/>
        <w:rPr>
          <w:rFonts w:ascii="Times New Roman" w:hAnsi="Times New Roman"/>
        </w:rPr>
      </w:pPr>
      <w:r w:rsidRPr="008515A6">
        <w:rPr>
          <w:rFonts w:ascii="Times New Roman" w:hAnsi="Times New Roman"/>
        </w:rPr>
        <w:br w:type="page"/>
      </w:r>
    </w:p>
    <w:p w:rsidR="008515A6" w:rsidRPr="00EB4C08" w:rsidP="008515A6">
      <w:pPr>
        <w:pStyle w:val="NormalWeb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B4C08">
        <w:rPr>
          <w:rFonts w:ascii="Times New Roman" w:hAnsi="Times New Roman"/>
          <w:b/>
          <w:bCs/>
          <w:sz w:val="28"/>
          <w:szCs w:val="28"/>
        </w:rPr>
        <w:t>Vplyvy na informatizáciu spoločnosti</w:t>
      </w:r>
    </w:p>
    <w:p w:rsidR="008515A6" w:rsidRPr="008515A6" w:rsidP="008515A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 w:rsidRPr="008515A6">
              <w:rPr>
                <w:rFonts w:ascii="Times New Roman" w:hAnsi="Times New Roman"/>
                <w:b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b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 w:rsidRPr="008515A6">
              <w:rPr>
                <w:rFonts w:ascii="Times New Roman" w:hAnsi="Times New Roman"/>
                <w:b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b/>
              </w:rPr>
              <w:t>6.1.</w:t>
            </w:r>
            <w:r w:rsidRPr="008515A6"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AD5FAB">
            <w:pPr>
              <w:bidi w:val="0"/>
              <w:rPr>
                <w:rFonts w:ascii="Times New Roman" w:hAnsi="Times New Roman"/>
                <w:iCs/>
              </w:rPr>
            </w:pPr>
            <w:r w:rsidRPr="008515A6">
              <w:rPr>
                <w:rFonts w:ascii="Times New Roman" w:hAnsi="Times New Roman"/>
                <w:iCs/>
              </w:rPr>
              <w:t xml:space="preserve">Áno, zverejňovaním aktuálnej výšky </w:t>
            </w:r>
            <w:r w:rsidR="00AD5FAB">
              <w:rPr>
                <w:rFonts w:ascii="Times New Roman" w:hAnsi="Times New Roman"/>
                <w:iCs/>
              </w:rPr>
              <w:t>základnej</w:t>
            </w:r>
            <w:r w:rsidRPr="008515A6">
              <w:rPr>
                <w:rFonts w:ascii="Times New Roman" w:hAnsi="Times New Roman"/>
                <w:iCs/>
              </w:rPr>
              <w:t xml:space="preserve"> úrokovej sadzby </w:t>
            </w:r>
            <w:r w:rsidR="00AD5FAB">
              <w:rPr>
                <w:rFonts w:ascii="Times New Roman" w:hAnsi="Times New Roman"/>
                <w:iCs/>
              </w:rPr>
              <w:t xml:space="preserve">hypotekárnych bánk </w:t>
            </w:r>
            <w:r w:rsidRPr="008515A6">
              <w:rPr>
                <w:rFonts w:ascii="Times New Roman" w:hAnsi="Times New Roman"/>
                <w:iCs/>
              </w:rPr>
              <w:t xml:space="preserve">na </w:t>
            </w:r>
            <w:r w:rsidR="00AD5FAB">
              <w:rPr>
                <w:rFonts w:ascii="Times New Roman" w:hAnsi="Times New Roman"/>
                <w:iCs/>
              </w:rPr>
              <w:t xml:space="preserve">svojich </w:t>
            </w:r>
            <w:r w:rsidRPr="008515A6">
              <w:rPr>
                <w:rFonts w:ascii="Times New Roman" w:hAnsi="Times New Roman"/>
                <w:iCs/>
              </w:rPr>
              <w:t>webov</w:t>
            </w:r>
            <w:r w:rsidR="00AD5FAB">
              <w:rPr>
                <w:rFonts w:ascii="Times New Roman" w:hAnsi="Times New Roman"/>
                <w:iCs/>
              </w:rPr>
              <w:t>ých</w:t>
            </w:r>
            <w:r w:rsidRPr="008515A6">
              <w:rPr>
                <w:rFonts w:ascii="Times New Roman" w:hAnsi="Times New Roman"/>
                <w:iCs/>
              </w:rPr>
              <w:t xml:space="preserve"> sídl</w:t>
            </w:r>
            <w:r w:rsidR="00AD5FAB">
              <w:rPr>
                <w:rFonts w:ascii="Times New Roman" w:hAnsi="Times New Roman"/>
                <w:iCs/>
              </w:rPr>
              <w:t>ach</w:t>
            </w:r>
            <w:r w:rsidRPr="008515A6">
              <w:rPr>
                <w:rFonts w:ascii="Times New Roman" w:hAnsi="Times New Roman"/>
                <w:iCs/>
              </w:rPr>
              <w:t xml:space="preserve"> sa zavádza nov</w:t>
            </w:r>
            <w:r w:rsidR="00907E7D">
              <w:rPr>
                <w:rFonts w:ascii="Times New Roman" w:hAnsi="Times New Roman"/>
                <w:iCs/>
              </w:rPr>
              <w:t>á</w:t>
            </w:r>
            <w:r w:rsidRPr="008515A6">
              <w:rPr>
                <w:rFonts w:ascii="Times New Roman" w:hAnsi="Times New Roman"/>
                <w:iCs/>
              </w:rPr>
              <w:t xml:space="preserve"> elektronická služba s úrovňou I (informatívna úroveň).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b/>
              </w:rPr>
              <w:t>6.2.</w:t>
            </w:r>
            <w:r w:rsidRPr="008515A6"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8515A6">
            <w:pPr>
              <w:bidi w:val="0"/>
              <w:rPr>
                <w:rFonts w:ascii="Times New Roman" w:hAnsi="Times New Roman"/>
                <w:iCs/>
              </w:rPr>
            </w:pPr>
            <w:r w:rsidRPr="008515A6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color w:val="FFFFFF"/>
              </w:rPr>
            </w:pPr>
            <w:r w:rsidRPr="008515A6">
              <w:rPr>
                <w:rFonts w:ascii="Times New Roman" w:hAnsi="Times New Roman"/>
                <w:b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8515A6" w:rsidRPr="008515A6" w:rsidP="00BF60C5">
            <w:pPr>
              <w:bidi w:val="0"/>
              <w:rPr>
                <w:rFonts w:ascii="Times New Roman" w:hAnsi="Times New Roman"/>
                <w:b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b/>
              </w:rPr>
              <w:t>6.3.</w:t>
            </w:r>
            <w:r w:rsidRPr="008515A6"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515A6" w:rsidRPr="008515A6" w:rsidP="00BF60C5">
            <w:pPr>
              <w:bidi w:val="0"/>
              <w:rPr>
                <w:rFonts w:ascii="Times New Roman" w:hAnsi="Times New Roman"/>
                <w:iCs/>
              </w:rPr>
            </w:pPr>
            <w:r w:rsidRPr="008515A6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b/>
              </w:rPr>
              <w:t>6.4.</w:t>
            </w:r>
            <w:r w:rsidRPr="008515A6"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8515A6"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iCs/>
              </w:rPr>
            </w:pPr>
            <w:r w:rsidRPr="008515A6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b/>
              </w:rPr>
              <w:t>6.5.</w:t>
            </w:r>
            <w:r w:rsidRPr="008515A6"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8515A6"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iCs/>
              </w:rPr>
            </w:pPr>
            <w:r w:rsidRPr="008515A6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b/>
              </w:rPr>
              <w:t>6.6.</w:t>
            </w:r>
            <w:r w:rsidRPr="008515A6"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iCs/>
              </w:rPr>
            </w:pPr>
            <w:r w:rsidRPr="008515A6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 w:rsidRPr="008515A6">
              <w:rPr>
                <w:rFonts w:ascii="Times New Roman" w:hAnsi="Times New Roman"/>
                <w:b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b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b/>
              </w:rPr>
              <w:t>6.7.</w:t>
            </w:r>
            <w:r w:rsidRPr="008515A6"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iCs/>
              </w:rPr>
            </w:pPr>
            <w:r w:rsidRPr="008515A6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b/>
              </w:rPr>
              <w:t>6.8.</w:t>
            </w:r>
            <w:r w:rsidRPr="008515A6">
              <w:rPr>
                <w:rFonts w:ascii="Times New Roman" w:hAnsi="Times New Roman"/>
              </w:rPr>
              <w:t xml:space="preserve"> Rozširuje sa prístupnosť k internetu?</w:t>
            </w:r>
          </w:p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iCs/>
              </w:rPr>
            </w:pPr>
            <w:r w:rsidRPr="008515A6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b/>
              </w:rPr>
              <w:t>6.9.</w:t>
            </w:r>
            <w:r w:rsidRPr="008515A6"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8515A6" w:rsidRPr="008515A6" w:rsidP="00BF60C5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iCs/>
              </w:rPr>
            </w:pPr>
            <w:r w:rsidRPr="008515A6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b/>
              </w:rPr>
              <w:t>6.10.</w:t>
            </w:r>
            <w:r w:rsidRPr="008515A6"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iCs/>
              </w:rPr>
            </w:pPr>
            <w:r w:rsidRPr="008515A6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b/>
              </w:rPr>
              <w:t>6.11.</w:t>
            </w:r>
            <w:r w:rsidRPr="008515A6">
              <w:rPr>
                <w:rFonts w:ascii="Times New Roman" w:hAnsi="Times New Roman"/>
              </w:rPr>
              <w:t xml:space="preserve"> Zvyšuje sa bezpečnosť IT?</w:t>
            </w:r>
          </w:p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</w:rPr>
              <w:t>(</w:t>
            </w:r>
            <w:r w:rsidRPr="008515A6"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iCs/>
              </w:rPr>
            </w:pPr>
            <w:r w:rsidRPr="008515A6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b/>
              </w:rPr>
              <w:t>6.12.</w:t>
            </w:r>
            <w:r w:rsidRPr="008515A6">
              <w:rPr>
                <w:rFonts w:ascii="Times New Roman" w:hAnsi="Times New Roman"/>
              </w:rPr>
              <w:t xml:space="preserve"> Rozširuje sa technická infraštruktúra?</w:t>
            </w:r>
          </w:p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8515A6">
              <w:rPr>
                <w:rFonts w:ascii="Times New Roman" w:hAnsi="Times New Roman"/>
              </w:rPr>
              <w:t>(</w:t>
            </w:r>
            <w:r w:rsidRPr="008515A6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iCs/>
              </w:rPr>
            </w:pPr>
            <w:r w:rsidRPr="008515A6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515A6" w:rsidRPr="008515A6" w:rsidP="00BF60C5">
            <w:pPr>
              <w:bidi w:val="0"/>
              <w:spacing w:line="20" w:lineRule="atLeast"/>
              <w:rPr>
                <w:rFonts w:ascii="Times New Roman" w:hAnsi="Times New Roman"/>
                <w:b/>
              </w:rPr>
            </w:pPr>
            <w:r w:rsidRPr="008515A6">
              <w:rPr>
                <w:rFonts w:ascii="Times New Roman" w:hAnsi="Times New Roman"/>
                <w:b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515A6" w:rsidRPr="008515A6" w:rsidP="00BF60C5">
            <w:pPr>
              <w:bidi w:val="0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b/>
              </w:rPr>
              <w:t>6.13.</w:t>
            </w:r>
            <w:r w:rsidRPr="008515A6"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iCs/>
              </w:rPr>
            </w:pPr>
            <w:r w:rsidRPr="008515A6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 w:rsidRPr="008515A6">
              <w:rPr>
                <w:rFonts w:ascii="Times New Roman" w:hAnsi="Times New Roman"/>
                <w:b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b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b/>
              </w:rPr>
              <w:t>6.14.</w:t>
            </w:r>
            <w:r w:rsidRPr="008515A6"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8515A6" w:rsidRPr="008515A6" w:rsidP="00BF60C5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iCs/>
              </w:rPr>
            </w:pPr>
            <w:r w:rsidRPr="008515A6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515A6" w:rsidRPr="008515A6" w:rsidP="00BF60C5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 w:rsidRPr="008515A6">
              <w:rPr>
                <w:rFonts w:ascii="Times New Roman" w:hAnsi="Times New Roman"/>
                <w:b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b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b/>
              </w:rPr>
              <w:t>6.15.</w:t>
            </w:r>
            <w:r w:rsidRPr="008515A6"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8515A6" w:rsidRPr="008515A6" w:rsidP="00BF60C5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515A6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15A6" w:rsidRPr="008515A6" w:rsidP="00BF60C5">
            <w:pPr>
              <w:bidi w:val="0"/>
              <w:rPr>
                <w:rFonts w:ascii="Times New Roman" w:hAnsi="Times New Roman"/>
                <w:iCs/>
              </w:rPr>
            </w:pPr>
            <w:r w:rsidRPr="008515A6">
              <w:rPr>
                <w:rFonts w:ascii="Times New Roman" w:hAnsi="Times New Roman"/>
                <w:iCs/>
              </w:rPr>
              <w:t>Nie</w:t>
            </w:r>
          </w:p>
        </w:tc>
      </w:tr>
    </w:tbl>
    <w:p w:rsidR="008515A6" w:rsidRPr="008515A6" w:rsidP="008515A6">
      <w:pPr>
        <w:bidi w:val="0"/>
        <w:spacing w:line="240" w:lineRule="atLeast"/>
        <w:jc w:val="center"/>
        <w:rPr>
          <w:rFonts w:ascii="Times New Roman" w:hAnsi="Times New Roman"/>
          <w:b/>
        </w:rPr>
      </w:pPr>
    </w:p>
    <w:p w:rsidR="008515A6" w:rsidRPr="008515A6" w:rsidP="00FD2DC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sectPr w:rsidSect="00517D3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2C4"/>
    <w:multiLevelType w:val="hybridMultilevel"/>
    <w:tmpl w:val="6486DE1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E36D5"/>
    <w:multiLevelType w:val="hybridMultilevel"/>
    <w:tmpl w:val="5338E5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A85637C"/>
    <w:multiLevelType w:val="hybridMultilevel"/>
    <w:tmpl w:val="6E5C2B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56CAE"/>
    <w:multiLevelType w:val="hybridMultilevel"/>
    <w:tmpl w:val="6EE01A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91B4AEC"/>
    <w:multiLevelType w:val="hybridMultilevel"/>
    <w:tmpl w:val="5338E5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E28225D"/>
    <w:multiLevelType w:val="hybridMultilevel"/>
    <w:tmpl w:val="789A3370"/>
    <w:lvl w:ilvl="0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Arial" w:eastAsia="Times New Roman" w:hAnsi="Aria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225"/>
        </w:tabs>
        <w:ind w:left="3225" w:hanging="360"/>
      </w:pPr>
      <w:rPr>
        <w:rFonts w:cs="Times New Roman" w:hint="default"/>
        <w:b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  <w:rPr>
        <w:rFonts w:cs="Times New Roman"/>
        <w:rtl w:val="0"/>
        <w:cs w:val="0"/>
      </w:rPr>
    </w:lvl>
  </w:abstractNum>
  <w:abstractNum w:abstractNumId="6">
    <w:nsid w:val="68ED14B2"/>
    <w:multiLevelType w:val="hybridMultilevel"/>
    <w:tmpl w:val="8D0EF1E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2504144"/>
    <w:multiLevelType w:val="hybridMultilevel"/>
    <w:tmpl w:val="C6E83B7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014BEC"/>
    <w:rsid w:val="00003947"/>
    <w:rsid w:val="00014BEC"/>
    <w:rsid w:val="00025137"/>
    <w:rsid w:val="000339B6"/>
    <w:rsid w:val="00040524"/>
    <w:rsid w:val="0006114A"/>
    <w:rsid w:val="00073457"/>
    <w:rsid w:val="00074272"/>
    <w:rsid w:val="000821D1"/>
    <w:rsid w:val="000841CA"/>
    <w:rsid w:val="00085FD1"/>
    <w:rsid w:val="000A6483"/>
    <w:rsid w:val="00120419"/>
    <w:rsid w:val="0012729A"/>
    <w:rsid w:val="00145807"/>
    <w:rsid w:val="00181882"/>
    <w:rsid w:val="0018343B"/>
    <w:rsid w:val="001A4E04"/>
    <w:rsid w:val="001B1CE4"/>
    <w:rsid w:val="001D52D5"/>
    <w:rsid w:val="001F21FD"/>
    <w:rsid w:val="00221D1B"/>
    <w:rsid w:val="002537EB"/>
    <w:rsid w:val="002872EC"/>
    <w:rsid w:val="00296C81"/>
    <w:rsid w:val="002A714E"/>
    <w:rsid w:val="002F670A"/>
    <w:rsid w:val="00300B1E"/>
    <w:rsid w:val="00303B82"/>
    <w:rsid w:val="0031417D"/>
    <w:rsid w:val="0031474F"/>
    <w:rsid w:val="00316D2D"/>
    <w:rsid w:val="00331D83"/>
    <w:rsid w:val="00395C41"/>
    <w:rsid w:val="003B6D86"/>
    <w:rsid w:val="003C58B5"/>
    <w:rsid w:val="003D2B70"/>
    <w:rsid w:val="003E3216"/>
    <w:rsid w:val="00400569"/>
    <w:rsid w:val="00400E97"/>
    <w:rsid w:val="004161A1"/>
    <w:rsid w:val="00420B4C"/>
    <w:rsid w:val="00453F43"/>
    <w:rsid w:val="004603A9"/>
    <w:rsid w:val="00487B64"/>
    <w:rsid w:val="00491A22"/>
    <w:rsid w:val="004B0867"/>
    <w:rsid w:val="004B796D"/>
    <w:rsid w:val="004E2F50"/>
    <w:rsid w:val="00503308"/>
    <w:rsid w:val="00517D38"/>
    <w:rsid w:val="005B30EA"/>
    <w:rsid w:val="005D22D6"/>
    <w:rsid w:val="0065151C"/>
    <w:rsid w:val="00667A31"/>
    <w:rsid w:val="006C6742"/>
    <w:rsid w:val="006D0F9F"/>
    <w:rsid w:val="006E2C41"/>
    <w:rsid w:val="0070491C"/>
    <w:rsid w:val="00724C02"/>
    <w:rsid w:val="00726E63"/>
    <w:rsid w:val="00726FC7"/>
    <w:rsid w:val="007475FC"/>
    <w:rsid w:val="00767C74"/>
    <w:rsid w:val="00775C97"/>
    <w:rsid w:val="007C02EC"/>
    <w:rsid w:val="007E37FE"/>
    <w:rsid w:val="00806537"/>
    <w:rsid w:val="008515A6"/>
    <w:rsid w:val="008575BD"/>
    <w:rsid w:val="008725EB"/>
    <w:rsid w:val="00882C16"/>
    <w:rsid w:val="00894F97"/>
    <w:rsid w:val="008A5FBA"/>
    <w:rsid w:val="008D580F"/>
    <w:rsid w:val="008E124E"/>
    <w:rsid w:val="008E66E0"/>
    <w:rsid w:val="00907E7D"/>
    <w:rsid w:val="00935A44"/>
    <w:rsid w:val="00941C13"/>
    <w:rsid w:val="009539D9"/>
    <w:rsid w:val="0096244E"/>
    <w:rsid w:val="00975EC2"/>
    <w:rsid w:val="009841C0"/>
    <w:rsid w:val="00985897"/>
    <w:rsid w:val="009C1DE1"/>
    <w:rsid w:val="009D10C2"/>
    <w:rsid w:val="009F3408"/>
    <w:rsid w:val="00A06CA6"/>
    <w:rsid w:val="00A1092D"/>
    <w:rsid w:val="00A13712"/>
    <w:rsid w:val="00A16E46"/>
    <w:rsid w:val="00AB0428"/>
    <w:rsid w:val="00AD5FAB"/>
    <w:rsid w:val="00B16A3A"/>
    <w:rsid w:val="00B60E47"/>
    <w:rsid w:val="00B71AEC"/>
    <w:rsid w:val="00B759D5"/>
    <w:rsid w:val="00B87C49"/>
    <w:rsid w:val="00B91B7F"/>
    <w:rsid w:val="00BF60C5"/>
    <w:rsid w:val="00C07DB5"/>
    <w:rsid w:val="00C1592F"/>
    <w:rsid w:val="00C324A2"/>
    <w:rsid w:val="00C35E61"/>
    <w:rsid w:val="00C5565A"/>
    <w:rsid w:val="00C602A9"/>
    <w:rsid w:val="00C65DCE"/>
    <w:rsid w:val="00CA165F"/>
    <w:rsid w:val="00CA2D30"/>
    <w:rsid w:val="00CB5907"/>
    <w:rsid w:val="00D04307"/>
    <w:rsid w:val="00D10AE6"/>
    <w:rsid w:val="00D7504C"/>
    <w:rsid w:val="00DD5600"/>
    <w:rsid w:val="00DD6FB6"/>
    <w:rsid w:val="00E21528"/>
    <w:rsid w:val="00E4473B"/>
    <w:rsid w:val="00E52A84"/>
    <w:rsid w:val="00E55EBB"/>
    <w:rsid w:val="00E57393"/>
    <w:rsid w:val="00E66A74"/>
    <w:rsid w:val="00E701F7"/>
    <w:rsid w:val="00EB4C08"/>
    <w:rsid w:val="00F4709E"/>
    <w:rsid w:val="00F5279F"/>
    <w:rsid w:val="00F570C0"/>
    <w:rsid w:val="00F675EE"/>
    <w:rsid w:val="00F707CB"/>
    <w:rsid w:val="00F74ED5"/>
    <w:rsid w:val="00FB29BE"/>
    <w:rsid w:val="00FD2DC9"/>
    <w:rsid w:val="00FE52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D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rsid w:val="00517D38"/>
    <w:pPr>
      <w:ind w:left="720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517D38"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517D38"/>
    <w:pPr>
      <w:ind w:left="72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517D38"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17D3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17D38"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517D38"/>
    <w:pPr>
      <w:jc w:val="both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17D38"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rsid w:val="00517D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odyText3">
    <w:name w:val="Body Text 3"/>
    <w:basedOn w:val="Normal"/>
    <w:link w:val="Zkladntext3Char"/>
    <w:uiPriority w:val="99"/>
    <w:rsid w:val="00517D38"/>
    <w:pPr>
      <w:jc w:val="both"/>
    </w:pPr>
    <w:rPr>
      <w:rFonts w:ascii="Arial Narrow" w:hAnsi="Arial Narrow"/>
      <w:b/>
      <w:sz w:val="22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517D38"/>
    <w:rPr>
      <w:rFonts w:cs="Times New Roman"/>
      <w:sz w:val="16"/>
      <w:szCs w:val="16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DD5600"/>
    <w:pPr>
      <w:spacing w:before="100" w:beforeAutospacing="1" w:after="100" w:afterAutospacing="1"/>
      <w:jc w:val="left"/>
    </w:p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040524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040524"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21D1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21D1B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DD6FB6"/>
    <w:pPr>
      <w:ind w:left="720"/>
      <w:contextualSpacing/>
      <w:jc w:val="left"/>
    </w:pPr>
  </w:style>
  <w:style w:type="table" w:styleId="TableGrid">
    <w:name w:val="Table Grid"/>
    <w:basedOn w:val="TableNormal"/>
    <w:uiPriority w:val="59"/>
    <w:rsid w:val="004B796D"/>
    <w:rPr>
      <w:rFonts w:ascii="Arial Narrow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9874-E573-472C-B320-7392F35D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1752</Words>
  <Characters>11094</Characters>
  <Application>Microsoft Office Word</Application>
  <DocSecurity>0</DocSecurity>
  <Lines>0</Lines>
  <Paragraphs>0</Paragraphs>
  <ScaleCrop>false</ScaleCrop>
  <Company>MFSR</Company>
  <LinksUpToDate>false</LinksUpToDate>
  <CharactersWithSpaces>12821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VPLYVOV</dc:title>
  <dc:creator>gdroba</dc:creator>
  <cp:lastModifiedBy>abartikova</cp:lastModifiedBy>
  <cp:revision>2</cp:revision>
  <cp:lastPrinted>2011-05-09T12:40:00Z</cp:lastPrinted>
  <dcterms:created xsi:type="dcterms:W3CDTF">2011-05-31T13:38:00Z</dcterms:created>
  <dcterms:modified xsi:type="dcterms:W3CDTF">2011-05-31T13:38:00Z</dcterms:modified>
</cp:coreProperties>
</file>