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73354" w:rsidRPr="006400D1" w:rsidP="00573354">
      <w:pPr>
        <w:pStyle w:val="Title"/>
        <w:bidi w:val="0"/>
        <w:rPr>
          <w:rFonts w:ascii="Times New Roman" w:hAnsi="Times New Roman"/>
        </w:rPr>
      </w:pPr>
      <w:r w:rsidRPr="006400D1">
        <w:rPr>
          <w:rFonts w:ascii="Times New Roman" w:hAnsi="Times New Roman"/>
        </w:rPr>
        <w:t>Dôvodová správa</w:t>
      </w:r>
    </w:p>
    <w:p w:rsidR="00573354" w:rsidRPr="006400D1" w:rsidP="00573354">
      <w:pPr>
        <w:bidi w:val="0"/>
        <w:jc w:val="center"/>
        <w:rPr>
          <w:rFonts w:ascii="Times New Roman" w:hAnsi="Times New Roman"/>
          <w:b/>
          <w:bCs/>
        </w:rPr>
      </w:pPr>
    </w:p>
    <w:p w:rsidR="00573354" w:rsidRPr="006400D1" w:rsidP="00DF4972">
      <w:pPr>
        <w:pStyle w:val="BodyText2"/>
        <w:bidi w:val="0"/>
        <w:spacing w:after="120"/>
        <w:rPr>
          <w:rFonts w:ascii="Times New Roman" w:hAnsi="Times New Roman"/>
          <w:b/>
          <w:bCs/>
        </w:rPr>
      </w:pPr>
      <w:r w:rsidRPr="006400D1">
        <w:rPr>
          <w:rFonts w:ascii="Times New Roman" w:hAnsi="Times New Roman"/>
          <w:b/>
          <w:bCs/>
        </w:rPr>
        <w:t>Osobitná časť</w:t>
      </w:r>
    </w:p>
    <w:p w:rsidR="00573354" w:rsidRPr="006400D1" w:rsidP="00DF4972">
      <w:pPr>
        <w:pStyle w:val="BodyText2"/>
        <w:bidi w:val="0"/>
        <w:spacing w:after="120"/>
        <w:rPr>
          <w:rFonts w:ascii="Times New Roman" w:hAnsi="Times New Roman"/>
          <w:b/>
          <w:bCs/>
        </w:rPr>
      </w:pPr>
      <w:r w:rsidRPr="006400D1">
        <w:rPr>
          <w:rFonts w:ascii="Times New Roman" w:hAnsi="Times New Roman"/>
          <w:b/>
          <w:bCs/>
        </w:rPr>
        <w:t>K Čl. I</w:t>
      </w:r>
    </w:p>
    <w:p w:rsidR="00573354" w:rsidRPr="006400D1" w:rsidP="00573354">
      <w:pPr>
        <w:pStyle w:val="BodyText2"/>
        <w:bidi w:val="0"/>
        <w:rPr>
          <w:rFonts w:ascii="Times New Roman" w:hAnsi="Times New Roman"/>
          <w:u w:val="single"/>
        </w:rPr>
      </w:pPr>
      <w:r w:rsidRPr="006400D1">
        <w:rPr>
          <w:rFonts w:ascii="Times New Roman" w:hAnsi="Times New Roman"/>
          <w:u w:val="single"/>
        </w:rPr>
        <w:t>K bodu 1</w:t>
      </w:r>
    </w:p>
    <w:p w:rsidR="00573354" w:rsidP="00DF4972">
      <w:pPr>
        <w:bidi w:val="0"/>
        <w:jc w:val="both"/>
        <w:rPr>
          <w:rFonts w:ascii="Times New Roman" w:hAnsi="Times New Roman"/>
        </w:rPr>
      </w:pPr>
      <w:r w:rsidRPr="005B6C92">
        <w:rPr>
          <w:rFonts w:ascii="Times New Roman" w:hAnsi="Times New Roman"/>
        </w:rPr>
        <w:t>Novo doplneným § 36a sa navrhuje, aby sa ustanovenia o</w:t>
      </w:r>
      <w:r w:rsidRPr="005B6C92" w:rsidR="00646115">
        <w:rPr>
          <w:rFonts w:ascii="Times New Roman" w:hAnsi="Times New Roman"/>
        </w:rPr>
        <w:t> náležitostiach zmluvy, o </w:t>
      </w:r>
      <w:r w:rsidRPr="005B6C92">
        <w:rPr>
          <w:rFonts w:ascii="Times New Roman" w:hAnsi="Times New Roman"/>
        </w:rPr>
        <w:t>transparentnej úrokovej sadzbe hypotekárneho úveru</w:t>
      </w:r>
      <w:r w:rsidRPr="005B6C92" w:rsidR="00646115">
        <w:rPr>
          <w:rFonts w:ascii="Times New Roman" w:hAnsi="Times New Roman"/>
        </w:rPr>
        <w:t>, o zákaze požadovania úhrady úrokov, poplatkov alebo iných nákladov v súvislosti s predčasným splatením, ako aj ustanovenia o oznamovacej povinnosti bánk</w:t>
      </w:r>
      <w:r w:rsidRPr="005B6C92">
        <w:rPr>
          <w:rFonts w:ascii="Times New Roman" w:hAnsi="Times New Roman"/>
        </w:rPr>
        <w:t xml:space="preserve"> vzťahovali aj na úvery zabezpečené záložným právom k</w:t>
      </w:r>
      <w:r w:rsidRPr="005B6C92" w:rsidR="00646115">
        <w:rPr>
          <w:rFonts w:ascii="Times New Roman" w:hAnsi="Times New Roman"/>
        </w:rPr>
        <w:t> </w:t>
      </w:r>
      <w:r w:rsidRPr="005B6C92">
        <w:rPr>
          <w:rFonts w:ascii="Times New Roman" w:hAnsi="Times New Roman"/>
        </w:rPr>
        <w:t>tuzemskej nehnuteľnosti, ktoré banky a pobočky zahraničných bánk poskytujú fyzickým osobám, nepodnikateľom</w:t>
      </w:r>
      <w:r w:rsidRPr="005B6C92" w:rsidR="00646115">
        <w:rPr>
          <w:rFonts w:ascii="Times New Roman" w:hAnsi="Times New Roman"/>
        </w:rPr>
        <w:t xml:space="preserve">. Týmto krokom sa </w:t>
      </w:r>
      <w:r w:rsidRPr="005B6C92">
        <w:rPr>
          <w:rFonts w:ascii="Times New Roman" w:hAnsi="Times New Roman"/>
        </w:rPr>
        <w:t>dosiahne porovnateľnosť podmienok pre klientov bánk</w:t>
      </w:r>
      <w:r w:rsidRPr="005B6C92" w:rsidR="00646115">
        <w:rPr>
          <w:rFonts w:ascii="Times New Roman" w:hAnsi="Times New Roman"/>
        </w:rPr>
        <w:t>.</w:t>
      </w:r>
      <w:r w:rsidRPr="005B6C92">
        <w:rPr>
          <w:rFonts w:ascii="Times New Roman" w:hAnsi="Times New Roman"/>
        </w:rPr>
        <w:t xml:space="preserve"> </w:t>
      </w:r>
    </w:p>
    <w:p w:rsidR="00DF4972" w:rsidRPr="005B6C92" w:rsidP="00DF4972">
      <w:pPr>
        <w:bidi w:val="0"/>
        <w:jc w:val="both"/>
        <w:rPr>
          <w:rFonts w:ascii="Times New Roman" w:hAnsi="Times New Roman"/>
        </w:rPr>
      </w:pPr>
    </w:p>
    <w:p w:rsidR="00573354" w:rsidRPr="006400D1" w:rsidP="00573354">
      <w:pPr>
        <w:pStyle w:val="BodyText2"/>
        <w:bidi w:val="0"/>
        <w:rPr>
          <w:rFonts w:ascii="Times New Roman" w:hAnsi="Times New Roman"/>
          <w:u w:val="single"/>
        </w:rPr>
      </w:pPr>
      <w:r w:rsidRPr="006400D1">
        <w:rPr>
          <w:rFonts w:ascii="Times New Roman" w:hAnsi="Times New Roman"/>
          <w:u w:val="single"/>
        </w:rPr>
        <w:t>K bodu 2</w:t>
      </w:r>
    </w:p>
    <w:p w:rsidR="00573354" w:rsidRPr="006400D1" w:rsidP="00573354">
      <w:pPr>
        <w:pStyle w:val="BodyText2"/>
        <w:bidi w:val="0"/>
        <w:rPr>
          <w:rFonts w:ascii="Times New Roman" w:hAnsi="Times New Roman"/>
        </w:rPr>
      </w:pPr>
      <w:r w:rsidRPr="006400D1">
        <w:rPr>
          <w:rFonts w:ascii="Times New Roman" w:hAnsi="Times New Roman"/>
          <w:iCs/>
        </w:rPr>
        <w:t>V § 7</w:t>
      </w:r>
      <w:r>
        <w:rPr>
          <w:rFonts w:ascii="Times New Roman" w:hAnsi="Times New Roman"/>
          <w:iCs/>
        </w:rPr>
        <w:t>5</w:t>
      </w:r>
      <w:r w:rsidRPr="006400D1">
        <w:rPr>
          <w:rFonts w:ascii="Times New Roman" w:hAnsi="Times New Roman"/>
          <w:iCs/>
        </w:rPr>
        <w:t xml:space="preserve"> ods. 4 písm. b) sa upravuje náležitosť zmluvy o hypotekárnom úvere, čím sa zabezpečí povinnosť pre hypotekárnu banku stanoviť v zmluve o hypotekárnom úvere dohodnut</w:t>
      </w:r>
      <w:r w:rsidR="00646115">
        <w:rPr>
          <w:rFonts w:ascii="Times New Roman" w:hAnsi="Times New Roman"/>
          <w:iCs/>
        </w:rPr>
        <w:t>ú</w:t>
      </w:r>
      <w:r w:rsidRPr="006400D1">
        <w:rPr>
          <w:rFonts w:ascii="Times New Roman" w:hAnsi="Times New Roman"/>
          <w:iCs/>
        </w:rPr>
        <w:t xml:space="preserve"> úrokov</w:t>
      </w:r>
      <w:r w:rsidR="00646115">
        <w:rPr>
          <w:rFonts w:ascii="Times New Roman" w:hAnsi="Times New Roman"/>
          <w:iCs/>
        </w:rPr>
        <w:t>ú</w:t>
      </w:r>
      <w:r w:rsidRPr="006400D1">
        <w:rPr>
          <w:rFonts w:ascii="Times New Roman" w:hAnsi="Times New Roman"/>
          <w:iCs/>
        </w:rPr>
        <w:t xml:space="preserve"> sadzb</w:t>
      </w:r>
      <w:r w:rsidR="00646115">
        <w:rPr>
          <w:rFonts w:ascii="Times New Roman" w:hAnsi="Times New Roman"/>
          <w:iCs/>
        </w:rPr>
        <w:t>u transparentne</w:t>
      </w:r>
      <w:r>
        <w:rPr>
          <w:rFonts w:ascii="Times New Roman" w:hAnsi="Times New Roman"/>
          <w:iCs/>
        </w:rPr>
        <w:t>. N</w:t>
      </w:r>
      <w:r w:rsidRPr="006400D1">
        <w:rPr>
          <w:rFonts w:ascii="Times New Roman" w:hAnsi="Times New Roman"/>
          <w:iCs/>
        </w:rPr>
        <w:t>avrhuje</w:t>
      </w:r>
      <w:r>
        <w:rPr>
          <w:rFonts w:ascii="Times New Roman" w:hAnsi="Times New Roman"/>
          <w:iCs/>
        </w:rPr>
        <w:t xml:space="preserve"> sa</w:t>
      </w:r>
      <w:r w:rsidRPr="006400D1">
        <w:rPr>
          <w:rFonts w:ascii="Times New Roman" w:hAnsi="Times New Roman"/>
          <w:iCs/>
        </w:rPr>
        <w:t>, aby sa úroková sadzba uv</w:t>
      </w:r>
      <w:r w:rsidR="00646115">
        <w:rPr>
          <w:rFonts w:ascii="Times New Roman" w:hAnsi="Times New Roman"/>
          <w:iCs/>
        </w:rPr>
        <w:t xml:space="preserve">ádzala </w:t>
      </w:r>
      <w:r w:rsidRPr="006400D1">
        <w:rPr>
          <w:rFonts w:ascii="Times New Roman" w:hAnsi="Times New Roman"/>
          <w:iCs/>
        </w:rPr>
        <w:t xml:space="preserve">ako súčet dvoch zložiek, a to </w:t>
      </w:r>
      <w:r>
        <w:rPr>
          <w:rFonts w:ascii="Times New Roman" w:hAnsi="Times New Roman"/>
          <w:iCs/>
        </w:rPr>
        <w:t>základnej</w:t>
      </w:r>
      <w:r w:rsidRPr="006400D1">
        <w:rPr>
          <w:rFonts w:ascii="Times New Roman" w:hAnsi="Times New Roman"/>
          <w:iCs/>
        </w:rPr>
        <w:t xml:space="preserve"> úrokovej sadzby</w:t>
      </w:r>
      <w:r>
        <w:rPr>
          <w:rFonts w:ascii="Times New Roman" w:hAnsi="Times New Roman"/>
          <w:iCs/>
        </w:rPr>
        <w:t xml:space="preserve"> hypotekárnej banky</w:t>
      </w:r>
      <w:r w:rsidRPr="006400D1">
        <w:rPr>
          <w:rFonts w:ascii="Times New Roman" w:hAnsi="Times New Roman"/>
          <w:iCs/>
        </w:rPr>
        <w:t xml:space="preserve"> a hrubej marže hypotekárnej banky. Zároveň sa definujú na účely zákona o bankách pojmy platná </w:t>
      </w:r>
      <w:r>
        <w:rPr>
          <w:rFonts w:ascii="Times New Roman" w:hAnsi="Times New Roman"/>
          <w:iCs/>
        </w:rPr>
        <w:t>základná</w:t>
      </w:r>
      <w:r w:rsidRPr="006400D1">
        <w:rPr>
          <w:rFonts w:ascii="Times New Roman" w:hAnsi="Times New Roman"/>
          <w:iCs/>
        </w:rPr>
        <w:t xml:space="preserve"> úroková sadzba</w:t>
      </w:r>
      <w:r>
        <w:rPr>
          <w:rFonts w:ascii="Times New Roman" w:hAnsi="Times New Roman"/>
          <w:iCs/>
        </w:rPr>
        <w:t xml:space="preserve"> hypotekárnej banky</w:t>
      </w:r>
      <w:r w:rsidRPr="006400D1">
        <w:rPr>
          <w:rFonts w:ascii="Times New Roman" w:hAnsi="Times New Roman"/>
          <w:iCs/>
        </w:rPr>
        <w:t xml:space="preserve"> a hrubá marža hypotekárnej banky. </w:t>
      </w:r>
    </w:p>
    <w:p w:rsidR="00573354" w:rsidRPr="006400D1" w:rsidP="00573354">
      <w:pPr>
        <w:pStyle w:val="BodyText2"/>
        <w:bidi w:val="0"/>
        <w:ind w:firstLine="360"/>
        <w:rPr>
          <w:rFonts w:ascii="Times New Roman" w:hAnsi="Times New Roman"/>
        </w:rPr>
      </w:pPr>
    </w:p>
    <w:p w:rsidR="00573354" w:rsidRPr="00E06EB6" w:rsidP="00573354">
      <w:pPr>
        <w:pStyle w:val="BodyText2"/>
        <w:bidi w:val="0"/>
        <w:rPr>
          <w:rFonts w:ascii="Times New Roman" w:hAnsi="Times New Roman"/>
          <w:u w:val="single"/>
        </w:rPr>
      </w:pPr>
      <w:r w:rsidRPr="00E06EB6">
        <w:rPr>
          <w:rFonts w:ascii="Times New Roman" w:hAnsi="Times New Roman"/>
          <w:u w:val="single"/>
        </w:rPr>
        <w:t>K bodu 3</w:t>
      </w:r>
    </w:p>
    <w:p w:rsidR="00573354" w:rsidRPr="00E06EB6" w:rsidP="00573354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en-US"/>
        </w:rPr>
      </w:pPr>
      <w:r w:rsidRPr="00E06EB6">
        <w:rPr>
          <w:rFonts w:ascii="Times New Roman" w:hAnsi="Times New Roman"/>
          <w:iCs/>
        </w:rPr>
        <w:t xml:space="preserve">Zákonom o bankách sa zakazuje hypotekárnej banke požadovať </w:t>
      </w:r>
      <w:r w:rsidRPr="00E06EB6">
        <w:rPr>
          <w:rFonts w:ascii="Times New Roman" w:hAnsi="Times New Roman"/>
        </w:rPr>
        <w:t xml:space="preserve">od klienta úhradu úrokov, poplatkov alebo iných nákladov v súvislosti s predčasným splatením hypotekárneho úveru na podnet klienta, a to len vtedy, </w:t>
      </w:r>
      <w:r w:rsidRPr="005B6C92">
        <w:rPr>
          <w:rFonts w:ascii="Times New Roman" w:hAnsi="Times New Roman"/>
        </w:rPr>
        <w:t>ak k predčasnému splateniu hypotekárneho úveru dôjde v súvislosti s uplynutím doby fixácie úrokovej sadzby hypotekárneho úveru s fixnou úrokovou sadzbou alebo v súvislosti so zmenou úrokovej sadzby hypotekárneho úveru pri hypotekárnom úvere s variabilnou úrokovou sadzbou. V iných prípadoch sa hypotekárna banka môže s klientom v zmluve o hypotekárnom</w:t>
      </w:r>
      <w:r w:rsidRPr="00E06EB6">
        <w:rPr>
          <w:rFonts w:ascii="Times New Roman" w:hAnsi="Times New Roman"/>
        </w:rPr>
        <w:t xml:space="preserve"> úvere dohodnúť na podmienkach prípadného predčasného splatenia hypotekárneho úveru na podnet klienta v súlade s § 75 ods. 4 písm. </w:t>
      </w:r>
      <w:r>
        <w:rPr>
          <w:rFonts w:ascii="Times New Roman" w:hAnsi="Times New Roman"/>
        </w:rPr>
        <w:t>g</w:t>
      </w:r>
      <w:r w:rsidRPr="00E06EB6">
        <w:rPr>
          <w:rFonts w:ascii="Times New Roman" w:hAnsi="Times New Roman"/>
        </w:rPr>
        <w:t>) zákona o bankách. Zároveň sa navrhuje, aby mala hypotekárna banka povinnosť bez</w:t>
      </w:r>
      <w:r w:rsidR="00646115">
        <w:rPr>
          <w:rFonts w:ascii="Times New Roman" w:hAnsi="Times New Roman"/>
        </w:rPr>
        <w:t>od</w:t>
      </w:r>
      <w:r w:rsidRPr="00E06EB6">
        <w:rPr>
          <w:rFonts w:ascii="Times New Roman" w:hAnsi="Times New Roman"/>
        </w:rPr>
        <w:t>platne oznámiť klientovi termín uplynutia doby fixácie úrokovej sadzby hypotekárneho úveru najneskôr dva mesiace pred uplynutím tejto doby a v súvislosti so zavedením transparentnej úrokovej sadzby, aj povinnosť oznámiť klientovi nielen termín vykonania zmeny úrokovej sadzby hypotekárneho úveru, ale aj aktuálnu výšku základnej úrokovej sadzby</w:t>
      </w:r>
      <w:r>
        <w:rPr>
          <w:rFonts w:ascii="Times New Roman" w:hAnsi="Times New Roman"/>
        </w:rPr>
        <w:t xml:space="preserve"> </w:t>
      </w:r>
      <w:r w:rsidRPr="00E06EB6">
        <w:rPr>
          <w:rFonts w:ascii="Times New Roman" w:hAnsi="Times New Roman"/>
        </w:rPr>
        <w:t xml:space="preserve">a výšku hrubej marže na nasledujúce úrokové obdobie, a to najneskôr dva mesiace pred vykonaním a začatím uplatňovania tejto zmeny. </w:t>
      </w:r>
    </w:p>
    <w:p w:rsidR="00573354" w:rsidRPr="006400D1" w:rsidP="00573354">
      <w:pPr>
        <w:pStyle w:val="BodyText2"/>
        <w:bidi w:val="0"/>
        <w:rPr>
          <w:rFonts w:ascii="Times New Roman" w:hAnsi="Times New Roman"/>
        </w:rPr>
      </w:pPr>
    </w:p>
    <w:p w:rsidR="00573354" w:rsidRPr="006400D1" w:rsidP="00573354">
      <w:pPr>
        <w:pStyle w:val="BodyText2"/>
        <w:bidi w:val="0"/>
        <w:rPr>
          <w:rFonts w:ascii="Times New Roman" w:hAnsi="Times New Roman"/>
          <w:u w:val="single"/>
        </w:rPr>
      </w:pPr>
      <w:r w:rsidRPr="006400D1">
        <w:rPr>
          <w:rFonts w:ascii="Times New Roman" w:hAnsi="Times New Roman"/>
          <w:u w:val="single"/>
        </w:rPr>
        <w:t>K bodu 4</w:t>
      </w:r>
    </w:p>
    <w:p w:rsidR="00DF4972" w:rsidP="00DF4972">
      <w:pPr>
        <w:bidi w:val="0"/>
        <w:jc w:val="both"/>
        <w:rPr>
          <w:rFonts w:ascii="Times New Roman" w:hAnsi="Times New Roman"/>
        </w:rPr>
      </w:pPr>
      <w:r w:rsidRPr="006400D1" w:rsidR="00573354">
        <w:rPr>
          <w:rFonts w:ascii="Times New Roman" w:hAnsi="Times New Roman"/>
          <w:iCs/>
        </w:rPr>
        <w:t xml:space="preserve">Novým odsekom 9 v § 75 sa navrhuje, aby </w:t>
      </w:r>
      <w:r w:rsidR="00573354">
        <w:rPr>
          <w:rFonts w:ascii="Times New Roman" w:hAnsi="Times New Roman"/>
          <w:iCs/>
        </w:rPr>
        <w:t xml:space="preserve">každá hypotekárna banka na svojej internetovej stránke zverejňovala </w:t>
      </w:r>
      <w:r w:rsidRPr="006400D1" w:rsidR="00573354">
        <w:rPr>
          <w:rFonts w:ascii="Times New Roman" w:hAnsi="Times New Roman"/>
          <w:iCs/>
        </w:rPr>
        <w:t>výšku</w:t>
      </w:r>
      <w:r w:rsidR="00573354">
        <w:rPr>
          <w:rFonts w:ascii="Times New Roman" w:hAnsi="Times New Roman"/>
          <w:iCs/>
        </w:rPr>
        <w:t xml:space="preserve"> svojej základnej</w:t>
      </w:r>
      <w:r w:rsidRPr="006400D1" w:rsidR="00573354">
        <w:rPr>
          <w:rFonts w:ascii="Times New Roman" w:hAnsi="Times New Roman"/>
          <w:iCs/>
        </w:rPr>
        <w:t xml:space="preserve"> úrokovej sadzby</w:t>
      </w:r>
      <w:r w:rsidR="00573354">
        <w:rPr>
          <w:rFonts w:ascii="Times New Roman" w:hAnsi="Times New Roman"/>
        </w:rPr>
        <w:t xml:space="preserve">, ktorá zohľadňuje mieru nákladov banky na financovanie hypotekárnych úverov. Klienti tak budú môcť na internetových stránkach bánk nájsť informácie o aktuálnej výške základnej úrokovej sadby, </w:t>
      </w:r>
      <w:r w:rsidRPr="005B6C92" w:rsidR="00573354">
        <w:rPr>
          <w:rFonts w:ascii="Times New Roman" w:hAnsi="Times New Roman"/>
        </w:rPr>
        <w:t>ako aj jej historický časový vývoj.</w:t>
      </w:r>
    </w:p>
    <w:p w:rsidR="00DF4972" w:rsidP="00DF4972">
      <w:pPr>
        <w:bidi w:val="0"/>
        <w:jc w:val="both"/>
        <w:rPr>
          <w:rFonts w:ascii="Times New Roman" w:hAnsi="Times New Roman"/>
        </w:rPr>
      </w:pPr>
    </w:p>
    <w:p w:rsidR="00573354" w:rsidRPr="00804033" w:rsidP="00573354">
      <w:pPr>
        <w:pStyle w:val="ListParagraph"/>
        <w:bidi w:val="0"/>
        <w:ind w:left="0"/>
        <w:rPr>
          <w:rFonts w:ascii="Times New Roman" w:hAnsi="Times New Roman"/>
          <w:sz w:val="24"/>
          <w:szCs w:val="24"/>
          <w:u w:val="single"/>
        </w:rPr>
      </w:pPr>
      <w:r w:rsidRPr="00804033">
        <w:rPr>
          <w:rFonts w:ascii="Times New Roman" w:hAnsi="Times New Roman"/>
          <w:sz w:val="24"/>
          <w:szCs w:val="24"/>
          <w:u w:val="single"/>
        </w:rPr>
        <w:t>K bodu 5</w:t>
      </w:r>
    </w:p>
    <w:p w:rsidR="00DF4972" w:rsidP="00DF4972">
      <w:pPr>
        <w:pStyle w:val="ListParagraph"/>
        <w:bidi w:val="0"/>
        <w:ind w:left="0"/>
      </w:pPr>
      <w:r w:rsidR="00573354">
        <w:rPr>
          <w:rFonts w:ascii="Times New Roman" w:hAnsi="Times New Roman"/>
          <w:sz w:val="24"/>
          <w:szCs w:val="24"/>
        </w:rPr>
        <w:t xml:space="preserve">Novým odsekom 6 v § 84 sa navrhuje, </w:t>
      </w:r>
      <w:r w:rsidRPr="006400D1" w:rsidR="00573354">
        <w:rPr>
          <w:rFonts w:ascii="Times New Roman" w:hAnsi="Times New Roman"/>
          <w:sz w:val="24"/>
          <w:szCs w:val="24"/>
        </w:rPr>
        <w:t>aby sa štátny príspevok poskytnutý na hypotekárny úver čerpal len do výšky aktuálnej úrokovej sadzby tohto úveru, ak bude táto nižšia, ako je priznaná výška štátneho príspevku.</w:t>
      </w:r>
      <w:r>
        <w:rPr>
          <w:rFonts w:ascii="Times New Roman" w:hAnsi="Times New Roman"/>
          <w:sz w:val="24"/>
          <w:szCs w:val="24"/>
        </w:rPr>
        <w:t xml:space="preserve"> </w:t>
        <w:br w:type="page"/>
      </w:r>
    </w:p>
    <w:p w:rsidR="00573354" w:rsidRPr="006400D1" w:rsidP="00573354">
      <w:pPr>
        <w:bidi w:val="0"/>
        <w:rPr>
          <w:rFonts w:ascii="Times New Roman" w:hAnsi="Times New Roman"/>
          <w:u w:val="single"/>
        </w:rPr>
      </w:pPr>
      <w:r w:rsidRPr="006400D1">
        <w:rPr>
          <w:rFonts w:ascii="Times New Roman" w:hAnsi="Times New Roman"/>
          <w:u w:val="single"/>
        </w:rPr>
        <w:t xml:space="preserve">K bodu </w:t>
      </w:r>
      <w:r>
        <w:rPr>
          <w:rFonts w:ascii="Times New Roman" w:hAnsi="Times New Roman"/>
          <w:u w:val="single"/>
        </w:rPr>
        <w:t>6</w:t>
      </w:r>
    </w:p>
    <w:p w:rsidR="00573354" w:rsidRPr="00E3739C" w:rsidP="005B6C92">
      <w:pPr>
        <w:pStyle w:val="ListParagraph"/>
        <w:bidi w:val="0"/>
        <w:spacing w:after="120"/>
        <w:ind w:left="0"/>
        <w:rPr>
          <w:rFonts w:ascii="Times New Roman" w:hAnsi="Times New Roman"/>
          <w:sz w:val="24"/>
          <w:szCs w:val="24"/>
        </w:rPr>
      </w:pPr>
      <w:r w:rsidRPr="00B04414">
        <w:rPr>
          <w:rFonts w:ascii="Times New Roman" w:hAnsi="Times New Roman"/>
          <w:sz w:val="24"/>
          <w:szCs w:val="24"/>
        </w:rPr>
        <w:t>Prechodnými ustanoveniami v § 122o sa navrhuje umožniť poberateľo</w:t>
      </w:r>
      <w:r w:rsidRPr="00B04414" w:rsidR="00737C2D">
        <w:rPr>
          <w:rFonts w:ascii="Times New Roman" w:hAnsi="Times New Roman"/>
          <w:sz w:val="24"/>
          <w:szCs w:val="24"/>
        </w:rPr>
        <w:t>vi</w:t>
      </w:r>
      <w:r w:rsidRPr="00B04414">
        <w:rPr>
          <w:rFonts w:ascii="Times New Roman" w:hAnsi="Times New Roman"/>
          <w:sz w:val="24"/>
          <w:szCs w:val="24"/>
        </w:rPr>
        <w:t xml:space="preserve"> hypotekárn</w:t>
      </w:r>
      <w:r w:rsidRPr="00B04414" w:rsidR="00737C2D">
        <w:rPr>
          <w:rFonts w:ascii="Times New Roman" w:hAnsi="Times New Roman"/>
          <w:sz w:val="24"/>
          <w:szCs w:val="24"/>
        </w:rPr>
        <w:t>eho</w:t>
      </w:r>
      <w:r w:rsidRPr="00B04414">
        <w:rPr>
          <w:rFonts w:ascii="Times New Roman" w:hAnsi="Times New Roman"/>
          <w:sz w:val="24"/>
          <w:szCs w:val="24"/>
        </w:rPr>
        <w:t xml:space="preserve"> úver</w:t>
      </w:r>
      <w:r w:rsidRPr="00B04414" w:rsidR="00737C2D">
        <w:rPr>
          <w:rFonts w:ascii="Times New Roman" w:hAnsi="Times New Roman"/>
          <w:sz w:val="24"/>
          <w:szCs w:val="24"/>
        </w:rPr>
        <w:t>u</w:t>
      </w:r>
      <w:r w:rsidRPr="00B04414">
        <w:rPr>
          <w:rFonts w:ascii="Times New Roman" w:hAnsi="Times New Roman"/>
          <w:sz w:val="24"/>
          <w:szCs w:val="24"/>
        </w:rPr>
        <w:t xml:space="preserve"> preniesť si štátny príspevok, ktorý mu bol poskytnutý podľa zákona o bankách účinného pred 1. júlom 2003 na pôvodný hypotekárny úver, aj na iný hypotekárny úver, poskytnutý hypotekárnou bankou od 1. januára 2012, ktorým splatí </w:t>
      </w:r>
      <w:r w:rsidRPr="00B04414" w:rsidR="00737C2D">
        <w:rPr>
          <w:rFonts w:ascii="Times New Roman" w:hAnsi="Times New Roman"/>
          <w:sz w:val="24"/>
          <w:szCs w:val="24"/>
        </w:rPr>
        <w:t xml:space="preserve">zostatkovú istinu </w:t>
      </w:r>
      <w:r w:rsidRPr="00B04414">
        <w:rPr>
          <w:rFonts w:ascii="Times New Roman" w:hAnsi="Times New Roman"/>
          <w:sz w:val="24"/>
          <w:szCs w:val="24"/>
        </w:rPr>
        <w:t>pôvodn</w:t>
      </w:r>
      <w:r w:rsidRPr="00B04414" w:rsidR="00737C2D">
        <w:rPr>
          <w:rFonts w:ascii="Times New Roman" w:hAnsi="Times New Roman"/>
          <w:sz w:val="24"/>
          <w:szCs w:val="24"/>
        </w:rPr>
        <w:t>ého</w:t>
      </w:r>
      <w:r w:rsidRPr="005B6C92">
        <w:rPr>
          <w:rFonts w:ascii="Times New Roman" w:hAnsi="Times New Roman"/>
          <w:sz w:val="24"/>
          <w:szCs w:val="24"/>
        </w:rPr>
        <w:t xml:space="preserve"> hypotekárn</w:t>
      </w:r>
      <w:r w:rsidRPr="005B6C92" w:rsidR="00737C2D">
        <w:rPr>
          <w:rFonts w:ascii="Times New Roman" w:hAnsi="Times New Roman"/>
          <w:sz w:val="24"/>
          <w:szCs w:val="24"/>
        </w:rPr>
        <w:t>eho</w:t>
      </w:r>
      <w:r w:rsidRPr="005B6C92">
        <w:rPr>
          <w:rFonts w:ascii="Times New Roman" w:hAnsi="Times New Roman"/>
          <w:sz w:val="24"/>
          <w:szCs w:val="24"/>
        </w:rPr>
        <w:t xml:space="preserve"> úver</w:t>
      </w:r>
      <w:r w:rsidRPr="005B6C92" w:rsidR="00737C2D">
        <w:rPr>
          <w:rFonts w:ascii="Times New Roman" w:hAnsi="Times New Roman"/>
          <w:sz w:val="24"/>
          <w:szCs w:val="24"/>
        </w:rPr>
        <w:t>u</w:t>
      </w:r>
      <w:r w:rsidRPr="005B6C92">
        <w:rPr>
          <w:rFonts w:ascii="Times New Roman" w:hAnsi="Times New Roman"/>
          <w:sz w:val="24"/>
          <w:szCs w:val="24"/>
        </w:rPr>
        <w:t>. Pričom musia byť splnené dve podmienky, a to že úroková sadzba</w:t>
      </w:r>
      <w:r w:rsidRPr="00E3739C">
        <w:rPr>
          <w:rFonts w:ascii="Times New Roman" w:hAnsi="Times New Roman"/>
          <w:sz w:val="24"/>
          <w:szCs w:val="24"/>
        </w:rPr>
        <w:t xml:space="preserve"> „nového“ hypotekárneho úveru bude nižšia ako úroková sadzba pôvodného hypotekárneho úveru a doba splatnosti „nového“ hypotekárneho úveru nebude presahovať alebo bude kratšia ako doba do splatnosti (zostávajúca doba splatnosti pôvodného hypotekárneho úveru) pôvodného hypotekárneho úveru. V súčinnosti s doplnením § 84 o odsek 6 sa navrhuje, aby sa čerpal štátny príspevok poskytnutý na „nový“ hypotekárny úver len do výšky aktuálnej úrokovej sadzby tohto úveru, ak bude táto nižšia, ako je priznaná výška štátneho príspevku.</w:t>
      </w:r>
    </w:p>
    <w:p w:rsidR="00573354" w:rsidRPr="00B04414" w:rsidP="00DF4972">
      <w:pPr>
        <w:bidi w:val="0"/>
        <w:jc w:val="both"/>
        <w:rPr>
          <w:rFonts w:ascii="Times New Roman" w:hAnsi="Times New Roman"/>
          <w:lang w:val="cs-CZ"/>
        </w:rPr>
      </w:pPr>
      <w:r w:rsidRPr="00B04414">
        <w:rPr>
          <w:rFonts w:ascii="Times New Roman" w:hAnsi="Times New Roman"/>
        </w:rPr>
        <w:t>Zároveň sa navrhuje</w:t>
      </w:r>
      <w:r w:rsidRPr="00B04414" w:rsidR="005B6C92">
        <w:rPr>
          <w:rFonts w:ascii="Times New Roman" w:hAnsi="Times New Roman"/>
        </w:rPr>
        <w:t xml:space="preserve"> v odseku 3</w:t>
      </w:r>
      <w:r w:rsidRPr="00B04414">
        <w:rPr>
          <w:rFonts w:ascii="Times New Roman" w:hAnsi="Times New Roman"/>
        </w:rPr>
        <w:t>, aby sa ustanovenie § 75 ods. 6 druhej vety, účinné od 1.</w:t>
      </w:r>
      <w:r w:rsidRPr="00B04414" w:rsidR="005B6C92">
        <w:rPr>
          <w:rFonts w:ascii="Times New Roman" w:hAnsi="Times New Roman"/>
        </w:rPr>
        <w:t> </w:t>
      </w:r>
      <w:r w:rsidRPr="00B04414">
        <w:rPr>
          <w:rFonts w:ascii="Times New Roman" w:hAnsi="Times New Roman"/>
        </w:rPr>
        <w:t>januára 2012, týkajúce sa zákazu žiadať od klienta úhradu akýchkoľvek poplatkov, ktoré súvisia s predčasným splatením hypotekárneho úveru, ak k nemu dôjde pri refixácii úrokovej sadzby pri hypotekárnom úvere s fixnou úrokovou sadzbou alebo pri zmene úrokovej sadzby pri úveroch s variabilnou úrokovou sadzbou, uplatňovalo pri najbližšom uplynutí doby fixácie úrokovej sadzby hypotekárneho úveru alebo pri najbližšej zmene úrokovej sadzby hypotekárneho úveru. Vzhľadom na účinnosť zákona a vzhľadom na dvojmesačnú lehotu informovania klienta pred vykonaním zmien v súvislosti s refixáciou alebo zmenou úrokovej sadzby sa ustanovenie o oznamovacích povinnostiach hypotekárnej banky prvýkrát použije 15. marca 2012.</w:t>
      </w:r>
      <w:r w:rsidRPr="00B04414" w:rsidR="005B6C92">
        <w:rPr>
          <w:rFonts w:ascii="Times New Roman" w:hAnsi="Times New Roman"/>
        </w:rPr>
        <w:t xml:space="preserve"> Z uvedeného vyplýva, že zákaz požadovania úhrady úrokov, poplatkov alebo iných nákladov v súvislosti s predčasným splatením hypotekárneho úveru od klienta sa bude uplatňovať aj na zmluvy o hypotekárnom úvere uzatvorené pred 1.</w:t>
      </w:r>
      <w:r w:rsidRPr="00B04414" w:rsidR="00A9194B">
        <w:rPr>
          <w:rFonts w:ascii="Times New Roman" w:hAnsi="Times New Roman"/>
        </w:rPr>
        <w:t> </w:t>
      </w:r>
      <w:r w:rsidRPr="00B04414" w:rsidR="005B6C92">
        <w:rPr>
          <w:rFonts w:ascii="Times New Roman" w:hAnsi="Times New Roman"/>
        </w:rPr>
        <w:t>januárom 2012</w:t>
      </w:r>
      <w:r w:rsidRPr="00B04414" w:rsidR="00B04414">
        <w:rPr>
          <w:rFonts w:ascii="Times New Roman" w:hAnsi="Times New Roman"/>
        </w:rPr>
        <w:t>, avšak až pri refixácii alebo zmene úrokovej sadzby po účinnosti zákona</w:t>
      </w:r>
      <w:r w:rsidRPr="00B04414" w:rsidR="005B6C92">
        <w:rPr>
          <w:rFonts w:ascii="Times New Roman" w:hAnsi="Times New Roman"/>
        </w:rPr>
        <w:t xml:space="preserve">. Takisto </w:t>
      </w:r>
      <w:r w:rsidRPr="00B04414" w:rsidR="00B04414">
        <w:rPr>
          <w:rFonts w:ascii="Times New Roman" w:hAnsi="Times New Roman"/>
        </w:rPr>
        <w:t xml:space="preserve">to bude </w:t>
      </w:r>
      <w:r w:rsidRPr="00B04414" w:rsidR="005B6C92">
        <w:rPr>
          <w:rFonts w:ascii="Times New Roman" w:hAnsi="Times New Roman"/>
        </w:rPr>
        <w:t>i</w:t>
      </w:r>
      <w:r w:rsidRPr="00B04414" w:rsidR="00B04414">
        <w:rPr>
          <w:rFonts w:ascii="Times New Roman" w:hAnsi="Times New Roman"/>
        </w:rPr>
        <w:t xml:space="preserve"> pri </w:t>
      </w:r>
      <w:r w:rsidRPr="00B04414" w:rsidR="005B6C92">
        <w:rPr>
          <w:rFonts w:ascii="Times New Roman" w:hAnsi="Times New Roman"/>
        </w:rPr>
        <w:t>oznamovac</w:t>
      </w:r>
      <w:r w:rsidRPr="00B04414" w:rsidR="00B04414">
        <w:rPr>
          <w:rFonts w:ascii="Times New Roman" w:hAnsi="Times New Roman"/>
        </w:rPr>
        <w:t>ej</w:t>
      </w:r>
      <w:r w:rsidRPr="00B04414" w:rsidR="005B6C92">
        <w:rPr>
          <w:rFonts w:ascii="Times New Roman" w:hAnsi="Times New Roman"/>
        </w:rPr>
        <w:t xml:space="preserve"> povinnos</w:t>
      </w:r>
      <w:r w:rsidRPr="00B04414" w:rsidR="00B04414">
        <w:rPr>
          <w:rFonts w:ascii="Times New Roman" w:hAnsi="Times New Roman"/>
        </w:rPr>
        <w:t>ti</w:t>
      </w:r>
      <w:r w:rsidRPr="00B04414" w:rsidR="005B6C92">
        <w:rPr>
          <w:rFonts w:ascii="Times New Roman" w:hAnsi="Times New Roman"/>
        </w:rPr>
        <w:t xml:space="preserve"> banky informovať klienta dva kalendárne mesiace pred vykonaním zmeny úrokovej sadzby</w:t>
      </w:r>
      <w:r w:rsidRPr="00B04414" w:rsidR="00B04414">
        <w:rPr>
          <w:rFonts w:ascii="Times New Roman" w:hAnsi="Times New Roman"/>
        </w:rPr>
        <w:t>, tzn. tento zákon</w:t>
      </w:r>
      <w:r w:rsidRPr="00B04414" w:rsidR="005B6C92">
        <w:rPr>
          <w:rFonts w:ascii="Times New Roman" w:hAnsi="Times New Roman"/>
        </w:rPr>
        <w:t xml:space="preserve"> sa bude uplatňovať na zmluvy o hypotekárnom úvere uzatvorené pred 1. januárom 2012</w:t>
      </w:r>
      <w:r w:rsidRPr="00B04414" w:rsidR="00B04414">
        <w:rPr>
          <w:rFonts w:ascii="Times New Roman" w:hAnsi="Times New Roman"/>
        </w:rPr>
        <w:t>, avšak až pri refixácii alebo zmene úrokovej sadzby uskutočnenej po účinnosti zákona</w:t>
      </w:r>
      <w:r w:rsidRPr="00B04414" w:rsidR="005B6C92">
        <w:rPr>
          <w:rFonts w:ascii="Times New Roman" w:hAnsi="Times New Roman"/>
        </w:rPr>
        <w:t>.</w:t>
      </w:r>
    </w:p>
    <w:p w:rsidR="00573354" w:rsidRPr="00E3739C" w:rsidP="00573354">
      <w:pPr>
        <w:pStyle w:val="BodyText2"/>
        <w:bidi w:val="0"/>
        <w:ind w:left="360" w:firstLine="348"/>
        <w:rPr>
          <w:rFonts w:ascii="Times New Roman" w:hAnsi="Times New Roman"/>
        </w:rPr>
      </w:pPr>
    </w:p>
    <w:p w:rsidR="00573354" w:rsidRPr="00E3739C" w:rsidP="00DF4972">
      <w:pPr>
        <w:pStyle w:val="BodyText2"/>
        <w:bidi w:val="0"/>
        <w:spacing w:after="120"/>
        <w:rPr>
          <w:rFonts w:ascii="Times New Roman" w:hAnsi="Times New Roman"/>
          <w:b/>
          <w:bCs/>
        </w:rPr>
      </w:pPr>
      <w:r w:rsidRPr="00E3739C">
        <w:rPr>
          <w:rFonts w:ascii="Times New Roman" w:hAnsi="Times New Roman"/>
          <w:b/>
          <w:bCs/>
        </w:rPr>
        <w:t xml:space="preserve">K Čl. II </w:t>
      </w:r>
    </w:p>
    <w:p w:rsidR="00573354" w:rsidRPr="00E3739C" w:rsidP="00573354">
      <w:pPr>
        <w:pStyle w:val="BodyText2"/>
        <w:bidi w:val="0"/>
        <w:rPr>
          <w:rFonts w:ascii="Times New Roman" w:hAnsi="Times New Roman"/>
        </w:rPr>
      </w:pPr>
      <w:r w:rsidRPr="00E3739C">
        <w:rPr>
          <w:rFonts w:ascii="Times New Roman" w:hAnsi="Times New Roman"/>
        </w:rPr>
        <w:t>Účinnosť zákona sa navrhuje od 1. januára 2012.</w:t>
      </w:r>
    </w:p>
    <w:p w:rsidR="00DF4972" w:rsidP="00DF4972">
      <w:pPr>
        <w:bidi w:val="0"/>
        <w:rPr>
          <w:rFonts w:ascii="Times New Roman" w:hAnsi="Times New Roman"/>
        </w:rPr>
      </w:pPr>
    </w:p>
    <w:p w:rsidR="00DF4972">
      <w:pPr>
        <w:bidi w:val="0"/>
        <w:rPr>
          <w:rFonts w:ascii="Times New Roman" w:hAnsi="Times New Roman"/>
        </w:rPr>
      </w:pPr>
    </w:p>
    <w:p w:rsidR="00DF497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Schválené vládou Slovenskej republiky dňa 8. júna 2011.</w:t>
      </w:r>
    </w:p>
    <w:p w:rsidR="00DF4972" w:rsidP="00DF4972">
      <w:pPr>
        <w:bidi w:val="0"/>
        <w:jc w:val="center"/>
        <w:rPr>
          <w:rFonts w:ascii="Times New Roman" w:hAnsi="Times New Roman"/>
        </w:rPr>
      </w:pPr>
    </w:p>
    <w:p w:rsidR="00DF4972" w:rsidP="00DF4972">
      <w:pPr>
        <w:bidi w:val="0"/>
        <w:jc w:val="center"/>
        <w:rPr>
          <w:rFonts w:ascii="Times New Roman" w:hAnsi="Times New Roman"/>
        </w:rPr>
      </w:pPr>
    </w:p>
    <w:p w:rsidR="00DF4972" w:rsidP="00DF4972">
      <w:pPr>
        <w:bidi w:val="0"/>
        <w:jc w:val="center"/>
        <w:rPr>
          <w:rFonts w:ascii="Times New Roman" w:hAnsi="Times New Roman"/>
        </w:rPr>
      </w:pPr>
    </w:p>
    <w:p w:rsidR="00DF4972" w:rsidP="00DF4972">
      <w:pPr>
        <w:bidi w:val="0"/>
        <w:jc w:val="center"/>
        <w:rPr>
          <w:rFonts w:ascii="Times New Roman" w:hAnsi="Times New Roman"/>
        </w:rPr>
      </w:pPr>
    </w:p>
    <w:p w:rsidR="00DF4972" w:rsidRPr="00DF4972" w:rsidP="00DF4972">
      <w:pPr>
        <w:bidi w:val="0"/>
        <w:jc w:val="center"/>
        <w:rPr>
          <w:rFonts w:ascii="Times New Roman" w:hAnsi="Times New Roman"/>
          <w:b/>
        </w:rPr>
      </w:pPr>
      <w:r w:rsidRPr="00DF4972">
        <w:rPr>
          <w:rFonts w:ascii="Times New Roman" w:hAnsi="Times New Roman"/>
          <w:b/>
        </w:rPr>
        <w:t>Iveta</w:t>
      </w:r>
      <w:r>
        <w:rPr>
          <w:rFonts w:ascii="Times New Roman" w:hAnsi="Times New Roman"/>
          <w:b/>
        </w:rPr>
        <w:t xml:space="preserve"> </w:t>
      </w:r>
      <w:r w:rsidRPr="00DF4972">
        <w:rPr>
          <w:rFonts w:ascii="Times New Roman" w:hAnsi="Times New Roman"/>
          <w:b/>
        </w:rPr>
        <w:t xml:space="preserve"> R a d i č o v</w:t>
      </w:r>
      <w:r w:rsidR="000803C0">
        <w:rPr>
          <w:rFonts w:ascii="Times New Roman" w:hAnsi="Times New Roman"/>
          <w:b/>
        </w:rPr>
        <w:t> </w:t>
      </w:r>
      <w:r w:rsidRPr="00DF4972">
        <w:rPr>
          <w:rFonts w:ascii="Times New Roman" w:hAnsi="Times New Roman"/>
          <w:b/>
        </w:rPr>
        <w:t>á</w:t>
      </w:r>
      <w:r w:rsidRPr="000803C0" w:rsidR="000803C0">
        <w:rPr>
          <w:rFonts w:ascii="Times New Roman" w:hAnsi="Times New Roman"/>
        </w:rPr>
        <w:t>, v. r.</w:t>
      </w:r>
    </w:p>
    <w:p w:rsidR="00DF4972" w:rsidP="00DF497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predsedníčka vlády</w:t>
      </w:r>
    </w:p>
    <w:p w:rsidR="00DF4972" w:rsidP="00DF497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DF4972" w:rsidP="00DF4972">
      <w:pPr>
        <w:bidi w:val="0"/>
        <w:jc w:val="center"/>
        <w:rPr>
          <w:rFonts w:ascii="Times New Roman" w:hAnsi="Times New Roman"/>
        </w:rPr>
      </w:pPr>
    </w:p>
    <w:p w:rsidR="00DF4972" w:rsidP="00DF4972">
      <w:pPr>
        <w:bidi w:val="0"/>
        <w:jc w:val="center"/>
        <w:rPr>
          <w:rFonts w:ascii="Times New Roman" w:hAnsi="Times New Roman"/>
        </w:rPr>
      </w:pPr>
    </w:p>
    <w:p w:rsidR="00DF4972" w:rsidP="00DF4972">
      <w:pPr>
        <w:bidi w:val="0"/>
        <w:jc w:val="center"/>
        <w:rPr>
          <w:rFonts w:ascii="Times New Roman" w:hAnsi="Times New Roman"/>
        </w:rPr>
      </w:pPr>
    </w:p>
    <w:p w:rsidR="00DF4972" w:rsidP="00DF4972">
      <w:pPr>
        <w:bidi w:val="0"/>
        <w:jc w:val="center"/>
        <w:rPr>
          <w:rFonts w:ascii="Times New Roman" w:hAnsi="Times New Roman"/>
        </w:rPr>
      </w:pPr>
    </w:p>
    <w:p w:rsidR="00DF4972" w:rsidRPr="00DF4972" w:rsidP="00DF4972">
      <w:pPr>
        <w:bidi w:val="0"/>
        <w:jc w:val="center"/>
        <w:rPr>
          <w:rFonts w:ascii="Times New Roman" w:hAnsi="Times New Roman"/>
          <w:b/>
        </w:rPr>
      </w:pPr>
      <w:r w:rsidRPr="00DF4972">
        <w:rPr>
          <w:rFonts w:ascii="Times New Roman" w:hAnsi="Times New Roman"/>
          <w:b/>
        </w:rPr>
        <w:t>Ivan  M i k l o</w:t>
      </w:r>
      <w:r w:rsidR="005E1A98">
        <w:rPr>
          <w:rFonts w:ascii="Times New Roman" w:hAnsi="Times New Roman"/>
          <w:b/>
        </w:rPr>
        <w:t> </w:t>
      </w:r>
      <w:r w:rsidRPr="00DF4972">
        <w:rPr>
          <w:rFonts w:ascii="Times New Roman" w:hAnsi="Times New Roman"/>
          <w:b/>
        </w:rPr>
        <w:t>š</w:t>
      </w:r>
      <w:r w:rsidR="005E1A98">
        <w:rPr>
          <w:rFonts w:ascii="Times New Roman" w:hAnsi="Times New Roman"/>
          <w:b/>
        </w:rPr>
        <w:t xml:space="preserve">, </w:t>
      </w:r>
      <w:r w:rsidRPr="005E1A98" w:rsidR="005E1A98">
        <w:rPr>
          <w:rFonts w:ascii="Times New Roman" w:hAnsi="Times New Roman"/>
        </w:rPr>
        <w:t>v. r.</w:t>
      </w:r>
    </w:p>
    <w:p w:rsidR="00DF4972" w:rsidP="00DF497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podpredseda vlády a minister financií</w:t>
      </w:r>
    </w:p>
    <w:p w:rsidR="00DF4972" w:rsidP="005E1A98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D2F43"/>
    <w:multiLevelType w:val="hybridMultilevel"/>
    <w:tmpl w:val="A46428B4"/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669B16D2"/>
    <w:multiLevelType w:val="hybridMultilevel"/>
    <w:tmpl w:val="3EF6E3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73354"/>
    <w:rsid w:val="000803C0"/>
    <w:rsid w:val="000A5E25"/>
    <w:rsid w:val="001609C8"/>
    <w:rsid w:val="002454FF"/>
    <w:rsid w:val="00476004"/>
    <w:rsid w:val="00573354"/>
    <w:rsid w:val="005B6C92"/>
    <w:rsid w:val="005E1A98"/>
    <w:rsid w:val="006400D1"/>
    <w:rsid w:val="00646115"/>
    <w:rsid w:val="006570B1"/>
    <w:rsid w:val="00737C2D"/>
    <w:rsid w:val="00745EFD"/>
    <w:rsid w:val="007818C8"/>
    <w:rsid w:val="00804033"/>
    <w:rsid w:val="008A4DA1"/>
    <w:rsid w:val="008C0064"/>
    <w:rsid w:val="008D4348"/>
    <w:rsid w:val="009178DA"/>
    <w:rsid w:val="0096433C"/>
    <w:rsid w:val="00A8025E"/>
    <w:rsid w:val="00A9194B"/>
    <w:rsid w:val="00AB46CD"/>
    <w:rsid w:val="00B04414"/>
    <w:rsid w:val="00C07F13"/>
    <w:rsid w:val="00C2425B"/>
    <w:rsid w:val="00D3362A"/>
    <w:rsid w:val="00DB2898"/>
    <w:rsid w:val="00DF4972"/>
    <w:rsid w:val="00E06EB6"/>
    <w:rsid w:val="00E3739C"/>
    <w:rsid w:val="00EF6E7E"/>
    <w:rsid w:val="00F2739E"/>
    <w:rsid w:val="00FA385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35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99"/>
    <w:qFormat/>
    <w:rsid w:val="00573354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99"/>
    <w:locked/>
    <w:rsid w:val="00573354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rsid w:val="00573354"/>
    <w:pPr>
      <w:jc w:val="both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57335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Subtitle">
    <w:name w:val="Subtitle"/>
    <w:basedOn w:val="Normal"/>
    <w:link w:val="PodtitulChar"/>
    <w:uiPriority w:val="99"/>
    <w:qFormat/>
    <w:rsid w:val="00573354"/>
    <w:pPr>
      <w:jc w:val="left"/>
    </w:pPr>
    <w:rPr>
      <w:b/>
      <w:bCs/>
    </w:rPr>
  </w:style>
  <w:style w:type="character" w:customStyle="1" w:styleId="PodtitulChar">
    <w:name w:val="Podtitul Char"/>
    <w:basedOn w:val="DefaultParagraphFont"/>
    <w:link w:val="Subtitle"/>
    <w:uiPriority w:val="99"/>
    <w:locked/>
    <w:rsid w:val="00573354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573354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73354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573354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573354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7335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73354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BF4BA-2858-4ABB-A112-3A0BC2AB6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825</Words>
  <Characters>4786</Characters>
  <Application>Microsoft Office Word</Application>
  <DocSecurity>0</DocSecurity>
  <Lines>0</Lines>
  <Paragraphs>0</Paragraphs>
  <ScaleCrop>false</ScaleCrop>
  <Company/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abartikova</dc:creator>
  <cp:lastModifiedBy>abartikova</cp:lastModifiedBy>
  <cp:revision>7</cp:revision>
  <cp:lastPrinted>2011-05-24T09:27:00Z</cp:lastPrinted>
  <dcterms:created xsi:type="dcterms:W3CDTF">2011-06-07T15:03:00Z</dcterms:created>
  <dcterms:modified xsi:type="dcterms:W3CDTF">2011-06-08T11:57:00Z</dcterms:modified>
</cp:coreProperties>
</file>