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3354" w:rsidRPr="006400D1" w:rsidP="00573354">
      <w:pPr>
        <w:pStyle w:val="Title"/>
        <w:bidi w:val="0"/>
        <w:rPr>
          <w:rFonts w:ascii="Times New Roman" w:hAnsi="Times New Roman"/>
        </w:rPr>
      </w:pPr>
      <w:r w:rsidRPr="006400D1">
        <w:rPr>
          <w:rFonts w:ascii="Times New Roman" w:hAnsi="Times New Roman"/>
        </w:rPr>
        <w:t>Dôvodová správa</w:t>
      </w:r>
    </w:p>
    <w:p w:rsidR="00573354" w:rsidRPr="006400D1" w:rsidP="00573354">
      <w:pPr>
        <w:bidi w:val="0"/>
        <w:jc w:val="center"/>
        <w:rPr>
          <w:rFonts w:ascii="Times New Roman" w:hAnsi="Times New Roman"/>
          <w:b/>
          <w:bCs/>
        </w:rPr>
      </w:pPr>
    </w:p>
    <w:p w:rsidR="00573354" w:rsidRPr="006400D1" w:rsidP="00573354">
      <w:pPr>
        <w:pStyle w:val="Subtitle"/>
        <w:bidi w:val="0"/>
        <w:jc w:val="both"/>
        <w:rPr>
          <w:rFonts w:ascii="Times New Roman" w:hAnsi="Times New Roman"/>
        </w:rPr>
      </w:pPr>
      <w:r w:rsidRPr="006400D1">
        <w:rPr>
          <w:rFonts w:ascii="Times New Roman" w:hAnsi="Times New Roman"/>
        </w:rPr>
        <w:t>Všeobecná časť</w:t>
      </w:r>
    </w:p>
    <w:p w:rsidR="00573354" w:rsidRPr="006400D1" w:rsidP="00573354">
      <w:pPr>
        <w:bidi w:val="0"/>
        <w:jc w:val="both"/>
        <w:rPr>
          <w:rFonts w:ascii="Times New Roman" w:hAnsi="Times New Roman"/>
        </w:rPr>
      </w:pPr>
    </w:p>
    <w:p w:rsidR="00573354" w:rsidRPr="006400D1" w:rsidP="00573354">
      <w:pPr>
        <w:bidi w:val="0"/>
        <w:jc w:val="both"/>
        <w:rPr>
          <w:rFonts w:ascii="Times New Roman" w:hAnsi="Times New Roman"/>
        </w:rPr>
      </w:pPr>
      <w:r w:rsidRPr="006400D1">
        <w:rPr>
          <w:rFonts w:ascii="Times New Roman" w:hAnsi="Times New Roman"/>
        </w:rPr>
        <w:tab/>
        <w:t xml:space="preserve">Hypotekárne bankovníctvo bolo v Slovenskej republike upravené novelou zákona o bankách v roku 1997. Pri začatí poskytovania prvých hypotekárnych úverov v rokoch </w:t>
      </w:r>
      <w:r>
        <w:rPr>
          <w:rFonts w:ascii="Times New Roman" w:hAnsi="Times New Roman"/>
        </w:rPr>
        <w:br/>
      </w:r>
      <w:r w:rsidRPr="006400D1">
        <w:rPr>
          <w:rFonts w:ascii="Times New Roman" w:hAnsi="Times New Roman"/>
        </w:rPr>
        <w:t>1997 – 1998 sa úroková sadzba pohybovala okolo 20 % p.a. a bola pre väčšinu záujemcov neakceptovateľná. Oživenie na trhu hypotekárnych úverov nastalo v roku 1999, keď sa zaviedol systém bonifikácie hypotekárnych úverov formou štátneho príspevku. Od zavedenia tejto nepriamej podpory štátu v oblasti bytovej politiky došlo k rýchlemu rastu objemu poskytovaných hypotekárnych úverov so štátnym príspevkom pre fyzické osoby. Negatívnym znakom tohto systému z pohľadu verejných výdavkov boli geometrickým radom narastajúce nároky na štátny príspevok zo štátneho rozpočtu. Z tohto dôvodu sa od 1. júla 2003 zmenila viazanosť výšky štátneho príspevku z fixnej na pohyblivú, určenú každoročne v zákone o štátnom rozpočte. Vplyvom tejto zmeny počet hypotekárnych zmlúv s nárokom na štátny príspevok postupne klesol z 50 tis. na konci roka 2004 na 24 tis. v roku 2010.</w:t>
      </w:r>
    </w:p>
    <w:p w:rsidR="00573354" w:rsidRPr="006400D1" w:rsidP="00573354">
      <w:pPr>
        <w:bidi w:val="0"/>
        <w:jc w:val="both"/>
        <w:rPr>
          <w:rFonts w:ascii="Times New Roman" w:hAnsi="Times New Roman"/>
        </w:rPr>
      </w:pPr>
      <w:r w:rsidRPr="006400D1">
        <w:rPr>
          <w:rFonts w:ascii="Times New Roman" w:hAnsi="Times New Roman"/>
        </w:rPr>
        <w:tab/>
        <w:t>V rámci analýzy vývoja hypotekárnych úverov v posledných rokoch boli identifikované nasledujúce javy v oblasti hypotekárneho bankovníctva:</w:t>
      </w:r>
    </w:p>
    <w:p w:rsidR="00573354" w:rsidRPr="006400D1" w:rsidP="00573354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6400D1">
        <w:rPr>
          <w:rFonts w:ascii="Times New Roman" w:hAnsi="Times New Roman"/>
        </w:rPr>
        <w:t>štátna bonifikácia tzv. „starých“ hypotekárnych úverov je príliš vysoká a celkové ročné výdavky na štátne príspevky k hypotekárnym úverom predstavujú až 60 % zo štátnej podpory,</w:t>
      </w:r>
    </w:p>
    <w:p w:rsidR="00573354" w:rsidRPr="006400D1" w:rsidP="00573354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6400D1">
        <w:rPr>
          <w:rFonts w:ascii="Times New Roman" w:hAnsi="Times New Roman"/>
        </w:rPr>
        <w:t>klasické hypotekárne úvery na Slovensku patria medzi najdrahšie v celej eurozóne,</w:t>
      </w:r>
    </w:p>
    <w:p w:rsidR="00573354" w:rsidRPr="006400D1" w:rsidP="00573354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6400D1">
        <w:rPr>
          <w:rFonts w:ascii="Times New Roman" w:hAnsi="Times New Roman"/>
        </w:rPr>
        <w:t>vyjednávacia pozícia klientov pri stanovovaní novej úrokovej sadzby je príliš slabá,</w:t>
      </w:r>
    </w:p>
    <w:p w:rsidR="00573354" w:rsidRPr="006400D1" w:rsidP="00573354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6400D1">
        <w:rPr>
          <w:rFonts w:ascii="Times New Roman" w:hAnsi="Times New Roman"/>
        </w:rPr>
        <w:t>klasické hypotekárne úvery sú „vytláčané“ inými úvermi na nehnuteľnosti.</w:t>
      </w:r>
    </w:p>
    <w:p w:rsidR="00573354" w:rsidRPr="006400D1" w:rsidP="00573354">
      <w:pPr>
        <w:bidi w:val="0"/>
        <w:ind w:left="720"/>
        <w:jc w:val="both"/>
        <w:rPr>
          <w:rFonts w:ascii="Times New Roman" w:hAnsi="Times New Roman"/>
        </w:rPr>
      </w:pPr>
    </w:p>
    <w:p w:rsidR="00573354" w:rsidRPr="006400D1" w:rsidP="00573354">
      <w:pPr>
        <w:bidi w:val="0"/>
        <w:jc w:val="both"/>
        <w:rPr>
          <w:rFonts w:ascii="Times New Roman" w:hAnsi="Times New Roman"/>
        </w:rPr>
      </w:pPr>
      <w:r w:rsidRPr="006400D1">
        <w:rPr>
          <w:rFonts w:ascii="Times New Roman" w:hAnsi="Times New Roman"/>
        </w:rPr>
        <w:tab/>
        <w:t xml:space="preserve">Na základe týchto zistení boli vypracované návrhy na zmeny v systéme financovania podpory bývania v SR, ktoré boli schválené </w:t>
      </w:r>
      <w:r>
        <w:rPr>
          <w:rFonts w:ascii="Times New Roman" w:hAnsi="Times New Roman"/>
        </w:rPr>
        <w:t>u</w:t>
      </w:r>
      <w:r w:rsidRPr="006400D1">
        <w:rPr>
          <w:rFonts w:ascii="Times New Roman" w:hAnsi="Times New Roman"/>
        </w:rPr>
        <w:t xml:space="preserve">znesením vlády SR č. 170 z 9. marca 2011. Z bodu B.2. tohto uznesenia vyplynula Ministerstvu financií SR úloha predložiť návrh legislatívnych úprav týkajúcich sa financovania podpory bývania. Niektoré návrhy boli zapracované do novely zákona o bankách a sú účinné od 1. apríla 2011. Ďalšia časť návrhov riešenia súčasného stavu pri poskytovaní hypotekárnych úverov </w:t>
      </w:r>
      <w:r>
        <w:rPr>
          <w:rFonts w:ascii="Times New Roman" w:hAnsi="Times New Roman"/>
        </w:rPr>
        <w:t>je</w:t>
      </w:r>
      <w:r w:rsidRPr="006400D1">
        <w:rPr>
          <w:rFonts w:ascii="Times New Roman" w:hAnsi="Times New Roman"/>
        </w:rPr>
        <w:t xml:space="preserve"> súčasťou predkladanej novely zákona o bankách a ich cieľom je:</w:t>
      </w:r>
    </w:p>
    <w:p w:rsidR="00573354" w:rsidRPr="006400D1" w:rsidP="00573354">
      <w:pPr>
        <w:pStyle w:val="BodyText2"/>
        <w:numPr>
          <w:numId w:val="1"/>
        </w:numPr>
        <w:bidi w:val="0"/>
        <w:rPr>
          <w:rFonts w:ascii="Times New Roman" w:hAnsi="Times New Roman"/>
        </w:rPr>
      </w:pPr>
      <w:r w:rsidRPr="006400D1">
        <w:rPr>
          <w:rFonts w:ascii="Times New Roman" w:hAnsi="Times New Roman"/>
          <w:i/>
        </w:rPr>
        <w:t>Zvýšiť transparentnosť stanovovania novej úrokovej sadzby, ako aj po uplynutí termínu fixácie úrokovej sadzby</w:t>
      </w:r>
      <w:r w:rsidRPr="006400D1">
        <w:rPr>
          <w:rFonts w:ascii="Times New Roman" w:hAnsi="Times New Roman"/>
        </w:rPr>
        <w:t>.</w:t>
      </w:r>
    </w:p>
    <w:p w:rsidR="00573354" w:rsidRPr="0096433C" w:rsidP="00573354">
      <w:pPr>
        <w:pStyle w:val="BodyText2"/>
        <w:numPr>
          <w:numId w:val="1"/>
        </w:numPr>
        <w:bidi w:val="0"/>
        <w:rPr>
          <w:rFonts w:ascii="Times New Roman" w:hAnsi="Times New Roman"/>
          <w:i/>
        </w:rPr>
      </w:pPr>
      <w:r w:rsidRPr="0096433C">
        <w:rPr>
          <w:rFonts w:ascii="Times New Roman" w:hAnsi="Times New Roman"/>
          <w:i/>
        </w:rPr>
        <w:t>Vyjadrovať úrokovú sadzbu ako súčet základnej úrokovej sadzby hypotekárnej banky a hrubej marže hypotekárnej banky.</w:t>
      </w:r>
    </w:p>
    <w:p w:rsidR="00573354" w:rsidRPr="0096433C" w:rsidP="00573354">
      <w:pPr>
        <w:pStyle w:val="BodyText2"/>
        <w:bidi w:val="0"/>
        <w:ind w:left="750"/>
        <w:rPr>
          <w:rFonts w:ascii="Times New Roman" w:hAnsi="Times New Roman"/>
        </w:rPr>
      </w:pPr>
    </w:p>
    <w:p w:rsidR="00573354" w:rsidRPr="0096433C" w:rsidP="00573354">
      <w:pPr>
        <w:pStyle w:val="BodyText2"/>
        <w:bidi w:val="0"/>
        <w:ind w:left="750"/>
        <w:rPr>
          <w:rFonts w:ascii="Times New Roman" w:hAnsi="Times New Roman"/>
        </w:rPr>
      </w:pPr>
      <w:r w:rsidRPr="0096433C">
        <w:rPr>
          <w:rFonts w:ascii="Times New Roman" w:hAnsi="Times New Roman"/>
        </w:rPr>
        <w:t>Týmito opatreniami klienti získajú prehľad o zložkách úrokovej sadzby (základná úroková sadzba banky a hrubá marža banky) hypotekárneho úveru a umožní im to lepšie porovnávanie hypotekárnych produktov. Nakoľko tieto údaje budú mať k dispozícii pred podpisom zmluvy o hypotekárnom úvere, ako aj pri všetkých ďalších</w:t>
      </w:r>
      <w:r w:rsidR="0096433C">
        <w:rPr>
          <w:rFonts w:ascii="Times New Roman" w:hAnsi="Times New Roman"/>
        </w:rPr>
        <w:t xml:space="preserve"> termínoch refixácie</w:t>
      </w:r>
      <w:r w:rsidRPr="0096433C">
        <w:rPr>
          <w:rFonts w:ascii="Times New Roman" w:hAnsi="Times New Roman"/>
        </w:rPr>
        <w:t xml:space="preserve"> a</w:t>
      </w:r>
      <w:r w:rsidR="00B04414">
        <w:rPr>
          <w:rFonts w:ascii="Times New Roman" w:hAnsi="Times New Roman"/>
        </w:rPr>
        <w:t>lebo</w:t>
      </w:r>
      <w:r w:rsidRPr="0096433C">
        <w:rPr>
          <w:rFonts w:ascii="Times New Roman" w:hAnsi="Times New Roman"/>
        </w:rPr>
        <w:t xml:space="preserve"> zm</w:t>
      </w:r>
      <w:r w:rsidR="0096433C">
        <w:rPr>
          <w:rFonts w:ascii="Times New Roman" w:hAnsi="Times New Roman"/>
        </w:rPr>
        <w:t>ien</w:t>
      </w:r>
      <w:r w:rsidRPr="0096433C">
        <w:rPr>
          <w:rFonts w:ascii="Times New Roman" w:hAnsi="Times New Roman"/>
        </w:rPr>
        <w:t xml:space="preserve"> úrokovej sadzby, budú mať viac informácií pri vyjednávaní o zmluvných podmienkach. Takisto im to pomôže v prípade, ak sa rozhodnú pre splatenie už poskytnutého hypotekárneho úveru novým, výhodnejším úverom v inej banke. </w:t>
      </w:r>
    </w:p>
    <w:p w:rsidR="00573354" w:rsidRPr="006400D1" w:rsidP="00573354">
      <w:pPr>
        <w:pStyle w:val="BodyText2"/>
        <w:bidi w:val="0"/>
        <w:ind w:left="750"/>
        <w:rPr>
          <w:rFonts w:ascii="Times New Roman" w:hAnsi="Times New Roman"/>
        </w:rPr>
      </w:pPr>
    </w:p>
    <w:p w:rsidR="00573354" w:rsidRPr="00E06EB6" w:rsidP="00573354">
      <w:pPr>
        <w:pStyle w:val="BodyText2"/>
        <w:numPr>
          <w:numId w:val="1"/>
        </w:numPr>
        <w:bidi w:val="0"/>
        <w:rPr>
          <w:rFonts w:ascii="Times New Roman" w:hAnsi="Times New Roman"/>
          <w:i/>
        </w:rPr>
      </w:pPr>
      <w:r w:rsidRPr="00E06EB6">
        <w:rPr>
          <w:rFonts w:ascii="Times New Roman" w:hAnsi="Times New Roman"/>
          <w:i/>
        </w:rPr>
        <w:t xml:space="preserve">Zrovnoprávniť podmienky pri poskytovaní hypotekárnych úverov a iných úverov na nehnuteľnosti, čo sa týka náležitostí zmluvy, ako aj povinností informovať klienta pri </w:t>
      </w:r>
      <w:r>
        <w:rPr>
          <w:rFonts w:ascii="Times New Roman" w:hAnsi="Times New Roman"/>
          <w:i/>
        </w:rPr>
        <w:t>ukončení doby fixácie úrokovej sadzby</w:t>
      </w:r>
      <w:r w:rsidRPr="00E06EB6">
        <w:rPr>
          <w:rFonts w:ascii="Times New Roman" w:hAnsi="Times New Roman"/>
          <w:i/>
        </w:rPr>
        <w:t xml:space="preserve"> a zmenách úrokovej sadzby.</w:t>
      </w:r>
    </w:p>
    <w:p w:rsidR="00573354" w:rsidRPr="00E06EB6" w:rsidP="00573354">
      <w:pPr>
        <w:pStyle w:val="BodyText2"/>
        <w:bidi w:val="0"/>
        <w:ind w:left="750"/>
        <w:rPr>
          <w:rFonts w:ascii="Times New Roman" w:hAnsi="Times New Roman"/>
        </w:rPr>
      </w:pPr>
      <w:r w:rsidRPr="00E06EB6">
        <w:rPr>
          <w:rFonts w:ascii="Times New Roman" w:hAnsi="Times New Roman"/>
        </w:rPr>
        <w:t>Keďže klasické hypotekárne úvery sú „vytláčané“ inými úvermi na nehnuteľnosti, do zákona bola pridaná povinnosť, aby banky a pobočky zahraničných bánk aj pri úveroch pre fyzické osoby</w:t>
      </w:r>
      <w:r>
        <w:rPr>
          <w:rFonts w:ascii="Times New Roman" w:hAnsi="Times New Roman"/>
        </w:rPr>
        <w:t xml:space="preserve"> nepodnikateľov</w:t>
      </w:r>
      <w:r w:rsidRPr="00E06EB6">
        <w:rPr>
          <w:rFonts w:ascii="Times New Roman" w:hAnsi="Times New Roman"/>
        </w:rPr>
        <w:t>, ktoré sú zabezpečené záložným právom k tuzemskej nehnuteľnosti, boli povinné uvádzať údaje o zložkách úrokovej sadzby pred podpisom zmluvy, ako aj pri každej ďalšej zmene úrokovej sadzby. Takisto sa týchto úverov bude týkať aj možnosť bez</w:t>
      </w:r>
      <w:r>
        <w:rPr>
          <w:rFonts w:ascii="Times New Roman" w:hAnsi="Times New Roman"/>
        </w:rPr>
        <w:t>od</w:t>
      </w:r>
      <w:r w:rsidRPr="00E06EB6">
        <w:rPr>
          <w:rFonts w:ascii="Times New Roman" w:hAnsi="Times New Roman"/>
        </w:rPr>
        <w:t>platne predčasne splatiť hypotekárny úver pri uplynutí doby fixácie úrokovej sadzby</w:t>
      </w:r>
      <w:r>
        <w:rPr>
          <w:rFonts w:ascii="Times New Roman" w:hAnsi="Times New Roman"/>
        </w:rPr>
        <w:t xml:space="preserve"> pri hypotekárnych úveroch s fixnou úrokovou sadzbou</w:t>
      </w:r>
      <w:r w:rsidRPr="00E06EB6">
        <w:rPr>
          <w:rFonts w:ascii="Times New Roman" w:hAnsi="Times New Roman"/>
        </w:rPr>
        <w:t xml:space="preserve"> alebo pri zmene úrokovej sadzby </w:t>
      </w:r>
      <w:r>
        <w:rPr>
          <w:rFonts w:ascii="Times New Roman" w:hAnsi="Times New Roman"/>
        </w:rPr>
        <w:t>pri úveroch s variabilnou úrokovou sadzbou</w:t>
      </w:r>
      <w:r w:rsidRPr="00E06EB6">
        <w:rPr>
          <w:rFonts w:ascii="Times New Roman" w:hAnsi="Times New Roman"/>
        </w:rPr>
        <w:t>.</w:t>
      </w:r>
    </w:p>
    <w:p w:rsidR="00573354" w:rsidRPr="006400D1" w:rsidP="00573354">
      <w:pPr>
        <w:pStyle w:val="BodyText2"/>
        <w:bidi w:val="0"/>
        <w:ind w:left="750"/>
        <w:rPr>
          <w:rFonts w:ascii="Times New Roman" w:hAnsi="Times New Roman"/>
        </w:rPr>
      </w:pPr>
    </w:p>
    <w:p w:rsidR="00573354" w:rsidRPr="006400D1" w:rsidP="00573354">
      <w:pPr>
        <w:pStyle w:val="BodyText2"/>
        <w:numPr>
          <w:numId w:val="1"/>
        </w:numPr>
        <w:bidi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U</w:t>
      </w:r>
      <w:r w:rsidRPr="006400D1">
        <w:rPr>
          <w:rFonts w:ascii="Times New Roman" w:hAnsi="Times New Roman"/>
          <w:i/>
        </w:rPr>
        <w:t>možniť poberateľom hypotekárnych úverov s pevnou výškou štátneho príspevku poskytnutých pred 1. júlom 2003 preniesť si štátny príspevok v pôvodnej výške na novú zmluvu o hypotekárnom úvere pri splnení určitých podmienok.</w:t>
      </w:r>
    </w:p>
    <w:p w:rsidR="00573354" w:rsidRPr="006400D1" w:rsidP="00573354">
      <w:pPr>
        <w:pStyle w:val="BodyText2"/>
        <w:bidi w:val="0"/>
        <w:ind w:left="750"/>
        <w:rPr>
          <w:rFonts w:ascii="Times New Roman" w:hAnsi="Times New Roman"/>
        </w:rPr>
      </w:pPr>
      <w:r w:rsidRPr="006400D1">
        <w:rPr>
          <w:rFonts w:ascii="Times New Roman" w:hAnsi="Times New Roman"/>
        </w:rPr>
        <w:t>Týmto návrhom sa zvýši mobilita klientov, čo napomôže znižovaniu úrokových sadzieb aj pri hypotekárnych úveroch s</w:t>
      </w:r>
      <w:r>
        <w:rPr>
          <w:rFonts w:ascii="Times New Roman" w:hAnsi="Times New Roman"/>
        </w:rPr>
        <w:t xml:space="preserve"> fixným </w:t>
      </w:r>
      <w:r w:rsidRPr="006400D1">
        <w:rPr>
          <w:rFonts w:ascii="Times New Roman" w:hAnsi="Times New Roman"/>
        </w:rPr>
        <w:t>štátnym príspevkom. Zároveň tento krok môže znížiť výdavky štátneho rozpočtu na bonifikáciu „starých“ hypotekárnych úverov, nakoľko pri nižšej úrokovej sadzbe pri zachovaní percentuálnej výšky štátneho príspevku bude tento štátny príspevok v peňažnej forme nižší.</w:t>
      </w:r>
    </w:p>
    <w:p w:rsidR="00573354" w:rsidRPr="006400D1" w:rsidP="00573354">
      <w:pPr>
        <w:pStyle w:val="BodyText2"/>
        <w:bidi w:val="0"/>
        <w:rPr>
          <w:rFonts w:ascii="Times New Roman" w:hAnsi="Times New Roman"/>
        </w:rPr>
      </w:pPr>
    </w:p>
    <w:p w:rsidR="00573354" w:rsidRPr="00E06EB6" w:rsidP="00573354">
      <w:pPr>
        <w:pStyle w:val="BodyText2"/>
        <w:numPr>
          <w:numId w:val="1"/>
        </w:numPr>
        <w:bidi w:val="0"/>
        <w:rPr>
          <w:rFonts w:ascii="Times New Roman" w:hAnsi="Times New Roman"/>
          <w:i/>
        </w:rPr>
      </w:pPr>
      <w:r w:rsidRPr="00E06EB6">
        <w:rPr>
          <w:rFonts w:ascii="Times New Roman" w:hAnsi="Times New Roman"/>
          <w:i/>
        </w:rPr>
        <w:t>Zvýšiť transparentnosť stanovovania úrokovej sadzby aj pri hypotekárnych úveroch poskytnutých pred účinnosťou tejto novely</w:t>
      </w:r>
    </w:p>
    <w:p w:rsidR="00573354" w:rsidRPr="00E06EB6" w:rsidP="00573354">
      <w:pPr>
        <w:pStyle w:val="BodyText2"/>
        <w:bidi w:val="0"/>
        <w:ind w:left="709"/>
        <w:rPr>
          <w:rFonts w:ascii="Times New Roman" w:hAnsi="Times New Roman"/>
        </w:rPr>
      </w:pPr>
      <w:r w:rsidRPr="00E06EB6">
        <w:rPr>
          <w:rFonts w:ascii="Times New Roman" w:hAnsi="Times New Roman"/>
        </w:rPr>
        <w:t>Tento krok umožní klientom, ktorí už splácajú úver, získať viac informácií a tým zlepšiť ich vyjednávaciu pozíciu pri stanovovaní novej úrokovej sadzby. Zároveň im to môže napomôcť pri rozhodovaní splatiť starý hypotekárny úver novým výhodnejším úverom s nižšími nákladmi, čo pozitívne ovplyvní rodinný rozpočet klienta.</w:t>
      </w:r>
    </w:p>
    <w:p w:rsidR="00573354" w:rsidRPr="006400D1" w:rsidP="00573354">
      <w:pPr>
        <w:pStyle w:val="BodyText2"/>
        <w:bidi w:val="0"/>
        <w:rPr>
          <w:rFonts w:ascii="Times New Roman" w:hAnsi="Times New Roman"/>
        </w:rPr>
      </w:pPr>
    </w:p>
    <w:p w:rsidR="00573354" w:rsidRPr="006400D1" w:rsidP="00573354">
      <w:pPr>
        <w:pStyle w:val="BodyText2"/>
        <w:bidi w:val="0"/>
        <w:rPr>
          <w:rFonts w:ascii="Times New Roman" w:hAnsi="Times New Roman"/>
        </w:rPr>
      </w:pPr>
    </w:p>
    <w:p w:rsidR="00573354" w:rsidRPr="00476004" w:rsidP="00573354">
      <w:pPr>
        <w:pStyle w:val="BodyText2"/>
        <w:bidi w:val="0"/>
        <w:ind w:firstLine="709"/>
        <w:rPr>
          <w:rFonts w:ascii="Times New Roman" w:hAnsi="Times New Roman"/>
        </w:rPr>
      </w:pPr>
      <w:r w:rsidRPr="00476004">
        <w:rPr>
          <w:rFonts w:ascii="Times New Roman" w:hAnsi="Times New Roman"/>
        </w:rPr>
        <w:t>Návrh novely zákona o bankách predpokladá pozitívny finančný vplyv na rozpočet verejnej správy</w:t>
      </w:r>
      <w:r w:rsidRPr="00476004" w:rsidR="00476004">
        <w:rPr>
          <w:rFonts w:ascii="Times New Roman" w:hAnsi="Times New Roman"/>
        </w:rPr>
        <w:t xml:space="preserve"> a pozitívny vplyv na informatizáciu spoločnosti</w:t>
      </w:r>
      <w:r w:rsidRPr="00476004">
        <w:rPr>
          <w:rFonts w:ascii="Times New Roman" w:hAnsi="Times New Roman"/>
        </w:rPr>
        <w:t>. Návrh novely zákona bude mať čiastočne negatívny vplyv na podnikateľské prostredie a na druhej strane čiastočne pozitívne sociálne vplyvy. Návrh novely zákona o bankách nebude mať vplyv na životné prostredie</w:t>
      </w:r>
      <w:r w:rsidRPr="00476004" w:rsidR="00476004">
        <w:rPr>
          <w:rFonts w:ascii="Times New Roman" w:hAnsi="Times New Roman"/>
        </w:rPr>
        <w:t>.</w:t>
      </w:r>
    </w:p>
    <w:p w:rsidR="00573354" w:rsidRPr="006400D1" w:rsidP="00573354">
      <w:pPr>
        <w:pStyle w:val="BodyText2"/>
        <w:bidi w:val="0"/>
        <w:rPr>
          <w:rFonts w:ascii="Times New Roman" w:hAnsi="Times New Roman"/>
        </w:rPr>
      </w:pPr>
      <w:r w:rsidRPr="006400D1">
        <w:rPr>
          <w:rFonts w:ascii="Times New Roman" w:hAnsi="Times New Roman"/>
        </w:rPr>
        <w:tab/>
      </w:r>
    </w:p>
    <w:p w:rsidR="00573354" w:rsidRPr="006400D1" w:rsidP="00573354">
      <w:pPr>
        <w:pStyle w:val="BodyText2"/>
        <w:bidi w:val="0"/>
        <w:ind w:firstLine="709"/>
        <w:rPr>
          <w:rFonts w:ascii="Times New Roman" w:hAnsi="Times New Roman"/>
        </w:rPr>
      </w:pPr>
      <w:r w:rsidRPr="006400D1">
        <w:rPr>
          <w:rFonts w:ascii="Times New Roman" w:hAnsi="Times New Roman"/>
        </w:rPr>
        <w:t>Návrh novely zákona je v súlade s Ústavou Slovenskej republiky a inými zákonmi Slovenskej republiky a medzinárodnými zmluvami, ktorými je Slovenská republika viazaná.</w:t>
      </w:r>
    </w:p>
    <w:p w:rsidR="00573354" w:rsidRPr="006400D1" w:rsidP="00573354">
      <w:pPr>
        <w:pStyle w:val="BodyText2"/>
        <w:bidi w:val="0"/>
        <w:rPr>
          <w:rFonts w:ascii="Times New Roman" w:hAnsi="Times New Roman"/>
          <w:bC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D2F43"/>
    <w:multiLevelType w:val="hybridMultilevel"/>
    <w:tmpl w:val="A46428B4"/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669B16D2"/>
    <w:multiLevelType w:val="hybridMultilevel"/>
    <w:tmpl w:val="3EF6E3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73354"/>
    <w:rsid w:val="000A5E25"/>
    <w:rsid w:val="001609C8"/>
    <w:rsid w:val="00476004"/>
    <w:rsid w:val="00573354"/>
    <w:rsid w:val="005B6C92"/>
    <w:rsid w:val="006400D1"/>
    <w:rsid w:val="00646115"/>
    <w:rsid w:val="006570B1"/>
    <w:rsid w:val="00737C2D"/>
    <w:rsid w:val="00745EFD"/>
    <w:rsid w:val="007818C8"/>
    <w:rsid w:val="00804033"/>
    <w:rsid w:val="008C0064"/>
    <w:rsid w:val="0096433C"/>
    <w:rsid w:val="00A8025E"/>
    <w:rsid w:val="00A9194B"/>
    <w:rsid w:val="00AB46CD"/>
    <w:rsid w:val="00B04414"/>
    <w:rsid w:val="00C07F13"/>
    <w:rsid w:val="00C2425B"/>
    <w:rsid w:val="00D3362A"/>
    <w:rsid w:val="00DB2898"/>
    <w:rsid w:val="00E06EB6"/>
    <w:rsid w:val="00E120B3"/>
    <w:rsid w:val="00E3739C"/>
    <w:rsid w:val="00EF6E7E"/>
    <w:rsid w:val="00FA385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35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573354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99"/>
    <w:locked/>
    <w:rsid w:val="00573354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573354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57335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PodtitulChar"/>
    <w:uiPriority w:val="99"/>
    <w:qFormat/>
    <w:rsid w:val="00573354"/>
    <w:pPr>
      <w:jc w:val="left"/>
    </w:pPr>
    <w:rPr>
      <w:b/>
      <w:bCs/>
    </w:rPr>
  </w:style>
  <w:style w:type="character" w:customStyle="1" w:styleId="PodtitulChar">
    <w:name w:val="Podtitul Char"/>
    <w:basedOn w:val="DefaultParagraphFont"/>
    <w:link w:val="Subtitle"/>
    <w:uiPriority w:val="99"/>
    <w:locked/>
    <w:rsid w:val="00573354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7335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335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73354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7335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7335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73354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767</Words>
  <Characters>4664</Characters>
  <Application>Microsoft Office Word</Application>
  <DocSecurity>0</DocSecurity>
  <Lines>0</Lines>
  <Paragraphs>0</Paragraphs>
  <ScaleCrop>false</ScaleCrop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abartikova</dc:creator>
  <cp:lastModifiedBy>abartikova</cp:lastModifiedBy>
  <cp:revision>2</cp:revision>
  <cp:lastPrinted>2011-05-24T09:27:00Z</cp:lastPrinted>
  <dcterms:created xsi:type="dcterms:W3CDTF">2011-06-07T14:39:00Z</dcterms:created>
  <dcterms:modified xsi:type="dcterms:W3CDTF">2011-06-07T14:39:00Z</dcterms:modified>
</cp:coreProperties>
</file>