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0226" w:rsidRPr="00496F14" w:rsidP="00EA511F">
      <w:pPr>
        <w:pStyle w:val="Heading1"/>
        <w:bidi w:val="0"/>
        <w:jc w:val="center"/>
        <w:rPr>
          <w:rFonts w:ascii="Times New Roman" w:hAnsi="Times New Roman"/>
        </w:rPr>
      </w:pPr>
      <w:r w:rsidRPr="00496F14">
        <w:rPr>
          <w:rFonts w:ascii="Times New Roman" w:hAnsi="Times New Roman"/>
        </w:rPr>
        <w:t>Doložka vybraných vplyvov</w:t>
      </w:r>
    </w:p>
    <w:p w:rsidR="000E0226" w:rsidRPr="00DB1D10" w:rsidP="0023453C">
      <w:pPr>
        <w:pStyle w:val="Heading2"/>
        <w:bidi w:val="0"/>
        <w:rPr>
          <w:rFonts w:ascii="Times New Roman" w:hAnsi="Times New Roman"/>
          <w:b w:val="0"/>
        </w:rPr>
      </w:pPr>
      <w:r w:rsidRPr="00496F14">
        <w:rPr>
          <w:rFonts w:ascii="Times New Roman" w:hAnsi="Times New Roman"/>
        </w:rPr>
        <w:t xml:space="preserve">A.1. Názov materiálu: Návrh zákona </w:t>
      </w:r>
      <w:r w:rsidR="00355ADE">
        <w:rPr>
          <w:rFonts w:ascii="Times New Roman" w:hAnsi="Times New Roman"/>
        </w:rPr>
        <w:t>o</w:t>
      </w:r>
      <w:r w:rsidRPr="00496F14">
        <w:rPr>
          <w:rFonts w:ascii="Times New Roman" w:hAnsi="Times New Roman"/>
        </w:rPr>
        <w:t xml:space="preserve"> elektronick</w:t>
      </w:r>
      <w:r w:rsidR="00355ADE">
        <w:rPr>
          <w:rFonts w:ascii="Times New Roman" w:hAnsi="Times New Roman"/>
        </w:rPr>
        <w:t>ých</w:t>
      </w:r>
      <w:r w:rsidRPr="00496F14">
        <w:rPr>
          <w:rFonts w:ascii="Times New Roman" w:hAnsi="Times New Roman"/>
        </w:rPr>
        <w:t xml:space="preserve"> komunik</w:t>
      </w:r>
      <w:r w:rsidR="00355ADE">
        <w:rPr>
          <w:rFonts w:ascii="Times New Roman" w:hAnsi="Times New Roman"/>
        </w:rPr>
        <w:t xml:space="preserve">áciách </w:t>
      </w:r>
    </w:p>
    <w:p w:rsidR="000E0226" w:rsidRPr="00496F14" w:rsidP="0023453C">
      <w:pPr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</w:rPr>
        <w:t>Termín začatia a ukončenia MPK: -</w:t>
      </w:r>
      <w:r w:rsidR="00DB1D10">
        <w:rPr>
          <w:rFonts w:ascii="Times New Roman" w:hAnsi="Times New Roman"/>
        </w:rPr>
        <w:t xml:space="preserve"> 29. 12. 2010 – 19. 1. 2011</w:t>
      </w:r>
    </w:p>
    <w:p w:rsidR="000E0226" w:rsidRPr="00DB1D10" w:rsidP="0023453C">
      <w:pPr>
        <w:pStyle w:val="Heading2"/>
        <w:bidi w:val="0"/>
        <w:rPr>
          <w:rFonts w:ascii="Times New Roman" w:hAnsi="Times New Roman"/>
          <w:lang w:val="sk-SK"/>
        </w:rPr>
      </w:pPr>
      <w:r w:rsidRPr="00DB1D10">
        <w:rPr>
          <w:rFonts w:ascii="Times New Roman" w:hAnsi="Times New Roman"/>
          <w:lang w:val="sk-SK"/>
        </w:rPr>
        <w:t>A.2. Vplyvy: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CellMar>
          <w:left w:w="0" w:type="dxa"/>
          <w:right w:w="0" w:type="dxa"/>
        </w:tblCellMar>
      </w:tblPr>
      <w:tblGrid>
        <w:gridCol w:w="4723"/>
        <w:gridCol w:w="1123"/>
        <w:gridCol w:w="933"/>
        <w:gridCol w:w="1253"/>
      </w:tblGrid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 xml:space="preserve">Pozitívne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Žiadne</w:t>
            </w:r>
            <w:r w:rsidRPr="00496F14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Negatívne</w:t>
            </w:r>
            <w:r w:rsidRPr="00496F14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1. Vplyvy na rozpočet verejnej správy</w:t>
            </w:r>
          </w:p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x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2. Vplyvy na podnikateľské prostredie</w:t>
            </w:r>
          </w:p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– dochádza k zvýšeniu regulačného zaťaženia?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657D" w:rsidP="0023453C">
            <w:pPr>
              <w:bidi w:val="0"/>
              <w:suppressOverlap/>
              <w:rPr>
                <w:rFonts w:ascii="Times New Roman" w:hAnsi="Times New Roman"/>
              </w:rPr>
            </w:pPr>
          </w:p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</w:p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="00DC7A9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 xml:space="preserve">3, Sociálne vplyvy </w:t>
            </w:r>
          </w:p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 vplyvy  na hospodárenie obyvateľstva,</w:t>
            </w:r>
          </w:p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-sociálnu exklúziu,</w:t>
            </w:r>
          </w:p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 rovnosť príležitostí a rodovú rovnosť</w:t>
            </w:r>
          </w:p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 vplyvy na zamestnanosť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</w:p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="00DC7A91">
              <w:rPr>
                <w:rFonts w:ascii="Times New Roman" w:hAnsi="Times New Roman"/>
              </w:rPr>
              <w:t>X</w:t>
            </w:r>
            <w:r w:rsidRPr="00496F14">
              <w:rPr>
                <w:rFonts w:ascii="Times New Roman" w:hAnsi="Times New Roman"/>
              </w:rPr>
              <w:t xml:space="preserve"> </w:t>
            </w:r>
          </w:p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  <w:r w:rsidR="00DC7A9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="00A634CA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suppressOverlap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</w:tr>
    </w:tbl>
    <w:p w:rsidR="000E0226" w:rsidRPr="00496F14" w:rsidP="0023453C">
      <w:pPr>
        <w:pStyle w:val="nadpis4termn"/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</w:rPr>
        <w:br w:type="textWrapping" w:clear="all"/>
      </w:r>
    </w:p>
    <w:p w:rsidR="000E0226" w:rsidRPr="00496F14" w:rsidP="0023453C">
      <w:pPr>
        <w:pStyle w:val="Heading2"/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</w:rPr>
        <w:t>A.3. Poznámky</w:t>
      </w:r>
    </w:p>
    <w:p w:rsidR="000E0226" w:rsidRPr="00496F14" w:rsidP="0023453C">
      <w:pPr>
        <w:pStyle w:val="Odsektext0"/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</w:rPr>
        <w:t xml:space="preserve">1. Predkladaný návrh zákona vypúšťa v súlade </w:t>
      </w:r>
      <w:r w:rsidRPr="00496F14">
        <w:rPr>
          <w:rFonts w:ascii="Times New Roman" w:hAnsi="Times New Roman"/>
        </w:rPr>
        <w:t>s nálezom Ú</w:t>
      </w:r>
      <w:r w:rsidRPr="00496F14">
        <w:rPr>
          <w:rFonts w:ascii="Times New Roman" w:hAnsi="Times New Roman"/>
        </w:rPr>
        <w:t>stavného súdu Slovenskej republiky</w:t>
      </w:r>
      <w:r w:rsidRPr="00496F14">
        <w:rPr>
          <w:rFonts w:ascii="Times New Roman" w:hAnsi="Times New Roman"/>
          <w:b/>
          <w:bCs/>
        </w:rPr>
        <w:t xml:space="preserve"> </w:t>
      </w:r>
      <w:r w:rsidRPr="00496F14">
        <w:rPr>
          <w:rFonts w:ascii="Times New Roman" w:hAnsi="Times New Roman"/>
        </w:rPr>
        <w:t xml:space="preserve">sp. zn. PL. ÚS 23/06 z 2. júna 2010 povinnosť podnikov „zabezpečiť zariadenia na odpočúvanie a zaznamenávanie prevádzky v elektronických komunikačných sieťach pre orgán štátu alebo orgán činný v trestnom konaní </w:t>
      </w:r>
      <w:r w:rsidRPr="00496F14">
        <w:rPr>
          <w:rFonts w:ascii="Times New Roman" w:hAnsi="Times New Roman"/>
          <w:b/>
          <w:bCs/>
          <w:szCs w:val="19"/>
        </w:rPr>
        <w:t xml:space="preserve">„na náklady podniku“ </w:t>
      </w:r>
      <w:r w:rsidRPr="00496F14">
        <w:rPr>
          <w:rFonts w:ascii="Times New Roman" w:hAnsi="Times New Roman"/>
          <w:szCs w:val="19"/>
        </w:rPr>
        <w:t>(§ 13 ods. 2 písm. j</w:t>
      </w:r>
      <w:r w:rsidRPr="00496F14">
        <w:rPr>
          <w:rFonts w:ascii="Times New Roman" w:hAnsi="Times New Roman"/>
        </w:rPr>
        <w:t xml:space="preserve">)). </w:t>
      </w:r>
    </w:p>
    <w:p w:rsidR="000E0226" w:rsidP="0023453C">
      <w:pPr>
        <w:pStyle w:val="Odsektext0"/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</w:rPr>
        <w:t xml:space="preserve">Z toho vyplýva, že </w:t>
      </w:r>
      <w:r w:rsidRPr="00496F14" w:rsidR="006914B5">
        <w:rPr>
          <w:rFonts w:ascii="Times New Roman" w:hAnsi="Times New Roman"/>
        </w:rPr>
        <w:t>o tieto</w:t>
      </w:r>
      <w:r w:rsidRPr="00496F14">
        <w:rPr>
          <w:rFonts w:ascii="Times New Roman" w:hAnsi="Times New Roman"/>
        </w:rPr>
        <w:t xml:space="preserve"> náklady sa zvýšia výdavky príslušných štátnych orgánov. </w:t>
      </w:r>
      <w:r w:rsidR="00C00712">
        <w:rPr>
          <w:rFonts w:ascii="Times New Roman" w:hAnsi="Times New Roman"/>
        </w:rPr>
        <w:t>Odhadované výdavky jedného zo štátnych orgánov oprávneného odpočúvať je 1</w:t>
      </w:r>
      <w:r w:rsidR="0017767A">
        <w:rPr>
          <w:rFonts w:ascii="Times New Roman" w:hAnsi="Times New Roman"/>
        </w:rPr>
        <w:t>0</w:t>
      </w:r>
      <w:r w:rsidR="00C00712">
        <w:rPr>
          <w:rFonts w:ascii="Times New Roman" w:hAnsi="Times New Roman"/>
        </w:rPr>
        <w:t xml:space="preserve"> mil. eur potrebných na zabezpečenie zariadenia</w:t>
      </w:r>
      <w:r w:rsidR="0017767A">
        <w:rPr>
          <w:rFonts w:ascii="Times New Roman" w:hAnsi="Times New Roman"/>
        </w:rPr>
        <w:t>. P</w:t>
      </w:r>
      <w:r w:rsidR="00C00712">
        <w:rPr>
          <w:rFonts w:ascii="Times New Roman" w:hAnsi="Times New Roman"/>
        </w:rPr>
        <w:t>rostriedky potrebné na zabezpečenie prevádzkyschopnosti sa odhadujú na 2 mil. eur ročne</w:t>
      </w:r>
      <w:r w:rsidR="000321D8">
        <w:rPr>
          <w:rFonts w:ascii="Times New Roman" w:hAnsi="Times New Roman"/>
        </w:rPr>
        <w:t>, pričom údržba dotknutých zariadení prvé dva roky po zakúpení je bezplatná</w:t>
      </w:r>
      <w:r w:rsidR="00C00712">
        <w:rPr>
          <w:rFonts w:ascii="Times New Roman" w:hAnsi="Times New Roman"/>
        </w:rPr>
        <w:t>.</w:t>
      </w:r>
    </w:p>
    <w:p w:rsidR="00DB1D10" w:rsidRPr="00496F14" w:rsidP="0023453C">
      <w:pPr>
        <w:pStyle w:val="Odsektext0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Vzhľadom na uvedené skutočnosti sa navrhuje pokryť tieto zvýšené výdavky </w:t>
      </w:r>
      <w:r w:rsidR="000321D8">
        <w:rPr>
          <w:rFonts w:ascii="Times New Roman" w:hAnsi="Times New Roman"/>
        </w:rPr>
        <w:t>z rozpočtových kapitol dotknutých rezortov.</w:t>
      </w:r>
    </w:p>
    <w:p w:rsidR="000E0226" w:rsidRPr="00496F14" w:rsidP="0023453C">
      <w:pPr>
        <w:pStyle w:val="Odsektext0"/>
        <w:bidi w:val="0"/>
        <w:rPr>
          <w:rFonts w:ascii="Times New Roman" w:hAnsi="Times New Roman"/>
        </w:rPr>
      </w:pPr>
      <w:r w:rsidR="0017767A">
        <w:rPr>
          <w:rFonts w:ascii="Times New Roman" w:hAnsi="Times New Roman"/>
        </w:rPr>
        <w:t>3</w:t>
      </w:r>
      <w:r w:rsidRPr="00496F14">
        <w:rPr>
          <w:rFonts w:ascii="Times New Roman" w:hAnsi="Times New Roman"/>
        </w:rPr>
        <w:t>. Prijatie zákona je základom na využívanie služieb informačnej spoločnosti, preto má vysoko pozitívny vplyv na informatizáciu spoločnosti.</w:t>
      </w:r>
    </w:p>
    <w:p w:rsidR="000E0226" w:rsidRPr="00C00712" w:rsidP="0023453C">
      <w:pPr>
        <w:pStyle w:val="Heading2"/>
        <w:bidi w:val="0"/>
        <w:rPr>
          <w:rFonts w:ascii="Times New Roman" w:hAnsi="Times New Roman"/>
          <w:lang w:val="es-MX"/>
        </w:rPr>
      </w:pPr>
      <w:r w:rsidRPr="00C00712">
        <w:rPr>
          <w:rFonts w:ascii="Times New Roman" w:hAnsi="Times New Roman"/>
          <w:lang w:val="es-MX"/>
        </w:rPr>
        <w:t>A.4. Alternatívne riešenia</w:t>
      </w:r>
    </w:p>
    <w:p w:rsidR="000E0226" w:rsidRPr="00C00712" w:rsidP="0023453C">
      <w:pPr>
        <w:pStyle w:val="Heading2"/>
        <w:bidi w:val="0"/>
        <w:rPr>
          <w:rFonts w:ascii="Times New Roman" w:hAnsi="Times New Roman"/>
          <w:lang w:val="es-MX"/>
        </w:rPr>
      </w:pPr>
      <w:r w:rsidRPr="00C00712">
        <w:rPr>
          <w:rFonts w:ascii="Times New Roman" w:hAnsi="Times New Roman"/>
          <w:lang w:val="es-MX"/>
        </w:rPr>
        <w:t xml:space="preserve">A.5. Stanovisko gestorov </w:t>
      </w:r>
    </w:p>
    <w:p w:rsidR="000E0226" w:rsidRPr="00C00712" w:rsidP="0023453C">
      <w:pPr>
        <w:pStyle w:val="Heading1"/>
        <w:bidi w:val="0"/>
        <w:rPr>
          <w:rFonts w:ascii="Times New Roman" w:hAnsi="Times New Roman"/>
          <w:kern w:val="0"/>
          <w:lang w:val="es-MX"/>
        </w:rPr>
      </w:pPr>
      <w:r w:rsidRPr="00C00712">
        <w:rPr>
          <w:rFonts w:ascii="Times New Roman" w:hAnsi="Times New Roman"/>
          <w:kern w:val="0"/>
          <w:lang w:val="es-MX"/>
        </w:rPr>
        <w:t xml:space="preserve">Ministerstvo financií SR </w:t>
      </w:r>
    </w:p>
    <w:p w:rsidR="00A87EEC" w:rsidP="0023453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Žiadame doplniť kvantifikáciu zvýšenia výdavkov štátneho rozpočtu v príslušných kapitolách </w:t>
      </w:r>
      <w:r w:rsidR="005322B9">
        <w:rPr>
          <w:rFonts w:ascii="Times New Roman" w:hAnsi="Times New Roman"/>
        </w:rPr>
        <w:t>z dôvodu vypustenia povinnosti podnikov na zabezpečenie zariadenia na odpočúvanie na náklady podniku. Zároveň žiadame doplniť návrh na riešenie úbytku príjmov a krytie zvýšených výdavkov.</w:t>
      </w:r>
    </w:p>
    <w:p w:rsidR="000E0226" w:rsidRPr="00D5657D" w:rsidP="0023453C">
      <w:pPr>
        <w:bidi w:val="0"/>
        <w:rPr>
          <w:rFonts w:ascii="Times New Roman" w:hAnsi="Times New Roman"/>
        </w:rPr>
      </w:pPr>
      <w:r w:rsidRPr="00D5657D" w:rsidR="00D5657D">
        <w:rPr>
          <w:rFonts w:ascii="Times New Roman" w:hAnsi="Times New Roman"/>
        </w:rPr>
        <w:t>Žiadame upraviť doložku vybraných vplyvov, tak, že sa vyznačia pozitívne vplyvy  a dopracovať analýzu vplyvov na informatizáciu spoločnosti. Že materiál má nepochybne pozitívny vplyv na informatizáciu spoločnosti vyplýva aj z dôvodovej správy.</w:t>
      </w:r>
    </w:p>
    <w:p w:rsidR="000E0226" w:rsidP="0023453C">
      <w:pPr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</w:rPr>
        <w:t>Stanovisko predkladateľa:</w:t>
      </w:r>
    </w:p>
    <w:p w:rsidR="00ED21DA" w:rsidP="0023453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Návrh zákona a doložka vplyvov bola upravená v súlade s predloženými pripomienkami a výsledkom rozporových konaní k nim.</w:t>
      </w:r>
    </w:p>
    <w:p w:rsidR="0023453C" w:rsidP="0023453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má pozitívny vplyv na informatizáciu spoločnosti ako celok vzhľadom na skutočnosť, že upravuje legislatívne a regulačné prostredie poskytovania elektronických komunikačných sietí a služieb. </w:t>
      </w:r>
      <w:r w:rsidR="0056729A">
        <w:rPr>
          <w:rFonts w:ascii="Times New Roman" w:hAnsi="Times New Roman"/>
        </w:rPr>
        <w:t xml:space="preserve">Trh elektronických komunikácií je plne liberalizovaný a postupne dochádza k znižovaniu regulačného zaťaženia. </w:t>
      </w:r>
      <w:r w:rsidR="007E560F">
        <w:rPr>
          <w:rFonts w:ascii="Times New Roman" w:hAnsi="Times New Roman"/>
        </w:rPr>
        <w:t xml:space="preserve">Správne nastavené regulačné prostredie </w:t>
      </w:r>
      <w:r w:rsidR="00DB1D10">
        <w:rPr>
          <w:rFonts w:ascii="Times New Roman" w:hAnsi="Times New Roman"/>
        </w:rPr>
        <w:t>vytvára priaznivé podmienky na poskytovanie elektronických komunikačných služieb.</w:t>
      </w:r>
    </w:p>
    <w:p w:rsidR="000E0226" w:rsidRPr="00C00712" w:rsidP="0023453C">
      <w:pPr>
        <w:pStyle w:val="Heading2"/>
        <w:bidi w:val="0"/>
        <w:rPr>
          <w:rFonts w:ascii="Times New Roman" w:hAnsi="Times New Roman"/>
          <w:lang w:val="sk-SK"/>
        </w:rPr>
      </w:pPr>
      <w:r w:rsidRPr="00C00712">
        <w:rPr>
          <w:rFonts w:ascii="Times New Roman" w:hAnsi="Times New Roman"/>
          <w:lang w:val="sk-SK"/>
        </w:rPr>
        <w:t>Ministerstvo životného prostredia SR</w:t>
      </w:r>
    </w:p>
    <w:p w:rsidR="00D5657D" w:rsidP="0023453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Bez pripomienok</w:t>
      </w:r>
    </w:p>
    <w:p w:rsidR="000E0226" w:rsidRPr="00C00712" w:rsidP="0023453C">
      <w:pPr>
        <w:pStyle w:val="Heading1"/>
        <w:bidi w:val="0"/>
        <w:rPr>
          <w:rFonts w:ascii="Times New Roman" w:hAnsi="Times New Roman"/>
          <w:lang w:val="sk-SK"/>
        </w:rPr>
      </w:pPr>
      <w:r w:rsidRPr="00C00712">
        <w:rPr>
          <w:rFonts w:ascii="Times New Roman" w:hAnsi="Times New Roman"/>
          <w:lang w:val="sk-SK"/>
        </w:rPr>
        <w:t>Vplyvy na rozpočet verejnej správy, na zamestnanosť vo verejnej správe a financovanie návrhu</w:t>
      </w:r>
    </w:p>
    <w:p w:rsidR="000E0226" w:rsidRPr="00C00712" w:rsidP="0023453C">
      <w:pPr>
        <w:pStyle w:val="Heading2"/>
        <w:bidi w:val="0"/>
        <w:rPr>
          <w:rFonts w:ascii="Times New Roman" w:hAnsi="Times New Roman"/>
          <w:lang w:val="sk-SK"/>
        </w:rPr>
      </w:pPr>
      <w:r w:rsidRPr="00C00712">
        <w:rPr>
          <w:rFonts w:ascii="Times New Roman" w:hAnsi="Times New Roman"/>
          <w:lang w:val="sk-SK"/>
        </w:rPr>
        <w:t> 2.1. Zhrnutie vplyvov na rozpočet verejnej správy v návrhu</w:t>
      </w:r>
    </w:p>
    <w:p w:rsidR="000E0226" w:rsidRPr="00496F14" w:rsidP="0023453C">
      <w:pPr>
        <w:pStyle w:val="Header"/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</w:rPr>
        <w:t xml:space="preserve">Tabuľka č. 1 </w:t>
      </w:r>
    </w:p>
    <w:tbl>
      <w:tblPr>
        <w:tblStyle w:val="TableNormal"/>
        <w:tblW w:w="9729" w:type="dxa"/>
        <w:tblCellMar>
          <w:left w:w="0" w:type="dxa"/>
          <w:right w:w="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tblCellMar>
            <w:left w:w="0" w:type="dxa"/>
            <w:right w:w="0" w:type="dxa"/>
          </w:tblCellMar>
        </w:tblPrEx>
        <w:trPr>
          <w:cantSplit/>
          <w:trHeight w:val="194"/>
        </w:trPr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bookmarkStart w:id="0" w:name="OLE_LINK1"/>
            <w:bookmarkEnd w:id="0"/>
            <w:r w:rsidRPr="00496F14">
              <w:rPr>
                <w:rFonts w:ascii="Times New Roman" w:hAnsi="Times New Roman"/>
                <w:color w:val="FFFFFF"/>
              </w:rPr>
              <w:t xml:space="preserve">Vplyvy na </w:t>
            </w:r>
            <w:r w:rsidRPr="00496F14">
              <w:rPr>
                <w:rFonts w:ascii="Times New Roman" w:hAnsi="Times New Roman"/>
              </w:rPr>
              <w:t>rozpočet verejnej správy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Vplyv na rozpočet verejnej správy (v eurách)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2014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 xml:space="preserve">v tom: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="00A634CA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="00A634CA">
              <w:rPr>
                <w:rFonts w:ascii="Times New Roman" w:hAnsi="Times New Roman"/>
              </w:rPr>
              <w:t>1</w:t>
            </w:r>
            <w:r w:rsidR="00ED21DA">
              <w:rPr>
                <w:rFonts w:ascii="Times New Roman" w:hAnsi="Times New Roman"/>
              </w:rPr>
              <w:t>0</w:t>
            </w:r>
            <w:r w:rsidRPr="00496F14">
              <w:rPr>
                <w:rFonts w:ascii="Times New Roman" w:hAnsi="Times New Roman"/>
              </w:rPr>
              <w:t xml:space="preserve"> </w:t>
            </w:r>
            <w:r w:rsidR="00ED21DA">
              <w:rPr>
                <w:rFonts w:ascii="Times New Roman" w:hAnsi="Times New Roman"/>
              </w:rPr>
              <w:t>000</w:t>
            </w:r>
            <w:r w:rsidRPr="00496F14">
              <w:rPr>
                <w:rFonts w:ascii="Times New Roman" w:hAnsi="Times New Roman"/>
              </w:rPr>
              <w:t>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="0017767A">
              <w:rPr>
                <w:rFonts w:ascii="Times New Roman" w:hAnsi="Times New Roman"/>
              </w:rPr>
              <w:t>2 000 00</w:t>
            </w:r>
            <w:r w:rsidRPr="00496F14">
              <w:rPr>
                <w:rFonts w:ascii="Times New Roman" w:hAnsi="Times New Roman"/>
              </w:rPr>
              <w:t xml:space="preserve">0 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D21DA" w:rsidRPr="00496F14" w:rsidP="003A763E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 xml:space="preserve">v tom: </w:t>
            </w:r>
            <w:r w:rsidR="00A634CA">
              <w:rPr>
                <w:rFonts w:ascii="Times New Roman" w:hAnsi="Times New Roman"/>
              </w:rPr>
              <w:t>Slovenská informačná služba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D21DA" w:rsidRPr="00496F14" w:rsidP="003A763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D21DA" w:rsidRPr="00496F14" w:rsidP="003A763E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496F1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D21DA" w:rsidRPr="00496F14" w:rsidP="003A763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D21DA" w:rsidRPr="00496F14" w:rsidP="003A763E">
            <w:pPr>
              <w:bidi w:val="0"/>
              <w:rPr>
                <w:rFonts w:ascii="Times New Roman" w:hAnsi="Times New Roman"/>
              </w:rPr>
            </w:pPr>
            <w:r w:rsidR="0017767A">
              <w:rPr>
                <w:rFonts w:ascii="Times New Roman" w:hAnsi="Times New Roman"/>
              </w:rPr>
              <w:t>2 000 000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D21DA" w:rsidRPr="00496F14" w:rsidP="003A763E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D21DA" w:rsidRPr="00496F14" w:rsidP="003A763E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D21DA" w:rsidRPr="00496F14" w:rsidP="003A763E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D21DA" w:rsidRPr="00496F14" w:rsidP="003A763E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D21DA" w:rsidRPr="00496F14" w:rsidP="003A763E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D21DA" w:rsidRPr="00496F14" w:rsidP="003A763E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D21DA" w:rsidRPr="00496F14" w:rsidP="003A763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D21DA" w:rsidRPr="00496F14" w:rsidP="003A763E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496F1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D21DA" w:rsidRPr="00496F14" w:rsidP="003A763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D21DA" w:rsidRPr="00496F14" w:rsidP="003A763E">
            <w:pPr>
              <w:bidi w:val="0"/>
              <w:rPr>
                <w:rFonts w:ascii="Times New Roman" w:hAnsi="Times New Roman"/>
              </w:rPr>
            </w:pPr>
            <w:r w:rsidR="0017767A">
              <w:rPr>
                <w:rFonts w:ascii="Times New Roman" w:hAnsi="Times New Roman"/>
              </w:rPr>
              <w:t>2 000 000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D21DA" w:rsidRPr="00496F14" w:rsidP="003A763E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D21DA" w:rsidRPr="00496F14" w:rsidP="003A763E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D21DA" w:rsidRPr="00496F14" w:rsidP="003A763E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D21DA" w:rsidRPr="00496F14" w:rsidP="003A763E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D21DA" w:rsidRPr="00496F14" w:rsidP="003A763E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 xml:space="preserve">- z toho vplyv na ŠR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v tom: Ministerstvo dopravy, výstavby a regionálneho rozvoja Slovenskej republiky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0E0226" w:rsidRPr="00496F14" w:rsidP="0023453C">
      <w:pPr>
        <w:pStyle w:val="Heading2"/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</w:rPr>
        <w:t>2.2. Financovanie návrhu</w:t>
      </w:r>
    </w:p>
    <w:p w:rsidR="000E0226" w:rsidRPr="00496F14" w:rsidP="0023453C">
      <w:pPr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</w:rPr>
        <w:t>Tabuľka č. 2</w:t>
      </w:r>
    </w:p>
    <w:tbl>
      <w:tblPr>
        <w:tblStyle w:val="TableNormal"/>
        <w:tblW w:w="9360" w:type="dxa"/>
        <w:tblCellMar>
          <w:left w:w="0" w:type="dxa"/>
          <w:right w:w="0" w:type="dxa"/>
        </w:tblCellMar>
      </w:tblPr>
      <w:tblGrid>
        <w:gridCol w:w="4304"/>
        <w:gridCol w:w="1264"/>
        <w:gridCol w:w="1264"/>
        <w:gridCol w:w="1264"/>
        <w:gridCol w:w="1264"/>
      </w:tblGrid>
      <w:tr>
        <w:tblPrEx>
          <w:tblW w:w="9360" w:type="dxa"/>
          <w:tblCellMar>
            <w:left w:w="0" w:type="dxa"/>
            <w:right w:w="0" w:type="dxa"/>
          </w:tblCellMar>
        </w:tblPrEx>
        <w:trPr>
          <w:cantSplit/>
          <w:trHeight w:val="70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Financovanie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Vplyv na rozpočet verejnej správy (v eurách)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2014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Calibri" w:hAnsi="Calibri" w:cs="Calibri"/>
                <w:color w:val="000000"/>
              </w:rPr>
            </w:pPr>
            <w:r w:rsidR="00A634CA">
              <w:rPr>
                <w:rFonts w:ascii="Times New Roman" w:hAnsi="Times New Roman"/>
              </w:rPr>
              <w:t>1</w:t>
            </w:r>
            <w:r w:rsidR="00A97C62">
              <w:rPr>
                <w:rFonts w:ascii="Times New Roman" w:hAnsi="Times New Roman"/>
              </w:rPr>
              <w:t>0 000000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="0017767A">
              <w:rPr>
                <w:rFonts w:ascii="Times New Roman" w:hAnsi="Times New Roman"/>
              </w:rPr>
              <w:t>2 00000</w:t>
            </w:r>
            <w:r w:rsidRPr="00496F14"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 z toho vplyv na ŠR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="00A634CA">
              <w:rPr>
                <w:rFonts w:ascii="Times New Roman" w:hAnsi="Times New Roman"/>
              </w:rPr>
              <w:t>1</w:t>
            </w:r>
            <w:r w:rsidRPr="00496F14">
              <w:rPr>
                <w:rFonts w:ascii="Times New Roman" w:hAnsi="Times New Roman"/>
              </w:rPr>
              <w:t>0</w:t>
            </w:r>
            <w:r w:rsidR="00A97C62">
              <w:rPr>
                <w:rFonts w:ascii="Times New Roman" w:hAnsi="Times New Roman"/>
              </w:rPr>
              <w:t xml:space="preserve"> 000000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="0017767A">
              <w:rPr>
                <w:rFonts w:ascii="Times New Roman" w:hAnsi="Times New Roman"/>
              </w:rPr>
              <w:t>2 00000</w:t>
            </w:r>
            <w:r w:rsidRPr="00496F14"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 financovanie zabezpečené v rozpočte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="00A97C62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Calibri" w:hAnsi="Calibri" w:cs="Calibri"/>
                <w:color w:val="000000"/>
              </w:rPr>
            </w:pPr>
            <w:r w:rsidR="00A97C62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 ostatné zdroje financovania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="00127F4C">
              <w:rPr>
                <w:rFonts w:ascii="Times New Roman" w:hAnsi="Times New Roman"/>
              </w:rPr>
              <w:t>1</w:t>
            </w:r>
            <w:r w:rsidRPr="00496F14">
              <w:rPr>
                <w:rFonts w:ascii="Times New Roman" w:hAnsi="Times New Roman"/>
              </w:rPr>
              <w:t>0</w:t>
            </w:r>
            <w:r w:rsidR="00127F4C">
              <w:rPr>
                <w:rFonts w:ascii="Times New Roman" w:hAnsi="Times New Roman"/>
              </w:rPr>
              <w:t xml:space="preserve"> 000000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="00127F4C">
              <w:rPr>
                <w:rFonts w:ascii="Times New Roman" w:hAnsi="Times New Roman"/>
              </w:rPr>
              <w:t>2 00000</w:t>
            </w:r>
            <w:r w:rsidRPr="00496F14"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0E0226" w:rsidRPr="00496F14" w:rsidP="0023453C">
      <w:pPr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</w:rPr>
        <w:t>  </w:t>
      </w:r>
    </w:p>
    <w:p w:rsidR="000E0226" w:rsidRPr="00496F14" w:rsidP="0023453C">
      <w:pPr>
        <w:pStyle w:val="Odsektext0"/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</w:rPr>
        <w:t>Návrh na riešenie úbytku príjmov alebo zvýšených výdavkov podľa § 33 ods. 1 zákona č. 523/2004 Z. z. o rozpočtových pravidlách verejnej správy:</w:t>
      </w:r>
    </w:p>
    <w:tbl>
      <w:tblPr>
        <w:tblStyle w:val="TableNormal"/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8924"/>
      </w:tblGrid>
      <w:tr>
        <w:tblPrEx>
          <w:tblW w:w="8924" w:type="dxa"/>
          <w:tblInd w:w="3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</w:tr>
    </w:tbl>
    <w:p w:rsidR="000E0226" w:rsidRPr="00496F14" w:rsidP="0023453C">
      <w:pPr>
        <w:pStyle w:val="Heading2"/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</w:rPr>
        <w:t>2.3. Popis a charakteristika návrhu</w:t>
      </w:r>
    </w:p>
    <w:p w:rsidR="000E0226" w:rsidRPr="00496F14" w:rsidP="0023453C">
      <w:pPr>
        <w:pStyle w:val="Heading2"/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</w:rPr>
        <w:t>2.3.1. Popis návrhu:</w:t>
      </w:r>
    </w:p>
    <w:p w:rsidR="000E0226" w:rsidRPr="00A634CA" w:rsidP="00A97C62">
      <w:pPr>
        <w:pStyle w:val="Odsektext0"/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</w:rPr>
        <w:t xml:space="preserve"> 2.3.2. Charakteristika návrhu podľa bodu  2.3.2. </w:t>
      </w:r>
      <w:r w:rsidRPr="00A634CA">
        <w:rPr>
          <w:rFonts w:ascii="Times New Roman" w:hAnsi="Times New Roman"/>
        </w:rPr>
        <w:t>Metodiky :</w:t>
      </w:r>
    </w:p>
    <w:p w:rsidR="000E0226" w:rsidRPr="00496F14" w:rsidP="0023453C">
      <w:pPr>
        <w:pStyle w:val="Header"/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</w:rPr>
        <w:t> </w:t>
      </w:r>
    </w:p>
    <w:p w:rsidR="000E0226" w:rsidRPr="00496F14" w:rsidP="0023453C">
      <w:pPr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496F14">
        <w:rPr>
          <w:rFonts w:ascii="Times New Roman" w:hAnsi="Times New Roman"/>
        </w:rPr>
        <w:t>  zmena sadzby</w:t>
      </w:r>
    </w:p>
    <w:p w:rsidR="000E0226" w:rsidRPr="00496F14" w:rsidP="0023453C">
      <w:pPr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496F14">
        <w:rPr>
          <w:rFonts w:ascii="Times New Roman" w:hAnsi="Times New Roman"/>
        </w:rPr>
        <w:t>  zmena v nároku</w:t>
      </w:r>
    </w:p>
    <w:p w:rsidR="000E0226" w:rsidRPr="00496F14" w:rsidP="0023453C">
      <w:pPr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  <w:bdr w:val="single" w:sz="4" w:space="0" w:color="000000" w:frame="1"/>
        </w:rPr>
        <w:t> </w:t>
      </w:r>
      <w:r w:rsidR="00A634CA">
        <w:rPr>
          <w:rFonts w:ascii="Times New Roman" w:hAnsi="Times New Roman"/>
          <w:bdr w:val="single" w:sz="4" w:space="0" w:color="000000" w:frame="1"/>
        </w:rPr>
        <w:t xml:space="preserve">   </w:t>
      </w:r>
      <w:r w:rsidRPr="00496F14">
        <w:rPr>
          <w:rFonts w:ascii="Times New Roman" w:hAnsi="Times New Roman"/>
          <w:bdr w:val="single" w:sz="4" w:space="0" w:color="000000" w:frame="1"/>
        </w:rPr>
        <w:t xml:space="preserve"> </w:t>
      </w:r>
      <w:r w:rsidRPr="00496F14">
        <w:rPr>
          <w:rFonts w:ascii="Times New Roman" w:hAnsi="Times New Roman"/>
        </w:rPr>
        <w:t>  nová služba alebo nariadenie (alebo ich zrušenie)</w:t>
      </w:r>
    </w:p>
    <w:p w:rsidR="000E0226" w:rsidRPr="00496F14" w:rsidP="0023453C">
      <w:pPr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496F14">
        <w:rPr>
          <w:rFonts w:ascii="Times New Roman" w:hAnsi="Times New Roman"/>
        </w:rPr>
        <w:t>  kombinovaný návrh</w:t>
      </w:r>
    </w:p>
    <w:p w:rsidR="000E0226" w:rsidRPr="00496F14" w:rsidP="0023453C">
      <w:pPr>
        <w:bidi w:val="0"/>
        <w:rPr>
          <w:rFonts w:ascii="Times New Roman" w:hAnsi="Times New Roman"/>
        </w:rPr>
      </w:pPr>
      <w:r w:rsidR="00A634CA">
        <w:rPr>
          <w:rFonts w:ascii="Times New Roman" w:hAnsi="Times New Roman"/>
          <w:bdr w:val="single" w:sz="4" w:space="0" w:color="000000" w:frame="1"/>
        </w:rPr>
        <w:t xml:space="preserve"> X </w:t>
      </w:r>
      <w:r w:rsidRPr="00496F14">
        <w:rPr>
          <w:rFonts w:ascii="Times New Roman" w:hAnsi="Times New Roman"/>
          <w:bdr w:val="single" w:sz="4" w:space="0" w:color="000000" w:frame="1"/>
        </w:rPr>
        <w:t xml:space="preserve"> </w:t>
      </w:r>
      <w:r w:rsidRPr="00496F14">
        <w:rPr>
          <w:rFonts w:ascii="Times New Roman" w:hAnsi="Times New Roman"/>
        </w:rPr>
        <w:t xml:space="preserve">  iné </w:t>
      </w:r>
    </w:p>
    <w:p w:rsidR="000E0226" w:rsidRPr="00C00712" w:rsidP="0023453C">
      <w:pPr>
        <w:pStyle w:val="Heading2"/>
        <w:bidi w:val="0"/>
        <w:rPr>
          <w:rFonts w:ascii="Times New Roman" w:hAnsi="Times New Roman"/>
          <w:lang w:val="sk-SK"/>
        </w:rPr>
      </w:pPr>
      <w:r w:rsidRPr="00C00712">
        <w:rPr>
          <w:rFonts w:ascii="Times New Roman" w:hAnsi="Times New Roman"/>
          <w:lang w:val="sk-SK"/>
        </w:rPr>
        <w:t>2.3.3. Predpoklady vývoja objemu aktivít:</w:t>
      </w:r>
    </w:p>
    <w:p w:rsidR="000E0226" w:rsidRPr="00496F14" w:rsidP="0023453C">
      <w:pPr>
        <w:pStyle w:val="Heading3"/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</w:rPr>
        <w:t xml:space="preserve">Tabuľka č. 3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CellMar>
            <w:left w:w="0" w:type="dxa"/>
            <w:right w:w="0" w:type="dxa"/>
          </w:tblCellMar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Objem aktivít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Odhadované objemy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2014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  <w:color w:val="000000"/>
              </w:rPr>
              <w:t xml:space="preserve">Žiadosti o </w:t>
            </w:r>
            <w:r w:rsidRPr="00496F14">
              <w:rPr>
                <w:rFonts w:ascii="Times New Roman" w:hAnsi="Times New Roman"/>
              </w:rPr>
              <w:t>úhradu efektívne a účelne vynaložených nákladov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0E0226" w:rsidRPr="00A634CA" w:rsidP="0023453C">
      <w:pPr>
        <w:pStyle w:val="Heading2"/>
        <w:bidi w:val="0"/>
        <w:rPr>
          <w:rFonts w:ascii="Times New Roman" w:hAnsi="Times New Roman"/>
          <w:lang w:val="sk-SK"/>
        </w:rPr>
      </w:pPr>
      <w:r w:rsidRPr="00A634CA">
        <w:rPr>
          <w:rFonts w:ascii="Times New Roman" w:hAnsi="Times New Roman"/>
          <w:lang w:val="sk-SK"/>
        </w:rPr>
        <w:t>  2.3.4. Výpočty vplyvov na verejné financie</w:t>
      </w:r>
    </w:p>
    <w:p w:rsidR="000E0226" w:rsidRPr="00A634CA" w:rsidP="0023453C">
      <w:pPr>
        <w:pStyle w:val="Heading2"/>
        <w:bidi w:val="0"/>
        <w:rPr>
          <w:rFonts w:ascii="Times New Roman" w:hAnsi="Times New Roman"/>
          <w:lang w:val="sk-SK"/>
        </w:rPr>
      </w:pPr>
      <w:r w:rsidRPr="00A634CA">
        <w:rPr>
          <w:rFonts w:ascii="Times New Roman" w:hAnsi="Times New Roman"/>
          <w:lang w:val="sk-SK"/>
        </w:rPr>
        <w:t>Vplyv na príjmy:</w:t>
      </w:r>
    </w:p>
    <w:p w:rsidR="000E0226" w:rsidRPr="00A634CA" w:rsidP="0023453C">
      <w:pPr>
        <w:pStyle w:val="Heading2"/>
        <w:bidi w:val="0"/>
        <w:rPr>
          <w:rFonts w:ascii="Times New Roman" w:hAnsi="Times New Roman"/>
          <w:lang w:val="sk-SK"/>
        </w:rPr>
      </w:pPr>
      <w:r w:rsidRPr="00A634CA">
        <w:rPr>
          <w:rFonts w:ascii="Times New Roman" w:hAnsi="Times New Roman"/>
          <w:lang w:val="sk-SK"/>
        </w:rPr>
        <w:t>Vplyv na výdavky:</w:t>
      </w:r>
    </w:p>
    <w:p w:rsidR="000E0226" w:rsidP="0023453C">
      <w:pPr>
        <w:pStyle w:val="Odsektext0"/>
        <w:bidi w:val="0"/>
        <w:rPr>
          <w:rFonts w:ascii="Times New Roman" w:hAnsi="Times New Roman"/>
        </w:rPr>
      </w:pPr>
      <w:r w:rsidR="00A634CA">
        <w:rPr>
          <w:rFonts w:ascii="Times New Roman" w:hAnsi="Times New Roman"/>
        </w:rPr>
        <w:t>Odhadovaná suma na nákup zariadení určených na zabezpečenie prevádzky v</w:t>
      </w:r>
      <w:r w:rsidR="00972C66">
        <w:rPr>
          <w:rFonts w:ascii="Times New Roman" w:hAnsi="Times New Roman"/>
        </w:rPr>
        <w:t> </w:t>
      </w:r>
      <w:r w:rsidR="00A634CA">
        <w:rPr>
          <w:rFonts w:ascii="Times New Roman" w:hAnsi="Times New Roman"/>
        </w:rPr>
        <w:t>sieťach</w:t>
      </w:r>
      <w:r w:rsidR="00972C66">
        <w:rPr>
          <w:rFonts w:ascii="Times New Roman" w:hAnsi="Times New Roman"/>
        </w:rPr>
        <w:t xml:space="preserve"> je podľa informácií od dotknutých rezortov cca 10 mil. eur. Pričom servisné služby k týmto zariadeniam sú prvé dva roky poskytované zdarma. Následne sa servis odhaduje na cca 2 mil. eur ročne.</w:t>
      </w:r>
    </w:p>
    <w:p w:rsidR="00A634CA" w:rsidP="0023453C">
      <w:pPr>
        <w:pStyle w:val="Odsektext0"/>
        <w:bidi w:val="0"/>
        <w:rPr>
          <w:rFonts w:ascii="Times New Roman" w:hAnsi="Times New Roman"/>
        </w:rPr>
      </w:pPr>
    </w:p>
    <w:p w:rsidR="00A634CA" w:rsidRPr="00496F14" w:rsidP="0023453C">
      <w:pPr>
        <w:pStyle w:val="Odsektext0"/>
        <w:bidi w:val="0"/>
        <w:rPr>
          <w:rFonts w:ascii="Times New Roman" w:hAnsi="Times New Roman"/>
        </w:rPr>
        <w:sectPr w:rsidSect="00C95A98">
          <w:headerReference w:type="even" r:id="rId4"/>
          <w:footerReference w:type="even" r:id="rId5"/>
          <w:footerReference w:type="default" r:id="rId6"/>
          <w:pgSz w:w="11906" w:h="16838"/>
          <w:pgMar w:top="1418" w:right="1418" w:bottom="1418" w:left="1418" w:header="709" w:footer="709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0E0226" w:rsidRPr="00496F14" w:rsidP="0023453C">
      <w:pPr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</w:rPr>
        <w:t xml:space="preserve">Tabuľka č. 4 </w:t>
      </w:r>
    </w:p>
    <w:tbl>
      <w:tblPr>
        <w:tblStyle w:val="TableNormal"/>
        <w:tblW w:w="13950" w:type="dxa"/>
        <w:tblCellMar>
          <w:left w:w="0" w:type="dxa"/>
          <w:right w:w="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Príjmy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poznámka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2012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2013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Daňové príjmy (100)</w:t>
            </w:r>
            <w:r w:rsidRPr="00496F14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Nedaňové príjmy (200)</w:t>
            </w:r>
            <w:r w:rsidRPr="00496F14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Granty a transfery (300)</w:t>
            </w:r>
            <w:r w:rsidRPr="00496F14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Dopad na príjmy verejnej správy celkom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="0017767A">
              <w:rPr>
                <w:rFonts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="0017767A">
              <w:rPr>
                <w:rFonts w:ascii="Times New Roman" w:hAnsi="Times New Roman"/>
              </w:rPr>
              <w:t>0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0E0226" w:rsidRPr="00496F14" w:rsidP="0023453C">
      <w:pPr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</w:rPr>
        <w:t xml:space="preserve">1 –  príjmy rozpísať až do položiek platnej ekonomickej klasifikácie    </w:t>
      </w:r>
    </w:p>
    <w:p w:rsidR="000E0226" w:rsidP="0023453C">
      <w:pPr>
        <w:bidi w:val="0"/>
        <w:rPr>
          <w:rFonts w:ascii="Times New Roman" w:hAnsi="Times New Roman"/>
        </w:rPr>
      </w:pPr>
    </w:p>
    <w:p w:rsidR="00284FCE" w:rsidRPr="00496F14" w:rsidP="0023453C">
      <w:pPr>
        <w:bidi w:val="0"/>
        <w:rPr>
          <w:rFonts w:ascii="Times New Roman" w:hAnsi="Times New Roman"/>
        </w:rPr>
        <w:sectPr>
          <w:pgSz w:w="16838" w:h="11906" w:orient="landscape" w:code="9"/>
          <w:pgMar w:top="1418" w:right="1418" w:bottom="1418" w:left="1418" w:header="709" w:footer="709" w:gutter="0"/>
          <w:lnNumType w:distance="0"/>
          <w:pgNumType w:start="1"/>
          <w:cols w:space="708"/>
          <w:noEndnote w:val="0"/>
          <w:titlePg/>
          <w:bidi w:val="0"/>
          <w:docGrid w:linePitch="360"/>
        </w:sectPr>
      </w:pPr>
    </w:p>
    <w:p w:rsidR="000E0226" w:rsidRPr="00496F14" w:rsidP="0023453C">
      <w:pPr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</w:rPr>
        <w:t xml:space="preserve">                   Tabuľka č. 5 </w:t>
      </w:r>
    </w:p>
    <w:tbl>
      <w:tblPr>
        <w:tblStyle w:val="TableNormal"/>
        <w:tblW w:w="15150" w:type="dxa"/>
        <w:tblInd w:w="-923" w:type="dxa"/>
        <w:tblCellMar>
          <w:left w:w="0" w:type="dxa"/>
          <w:right w:w="0" w:type="dxa"/>
        </w:tblCellMar>
      </w:tblPr>
      <w:tblGrid>
        <w:gridCol w:w="6770"/>
        <w:gridCol w:w="1540"/>
        <w:gridCol w:w="1540"/>
        <w:gridCol w:w="1540"/>
        <w:gridCol w:w="1540"/>
        <w:gridCol w:w="2220"/>
      </w:tblGrid>
      <w:tr>
        <w:tblPrEx>
          <w:tblW w:w="15150" w:type="dxa"/>
          <w:tblInd w:w="-923" w:type="dxa"/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6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Výdavky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poznámka</w:t>
            </w:r>
          </w:p>
        </w:tc>
      </w:tr>
      <w:tr>
        <w:tblPrEx>
          <w:tblW w:w="15150" w:type="dxa"/>
          <w:tblInd w:w="-923" w:type="dxa"/>
          <w:tblCellMar>
            <w:left w:w="0" w:type="dxa"/>
            <w:right w:w="0" w:type="dxa"/>
          </w:tblCellMar>
        </w:tblPrEx>
        <w:trPr>
          <w:cantSplit/>
          <w:trHeight w:val="197"/>
        </w:trPr>
        <w:tc>
          <w:tcPr>
            <w:tcW w:w="6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2011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2013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150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Bežné výdavky (600)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150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 Mzdy, platy, služobné príjmy a ostatné osobné vyrovnania (610)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150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 Poistné a príspevok do poisťovní (620)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150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 Tovary a služby (630)</w:t>
            </w:r>
            <w:r w:rsidRPr="00496F14">
              <w:rPr>
                <w:rFonts w:ascii="Times New Roman" w:hAnsi="Times New Roman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150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 Bežné transfery (640)</w:t>
            </w:r>
            <w:r w:rsidRPr="00496F14">
              <w:rPr>
                <w:rFonts w:ascii="Times New Roman" w:hAnsi="Times New Roman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150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 Splácanie úrokov a ostatné platby súvisiace s úvermi, pôžičkami a NFV (650)</w:t>
            </w:r>
            <w:r w:rsidRPr="00496F14">
              <w:rPr>
                <w:rFonts w:ascii="Times New Roman" w:hAnsi="Times New Roman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150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Kapitálové výdavky (700)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="00972C66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="00972C66">
              <w:rPr>
                <w:rFonts w:ascii="Times New Roman" w:hAnsi="Times New Roman"/>
              </w:rPr>
              <w:t>10 000 000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="00972C66">
              <w:rPr>
                <w:rFonts w:ascii="Times New Roman" w:hAnsi="Times New Roman"/>
              </w:rPr>
              <w:t>nákup zariadení</w:t>
            </w:r>
          </w:p>
        </w:tc>
      </w:tr>
      <w:tr>
        <w:tblPrEx>
          <w:tblW w:w="15150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 Obstarávanie kapitálových aktív (710)</w:t>
            </w:r>
            <w:r w:rsidRPr="00496F14">
              <w:rPr>
                <w:rFonts w:ascii="Times New Roman" w:hAnsi="Times New Roman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150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 Kapitálové transfery (720)</w:t>
            </w:r>
            <w:r w:rsidRPr="00496F14">
              <w:rPr>
                <w:rFonts w:ascii="Times New Roman" w:hAnsi="Times New Roman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150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150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70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15 000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5 000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5 000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5 000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150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 z toho výdavky na ŠR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="00972C66">
              <w:rPr>
                <w:rFonts w:ascii="Times New Roman" w:hAnsi="Times New Roman"/>
              </w:rPr>
              <w:t>10 000</w:t>
            </w:r>
            <w:r w:rsidRPr="00496F14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150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  Bežné výdavky</w:t>
            </w:r>
            <w:r w:rsidRPr="00496F14">
              <w:rPr>
                <w:rFonts w:ascii="Times New Roman" w:hAnsi="Times New Roman"/>
                <w:b/>
                <w:bCs/>
              </w:rPr>
              <w:t xml:space="preserve"> </w:t>
            </w:r>
            <w:r w:rsidRPr="00496F14">
              <w:rPr>
                <w:rFonts w:ascii="Times New Roman" w:hAnsi="Times New Roman"/>
              </w:rPr>
              <w:t>(600)</w:t>
            </w:r>
            <w:r w:rsidRPr="00496F14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="0017767A">
              <w:rPr>
                <w:rFonts w:ascii="Times New Roman" w:hAnsi="Times New Roman"/>
              </w:rPr>
              <w:t>2 000 000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="0017767A">
              <w:rPr>
                <w:rFonts w:ascii="Times New Roman" w:hAnsi="Times New Roman"/>
              </w:rPr>
              <w:t>údržba zariadení</w:t>
            </w:r>
          </w:p>
        </w:tc>
      </w:tr>
      <w:tr>
        <w:tblPrEx>
          <w:tblW w:w="15150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  <w:b/>
                <w:bCs/>
              </w:rPr>
              <w:t>    </w:t>
            </w:r>
            <w:r w:rsidRPr="00496F14">
              <w:rPr>
                <w:rFonts w:ascii="Times New Roman" w:hAnsi="Times New Roman"/>
              </w:rPr>
              <w:t>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150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   Kapitálové výdavky (700)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150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   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150" w:type="dxa"/>
          <w:tblInd w:w="-923" w:type="dxa"/>
          <w:tblCellMar>
            <w:left w:w="0" w:type="dxa"/>
            <w:right w:w="0" w:type="dxa"/>
          </w:tblCellMar>
        </w:tblPrEx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E0226" w:rsidRPr="00496F14" w:rsidP="0023453C">
            <w:pPr>
              <w:pStyle w:val="Odsektext0"/>
              <w:bidi w:val="0"/>
              <w:rPr>
                <w:rFonts w:ascii="Times New Roman" w:hAnsi="Times New Roman"/>
              </w:rPr>
            </w:pPr>
          </w:p>
        </w:tc>
      </w:tr>
    </w:tbl>
    <w:p w:rsidR="000E0226" w:rsidRPr="00496F14" w:rsidP="0023453C">
      <w:pPr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</w:rPr>
        <w:t>2 –  výdavky rozpísať až do položiek platnej ekonomickej klasifikácie</w:t>
      </w:r>
    </w:p>
    <w:p w:rsidR="000E0226" w:rsidRPr="00496F14" w:rsidP="0023453C">
      <w:pPr>
        <w:pStyle w:val="Header"/>
        <w:bidi w:val="0"/>
        <w:rPr>
          <w:rFonts w:ascii="Times New Roman" w:hAnsi="Times New Roman"/>
        </w:rPr>
      </w:pPr>
      <w:r w:rsidRPr="00496F14">
        <w:rPr>
          <w:rFonts w:ascii="Times New Roman" w:hAnsi="Times New Roman"/>
        </w:rPr>
        <w:t xml:space="preserve">Tabuľka č. 6 </w:t>
      </w:r>
    </w:p>
    <w:tbl>
      <w:tblPr>
        <w:tblStyle w:val="TableNormal"/>
        <w:tblpPr w:leftFromText="141" w:rightFromText="141" w:vertAnchor="text" w:horzAnchor="margin" w:tblpXSpec="center" w:tblpY="170"/>
        <w:tblW w:w="15114" w:type="dxa"/>
        <w:tblCellMar>
          <w:left w:w="0" w:type="dxa"/>
          <w:right w:w="0" w:type="dxa"/>
        </w:tblCellMar>
      </w:tblPr>
      <w:tblGrid>
        <w:gridCol w:w="5932"/>
        <w:gridCol w:w="1500"/>
        <w:gridCol w:w="1598"/>
        <w:gridCol w:w="564"/>
        <w:gridCol w:w="1491"/>
        <w:gridCol w:w="1550"/>
        <w:gridCol w:w="2479"/>
      </w:tblGrid>
      <w:tr>
        <w:tblPrEx>
          <w:tblW w:w="15114" w:type="dxa"/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5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Zamestnanosť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Vplyv na rozpočet verejnej správy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poznámka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5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2011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2012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2013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2014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Počet zamestnancov celkom*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Priemerný mzdový výdavok (v eurách)*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Osobné výdavky celkom (v eurách)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0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0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0 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 xml:space="preserve">Mzdy, platy, služobné príjmy a ostatné osobné vyrovnania (610)* 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Poistné a príspevok do poisťovní (620)*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pStyle w:val="FootnoteText"/>
              <w:bidi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E0226" w:rsidRPr="00C00712" w:rsidP="0023453C">
            <w:pPr>
              <w:pStyle w:val="Heading9"/>
              <w:bidi w:val="0"/>
              <w:rPr>
                <w:rFonts w:ascii="Times New Roman" w:hAnsi="Times New Roman"/>
                <w:lang w:val="sk-SK"/>
              </w:rPr>
            </w:pPr>
            <w:r w:rsidRPr="00C00712">
              <w:rPr>
                <w:rFonts w:ascii="Times New Roman" w:hAnsi="Times New Roman"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E0226" w:rsidRPr="00496F14" w:rsidP="0023453C">
            <w:pPr>
              <w:pStyle w:val="Heading9"/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Poznámky: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2635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E0226" w:rsidRPr="00C00712" w:rsidP="0023453C">
            <w:pPr>
              <w:pStyle w:val="FootnoteText"/>
              <w:bidi w:val="0"/>
              <w:rPr>
                <w:rFonts w:ascii="Times New Roman" w:hAnsi="Times New Roman"/>
                <w:lang w:val="sk-SK"/>
              </w:rPr>
            </w:pPr>
            <w:r w:rsidRPr="00C00712">
              <w:rPr>
                <w:rFonts w:ascii="Times New Roman" w:hAnsi="Times New Roman"/>
                <w:lang w:val="sk-SK"/>
              </w:rPr>
              <w:t>Priemerný mzdový výdavok je tvorený podielom mzdových výdavkov na jedného zamestnanca na jeden kalendárny mesiac bežného roka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5114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C00712" w:rsidP="0023453C">
            <w:pPr>
              <w:pStyle w:val="Heading9"/>
              <w:bidi w:val="0"/>
              <w:rPr>
                <w:rFonts w:ascii="Times New Roman" w:hAnsi="Times New Roman"/>
                <w:lang w:val="sk-SK"/>
              </w:rPr>
            </w:pPr>
            <w:r w:rsidRPr="00C00712">
              <w:rPr>
                <w:rFonts w:ascii="Times New Roman" w:hAnsi="Times New Roman"/>
                <w:lang w:val="sk-SK"/>
              </w:rPr>
              <w:t>Poistné tvorí podiel mzdových výdavkov, pričom za organizácie v pôsobnosti kapitol štátneho rozpočtu, s výnimkou prenesených kompetencií výkonu štátnej správy, pre zamestnancov štátnej služby a zamestnancov pri výkone práce vo verejnom záujme predstavuje  34,95 %,  pre policajtov, profesionálnych vojakov, colníkov, hasičov vrátane horskej záchrannej služby predstavuje 33,2 %. Pre ostatné subjekty verejnej správy vrátane prenesených kompetencií výkonu štátnej správy poistné tvorí podiel zodpovedajúci  35,2 %.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5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E0226" w:rsidRPr="00C00712" w:rsidP="0023453C">
            <w:pPr>
              <w:pStyle w:val="Heading9"/>
              <w:bidi w:val="0"/>
              <w:rPr>
                <w:rFonts w:ascii="Times New Roman" w:hAnsi="Times New Roman"/>
                <w:lang w:val="sk-SK"/>
              </w:rPr>
            </w:pPr>
            <w:r w:rsidRPr="00C00712">
              <w:rPr>
                <w:rFonts w:ascii="Times New Roman" w:hAnsi="Times New Roman"/>
                <w:lang w:val="sk-SK"/>
              </w:rPr>
              <w:t>Kategórie 610 a 620 sú z tejto prílohy automaticky prenášané do príslušných kategórií prílohy „výdavky“</w:t>
            </w:r>
          </w:p>
        </w:tc>
        <w:tc>
          <w:tcPr>
            <w:tcW w:w="1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  <w:tc>
          <w:tcPr>
            <w:tcW w:w="1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E0226" w:rsidRPr="00496F14" w:rsidP="0023453C">
            <w:pPr>
              <w:bidi w:val="0"/>
              <w:rPr>
                <w:rFonts w:ascii="Times New Roman" w:hAnsi="Times New Roman"/>
              </w:rPr>
            </w:pPr>
            <w:r w:rsidRPr="00496F14">
              <w:rPr>
                <w:rFonts w:ascii="Times New Roman" w:hAnsi="Times New Roman"/>
              </w:rPr>
              <w:t> </w:t>
            </w:r>
          </w:p>
        </w:tc>
      </w:tr>
    </w:tbl>
    <w:p w:rsidR="009C7352" w:rsidRPr="00C00712" w:rsidP="0023453C">
      <w:pPr>
        <w:pStyle w:val="BodyText"/>
        <w:bidi w:val="0"/>
        <w:rPr>
          <w:rFonts w:ascii="Times New Roman" w:hAnsi="Times New Roman"/>
          <w:lang w:val="sk-SK"/>
        </w:rPr>
        <w:sectPr w:rsidSect="00284FCE">
          <w:headerReference w:type="even" r:id="rId7"/>
          <w:pgSz w:w="16838" w:h="11906" w:orient="landscape" w:code="9"/>
          <w:pgMar w:top="1418" w:right="1418" w:bottom="1418" w:left="1418" w:header="709" w:footer="709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9C7352" w:rsidRPr="0023453C" w:rsidP="00A634CA">
      <w:pPr>
        <w:pStyle w:val="BodyText2"/>
        <w:bidi w:val="0"/>
        <w:rPr>
          <w:rFonts w:ascii="Times New Roman" w:hAnsi="Times New Roman"/>
        </w:rPr>
      </w:pPr>
      <w:r w:rsidRPr="0023453C">
        <w:rPr>
          <w:rFonts w:ascii="Times New Roman" w:hAnsi="Times New Roman"/>
        </w:rPr>
        <w:t>Vplyvy na informatizáciu spoločnosti</w:t>
      </w:r>
    </w:p>
    <w:p w:rsidR="009C7352" w:rsidP="0023453C">
      <w:pPr>
        <w:pStyle w:val="BodyText"/>
        <w:bidi w:val="0"/>
        <w:rPr>
          <w:rFonts w:ascii="Times New Roman" w:hAnsi="Times New Roman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6.1.</w:t>
            </w:r>
            <w:r>
              <w:rPr>
                <w:rFonts w:ascii="Times New Roman" w:hAnsi="Times New Roman"/>
              </w:rPr>
              <w:t xml:space="preserve"> Rozširujú alebo inovujú sa existujúce alebo vytvárajú sa či zavádzajú  sa nové elektronické služby?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 w:rsidR="0017767A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6.2.</w:t>
            </w:r>
            <w:r>
              <w:rPr>
                <w:rFonts w:ascii="Times New Roman" w:hAnsi="Times New Roman"/>
              </w:rPr>
              <w:t xml:space="preserve"> Vytvárajú sa podmienky pre sémantickú interoperabilitu?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 w:rsidR="0017767A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6.3.</w:t>
            </w:r>
            <w:r>
              <w:rPr>
                <w:rFonts w:ascii="Times New Roman" w:hAnsi="Times New Roman"/>
              </w:rPr>
              <w:t xml:space="preserve"> Zabezpečuje sa vzdelávanie v oblasti počítačovej gramotnosti a rozširovanie vedomostí o IKT?</w:t>
            </w:r>
          </w:p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 w:rsidR="0017767A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6.4.</w:t>
            </w:r>
            <w:r>
              <w:rPr>
                <w:rFonts w:ascii="Times New Roman" w:hAnsi="Times New Roman"/>
              </w:rPr>
              <w:t xml:space="preserve"> Zabezpečuje sa rozvoj elektronického vzdelávania?</w:t>
            </w:r>
          </w:p>
          <w:p w:rsidR="009C7352" w:rsidP="0023453C">
            <w:pPr>
              <w:bidi w:val="0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 w:rsidR="0017767A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6.5.</w:t>
            </w:r>
            <w:r>
              <w:rPr>
                <w:rFonts w:ascii="Times New Roman" w:hAnsi="Times New Roman"/>
              </w:rPr>
              <w:t xml:space="preserve"> Zabezpečuje sa podporná a propagačná aktivita zameraná na zvyšovanie povedomia o informatizácii a IKT?</w:t>
            </w:r>
          </w:p>
          <w:p w:rsidR="009C7352" w:rsidP="0023453C">
            <w:pPr>
              <w:bidi w:val="0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 w:rsidR="0017767A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6.6.</w:t>
            </w:r>
            <w:r>
              <w:rPr>
                <w:rFonts w:ascii="Times New Roman" w:hAnsi="Times New Roman"/>
              </w:rPr>
              <w:t xml:space="preserve"> Zabezpečuje/zohľadňuje/zlepšuje sa prístup znevýhodnených osôb k službám informačnej spoločnosti?</w:t>
            </w:r>
          </w:p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 w:rsidR="0017767A">
              <w:rPr>
                <w:rFonts w:ascii="Times New Roman" w:hAnsi="Times New Roman"/>
              </w:rPr>
              <w:t>Návrh zákona vytvára legislatívne prostredie smerujúce k dosiahnutiu rovnakého prístupu k elektronickým komunikačným službám znevýhodnených osôb.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6.7.</w:t>
            </w:r>
            <w:r>
              <w:rPr>
                <w:rFonts w:ascii="Times New Roman" w:hAnsi="Times New Roman"/>
              </w:rPr>
              <w:t xml:space="preserve"> Rozširuje, inovuje, vytvára alebo zavádza sa nový informačný systém?</w:t>
            </w:r>
          </w:p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 w:rsidR="0017767A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6.8.</w:t>
            </w:r>
            <w:r>
              <w:rPr>
                <w:rFonts w:ascii="Times New Roman" w:hAnsi="Times New Roman"/>
              </w:rPr>
              <w:t xml:space="preserve"> Rozširuje sa prístupnosť k internetu?</w:t>
            </w:r>
          </w:p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 w:rsidR="00234E38">
              <w:rPr>
                <w:rFonts w:ascii="Times New Roman" w:hAnsi="Times New Roman"/>
              </w:rPr>
              <w:t>Návrh zákona vytvára legislatívne prostredie smerujúce k širokej dostupnosti elektronických komunikačných služieb.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6.9.</w:t>
            </w:r>
            <w:r>
              <w:rPr>
                <w:rFonts w:ascii="Times New Roman" w:hAnsi="Times New Roman"/>
              </w:rPr>
              <w:t xml:space="preserve"> Rozširuje sa prístupnosť k elektronickým službám?</w:t>
            </w:r>
          </w:p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 w:rsidR="0017767A">
              <w:rPr>
                <w:rFonts w:ascii="Times New Roman" w:hAnsi="Times New Roman"/>
              </w:rPr>
              <w:t>Návrh zákona vytvára legislatívne prostredie smerujúce k širokej dostupnosti elektronických komunikačných služieb.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6.10.</w:t>
            </w:r>
            <w:r>
              <w:rPr>
                <w:rFonts w:ascii="Times New Roman" w:hAnsi="Times New Roman"/>
              </w:rPr>
              <w:t xml:space="preserve"> Zabezpečuje sa technická interoperabilita?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 w:rsidR="0017767A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6.11.</w:t>
            </w:r>
            <w:r>
              <w:rPr>
                <w:rFonts w:ascii="Times New Roman" w:hAnsi="Times New Roman"/>
              </w:rPr>
              <w:t xml:space="preserve"> Zvyšuje sa bezpečnosť IT?</w:t>
            </w:r>
          </w:p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 w:rsidR="008501E8">
              <w:rPr>
                <w:rFonts w:ascii="Times New Roman" w:hAnsi="Times New Roman"/>
              </w:rPr>
              <w:t>Návrh zákona vytvára legislatívne prostredie smerujúce k zvyšovaniu bezpečnosti elektronických komunikačných sietí. Obsahuje jednotlivé povinnosti podnikov prevádzkujúcich siete a poskytujúcich služby. Zároveň sa rozširujú kompetencie Telekomunikačného úradu SR v tejto oblasti.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6.12.</w:t>
            </w:r>
            <w:r>
              <w:rPr>
                <w:rFonts w:ascii="Times New Roman" w:hAnsi="Times New Roman"/>
              </w:rPr>
              <w:t xml:space="preserve"> Rozširuje sa technická infraštruktúra?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 w:rsidR="0017767A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6.13.</w:t>
            </w:r>
            <w:r>
              <w:rPr>
                <w:rFonts w:ascii="Times New Roman" w:hAnsi="Times New Roman"/>
              </w:rPr>
              <w:t xml:space="preserve"> Predpokladajú sa zmeny v riadení procesu informatizácie?</w:t>
            </w:r>
          </w:p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 w:rsidR="0017767A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6.14.</w:t>
            </w:r>
            <w:r>
              <w:rPr>
                <w:rFonts w:ascii="Times New Roman" w:hAnsi="Times New Roman"/>
              </w:rPr>
              <w:t xml:space="preserve"> Vyžaduje si proces informatizácie finančné investície?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 w:rsidR="0017767A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6.15.</w:t>
            </w:r>
            <w:r>
              <w:rPr>
                <w:rFonts w:ascii="Times New Roman" w:hAnsi="Times New Roman"/>
              </w:rPr>
              <w:t xml:space="preserve"> Predpokladá nelegislatívny materiál potrebu úpravy legislatívneho pr</w:t>
            </w:r>
            <w:r w:rsidR="00EA511F">
              <w:rPr>
                <w:rFonts w:ascii="Times New Roman" w:hAnsi="Times New Roman"/>
              </w:rPr>
              <w:t>ostredia procesu informatizácie?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7352" w:rsidP="0023453C">
            <w:pPr>
              <w:bidi w:val="0"/>
              <w:rPr>
                <w:rFonts w:ascii="Times New Roman" w:hAnsi="Times New Roman"/>
              </w:rPr>
            </w:pPr>
            <w:r w:rsidR="0017767A">
              <w:rPr>
                <w:rFonts w:ascii="Times New Roman" w:hAnsi="Times New Roman"/>
              </w:rPr>
              <w:t>nie</w:t>
            </w:r>
          </w:p>
        </w:tc>
      </w:tr>
    </w:tbl>
    <w:p w:rsidR="000E0226" w:rsidRPr="00496F14" w:rsidP="0023453C">
      <w:pPr>
        <w:bidi w:val="0"/>
        <w:rPr>
          <w:rFonts w:ascii="Times New Roman" w:hAnsi="Times New Roman"/>
        </w:rPr>
      </w:pPr>
    </w:p>
    <w:sectPr w:rsidSect="009C7352">
      <w:pgSz w:w="11906" w:h="16838" w:code="9"/>
      <w:pgMar w:top="1418" w:right="1418" w:bottom="1418" w:left="1418" w:header="709" w:footer="709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1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imes New m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CE" w:rsidP="00284FC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453C" w:rsidP="00284FCE">
    <w:pPr>
      <w:pStyle w:val="Footer"/>
      <w:bidi w:val="0"/>
      <w:ind w:right="360"/>
      <w:rPr>
        <w:rStyle w:val="PageNumber"/>
        <w:rFonts w:ascii="Times New Roman" w:hAnsi="Times New Roman"/>
      </w:rPr>
    </w:pPr>
  </w:p>
  <w:p w:rsidR="0023453C" w:rsidP="0023453C">
    <w:pPr>
      <w:pStyle w:val="Footer"/>
      <w:bidi w:val="0"/>
      <w:rPr>
        <w:rStyle w:val="PageNumber"/>
        <w:rFonts w:ascii="Times New Roman" w:hAnsi="Times New Roman"/>
      </w:rPr>
    </w:pPr>
  </w:p>
  <w:p w:rsidR="0023453C" w:rsidP="0023453C">
    <w:pPr>
      <w:pStyle w:val="Footer"/>
      <w:bidi w:val="0"/>
      <w:rPr>
        <w:rStyle w:val="PageNumber"/>
        <w:rFonts w:ascii="Times New Roman" w:hAnsi="Times New Roman"/>
      </w:rPr>
    </w:pPr>
  </w:p>
  <w:p w:rsidR="0023453C" w:rsidP="0023453C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CE" w:rsidP="00284FC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284FCE" w:rsidP="00284FCE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53C" w:rsidP="0023453C">
    <w:pPr>
      <w:bidi w:val="0"/>
      <w:rPr>
        <w:rFonts w:ascii="Times New Roman" w:hAnsi="Times New Roman"/>
      </w:rPr>
    </w:pPr>
  </w:p>
  <w:p w:rsidR="0023453C" w:rsidP="0023453C">
    <w:pPr>
      <w:bidi w:val="0"/>
      <w:rPr>
        <w:rFonts w:ascii="Times New Roman" w:hAnsi="Times New Roman"/>
      </w:rPr>
    </w:pPr>
  </w:p>
  <w:p w:rsidR="0023453C" w:rsidP="0023453C">
    <w:pPr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53C" w:rsidP="0023453C">
    <w:pPr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C073A"/>
    <w:rsid w:val="000321D8"/>
    <w:rsid w:val="00091011"/>
    <w:rsid w:val="000E0226"/>
    <w:rsid w:val="000E6A12"/>
    <w:rsid w:val="00127F4C"/>
    <w:rsid w:val="00135199"/>
    <w:rsid w:val="001723D0"/>
    <w:rsid w:val="0017767A"/>
    <w:rsid w:val="001D170F"/>
    <w:rsid w:val="00217BBF"/>
    <w:rsid w:val="0023453C"/>
    <w:rsid w:val="00234E38"/>
    <w:rsid w:val="00284FCE"/>
    <w:rsid w:val="00355ADE"/>
    <w:rsid w:val="003A763E"/>
    <w:rsid w:val="003E613E"/>
    <w:rsid w:val="003E6CEB"/>
    <w:rsid w:val="00496F14"/>
    <w:rsid w:val="004E54C6"/>
    <w:rsid w:val="005322B9"/>
    <w:rsid w:val="0056729A"/>
    <w:rsid w:val="005F1B1A"/>
    <w:rsid w:val="00662939"/>
    <w:rsid w:val="006914B5"/>
    <w:rsid w:val="007E560F"/>
    <w:rsid w:val="008501E8"/>
    <w:rsid w:val="008C073A"/>
    <w:rsid w:val="00972C66"/>
    <w:rsid w:val="009C7352"/>
    <w:rsid w:val="00A17174"/>
    <w:rsid w:val="00A634CA"/>
    <w:rsid w:val="00A75871"/>
    <w:rsid w:val="00A87EEC"/>
    <w:rsid w:val="00A97C62"/>
    <w:rsid w:val="00C00712"/>
    <w:rsid w:val="00C95A98"/>
    <w:rsid w:val="00CD196A"/>
    <w:rsid w:val="00D37EB9"/>
    <w:rsid w:val="00D5657D"/>
    <w:rsid w:val="00D77ADE"/>
    <w:rsid w:val="00D917F1"/>
    <w:rsid w:val="00DB1D10"/>
    <w:rsid w:val="00DC6368"/>
    <w:rsid w:val="00DC7A91"/>
    <w:rsid w:val="00E86B27"/>
    <w:rsid w:val="00EA511F"/>
    <w:rsid w:val="00ED21DA"/>
    <w:rsid w:val="00F67CBE"/>
    <w:rsid w:val="00FD659E"/>
    <w:rsid w:val="00FE18B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uiPriority w:val="99"/>
    <w:rsid w:val="0023453C"/>
    <w:pPr>
      <w:framePr w:wrap="auto"/>
      <w:widowControl/>
      <w:autoSpaceDE w:val="0"/>
      <w:autoSpaceDN w:val="0"/>
      <w:adjustRightInd/>
      <w:spacing w:before="120" w:after="12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uiPriority w:val="99"/>
    <w:pPr>
      <w:jc w:val="both"/>
      <w:outlineLvl w:val="0"/>
    </w:pPr>
    <w:rPr>
      <w:b/>
      <w:bCs/>
      <w:kern w:val="36"/>
      <w:lang w:val="en-GB"/>
    </w:rPr>
  </w:style>
  <w:style w:type="paragraph" w:styleId="Heading2">
    <w:name w:val="heading 2"/>
    <w:basedOn w:val="Normal"/>
    <w:uiPriority w:val="99"/>
    <w:pPr>
      <w:snapToGrid w:val="0"/>
      <w:spacing w:before="360" w:after="240"/>
      <w:ind w:left="357"/>
      <w:jc w:val="both"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uiPriority w:val="99"/>
    <w:pPr>
      <w:keepNext/>
      <w:autoSpaceDE/>
      <w:autoSpaceDN/>
      <w:spacing w:before="240"/>
      <w:jc w:val="both"/>
      <w:outlineLvl w:val="2"/>
    </w:pPr>
  </w:style>
  <w:style w:type="paragraph" w:styleId="Heading4">
    <w:name w:val="heading 4"/>
    <w:basedOn w:val="Normal"/>
    <w:next w:val="Normal"/>
    <w:uiPriority w:val="99"/>
    <w:pPr>
      <w:keepNext/>
      <w:jc w:val="both"/>
      <w:outlineLvl w:val="3"/>
    </w:pPr>
    <w:rPr>
      <w:lang w:val="cs-CZ"/>
    </w:rPr>
  </w:style>
  <w:style w:type="paragraph" w:styleId="Heading6">
    <w:name w:val="heading 6"/>
    <w:basedOn w:val="Normal"/>
    <w:uiPriority w:val="99"/>
    <w:pPr>
      <w:jc w:val="center"/>
      <w:outlineLvl w:val="5"/>
    </w:pPr>
    <w:rPr>
      <w:b/>
      <w:bCs/>
      <w:sz w:val="28"/>
      <w:szCs w:val="28"/>
      <w:lang w:val="en-GB"/>
    </w:rPr>
  </w:style>
  <w:style w:type="paragraph" w:styleId="Heading7">
    <w:name w:val="heading 7"/>
    <w:basedOn w:val="Normal"/>
    <w:uiPriority w:val="99"/>
    <w:pPr>
      <w:jc w:val="both"/>
      <w:outlineLvl w:val="6"/>
    </w:pPr>
    <w:rPr>
      <w:b/>
      <w:bCs/>
      <w:sz w:val="20"/>
      <w:szCs w:val="20"/>
      <w:lang w:val="en-GB"/>
    </w:rPr>
  </w:style>
  <w:style w:type="paragraph" w:styleId="Heading9">
    <w:name w:val="heading 9"/>
    <w:basedOn w:val="Normal"/>
    <w:uiPriority w:val="99"/>
    <w:pPr>
      <w:jc w:val="both"/>
      <w:outlineLvl w:val="8"/>
    </w:pPr>
    <w:rPr>
      <w:sz w:val="20"/>
      <w:szCs w:val="20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autoSpaceDE/>
      <w:autoSpaceDN/>
      <w:spacing w:before="0" w:after="0"/>
      <w:jc w:val="both"/>
    </w:pPr>
    <w:rPr>
      <w:rFonts w:ascii="Tahoma" w:hAnsi="Tahoma" w:cs="Tahoma"/>
      <w:sz w:val="16"/>
      <w:szCs w:val="16"/>
      <w:lang w:eastAsia="sk-SK"/>
    </w:rPr>
  </w:style>
  <w:style w:type="paragraph" w:customStyle="1" w:styleId="nadpis1orobas">
    <w:name w:val="nadpis1orobas"/>
    <w:basedOn w:val="Normal"/>
    <w:uiPriority w:val="99"/>
    <w:pPr>
      <w:spacing w:before="240" w:after="60"/>
      <w:jc w:val="both"/>
    </w:pPr>
    <w:rPr>
      <w:rFonts w:ascii="Arial" w:hAnsi="Arial" w:cs="Arial"/>
      <w:b/>
      <w:bCs/>
      <w:sz w:val="28"/>
      <w:szCs w:val="28"/>
      <w:lang w:val="en-GB"/>
    </w:rPr>
  </w:style>
  <w:style w:type="paragraph" w:customStyle="1" w:styleId="odrka">
    <w:name w:val="odrka"/>
    <w:basedOn w:val="Normal"/>
    <w:uiPriority w:val="99"/>
    <w:pPr>
      <w:spacing w:line="288" w:lineRule="auto"/>
      <w:ind w:left="360" w:firstLine="207"/>
      <w:jc w:val="both"/>
    </w:pPr>
    <w:rPr>
      <w:sz w:val="23"/>
      <w:szCs w:val="23"/>
      <w:lang w:val="en-GB"/>
    </w:rPr>
  </w:style>
  <w:style w:type="paragraph" w:customStyle="1" w:styleId="odsektext">
    <w:name w:val="odsektext"/>
    <w:basedOn w:val="Normal"/>
    <w:uiPriority w:val="99"/>
    <w:pPr>
      <w:ind w:firstLine="709"/>
      <w:jc w:val="both"/>
    </w:pPr>
    <w:rPr>
      <w:sz w:val="23"/>
      <w:szCs w:val="23"/>
      <w:lang w:val="en-GB"/>
    </w:rPr>
  </w:style>
  <w:style w:type="paragraph" w:styleId="FootnoteText">
    <w:name w:val="footnote text"/>
    <w:aliases w:val="Footnote,Footnote Text Char Char,Footnote Text Char1,Voetnoottekst Char,Voetnoottekst Char Char1 Char Char,Voetnoottekst Char1,Voetnoottekst Char1 Char Char Char Char,Voetnoottekst Char2 Char Char,fn,single space"/>
    <w:basedOn w:val="Normal"/>
    <w:uiPriority w:val="99"/>
    <w:semiHidden/>
    <w:pPr>
      <w:jc w:val="both"/>
    </w:pPr>
    <w:rPr>
      <w:sz w:val="20"/>
      <w:szCs w:val="20"/>
      <w:lang w:val="en-GB"/>
    </w:rPr>
  </w:style>
  <w:style w:type="paragraph" w:customStyle="1" w:styleId="nadpis3podloha">
    <w:name w:val="nadpis3podloha"/>
    <w:basedOn w:val="Normal"/>
    <w:uiPriority w:val="99"/>
    <w:pPr>
      <w:jc w:val="center"/>
    </w:pPr>
    <w:rPr>
      <w:b/>
      <w:bCs/>
      <w:sz w:val="20"/>
      <w:szCs w:val="20"/>
      <w:lang w:val="en-GB"/>
    </w:rPr>
  </w:style>
  <w:style w:type="paragraph" w:styleId="CommentText">
    <w:name w:val="annotation text"/>
    <w:basedOn w:val="Normal"/>
    <w:uiPriority w:val="99"/>
    <w:semiHidden/>
    <w:pPr>
      <w:jc w:val="both"/>
    </w:pPr>
    <w:rPr>
      <w:b/>
      <w:bCs/>
      <w:sz w:val="20"/>
      <w:szCs w:val="20"/>
      <w:lang w:val="en-GB"/>
    </w:rPr>
  </w:style>
  <w:style w:type="paragraph" w:styleId="BodyText">
    <w:name w:val="Body Text"/>
    <w:basedOn w:val="Normal"/>
    <w:uiPriority w:val="99"/>
    <w:pPr>
      <w:jc w:val="both"/>
    </w:pPr>
    <w:rPr>
      <w:sz w:val="20"/>
      <w:szCs w:val="20"/>
      <w:lang w:val="en-GB"/>
    </w:rPr>
  </w:style>
  <w:style w:type="paragraph" w:styleId="BodyTextIndent3">
    <w:name w:val="Body Text Indent 3"/>
    <w:basedOn w:val="Normal"/>
    <w:uiPriority w:val="99"/>
    <w:pPr>
      <w:ind w:firstLine="454"/>
      <w:jc w:val="both"/>
    </w:pPr>
    <w:rPr>
      <w:sz w:val="20"/>
      <w:szCs w:val="20"/>
      <w:lang w:val="en-GB"/>
    </w:rPr>
  </w:style>
  <w:style w:type="paragraph" w:styleId="BodyTextIndent">
    <w:name w:val="Body Text Indent"/>
    <w:basedOn w:val="Normal"/>
    <w:uiPriority w:val="99"/>
    <w:pPr>
      <w:autoSpaceDE/>
      <w:autoSpaceDN/>
      <w:spacing w:before="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PlainText">
    <w:name w:val="Plain Text"/>
    <w:basedOn w:val="Normal"/>
    <w:uiPriority w:val="99"/>
    <w:pPr>
      <w:jc w:val="both"/>
    </w:pPr>
    <w:rPr>
      <w:rFonts w:ascii="Courier New" w:hAnsi="Courier New" w:cs="Courier New"/>
      <w:sz w:val="20"/>
      <w:szCs w:val="20"/>
      <w:lang w:val="en-GB"/>
    </w:rPr>
  </w:style>
  <w:style w:type="paragraph" w:styleId="Title">
    <w:name w:val="Title"/>
    <w:basedOn w:val="Normal"/>
    <w:uiPriority w:val="99"/>
    <w:pPr>
      <w:jc w:val="center"/>
    </w:pPr>
    <w:rPr>
      <w:b/>
      <w:bCs/>
      <w:sz w:val="52"/>
      <w:szCs w:val="52"/>
      <w:lang w:val="en-GB"/>
    </w:rPr>
  </w:style>
  <w:style w:type="paragraph" w:customStyle="1" w:styleId="nadpis4termn">
    <w:name w:val="nadpis4termn"/>
    <w:basedOn w:val="Normal"/>
    <w:uiPriority w:val="99"/>
    <w:pPr>
      <w:jc w:val="both"/>
    </w:pPr>
    <w:rPr>
      <w:sz w:val="20"/>
      <w:szCs w:val="20"/>
      <w:lang w:val="en-GB"/>
    </w:rPr>
  </w:style>
  <w:style w:type="paragraph" w:customStyle="1" w:styleId="abc">
    <w:name w:val="abc"/>
    <w:basedOn w:val="Normal"/>
    <w:uiPriority w:val="99"/>
    <w:pPr>
      <w:jc w:val="both"/>
    </w:pPr>
    <w:rPr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Footer">
    <w:name w:val="footer"/>
    <w:basedOn w:val="Normal"/>
    <w:uiPriority w:val="99"/>
    <w:pPr>
      <w:jc w:val="both"/>
    </w:pPr>
    <w:rPr>
      <w:sz w:val="20"/>
      <w:szCs w:val="20"/>
      <w:lang w:val="en-GB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BodyTextIndent2">
    <w:name w:val="Body Text Indent 2"/>
    <w:basedOn w:val="Normal"/>
    <w:uiPriority w:val="99"/>
    <w:pPr>
      <w:spacing w:line="240" w:lineRule="atLeast"/>
      <w:ind w:firstLine="720"/>
      <w:jc w:val="both"/>
    </w:pPr>
  </w:style>
  <w:style w:type="paragraph" w:customStyle="1" w:styleId="Odsektext0">
    <w:name w:val="Odsek text"/>
    <w:basedOn w:val="Normal"/>
    <w:autoRedefine/>
    <w:uiPriority w:val="99"/>
    <w:rsid w:val="0023453C"/>
    <w:pPr>
      <w:spacing w:before="0" w:line="288" w:lineRule="auto"/>
      <w:jc w:val="both"/>
    </w:pPr>
    <w:rPr>
      <w:color w:val="000000"/>
    </w:rPr>
  </w:style>
  <w:style w:type="paragraph" w:customStyle="1" w:styleId="Odrka0">
    <w:name w:val="Odrážka"/>
    <w:basedOn w:val="Normal"/>
    <w:uiPriority w:val="99"/>
    <w:pPr>
      <w:tabs>
        <w:tab w:val="num" w:pos="927"/>
      </w:tabs>
      <w:spacing w:line="288" w:lineRule="auto"/>
      <w:ind w:left="567"/>
      <w:jc w:val="both"/>
    </w:pPr>
    <w:rPr>
      <w:sz w:val="23"/>
      <w:szCs w:val="23"/>
    </w:rPr>
  </w:style>
  <w:style w:type="paragraph" w:customStyle="1" w:styleId="podnad">
    <w:name w:val="podnad"/>
    <w:basedOn w:val="Normal"/>
    <w:uiPriority w:val="99"/>
    <w:pPr>
      <w:keepNext/>
      <w:spacing w:before="240"/>
      <w:jc w:val="center"/>
    </w:pPr>
    <w:rPr>
      <w:b/>
      <w:bCs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both"/>
    </w:p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/>
      <w:jc w:val="center"/>
    </w:pPr>
    <w:rPr>
      <w:lang w:val="en-US"/>
    </w:rPr>
  </w:style>
  <w:style w:type="paragraph" w:customStyle="1" w:styleId="Nadpis4Termn0">
    <w:name w:val="Nadpis 4.Termín"/>
    <w:basedOn w:val="Normal"/>
    <w:next w:val="Normal"/>
    <w:uiPriority w:val="99"/>
    <w:pPr>
      <w:keepNext/>
      <w:jc w:val="both"/>
      <w:outlineLvl w:val="3"/>
    </w:pPr>
    <w:rPr>
      <w:lang w:val="cs-CZ"/>
    </w:rPr>
  </w:style>
  <w:style w:type="paragraph" w:styleId="Subtitle">
    <w:name w:val="Subtitle"/>
    <w:basedOn w:val="Normal"/>
    <w:uiPriority w:val="99"/>
    <w:pPr>
      <w:jc w:val="center"/>
    </w:pPr>
    <w:rPr>
      <w:rFonts w:ascii="Arial" w:hAnsi="Arial" w:cs="Arial"/>
      <w:b/>
      <w:bCs/>
      <w:caps/>
      <w:sz w:val="28"/>
      <w:szCs w:val="28"/>
    </w:rPr>
  </w:style>
  <w:style w:type="paragraph" w:styleId="BodyText3">
    <w:name w:val="Body Text 3"/>
    <w:basedOn w:val="Normal"/>
    <w:uiPriority w:val="99"/>
    <w:pPr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aliases w:val="webb"/>
    <w:basedOn w:val="Normal"/>
    <w:uiPriority w:val="99"/>
    <w:pPr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/>
      <w:lang w:val="cs-CZ"/>
    </w:rPr>
  </w:style>
  <w:style w:type="character" w:styleId="Strong">
    <w:name w:val="Strong"/>
    <w:basedOn w:val="DefaultParagraphFont"/>
    <w:uiPriority w:val="99"/>
    <w:rPr>
      <w:rFonts w:cs="Times New Roman"/>
      <w:b/>
      <w:bCs/>
      <w:rtl w:val="0"/>
      <w:cs w:val="0"/>
    </w:rPr>
  </w:style>
  <w:style w:type="paragraph" w:customStyle="1" w:styleId="Default">
    <w:name w:val="Default"/>
    <w:uiPriority w:val="9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Times New Roman"/>
      <w:color w:val="000000"/>
      <w:sz w:val="24"/>
      <w:szCs w:val="24"/>
      <w:rtl w:val="0"/>
      <w:cs w:val="0"/>
      <w:lang w:val="cs-CZ" w:eastAsia="cs-CZ" w:bidi="ar-SA"/>
    </w:rPr>
  </w:style>
  <w:style w:type="paragraph" w:customStyle="1" w:styleId="BodyText21">
    <w:name w:val="Body Text 21"/>
    <w:basedOn w:val="Normal"/>
    <w:uiPriority w:val="99"/>
    <w:pPr>
      <w:autoSpaceDE/>
      <w:autoSpaceDN/>
      <w:spacing w:line="360" w:lineRule="auto"/>
      <w:ind w:firstLine="708"/>
      <w:jc w:val="both"/>
    </w:pPr>
    <w:rPr>
      <w:rFonts w:ascii="Arial" w:hAnsi="Arial" w:cs="Arial"/>
    </w:rPr>
  </w:style>
  <w:style w:type="paragraph" w:customStyle="1" w:styleId="Odstavec">
    <w:name w:val="_Odstavec"/>
    <w:basedOn w:val="Normal"/>
    <w:uiPriority w:val="99"/>
    <w:pPr>
      <w:widowControl w:val="0"/>
      <w:autoSpaceDE/>
      <w:autoSpaceDN/>
      <w:spacing w:line="288" w:lineRule="auto"/>
      <w:ind w:left="60"/>
      <w:jc w:val="both"/>
    </w:pPr>
    <w:rPr>
      <w:rFonts w:ascii="Times New moman" w:hAnsi="Times New m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  <w:rtl w:val="0"/>
      <w:cs w:val="0"/>
    </w:rPr>
  </w:style>
  <w:style w:type="paragraph" w:styleId="DocumentMap">
    <w:name w:val="Document Map"/>
    <w:basedOn w:val="Normal"/>
    <w:uiPriority w:val="99"/>
    <w:semiHidden/>
    <w:pPr>
      <w:shd w:val="clear" w:color="auto" w:fill="000080"/>
      <w:jc w:val="both"/>
    </w:pPr>
    <w:rPr>
      <w:rFonts w:ascii="Tahoma" w:hAnsi="Tahoma" w:cs="Tahoma"/>
    </w:rPr>
  </w:style>
  <w:style w:type="paragraph" w:customStyle="1" w:styleId="Action">
    <w:name w:val="Action"/>
    <w:basedOn w:val="BodyText"/>
    <w:uiPriority w:val="99"/>
    <w:pPr>
      <w:numPr>
        <w:numId w:val="1"/>
      </w:numPr>
      <w:tabs>
        <w:tab w:val="num" w:pos="1211"/>
      </w:tabs>
      <w:autoSpaceDE/>
      <w:autoSpaceDN/>
      <w:spacing w:before="0" w:line="240" w:lineRule="atLeast"/>
      <w:ind w:left="1208" w:hanging="357"/>
      <w:jc w:val="both"/>
    </w:pPr>
    <w:rPr>
      <w:rFonts w:ascii="Verdana" w:hAnsi="Verdana"/>
      <w:i/>
      <w:iCs/>
      <w:sz w:val="22"/>
      <w:szCs w:val="22"/>
      <w:lang w:val="sk-SK" w:eastAsia="en-US"/>
    </w:rPr>
  </w:style>
  <w:style w:type="character" w:styleId="CommentReference">
    <w:name w:val="annotation reference"/>
    <w:basedOn w:val="DefaultParagraphFont"/>
    <w:uiPriority w:val="99"/>
    <w:semiHidden/>
    <w:rPr>
      <w:rFonts w:ascii="Times New Roman" w:hAnsi="Times New Roman" w:cs="Times New Roman"/>
      <w:sz w:val="16"/>
      <w:szCs w:val="16"/>
      <w:rtl w:val="0"/>
      <w:cs w:val="0"/>
    </w:rPr>
  </w:style>
  <w:style w:type="character" w:customStyle="1" w:styleId="Nadpis4Char">
    <w:name w:val="Nadpis 4 Char"/>
    <w:basedOn w:val="DefaultParagraphFont"/>
    <w:uiPriority w:val="99"/>
    <w:semiHidden/>
    <w:rPr>
      <w:rFonts w:ascii="Calibri" w:eastAsia="Times New Roman" w:hAnsi="Calibri" w:cs="Times New Roman"/>
      <w:b/>
      <w:bCs/>
      <w:sz w:val="28"/>
      <w:szCs w:val="28"/>
      <w:rtl w:val="0"/>
      <w:cs w:val="0"/>
    </w:rPr>
  </w:style>
  <w:style w:type="character" w:customStyle="1" w:styleId="PtaChar">
    <w:name w:val="Päta Char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arkazkladnhotextuChar">
    <w:name w:val="Zarážka základného textu Char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">
    <w:name w:val="Základný text Char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NzovChar">
    <w:name w:val="Názov Char"/>
    <w:basedOn w:val="DefaultParagraphFont"/>
    <w:uiPriority w:val="99"/>
    <w:rPr>
      <w:rFonts w:ascii="Cambria" w:eastAsia="Times New Roman" w:hAnsi="Cambria" w:cs="Times New Roman"/>
      <w:b/>
      <w:bCs/>
      <w:kern w:val="28"/>
      <w:sz w:val="32"/>
      <w:szCs w:val="32"/>
      <w:rtl w:val="0"/>
      <w:cs w:val="0"/>
    </w:rPr>
  </w:style>
  <w:style w:type="character" w:customStyle="1" w:styleId="Zarkazkladnhotextu3Char">
    <w:name w:val="Zarážka základného textu 3 Char"/>
    <w:basedOn w:val="DefaultParagraphFont"/>
    <w:uiPriority w:val="99"/>
    <w:semiHidden/>
    <w:rPr>
      <w:rFonts w:cs="Times New Roman"/>
      <w:sz w:val="16"/>
      <w:szCs w:val="16"/>
      <w:rtl w:val="0"/>
      <w:cs w:val="0"/>
    </w:rPr>
  </w:style>
  <w:style w:type="character" w:customStyle="1" w:styleId="StyleHeading4UnderlineChar">
    <w:name w:val="Style Heading 4 + Underline Char"/>
    <w:basedOn w:val="DefaultParagraphFont"/>
    <w:uiPriority w:val="99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character" w:customStyle="1" w:styleId="HlavikaChar">
    <w:name w:val="Hlavička Char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TextbublinyChar">
    <w:name w:val="Text bubliny Char"/>
    <w:basedOn w:val="DefaultParagraphFont"/>
    <w:uiPriority w:val="99"/>
    <w:semiHidden/>
    <w:rPr>
      <w:rFonts w:ascii="Tahoma" w:hAnsi="Tahoma" w:cs="Tahoma"/>
      <w:sz w:val="16"/>
      <w:szCs w:val="16"/>
      <w:rtl w:val="0"/>
      <w:cs w:val="0"/>
    </w:rPr>
  </w:style>
  <w:style w:type="paragraph" w:styleId="BodyText2">
    <w:name w:val="Body Text 2"/>
    <w:basedOn w:val="Normal"/>
    <w:uiPriority w:val="99"/>
    <w:pPr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11</Pages>
  <Words>1525</Words>
  <Characters>8698</Characters>
  <Application>Microsoft Office Word</Application>
  <DocSecurity>0</DocSecurity>
  <Lines>0</Lines>
  <Paragraphs>0</Paragraphs>
  <ScaleCrop>false</ScaleCrop>
  <Company>MDPT SR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MDPT SR</dc:creator>
  <cp:lastModifiedBy>petrikova</cp:lastModifiedBy>
  <cp:revision>3</cp:revision>
  <cp:lastPrinted>2011-06-02T07:51:00Z</cp:lastPrinted>
  <dcterms:created xsi:type="dcterms:W3CDTF">2011-06-01T13:35:00Z</dcterms:created>
  <dcterms:modified xsi:type="dcterms:W3CDTF">2011-06-02T07:56:00Z</dcterms:modified>
</cp:coreProperties>
</file>