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20" w:type="dxa"/>
        <w:tblInd w:w="-857" w:type="dxa"/>
        <w:tblLayout w:type="fixed"/>
        <w:tblCellMar>
          <w:left w:w="0" w:type="dxa"/>
          <w:right w:w="0" w:type="dxa"/>
        </w:tblCellMar>
      </w:tblPr>
      <w:tblGrid>
        <w:gridCol w:w="871"/>
        <w:gridCol w:w="29"/>
        <w:gridCol w:w="5386"/>
        <w:gridCol w:w="1077"/>
        <w:gridCol w:w="849"/>
        <w:gridCol w:w="929"/>
        <w:gridCol w:w="5079"/>
        <w:gridCol w:w="720"/>
        <w:gridCol w:w="1080"/>
      </w:tblGrid>
      <w:tr>
        <w:tblPrEx>
          <w:tblW w:w="16020" w:type="dxa"/>
          <w:tblInd w:w="-857" w:type="dxa"/>
          <w:tblLayout w:type="fixed"/>
          <w:tblCellMar>
            <w:left w:w="0" w:type="dxa"/>
            <w:right w:w="0" w:type="dxa"/>
          </w:tblCellMar>
        </w:tblPrEx>
        <w:trPr>
          <w:trHeight w:val="62"/>
        </w:trPr>
        <w:tc>
          <w:tcPr>
            <w:tcW w:w="16020" w:type="dxa"/>
            <w:gridSpan w:val="9"/>
            <w:tcBorders>
              <w:top w:val="single" w:sz="4"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7"/>
              <w:bidi w:val="0"/>
              <w:rPr>
                <w:rFonts w:ascii="Times New Roman" w:hAnsi="Times New Roman"/>
              </w:rPr>
            </w:pPr>
            <w:r>
              <w:rPr>
                <w:rFonts w:ascii="Times New Roman" w:hAnsi="Times New Roman"/>
              </w:rPr>
              <w:t>TABUĽKA  ZHODY</w:t>
            </w:r>
          </w:p>
          <w:p w:rsidR="00BA5793">
            <w:pPr>
              <w:bidi w:val="0"/>
              <w:jc w:val="center"/>
              <w:rPr>
                <w:rFonts w:ascii="Times New Roman" w:hAnsi="Times New Roman"/>
              </w:rPr>
            </w:pPr>
            <w:r>
              <w:rPr>
                <w:rFonts w:ascii="Times New Roman" w:hAnsi="Times New Roman"/>
              </w:rPr>
              <w:t>právneho predpisu s právom Európskej únie</w:t>
            </w:r>
          </w:p>
        </w:tc>
      </w:tr>
      <w:tr>
        <w:tblPrEx>
          <w:tblW w:w="16020" w:type="dxa"/>
          <w:tblInd w:w="-857" w:type="dxa"/>
          <w:tblLayout w:type="fixed"/>
          <w:tblCellMar>
            <w:left w:w="0" w:type="dxa"/>
            <w:right w:w="0" w:type="dxa"/>
          </w:tblCellMar>
        </w:tblPrEx>
        <w:trPr>
          <w:trHeight w:val="244"/>
        </w:trPr>
        <w:tc>
          <w:tcPr>
            <w:tcW w:w="7363" w:type="dxa"/>
            <w:gridSpan w:val="4"/>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BA5793">
            <w:pPr>
              <w:bidi w:val="0"/>
              <w:spacing w:before="120" w:after="120"/>
              <w:rPr>
                <w:rFonts w:ascii="Times New Roman" w:hAnsi="Times New Roman"/>
              </w:rPr>
            </w:pPr>
            <w:r>
              <w:rPr>
                <w:rFonts w:ascii="Times New Roman" w:hAnsi="Times New Roman"/>
              </w:rPr>
              <w:t xml:space="preserve">Smernica Európskeho parlamentu a Rady </w:t>
            </w:r>
            <w:r>
              <w:rPr>
                <w:rFonts w:ascii="Times New Roman" w:hAnsi="Times New Roman"/>
                <w:u w:val="single"/>
              </w:rPr>
              <w:t>2002/22/ES</w:t>
            </w:r>
            <w:r>
              <w:rPr>
                <w:rFonts w:ascii="Times New Roman" w:hAnsi="Times New Roman"/>
              </w:rPr>
              <w:t xml:space="preserve">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 2009).</w:t>
            </w:r>
          </w:p>
          <w:p w:rsidR="00BA5793">
            <w:pPr>
              <w:pStyle w:val="adresa"/>
              <w:autoSpaceDE w:val="0"/>
              <w:autoSpaceDN w:val="0"/>
              <w:bidi w:val="0"/>
              <w:spacing w:before="60" w:beforeAutospacing="0" w:after="60" w:afterAutospacing="0"/>
              <w:rPr>
                <w:rFonts w:ascii="Times New Roman" w:eastAsia="Times New Roman" w:hAnsi="Times New Roman" w:cs="Times New Roman"/>
                <w:lang w:val="sk-SK"/>
              </w:rPr>
            </w:pPr>
          </w:p>
        </w:tc>
        <w:tc>
          <w:tcPr>
            <w:tcW w:w="8657"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jc w:val="center"/>
              <w:rPr>
                <w:rFonts w:ascii="Times New Roman" w:hAnsi="Times New Roman"/>
              </w:rPr>
            </w:pPr>
            <w:r>
              <w:rPr>
                <w:rFonts w:ascii="Times New Roman" w:hAnsi="Times New Roman"/>
              </w:rPr>
              <w:t>Právne predpisy Slovenskej republiky</w:t>
            </w:r>
          </w:p>
          <w:p w:rsidR="00BA5793">
            <w:pPr>
              <w:bidi w:val="0"/>
              <w:rPr>
                <w:rFonts w:ascii="Times New Roman" w:hAnsi="Times New Roman"/>
              </w:rPr>
            </w:pPr>
            <w:r>
              <w:rPr>
                <w:rFonts w:ascii="Times New Roman" w:hAnsi="Times New Roman"/>
              </w:rPr>
              <w:t xml:space="preserve">1. Návrh zákona o elektronických komunikáciách </w:t>
            </w:r>
          </w:p>
          <w:p w:rsidR="00BA5793">
            <w:pPr>
              <w:bidi w:val="0"/>
              <w:rPr>
                <w:rFonts w:ascii="Times New Roman" w:hAnsi="Times New Roman"/>
              </w:rPr>
            </w:pPr>
            <w:r>
              <w:rPr>
                <w:rFonts w:ascii="Times New Roman" w:hAnsi="Times New Roman"/>
              </w:rPr>
              <w:t>2. Zákon č. 447/2008 Z. z. o peňažných príspevkoch na kompenzáciu ťažkého zdravotného postihnutia a o zmene a doplnení niektorých zákonov.</w:t>
            </w:r>
          </w:p>
          <w:p w:rsidR="00BA5793">
            <w:pPr>
              <w:bidi w:val="0"/>
              <w:rPr>
                <w:rFonts w:ascii="Times New Roman" w:hAnsi="Times New Roman"/>
              </w:rPr>
            </w:pPr>
            <w:r>
              <w:rPr>
                <w:rFonts w:ascii="Times New Roman" w:hAnsi="Times New Roman"/>
              </w:rPr>
              <w:t>3. Zákon č. 308/2000 Z.z. o vysielaní a retransmisii v platnom znení</w:t>
            </w:r>
          </w:p>
          <w:p w:rsidR="00BA5793">
            <w:pPr>
              <w:pStyle w:val="adresa"/>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4. Nariadenie vlády č. č. 26/2005 Z. z. o technických požiadavkách prevádzkyschopnosti koncových zariadení určených na príjem digitálneho televízneho signálu a prevádzkyschopnosti analógových televíznych prijímačov a digitálnych televíznych prijímačov nariadenie vlády č. 308/2004 Z. z., ktorým sa ustanovujú podrobnosti o technických požiadavkách a postupoch posudzovania zhody pre elektrické zariadenia, ktoré sa používajú v určitom rozsahu napätia v znení nariadenia vlády č. 449/2007 Z. z.</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2</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3</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4</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6</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ind w:left="-223"/>
              <w:jc w:val="center"/>
              <w:rPr>
                <w:rFonts w:ascii="Times New Roman" w:hAnsi="Times New Roman"/>
                <w:sz w:val="20"/>
                <w:szCs w:val="20"/>
              </w:rPr>
            </w:pPr>
            <w:r>
              <w:rPr>
                <w:rFonts w:ascii="Times New Roman" w:hAnsi="Times New Roman"/>
                <w:sz w:val="20"/>
                <w:szCs w:val="20"/>
              </w:rPr>
              <w:t>7</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8</w:t>
            </w:r>
          </w:p>
        </w:tc>
      </w:tr>
      <w:tr>
        <w:tblPrEx>
          <w:tblW w:w="16020" w:type="dxa"/>
          <w:tblInd w:w="-857" w:type="dxa"/>
          <w:tblLayout w:type="fixed"/>
          <w:tblCellMar>
            <w:left w:w="0" w:type="dxa"/>
            <w:right w:w="0" w:type="dxa"/>
          </w:tblCellMar>
        </w:tblPrEx>
        <w:trPr>
          <w:trHeight w:val="879"/>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Článok</w:t>
            </w:r>
          </w:p>
          <w:p w:rsidR="00BA5793">
            <w:pPr>
              <w:bidi w:val="0"/>
              <w:jc w:val="center"/>
              <w:rPr>
                <w:rFonts w:ascii="Times New Roman" w:hAnsi="Times New Roman"/>
                <w:sz w:val="20"/>
                <w:szCs w:val="20"/>
              </w:rPr>
            </w:pPr>
            <w:r>
              <w:rPr>
                <w:rFonts w:ascii="Times New Roman" w:hAnsi="Times New Roman"/>
                <w:sz w:val="20"/>
                <w:szCs w:val="20"/>
              </w:rPr>
              <w:t>(Č, O, V, P)</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Text</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Spôsob transpozície (N, O, D, 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Číslo</w:t>
            </w:r>
          </w:p>
          <w:p w:rsidR="00BA5793">
            <w:pPr>
              <w:bidi w:val="0"/>
              <w:jc w:val="center"/>
              <w:rPr>
                <w:rFonts w:ascii="Times New Roman" w:hAnsi="Times New Roman"/>
                <w:sz w:val="20"/>
                <w:szCs w:val="20"/>
              </w:rPr>
            </w:pPr>
            <w:r>
              <w:rPr>
                <w:rFonts w:ascii="Times New Roman" w:hAnsi="Times New Roman"/>
                <w:sz w:val="20"/>
                <w:szCs w:val="20"/>
              </w:rPr>
              <w:t>predpisu</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Článok</w:t>
            </w:r>
          </w:p>
          <w:p w:rsidR="00BA5793">
            <w:pPr>
              <w:bidi w:val="0"/>
              <w:jc w:val="center"/>
              <w:rPr>
                <w:rFonts w:ascii="Times New Roman" w:hAnsi="Times New Roman"/>
                <w:sz w:val="20"/>
                <w:szCs w:val="20"/>
              </w:rPr>
            </w:pPr>
            <w:r>
              <w:rPr>
                <w:rFonts w:ascii="Times New Roman" w:hAnsi="Times New Roman"/>
                <w:sz w:val="20"/>
                <w:szCs w:val="20"/>
              </w:rPr>
              <w:t>(Č, §, O, V, P)</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Text</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Zhoda</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jc w:val="center"/>
              <w:rPr>
                <w:rFonts w:ascii="Times New Roman" w:hAnsi="Times New Roman"/>
                <w:sz w:val="20"/>
                <w:szCs w:val="20"/>
              </w:rPr>
            </w:pPr>
            <w:r>
              <w:rPr>
                <w:rFonts w:ascii="Times New Roman" w:hAnsi="Times New Roman"/>
                <w:sz w:val="20"/>
                <w:szCs w:val="20"/>
              </w:rPr>
              <w:t>Poznámky</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Predmet úpravy a rozsah pôsobnosti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1586"/>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br/>
              <w:br/>
              <w:br/>
              <w:br/>
              <w:br/>
              <w:br/>
              <w:br/>
              <w:t>O:2</w:t>
              <w:br/>
              <w:br/>
              <w:br/>
              <w:br/>
              <w:br/>
              <w:br/>
              <w:br/>
              <w:br/>
              <w:br/>
              <w:br/>
              <w:br/>
              <w:t>O:3</w:t>
              <w:br/>
              <w:br/>
              <w:br/>
              <w:br/>
              <w:br/>
              <w:br/>
              <w:br/>
              <w:br/>
              <w:br/>
              <w:br/>
              <w:br/>
              <w:br/>
              <w:br/>
              <w:br/>
              <w:t>O:4</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V rámci smernice 2002/21/ES (rámcová smernica) sa táto smernica vzťahuje na poskytovanie elektronických komunikačných sietí a služieb koncovým užívateľom. Cieľom je zaručiť dostupnosť kvalitných verejne dostupných služieb v celom Spoločenstve prostredníctvom účinnej hospodárskej súťaže a výberu a zaoberať sa okolnosťami, za ktorých sa potreby koncových užívateľov na trhu dostatočne neuspokojujú. Táto smernica obsahuje aj ustanovenia, ktoré sa týkajú určitých aspektov koncových zariadení, vrátane ustanovení, ktorých účelom je uľahčiť prístup užívateľom so zdravotným postihnutím.</w:t>
              <w:br/>
              <w:br/>
              <w:t>Táto smernica zakladá práva koncových užívateľov a zodpovedajúce povinnosti podnikov poskytujúcich verejne dostupné elektronické komunikačné siete a služby. So zreteľom na zabezpečenie poskytovania univerzálnej služby v prostredí otvorených a konkurenčných trhov táto smernica vymedzuje minimálny súbor služieb špecifikovanej kvality, ku ktorým majú všetci koncoví užívatelia prístup za prijateľné ceny, na základe špecifických vnútroštátnych podmienok, bez deformácie hospodárskej súťaže. Táto smernica stanovuje aj povinnosti z hľadiska poskytovania určitých povinných služieb.</w:t>
              <w:br/>
              <w:br/>
              <w:t>Táto smernica nenariaďuje ani nezakazuje podmienky uložené poskytovateľmi verejne dostupných elektronických komunikačných služieb, obmedzujúce prístup koncových užívateľov k službám a aplikáciám a/alebo ich využívanie, ak je to povolené v rámci vnútroštátneho práva a v súlade s právom Spoločenstva, ale ustanovuje povinnosť poskytovať informácie o týchto podmienkach. Vnútroštátne opatrenia týkajúce sa prístupu koncových používateľov k službám a aplikáciám a/alebo ich využívania prostredníctvom elektronických komunikačných sietí musia rešpektovať základné práva a slobody občanov, a to aj v súvislosti s právom na súkromie a právom na spravodlivý proces, ako je vymedzené v článku 6 Európskeho dohovoru o ochrane ľudských práv a základných slobôd.</w:t>
              <w:br/>
              <w:br/>
              <w:t>Ustanovenia tejto smernice týkajúce sa práv koncových užívateľov sa uplatňujú bez toho, aby boli dotknuté pravidlá Spoločenstva o ochrane spotrebiteľa, najmä smernice 93/13/EHS a 97/7/ES, a vnútroštátne pravidlá, ktoré sú v súlade s právom Spoločenstva.</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br/>
              <w:br/>
              <w:br/>
              <w:br/>
              <w:br/>
              <w:br/>
              <w:br/>
              <w:br/>
              <w:br/>
              <w:br/>
              <w:br/>
              <w:br/>
              <w:br/>
              <w:br/>
              <w:br/>
              <w:br/>
              <w:br/>
              <w:br/>
              <w:br/>
              <w:br/>
              <w:br/>
              <w:br/>
              <w:t>n.a</w:t>
            </w:r>
          </w:p>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 O:1</w:t>
              <w:br/>
              <w:br/>
              <w:t>P:a</w:t>
              <w:br/>
              <w:br/>
              <w:br/>
              <w:t>P:b</w:t>
              <w:br/>
              <w:br/>
              <w:t>P:c</w:t>
              <w:br/>
              <w:br/>
              <w:t>P:d</w:t>
              <w:br/>
              <w:br/>
              <w:br/>
              <w:br/>
              <w:t>P:e</w:t>
              <w:br/>
              <w:br/>
              <w:br/>
              <w:t>P:f</w:t>
              <w:br/>
              <w:br/>
              <w:t>P:g</w:t>
              <w:br/>
              <w:br/>
              <w:br/>
              <w:br/>
              <w:t>P:h</w:t>
              <w:br/>
              <w:br/>
              <w:br/>
              <w:t>P:i</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cantSplit/>
          <w:trHeight w:val="1643"/>
        </w:trPr>
        <w:tc>
          <w:tcPr>
            <w:tcW w:w="871" w:type="dxa"/>
            <w:tcBorders>
              <w:top w:val="single" w:sz="4" w:space="0" w:color="auto"/>
              <w:left w:val="single" w:sz="12" w:space="0" w:color="auto"/>
              <w:bottom w:val="single" w:sz="8" w:space="0" w:color="auto"/>
              <w:right w:val="single" w:sz="8" w:space="0" w:color="auto"/>
            </w:tcBorders>
            <w:textDirection w:val="lrTb"/>
            <w:vAlign w:val="center"/>
          </w:tcPr>
          <w:p w:rsidR="00BA5793">
            <w:pPr>
              <w:bidi w:val="0"/>
              <w:rPr>
                <w:rFonts w:ascii="Times New Roman" w:eastAsia="Arial Unicode MS" w:hAnsi="Times New Roman"/>
                <w:sz w:val="20"/>
                <w:szCs w:val="20"/>
              </w:rPr>
            </w:pPr>
          </w:p>
        </w:tc>
        <w:tc>
          <w:tcPr>
            <w:tcW w:w="5415" w:type="dxa"/>
            <w:gridSpan w:val="2"/>
            <w:tcBorders>
              <w:top w:val="single" w:sz="4" w:space="0" w:color="auto"/>
              <w:left w:val="nil"/>
              <w:bottom w:val="single" w:sz="8" w:space="0" w:color="auto"/>
              <w:right w:val="single" w:sz="8" w:space="0" w:color="auto"/>
            </w:tcBorders>
            <w:textDirection w:val="lrTb"/>
            <w:vAlign w:val="center"/>
          </w:tcPr>
          <w:p w:rsidR="00BA5793">
            <w:pPr>
              <w:bidi w:val="0"/>
              <w:rPr>
                <w:rFonts w:ascii="Times New Roman" w:eastAsia="Arial Unicode MS" w:hAnsi="Times New Roman"/>
                <w:sz w:val="20"/>
                <w:szCs w:val="20"/>
              </w:rPr>
            </w:pPr>
          </w:p>
        </w:tc>
        <w:tc>
          <w:tcPr>
            <w:tcW w:w="1077" w:type="dxa"/>
            <w:tcBorders>
              <w:top w:val="single" w:sz="4" w:space="0" w:color="auto"/>
              <w:left w:val="nil"/>
              <w:bottom w:val="single" w:sz="8" w:space="0" w:color="auto"/>
              <w:right w:val="single" w:sz="12" w:space="0" w:color="auto"/>
            </w:tcBorders>
            <w:textDirection w:val="lrTb"/>
            <w:vAlign w:val="center"/>
          </w:tcPr>
          <w:p w:rsidR="00BA5793">
            <w:pPr>
              <w:bidi w:val="0"/>
              <w:rPr>
                <w:rFonts w:ascii="Times New Roman" w:eastAsia="Arial Unicode MS" w:hAnsi="Times New Roman"/>
                <w:sz w:val="20"/>
                <w:szCs w:val="20"/>
              </w:rPr>
            </w:pPr>
          </w:p>
        </w:tc>
        <w:tc>
          <w:tcPr>
            <w:tcW w:w="849" w:type="dxa"/>
            <w:tcBorders>
              <w:top w:val="single" w:sz="4" w:space="0" w:color="auto"/>
              <w:left w:val="nil"/>
              <w:bottom w:val="single" w:sz="8" w:space="0" w:color="auto"/>
              <w:right w:val="single" w:sz="8" w:space="0" w:color="auto"/>
            </w:tcBorders>
            <w:textDirection w:val="lrTb"/>
            <w:vAlign w:val="center"/>
          </w:tcPr>
          <w:p w:rsidR="00BA5793">
            <w:pPr>
              <w:bidi w:val="0"/>
              <w:rPr>
                <w:rFonts w:ascii="Times New Roman" w:eastAsia="Arial Unicode MS" w:hAnsi="Times New Roman"/>
                <w:sz w:val="20"/>
                <w:szCs w:val="20"/>
              </w:rPr>
            </w:pP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§:79</w:t>
              <w:br/>
              <w:br/>
              <w:br/>
              <w:t xml:space="preserve">Príloha č. </w:t>
              <w:b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color w:val="000000"/>
                <w:sz w:val="20"/>
                <w:szCs w:val="20"/>
              </w:rPr>
              <w:t>Týmto zákonom sa preberajú právne záväzné akty Európskej únie uvedené v prílohe č. 5.</w:t>
              <w:br/>
              <w:br/>
              <w:t xml:space="preserve">1. Smernica Európskeho parlamentu a Rady 2002/21/ES zo 7. marca 2002 o spoločnom regulačnom rámci elektronických komunikačných sietí a služieb </w:t>
            </w:r>
            <w:r>
              <w:rPr>
                <w:rFonts w:ascii="Times New Roman" w:hAnsi="Times New Roman"/>
                <w:sz w:val="20"/>
                <w:szCs w:val="20"/>
              </w:rPr>
              <w:t>(rámcová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r>
              <w:rPr>
                <w:rFonts w:ascii="Times New Roman" w:hAnsi="Times New Roman"/>
                <w:color w:val="000000"/>
                <w:sz w:val="20"/>
                <w:szCs w:val="20"/>
              </w:rPr>
              <w:t xml:space="preserve"> </w:t>
              <w:br/>
              <w:br/>
            </w:r>
            <w:r>
              <w:rPr>
                <w:rFonts w:ascii="Times New Roman" w:hAnsi="Times New Roman"/>
                <w:sz w:val="20"/>
                <w:szCs w:val="20"/>
              </w:rPr>
              <w:t>4. Smernica Európskeho parlamentu a Rady 2002/22/ES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 2009).</w:t>
            </w:r>
          </w:p>
        </w:tc>
        <w:tc>
          <w:tcPr>
            <w:tcW w:w="720" w:type="dxa"/>
            <w:tcBorders>
              <w:top w:val="single" w:sz="4" w:space="0" w:color="auto"/>
              <w:left w:val="nil"/>
              <w:bottom w:val="single" w:sz="8" w:space="0" w:color="auto"/>
              <w:right w:val="single" w:sz="8" w:space="0" w:color="auto"/>
            </w:tcBorders>
            <w:textDirection w:val="lrTb"/>
            <w:vAlign w:val="center"/>
          </w:tcPr>
          <w:p w:rsidR="00BA5793">
            <w:pPr>
              <w:bidi w:val="0"/>
              <w:rPr>
                <w:rFonts w:ascii="Times New Roman" w:eastAsia="Arial Unicode MS" w:hAnsi="Times New Roman"/>
                <w:sz w:val="20"/>
                <w:szCs w:val="20"/>
              </w:rPr>
            </w:pPr>
          </w:p>
        </w:tc>
        <w:tc>
          <w:tcPr>
            <w:tcW w:w="1080" w:type="dxa"/>
            <w:tcBorders>
              <w:top w:val="single" w:sz="4" w:space="0" w:color="auto"/>
              <w:left w:val="nil"/>
              <w:bottom w:val="single" w:sz="8" w:space="0" w:color="auto"/>
              <w:right w:val="single" w:sz="8" w:space="0" w:color="auto"/>
            </w:tcBorders>
            <w:textDirection w:val="lrTb"/>
            <w:vAlign w:val="center"/>
          </w:tcPr>
          <w:p w:rsidR="00BA5793">
            <w:pPr>
              <w:bidi w:val="0"/>
              <w:rPr>
                <w:rFonts w:ascii="Times New Roman" w:eastAsia="Arial Unicode MS" w:hAnsi="Times New Roman"/>
                <w:sz w:val="20"/>
                <w:szCs w:val="20"/>
              </w:rPr>
            </w:pPr>
          </w:p>
        </w:tc>
      </w:tr>
      <w:tr>
        <w:tblPrEx>
          <w:tblW w:w="16020" w:type="dxa"/>
          <w:tblInd w:w="-857" w:type="dxa"/>
          <w:tblLayout w:type="fixed"/>
          <w:tblCellMar>
            <w:left w:w="0" w:type="dxa"/>
            <w:right w:w="0" w:type="dxa"/>
          </w:tblCellMar>
        </w:tblPrEx>
        <w:trPr>
          <w:trHeight w:val="206"/>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Vymedzenie pojmov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Na účely tejto smernice platia vymedzenia pojmov uvedené v článku 2 smernice 2002/21/ES (Rámcová smernica). </w:t>
              <w:br/>
              <w:br/>
              <w:t>Okrem toho platia aj tieto vymedzenia pojmov: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Pozri  tabuľku zhody pre rámcovú smernicu (článok 2)</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„verejný telefón na mince alebo karty“ znamená telefón prístupný širokej verejnosti, za ktorého použitie sa môže platiť mincami a/alebo kreditnými/debetnými kartami a/alebo predplatnými kartami, vrátane kariet s volacími kódmi;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 O:7</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Verejný telefónny automat je verejne dostupný telefón, za ktorého používanie sa môže platiť mincami, kreditnými kartami, debetnými kartami alebo predplatnými kartami vrátane kariet s volacími kódmi. Súčasťou verejného telefónneho automatu je jeho kabína alebo jeho stojan.</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P:c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„verejne dostupná telefónna služba“ znamená službu dostupnú verejnosti na priame alebo nepriame vytváranie a príjem národných alebo národných a medzinárodných volaní prostredníctvom jedného alebo viacerých čísel národného alebo medzinárodného telefónneho číslovacieho plánu;</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§:3, O.2, V:2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Verejná telefónna služba je verejná služba na priame alebo nepriame vytváranie a prijímanie národných a medzinárodných volaní prostredníctvom jedného alebo viacerých čísel národného alebo medzinárodného číslovacieho plánu.</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P:d</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„geografické číslo“ znamená číslo z národného telefónneho číslovacieho plánu, kde časť jeho číselnej štruktúry má geografický význam používaný na smerovanie volaní na fyzické umiestnenie koncového bodu siete (network  termination point – NTP);</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 O:5</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Geografické číslo je číslo z národného číslovacieho plánu, pričom časť jeho štruktúry má geografický význam používaný na smerovanie volaní na fyzické umiestnenie koncového bodu siete.</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P:f</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„negeografické číslo“ znamená číslo z národného telefónneho číslovacieho plánu, ktoré nie je geografickým číslom. Zahŕňa okrem iného čísla mobilných telefónov, služieb volania na účet volaného a služieb za zvýšenú úhradu.</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 O:6</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Negeografické číslo je číslo z národného číslovacieho plánu, pričom žiadna časť jeho štruktúry nemá geografický význam; zahŕňa najmä čísla účastníkov mobilnej siete, služieb volania na účet volaného a služieb za zvýšenú cenu.</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ZÁVÄZKY UNIVERZÁLNEJ SLUŽBY VRÁTANE SOCIÁLNYCH ZÁVÄZKOV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Dostupnosť univerzálnej služby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na ich území boli služby stanovené v tejto kapitole v špecifikovanej kvalite sprístupnené pre všetkých koncových užívateľov nezávisle na geografickej polohe a na základe špecifických vnútroštátnych podmienok, za prijateľné ceny.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O:1</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Univerzálna služba je minimálny súbor služieb, ktoré sú dostupné v určenej kvalite na celom území Slovenskej republiky všetkým koncovým užívateľom bez ohľadu na ich geografickú polohu a za prijateľnú cenu, ktorou je cena zohľadňujúca úroveň spotrebiteľských cien a príjmy obyvateľov.</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stanovia najefektívnejší a najprimeranejší prístup k zabezpečeniu implementácie univerzálnej služby, pričom budú rešpektovať princípy objektivity, transparentnosti, nediskriminácie a proporcionality. Budú sa snažiť o minimalizáciu skresľovania trhu, a to najmä u poskytovania služieb za ceny alebo iné podmienky, ktoré sa odchyľujú od bežných obchodných podmienok, pričom budú rešpektovať verejný záujem.</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O:3, V:1</w:t>
              <w:br/>
              <w:br/>
              <w:br/>
              <w:br/>
              <w:br/>
              <w:br/>
              <w:br/>
              <w:br/>
              <w:br/>
              <w:t>§:50, O:5</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na základe výsledku konzultácií podľa § 10 jeden alebo viac podnikov na poskytovanie univerzálnej služby a uloží im povinnosti podľa odseku 2 tak, aby bolo pokryté celé územie Slovenskej republiky, pričom môže určiť rôzne podniky alebo skupinu podnikov, ktoré budú zabezpečovať len niektoré povinnosti univerzálnej služby, pokrývať rôzne časti územia Slovenskej republiky alebo zabezpečovať len niektoré povinnosti univerzálnej služby a pokrývať rôzne časti územia Slovenskej republiky.</w:t>
              <w:br/>
              <w:br/>
              <w:t>Úrad pri určovaní podniku podľa odseku 3 nesmie vopred vylúčiť žiadny podnik. Úrad zohľadňuje najmä finančné, technické, odborné podmienky podniku a schopnosť podniku poskytovať povinnosť univerzálnej služby nákladovo efektívnym spôsobom a v požadovanej kvalite.</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Zabezpečenie prístupu na pevnom mieste a poskytovanie telefónnych služieb</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všetkým odôvodneným žiadostiam o pripojenie na pevnom mieste k verejnej komunikačnej sieti vyhovel aspoň jeden podnik.</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O:2, P:a, V:1</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Predmetom univerzálnej služby je</w:t>
            </w:r>
          </w:p>
          <w:p w:rsidR="00BA5793">
            <w:pPr>
              <w:bidi w:val="0"/>
              <w:rPr>
                <w:rFonts w:ascii="Times New Roman" w:hAnsi="Times New Roman"/>
                <w:sz w:val="20"/>
                <w:szCs w:val="20"/>
              </w:rPr>
            </w:pPr>
            <w:r>
              <w:rPr>
                <w:rFonts w:ascii="Times New Roman" w:hAnsi="Times New Roman"/>
                <w:sz w:val="20"/>
                <w:szCs w:val="20"/>
              </w:rPr>
              <w:t>vyhovieť všetkým primeraným požiadavkám na jedno pripojenie k verejnej sieti na pevnom mieste;</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Poskytované pripojenie umožňuje podporu hlasovej, telefaxovej a dátovej komunikácie s rýchlosťou prenosu dát, ktorá je dostatočná na to, aby umožnila funkčný prístup k internetu, berúc do úvahy prevládajúce technológie používané väčšinou účastníkov a technickú uskutočniteľnosť.</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O:2, P:a, V:2</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toto pripojenie musí umožniť podporu hlasovej, telefaxovej a dátovej komunikácie s rýchlosťou prenosu, ktorá je dostatočná na to, aby umožnila funkčný prístup k internetu pri zohľadnení technickej uskutočniteľnosti a prevládajúcich technológií používaných väčšinou účastníkov,</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zabezpečia, aby všetkým odôvodneným žiadostiam o poskytnutie telefónnej služby, ktorá je verejne dostupná v rámci sieťového pripojenia uvedeného v odseku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ktorá umožňuje vytváranie a prijímanie vnútroštátnych a medzinárodných volaní, vyhovel aspoň jeden podnik.</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O:2,</w:t>
            </w:r>
          </w:p>
          <w:p w:rsidR="00BA5793">
            <w:pPr>
              <w:bidi w:val="0"/>
              <w:rPr>
                <w:rFonts w:ascii="Times New Roman" w:hAnsi="Times New Roman"/>
                <w:sz w:val="20"/>
                <w:szCs w:val="20"/>
              </w:rPr>
            </w:pPr>
            <w:r>
              <w:rPr>
                <w:rFonts w:ascii="Times New Roman" w:hAnsi="Times New Roman"/>
                <w:sz w:val="20"/>
                <w:szCs w:val="20"/>
              </w:rPr>
              <w:t> P:b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Predmetom univerzálnej služby je</w:t>
            </w:r>
          </w:p>
          <w:p w:rsidR="00BA5793">
            <w:pPr>
              <w:bidi w:val="0"/>
              <w:rPr>
                <w:rFonts w:ascii="Times New Roman" w:hAnsi="Times New Roman"/>
                <w:sz w:val="20"/>
                <w:szCs w:val="20"/>
              </w:rPr>
            </w:pPr>
            <w:r>
              <w:rPr>
                <w:rFonts w:ascii="Times New Roman" w:hAnsi="Times New Roman"/>
                <w:sz w:val="20"/>
                <w:szCs w:val="20"/>
              </w:rPr>
              <w:t>vyhovieť všetkým primeraným požiadavkám na poskytnutie verejnej telefónnej služby v rámci sieťového pripojenia podľa písmena a),</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8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Č:5</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Informačné služby a zoznamy účastníkov</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eastAsia="Arial Unicode MS" w:hAnsi="Times New Roman"/>
                <w:sz w:val="20"/>
                <w:szCs w:val="20"/>
              </w:rPr>
              <w:t>O:1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Č</w:t>
            </w:r>
            <w:r>
              <w:rPr>
                <w:rFonts w:ascii="Times New Roman" w:eastAsia="Arial Unicode MS" w:hAnsi="Times New Roman" w:hint="default"/>
                <w:sz w:val="20"/>
                <w:szCs w:val="20"/>
              </w:rPr>
              <w:t>lenské</w:t>
            </w:r>
            <w:r>
              <w:rPr>
                <w:rFonts w:ascii="Times New Roman" w:eastAsia="Arial Unicode MS" w:hAnsi="Times New Roman" w:hint="default"/>
                <w:sz w:val="20"/>
                <w:szCs w:val="20"/>
              </w:rPr>
              <w:t xml:space="preserve"> š</w:t>
            </w:r>
            <w:r>
              <w:rPr>
                <w:rFonts w:ascii="Times New Roman" w:eastAsia="Arial Unicode MS" w:hAnsi="Times New Roman" w:hint="default"/>
                <w:sz w:val="20"/>
                <w:szCs w:val="20"/>
              </w:rPr>
              <w:t>tá</w:t>
            </w:r>
            <w:r>
              <w:rPr>
                <w:rFonts w:ascii="Times New Roman" w:eastAsia="Arial Unicode MS" w:hAnsi="Times New Roman" w:hint="default"/>
                <w:sz w:val="20"/>
                <w:szCs w:val="20"/>
              </w:rPr>
              <w:t>ty zabezpeč</w:t>
            </w:r>
            <w:r>
              <w:rPr>
                <w:rFonts w:ascii="Times New Roman" w:eastAsia="Arial Unicode MS" w:hAnsi="Times New Roman" w:hint="default"/>
                <w:sz w:val="20"/>
                <w:szCs w:val="20"/>
              </w:rPr>
              <w:t>ia:</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r>
              <w:rPr>
                <w:rFonts w:ascii="Times New Roman" w:eastAsia="Arial Unicode MS" w:hAnsi="Times New Roman" w:hint="default"/>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r>
              <w:rPr>
                <w:rFonts w:ascii="Times New Roman" w:eastAsia="Arial Unicode MS" w:hAnsi="Times New Roman" w:hint="default"/>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w:t>
            </w:r>
            <w:r>
              <w:rPr>
                <w:rFonts w:ascii="Times New Roman" w:eastAsia="Arial Unicode MS" w:hAnsi="Times New Roman" w:hint="default"/>
                <w:sz w:val="20"/>
                <w:szCs w:val="20"/>
              </w:rPr>
              <w:t>:50, O:2,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r>
              <w:rPr>
                <w:rFonts w:ascii="Times New Roman" w:eastAsia="Arial Unicode MS" w:hAnsi="Times New Roman" w:hint="default"/>
                <w:sz w:val="20"/>
                <w:szCs w:val="20"/>
              </w:rPr>
              <w:t>Predmetom univerzá</w:t>
            </w:r>
            <w:r>
              <w:rPr>
                <w:rFonts w:ascii="Times New Roman" w:eastAsia="Arial Unicode MS" w:hAnsi="Times New Roman" w:hint="default"/>
                <w:sz w:val="20"/>
                <w:szCs w:val="20"/>
              </w:rPr>
              <w:t>lnej služ</w:t>
            </w:r>
            <w:r>
              <w:rPr>
                <w:rFonts w:ascii="Times New Roman" w:eastAsia="Arial Unicode MS" w:hAnsi="Times New Roman" w:hint="default"/>
                <w:sz w:val="20"/>
                <w:szCs w:val="20"/>
              </w:rPr>
              <w:t>by je</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eastAsia="Arial Unicode MS" w:hAnsi="Times New Roman"/>
                <w:sz w:val="20"/>
                <w:szCs w:val="20"/>
              </w:rPr>
              <w:t>P:a</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aby mali koncoví</w:t>
            </w:r>
            <w:r>
              <w:rPr>
                <w:rFonts w:ascii="Times New Roman" w:eastAsia="Arial Unicode MS" w:hAnsi="Times New Roman" w:hint="default"/>
                <w:sz w:val="20"/>
                <w:szCs w:val="20"/>
              </w:rPr>
              <w:t xml:space="preserve"> uží</w:t>
            </w:r>
            <w:r>
              <w:rPr>
                <w:rFonts w:ascii="Times New Roman" w:eastAsia="Arial Unicode MS" w:hAnsi="Times New Roman" w:hint="default"/>
                <w:sz w:val="20"/>
                <w:szCs w:val="20"/>
              </w:rPr>
              <w:t>vatelia k dispozí</w:t>
            </w:r>
            <w:r>
              <w:rPr>
                <w:rFonts w:ascii="Times New Roman" w:eastAsia="Arial Unicode MS" w:hAnsi="Times New Roman" w:hint="default"/>
                <w:sz w:val="20"/>
                <w:szCs w:val="20"/>
              </w:rPr>
              <w:t>cii aspoň</w:t>
            </w:r>
            <w:r>
              <w:rPr>
                <w:rFonts w:ascii="Times New Roman" w:eastAsia="Arial Unicode MS" w:hAnsi="Times New Roman" w:hint="default"/>
                <w:sz w:val="20"/>
                <w:szCs w:val="20"/>
              </w:rPr>
              <w:t xml:space="preserve"> jeden ú</w:t>
            </w:r>
            <w:r>
              <w:rPr>
                <w:rFonts w:ascii="Times New Roman" w:eastAsia="Arial Unicode MS" w:hAnsi="Times New Roman" w:hint="default"/>
                <w:sz w:val="20"/>
                <w:szCs w:val="20"/>
              </w:rPr>
              <w:t>plný</w:t>
            </w:r>
            <w:r>
              <w:rPr>
                <w:rFonts w:ascii="Times New Roman" w:eastAsia="Arial Unicode MS" w:hAnsi="Times New Roman" w:hint="default"/>
                <w:sz w:val="20"/>
                <w:szCs w:val="20"/>
              </w:rPr>
              <w:t xml:space="preserve"> telefó</w:t>
            </w:r>
            <w:r>
              <w:rPr>
                <w:rFonts w:ascii="Times New Roman" w:eastAsia="Arial Unicode MS" w:hAnsi="Times New Roman" w:hint="default"/>
                <w:sz w:val="20"/>
                <w:szCs w:val="20"/>
              </w:rPr>
              <w:t>nny zoznam vo forme schvá</w:t>
            </w:r>
            <w:r>
              <w:rPr>
                <w:rFonts w:ascii="Times New Roman" w:eastAsia="Arial Unicode MS" w:hAnsi="Times New Roman" w:hint="default"/>
                <w:sz w:val="20"/>
                <w:szCs w:val="20"/>
              </w:rPr>
              <w:t>lenej prí</w:t>
            </w:r>
            <w:r>
              <w:rPr>
                <w:rFonts w:ascii="Times New Roman" w:eastAsia="Arial Unicode MS" w:hAnsi="Times New Roman" w:hint="default"/>
                <w:sz w:val="20"/>
                <w:szCs w:val="20"/>
              </w:rPr>
              <w:t>sluš</w:t>
            </w:r>
            <w:r>
              <w:rPr>
                <w:rFonts w:ascii="Times New Roman" w:eastAsia="Arial Unicode MS" w:hAnsi="Times New Roman" w:hint="default"/>
                <w:sz w:val="20"/>
                <w:szCs w:val="20"/>
              </w:rPr>
              <w:t>ný</w:t>
            </w:r>
            <w:r>
              <w:rPr>
                <w:rFonts w:ascii="Times New Roman" w:eastAsia="Arial Unicode MS" w:hAnsi="Times New Roman" w:hint="default"/>
                <w:sz w:val="20"/>
                <w:szCs w:val="20"/>
              </w:rPr>
              <w:t>m ú</w:t>
            </w:r>
            <w:r>
              <w:rPr>
                <w:rFonts w:ascii="Times New Roman" w:eastAsia="Arial Unicode MS" w:hAnsi="Times New Roman" w:hint="default"/>
                <w:sz w:val="20"/>
                <w:szCs w:val="20"/>
              </w:rPr>
              <w:t>radom, buď</w:t>
            </w:r>
            <w:r>
              <w:rPr>
                <w:rFonts w:ascii="Times New Roman" w:eastAsia="Arial Unicode MS" w:hAnsi="Times New Roman" w:hint="default"/>
                <w:sz w:val="20"/>
                <w:szCs w:val="20"/>
              </w:rPr>
              <w:t xml:space="preserve"> vytlač</w:t>
            </w:r>
            <w:r>
              <w:rPr>
                <w:rFonts w:ascii="Times New Roman" w:eastAsia="Arial Unicode MS" w:hAnsi="Times New Roman" w:hint="default"/>
                <w:sz w:val="20"/>
                <w:szCs w:val="20"/>
              </w:rPr>
              <w:t>ený</w:t>
            </w:r>
            <w:r>
              <w:rPr>
                <w:rFonts w:ascii="Times New Roman" w:eastAsia="Arial Unicode MS" w:hAnsi="Times New Roman" w:hint="default"/>
                <w:sz w:val="20"/>
                <w:szCs w:val="20"/>
              </w:rPr>
              <w:t>, alebo elektronický</w:t>
            </w:r>
            <w:r>
              <w:rPr>
                <w:rFonts w:ascii="Times New Roman" w:eastAsia="Arial Unicode MS" w:hAnsi="Times New Roman" w:hint="default"/>
                <w:sz w:val="20"/>
                <w:szCs w:val="20"/>
              </w:rPr>
              <w:t xml:space="preserve">, </w:t>
            </w:r>
            <w:r>
              <w:rPr>
                <w:rFonts w:ascii="Times New Roman" w:eastAsia="Arial Unicode MS" w:hAnsi="Times New Roman" w:hint="default"/>
                <w:sz w:val="20"/>
                <w:szCs w:val="20"/>
              </w:rPr>
              <w:t>alebo v oboch formá</w:t>
            </w:r>
            <w:r>
              <w:rPr>
                <w:rFonts w:ascii="Times New Roman" w:eastAsia="Arial Unicode MS" w:hAnsi="Times New Roman" w:hint="default"/>
                <w:sz w:val="20"/>
                <w:szCs w:val="20"/>
              </w:rPr>
              <w:t>ch, a aby bol pravidelne aktualizovaný</w:t>
            </w:r>
            <w:r>
              <w:rPr>
                <w:rFonts w:ascii="Times New Roman" w:eastAsia="Arial Unicode MS" w:hAnsi="Times New Roman" w:hint="default"/>
                <w:sz w:val="20"/>
                <w:szCs w:val="20"/>
              </w:rPr>
              <w:t xml:space="preserve"> aspoň</w:t>
            </w:r>
            <w:r>
              <w:rPr>
                <w:rFonts w:ascii="Times New Roman" w:eastAsia="Arial Unicode MS" w:hAnsi="Times New Roman" w:hint="default"/>
                <w:sz w:val="20"/>
                <w:szCs w:val="20"/>
              </w:rPr>
              <w:t xml:space="preserve"> raz za rok;</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P:c, V:1</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vydať</w:t>
            </w:r>
            <w:r>
              <w:rPr>
                <w:rFonts w:ascii="Times New Roman" w:eastAsia="Arial Unicode MS" w:hAnsi="Times New Roman" w:hint="default"/>
                <w:sz w:val="20"/>
                <w:szCs w:val="20"/>
              </w:rPr>
              <w:t xml:space="preserve"> a sprí</w:t>
            </w:r>
            <w:r>
              <w:rPr>
                <w:rFonts w:ascii="Times New Roman" w:eastAsia="Arial Unicode MS" w:hAnsi="Times New Roman" w:hint="default"/>
                <w:sz w:val="20"/>
                <w:szCs w:val="20"/>
              </w:rPr>
              <w:t>stupniť</w:t>
            </w:r>
            <w:r>
              <w:rPr>
                <w:rFonts w:ascii="Times New Roman" w:eastAsia="Arial Unicode MS" w:hAnsi="Times New Roman" w:hint="default"/>
                <w:sz w:val="20"/>
                <w:szCs w:val="20"/>
              </w:rPr>
              <w:t xml:space="preserve"> ú</w:t>
            </w:r>
            <w:r>
              <w:rPr>
                <w:rFonts w:ascii="Times New Roman" w:eastAsia="Arial Unicode MS" w:hAnsi="Times New Roman" w:hint="default"/>
                <w:sz w:val="20"/>
                <w:szCs w:val="20"/>
              </w:rPr>
              <w:t>plný</w:t>
            </w:r>
            <w:r>
              <w:rPr>
                <w:rFonts w:ascii="Times New Roman" w:eastAsia="Arial Unicode MS" w:hAnsi="Times New Roman" w:hint="default"/>
                <w:sz w:val="20"/>
                <w:szCs w:val="20"/>
              </w:rPr>
              <w:t xml:space="preserve"> telefó</w:t>
            </w:r>
            <w:r>
              <w:rPr>
                <w:rFonts w:ascii="Times New Roman" w:eastAsia="Arial Unicode MS" w:hAnsi="Times New Roman" w:hint="default"/>
                <w:sz w:val="20"/>
                <w:szCs w:val="20"/>
              </w:rPr>
              <w:t>nny zoznam, pravidelne aktualizovaný</w:t>
            </w:r>
            <w:r>
              <w:rPr>
                <w:rFonts w:ascii="Times New Roman" w:eastAsia="Arial Unicode MS" w:hAnsi="Times New Roman" w:hint="default"/>
                <w:sz w:val="20"/>
                <w:szCs w:val="20"/>
              </w:rPr>
              <w:t xml:space="preserve"> aspoň</w:t>
            </w:r>
            <w:r>
              <w:rPr>
                <w:rFonts w:ascii="Times New Roman" w:eastAsia="Arial Unicode MS" w:hAnsi="Times New Roman" w:hint="default"/>
                <w:sz w:val="20"/>
                <w:szCs w:val="20"/>
              </w:rPr>
              <w:t xml:space="preserve"> raz za rok, v </w:t>
            </w:r>
            <w:r>
              <w:rPr>
                <w:rFonts w:ascii="Times New Roman" w:eastAsia="Arial Unicode MS" w:hAnsi="Times New Roman" w:hint="default"/>
                <w:sz w:val="20"/>
                <w:szCs w:val="20"/>
              </w:rPr>
              <w:t>elektronickej alebo v tlač</w:t>
            </w:r>
            <w:r>
              <w:rPr>
                <w:rFonts w:ascii="Times New Roman" w:eastAsia="Arial Unicode MS" w:hAnsi="Times New Roman" w:hint="default"/>
                <w:sz w:val="20"/>
                <w:szCs w:val="20"/>
              </w:rPr>
              <w:t xml:space="preserve">enej forme;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eastAsia="Arial Unicode MS" w:hAnsi="Times New Roman"/>
                <w:sz w:val="20"/>
                <w:szCs w:val="20"/>
              </w:rPr>
              <w:t>P:b</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aby mali koncoví</w:t>
            </w:r>
            <w:r>
              <w:rPr>
                <w:rFonts w:ascii="Times New Roman" w:eastAsia="Arial Unicode MS" w:hAnsi="Times New Roman" w:hint="default"/>
                <w:sz w:val="20"/>
                <w:szCs w:val="20"/>
              </w:rPr>
              <w:t xml:space="preserve"> uží</w:t>
            </w:r>
            <w:r>
              <w:rPr>
                <w:rFonts w:ascii="Times New Roman" w:eastAsia="Arial Unicode MS" w:hAnsi="Times New Roman" w:hint="default"/>
                <w:sz w:val="20"/>
                <w:szCs w:val="20"/>
              </w:rPr>
              <w:t>vatelia k dispozí</w:t>
            </w:r>
            <w:r>
              <w:rPr>
                <w:rFonts w:ascii="Times New Roman" w:eastAsia="Arial Unicode MS" w:hAnsi="Times New Roman" w:hint="default"/>
                <w:sz w:val="20"/>
                <w:szCs w:val="20"/>
              </w:rPr>
              <w:t>cii aspoň</w:t>
            </w:r>
            <w:r>
              <w:rPr>
                <w:rFonts w:ascii="Times New Roman" w:eastAsia="Arial Unicode MS" w:hAnsi="Times New Roman" w:hint="default"/>
                <w:sz w:val="20"/>
                <w:szCs w:val="20"/>
              </w:rPr>
              <w:t xml:space="preserve"> jednu telefó</w:t>
            </w:r>
            <w:r>
              <w:rPr>
                <w:rFonts w:ascii="Times New Roman" w:eastAsia="Arial Unicode MS" w:hAnsi="Times New Roman" w:hint="default"/>
                <w:sz w:val="20"/>
                <w:szCs w:val="20"/>
              </w:rPr>
              <w:t>nnu informač</w:t>
            </w:r>
            <w:r>
              <w:rPr>
                <w:rFonts w:ascii="Times New Roman" w:eastAsia="Arial Unicode MS" w:hAnsi="Times New Roman" w:hint="default"/>
                <w:sz w:val="20"/>
                <w:szCs w:val="20"/>
              </w:rPr>
              <w:t>nú</w:t>
            </w:r>
            <w:r>
              <w:rPr>
                <w:rFonts w:ascii="Times New Roman" w:eastAsia="Arial Unicode MS" w:hAnsi="Times New Roman" w:hint="default"/>
                <w:sz w:val="20"/>
                <w:szCs w:val="20"/>
              </w:rPr>
              <w:t xml:space="preserve"> služ</w:t>
            </w:r>
            <w:r>
              <w:rPr>
                <w:rFonts w:ascii="Times New Roman" w:eastAsia="Arial Unicode MS" w:hAnsi="Times New Roman" w:hint="default"/>
                <w:sz w:val="20"/>
                <w:szCs w:val="20"/>
              </w:rPr>
              <w:t>bu, vrá</w:t>
            </w:r>
            <w:r>
              <w:rPr>
                <w:rFonts w:ascii="Times New Roman" w:eastAsia="Arial Unicode MS" w:hAnsi="Times New Roman" w:hint="default"/>
                <w:sz w:val="20"/>
                <w:szCs w:val="20"/>
              </w:rPr>
              <w:t>tane uží</w:t>
            </w:r>
            <w:r>
              <w:rPr>
                <w:rFonts w:ascii="Times New Roman" w:eastAsia="Arial Unicode MS" w:hAnsi="Times New Roman" w:hint="default"/>
                <w:sz w:val="20"/>
                <w:szCs w:val="20"/>
              </w:rPr>
              <w:t>vateľ</w:t>
            </w:r>
            <w:r>
              <w:rPr>
                <w:rFonts w:ascii="Times New Roman" w:eastAsia="Arial Unicode MS" w:hAnsi="Times New Roman" w:hint="default"/>
                <w:sz w:val="20"/>
                <w:szCs w:val="20"/>
              </w:rPr>
              <w:t>ov verejný</w:t>
            </w:r>
            <w:r>
              <w:rPr>
                <w:rFonts w:ascii="Times New Roman" w:eastAsia="Arial Unicode MS" w:hAnsi="Times New Roman" w:hint="default"/>
                <w:sz w:val="20"/>
                <w:szCs w:val="20"/>
              </w:rPr>
              <w:t>ch telefó</w:t>
            </w:r>
            <w:r>
              <w:rPr>
                <w:rFonts w:ascii="Times New Roman" w:eastAsia="Arial Unicode MS" w:hAnsi="Times New Roman" w:hint="default"/>
                <w:sz w:val="20"/>
                <w:szCs w:val="20"/>
              </w:rPr>
              <w:t>nov mincový</w:t>
            </w:r>
            <w:r>
              <w:rPr>
                <w:rFonts w:ascii="Times New Roman" w:eastAsia="Arial Unicode MS" w:hAnsi="Times New Roman" w:hint="default"/>
                <w:sz w:val="20"/>
                <w:szCs w:val="20"/>
              </w:rPr>
              <w:t>ch alebo kartový</w:t>
            </w:r>
            <w:r>
              <w:rPr>
                <w:rFonts w:ascii="Times New Roman" w:eastAsia="Arial Unicode MS" w:hAnsi="Times New Roman" w:hint="default"/>
                <w:sz w:val="20"/>
                <w:szCs w:val="20"/>
              </w:rPr>
              <w:t>ch.</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w:t>
            </w:r>
            <w:r>
              <w:rPr>
                <w:rFonts w:ascii="Times New Roman" w:eastAsia="Arial Unicode MS" w:hAnsi="Times New Roman" w:hint="default"/>
                <w:sz w:val="20"/>
                <w:szCs w:val="20"/>
              </w:rPr>
              <w:t xml:space="preserve">:50, O:2, </w:t>
            </w:r>
          </w:p>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P:e</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poskytovať</w:t>
            </w:r>
            <w:r>
              <w:rPr>
                <w:rFonts w:ascii="Times New Roman" w:eastAsia="Arial Unicode MS" w:hAnsi="Times New Roman" w:hint="default"/>
                <w:sz w:val="20"/>
                <w:szCs w:val="20"/>
              </w:rPr>
              <w:t xml:space="preserve"> aspoň</w:t>
            </w:r>
            <w:r>
              <w:rPr>
                <w:rFonts w:ascii="Times New Roman" w:eastAsia="Arial Unicode MS" w:hAnsi="Times New Roman" w:hint="default"/>
                <w:sz w:val="20"/>
                <w:szCs w:val="20"/>
              </w:rPr>
              <w:t xml:space="preserve"> jednu ú</w:t>
            </w:r>
            <w:r>
              <w:rPr>
                <w:rFonts w:ascii="Times New Roman" w:eastAsia="Arial Unicode MS" w:hAnsi="Times New Roman" w:hint="default"/>
                <w:sz w:val="20"/>
                <w:szCs w:val="20"/>
              </w:rPr>
              <w:t>plnú</w:t>
            </w:r>
            <w:r>
              <w:rPr>
                <w:rFonts w:ascii="Times New Roman" w:eastAsia="Arial Unicode MS" w:hAnsi="Times New Roman" w:hint="default"/>
                <w:sz w:val="20"/>
                <w:szCs w:val="20"/>
              </w:rPr>
              <w:t xml:space="preserve"> informač</w:t>
            </w:r>
            <w:r>
              <w:rPr>
                <w:rFonts w:ascii="Times New Roman" w:eastAsia="Arial Unicode MS" w:hAnsi="Times New Roman" w:hint="default"/>
                <w:sz w:val="20"/>
                <w:szCs w:val="20"/>
              </w:rPr>
              <w:t>nú</w:t>
            </w:r>
            <w:r>
              <w:rPr>
                <w:rFonts w:ascii="Times New Roman" w:eastAsia="Arial Unicode MS" w:hAnsi="Times New Roman" w:hint="default"/>
                <w:sz w:val="20"/>
                <w:szCs w:val="20"/>
              </w:rPr>
              <w:t xml:space="preserve"> služ</w:t>
            </w:r>
            <w:r>
              <w:rPr>
                <w:rFonts w:ascii="Times New Roman" w:eastAsia="Arial Unicode MS" w:hAnsi="Times New Roman" w:hint="default"/>
                <w:sz w:val="20"/>
                <w:szCs w:val="20"/>
              </w:rPr>
              <w:t>bu o telefó</w:t>
            </w:r>
            <w:r>
              <w:rPr>
                <w:rFonts w:ascii="Times New Roman" w:eastAsia="Arial Unicode MS" w:hAnsi="Times New Roman" w:hint="default"/>
                <w:sz w:val="20"/>
                <w:szCs w:val="20"/>
              </w:rPr>
              <w:t>nnych čí</w:t>
            </w:r>
            <w:r>
              <w:rPr>
                <w:rFonts w:ascii="Times New Roman" w:eastAsia="Arial Unicode MS" w:hAnsi="Times New Roman" w:hint="default"/>
                <w:sz w:val="20"/>
                <w:szCs w:val="20"/>
              </w:rPr>
              <w:t>slach pre koncový</w:t>
            </w:r>
            <w:r>
              <w:rPr>
                <w:rFonts w:ascii="Times New Roman" w:eastAsia="Arial Unicode MS" w:hAnsi="Times New Roman" w:hint="default"/>
                <w:sz w:val="20"/>
                <w:szCs w:val="20"/>
              </w:rPr>
              <w:t>ch uží</w:t>
            </w:r>
            <w:r>
              <w:rPr>
                <w:rFonts w:ascii="Times New Roman" w:eastAsia="Arial Unicode MS" w:hAnsi="Times New Roman" w:hint="default"/>
                <w:sz w:val="20"/>
                <w:szCs w:val="20"/>
              </w:rPr>
              <w:t>vateľ</w:t>
            </w:r>
            <w:r>
              <w:rPr>
                <w:rFonts w:ascii="Times New Roman" w:eastAsia="Arial Unicode MS" w:hAnsi="Times New Roman" w:hint="default"/>
                <w:sz w:val="20"/>
                <w:szCs w:val="20"/>
              </w:rPr>
              <w:t>ov, vrá</w:t>
            </w:r>
            <w:r>
              <w:rPr>
                <w:rFonts w:ascii="Times New Roman" w:eastAsia="Arial Unicode MS" w:hAnsi="Times New Roman" w:hint="default"/>
                <w:sz w:val="20"/>
                <w:szCs w:val="20"/>
              </w:rPr>
              <w:t>tane konco</w:t>
            </w:r>
            <w:r>
              <w:rPr>
                <w:rFonts w:ascii="Times New Roman" w:eastAsia="Arial Unicode MS" w:hAnsi="Times New Roman" w:hint="default"/>
                <w:sz w:val="20"/>
                <w:szCs w:val="20"/>
              </w:rPr>
              <w:t>vý</w:t>
            </w:r>
            <w:r>
              <w:rPr>
                <w:rFonts w:ascii="Times New Roman" w:eastAsia="Arial Unicode MS" w:hAnsi="Times New Roman" w:hint="default"/>
                <w:sz w:val="20"/>
                <w:szCs w:val="20"/>
              </w:rPr>
              <w:t>ch uží</w:t>
            </w:r>
            <w:r>
              <w:rPr>
                <w:rFonts w:ascii="Times New Roman" w:eastAsia="Arial Unicode MS" w:hAnsi="Times New Roman" w:hint="default"/>
                <w:sz w:val="20"/>
                <w:szCs w:val="20"/>
              </w:rPr>
              <w:t>vateľ</w:t>
            </w:r>
            <w:r>
              <w:rPr>
                <w:rFonts w:ascii="Times New Roman" w:eastAsia="Arial Unicode MS" w:hAnsi="Times New Roman" w:hint="default"/>
                <w:sz w:val="20"/>
                <w:szCs w:val="20"/>
              </w:rPr>
              <w:t>ov verejný</w:t>
            </w:r>
            <w:r>
              <w:rPr>
                <w:rFonts w:ascii="Times New Roman" w:eastAsia="Arial Unicode MS" w:hAnsi="Times New Roman" w:hint="default"/>
                <w:sz w:val="20"/>
                <w:szCs w:val="20"/>
              </w:rPr>
              <w:t>ch telefó</w:t>
            </w:r>
            <w:r>
              <w:rPr>
                <w:rFonts w:ascii="Times New Roman" w:eastAsia="Arial Unicode MS" w:hAnsi="Times New Roman" w:hint="default"/>
                <w:sz w:val="20"/>
                <w:szCs w:val="20"/>
              </w:rPr>
              <w:t>nnych automatov,</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eastAsia="Arial Unicode MS" w:hAnsi="Times New Roman"/>
                <w:sz w:val="20"/>
                <w:szCs w:val="20"/>
              </w:rPr>
              <w:t>O:2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Pokiaľ</w:t>
            </w:r>
            <w:r>
              <w:rPr>
                <w:rFonts w:ascii="Times New Roman" w:eastAsia="Arial Unicode MS" w:hAnsi="Times New Roman" w:hint="default"/>
                <w:sz w:val="20"/>
                <w:szCs w:val="20"/>
              </w:rPr>
              <w:t xml:space="preserve"> nie je v č</w:t>
            </w:r>
            <w:r>
              <w:rPr>
                <w:rFonts w:ascii="Times New Roman" w:eastAsia="Arial Unicode MS" w:hAnsi="Times New Roman" w:hint="default"/>
                <w:sz w:val="20"/>
                <w:szCs w:val="20"/>
              </w:rPr>
              <w:t>lá</w:t>
            </w:r>
            <w:r>
              <w:rPr>
                <w:rFonts w:ascii="Times New Roman" w:eastAsia="Arial Unicode MS" w:hAnsi="Times New Roman" w:hint="default"/>
                <w:sz w:val="20"/>
                <w:szCs w:val="20"/>
              </w:rPr>
              <w:t>nku 12 smernice Euró</w:t>
            </w:r>
            <w:r>
              <w:rPr>
                <w:rFonts w:ascii="Times New Roman" w:eastAsia="Arial Unicode MS" w:hAnsi="Times New Roman" w:hint="default"/>
                <w:sz w:val="20"/>
                <w:szCs w:val="20"/>
              </w:rPr>
              <w:t>pskeho parlamentu a </w:t>
            </w:r>
            <w:r>
              <w:rPr>
                <w:rFonts w:ascii="Times New Roman" w:eastAsia="Arial Unicode MS" w:hAnsi="Times New Roman" w:hint="default"/>
                <w:sz w:val="20"/>
                <w:szCs w:val="20"/>
              </w:rPr>
              <w:t>Rady 2002/58/ES z 12. jú</w:t>
            </w:r>
            <w:r>
              <w:rPr>
                <w:rFonts w:ascii="Times New Roman" w:eastAsia="Arial Unicode MS" w:hAnsi="Times New Roman" w:hint="default"/>
                <w:sz w:val="20"/>
                <w:szCs w:val="20"/>
              </w:rPr>
              <w:t>la 2002 tý</w:t>
            </w:r>
            <w:r>
              <w:rPr>
                <w:rFonts w:ascii="Times New Roman" w:eastAsia="Arial Unicode MS" w:hAnsi="Times New Roman" w:hint="default"/>
                <w:sz w:val="20"/>
                <w:szCs w:val="20"/>
              </w:rPr>
              <w:t>kajú</w:t>
            </w:r>
            <w:r>
              <w:rPr>
                <w:rFonts w:ascii="Times New Roman" w:eastAsia="Arial Unicode MS" w:hAnsi="Times New Roman" w:hint="default"/>
                <w:sz w:val="20"/>
                <w:szCs w:val="20"/>
              </w:rPr>
              <w:t>cej sa spracová</w:t>
            </w:r>
            <w:r>
              <w:rPr>
                <w:rFonts w:ascii="Times New Roman" w:eastAsia="Arial Unicode MS" w:hAnsi="Times New Roman" w:hint="default"/>
                <w:sz w:val="20"/>
                <w:szCs w:val="20"/>
              </w:rPr>
              <w:t>vania osobný</w:t>
            </w:r>
            <w:r>
              <w:rPr>
                <w:rFonts w:ascii="Times New Roman" w:eastAsia="Arial Unicode MS" w:hAnsi="Times New Roman" w:hint="default"/>
                <w:sz w:val="20"/>
                <w:szCs w:val="20"/>
              </w:rPr>
              <w:t>ch ú</w:t>
            </w:r>
            <w:r>
              <w:rPr>
                <w:rFonts w:ascii="Times New Roman" w:eastAsia="Arial Unicode MS" w:hAnsi="Times New Roman" w:hint="default"/>
                <w:sz w:val="20"/>
                <w:szCs w:val="20"/>
              </w:rPr>
              <w:t>dajov a ochrany sú</w:t>
            </w:r>
            <w:r>
              <w:rPr>
                <w:rFonts w:ascii="Times New Roman" w:eastAsia="Arial Unicode MS" w:hAnsi="Times New Roman" w:hint="default"/>
                <w:sz w:val="20"/>
                <w:szCs w:val="20"/>
              </w:rPr>
              <w:t>kromia v sektore elektronický</w:t>
            </w:r>
            <w:r>
              <w:rPr>
                <w:rFonts w:ascii="Times New Roman" w:eastAsia="Arial Unicode MS" w:hAnsi="Times New Roman" w:hint="default"/>
                <w:sz w:val="20"/>
                <w:szCs w:val="20"/>
              </w:rPr>
              <w:t>ch komuniká</w:t>
            </w:r>
            <w:r>
              <w:rPr>
                <w:rFonts w:ascii="Times New Roman" w:eastAsia="Arial Unicode MS" w:hAnsi="Times New Roman" w:hint="default"/>
                <w:sz w:val="20"/>
                <w:szCs w:val="20"/>
              </w:rPr>
              <w:t>cií</w:t>
            </w:r>
            <w:r>
              <w:rPr>
                <w:rFonts w:ascii="Times New Roman" w:eastAsia="Arial Unicode MS" w:hAnsi="Times New Roman" w:hint="default"/>
                <w:sz w:val="20"/>
                <w:szCs w:val="20"/>
              </w:rPr>
              <w:t xml:space="preserve"> (smernica o sú</w:t>
            </w:r>
            <w:r>
              <w:rPr>
                <w:rFonts w:ascii="Times New Roman" w:eastAsia="Arial Unicode MS" w:hAnsi="Times New Roman" w:hint="default"/>
                <w:sz w:val="20"/>
                <w:szCs w:val="20"/>
              </w:rPr>
              <w:t>kromí</w:t>
            </w:r>
            <w:r>
              <w:rPr>
                <w:rFonts w:ascii="Times New Roman" w:eastAsia="Arial Unicode MS" w:hAnsi="Times New Roman" w:hint="default"/>
                <w:sz w:val="20"/>
                <w:szCs w:val="20"/>
              </w:rPr>
              <w:t xml:space="preserve"> a elektronický</w:t>
            </w:r>
            <w:r>
              <w:rPr>
                <w:rFonts w:ascii="Times New Roman" w:eastAsia="Arial Unicode MS" w:hAnsi="Times New Roman" w:hint="default"/>
                <w:sz w:val="20"/>
                <w:szCs w:val="20"/>
              </w:rPr>
              <w:t>ch komuniká</w:t>
            </w:r>
            <w:r>
              <w:rPr>
                <w:rFonts w:ascii="Times New Roman" w:eastAsia="Arial Unicode MS" w:hAnsi="Times New Roman" w:hint="default"/>
                <w:sz w:val="20"/>
                <w:szCs w:val="20"/>
              </w:rPr>
              <w:t>ciá</w:t>
            </w:r>
            <w:r>
              <w:rPr>
                <w:rFonts w:ascii="Times New Roman" w:eastAsia="Arial Unicode MS" w:hAnsi="Times New Roman" w:hint="default"/>
                <w:sz w:val="20"/>
                <w:szCs w:val="20"/>
              </w:rPr>
              <w:t>ch) (1) ustanovené</w:t>
            </w:r>
            <w:r>
              <w:rPr>
                <w:rFonts w:ascii="Times New Roman" w:eastAsia="Arial Unicode MS" w:hAnsi="Times New Roman" w:hint="default"/>
                <w:sz w:val="20"/>
                <w:szCs w:val="20"/>
              </w:rPr>
              <w:t xml:space="preserve"> inak, telefó</w:t>
            </w:r>
            <w:r>
              <w:rPr>
                <w:rFonts w:ascii="Times New Roman" w:eastAsia="Arial Unicode MS" w:hAnsi="Times New Roman" w:hint="default"/>
                <w:sz w:val="20"/>
                <w:szCs w:val="20"/>
              </w:rPr>
              <w:t>nne zoznamy uvedené</w:t>
            </w:r>
            <w:r>
              <w:rPr>
                <w:rFonts w:ascii="Times New Roman" w:eastAsia="Arial Unicode MS" w:hAnsi="Times New Roman" w:hint="default"/>
                <w:sz w:val="20"/>
                <w:szCs w:val="20"/>
              </w:rPr>
              <w:t xml:space="preserve"> v odseku 1 obsahujú</w:t>
            </w:r>
            <w:r>
              <w:rPr>
                <w:rFonts w:ascii="Times New Roman" w:eastAsia="Arial Unicode MS" w:hAnsi="Times New Roman" w:hint="default"/>
                <w:sz w:val="20"/>
                <w:szCs w:val="20"/>
              </w:rPr>
              <w:t xml:space="preserve"> vš</w:t>
            </w:r>
            <w:r>
              <w:rPr>
                <w:rFonts w:ascii="Times New Roman" w:eastAsia="Arial Unicode MS" w:hAnsi="Times New Roman" w:hint="default"/>
                <w:sz w:val="20"/>
                <w:szCs w:val="20"/>
              </w:rPr>
              <w:t>etký</w:t>
            </w:r>
            <w:r>
              <w:rPr>
                <w:rFonts w:ascii="Times New Roman" w:eastAsia="Arial Unicode MS" w:hAnsi="Times New Roman" w:hint="default"/>
                <w:sz w:val="20"/>
                <w:szCs w:val="20"/>
              </w:rPr>
              <w:t>ch úč</w:t>
            </w:r>
            <w:r>
              <w:rPr>
                <w:rFonts w:ascii="Times New Roman" w:eastAsia="Arial Unicode MS" w:hAnsi="Times New Roman" w:hint="default"/>
                <w:sz w:val="20"/>
                <w:szCs w:val="20"/>
              </w:rPr>
              <w:t>astní</w:t>
            </w:r>
            <w:r>
              <w:rPr>
                <w:rFonts w:ascii="Times New Roman" w:eastAsia="Arial Unicode MS" w:hAnsi="Times New Roman" w:hint="default"/>
                <w:sz w:val="20"/>
                <w:szCs w:val="20"/>
              </w:rPr>
              <w:t>kov verejne dostupný</w:t>
            </w:r>
            <w:r>
              <w:rPr>
                <w:rFonts w:ascii="Times New Roman" w:eastAsia="Arial Unicode MS" w:hAnsi="Times New Roman" w:hint="default"/>
                <w:sz w:val="20"/>
                <w:szCs w:val="20"/>
              </w:rPr>
              <w:t>ch telefó</w:t>
            </w:r>
            <w:r>
              <w:rPr>
                <w:rFonts w:ascii="Times New Roman" w:eastAsia="Arial Unicode MS" w:hAnsi="Times New Roman" w:hint="default"/>
                <w:sz w:val="20"/>
                <w:szCs w:val="20"/>
              </w:rPr>
              <w:t>nnych služ</w:t>
            </w:r>
            <w:r>
              <w:rPr>
                <w:rFonts w:ascii="Times New Roman" w:eastAsia="Arial Unicode MS" w:hAnsi="Times New Roman" w:hint="default"/>
                <w:sz w:val="20"/>
                <w:szCs w:val="20"/>
              </w:rPr>
              <w:t>ieb.</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w:t>
            </w:r>
            <w:r>
              <w:rPr>
                <w:rFonts w:ascii="Times New Roman" w:eastAsia="Arial Unicode MS" w:hAnsi="Times New Roman" w:hint="default"/>
                <w:sz w:val="20"/>
                <w:szCs w:val="20"/>
              </w:rPr>
              <w:t>:50, O:2, P:c, V:2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vydať</w:t>
            </w:r>
            <w:r>
              <w:rPr>
                <w:rFonts w:ascii="Times New Roman" w:eastAsia="Arial Unicode MS" w:hAnsi="Times New Roman" w:hint="default"/>
                <w:sz w:val="20"/>
                <w:szCs w:val="20"/>
              </w:rPr>
              <w:t xml:space="preserve"> a sprí</w:t>
            </w:r>
            <w:r>
              <w:rPr>
                <w:rFonts w:ascii="Times New Roman" w:eastAsia="Arial Unicode MS" w:hAnsi="Times New Roman" w:hint="default"/>
                <w:sz w:val="20"/>
                <w:szCs w:val="20"/>
              </w:rPr>
              <w:t>stupniť</w:t>
            </w:r>
            <w:r>
              <w:rPr>
                <w:rFonts w:ascii="Times New Roman" w:eastAsia="Arial Unicode MS" w:hAnsi="Times New Roman" w:hint="default"/>
                <w:sz w:val="20"/>
                <w:szCs w:val="20"/>
              </w:rPr>
              <w:t xml:space="preserve"> ú</w:t>
            </w:r>
            <w:r>
              <w:rPr>
                <w:rFonts w:ascii="Times New Roman" w:eastAsia="Arial Unicode MS" w:hAnsi="Times New Roman" w:hint="default"/>
                <w:sz w:val="20"/>
                <w:szCs w:val="20"/>
              </w:rPr>
              <w:t>plný</w:t>
            </w:r>
            <w:r>
              <w:rPr>
                <w:rFonts w:ascii="Times New Roman" w:eastAsia="Arial Unicode MS" w:hAnsi="Times New Roman" w:hint="default"/>
                <w:sz w:val="20"/>
                <w:szCs w:val="20"/>
              </w:rPr>
              <w:t xml:space="preserve"> telefó</w:t>
            </w:r>
            <w:r>
              <w:rPr>
                <w:rFonts w:ascii="Times New Roman" w:eastAsia="Arial Unicode MS" w:hAnsi="Times New Roman" w:hint="default"/>
                <w:sz w:val="20"/>
                <w:szCs w:val="20"/>
              </w:rPr>
              <w:t xml:space="preserve">nny zoznam obsahuje </w:t>
            </w:r>
            <w:r>
              <w:rPr>
                <w:rFonts w:ascii="Times New Roman" w:eastAsia="Arial Unicode MS" w:hAnsi="Times New Roman" w:hint="default"/>
                <w:sz w:val="20"/>
                <w:szCs w:val="20"/>
              </w:rPr>
              <w:t>ú</w:t>
            </w:r>
            <w:r>
              <w:rPr>
                <w:rFonts w:ascii="Times New Roman" w:eastAsia="Arial Unicode MS" w:hAnsi="Times New Roman" w:hint="default"/>
                <w:sz w:val="20"/>
                <w:szCs w:val="20"/>
              </w:rPr>
              <w:t>daje o vš</w:t>
            </w:r>
            <w:r>
              <w:rPr>
                <w:rFonts w:ascii="Times New Roman" w:eastAsia="Arial Unicode MS" w:hAnsi="Times New Roman" w:hint="default"/>
                <w:sz w:val="20"/>
                <w:szCs w:val="20"/>
              </w:rPr>
              <w:t>etký</w:t>
            </w:r>
            <w:r>
              <w:rPr>
                <w:rFonts w:ascii="Times New Roman" w:eastAsia="Arial Unicode MS" w:hAnsi="Times New Roman" w:hint="default"/>
                <w:sz w:val="20"/>
                <w:szCs w:val="20"/>
              </w:rPr>
              <w:t>ch úč</w:t>
            </w:r>
            <w:r>
              <w:rPr>
                <w:rFonts w:ascii="Times New Roman" w:eastAsia="Arial Unicode MS" w:hAnsi="Times New Roman" w:hint="default"/>
                <w:sz w:val="20"/>
                <w:szCs w:val="20"/>
              </w:rPr>
              <w:t>astní</w:t>
            </w:r>
            <w:r>
              <w:rPr>
                <w:rFonts w:ascii="Times New Roman" w:eastAsia="Arial Unicode MS" w:hAnsi="Times New Roman" w:hint="default"/>
                <w:sz w:val="20"/>
                <w:szCs w:val="20"/>
              </w:rPr>
              <w:t>koch verejný</w:t>
            </w:r>
            <w:r>
              <w:rPr>
                <w:rFonts w:ascii="Times New Roman" w:eastAsia="Arial Unicode MS" w:hAnsi="Times New Roman" w:hint="default"/>
                <w:sz w:val="20"/>
                <w:szCs w:val="20"/>
              </w:rPr>
              <w:t>ch telefó</w:t>
            </w:r>
            <w:r>
              <w:rPr>
                <w:rFonts w:ascii="Times New Roman" w:eastAsia="Arial Unicode MS" w:hAnsi="Times New Roman" w:hint="default"/>
                <w:sz w:val="20"/>
                <w:szCs w:val="20"/>
              </w:rPr>
              <w:t>nnych služ</w:t>
            </w:r>
            <w:r>
              <w:rPr>
                <w:rFonts w:ascii="Times New Roman" w:eastAsia="Arial Unicode MS" w:hAnsi="Times New Roman" w:hint="default"/>
                <w:sz w:val="20"/>
                <w:szCs w:val="20"/>
              </w:rPr>
              <w:t>ieb okrem tý</w:t>
            </w:r>
            <w:r>
              <w:rPr>
                <w:rFonts w:ascii="Times New Roman" w:eastAsia="Arial Unicode MS" w:hAnsi="Times New Roman" w:hint="default"/>
                <w:sz w:val="20"/>
                <w:szCs w:val="20"/>
              </w:rPr>
              <w:t>ch, ktorí</w:t>
            </w:r>
            <w:r>
              <w:rPr>
                <w:rFonts w:ascii="Times New Roman" w:eastAsia="Arial Unicode MS" w:hAnsi="Times New Roman" w:hint="default"/>
                <w:sz w:val="20"/>
                <w:szCs w:val="20"/>
              </w:rPr>
              <w:t xml:space="preserve"> pož</w:t>
            </w:r>
            <w:r>
              <w:rPr>
                <w:rFonts w:ascii="Times New Roman" w:eastAsia="Arial Unicode MS" w:hAnsi="Times New Roman" w:hint="default"/>
                <w:sz w:val="20"/>
                <w:szCs w:val="20"/>
              </w:rPr>
              <w:t>iadali o nezverejnenie svojich osobný</w:t>
            </w:r>
            <w:r>
              <w:rPr>
                <w:rFonts w:ascii="Times New Roman" w:eastAsia="Arial Unicode MS" w:hAnsi="Times New Roman" w:hint="default"/>
                <w:sz w:val="20"/>
                <w:szCs w:val="20"/>
              </w:rPr>
              <w:t>ch ú</w:t>
            </w:r>
            <w:r>
              <w:rPr>
                <w:rFonts w:ascii="Times New Roman" w:eastAsia="Arial Unicode MS" w:hAnsi="Times New Roman" w:hint="default"/>
                <w:sz w:val="20"/>
                <w:szCs w:val="20"/>
              </w:rPr>
              <w:t>dajov podľ</w:t>
            </w:r>
            <w:r>
              <w:rPr>
                <w:rFonts w:ascii="Times New Roman" w:eastAsia="Arial Unicode MS" w:hAnsi="Times New Roman" w:hint="default"/>
                <w:sz w:val="20"/>
                <w:szCs w:val="20"/>
              </w:rPr>
              <w:t>a §</w:t>
            </w:r>
            <w:r>
              <w:rPr>
                <w:rFonts w:ascii="Times New Roman" w:eastAsia="Arial Unicode MS" w:hAnsi="Times New Roman" w:hint="default"/>
                <w:sz w:val="20"/>
                <w:szCs w:val="20"/>
              </w:rPr>
              <w:t xml:space="preserve"> 59 ods. 2.</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eastAsia="Arial Unicode MS" w:hAnsi="Times New Roman"/>
                <w:sz w:val="20"/>
                <w:szCs w:val="20"/>
              </w:rPr>
              <w:t>O:3</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Č</w:t>
            </w:r>
            <w:r>
              <w:rPr>
                <w:rFonts w:ascii="Times New Roman" w:eastAsia="Arial Unicode MS" w:hAnsi="Times New Roman" w:hint="default"/>
                <w:sz w:val="20"/>
                <w:szCs w:val="20"/>
              </w:rPr>
              <w:t>lenské</w:t>
            </w:r>
            <w:r>
              <w:rPr>
                <w:rFonts w:ascii="Times New Roman" w:eastAsia="Arial Unicode MS" w:hAnsi="Times New Roman" w:hint="default"/>
                <w:sz w:val="20"/>
                <w:szCs w:val="20"/>
              </w:rPr>
              <w:t xml:space="preserve"> š</w:t>
            </w:r>
            <w:r>
              <w:rPr>
                <w:rFonts w:ascii="Times New Roman" w:eastAsia="Arial Unicode MS" w:hAnsi="Times New Roman" w:hint="default"/>
                <w:sz w:val="20"/>
                <w:szCs w:val="20"/>
              </w:rPr>
              <w:t>tá</w:t>
            </w:r>
            <w:r>
              <w:rPr>
                <w:rFonts w:ascii="Times New Roman" w:eastAsia="Arial Unicode MS" w:hAnsi="Times New Roman" w:hint="default"/>
                <w:sz w:val="20"/>
                <w:szCs w:val="20"/>
              </w:rPr>
              <w:t>ty zabezpeč</w:t>
            </w:r>
            <w:r>
              <w:rPr>
                <w:rFonts w:ascii="Times New Roman" w:eastAsia="Arial Unicode MS" w:hAnsi="Times New Roman" w:hint="default"/>
                <w:sz w:val="20"/>
                <w:szCs w:val="20"/>
              </w:rPr>
              <w:t>ia, aby podniky poskytujú</w:t>
            </w:r>
            <w:r>
              <w:rPr>
                <w:rFonts w:ascii="Times New Roman" w:eastAsia="Arial Unicode MS" w:hAnsi="Times New Roman" w:hint="default"/>
                <w:sz w:val="20"/>
                <w:szCs w:val="20"/>
              </w:rPr>
              <w:t>ce služ</w:t>
            </w:r>
            <w:r>
              <w:rPr>
                <w:rFonts w:ascii="Times New Roman" w:eastAsia="Arial Unicode MS" w:hAnsi="Times New Roman" w:hint="default"/>
                <w:sz w:val="20"/>
                <w:szCs w:val="20"/>
              </w:rPr>
              <w:t>by uvedené</w:t>
            </w:r>
            <w:r>
              <w:rPr>
                <w:rFonts w:ascii="Times New Roman" w:eastAsia="Arial Unicode MS" w:hAnsi="Times New Roman" w:hint="default"/>
                <w:sz w:val="20"/>
                <w:szCs w:val="20"/>
              </w:rPr>
              <w:t xml:space="preserve"> v odseku 1 uplatň</w:t>
            </w:r>
            <w:r>
              <w:rPr>
                <w:rFonts w:ascii="Times New Roman" w:eastAsia="Arial Unicode MS" w:hAnsi="Times New Roman" w:hint="default"/>
                <w:sz w:val="20"/>
                <w:szCs w:val="20"/>
              </w:rPr>
              <w:t>ovali nediskriminá</w:t>
            </w:r>
            <w:r>
              <w:rPr>
                <w:rFonts w:ascii="Times New Roman" w:eastAsia="Arial Unicode MS" w:hAnsi="Times New Roman" w:hint="default"/>
                <w:sz w:val="20"/>
                <w:szCs w:val="20"/>
              </w:rPr>
              <w:t>ciu pri spracová</w:t>
            </w:r>
            <w:r>
              <w:rPr>
                <w:rFonts w:ascii="Times New Roman" w:eastAsia="Arial Unicode MS" w:hAnsi="Times New Roman" w:hint="default"/>
                <w:sz w:val="20"/>
                <w:szCs w:val="20"/>
              </w:rPr>
              <w:t>vaní</w:t>
            </w:r>
            <w:r>
              <w:rPr>
                <w:rFonts w:ascii="Times New Roman" w:eastAsia="Arial Unicode MS" w:hAnsi="Times New Roman" w:hint="default"/>
                <w:sz w:val="20"/>
                <w:szCs w:val="20"/>
              </w:rPr>
              <w:t xml:space="preserve"> informá</w:t>
            </w:r>
            <w:r>
              <w:rPr>
                <w:rFonts w:ascii="Times New Roman" w:eastAsia="Arial Unicode MS" w:hAnsi="Times New Roman" w:hint="default"/>
                <w:sz w:val="20"/>
                <w:szCs w:val="20"/>
              </w:rPr>
              <w:t>cií</w:t>
            </w:r>
            <w:r>
              <w:rPr>
                <w:rFonts w:ascii="Times New Roman" w:eastAsia="Arial Unicode MS" w:hAnsi="Times New Roman" w:hint="default"/>
                <w:sz w:val="20"/>
                <w:szCs w:val="20"/>
              </w:rPr>
              <w:t>, ktoré</w:t>
            </w:r>
            <w:r>
              <w:rPr>
                <w:rFonts w:ascii="Times New Roman" w:eastAsia="Arial Unicode MS" w:hAnsi="Times New Roman" w:hint="default"/>
                <w:sz w:val="20"/>
                <w:szCs w:val="20"/>
              </w:rPr>
              <w:t xml:space="preserve"> im poskytli iné</w:t>
            </w:r>
            <w:r>
              <w:rPr>
                <w:rFonts w:ascii="Times New Roman" w:eastAsia="Arial Unicode MS" w:hAnsi="Times New Roman" w:hint="default"/>
                <w:sz w:val="20"/>
                <w:szCs w:val="20"/>
              </w:rPr>
              <w:t xml:space="preserve"> podniky.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w:t>
            </w:r>
            <w:r>
              <w:rPr>
                <w:rFonts w:ascii="Times New Roman" w:eastAsia="Arial Unicode MS" w:hAnsi="Times New Roman" w:hint="default"/>
                <w:sz w:val="20"/>
                <w:szCs w:val="20"/>
              </w:rPr>
              <w:t>:50, O:10</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Podnik urč</w:t>
            </w:r>
            <w:r>
              <w:rPr>
                <w:rFonts w:ascii="Times New Roman" w:eastAsia="Arial Unicode MS" w:hAnsi="Times New Roman" w:hint="default"/>
                <w:sz w:val="20"/>
                <w:szCs w:val="20"/>
              </w:rPr>
              <w:t>ený</w:t>
            </w:r>
            <w:r>
              <w:rPr>
                <w:rFonts w:ascii="Times New Roman" w:eastAsia="Arial Unicode MS" w:hAnsi="Times New Roman" w:hint="default"/>
                <w:sz w:val="20"/>
                <w:szCs w:val="20"/>
              </w:rPr>
              <w:t xml:space="preserve"> na poskytovanie univerzá</w:t>
            </w:r>
            <w:r>
              <w:rPr>
                <w:rFonts w:ascii="Times New Roman" w:eastAsia="Arial Unicode MS" w:hAnsi="Times New Roman" w:hint="default"/>
                <w:sz w:val="20"/>
                <w:szCs w:val="20"/>
              </w:rPr>
              <w:t>lnej služ</w:t>
            </w:r>
            <w:r>
              <w:rPr>
                <w:rFonts w:ascii="Times New Roman" w:eastAsia="Arial Unicode MS" w:hAnsi="Times New Roman" w:hint="default"/>
                <w:sz w:val="20"/>
                <w:szCs w:val="20"/>
              </w:rPr>
              <w:t>by s povinnosť</w:t>
            </w:r>
            <w:r>
              <w:rPr>
                <w:rFonts w:ascii="Times New Roman" w:eastAsia="Arial Unicode MS" w:hAnsi="Times New Roman" w:hint="default"/>
                <w:sz w:val="20"/>
                <w:szCs w:val="20"/>
              </w:rPr>
              <w:t>ami podľ</w:t>
            </w:r>
            <w:r>
              <w:rPr>
                <w:rFonts w:ascii="Times New Roman" w:eastAsia="Arial Unicode MS" w:hAnsi="Times New Roman" w:hint="default"/>
                <w:sz w:val="20"/>
                <w:szCs w:val="20"/>
              </w:rPr>
              <w:t>a odseku 2 pí</w:t>
            </w:r>
            <w:r>
              <w:rPr>
                <w:rFonts w:ascii="Times New Roman" w:eastAsia="Arial Unicode MS" w:hAnsi="Times New Roman" w:hint="default"/>
                <w:sz w:val="20"/>
                <w:szCs w:val="20"/>
              </w:rPr>
              <w:t>sm. </w:t>
            </w:r>
            <w:r>
              <w:rPr>
                <w:rFonts w:ascii="Times New Roman" w:eastAsia="Arial Unicode MS" w:hAnsi="Times New Roman" w:hint="default"/>
                <w:sz w:val="20"/>
                <w:szCs w:val="20"/>
              </w:rPr>
              <w:t>c) a e) je povinný</w:t>
            </w:r>
            <w:r>
              <w:rPr>
                <w:rFonts w:ascii="Times New Roman" w:eastAsia="Arial Unicode MS" w:hAnsi="Times New Roman" w:hint="default"/>
                <w:sz w:val="20"/>
                <w:szCs w:val="20"/>
              </w:rPr>
              <w:t xml:space="preserve"> zaobchá</w:t>
            </w:r>
            <w:r>
              <w:rPr>
                <w:rFonts w:ascii="Times New Roman" w:eastAsia="Arial Unicode MS" w:hAnsi="Times New Roman" w:hint="default"/>
                <w:sz w:val="20"/>
                <w:szCs w:val="20"/>
              </w:rPr>
              <w:t>dzať</w:t>
            </w:r>
            <w:r>
              <w:rPr>
                <w:rFonts w:ascii="Times New Roman" w:eastAsia="Arial Unicode MS" w:hAnsi="Times New Roman" w:hint="default"/>
                <w:sz w:val="20"/>
                <w:szCs w:val="20"/>
              </w:rPr>
              <w:t xml:space="preserve"> s ú</w:t>
            </w:r>
            <w:r>
              <w:rPr>
                <w:rFonts w:ascii="Times New Roman" w:eastAsia="Arial Unicode MS" w:hAnsi="Times New Roman" w:hint="default"/>
                <w:sz w:val="20"/>
                <w:szCs w:val="20"/>
              </w:rPr>
              <w:t>dajmi, ktoré</w:t>
            </w:r>
            <w:r>
              <w:rPr>
                <w:rFonts w:ascii="Times New Roman" w:eastAsia="Arial Unicode MS" w:hAnsi="Times New Roman" w:hint="default"/>
                <w:sz w:val="20"/>
                <w:szCs w:val="20"/>
              </w:rPr>
              <w:t xml:space="preserve"> mu poskytli iné</w:t>
            </w:r>
            <w:r>
              <w:rPr>
                <w:rFonts w:ascii="Times New Roman" w:eastAsia="Arial Unicode MS" w:hAnsi="Times New Roman" w:hint="default"/>
                <w:sz w:val="20"/>
                <w:szCs w:val="20"/>
              </w:rPr>
              <w:t xml:space="preserve"> podniky, nediskriminač</w:t>
            </w:r>
            <w:r>
              <w:rPr>
                <w:rFonts w:ascii="Times New Roman" w:eastAsia="Arial Unicode MS" w:hAnsi="Times New Roman" w:hint="default"/>
                <w:sz w:val="20"/>
                <w:szCs w:val="20"/>
              </w:rPr>
              <w:t>ne.</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hint="default"/>
                <w:sz w:val="20"/>
                <w:szCs w:val="20"/>
              </w:rPr>
            </w:pPr>
            <w:r>
              <w:rPr>
                <w:rFonts w:ascii="Times New Roman" w:eastAsia="Arial Unicode MS" w:hAnsi="Times New Roman" w:hint="default"/>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Č:6</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Verejné telefóny na mince a karty a iné verejné telefónne prístupové miesta</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mohli ukladať podnikom povinnosti, ktorými zabezpečia, že sa verejné telefóny na mince a karty alebo iné verejné telefónne prístupové miesta budú poskytovať s cieľom splnenia odôvodnených potrieb koncových užívateľov z hľadiska geografického pokrytia, počtu telefónov alebo iných prístupových miest, dostupnosti koncovým užívateľom so zdravotným postihnutím a kvality služieb.</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§:50, O:2, </w:t>
              <w:br/>
              <w:br/>
              <w:t>P:d</w:t>
              <w:br/>
              <w:br/>
              <w:br/>
              <w:br/>
              <w:br/>
              <w:br/>
              <w:br/>
              <w:br/>
              <w:t>§:50, O:7, V:2</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Predmetom univerzálnej služby je</w:t>
              <w:br/>
              <w:br/>
              <w:t xml:space="preserve">zabezpečiť primeranú dostupnosť verejných telefónnych automatov alebo iných verejných telefónnych prístupových bodov, vrátane poskytovania služieb tiesňových volaní z verejných telefónnych automatov s použitím jednotného európskeho tiesňového čísla „112" a iných národných čísel tiesňového volania, bezplatne a bez použitia platobných prostriedkov, </w:t>
              <w:br/>
              <w:br/>
              <w:t>Pri ukladaní povinnosti podľa odseku 2 písm. d) úrad prihliada na odôvodnené potreby koncových užívateľov z hľadiska geografického pokrytia, počtu verejných telefónnych automatov alebo iných prístupových bodov, dostupnosti pre koncových užívateľov so zdravotným postihnutím a kvality služieb</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Členský štát zabezpečí, aby jeho národný regulačný orgán mohol rozhodnúť o tom, že neuloží povinnosti podľa odseku 1 na celom území alebo na jeho časti, ak na základe porady dotknutých strán podľa článku 33 zistí, že tieto zariadenia alebo porovnateľné služby sú všeobecne dostupné.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O:3, V:2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úrad zistí, že zariadenia alebo služby porovnateľné so zariadeniami alebo službami, ktoré sú predmetom univerzálnej služby, sú všeobecne dostupné, môže neuložiť príslušnú povinnosť podľa odseku 2 na celom území alebo na časti územia Slovenskej republiky.</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bolo možné núdzovo volať z verejného telefónu s použitím jednotného európskeho núdzového volacieho čísla „112“ a iných národných núdzových čísel, bezplatne a bez použitia akýchkoľvek platobných prostriedkov.</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§:50, O:2, </w:t>
            </w:r>
          </w:p>
          <w:p w:rsidR="00BA5793">
            <w:pPr>
              <w:bidi w:val="0"/>
              <w:rPr>
                <w:rFonts w:ascii="Times New Roman" w:hAnsi="Times New Roman"/>
                <w:sz w:val="20"/>
                <w:szCs w:val="20"/>
              </w:rPr>
            </w:pPr>
            <w:r>
              <w:rPr>
                <w:rFonts w:ascii="Times New Roman" w:hAnsi="Times New Roman"/>
                <w:sz w:val="20"/>
                <w:szCs w:val="20"/>
              </w:rPr>
              <w:t>P:d</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Predmetom univerzálnej služby je</w:t>
            </w:r>
          </w:p>
          <w:p w:rsidR="00BA5793">
            <w:pPr>
              <w:bidi w:val="0"/>
              <w:rPr>
                <w:rFonts w:ascii="Times New Roman" w:hAnsi="Times New Roman"/>
                <w:sz w:val="20"/>
                <w:szCs w:val="20"/>
              </w:rPr>
            </w:pPr>
            <w:r>
              <w:rPr>
                <w:rFonts w:ascii="Times New Roman" w:hAnsi="Times New Roman"/>
                <w:sz w:val="20"/>
                <w:szCs w:val="20"/>
              </w:rPr>
              <w:t>zabezpečiť primeranú dostupnosť verejných telefónnych automatov alebo iných verejných telefónnych prístupových bodov, vrátane poskytovania služieb tiesňových volaní z verejných telefónnych automatov s použitím jednotného európskeho tiesňového čísla „112" a iných národných čísel tiesňového volania, bezplatne a bez použitia platobných prostriedkov,</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Č:7</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Opatrenia pre užívateľov so zdravotným postihnutím</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Ak sa v kapitole IV nevymedzili požiadavky, ktorými sa dosahuje rovnaký účinok, členské štáty prijmú špecifické opatrenia, aby užívateľom so zdravotným postihnutím zabezpečili rovnocenný prístup k službám a rovnocennú prijateľnosť služieb uvedených v článku 4 ods.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v článku 5, aké majú ostatní koncoví užívatelia. Členské štáty môžu národným regulačným orgánom uložiť povinnosť posúdiť všeobecnú potrebu a osobitné požiadavky na takéto špecifické opatrenia pre užívateľov so zdravotným postihnutím vrátane ich rozsahu a konkrétnej formy.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O:2,</w:t>
              <w:br/>
              <w:br/>
              <w:t>P:f</w:t>
              <w:br/>
              <w:br/>
              <w:br/>
              <w:br/>
              <w:br/>
              <w:br/>
              <w:br/>
              <w:br/>
              <w:t>§:50, O:4</w:t>
              <w:br/>
              <w:br/>
              <w:br/>
              <w:br/>
              <w:br/>
              <w:t>P:a</w:t>
              <w:br/>
              <w:br/>
              <w:br/>
              <w:br/>
              <w:br/>
              <w:br/>
              <w:t>P:b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Predmetom univerzálnej služby je</w:t>
              <w:br/>
              <w:br/>
              <w:t>zabezpečiť rovnocenný prístup k verejným telefónnym službám a rovnocennú dostupnosť služieb podľa písmen b), c), a e), aké majú ostatní koncoví užívatelia, vrátane možnosti výberu podnikov pre užívateľov so zdravotným postihnutím; zdravotne postihnutým užívateľom sa na účely tohto zákona rozumie držiteľ preukazu fyzickej osoby s ťažkým zdravotným postihnutím.</w:t>
              <w:br/>
              <w:br/>
              <w:t>Úrad pri ukladaní povinnosti podľa  odseku 2 písm. f) posúdi všeobecnú potrebu a osobitné požiadavky na služby pre užívateľov so zdravotným postihnutím. Úrad môže uložiť povinnosť najmä</w:t>
              <w:br/>
              <w:br/>
              <w:t xml:space="preserve">prenajať alebo predať, ak o to požiada užívateľ so zdravotným postihnutím, jedno špeciálne vybavené telekomunikačné koncové zariadenie primerané jeho zdravotnému postihnutiu za cenu štandardného telekomunikačného koncového zariadenia, </w:t>
              <w:br/>
              <w:br/>
              <w:t>zabezpečovať bezbariérový prístup k vybraným verejným telefónnym automatom, ich dostupnosť a špeciálne vybavenie.</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môžu na základe vnútroštátnych podmienok prijať špecifické opatrenia, aby zabezpečili, že koncoví užívatelia so zdravotným postihnutím budú môcť tiež využívať výhody výberu podnikov a poskytovateľov služieb dostupných väčšine koncových užívateľov.</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§:50, O:2, </w:t>
            </w:r>
          </w:p>
          <w:p w:rsidR="00BA5793">
            <w:pPr>
              <w:bidi w:val="0"/>
              <w:rPr>
                <w:rFonts w:ascii="Times New Roman" w:hAnsi="Times New Roman"/>
                <w:sz w:val="20"/>
                <w:szCs w:val="20"/>
              </w:rPr>
            </w:pPr>
            <w:r>
              <w:rPr>
                <w:rFonts w:ascii="Times New Roman" w:hAnsi="Times New Roman"/>
                <w:sz w:val="20"/>
                <w:szCs w:val="20"/>
              </w:rPr>
              <w:t>P:f</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zabezpečiť rovnocenný prístup k verejným telefónnym službám a rovnocennú dostupnosť služieb podľa písmen b), c) a e), aké majú ostatní koncoví užívatelia, vrátane možnosti výberu podnikov pre užívateľov so zdravotným postihnutím; zdravotne postihnutým užívateľom sa na účely tohto zákona rozumie držiteľ preukazu fyzickej osoby s ťažkým zdravotným postihnutím.</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Prijatím opatrení uvedených v odsekoch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2 členské štáty podporia zosúladenie príslušných noriem a špecifikácií zverejnených v súlade s článkami </w:t>
            </w:r>
            <w:smartTag w:uri="urn:schemas-microsoft-com:office:smarttags" w:element="metricconverter">
              <w:smartTagPr>
                <w:attr w:name="ProductID" w:val="17 a"/>
              </w:smartTagPr>
              <w:r>
                <w:rPr>
                  <w:rFonts w:ascii="Times New Roman" w:hAnsi="Times New Roman"/>
                  <w:sz w:val="20"/>
                  <w:szCs w:val="20"/>
                </w:rPr>
                <w:t>17 a</w:t>
              </w:r>
            </w:smartTag>
            <w:r>
              <w:rPr>
                <w:rFonts w:ascii="Times New Roman" w:hAnsi="Times New Roman"/>
                <w:sz w:val="20"/>
                <w:szCs w:val="20"/>
              </w:rPr>
              <w:t xml:space="preserve"> 18 smernice 2002/21/ES (rámcová smernica).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Pozri  tabuľku zhody pre rámcovú smernicu (články </w:t>
            </w:r>
            <w:smartTag w:uri="urn:schemas-microsoft-com:office:smarttags" w:element="metricconverter">
              <w:smartTagPr>
                <w:attr w:name="ProductID" w:val="17 a"/>
              </w:smartTagPr>
              <w:r>
                <w:rPr>
                  <w:rFonts w:ascii="Times New Roman" w:hAnsi="Times New Roman"/>
                  <w:sz w:val="20"/>
                  <w:szCs w:val="20"/>
                </w:rPr>
                <w:t>17 a</w:t>
              </w:r>
            </w:smartTag>
            <w:r>
              <w:rPr>
                <w:rFonts w:ascii="Times New Roman" w:hAnsi="Times New Roman"/>
                <w:sz w:val="20"/>
                <w:szCs w:val="20"/>
              </w:rPr>
              <w:t xml:space="preserve"> 18)</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Č8</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Určenie podnikov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môžu určiť jeden alebo viac podnikov, ktoré budú zodpovedné za poskytovanie univerzálnej služby podľa článkov 4, 5,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prípadne článku 9 ods. 2 tak, aby mohlo byť pokryté celé územie štátu. Členské štáty môžu určiť rôzne podniky alebo skupinu podnikov, ktoré budú zabezpečovať rôzne prvky univerzálnej služby a/alebo pokrývať rôzne časti územia štátu.</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O:3, V:1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Úrad určí na základe výsledku konzultácií podľa § 10 jeden alebo viac podnikov na poskytovanie univerzálnej služby a uloží im povinnosti podľa odseku 2 tak, aby bolo pokryté celé územie Slovenskej republiky, pričom môže určiť rôzne podniky alebo skupinu podnikov, ktoré budú zabezpečovať len niektoré povinnosti univerzálnej služby, pokrývať rôzne časti územia Slovenskej republiky alebo zabezpečovať len niektoré povinnosti univerzálnej služby a pokrývať rôzne časti územia Slovenskej republiky.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Keď členské štáty určia podniky na časti štátneho územia alebo na celom území, ktorým boli uložené povinnosti týkajúce sa poskytovania univerzálnej služby, urobia tak s použitím efektívneho, objektívneho, transparentného a nediskriminačného mechanizmu, pričom žiadny podnik nie je vopred vylúčený z tejto možnosti. Také metódy určenia zabezpečia, aby sa univerzálna služba poskytovala nákladovo efektívnym spôsobom a aby sa mohla využiť ako prostriedok stanovenia čistých nákladov záväzku univerzálnej služby v súlade s článkom 12.</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O:5</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pri určovaní podniku podľa odseku 3 nesmie vopred vylúčiť žiadny podnik. Úrad zohľadňuje najmä finančné, technické, odborné podmienky podniku a schopnosť podniku poskytovať ť univerzálnu službu nákladovo efektívnym spôsobom a v požadovanej kvalite.</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má podnik určený v súlade s odsekom 1 v úmysle predať všetky svoje aktíva lokálnej siete alebo ich podstatnú časť samostatnej právnickej osobe s inou vlastníckou štruktúrou, je povinný v predstihu a včas o tom informovať národný regulačný orgán, aby tomuto orgánu umožnil posúdiť účinok zamýšľanej transakcie na poskytovanie prístupu na pevnom mieste a na poskytovanie telefónnych služieb podľa článku 4. Národný regulačný orgán môže uložiť, zmeniť a doplniť alebo zrušiť špecifické povinnosti v súlade s článkom 6 ods. 2 smernice 2002/20/ES (smernica o povolení).</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§:50, O:9</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má podnik určený na poskytovanie univerzálnej služby s povinnosťami podľa odseku 2 písm. a) a b) v úmysle predať svoju prístupovú sieť alebo jej podstatnú časť právnickej osobe s ktorou nie je majetkovo prepojený, je povinný štyri mesiace vopred o tom informovať úrad, aby mohol posúdiť účinok zamýšľanej transakcie na plnenie povinností podľa odseku 2 písm. a) a b). Úrad môže uložiť, zmeniť alebo zrušiť uložené povinnosti podniku určenému na poskytovanie univerzálnej služby.</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Č:9</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Prijateľnosť taríf</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monitorujú vývoj a úroveň maloobchodných taríf služieb uvedených v článkoch 4 až 7, ktoré spadajú pod povinnosti univerzálnej služby a buď ich poskytujú určené podniky, alebo v prípade, že v súvislosti s predmetnými službami nie sú určené žiadne podniky, sú dostupné na trhu, a to najmä vo vzťahu k vnútroštátnym spotrebiteľským cenám a príjmom.</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O:4</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sleduje vývoj a úroveň cien služieb patriacich do povinností univerzálnej služby podľa § 50 ods. 2, najmä vo vzťahu k vnútroštátnym cenám pre koncových užívateľov a k ich príjmom.</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môžu na základe vnútroštátnych podmienok vyžadovať, aby určené podniky poskytovali spotrebiteľom tarifnú voľbu alebo tarifné balíky, ktoré sa líšia od taríf poskytovaných za bežných komerčných podmienok, a najmä aby zabezpečili, že spotrebiteľom s nízkym príjmom alebo s osobitnými sociálnymi potrebami sa nebude brániť v prístupe k sieti uvedenej v článku 4 ods. 1 alebo v používaní služieb uvedených v článku 4 ods.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v článkoch 5,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7, ktoré patria do povinnosti univerzálnej služby a ktoré poskytujú určené podniky.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O:5</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uložiť v rozhodnutí podľa § 50 povinnosť poskytovať koncovým užívateľom možnosti výberu cien, ktoré sa odchyľujú od cien vychádzajúcich z obvyklých obchodných podmienok a ktoré umožnia koncovým užívateľom s nízkymi príjmami alebo s osobitnými sociálnymi potrebami prístup k sieti a službám.</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môžu, okrem ustanovení pre určené podniky, týkajúcich sa umožnenia osobitnej tarifnej voľby alebo dodržania cenových limitov, alebo geografických priemerov, alebo iných podobných systémov zabezpečiť, aby sa poskytla podpora spotrebiteľom s nízkym príjmom alebo špecifickými sociálnymi potrebami.</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§:19, O:1,</w:t>
            </w:r>
          </w:p>
          <w:p w:rsidR="00BA5793">
            <w:pPr>
              <w:bidi w:val="0"/>
              <w:rPr>
                <w:rFonts w:ascii="Times New Roman" w:hAnsi="Times New Roman"/>
                <w:sz w:val="20"/>
                <w:szCs w:val="20"/>
              </w:rPr>
            </w:pPr>
            <w:r>
              <w:rPr>
                <w:rFonts w:ascii="Times New Roman" w:hAnsi="Times New Roman"/>
                <w:sz w:val="20"/>
                <w:szCs w:val="20"/>
              </w:rPr>
              <w:t xml:space="preserve">P:b, </w:t>
            </w:r>
          </w:p>
          <w:p w:rsidR="00BA5793">
            <w:pPr>
              <w:bidi w:val="0"/>
              <w:rPr>
                <w:rFonts w:ascii="Times New Roman" w:hAnsi="Times New Roman"/>
                <w:sz w:val="20"/>
                <w:szCs w:val="20"/>
              </w:rPr>
            </w:pPr>
            <w:r>
              <w:rPr>
                <w:rFonts w:ascii="Times New Roman" w:hAnsi="Times New Roman"/>
                <w:sz w:val="20"/>
                <w:szCs w:val="20"/>
              </w:rPr>
              <w:t xml:space="preserve">P:d, </w:t>
            </w:r>
          </w:p>
          <w:p w:rsidR="00BA5793">
            <w:pPr>
              <w:bidi w:val="0"/>
              <w:rPr>
                <w:rFonts w:ascii="Times New Roman" w:hAnsi="Times New Roman"/>
                <w:sz w:val="20"/>
                <w:szCs w:val="20"/>
              </w:rPr>
            </w:pPr>
            <w:r>
              <w:rPr>
                <w:rFonts w:ascii="Times New Roman" w:hAnsi="Times New Roman"/>
                <w:sz w:val="20"/>
                <w:szCs w:val="20"/>
              </w:rPr>
              <w:t>P:e</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Peňažné príspevky na kompenzáciu sú</w:t>
            </w:r>
          </w:p>
          <w:p w:rsidR="00BA5793">
            <w:pPr>
              <w:bidi w:val="0"/>
              <w:rPr>
                <w:rFonts w:ascii="Times New Roman" w:hAnsi="Times New Roman"/>
                <w:sz w:val="20"/>
                <w:szCs w:val="20"/>
              </w:rPr>
            </w:pPr>
            <w:r>
              <w:rPr>
                <w:rFonts w:ascii="Times New Roman" w:hAnsi="Times New Roman"/>
                <w:sz w:val="20"/>
                <w:szCs w:val="20"/>
              </w:rPr>
              <w:t>peňažný príspevok na kúpu pomôcky,</w:t>
            </w:r>
          </w:p>
          <w:p w:rsidR="00BA5793">
            <w:pPr>
              <w:bidi w:val="0"/>
              <w:rPr>
                <w:rFonts w:ascii="Times New Roman" w:hAnsi="Times New Roman"/>
                <w:sz w:val="20"/>
                <w:szCs w:val="20"/>
              </w:rPr>
            </w:pPr>
            <w:r>
              <w:rPr>
                <w:rFonts w:ascii="Times New Roman" w:hAnsi="Times New Roman"/>
                <w:sz w:val="20"/>
                <w:szCs w:val="20"/>
              </w:rPr>
              <w:t xml:space="preserve">peňažný príspevok na úpravu pomôcky, </w:t>
            </w:r>
          </w:p>
          <w:p w:rsidR="00BA5793">
            <w:pPr>
              <w:bidi w:val="0"/>
              <w:rPr>
                <w:rFonts w:ascii="Times New Roman" w:hAnsi="Times New Roman"/>
                <w:sz w:val="20"/>
                <w:szCs w:val="20"/>
              </w:rPr>
            </w:pPr>
            <w:r>
              <w:rPr>
                <w:rFonts w:ascii="Times New Roman" w:hAnsi="Times New Roman"/>
                <w:sz w:val="20"/>
                <w:szCs w:val="20"/>
              </w:rPr>
              <w:t>peňažný príspevok na opravu pomôcky,</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môžu od podnikov s povinnosťami podľa článku 4, 5,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7 vyžadovať, aby na základe vnútroštátnych podmienok alebo dodržiavania cenových limitov uplatňovali na celom území spoločné tarify, vrátane geografických priemerných hodnôt.</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O:6</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regulovať ceny súvisiace s poskytovaním univerzálnej služby podľa § 12 tak, aby podnik určený na poskytovanie univerzálnej služby používal jednotné ceny na celom území Slovenskej republiky, geografické priemery cien alebo aby neprekračoval maximálne ceny.</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zabezpečia, aby tam, kde majú určené podniky povinnosť poskytovať osobitné tarifné voľby, spoločné tarify, vrátane geografických priemerných hodnôt, a dodržiavania cenových limitov, boli podmienky plne transparentné a boli uverejnené a používané v súlade s princípom nediskriminácie. Národné regulačné orgány môžu vyžadovať, aby boli špecifické režimy modifikované alebo zrušené.</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§:12, O:1, V:2</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Rozhodnutie o regulácii cien musí byť odôvodnené a zverejňuje sa vo vestníku.</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Č:10</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Kontrola výdajov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zabezpečia, aby určené podniky pri poskytovaní zariadení a služieb doplnkových k tým, ktoré sú uvedené v článkoch 4, 5, 6,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9 ods. 2, stanovili podmienky takým spôsobom, aby účastníci neboli povinní platiť za zariadenia alebo služby, ktoré nie sú nevyhnutné alebo za služby, ktoré nie sú požadované.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O:1</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určený na poskytovanie univerzálnej služby pri poskytovaní zariadení alebo ďalších služieb, ktoré presahujú rámec poskytovania univerzálnej služby, je povinný určiť zmluvné podmienky tak, aby účastník nemusel platiť za zariadenia alebo služby, ktoré nie sú nevyhnutné alebo požadované pri poskytovaní žiadanej služby.</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zabezpečia, aby určené podniky s povinnosťami podľa článkov 4, 5, 6,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9 ods. 2, poskytovali zariadenia a služby stanovené v prílohe I, časti A tak, aby účastníci mohli monitorovať a kontrolovať výdaje a aby sa vyhli neoprávnenému odpojeniu služby.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O:2</w:t>
              <w:br/>
              <w:br/>
              <w:br/>
              <w:t>P:a</w:t>
              <w:br/>
              <w:br/>
              <w:br/>
              <w:br/>
              <w:br/>
              <w:br/>
              <w:t>P:b</w:t>
              <w:br/>
              <w:br/>
              <w:br/>
              <w:br/>
              <w:br/>
              <w:t>P:c</w:t>
              <w:br/>
              <w:br/>
              <w:br/>
              <w:t>P:d</w:t>
              <w:br/>
              <w:br/>
              <w:br/>
              <w:t>P:e</w:t>
              <w:br/>
              <w:br/>
              <w:br/>
              <w:br/>
              <w:br/>
              <w:br/>
              <w:br/>
              <w:t>P:f</w:t>
              <w:br/>
              <w:br/>
              <w:t>P:g</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uloží podniku určenému na poskytovanie univerzálnej služby povinnosť poskytovať účastníkom:</w:t>
              <w:br/>
              <w:br/>
              <w:t xml:space="preserve">bezplatne základnú úroveň rozpísania faktúr na kontrolu výdavkov pri využívaní verejnej siete na pevnom mieste alebo príslušných verejných telefónnych služieb; úrad určí základnú úroveň rozpísania faktúr v rozhodnutí podľa § 50 ods.3, </w:t>
              <w:br/>
              <w:br/>
              <w:t>bezplatné zablokovanie určitých druhov odchádzajúcich volaní, služby SMS, resp. MMS so zvýšenou cenou, alebo ak je technicky uskutočniteľné iných druhov podobných aplikácií, na základe žiadosti účastníka adresovanej podniku,</w:t>
              <w:br/>
              <w:br/>
              <w:t xml:space="preserve">možnosť platby vopred za pripojenie k verejnej sieti a používanie verejných telefónnych služieb, </w:t>
              <w:br/>
              <w:br/>
              <w:t xml:space="preserve"> možnosť platby v splátkach za zriadenie pripojenia k verejnej sieti,</w:t>
              <w:br/>
              <w:br/>
              <w:t>informácie o primeraných a nediskriminačných opatreniach v prípade neplatenia faktúr, ktorými sa zabezpečí, aby po predchádzajúcom preukázateľnom upozornení účastníka mohlo nasledovať prerušenie alebo odpojenie účastníka; tieto opatrenia sa nevzťahujú na prípady podvodu, opakované oneskorené platenia alebo neplatenia,</w:t>
              <w:br/>
              <w:br/>
              <w:t xml:space="preserve">na ich požiadanie informácie o existujúcich nižších cenách, </w:t>
              <w:br/>
              <w:br/>
              <w:t>iné možnosti kontroly výdavkov za verejné telefónne služby, vrátane bezplatného upozornenia v prípade neobvyklých alebo neprimeraných výdavkov.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sa príslušný úrad mohol odchýliť od požiadaviek odseku 2 na časti alebo na celom svojom území, ak k svojej spokojnosti zistí, že sú zariadenia všeobecne dostupné.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§:52, O:3</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zrušiť uloženie príslušnej povinnosti podľa odseku 2 na časti územia alebo celom území Slovenskej republiky, ak je jej poskytovanie všeobecne dostupné.</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Kvalita služieb určených podnikov</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Národné regulačné orgány zabezpečia, aby všetky určené podniky s povinnosťami podľa článku 4, 5, 6,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9 ods. 2 uverejnili primerané a aktualizované informácie týkajúce sa ich výkonu pri poskytovaní univerzálnej služby založené na kvalite parametrov služby, definíciách a metódach merania stanovených v prílohe III. Uverejnené informácie sa môžu poskytnúť aj národnému regulačnému orgánu.</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O:1, V:1</w:t>
              <w:br/>
              <w:br/>
              <w:br/>
              <w:br/>
              <w:t>§:51, O:2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 rozhodnutí podľa § 50 ods. 3 kvalitatívne ukazovatele a cieľové hodnoty univerzálnej služby a metódy ich merania v súlade s technickými normami; úrad môže určiť aj formu a spôsob ich uverejnenia.</w:t>
              <w:br/>
              <w:br/>
              <w:t xml:space="preserve">Podnik určený na poskytovanie univerzálnej služby je povinný predložiť úradu vždy k 30. júnu a 31. decembru bežného roku dosiahnuté výsledky ukazovateľov kvality podľa ods.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zverejňovať ich na svojom webovom sídle.</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môžu okrem iného špecifikovať doplnkové normy kvality služby tam, kde boli vypracované príslušné parametre, aby sa posúdil výkon podnikov pri zabezpečovaní služieb koncovým užívateľom so zdravotným postihnutím a spotrebiteľom so zdravotným postihnutím. Národné regulačné orgány zabezpečia, aby boli uverejnené aj informácie týkajúce sa výkonu podnikov vo vzťahu k týmto parametrom a aby boli sprístupnené národnému regulačnému orgánu.</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môžu okrem toho špecifikovať obsah, formu a spôsob uverejnenia informácií, aby zabezpečili, že koncoví užívatelia a spotrebitelia budú mať prístup k úplným, porovnateľným a užívateľsky priaznivým informáciám.</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O:1, V:1</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 rozhodnutí podľa § 50 ods. 3 kvalitatívne ukazovatele a cieľové hodnoty univerzálnej služby a metódy ich merania v súlade s technickými normami; úrad môže určiť aj formu a spôsob ich uverejnenia.</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majú možnosť stanoviť výkonnostné ciele pre podniky s povinnosťou univerzálnej služby. Národné regulačné orgány pritom zohľadňujú stanoviská zainteresovaných strán, najmä podľa článku 33.</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O:1, V:1, V:3</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 rozhodnutí podľa § 50 ods. 3 kvalitatívne ukazovatele a cieľové hodnoty univerzálnej služby a metódy ich merania v súlade s technickými normami. Úrad pri stanovení cieľových hodnôt zohľadňuje stanoviská dotknutých osôb získané podľa § 10.</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mali možnosť monitorovať plnenie týchto výkonnostných cieľov zo strany určených podnikov.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 určený na poskytovanie univerzálnej služby je povinný predložiť úradu vždy k 30. júnu a 31. decembru bežného roku dosiahnuté výsledky ukazovateľov kvality podľa ods.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zverejňovať ich na svojom webovom sídle.</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O:6</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podnik dlhšie neplní výkonnostné ciele, môžu sa prijať špecifické opatrenia v súlade so smernicou Európskeho parlamentu a Rady 2002/20/ES zo 7. marca 2002 o oprávnení pre elektronické komunikačné siete a služby (Smernica o oprávnení). Národné regulačné orgány majú možnosť nariadiť vykonanie nezávislého auditu alebo podobnej revízie výkonnostných dát, pričom náklady uhrádzajú príslušné podniky, aby zabezpečili presnosť a porovnateľnosť dát sprístupnených podnikmi s povinnosťou poskytovania univerzálnej služby.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O:3</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vykonať alebo zadať na náklady podniku určeného na poskytovanie univerzálnej služby vykonanie nezávislého preverenia výsledkov ukazovateľov kvality, ak tento podnik opakovane neplní cieľové hodnoty, aby zistil správnosť a porovnateľnosť poskytnutej informácie.</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Kalkulácia nákladov záväzkov univerzálnej služby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1590"/>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br/>
              <w:br/>
              <w:t>P:a</w:t>
              <w:br/>
              <w:br/>
              <w:br/>
              <w:br/>
              <w:br/>
              <w:t>P:b</w:t>
            </w:r>
          </w:p>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národné regulačné orgány usúdia, že poskytovanie univerzálnej služby podľa článkov 3 až 10 môže predstavovať nespravodlivé zaťaženie podnikov určených na poskytovanie univerzálnej služby, budú kalkulovať čisté náklady za jej poskytovanie. Na tento účel národné regulačné orgány:</w:t>
              <w:br/>
              <w:br/>
              <w:t>vykalkulujú čisté náklady na plnenie záväzku univerzálnej služby, berúc do úvahy každú trhovú výhodu, ktorá vyplynie pre podnik určený na poskytovanie univerzálnej služby, v súlade s prílohou IV, časť A; alebo</w:t>
              <w:br/>
              <w:br/>
              <w:t>použijú čisté náklady za poskytovanie univerzálnej služby identifikovanej mechanizmom určovania v súlade s článkom 8 ods. 2</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§:53, O:3</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úrad zistí, že poskytovanie univerzálnej služby je pre podnik neprimeraným zaťažením, vypočíta čisté náklady, pričom prihliada na akúkoľvek vznikajúcu výhodu na trhu, ktorú príslušný podnik získa poskytovaním í univerzálnej služby a rozhodne o výške úhrady čistých nákladov. Vypočítané čisté náklady úrad zverejní.</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Čiastky a/alebo ďalšie informácie slúžiace ako základňa pre kalkuláciu čistých nákladov záväzkov univerzálnej služby podľa odseku 1 písm. a) kontroluje alebo overuje národný regulačný orgán alebo orgán nezávislý na príslušných stranách a schvaľuje národný regulačný orgán. Výsledky kalkulácie nákladov a závery auditu sú verejne dostupné.</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§:53, O:2, V:2</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Podklady na výpočet čistých nákladov môže úrad sám alebo prostredníctvom ním poverenej odborne spôsobilej a nezávislej osoby overovať a kontrolovať a nahliadať do účtovných kníh a záznamov; výsledky overenia podkladov úrad zverejní.</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Financovanie záväzkov univerzálnej služby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t>P:a</w:t>
              <w:br/>
              <w:br/>
              <w:br/>
              <w:t>P:b</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na základe kalkulácie čistých nákladov uvedených v článku 12 národný regulačný orgán zistí, že podnik znáša neprimerané zaťaženie, členské štáty na žiadosť určeného podniku rozhodnú o:</w:t>
              <w:br/>
              <w:br/>
              <w:t>zavedení mechanizmu, ktorým sa podniku za transparentných podmienok uhradia stanovené čisté náklady z verejných fondov; a/alebo</w:t>
              <w:br/>
              <w:t>rozdelení čistých nákladov záväzkov univerzálnej služby medzi poskytovateľov elektronických komunikačných sietí a služieb.</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O:1</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je to potrebné úrad zriadi a spravuje osobitný účet univerzálnej služby (ďalej len „osobitný účet") na úhradu čistých nákladov, do ktorého je povinný prispievať podnik poskytujúci verejné siete alebo verejné služby, ktorého podiel ročných tržieb na vnútroštátnom trhu verejnej siete alebo verejnej služby sa rovná alebo je vyšší ako 0,2 percenta; do tržieb sa nezapočítavajú výnosy z poskytovania služby retransmisie.</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sú čisté náklady rozdelené podľa odseku 1 písm. b), členské štáty vytvoria rozdeľovací mechanizmus spravovaný národným regulačným orgánom alebo orgánom nezávislým na užívateľoch, ktorý je pod dohľadom národného regulačného orgánu. Financovať sa môžu len čisté náklady stanovené v súlade s článkom 12, ktoré sa týkajú povinností uvedených v článkoch 3 až 10.</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O:7</w:t>
              <w:br/>
              <w:br/>
              <w:br/>
              <w:br/>
              <w:br/>
              <w:t>§:54, O:5</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úhrade čistých nákladov, o postupe pri posudzovaní neprimeraného zaťaženia, a o zriadení a spravovaní osobitného účtu ustanoví všeobecne záväzný právny predpis, ktorý vydá úrad.</w:t>
              <w:br/>
              <w:br/>
              <w:t>Úhradu poskytnutú z osobitného účtu je podnik povinný použiť len na úhradu čistých nákladov, ktoré vznikli poskytovaním príslušnej povinnosti univerzálnej služby.</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Mechanizmus rozdeľovania rešpektuje princípy transparentnosti, čo najmenšej deformácie trhu, nediskriminácie a proporcionality, v súlade so zásadami prílohy IV časť B. Členské štáty nemusia vyžadovať príspevky od podnikov, ktorých tuzemský obrat je menší než stanovený limit.</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O:2</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Výšku úhrady na osobitný účet určí úrad pre každý podnik samostatne. Výška úhrady sa určí z podielu ročných vnútroštátnych tržieb z poskytovania verejných sietí alebo verejných služieb v príslušnom finančnom roku.</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Všetky poplatky v súvislosti s rozdeľovaním čistých nákladov záväzku univerzálnej služby sú neviazané a určené samostatne pre každý podnik. Také poplatky sa neukladajú alebo nevyberajú od podnikov, ktoré neposkytujú služby na území členského štátu, ktorý mechanizmus rozdeľovania ustanovil.</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O:2</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Výšku úhrady na osobitný účet určí úrad pre každý podnik samostatne. Výška úhrady sa určí z podielu ročných vnútroštátnych tržieb z poskytovania verejných sietí alebo verejných služieb v príslušnom finančnom roku.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Č:14</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Transparentnosť</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123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je ustanovený mechanizmus rozdelenia čistých nákladov záväzkov univerzálnej služby uvedený v článku 13, národné regulačné orgány zabezpečia, aby boli verejne dostupné princípy rozdelenia nákladov a podrobnosti o použitom mechanizme.</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O:7</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úhrade čistých nákladov, o postupe pri posudzovaní neprimeraného zaťaženia, a o zriadení a spravovaní osobitného účtu ustanoví všeobecne záväzný právny predpis, ktorý vydá úrad.</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Rešpektujúc pravidlá spoločenstva a vnútroštátne pravidlá o obchodnom tajomstve, národné regulačné orgány zabezpečia, aby sa uverejnila výročná správa, ktorá bude obsahovať kalkulované náklady záväzkov univerzálnej služby, príspevky všetkých dotknutých podnikov a trhové výhody vyplývajúce pre podniky určené na poskytovanie univerzálnej služby, pokiaľ je fond zriadený a funkčný.</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O:4</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zverejňuje výročnú správu o hospodárení s osobitným účtom, ktorá obsahuje výšku úhrady čistých nákladov, výhody na trhu, ktoré určený podnik získal poskytovaním povinností univerzálnej služby, a určené podiely jednotlivých podnikov.</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Č:15</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Revízia rozsahu univerzálnej služby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Komisia pravidelne prehodnocuje rozsah univerzálnej služby, najmä z hľadiska návrhov pre Európsky parlament a Radu týkajúcich sa zmeny alebo nového vymedzenia. Revízia sa vykoná prvýkrát do dvoch rokov od dátumu uplatňovania uvedeného v článku 38 ods. 1, druhom pododseku, a potom každé tri roky.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Táto revízia sa vykoná na základe sociálneho, hospodárskeho a technického rozvoja, berúc na zreteľ okrem iného mobilitu a rýchlosť prenosu dát v súvislosti s technológiami používanými väčšinou účastníkov. Revízny proces sa vykoná v súlade s prílohou V. Komisia predloží Európskemu parlamentu a Rade správu týkajúcu sa výsledku revízie.</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REGULAČNÉ KONTROLY PODNIKOV S VÝZNAMNÝM VPLYVOM NA ŠPECIFICKÝCH MALOOBCHODNÝCH TRHOCH</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Č:17</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Regulačné kontroly maloobchodných služieb</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br/>
              <w:t>P:a</w:t>
              <w:br/>
              <w:br/>
              <w:br/>
              <w:br/>
              <w:br/>
              <w:br/>
              <w:t>P:b</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 Členské štáty zabezpečia, aby národné regulačné orgány uložili primerané regulačné povinnosti podnikom s významným vplyvom na danom maloobchodnom trhu v súlade s článkom 14 smernice 2002/21/ES (rámcová smernica) v prípade, ak:</w:t>
              <w:br/>
              <w:br/>
              <w:t>na základe analýzy trhu vykonanej v súlade s článkom 16 smernice 2002/21/ES (rámcová smernica) národný regulačný orgán zistí, že na danom maloobchodnom trhu identifikovanom v súlade s článkom 15 uvedenej smernice neexistuje efektívna hospodárska súťaž, a</w:t>
              <w:br/>
              <w:br/>
              <w:t>národný regulačný orgán príde k záveru, že povinnosti uložené podľa článkov 9 až 13 smernice 2002/19/ES (prístupová smernica) by neviedli k dosiahnutiu cieľov stanovených v článku 8 smernice 2002/21/ES (rámcová smernica).</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§:25, O:1</w:t>
              <w:br/>
              <w:br/>
              <w:br/>
              <w:br/>
              <w:br/>
              <w:br/>
              <w:t>P:a</w:t>
              <w:br/>
              <w:br/>
              <w:t>P:b</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úrad na základe analýzy relevantného trhu podľa § 17 zistí, že na maloobchodnom trhu nie je efektívna hospodárska súťaž a povinnosti uložené podľa § 19 až 23 nie sú dostatočné na ochranu záujmov koncových užívateľov, môže uložiť významnému podniku na takom maloobchodnom trhu najmä</w:t>
              <w:br/>
              <w:br/>
              <w:t>zákaz  uprednostňovať určitú skupinu koncových užívateľov,</w:t>
              <w:br/>
              <w:br/>
              <w:t>zákaz neodôvodnene viazať poskytovanie služieb na poskytovanie iných služieb alebo tovarov,  ak je poskytovanie takýchto služieb alebo tovarov uskutočniteľné aj samostatne.</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Povinnosti uložené podľa odseku 1 vychádzajú z povahy identifikovaného problému a sú primerané a oprávnené na základe cieľov stanovených v článku 8 smernice 2002/21/ES (Rámcová smernica). Uložené povinnosti môžu obsahovať požiadavky, aby určené podniky neúčtovali príliš vysoké ceny, nebránili vstupu na trh alebo neobmedzovali súťaž stanovením zničujúcich cien, neposkytovali neprimerané výhody špecifickým koncovým užívateľom, alebo aby neoprávnene neviazali služby. Národné regulačné orgány môžu uplatňovať na také podniky primerané opatrenia týkajúce sa limitov maloobchodných cien, opatrenia na kontrolu individuálnych taríf alebo opatrenia na orientáciu taríf smerom k nákladom alebo cenám na porovnateľných trhoch, aby chránili záujmy koncových užívateľov pri súčasnej podpore účinnej hospodárskej súťaže.</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§:18, O:1, V:2</w:t>
              <w:br/>
              <w:br/>
              <w:br/>
              <w:br/>
              <w:t>§:25, O:2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Tieto povinnosti musia byť odôvodnené, musia vychádzať zo zisteného stavu a musia byť primerané účelu a princípom regulácie elektronických komunikácií, ktorými sú podpora efektívnej súťaže a rozvoj vnútorného trhu. </w:t>
              <w:br/>
              <w:br/>
              <w:t>Úrad je na ochranu koncových užívateľov na maloobchodnom trhu podľa odseku 1 oprávnený regulovať ceny podľa § 12 tak, aby významný podnik nepožadoval neprimerane vysoké ceny alebo neobmedzoval hospodársku súťaž alebo nebránil vstupu na trh určením neprimerane nízkych cien.</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zabezpečia, aby tam, kde podnik podlieha maloobchodnej tarifnej regulácii alebo inej príslušnej maloobchodnej kontrole, boli zavedené nevyhnutné a primerané systémy kalkulácie nákladov. Národné regulačné orgány môžu špecifikovať formát a metódu kalkulácie, aké sa majú používať. Zhodu so systémom kalkulácie overuje kvalifikovaný nezávislý orgán. Národné regulačné orgány zabezpečia, aby sa každý rok uverejnilo vyhlásenie týkajúce sa zhody.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§:12, O:5, V:5, V:6</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 účely overenia výpočtu cien je možné použiť aj metódu kalkulácie cien, ktorá je nezávislá a odlišná od metódy používanej podnikom. Výsledky overovania úrad raz ročne zverejní.</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Bez toho, aby bol dotknutý článok 9 ods.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článok 10, národné regulačné orgány uplatňujú maloobchodné regulačné mechanizmy podľa odseku 1 tohto článku na geografických alebo užívateľských trhoch, na ktorých bola zistená účinná hospodárska súťaž.</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§:18, O:2</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úrad na základe analýzy trhu zistí, že na príslušnom relevantnom trhu je efektívna súťaž, nesmie uložiť alebo ponechať v platnosti povinnosti podľa § 19 až 25. Existujúce povinnosti úrad zruší v rozhodnutí, ktorým sa zrušuje určenie podniku za významný podnik.</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ZÁUJMY A PRÁVA KONCOVÝCH UŽÍVATEĽOV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Č:20</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Zmluvy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spotrebitelia a ďalší koncoví užívatelia, ktorí si objednajú služby poskytujúce pripojenie k verejnej komunikačnej sieti a/alebo verejne dostupné elektronické komunikačné služby a ktorí si tak želajú, mali právo uzatvoriť zmluvu s jedným podnikom alebo viacerými podnikmi poskytujúcimi takéto pripojenie a/alebo služby. V uvedenej zmluve sa v jasnej, úplnej a ľahko prístupnej forme uvedie aspoň:</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O:9</w:t>
              <w:br/>
              <w:br/>
              <w:br/>
              <w:br/>
              <w:br/>
              <w:br/>
              <w:t>§:44, O:2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Koncový užívateľ má právo na uzavretie zmluvy o poskytovaní verejných služieb s jedným alebo viacerými podnikmi poskytujúcimi pripojenie k verejnej sieti alebo verejné služby, ak nie je dôvod na jej odmietnutie podľa odseku 1 písm. c). </w:t>
              <w:br/>
              <w:br/>
              <w:t> Zmluva o poskytovaní verejných služieb musí obsahovať</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totožnosť a adresa podniku;</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identifikačné údaje zmluvných strán v rozsahu podľa § 15 ods. 2,</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poskytované služby zahŕňajúce najmä:</w:t>
            </w:r>
          </w:p>
          <w:p w:rsidR="00BA5793">
            <w:pPr>
              <w:bidi w:val="0"/>
              <w:rPr>
                <w:rFonts w:ascii="Times New Roman" w:hAnsi="Times New Roman"/>
                <w:sz w:val="20"/>
                <w:szCs w:val="20"/>
              </w:rPr>
            </w:pPr>
            <w:r>
              <w:rPr>
                <w:rFonts w:ascii="Times New Roman" w:hAnsi="Times New Roman"/>
                <w:sz w:val="20"/>
                <w:szCs w:val="20"/>
              </w:rPr>
              <w:t>— informácie o tom, či sa poskytuje prístup k službám tiesňového volania, a informácie o mieste volajúceho a o všetkých obmedzeniach pri poskytovaní služieb tiesňového volania podľa článku 26,</w:t>
            </w:r>
          </w:p>
          <w:p w:rsidR="00BA5793">
            <w:pPr>
              <w:bidi w:val="0"/>
              <w:rPr>
                <w:rFonts w:ascii="Times New Roman" w:hAnsi="Times New Roman"/>
                <w:sz w:val="20"/>
                <w:szCs w:val="20"/>
              </w:rPr>
            </w:pPr>
            <w:r>
              <w:rPr>
                <w:rFonts w:ascii="Times New Roman" w:hAnsi="Times New Roman"/>
                <w:sz w:val="20"/>
                <w:szCs w:val="20"/>
              </w:rPr>
              <w:t>— informácie o akýchkoľvek iných obmedzeniach týkajúcich sa prístupu k službám a aplikáciám a/alebo ich používania, ak to povoľujú vnútroštátne právne predpisy, ktoré sú v súlade s právom Spoločenstva,</w:t>
            </w:r>
          </w:p>
          <w:p w:rsidR="00BA5793">
            <w:pPr>
              <w:bidi w:val="0"/>
              <w:rPr>
                <w:rFonts w:ascii="Times New Roman" w:hAnsi="Times New Roman"/>
                <w:sz w:val="20"/>
                <w:szCs w:val="20"/>
              </w:rPr>
            </w:pPr>
            <w:r>
              <w:rPr>
                <w:rFonts w:ascii="Times New Roman" w:hAnsi="Times New Roman"/>
                <w:sz w:val="20"/>
                <w:szCs w:val="20"/>
              </w:rPr>
              <w:t>— minimálnu ponúkanú úroveň kvality služieb, konkrétne čas do prvého pripojenia, a v prípade potreby iné parametre kvality služieb, ktoré vymedzia národné regulačné orgány,</w:t>
            </w:r>
          </w:p>
          <w:p w:rsidR="00BA5793">
            <w:pPr>
              <w:bidi w:val="0"/>
              <w:rPr>
                <w:rFonts w:ascii="Times New Roman" w:hAnsi="Times New Roman"/>
                <w:sz w:val="20"/>
                <w:szCs w:val="20"/>
              </w:rPr>
            </w:pPr>
            <w:r>
              <w:rPr>
                <w:rFonts w:ascii="Times New Roman" w:hAnsi="Times New Roman"/>
                <w:sz w:val="20"/>
                <w:szCs w:val="20"/>
              </w:rPr>
              <w:t>— informácie o akýchkoľvek postupoch uplatňovaných podnikom pri meraní a riadení prevádzky, zameraných na zamedzenie naplnenia alebo zahltenia sieťového spojenia, a informácie o tom, ako môžu tieto postupy vplývať na kvalitu služieb,</w:t>
            </w:r>
          </w:p>
          <w:p w:rsidR="00BA5793">
            <w:pPr>
              <w:bidi w:val="0"/>
              <w:rPr>
                <w:rFonts w:ascii="Times New Roman" w:hAnsi="Times New Roman"/>
                <w:sz w:val="20"/>
                <w:szCs w:val="20"/>
              </w:rPr>
            </w:pPr>
            <w:r>
              <w:rPr>
                <w:rFonts w:ascii="Times New Roman" w:hAnsi="Times New Roman"/>
                <w:sz w:val="20"/>
                <w:szCs w:val="20"/>
              </w:rPr>
              <w:t>— druhy ponúkaných údržbárskych služieb a podporných služieb zákazníkom, ako aj spôsob spojenia s týmito službami,</w:t>
            </w:r>
          </w:p>
          <w:p w:rsidR="00BA5793">
            <w:pPr>
              <w:bidi w:val="0"/>
              <w:rPr>
                <w:rFonts w:ascii="Times New Roman" w:hAnsi="Times New Roman"/>
                <w:sz w:val="20"/>
                <w:szCs w:val="20"/>
              </w:rPr>
            </w:pPr>
            <w:r>
              <w:rPr>
                <w:rFonts w:ascii="Times New Roman" w:hAnsi="Times New Roman"/>
                <w:sz w:val="20"/>
                <w:szCs w:val="20"/>
              </w:rPr>
              <w:t>— všetky obmedzenia, ktoré poskytovateľ zavedie na používanie dodaných koncových zariadení;</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popis poskytovaných služieb, najmä informácie o</w:t>
              <w:br/>
              <w:br/>
              <w:t xml:space="preserve">1. prístupe k službám tiesňového volania a lokalizačným údajom, vrátane obmedzení pri poskytovaní služieb tiesňového volania, </w:t>
              <w:br/>
              <w:br/>
              <w:t>2. obmedzeniach týkajúcich sa prístupu k službám a aplikáciám alebo ich používania v súlade s osobitnými predpismi,</w:t>
              <w:br/>
              <w:br/>
              <w:t xml:space="preserve">3. minimálnej ponúkanej úrovni kvality služieb, najmä lehotu prvého pripojenia k sieti alebo iné ukazovatele, ak tak určí úrad podľa § 46, </w:t>
              <w:br/>
              <w:br/>
              <w:t>4. postupoch podniku pri meraní a riadení prevádzky zameraných na zamedzenie preťaženia sieťového spojenia a informácie o tom, ako môžu tieto postupy vplývať na kvalitu služieb,</w:t>
              <w:br/>
              <w:br/>
              <w:t>5. druhoch servisných služieb, podporných služieb a kontaktné údaje na tieto služby,</w:t>
              <w:br/>
              <w:br/>
              <w:t>6. obmedzeniach, ktoré podnik zavedie na používanie dodaných koncových zariadení,</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P:c</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existuje povinnosť podľa článku 25, možnosti účastníka, pokiaľ ide o to, či uviesť, alebo neuviesť jeho osobné údaje v zozname, a tieto údaje;</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P:c</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možnosť účastníka zverejniť alebo nezverejniť jeho osobné údaje v telefónnom zozname a informačných službách o účastníckych číslach a možnosť vybrať si, ktoré osobné údaje zverejní podľa § 59 ods. 2,</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P:d</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cenách a tarifách vrátane prostriedkov, ktorými možno získať aktualizované informácie o všetkých platných tarifách a údržbárskych poplatkoch, ponúkané spôsoby platby a všetky rozdiely v nákladoch súvisiace so spôsobom platby;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P:d</w:t>
              <w:br/>
              <w:br/>
              <w:br/>
              <w:br/>
              <w:br/>
              <w:br/>
              <w:t>P:e</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cenách, vrátane prostriedkov, ktorými je možné získať aktuálne informácie o všetkých cenách, servisných poplatkoch, ponúkané spôsoby platby a  rozdiely v nákladoch súvisiace so spôsobom platby,</w:t>
              <w:br/>
              <w:br/>
              <w:t>informácie o termínoch a spôsobe fakturácie za poskytnuté služby,</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P:e</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obdobie trvania zmluvy a podmienky predĺženia a ukončenia služieb a zmluvy vrátane:</w:t>
            </w:r>
          </w:p>
          <w:p w:rsidR="00BA5793">
            <w:pPr>
              <w:bidi w:val="0"/>
              <w:rPr>
                <w:rFonts w:ascii="Times New Roman" w:hAnsi="Times New Roman"/>
                <w:sz w:val="20"/>
                <w:szCs w:val="20"/>
              </w:rPr>
            </w:pPr>
            <w:r>
              <w:rPr>
                <w:rFonts w:ascii="Times New Roman" w:hAnsi="Times New Roman"/>
                <w:sz w:val="20"/>
                <w:szCs w:val="20"/>
              </w:rPr>
              <w:t>— akýchkoľvek minimálnych podmienok používania a trvania, ktoré sa musia splniť v záujme využívania výhod z akcií podpory predaja,</w:t>
            </w:r>
          </w:p>
          <w:p w:rsidR="00BA5793">
            <w:pPr>
              <w:bidi w:val="0"/>
              <w:rPr>
                <w:rFonts w:ascii="Times New Roman" w:hAnsi="Times New Roman"/>
                <w:sz w:val="20"/>
                <w:szCs w:val="20"/>
              </w:rPr>
            </w:pPr>
            <w:r>
              <w:rPr>
                <w:rFonts w:ascii="Times New Roman" w:hAnsi="Times New Roman"/>
                <w:sz w:val="20"/>
                <w:szCs w:val="20"/>
              </w:rPr>
              <w:t>— všetkých poplatkov súvisiacich s prenositeľnosťou čísel a iných identifikátorov,</w:t>
            </w:r>
          </w:p>
          <w:p w:rsidR="00BA5793">
            <w:pPr>
              <w:bidi w:val="0"/>
              <w:rPr>
                <w:rFonts w:ascii="Times New Roman" w:hAnsi="Times New Roman"/>
                <w:sz w:val="20"/>
                <w:szCs w:val="20"/>
              </w:rPr>
            </w:pPr>
            <w:r>
              <w:rPr>
                <w:rFonts w:ascii="Times New Roman" w:hAnsi="Times New Roman"/>
                <w:sz w:val="20"/>
                <w:szCs w:val="20"/>
              </w:rPr>
              <w:t>— všetkých poplatkov splatných pri skončení zmluvy vrátane náhrady akýchkoľvek nákladov súvisiacich s koncovými zariadeniami;</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P:f</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čas trvania zmluvy o poskytovaní verejných služieb, podmienky jej predĺženia a ukončenia, vrátane minimálnych podmienok používania alebo trvania služby, ktoré sa musia splniť v záujme využívania výhod z akcií na podporu predaja, poplatkov súvisiacich s prenosom čísel a iných identifikátorov, poplatkov splatných pri ukončení zmluvy o poskytovaní verejných služieb a náhrady nákladov súvisiacich s koncovými zariadeniami,</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P:f</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všetky odškodnenia a systémy úhrad, ktoré sa uplatnia v prípade nesplnenia zmluvne dohodnutej úrovne kvality služieb;</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P:g</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spôsoby odškodnenia a systémy úhrad, ktoré sa uplatnia v prípade nesplnenia zmluvne dohodnutej úrovne kvality služieb,</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P:g</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spôsob začatia postupu urovnávania sporov v súlade s článkom 34;</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P:h</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spôsob urovnávania sporov podľa § 75,</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P:h</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druhy opatrení, ktoré by podnik mohol prijať v prípade narušenia bezpečnosti alebo integrity alebo ohrozenia a poruchovosti.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P:i</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druhy opatrení, ktoré môže podnik prijať v prípade narušenia bezpečnosti alebo integrity siete, alebo v prípade jej ohrozenia alebo poškodenia.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môžu vyžadovať aj to, aby sa v zmluve uviedli všetky informácie, ktoré by mohli na tento účel poskytnúť príslušné orgány verejnej moci o používaní elektronických komunikačných sietí a služieb s cieľom zapojiť sa do nezákonnej činnosti alebo šíriť škodlivý obsah, ako aj o prostriedkoch ochrany proti rizikám z hľadiska osobnej bezpečnosti, súkromia a osobných údajov, ktoré sa uvádzajú v článku 21 ods.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týkajú sa poskytovanej služby.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O:4</w:t>
            </w:r>
          </w:p>
          <w:p w:rsidR="00BA5793">
            <w:pPr>
              <w:bidi w:val="0"/>
              <w:rPr>
                <w:rFonts w:ascii="Times New Roman" w:hAnsi="Times New Roman"/>
                <w:sz w:val="20"/>
                <w:szCs w:val="20"/>
              </w:rPr>
            </w:pPr>
            <w:r>
              <w:rPr>
                <w:rFonts w:ascii="Times New Roman" w:hAnsi="Times New Roman"/>
                <w:sz w:val="20"/>
                <w:szCs w:val="20"/>
              </w:rPr>
              <w:t>V:1</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poskytujúci verejnú sieť alebo verejnú službu je povinný na základe písomnej žiadosti príslušného orgánu poskytovať informácie vo verejnom záujme bezplatne účastníkom, a to rovnakými prostriedkami, ktoré podnik bežne používa pri komunikácii s účastníkom a primeraným spôsobom dohodnutým medzi podnikom a príslušným orgánom štátnej správy.</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účastníkom právo odstúpiť od zmluvy bez sankcií v prípade oznámenia úprav zmluvných podmienok, ktoré navrhol podnik poskytujúci elektronické komunikačné siete a/alebo služby. Účastníci dostanú vopred primerané oznámenie minimálne mesiac pred takými zmenami a v rovnakom čase sú informovaní o svojich právach týkajúcich sa odstúpenia od takej zmluvy bez pokuty v prípade, že neakceptujú nové podmienky. Členské štáty zabezpečia, aby národné regulačné orgány mohli stanoviť formát uvedených oznámení.</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§:44, O:6, </w:t>
              <w:br/>
              <w:br/>
              <w:br/>
              <w:t>P:a</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Účastník má právo odstúpiť od zmluvy o poskytovaní verejných služieb bez sankcií, ak</w:t>
              <w:br/>
              <w:br/>
              <w:t>neakceptuje podstatné zmeny zmluvných podmienok; ak podnik neoznámil podstatnú zmenu zmluvných podmienok, účastník má právo odstúpiť od zmluvy o poskytovaní verejných služieb do jedného mesiaca odkedy sa o zmene dozvedel, najneskôr do troch mesiacov odo dňa účinnosti podstatnej zmeny zmluvných podmienok,</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Transparentnosť a uverejňovanie informácií</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mohli podnikom poskytujúcim verejné elektronické komunikačné siete a/alebo verejne dostupné elektronické komunikačné služby uložiť povinnosť uverejňovať transparentné, porovnateľné, primerané a aktuálne informácie o platných cenách a tarifách, o akýchkoľvek poplatkoch spojených s ukončením zmluvy a o štandardných podmienkach súvisiacich s prístupom k službám poskytovaným koncovým užívateľom a spotrebiteľom a s ich využívaním v súlade s prílohou II. Tieto informácie sa musia uverejniť v jasnej, zrozumiteľnej a ľahko dostupnej podobe. Národné regulačné orgány môžu stanoviť ďalšie požiadavky týkajúce sa spôsobu, akým sa predmetné informácie majú uverejňovať.</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O:1</w:t>
              <w:br/>
              <w:br/>
              <w:br/>
              <w:br/>
              <w:br/>
              <w:t>P:a</w:t>
              <w:br/>
              <w:br/>
              <w:t>P:b</w:t>
              <w:br/>
              <w:br/>
              <w:t>P:c</w:t>
              <w:br/>
              <w:br/>
              <w:br/>
              <w:br/>
              <w:br/>
              <w:t>P:d</w:t>
              <w:br/>
              <w:br/>
              <w:br/>
              <w:br/>
              <w:br/>
              <w:br/>
              <w:br/>
              <w:br/>
              <w:t xml:space="preserve">P:e </w:t>
              <w:br/>
              <w:br/>
              <w:br/>
              <w:t>P:f</w:t>
              <w:br/>
              <w:br/>
              <w:t>P:g</w:t>
              <w:br/>
              <w:br/>
              <w:br/>
              <w:t>P:h</w:t>
              <w:br/>
              <w:br/>
              <w:br/>
              <w:br/>
              <w:br/>
              <w:t>P:o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vo všeobecnom povolení podľa § 14 ods. 2 písm. g) podniku poskytujúcemu verejné siete alebo verejné služby rozsah informácií, ktoré je povinný zverejňovať v  zrozumiteľnej a ľahko dostupnej podobe, a to najmä</w:t>
              <w:br/>
              <w:br/>
              <w:t>identifikačné údaje podniku,</w:t>
              <w:br/>
              <w:br/>
              <w:t>rozsah ponúkaných služieb,</w:t>
              <w:br/>
              <w:br/>
              <w:t>štandardné zmluvné podmienky, vrátane prípadného minimálneho trvania zmluvy o poskytovaní verejných služieb a jej ukončenia a postupy súvisiace s prenosom čísel a iných identifikátorov,</w:t>
              <w:br/>
              <w:br/>
              <w:t>štandardné ceny s informáciou o poskytovaných službách a všetky cenové položky, všetky druhy užívateľských poplatkov, poplatky za servisné služby vrátane podrobností o uplatňovaných štandardných zľavách, osobitných a cielených systémov taríf, poplatky alebo náklady účastníka súvisiace s koncovými zariadeniami, priame poplatky súvisiace s prenosom čísel alebo iných identifikátorov,</w:t>
              <w:br/>
              <w:br/>
              <w:t>reklamačný poriadok, vrátane podrobností o ponúkaných spôsoboch odškodnenia ,</w:t>
              <w:br/>
              <w:br/>
              <w:t>druhy ponúkaných servisných služieb,</w:t>
              <w:br/>
              <w:br/>
              <w:t xml:space="preserve">mechanizmy na urovnanie sporov vrátane tých mechanizmov, ktoré poskytuje podnik, </w:t>
              <w:br/>
              <w:br/>
              <w:t>informácie o právach súvisiacich s univerzálnou službou, vrátane tónovej voľby alebo dvojtónovej viacfrekvenčnej prevádzky, o službe prezentácie identifikácie a zamedzenia prezentácie identifikácie podľa § 58,</w:t>
              <w:br/>
              <w:br/>
              <w:t>informácie pre koncových užívateľov o kvalite svojich služieb a o opatreniach prijatých na zabezpečenie rovnocenného prístupu k službám pre koncových užívateľov so zdravotným postihnutím; tieto informácie je podnik povinný poskytnúť úradu na jeho požiadanie pred ich zverejnením.</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podporia poskytovanie porovnateľných informácií, aby koncoví užívatelia a spotrebitelia mohli nezávisle posúdiť náklady alternatívnych modelov využívania, a to napríklad prostredníctvom interaktívnych návodov alebo podobných techník. Členské štáty zabezpečia, aby národné regulačné orgány v prípade, keď takéto prostriedky nie sú dostupné na trhu bezplatne ani za primeranú cenu, mohli samy priamo sprístupniť takéto návody alebo techniky alebo ich obstarať prostredníctvom tretích strán. Tretie strany majú právo využívať bez poplatku informácie zverejnené podnikmi poskytujúcimi elektronické komunikačné siete a/alebo verejne dostupné elektronické komunikačné služby, a to na účely predaja alebo sprístupnenia takýchto interaktívnych návodov alebo podobných techník.</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O:2</w:t>
              <w:br/>
              <w:br/>
              <w:br/>
              <w:br/>
              <w:br/>
              <w:br/>
              <w:t>§:42, O:3</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podľa odseku 1 musia byť transparentné, porovnateľné, primerané a aktuálne; úrad môže vo všeobecnom povolení podľa § 14 ods. 2 písm. g) určiť ďalšie požiadavky týkajúce sa spôsobu a formy zverejňovania informácií.</w:t>
              <w:br/>
              <w:br/>
              <w:t>Ak na trhu nie sú dostupné bezplatne ani za primeranú cenu interaktívne návody alebo podobné nástroje, pomocou ktorých si môžu koncoví užívatelia nezávisle porovnávať náklady alternatívnych modelov využívania služieb, úrad môže priamo sprístupniť takéto návody alebo nástroje alebo ich obstarať prostredníctvom tretích osôb. Tretie osoby majú právo využívať bez poplatku informácie zverejnené podnikmi poskytujúcimi verejné siete alebo verejné služby s cieľom predaja alebo sprístupnenia takýchto interaktívnych návodov alebo podobných nástrojov.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mohli uložiť podnikom poskytujúcim verejnú elektronickú komunikačnú sieť a/alebo verejne dostupné elektronické komunikačné služby povinnosť okrem iného:</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O:1</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vo všeobecnom povolení podľa § 14 ods. 2 písm. g) podniku poskytujúcemu verejné siete alebo verejné služby rozsah informácií, ktoré je povinný zverejňovať v  zrozumiteľnej a ľahko dostupnej podobe, a to najmä</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poskytovať účastníkom informácie o platných tarifách vo vzťahu k všetkým číslam alebo službám na základe konkrétnych cenových podmienok; v súvislosti s jednotlivými kategóriami služieb národné regulačné orgány môžu vyžadovať, aby sa tieto informácie poskytli okamžite pred spojením volania;</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P:i</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platných cenách vo vzťahu k všetkým číslam alebo službám s osobitnými  cenovými podmienkami; pri osobitných kategóriách služieb poskytnúť takéto informácie okamžite pred spojením volania,</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informovať účastníkov o každej zmene prístupu k službám tiesňového volania alebo informáciám o polohe volajúceho v rámci služby, ktorú si predplatili;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P:j</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každej zmene prístupu k službám tiesňového volania alebo informáciám o polohe volajúceho v rámci služby, ktorú si predplatili,</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P:c</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informovať účastníkov o akýchkoľvek zmenách podmienok týkajúcich sa prístupu k službám a aplikáciám a/alebo ich používania, ak to umožňujú vnútroštátne právne predpisy, ktoré sú v súlade s právom Spoločenstva;</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P:k</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zmenách podmienok týkajúcich sa prístupu k službám a aplikáciám alebo ich používania,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P:d</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poskytovať informácie o akýchkoľvek postupoch uplatňovaných podnikom, zameraných na meranie a riadenie prevádzky, s cieľom predchádzať tomu, aby sa naplnila alebo presiahla kapacita sieťového pripojenia, a o tom, ako by tieto postupy mohli vplývať na kvalitu služieb;</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P:l</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postupoch uplatňovaných podnikom, zameraných na meranie a riadenie prevádzky, s cieľom predchádzať tomu, aby sa naplnila alebo presiahla kapacita sieťového pripojenia, a o tom, ako by tieto postupy mohli vplývať na kvalitu služieb,</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P:e</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informovať účastníkov o ich práve určiť, či uvedú, alebo neuvedú svoje osobné údaje v telefónnom zozname, a o type takýchto údajov v súlade s článkom 12 smernice 2002/58/ES (smernica o súkromí a elektronických komunikáciách) a</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P:m</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práve účastníka podľa § 59 ods. 2,</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P:f</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pravidelne informovať účastníkov so zdravotným postihnutím o podrobnostiach produktov a služieb, ktoré sú im určené.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P:n</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pre účastníkov so zdravotným postihnutím o podrobnostiach produktov a služieb, ktoré sú im určené,</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sa to považuje za potrebné, národné regulačné orgány môžu pred uložením akejkoľvek povinnosti podporiť samoregulačné alebo koregulačné opatrenia.</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môžu vyžadovať, aby podniky uvedené v odseku 3 podľa potreby bezplatne poskytovali informácie vo verejnom záujme existujúcim a novým účastníkom, a to rovnakými prostriedkami, ktoré tieto podniky bežne používajú pri svojej komunikácii s účastníkmi. V takom prípade takéto informácie poskytujú príslušné orgány verejnej moci v štandardizovanom formáte, pričom sa okrem iného týkajú:</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O:4</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poskytujúci verejnú sieť alebo verejnú službu je povinný na základe písomnej žiadosti príslušného orgánu poskytovať informácie vo verejnom záujme bezplatne účastníkom, a to rovnakými prostriedkami, ktoré podnik bežne používa pri komunikácii s účastníkom a primeraným spôsobom dohodnutým medzi podnikom a príslušným orgánom štátnej správy. Tieto informácie poskytujú príslušné orgány štátnej správy podnikom v štandardizovanom formáte a týkajú sa najmä</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najčastejšieho využitia elektronických komunikačných služieb na nezákonnú činnosť alebo na šírenie škodlivého obsahu, a to najmä ak sa môže dotýkať dodržiavania práv a slobôd iných osôb vrátane porušovania autorských a súvisiacich práv, a právnych následkov takéhoto konania 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najčastejšieho využitia služieb na nezákonnú činnosť alebo na šírenie škodlivého obsahu, najmä ak sa môže dotýkať dodržiavania práv a slobôd iných osôb vrátane porušovania autorských práv a súvisiacich práv a právnych následkov takéhoto konania,</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prostriedkov ochrany proti rizikám z hľadiska osobnej bezpečnosti, súkromia a osobných údajov pri používaní elektronických komunikačných služieb.</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prostriedkov ochrany proti rizikám z hľadiska osobnej bezpečnosti, ochrany súkromia a osobných údajov pri používaní služieb.</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Kvalita služby</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mohli po zohľadnení stanovísk dotknutých strán požadovať od podnikov poskytujúcich verejne dostupné elektronické komunikačné siete a/alebo služby uverejnenie porovnateľných, primeraných a aktuálnych informácií pre koncových užívateľov o kvalite svojich služieb a o opatreniach prijatých na zabezpečenie rovnakého prístupu koncovým užívateľom so zdravotným postihnutím. Tieto informácie sa na požiadanie dodajú národnému regulačnému orgánu pred ich uverejnením.</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§:42,O:1, </w:t>
              <w:br/>
              <w:br/>
              <w:br/>
              <w:br/>
              <w:br/>
              <w:t>P:o</w:t>
              <w:br/>
              <w:br/>
              <w:br/>
              <w:br/>
              <w:br/>
              <w:br/>
              <w:br/>
              <w:t>§:14, O:3</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vo všeobecnom povolení podľa § 14 ods. 2 písm. g) podniku poskytujúcemu verejné siete alebo verejné služby rozsah informácií, ktoré je povinný zverejňovať v zrozumiteľnej a ľahko dostupnej podobe, a to najmä</w:t>
              <w:br/>
              <w:br/>
              <w:t>informácie pre koncových užívateľov o kvalite svojich služieb a o opatreniach prijatých na zabezpečenie rovnocenného prístupu k službám pre koncových užívateľov so zdravotným postihnutím; tieto informácie je podnik povinný poskytnúť úradu na jeho požiadanie pred ich zverejnením.</w:t>
              <w:br/>
              <w:br/>
              <w:t>Návrh všeobecného povolenia úrad zverejní najmenej 60 dní pred dňom jeho predpokladaného vyhlásenia spolu s výzvou na predloženie pripomienok a s údajom, kde a v akej lehote ich možno k návrhu uplatniť; táto lehota nesmie byť kratšia ako 30 dní odo dňa zverejnenia návrhu. Úrad predložené pripomienky vyhodnotí a zverejní.</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môžu okrem iného špecifikovať merateľné parametre kvality služby a obsah, formu a spôsob uverejnenia informácií vrátane prípadných mechanizmov osvedčovania kvality, aby zabezpečili, že koncoví užívatelia vrátane koncových užívateľov so zdravotným postihnutím budú mať prístup ku komplexným, porovnateľným, spoľahlivým a užívateľsky zrozumiteľným informáciám. V prípade potreby sa môžu použiť parametre, definície a metódy merania uvedené v prílohe III.</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§:46, O:1</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vo všeobecnom povolení podľa § 14 ods. 2 písm. g) určiť merateľné ukazovatele kvality verejných služieb pre koncových užívateľov  a obsah, formu a spôsob zverejnenia informácií o kvalitatívnych ukazovateľoch, vrátane mechanizmov osvedčovania kvality, aby zabezpečil pre koncových užívateľov, vrátane užívateľov so zdravotným postihnutím, prístup ku komplexným, porovnateľným, spoľahlivým a užívateľsky zrozumiteľným informáciám. Ak je to potrebné môžu sa použiť ukazovatele kvality podľa § 51 ods. 1.</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Aby nedochádzalo k zhoršovaniu služieb a obmedzovaniu alebo spomaľovaniu prevádzky v sieťach, členské štáty zabezpečia, aby národné regulačné orgány mohli podniku alebo podnikom poskytujúcim verejné komunikačné siete stanoviť požiadavky na minimálnu kvalitu služby.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§:46, O:2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vo všeobecnom povolení podľa § 14 ods. 2 písm. g) určiť požiadavky na minimálnu kvalitu služby, ktoré je podnik povinný dodržiavať, aby nedochádzalo k zhoršovaniu kvality služieb, obmedzovaniu alebo spomaľovaniu prevádzky v sieťach.</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poskytnú Komisii v dostatočnom čase pred stanovením akýchkoľvek takýchto požiadaviek zhrnutie dôvodov pre zásah, predpokladané požiadavky a navrhovaný spôsob zásahu. Tie informácie sa poskytnú aj Orgánu európskych regulátorov pre elektronické komunikácie (Body of European Regulators for Electronic Communications – BEREC). Komisia môže po preskúmaní týchto informácií vyjadriť pripomienky alebo odporúčania, najmä s cieľom zabezpečiť, aby plánované odporúčania nemali nepriaznivý vplyv na fungovanie vnútorného trhu. Pri rozhodovaní o požiadavkách vnútroštátne regulačné orgány zohľadnia pripomienky alebo odporúčania Komisie v najvyššej možnej miere.</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§:46, O:3</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 určením požiadaviek na minimálnu kvalitu služby podľa odseku 2 úrad poskytne návrh požiadaviek spolu s odôvodnením Európskej komisii a orgánu európskych regulátorov. Úrad v najvyššej možnej miere prihliada na pripomienky a odporúčania Európskej komisie.</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Dostupnosť služieb</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prijmú všetky potrebné opatrenia na zabezpečenie čo najväčšej dostupnosti verejne dostupných telefónnych služieb poskytovaných prostredníctvom verejných komunikačných sietí v prípade katastrofického výpadku siete alebo v prípade zásahu vyššej moci. Členské štáty zabezpečia, aby podniky poskytujúce verejne dostupné telefónne služby prijali všetky potrebné opatrenia na zabezpečenie nepretržitého prístupu k tiesňovým službám.</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§:43,O:6</w:t>
              <w:br/>
              <w:br/>
              <w:br/>
              <w:br/>
              <w:t>§:43, O:7</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počas krízovej situácie zabezpečuje prevádzkovanie a poskytovanie verejnej siete, verejnej služby alebo verejnej siete a verejnej služby podľa osobitného predpisu.</w:t>
              <w:br/>
              <w:br/>
              <w:t>Pri mimoriadnej udalosti je podnik povinný zabezpečiť v nevyhnutnom rozsahu prednostné volania pre orgány krízového riadenia a pre ostatných účastníkov zaradených do systému prednostného spojenia a prevádzku tiesňových volaní na postihnutom území.</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Č:23a</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Zabezpečenie rovnakého prístupu a výberu pre koncových užívateľov so zdravotným postihnutím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br/>
              <w:t>P:a</w:t>
              <w:br/>
              <w:br/>
              <w:br/>
              <w:br/>
              <w:t>P:b</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umožnia príslušným vnútroštátnym orgánom, aby v prípade potreby stanovili požiadavky, ktoré majú splniť podniky poskytujúce verejne dostupné služby elektronickej komunikácie, na to, aby pre užívateľov so zdravotným postihnutím zabezpečili:</w:t>
              <w:br/>
              <w:br/>
              <w:t>možnosť prístupu k službám elektronickej komunikácie rovnocenným so službami, ktoré využíva väčšina koncových užívateľov, a</w:t>
              <w:br/>
              <w:br/>
              <w:t>možnosť využitia výberu podnikov a služieb, ktoré sú dostupné väčšine koncových užívateľov.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O:4</w:t>
              <w:br/>
              <w:br/>
              <w:br/>
              <w:br/>
              <w:t>P:i</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tak úrad určí vo všeobecnom povolení podľa § 14 ods. 2 písm. g), je podnik poskytujúci verejnú sieť alebo verejnú službu povinný poskytovať</w:t>
              <w:br/>
              <w:br/>
              <w:t>ak je to primerané, rovnocenný prístup k verejným službám pre užívateľov so zdravotným postihnutím aký majú ostatní koncoví užívatelia, vrátane možnosti výberu podnikov.</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 to, aby členské štáty mohli prijímať a vykonávať konkrétne opatrenia pre užívateľov so zdravotným postihnutím, presadzujú dostupnosť koncových zariadení zabezpečujúcich potrebné služby a funkcie.</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§:19, O:1,</w:t>
              <w:br/>
              <w:br/>
              <w:t xml:space="preserve">P:b, </w:t>
              <w:br/>
              <w:br/>
              <w:t xml:space="preserve">P:d, </w:t>
              <w:br/>
              <w:br/>
              <w:t>P:e</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Peňažné príspevky na kompenzáciu sú</w:t>
              <w:br/>
              <w:br/>
              <w:t>peňažný príspevok na kúpu pomôcky,</w:t>
              <w:br/>
              <w:br/>
              <w:t xml:space="preserve">peňažný príspevok na úpravu pomôcky, </w:t>
              <w:br/>
              <w:br/>
              <w:t>peňažný príspevok na opravu pomôcky</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Interoperabilita digitálneho televízneho vybavenia spotrebiteľa</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 súlade s ustanoveniami prílohy VI členské štáty zabezpečia interoperabilitu digitálneho televízneho vybavenia spotrebiteľa.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§:36, O:3</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interoperabilite koncových zariadení určených na príjem digitálneho televízneho signálu a interoperabilite analógových a digitálnych televíznych prijímačov ustanoví vláda nariadením.</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 Nariadenie vlády č. č. 26/2005 Z. z.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Č:25</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xml:space="preserve">Informačné služby o účastníckych číslach </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účastníci verejne dostupných telefónnych služieb mali právo na zapísanie do verejne dostupného telefónneho zoznamu podľa článku 5 ods. 1 písm. a) a na sprístupnenie ich údajov poskytovateľom telefónnych informačných služieb a/alebo zoznamov v súlade s odsekom 2.</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O:11</w:t>
              <w:br/>
              <w:t>P:a</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Účastník verejnej telefónnej služby má právo</w:t>
              <w:br/>
              <w:br/>
              <w:t>zapísať sa do verejného telefónneho zoznamu podľa § 50 ods. 2 písm. c) a na sprístupnenie svojich údajov poskytovateľom informačných služieb o telefónnych číslach alebo telefónnych zoznamov,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na účely zabezpečenia verejne prístupných informačných služieb a telefónnych zoznamov všetky podniky, ktoré prideľujú telefónne čísla účastníkom, splnili všetky odôvodnené požiadavky na sprístupnenie príslušných informácií v dohodnutom formáte za podmienok, ktoré sú spravodlivé, objektívne, nákladovo orientované a nediskriminačné.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§:59, O:5</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všetci koncoví užívatelia, ktorým sa poskytuje verejne dostupná telefónna služba, mohli mať prístup k telefónnej informačnej službe. Národné regulačné orgány majú možnosť uložiť povinnosti a podmienky pre podniky, ktoré riadia prístup ku koncovým užívateľom na účely poskytovania telefónnych informačných služieb v súlade s ustanoveniami článku 5 smernice 2002/19/ES (prístupová smernica). Takéto povinnosti a podmienky musia byť objektívne, spravodlivé, nediskriminačné a transparentné.</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O:11, V:1</w:t>
              <w:br/>
              <w:t>P:b</w:t>
              <w:br/>
              <w:br/>
              <w:t>§:43, O:3</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Účastník verejnej telefónnej služby má právo</w:t>
              <w:br/>
              <w:br/>
              <w:t>na prístup k informačnej službe o telefónnych číslach,</w:t>
              <w:br/>
              <w:br/>
              <w:t>Podnik, ktorý poskytuje verejnú telefónnu službu, je povinný zabezpečiť svojim účastníkom prístup k informačnej službe o telefónnych číslach.</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neponechávajú v platnosti žiadne regulačné obmedzenia, ktoré bránia koncovým užívateľom v jednom členskom štáte, aby mali priamy prístup k telefónnym informačných službám v inom členskom štáte prostredníctvom hlasového volania alebo SMS, a prijmú opatrenia na zabezpečenie takéhoto prístupu v súlade s článkom 28.</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O:3</w:t>
              <w:br/>
              <w:br/>
              <w:br/>
              <w:br/>
              <w:br/>
              <w:br/>
              <w:t>P:a</w:t>
              <w:br/>
              <w:br/>
              <w:br/>
              <w:t>P:b</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color w:val="000000"/>
                <w:sz w:val="20"/>
                <w:szCs w:val="20"/>
              </w:rPr>
              <w:t>Podnik poskytujúci verejnú službu je povinný zabezpečiť, ak je to technicky a ekonomicky možné, okrem prípadov, keď volaný účastník z obchodných dôvodov obmedzil volajúcich zo špecifických geografických oblastí, aby koncoví užívatelia mali prístup k</w:t>
              <w:br/>
              <w:br/>
              <w:t xml:space="preserve">službám s použitím negeografických čísiel v rámci Európskej únie a mohli tieto služby využívať, </w:t>
              <w:br/>
              <w:br/>
              <w:t>všetkým číslam v národných telefónnych číslovacích plánoch členských štátov, číslam európskeho telefónneho číslovacieho priestoru a medzinárodným telefónnym číslam služieb volania na účet volaného, bez ohľadu na technológiu a zariadenia, ktoré podnik používa.</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Odseky 1 až 4 sa uplatňujú s výhradou požiadaviek právnych predpisov Spoločenstva o ochrane osobných údajov a súkromia, a najmä článku 12 smernice 2002/58/ES (smernica o súkromí a elektronických komunikáciách).</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§:56, O:1</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Ochrana osobných údajov sa vzťahuje na účastníkov alebo užívateľov, ktorí sú fyzickými osobami. Práva a povinnosti prevádzkovateľa, ktorým je podnikm, súvisiace s ochranou osobných údajov, ktoré nie sú upravené v tomto zákone, sa spravujú osobitným predpisom.</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Č:26</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Tiesňové služby a jednotné európske číslo tiesňového volania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všetci koncoví užívatelia služieb uvedených v odseku 2 vrátane užívateľov verejných mincových alebo kartových telefónov mohli bezplatne volať tiesňové služby s použitím jednotného európskeho čísla tiesňového volania 112 a akéhokoľvek národného čísla tiesňového volania špecifikovaného členskými štátmi.</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O:1, V:1</w:t>
              <w:br/>
              <w:br/>
              <w:br/>
              <w:t>P:a</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 poskytujúci verejnú službu na vytváranie vnútroštátnych volaní prostredníctvom čísla alebo čísel z národného číslovacieho plánu  je povinný zabezpečiť </w:t>
              <w:br/>
              <w:br/>
              <w:t>koncovým užívateľom, vrátane užívateľov verejných telefónnych automatov, bezplatný prístup k tiesňovým službám s využitím jednotného európskeho čísla tiesňového volania „112“ a iných národných čísel tiesňového volania,</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po porade s národnými regulačnými orgánmi, zložkami služieb záchranného systému a poskytovateľmi zabezpečia, aby podniky poskytujúce koncovým užívateľom elektronické komunikačné služby na vytváranie vnútroštátnych volaní prostredníctvom čísla alebo čísel z národného telefónneho číslovacieho plánu poskytovali prístup k tiesňovým službám.</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§:57, O:13</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poskytovaní identifikácie volajúceho a o poskytovaní lokalizačných údajov podľa odseku 10 ustanoví všeobecne záväzný právny predpis, ktorý vydá ministerstvo vnútra po dohode s ministerstvom.</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sa na volania na jednotné európske číslo tiesňového volania 112 primerane odpovedalo a aby sa s ním zaobchádzalo spôsobom, ktorý najlepšie vyhovuje národnej organizácii tiesňových systémov. Na takéto volania sa musí odpovedať a musia sa vybaviť aspoň tak rýchlo a účinne ako v prípade volaní na národné číslo tiesňového volania alebo čísla, ak sa používajú naďalej.</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§:43, O:11, </w:t>
              <w:br/>
              <w:t>P:c</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Účastník verejnej telefónnej služby má právo</w:t>
              <w:br/>
              <w:br/>
              <w:t>bezplatne volať na čísla tiesňových volaní, vrátane jednotného európskeho čísla tiesňového volania „112“; to sa vzťahuje aj na užívateľov verejných telefónnych automatov.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užívateľom so zdravotným postihnutím rovnaký prístup k tiesňovým službám, aký majú ostatní koncoví užívatelia. Opatrenia prijaté na zabezpečenie prístupu zdravotne postihnutých koncových užívateľov k tiesňovým službám počas cestovania v iných členských štátoch vychádzajú v čo najvyššej možnej miere z európskych noriem alebo špecifikácií zverejnených v súlade s ustanoveniami článku 17 smernice 2002/21/ES (rámcová smernica), pričom členským štátom nebránia v prijímaní ďalších požiadaviek s cieľom sledovať ciele stanovené v tomto článku.</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O:1</w:t>
              <w:br/>
              <w:br/>
              <w:br/>
              <w:br/>
              <w:t>P:b</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 poskytujúci verejnú službu na vytváranie vnútroštátnych volaní prostredníctvom čísla alebo čísel z národného číslovacieho plánu  je povinný zabezpečiť </w:t>
              <w:br/>
              <w:br/>
              <w:t>koncovým užívateľom so zdravotným postihnutím rovnaký prístup k tiesňovým službám, aký majú ostatní koncoví užívatelia a v čo najväčšej možnej miere prístup k službám poskytovaným v rámci číselného rozsahu začínajúceho sa číslom „116“.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dotknuté podniky dali bezplatne k dispozícii orgánu spracúvajúcemu tiesňové volania informácie o tom, kde sa volajúci nachádza, hneď ako uvedený orgán dané volanie prijme. Týka sa to všetkých volaní na jednotné európske číslo tiesňového volania 112. Členské štáty môžu rozšíriť túto povinnosť na volania na národné čísla tiesňového volania. Príslušné regulačné orgány stanovia kritériá presnosti a spoľahlivosti poskytovaných informácií o polohe volajúceho.</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§:57, O:10</w:t>
              <w:br/>
              <w:br/>
              <w:br/>
              <w:br/>
              <w:br/>
              <w:br/>
              <w:br/>
              <w:br/>
              <w:br/>
              <w:br/>
              <w:br/>
              <w:br/>
              <w:t>O:13</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Pri tiesňových volaniach podnik môže získavať a spracovávať a povinný bezplatne poskytovať koordinačnému stredisku integrovaného záchranného systému alebo operačnému stredisku tiesňového volania,  identifikáciu volajúceho a lokalizačné údaje, a to   aj vtedy, ak volajúci využíva službu zamedzenie prezentácie identifikácie volajúceho alebo nedal súhlas na spracovanie lokalizačných údajov.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br/>
              <w:br/>
              <w:t>Podrobnosti o poskytovaní identifikácie volajúceho a o poskytovaní lokalizačných údajov podľa odseku 10 ustanoví všeobecne záväzný právny predpis, ktorý vydá ministerstvo vnútra po dohode s ministerstvom.</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O:6</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zabezpečia, aby občania boli náležite informovaní o existencii a používaní jednotného európskeho čísla tiesňového volania </w:t>
            </w:r>
            <w:smartTag w:uri="urn:schemas-microsoft-com:office:smarttags" w:element="metricconverter">
              <w:smartTagPr>
                <w:attr w:name="ProductID" w:val="112, a"/>
              </w:smartTagPr>
              <w:r>
                <w:rPr>
                  <w:rFonts w:ascii="Times New Roman" w:hAnsi="Times New Roman"/>
                  <w:sz w:val="20"/>
                  <w:szCs w:val="20"/>
                </w:rPr>
                <w:t>112, a</w:t>
              </w:r>
            </w:smartTag>
            <w:r>
              <w:rPr>
                <w:rFonts w:ascii="Times New Roman" w:hAnsi="Times New Roman"/>
                <w:sz w:val="20"/>
                <w:szCs w:val="20"/>
              </w:rPr>
              <w:t xml:space="preserve"> to najmä prostredníctvom iniciatív osobitne určených pre osoby cestujúce medzi členskými štátmi.</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O:1</w:t>
              <w:br/>
              <w:br/>
              <w:br/>
              <w:br/>
              <w:br/>
              <w:t>P:j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určí vo všeobecnom povolení podľa § 14 ods. 2 písm. g) podniku poskytujúcemu verejné siete alebo verejné služby rozsah informácií, ktoré je povinný zverejňovať v  zrozumiteľnej a ľahko dostupnej podobe, a to najmä</w:t>
              <w:br/>
              <w:br/>
              <w:t>informácie o každej zmene prístupu k službám tiesňového volania alebo informáciám o polohe volajúceho v rámci služby, ktorú si predplatili,</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O:7</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S cieľom zabezpečiť účinný prístup k službám čísla 112 v členských štátoch Komisia môže po konzultácii s BEREC prijať technické vykonávacie opatrenia. Tieto technické vykonávacie opatrenia sa prijmú bez toho, aby bola dotknutá a ovplyvnená organizácia tiesňových služieb, ktorá zostáva vo výlučnej právomoci členských štátov. </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Tieto opatrenia zamerané na zmenu a doplnenie nepodstatných prvkov tejto smernice jej doplnením sa prijmú v súlade s regulačným postupom s kontrolou uvedeným v článku 37 ods. 2.</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Č:27</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Európske telefónne prístupové kódy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bol kód „00“ štandardným medzinárodným prístupovým kódom. Môžu sa zriadiť alebo naďalej používať osobitné režimy pre cezhraničné spojenie medzi susednými miestami členských štátov. Koncoví užívatelia v príslušných miestach sú plne informovaní o takých režimoch.</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§:29, O:5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Číslovací plán ustanoví všeobecne záväzný právny predpis, ktorý vydá úrad.</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Kód „00“ je súčasťou číslovacieho plánu</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Právnická osoba vytvorená v rámci Spoločenstva a určená Komisiou má výhradnú zodpovednosť za správu, ako aj za prideľovanie čísel a propagáciu Európskeho telefónneho číslovacieho priestoru (ETNS). Komisia prijíma potrebné vykonávacie opatrenia.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všetky podniky poskytujúce verejne dostupné telefónne služby umožňujúce medzinárodné volania vybavili všetky volania do ETNS a z neho za sadzby podobné sadzbám, ktoré účtujú za volania do iných členských štátov a z nich.</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poskytujúci verejnú telefónnu službu je povinný obsluhovať všetky volania do a z európskeho telefónneho číslovacieho priestoru, za ceny podobné cenám, ktoré, účtuje za volania do iných členských štátov a z nich.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Č:27a</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Harmonizované čísla harmonizovaných služieb sociálneho významu vrátane horúcej linky pre nezvestné deti</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podporia osobitné čísla v číselnom rozsahu začínajúcom sa číslom 116, určenom v rozhodnutí Komisie 2007/116/ES z 15. februára 2007 o rezervovaní národného číselného rozsahu začínajúceho sa „116“ pre harmonizované čísla pre harmonizované služby sociálneho významu (1). Taktiež v rámci svojho územia podporujú poskytovanie služieb, na ktoré sú uvedené čísla rezervované.</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§:29, O:5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Číslovací plán ustanoví všeobecne záväzný právny predpis, ktorý vydá úrad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Číslo 116 je súčasťou číslovacieho plánu</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koncoví užívatelia so zdravotným postihnutím mali v čo najväčšej možnej miere prístup k službám poskytovaným v rámci číselného rozsahu začínajúceho sa číslom 116. Opatrenia prijaté na uľahčenie prístupu zdravotne postihnutých koncových užívateľov k takýmto službám počas cestovania v iných členských štátoch vychádzajú zo zabezpečenia zhody s príslušnými normami alebo špecifikáciami zverejnenými v súlade s ustanoveniami článku 17 smernice 2002/21/ES (rámcová smernica).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§:41, O:1, </w:t>
            </w:r>
          </w:p>
          <w:p w:rsidR="00BA5793">
            <w:pPr>
              <w:bidi w:val="0"/>
              <w:rPr>
                <w:rFonts w:ascii="Times New Roman" w:hAnsi="Times New Roman"/>
                <w:sz w:val="20"/>
                <w:szCs w:val="20"/>
              </w:rPr>
            </w:pPr>
            <w:r>
              <w:rPr>
                <w:rFonts w:ascii="Times New Roman" w:hAnsi="Times New Roman"/>
                <w:sz w:val="20"/>
                <w:szCs w:val="20"/>
              </w:rPr>
              <w:t> </w:t>
              <w:br/>
              <w:br/>
              <w:br/>
              <w:t>P:b</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 poskytujúci verejnú službu na vytváranie vnútroštátnych volaní prostredníctvom čísla alebo čísel z národného číslovacieho plánu  je povinný zabezpečiť </w:t>
              <w:br/>
              <w:br/>
              <w:t xml:space="preserve">koncovým užívateľom so zdravotným postihnutím rovnaký prístup k tiesňovým službám, aký majú ostatní koncoví užívatelia a v čo najväčšej možnej miere prístup k službám poskytovaným v rámci číselného rozsahu začínajúceho sa číslom „116“. </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zabezpečia, aby občania boli náležite informovaní o existencii a používaní služieb poskytovaných v rámci číselného rozsahu začínajúceho sa číslom </w:t>
            </w:r>
            <w:smartTag w:uri="urn:schemas-microsoft-com:office:smarttags" w:element="metricconverter">
              <w:smartTagPr>
                <w:attr w:name="ProductID" w:val="116, a"/>
              </w:smartTagPr>
              <w:r>
                <w:rPr>
                  <w:rFonts w:ascii="Times New Roman" w:hAnsi="Times New Roman"/>
                  <w:sz w:val="20"/>
                  <w:szCs w:val="20"/>
                </w:rPr>
                <w:t>116, a</w:t>
              </w:r>
            </w:smartTag>
            <w:r>
              <w:rPr>
                <w:rFonts w:ascii="Times New Roman" w:hAnsi="Times New Roman"/>
                <w:sz w:val="20"/>
                <w:szCs w:val="20"/>
              </w:rPr>
              <w:t xml:space="preserve"> to najmä prostredníctvom iniciatív osobitne určených osobám cestujúcim medzi členskými štátmi.</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Občania sú informovaní prostredníctvom rozhlasového a televízneho vysielania.</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spolu s opatreniami so všeobecným uplatnením na všetky čísla v číselnom rozsahu začínajúcom sa číslom 116, ktoré sa prijmú podľa odsekov 1,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3, vyvíjajú maximálne úsilie, aby občania mali prístup k službe horúcej linky na oznamovanie prípadov nezvestných detí. Táto horúca linka je dostupná na čísle 116000.</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O:1,</w:t>
            </w:r>
          </w:p>
          <w:p w:rsidR="00BA5793">
            <w:pPr>
              <w:bidi w:val="0"/>
              <w:rPr>
                <w:rFonts w:ascii="Times New Roman" w:hAnsi="Times New Roman"/>
                <w:sz w:val="20"/>
                <w:szCs w:val="20"/>
              </w:rPr>
            </w:pPr>
            <w:r>
              <w:rPr>
                <w:rFonts w:ascii="Times New Roman" w:hAnsi="Times New Roman"/>
                <w:sz w:val="20"/>
                <w:szCs w:val="20"/>
              </w:rPr>
              <w:t> </w:t>
              <w:br/>
              <w:br/>
              <w:br/>
              <w:t> P:b</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 poskytujúci verejnú službu na vytváranie vnútroštátnych volaní prostredníctvom čísla alebo čísel z národného číslovacieho plánu  je povinný zabezpečiť </w:t>
              <w:br/>
              <w:br/>
              <w:t>koncovým užívateľom so zdravotným postihnutím rovnaký prístup k tiesňovým službám, aký majú ostatní koncoví užívatelia a v čo najväčšej možnej miere prístup k službám poskytovaným v rámci číselného rozsahu začínajúceho sa číslom „116“.</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S cieľom zabezpečiť účinné zavedenie liniek číselného rozsahu začínajúceho sa číslom 116 v členských štátoch, najmä čísla 116000 pre horúcu linku pre nezvestné deti, vrátane prístupu zdravotne postihnutých koncových užívateľov počas ciest do iných členských štátov, Komisia môže po konzultácii s BEREC prijať technické vykonávacie opatrenia. Tieto technické vykonávacie opatrenia sa však prijmú bez toho, aby bola dotknutá a ovplyvnená organizácia týchto služieb, ktorá zostáva vo výlučnej právomoci členských štátov.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Tieto opatrenia zamerané na zmenu a doplnenie nepodstatných prvkov tejto smernice jej doplnením sa prijmú v súlade s regulačným postupom s kontrolou uvedeným v článku 37 ods. 2.</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Č:28</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Prístup k číslam a službám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Pokiaľ je to technicky a ekonomicky možné a s výnimkou prípadov, keď volaný účastník z komerčných dôvodov obmedzil prístup volajúcich, ktorí sídlia v špecifických geografických oblastiach, členské štáty zabezpečia, aby príslušné vnútroštátne orgány podnikli všetky potrebné kroky, ktorými zaistia, aby koncoví užívatelia mohli mať:</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O:3</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poskytujúci verejnú službu je povinný zabezpečiť, ak je to technicky a ekonomicky možné, okrem prípadov, keď volaný účastník z obchodných dôvodov obmedzil volajúcich zo špecifických geografických oblastí, aby koncoví užívatelia mali prístup k</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prístup k službám s použitím negeografických čísel v rámci Spoločenstva a aby mohli tieto služby využívať, 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P:a</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službám s použitím negeografických čísiel v rámci Európskej únie a mohli tieto služby využívať,</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prístup k všetkým číslam poskytovaným v Spoločenstve bez ohľadu na technológiu a zariadenia, ktoré operátor používa, vrátane čísel v národných telefónnych číslovacích plánoch členských štátov, čísel ETNS a univerzálnych medzinárodných čísel služieb volania na účet volaného (UIFN).</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P:b</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všetkým číslam v národných telefónnych číslovacích plánoch členských štátov, číslam európskeho telefónneho číslovacieho priestoru a medzinárodným telefónnym číslam služieb volania na účet volaného, bez ohľadu na technológiu a zariadenia, ktoré podnik používa.</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príslušné orgány mohli od podnikov poskytujúcich verejné komunikačné siete a/alebo verejne dostupné služby elektronickej komunikácie vyžadovať v jednotlivých prípadoch zablokovanie prístupu k číslam alebo službám, ak je to opodstatnené z dôvodu podvodu alebo zneužitia, a taktiež vyžadovať, aby v takýchto prípadoch poskytovatelia elektronických komunikačných služieb zadržali výnosy z prepojovacích alebo iných služieb.</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§:41, O:4</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poskytujúci verejné siete alebo verejné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doby, počas ktorej má takéto blokovanie trvať. Podnik nezodpovedá za škodu spôsobenú výkonom tejto žiadosti.</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Č:29</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Zabezpečenie doplnkových zariadení</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 toho, aby bol dotknutý článok 10 ods. 2, členské štáty zabezpečia, aby národné regulačné orgány mohli od všetkých podnikov poskytujúcich verejne dostupné telefónne služby a/alebo prístup k verejným komunikačným sieťam požadovať, aby sprístupnili všetky dodatočné zariadenia uvedené v prílohe I časti B alebo ich časť, pokiaľ je to technicky a ekonomicky uskutočniteľné, ako aj všetky dodatočné zariadenia uvedené v prílohe I časti A alebo ich časť.</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O:4</w:t>
              <w:br/>
              <w:br/>
              <w:br/>
              <w:br/>
              <w:t>P:a</w:t>
              <w:br/>
              <w:br/>
              <w:br/>
              <w:br/>
              <w:t>P:b</w:t>
              <w:br/>
              <w:br/>
              <w:t>P:c</w:t>
              <w:br/>
              <w:br/>
              <w:br/>
              <w:br/>
              <w:br/>
              <w:t>P:d</w:t>
              <w:br/>
              <w:br/>
              <w:br/>
              <w:t>P:e</w:t>
              <w:br/>
              <w:br/>
              <w:t>P:f</w:t>
              <w:br/>
              <w:br/>
              <w:br/>
              <w:br/>
              <w:br/>
              <w:br/>
              <w:t>P:g</w:t>
              <w:br/>
              <w:br/>
              <w:t>P:h</w:t>
              <w:br/>
              <w:br/>
              <w:br/>
              <w:br/>
              <w:t>P:i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tak úrad určí vo všeobecnom povolení podľa § 14 ods. 2 písm. g), je podnik poskytujúci verejnú sieť alebo verejnú službu povinný poskytovať</w:t>
              <w:br/>
              <w:br/>
              <w:t>tónovú voľbu alebo dvojtónovú viacfrekvenčnú prevádzku, ak je to technicky a ekonomicky uskutočniteľné a službu identifikácie prezentácie volajúceho v súlade s § 60,</w:t>
              <w:br/>
              <w:br/>
              <w:t>bez poplatku základnú úroveň rozpísaných faktúr,</w:t>
              <w:br/>
              <w:br/>
              <w:t>bez poplatku selektívne blokovanie odchádzajúcich volaní, SMS alebo služieb multimediálnych správ (MMS) so zvýšenou cenou alebo ak je to technicky uskutočniteľné selektívne blokovanie iných druhov podobných aplikácií,</w:t>
              <w:br/>
              <w:br/>
              <w:t>možnosť predplatenia pripojenia k verejnej sieti a využívanie verejných telefónnych služieb,</w:t>
              <w:br/>
              <w:br/>
              <w:t>možnosť platby za pripojenie k verejnej sieti v splátkach,</w:t>
              <w:br/>
              <w:br/>
              <w:t xml:space="preserve">informácie o primeraných a nediskriminačných postupoch podniku v prípade neplatenia faktúr, ktoré umožnia, aby po náležitom a včasnom upozornení mohlo dôjsť k prerušeniu alebo odpojeniu účastníka, s výnimkou podvodu, trvalého oneskorenia platenia alebo neplatenia, </w:t>
              <w:br/>
              <w:br/>
              <w:t>cenové poradenstvo,</w:t>
              <w:br/>
              <w:br/>
              <w:t>nástroj na kontrolu nákladov za verejné telefónne služby, vrátane bezplatného upozornenia užívateľov v prípade neobvyklých alebo neprimeraných výdavkoch,</w:t>
              <w:br/>
              <w:br/>
              <w:t>ak je to primerané, rovnocenný prístup k verejným službám pre užívateľov so zdravotným postihnutím aký majú ostatní koncoví užívatelia, vrátane možnosti výberu podnikov.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Členský štát môže rozhodnúť, že nebude uplatňovať odsek 1 na celom svojom území alebo na jeho časti, ak po zohľadnení stanovísk dotknutých strán usúdi, že existuje dostatočný prístup k týmto zariadeniam.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pri určovaní rozsahu povinností podľa odseku 4 zohľadňuje najmä všeobecnú dostupnosť jednotlivých nástrojov, ktoré môžu byť predmetom týchto povinností.</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Č:30</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Uľahčenie zmeny poskytovateľa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si všetci účastníci s volacími číslami z národného telefónneho číslovacieho plánu, ktorí o to požiadajú, mohli v súlade s ustanoveniami prílohy I časti C ponechať svoje volacie čísla nezávisle od podniku, ktorý službu poskytuje.</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O:1</w:t>
              <w:br/>
              <w:br/>
              <w:br/>
              <w:br/>
              <w:br/>
              <w:t>P:a</w:t>
              <w:br/>
              <w:br/>
              <w:br/>
              <w:br/>
              <w:t>P:b</w:t>
              <w:br/>
              <w:br/>
              <w:t>§:48, O:2</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je povinný zabezpečiť svojim účastníkom s telefónnymi číslami z národného číslovacieho plánu, ktorí o to požiadajú, aby si mohli ponechať svoje telefónne čísla nezávisle od podniku, ktorý službu poskytuje, v prípade</w:t>
              <w:br/>
              <w:br/>
              <w:t>geografických čísel v rámci geograficky určenej číslovacej oblasti vymedzenej úradom na špecifickom mieste pripojenia účastníka a</w:t>
              <w:br/>
              <w:br/>
              <w:t>negeografických čísel na ktoromkoľvek mieste.</w:t>
              <w:br/>
              <w:br/>
              <w:t>Na prenositeľnosť čísla medzi pevnými a mobilnými verejnými sieťami sa odsek 1 nevzťahuje.</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zabezpečia, aby tvorba cien medzi operátormi a/alebo poskytovateľmi služieb bola v súvislosti so zabezpečením prenositeľnosti čísel nákladovo orientovaná a aby prípadné priame poplatky účastníkov nepôsobili na účastníkov odrádzajúco pri zmene poskytovateľa služby.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O:3, V:1 a V5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Podniky sú povinné navzájom účtovať ceny pri zabezpečení prenositeľnosti čísla tak, aby boli nákladovo orientované. Ak podnik požaduje od účastníkov priame platby za služby spojené s prenosom čísel, ceny týchto služieb nesmú spôsobovať nezáujem o ich využívanie.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neukladajú maloobchodné tarify za prenositeľnosť čísla spôsobom, ktorý by mohol skresliť hospodársku súťaž, a to stanovením špecifických alebo spoločných maloobchodných taríf.</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O:3, V:5</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 účely zabezpečenia tejto povinnosti úrad môže po konzultáciách podľa § 10 vydať rozhodnutie, ktorým sa určuje maximálna výška priamych platieb účastníkov za služby spojené s prenosom čísla</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O:4</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Prenos čísel a ich následná aktivácia sa vykonajú v čo najkratšom čase. V každom prípade musí byť účastníkom, ktorí uzatvorili zmluvu o prenose čísla do nového podniku, číslo aktivované do jedného pracovného dňa.</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O:4</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je povinný preniesť a aktivovať číslo účastníkovi v čo najkratšom možnom čase; účastníkovi, ktorý uzatvoril zmluvu o prenose čísla do nového podniku, musí byť číslo aktivované do jedného pracovného dňa.</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 toho, aby bol dotknutý prvý pododsek, príslušné vnútroštátne orgány môžu stanoviť celkový postup prenosu čísel, v ktorom sa zohľadnia vnútroštátne ustanovenia o zmluvných záväzkoch, technická uskutočniteľnosť a potreba neprerušiť službu poskytovanú účastníkovi. Strata služby pri prenose čísla nesmie v žiadnom prípade trvať dlhšie ako jeden pracovný deň. Príslušné vnútroštátne orgány taktiež zohľadnia v prípade potreby opatrenia na zabezpečenie ochrany účastníkov počas procesu prepájania a zaistia, že účastníci nebudú prepojení na iného poskytovateľa proti ich vôli.</w:t>
              <w:br/>
              <w:br/>
              <w:t>Členské štáty zabezpečia, aby sa stanovili primerané sankcie pre podniky vrátane povinnosti kompenzovať účastníkov v prípade oneskorenia pri prenose čísla alebo jeho zneužitia poskytovateľmi alebo v ich mene.</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O:7</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Podrobnosti týkajúce sa prenositeľnosti čísel, administratívneho postupu pri prenášaní čísel a kompenzácie podľa odseku 6, ustanoví všeobecne záväzný právny predpis, ktorý vydá úrad.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O:5</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sa v zmluvách uzavretých medzi spotrebiteľmi a podnikmi poskytujúcimi elektronické komunikačné služby neustanovovala povinnosť úvodnej viazanosti, ktorá presahuje 24 mesiacov. Takisto zabezpečia, aby podniky poskytli užívateľom možnosť uzavrieť zmluvu na maximálny čas 12 mesiacov.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§:44, O:4, V:1</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sa účastník, ktorým je fyzická osoba zaviaže využívať určitú verejnú službu podniku, nesmie obdobie poskytovania verejnej služby pri prvom uzavretí zmluvy o poskytovaní danej verejnej služby presiahnuť 24 mesiacov; podnik je zároveň povinný poskytnúť užívateľovi možnosť uzatvoriť zmluvu o poskytovaní verejných služieb, pri ktorej toto obdobie nepresiahne 12 mesiacov.</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O:6</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 toho, aby bola dotknutá akákoľvek minimálna doba platnosti zmluvy, členské štáty zabezpečia, aby podmienky a postupy pri ukončení zmluvy neodrádzali od zmeny poskytovateľov služieb.</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§:44, O:4, V:2</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 ohľadu na minimálne obdobie platnosti zmluvy o poskytovaní verejných služieb, podnik je povinný zabezpečiť, aby zmluvné podmienky a postupy pri ukončení zmluvy neodrádzali účastníka od zmeny poskytovateľa služieb.</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Č:31</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Povinnosti „prenosu“</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môžu v rámci svojej jurisdikcie uložiť podnikom, ktoré poskytujú elektronické komunikačné siete používané na šírenie rádiových alebo televíznych vysielacích kanálov pre verejnosť, primerané povinnosti „prenosu“ týkajúce sa vysielania určených rádiových a televíznych vysielacích kanálov a doplnkových služieb (najmä dostupnosti služieb), umožňujúce primeraný prístup koncovým užívateľom so zdravotným postihnutím, a to v prípade, ak značný počet koncových užívateľov takýchto sietí ich používa ako hlavný prostriedok príjmu rádiových a televíznych vysielacích kanálov. Takéto povinnosti sa uložia len vtedy, keď je to potrebné na splnenie cieľov všeobecného záujmu, ktoré jasne vymedzí každý členský štát, pričom uvedené povinnosti musia byť primerané a transparentné.</w:t>
            </w:r>
          </w:p>
          <w:p w:rsidR="00BA5793">
            <w:pPr>
              <w:bidi w:val="0"/>
              <w:rPr>
                <w:rFonts w:ascii="Times New Roman" w:hAnsi="Times New Roman"/>
                <w:sz w:val="20"/>
                <w:szCs w:val="20"/>
              </w:rPr>
            </w:pPr>
            <w:r>
              <w:rPr>
                <w:rFonts w:ascii="Times New Roman" w:hAnsi="Times New Roman"/>
                <w:sz w:val="20"/>
                <w:szCs w:val="20"/>
              </w:rPr>
              <w:t>Povinnosti uvedené v prvom pododseku členské štáty preskúmajú najneskôr do jedného roka od 25. mája 2011 s výnimkou prípadov, keď členské štáty vykonali takéto preskúmanie v priebehu predchádzajúcich dvoch rokov.</w:t>
            </w:r>
          </w:p>
          <w:p w:rsidR="00BA5793">
            <w:pPr>
              <w:bidi w:val="0"/>
              <w:rPr>
                <w:rFonts w:ascii="Times New Roman" w:hAnsi="Times New Roman"/>
                <w:sz w:val="20"/>
                <w:szCs w:val="20"/>
              </w:rPr>
            </w:pPr>
            <w:r>
              <w:rPr>
                <w:rFonts w:ascii="Times New Roman" w:hAnsi="Times New Roman"/>
                <w:sz w:val="20"/>
                <w:szCs w:val="20"/>
              </w:rPr>
              <w:t>Členské štáty pravidelne preskúmavajú povinnosti „prenosu“.</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3 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§:17 O:1</w:t>
              <w:br/>
              <w:br/>
              <w:t>P:a</w:t>
              <w:br/>
              <w:br/>
              <w:br/>
              <w:br/>
              <w:br/>
              <w:br/>
              <w:br/>
              <w:br/>
              <w:br/>
              <w:br/>
              <w:br/>
              <w:br/>
              <w:br/>
              <w:br/>
              <w:t>O:3</w:t>
              <w:br/>
              <w:br/>
              <w:br/>
              <w:br/>
              <w:br/>
              <w:t>P:a</w:t>
              <w:br/>
              <w:br/>
              <w:br/>
              <w:br/>
              <w:br/>
              <w:t>P:b</w:t>
              <w:br/>
              <w:br/>
              <w:br/>
              <w:br/>
              <w:br/>
              <w:br/>
              <w:br/>
              <w:t>O:4</w:t>
              <w:br/>
              <w:br/>
              <w:t>P:a</w:t>
              <w:br/>
              <w:br/>
              <w:br/>
              <w:br/>
              <w:t>P:b</w:t>
              <w:br/>
              <w:br/>
              <w:br/>
              <w:br/>
              <w:br/>
              <w:t>O:5</w:t>
              <w:br/>
              <w:br/>
              <w:br/>
              <w:br/>
              <w:br/>
              <w:br/>
              <w:t>O:6</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Prevádzkovateľ retransmisie je povinný</w:t>
              <w:br/>
              <w:br/>
              <w:t xml:space="preserve">zabezpečiť pri obsadzovaní kanálov v telekomunikačnej sieti alebo na telekomunikačnom zariadení, aby do základnej programovej ponuky boli zaradené programové služby vysielateľa na základe zákona a vysielateľov s licenciou, ktoré možno prijímať bežným prijímacím zariadením v mieste príjmu na telekomunikačné zariadenie, a to obojstranne bezplatne; za taký príjem sa nepovažuje príjem kódovaných programových služieb a programových služieb, na ktorých príjem je potrebný osobitný prijímač okrem bežného rozhlasového prijímača alebo bežného televízneho prijímača, ani príjem digitálneho vysielania inej programovej služby ako vysielateľa na základe zákona, ktorá zároveň nie je monotypovou programovou službou, </w:t>
              <w:br/>
              <w:br/>
              <w:t>Rada môže podľa princípov transparentnosti a primeranosti rozhodnúť na žiadosť prevádzkovateľa retransmisie, že sa naňho povinnosť podľa odseku 1 písm. a) nevzťahuje alebo vzťahuje len čiastočne, ak zistí, že</w:t>
              <w:br/>
              <w:br/>
              <w:t>značná časť užívateľov telekomunikačnej siete nepoužíva túto telekomunikačnú sieť ako hlavný prostriedok príjmu rozhlasových programových služieb alebo televíznych programových služieb, alebo</w:t>
              <w:br/>
              <w:br/>
              <w:t>úplné alebo čiastočné plnenie tejto povinnosti nie je nevyhnutné na zabezpečenie prístupu verejnosti k informáciám, najmä programom vo verejnom záujme, podujatiam významným pre verejnosť a krátkemu spravodajstvu, ako aj k vysielaniu programových služieb vysielateľa na základe zákona.</w:t>
              <w:br/>
              <w:br/>
              <w:t>Rada rozhodne podľa odseku 3, najmä ak</w:t>
              <w:br/>
              <w:br/>
              <w:t>počet všetkých užívateľov je zanedbateľný s ohľadom na počet domácností využívajúcich iný spôsob príjmu v príslušnej geografickej oblasti alebo</w:t>
              <w:br/>
              <w:br/>
              <w:t>rozsah retransmisie programových služieb podľa odseku 1 písm. a) je neprimeraný vzhľadom na kapacitu telekomunikačnej siete, ktorej prostredníctvom sa retransmisia užívateľom poskytuje.</w:t>
              <w:br/>
              <w:br/>
              <w:t>Ak rada rozhodne podľa odseku 4, že sa na prevádzkovateľa retransmisie vzťahuje povinnosť podľa odseku 1 písm. a) len čiastočne, je povinná v rozhodnutí uviesť zoznam programových služieb, ktorých sa plnenie tejto povinnosti týka.</w:t>
              <w:br/>
              <w:br/>
              <w:t>Rada výnimku podľa odseku 4 zruší, ak pominuli dôvody, na ktorých základe o výnimke rozhodla.</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2. Ani odsek 1 tohto článku, ani článok 3 ods. 2 smernice 2002/19/ES (Prístupová smernica) sa nedotýkajú možnosti členských štátov stanoviť prípadnú primeranú úhradu vzťahujúcu sa k opatreniam prijatým v súlade s týmto článkom, pričom zaručia, že za podobných okolností sa nebude uplatňovať žiadna diskriminácia pri zaobchádzaní s podnikmi poskytujúcimi elektronické komunikačné siete. Ak sa taká úhrada poskytne, členské štáty zabezpečia, aby sa uplatňovala proporcionálnym a transparentným spôsobom.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VŠEOBECNÉ A ZÁVEREČNÉ USTANOVENIA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Doplnkové povinné služby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môžu rozhodnúť o sprístupnení doplnkových služieb k službám, poskytovaným v rámci záväzkov univerzálnej služby a vymedzeným v kapitole II, ktoré budú verejne dostupné na ich území no bez toho, aby mohol byť predpísaný akýkoľvek kompenzačný mechanizmus zahŕňajúci špecifické podniky.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Porady s dotknutými stranami</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1779"/>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v najvyššej možnej miere, aby národné regulačné orgány zohľadnili stanoviská koncových užívateľov a spotrebiteľov (najmä spotrebiteľov so zdravotným postihnutím), výrobcov a podnikov poskytujúcich elektronické komunikačné siete a/alebo služby k problémom týkajúcim sa práv všetkých koncových užívateľov a spotrebiteľov, ktoré súvisia s verejne dostupnými elektronickými komunikačnými službami, najmä ak majú významný vplyv na trh.</w:t>
              <w:br/>
              <w:br/>
              <w:t>Členské štáty najmä zabezpečia, aby národné regulačné orgány zriadili konzultačný mechanizmus, ktorým sa zaistí, že sa v ich rozhodnutiach o otázkach týkajúcich sa všetkých práv koncových užívateľov a spotrebiteľov vo vzťahu k verejne dostupným službám elektronickej komunikácie náležite zohľadnia záujmy spotrebiteľov v oblasti elektronických komunikácií.</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§:10, O:1</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Pred prijatím opatrenia, ktoré bude mať značný vplyv na relevantný trh, alebo ak to ustanovuje tento zákon, umožní úrad dotknutým osobám, vyjadriť sa k návrhu opatrenia. Lehota na vyjadrenie je jeden mesiac odo dňa zverejnenia návrhu opatrenia, v zložitých prípadoch môže byť lehota predĺžená najviac na dva mesiace. Pokiaľ je to primerané, úrad v čo najväčšej miere prihliada na stanoviská združení koncových užívateľov, výrobcov telekomunikačných zariadení a podnikov.</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 prípade potreby môžu dotknuté strany pod vedením národných regulačných orgánov vyvinúť mechanizmus zahŕňajúci spotrebiteľov, užívateľské skupiny a poskytovateľov služieb na zvýšenie celkovej kvality poskytovania služieb, okrem iného, prostredníctvom vývoja monitorovacích kódov správania a prevádzkových noriem.</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 toho, aby boli dotknuté vnútroštátne predpisy v súlade s právom Spoločenstva, ktorými sa presadzujú ciele politiky v oblasti kultúry a médií, akými je kultúrna a jazyková rozmanitosť a pluralita médií, národné regulačné orgány a iné príslušné orgány môžu presadzovať spoluprácu medzi podnikmi poskytujúcimi elektronické komunikačné siete a/alebo služby a sektormi zainteresovanými na podpore zákonného obsahu v elektronických komunikačných sieťach a službách.</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Takáto spolupráca môže zahŕňať aj koordináciu informácií vo verejnom záujme, ktoré sa majú poskytnúť podľa článku 21 ods.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článku 20 ods. 1 druhého pododseku.</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191"/>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Č:34</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Mimosúdne riešenie sporov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br/>
              <w:br/>
              <w:br/>
              <w:br/>
              <w:br/>
              <w:br/>
              <w:br/>
              <w:br/>
              <w:br/>
              <w:br/>
              <w:br/>
              <w:br/>
              <w:br/>
              <w:br/>
              <w:br/>
              <w:t>O:2</w:t>
              <w:br/>
              <w:br/>
              <w:br/>
              <w:br/>
              <w:br/>
              <w:t>O:3</w:t>
              <w:br/>
              <w:br/>
              <w:br/>
              <w:br/>
              <w:t>O:4</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zabezpečia, aby na riešenie sporov medzi spotrebiteľmi a podnikmi poskytujúcimi elektronické komunikačné siete a/alebo služby, ktoré vyplývajú z tejto smernice a ktoré sa týkajú zmluvných podmienok a/alebo plnenia zmlúv týkajúcich poskytovania takýchto sietí alebo služieb, boli k dispozícii nediskriminačné, transparentné, jednoduché a nenákladné mimosúdne postupy. Členské štáty prijmú opatrenia, aby zabezpečili, že takými postupmi sa môžu spravodlivo a bez zdržania urovnávať spory a prípadne sa môže zaviesť systém úhrad alebo odškodnenia. Tieto postupy umožnia nestranné riešenie sporov a spotrebiteľovi neodopierajú právnu ochranu ustanovenú vo vnútroštátnom práve. Členské štáty môžu rozšíriť tieto povinnosti tak, aby sa vzťahovali aj na spory, v ktorých sú zapojení aj iní koncoví užívatelia.</w:t>
              <w:br/>
              <w:br/>
              <w:t>Členské štáty zabezpečia, aby ich právne predpisy nebránili zriadeniu reklamačných úradov a poskytovaniu služieb on-line na primeranej územnej úrovni na uľahčenie prístupu spotrebiteľov a koncových užívateľov k riešeniu sporov.</w:t>
              <w:br/>
              <w:br/>
              <w:t>Ak sú do takých sporov zapojené strany z rôznych členských štátov, členské štáty koordinujú svoje úsilie z hľadiska dosiahnutia urovnania sporu.</w:t>
              <w:br/>
              <w:br/>
              <w:t>Tento článok sa nedotýka vnútroštátnych súdnych konaní.</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§:75, O:1</w:t>
              <w:br/>
              <w:br/>
              <w:br/>
              <w:br/>
              <w:br/>
              <w:br/>
              <w:t xml:space="preserve">O:2, </w:t>
              <w:br/>
              <w:br/>
              <w:t>P:a</w:t>
              <w:br/>
              <w:br/>
              <w:t>P:b</w:t>
              <w:br/>
              <w:br/>
              <w:t>P:c</w:t>
              <w:br/>
              <w:br/>
              <w:t>P:d</w:t>
              <w:br/>
              <w:br/>
              <w:t>P:e</w:t>
              <w:br/>
              <w:br/>
              <w:t>O:3</w:t>
              <w:br/>
              <w:br/>
              <w:br/>
              <w:br/>
              <w:t>O:4</w:t>
              <w:br/>
              <w:br/>
              <w:br/>
              <w:br/>
              <w:br/>
              <w:br/>
              <w:t>O:5</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Účastník môže predložiť úradu spor s podnikom, ktorý poskytuje siete alebo služby, v oblasti upravenej týmto zákonom, a to až po reklamačnom konaní v prípade, ak nesúhlasí s výsledkom reklamácie alebo so spôsobom jej vybavenia. </w:t>
              <w:br/>
              <w:br/>
              <w:t>Návrh na začatie mimosúdneho riešenia sporu obsahuje</w:t>
              <w:br/>
              <w:br/>
              <w:t>meno a elektronickú alebo poštovú adresu účastníka,</w:t>
              <w:br/>
              <w:br/>
              <w:t>názov a sídlo podniku,</w:t>
              <w:br/>
              <w:br/>
              <w:t>predmet sporu,</w:t>
              <w:br/>
              <w:br/>
              <w:t>odôvodnenie nespokojnosti s výsledkami reklamácie,</w:t>
              <w:br/>
              <w:br/>
              <w:t>návrh riešenia sporu.</w:t>
              <w:br/>
              <w:br/>
              <w:t xml:space="preserve">Návrh na začatie mimosúdneho riešenia sporu predloží účastník bezodkladne, najneskôr do 45 dní od doručenia vybavenia reklamácie. </w:t>
              <w:br/>
              <w:br/>
              <w:t>Účastník a podnik sú povinní a oprávnení navrhovať dôkazy a ich doplnenie, predkladať podklady potrebné na vecné posúdenie prípadu. Úrad predložený spor rieši nestranne s cieľom jeho urovnania. Lehota na ukončenie mimosúdneho riešenia sporu je 60 dní od podania úplného návrhu, v zložitých prípadoch 90 dní od podania úplného návrhu.</w:t>
              <w:br/>
              <w:t xml:space="preserve">Výsledkom úspešného vyriešenia sporu je uzavretie písomnej dohody, ktorá je záväzná pre obe strany sporu.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Č:35</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Prispôsobenie príloh</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Opatrenia zamerané na zmenu nepodstatných prvkov tejto smernice a potrebné na prispôsobenie príloh I, II, III a VI technickému rozvoju alebo zmenám dopytu na trhu prijme Komisia v súlade s regulačným postupom s kontrolou uvedeným v článku 37 ods. 2.</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Č:36</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Notifikačné, monitorovacie a revízne postupy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Národné regulačné orgány oznámia Komisii najneskôr do dňa uplatňovania uvedeného v článku 38 ods. 1, v druhom pododseku, a ihneď v prípade akejkoľvek jeho zmeny, mená podnikov určených ako podniky so záväzkami univerzálnej služby podľa článku 8 ods. 1. </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§:50, O:11, </w:t>
              <w:br/>
              <w:t>P:b</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Úrad oznamuje Európskej komisii </w:t>
              <w:br/>
              <w:br/>
              <w:t>podniky určené na poskytovanie univerzálnej služby a ich zmeny.</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Komisia sprístupní informácie v ľahko prístupnej forme a postúpi ich komunikačnému výboru uvedenému v článku 37.</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Národné regulačné orgány oznámia Komisii povinnosti univerzálnej služby uložené podnikom určeným ako podniky s povinnosťami univerzálnej služby. Každá zmena ovplyvňujúca tieto povinnosti uložené podnikom alebo podniky, na ktoré majú vplyv ustanovenia tejto smernice, sa oznámi Komisii bez zbytočného odkladu.</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§:50, O:11, </w:t>
              <w:br/>
              <w:t>P:a</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Úrad oznamuje Európskej komisii </w:t>
              <w:br/>
              <w:br/>
              <w:t>povinnosti univerzálnej služby uložené určeným podnikom a bezodkladne zmeny týkajúce sa týchto povinností,</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Komisia pravidelne preskúma fungovanie tejto smernice a podá správu Európskemu parlamentu a Rade prvýkrát najneskôr do troch rokov po dni uplatňovania uvedenom v článku 38 ods. 1, v druhom pododseku. Členské štáty a národné regulačné orgány poskytnú Komisii na tento účel potrebné informácie.</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Č:37</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Postup výboru</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Komisii pomáha Komunikačný výbor zriadený podľa článku 22 smernice 2002/21/ES (rámcová smernica).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Ak sa odkazuje na tento odsek, uplatňuje sa článok 5a ods. 1 až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článok 7 rozhodnutia 1999/468/ES so zreteľom na jeho článok 8.</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Č:38</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Transpozícia</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Členské štáty prijmú a uverejnia zákony, iné právne predpisy a správne opatrenia potrebné na dosiahnutie súladu s touto smernicou najneskôr do 24. júla 2003. Bezodkladne o tom informujú Komisiu. </w:t>
            </w:r>
          </w:p>
          <w:p w:rsidR="00BA5793">
            <w:pPr>
              <w:bidi w:val="0"/>
              <w:rPr>
                <w:rFonts w:ascii="Times New Roman" w:hAnsi="Times New Roman"/>
                <w:sz w:val="20"/>
                <w:szCs w:val="20"/>
              </w:rPr>
            </w:pPr>
            <w:r>
              <w:rPr>
                <w:rFonts w:ascii="Times New Roman" w:hAnsi="Times New Roman"/>
                <w:sz w:val="20"/>
                <w:szCs w:val="20"/>
              </w:rPr>
              <w:t>Tieto opatrenia sa budú uplatňovať od 25. júla 2003.</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O:2</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§:79</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pacing w:val="-2"/>
                <w:sz w:val="20"/>
                <w:szCs w:val="20"/>
              </w:rPr>
              <w:t>Týmto zákonom sa preberajú právne záväzné akty Európskej únie uvedené v prílohe č. 5.</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O:3</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Členské štáty oznámia Komisii znenie hlavných ustanovení vnútroštátnych právnych predpisov, ktoré prijmú v oblasti pôsobnosti tejto smernice a akékoľvek následné zmeny týchto ustanovení.</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Č:39</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Nadobudnutie účinnosti</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Táto smernica nadobúda účinnosť dňom jej uverejnenia v </w:t>
            </w:r>
            <w:r>
              <w:rPr>
                <w:rFonts w:ascii="Times New Roman" w:hAnsi="Times New Roman"/>
                <w:i/>
                <w:iCs/>
                <w:sz w:val="20"/>
                <w:szCs w:val="20"/>
              </w:rPr>
              <w:t>Úradnom vestníku Európskych spoločenstiev.</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§:79</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pacing w:val="-2"/>
                <w:sz w:val="20"/>
                <w:szCs w:val="20"/>
              </w:rPr>
              <w:t xml:space="preserve">Tento zákon nadobúda účinnosť 1. októbra 2011 s výnimkou ustanovení § </w:t>
            </w:r>
            <w:smartTag w:uri="urn:schemas-microsoft-com:office:smarttags" w:element="metricconverter">
              <w:smartTagPr>
                <w:attr w:name="ProductID" w:val="42 a"/>
              </w:smartTagPr>
              <w:r>
                <w:rPr>
                  <w:rFonts w:ascii="Times New Roman" w:hAnsi="Times New Roman"/>
                  <w:spacing w:val="-2"/>
                  <w:sz w:val="20"/>
                  <w:szCs w:val="20"/>
                </w:rPr>
                <w:t>42 a</w:t>
              </w:r>
            </w:smartTag>
            <w:r>
              <w:rPr>
                <w:rFonts w:ascii="Times New Roman" w:hAnsi="Times New Roman"/>
                <w:spacing w:val="-2"/>
                <w:sz w:val="20"/>
                <w:szCs w:val="20"/>
              </w:rPr>
              <w:t xml:space="preserve"> 44, ktoré nadobudnú účinnosť 1. januára 2012.</w:t>
            </w:r>
            <w:r>
              <w:rPr>
                <w:rFonts w:ascii="Times New Roman" w:hAnsi="Times New Roman"/>
                <w:sz w:val="20"/>
                <w:szCs w:val="20"/>
              </w:rPr>
              <w:t xml:space="preserve">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Č:40</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Adresáti</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V</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Táto smernica je adresovaná členským štátom.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n.a</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I</w:t>
            </w:r>
          </w:p>
          <w:p w:rsidR="00BA5793">
            <w:pPr>
              <w:pStyle w:val="Heading2"/>
              <w:bidi w:val="0"/>
              <w:rPr>
                <w:rFonts w:ascii="Times New Roman" w:eastAsia="Arial Unicode MS" w:hAnsi="Times New Roman"/>
              </w:rPr>
            </w:pPr>
            <w:r>
              <w:rPr>
                <w:rFonts w:ascii="Times New Roman" w:hAnsi="Times New Roman"/>
              </w:rPr>
              <w:t>OPIS ZARIADENÍ A SLUŽIEB UVEDENÝCH V ČLÁNKU 10 (KONTROLA VÝDAVKOV), ČLÁNKU 29 (DOPLNKOVÉ ZARIADENIA) A ČLÁNKU 30 (UĽAHČENIE ZMENY POSKYTOVATEĽA)</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Časť A: Zariadenia a služby uvedené v článku 10</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a) </w:t>
            </w:r>
            <w:r>
              <w:rPr>
                <w:rFonts w:ascii="Times New Roman" w:hAnsi="Times New Roman"/>
                <w:i/>
                <w:iCs/>
                <w:sz w:val="20"/>
                <w:szCs w:val="20"/>
              </w:rPr>
              <w:t>Podrobný rozpis faktúr</w:t>
            </w:r>
          </w:p>
          <w:p w:rsidR="00BA5793">
            <w:pPr>
              <w:bidi w:val="0"/>
              <w:rPr>
                <w:rFonts w:ascii="Times New Roman" w:hAnsi="Times New Roman"/>
                <w:sz w:val="20"/>
                <w:szCs w:val="20"/>
              </w:rPr>
            </w:pPr>
            <w:r>
              <w:rPr>
                <w:rFonts w:ascii="Times New Roman" w:hAnsi="Times New Roman"/>
                <w:sz w:val="20"/>
                <w:szCs w:val="20"/>
              </w:rPr>
              <w:t>Členské štáty zabezpečia, aby národné regulačné orgány, rešpektujúc požiadavky príslušných právnych predpisov o ochrane osobných údajov a súkromia, mohli stanoviť základnú úroveň rozpísaných účtov, ktoré vystavia podniky bezplatne účastníkom, aby títo mohli:</w:t>
            </w:r>
          </w:p>
          <w:p w:rsidR="00BA5793">
            <w:pPr>
              <w:bidi w:val="0"/>
              <w:rPr>
                <w:rFonts w:ascii="Times New Roman" w:hAnsi="Times New Roman"/>
                <w:sz w:val="20"/>
                <w:szCs w:val="20"/>
              </w:rPr>
            </w:pPr>
            <w:r>
              <w:rPr>
                <w:rFonts w:ascii="Times New Roman" w:hAnsi="Times New Roman"/>
                <w:sz w:val="20"/>
                <w:szCs w:val="20"/>
              </w:rPr>
              <w:t>i) overiť a kontrolovať poplatky vzniknuté pri využívaní verejnej komunikačnej siete na pevnom mieste a/alebo príslušných verejne dostupných telefónnych služieb a</w:t>
            </w:r>
          </w:p>
          <w:p w:rsidR="00BA5793">
            <w:pPr>
              <w:bidi w:val="0"/>
              <w:rPr>
                <w:rFonts w:ascii="Times New Roman" w:hAnsi="Times New Roman"/>
                <w:sz w:val="20"/>
                <w:szCs w:val="20"/>
              </w:rPr>
            </w:pPr>
            <w:r>
              <w:rPr>
                <w:rFonts w:ascii="Times New Roman" w:hAnsi="Times New Roman"/>
                <w:sz w:val="20"/>
                <w:szCs w:val="20"/>
              </w:rPr>
              <w:t>ii) primerane monitorovať svoje výdavky, a tým zodpovedajúco kontrolovať svoje účty.</w:t>
            </w:r>
          </w:p>
          <w:p w:rsidR="00BA5793">
            <w:pPr>
              <w:bidi w:val="0"/>
              <w:rPr>
                <w:rFonts w:ascii="Times New Roman" w:hAnsi="Times New Roman"/>
                <w:sz w:val="20"/>
                <w:szCs w:val="20"/>
              </w:rPr>
            </w:pPr>
            <w:r>
              <w:rPr>
                <w:rFonts w:ascii="Times New Roman" w:hAnsi="Times New Roman"/>
                <w:sz w:val="20"/>
                <w:szCs w:val="20"/>
              </w:rPr>
              <w:t>Účastníkom sa prípadne môžu za primerané tarify alebo bezplatne ponúknuť ďalšie podrobnosti.</w:t>
            </w:r>
          </w:p>
          <w:p w:rsidR="00BA5793">
            <w:pPr>
              <w:bidi w:val="0"/>
              <w:rPr>
                <w:rFonts w:ascii="Times New Roman" w:eastAsia="Arial Unicode MS" w:hAnsi="Times New Roman"/>
                <w:sz w:val="20"/>
                <w:szCs w:val="20"/>
              </w:rPr>
            </w:pPr>
            <w:r>
              <w:rPr>
                <w:rFonts w:ascii="Times New Roman" w:hAnsi="Times New Roman"/>
                <w:sz w:val="20"/>
                <w:szCs w:val="20"/>
              </w:rPr>
              <w:t>Volania, ktoré sú pre volajúceho účastníka bezplatné, vrátane tiesňových volaní, sa v rozpísanom účte volajúceho účastníka neuvádzajú.</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§:52, O:2, </w:t>
              <w:br/>
              <w:br/>
              <w:br/>
              <w:t>P:a</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Úrad môže podniku určenému na poskytovanie univerzálnej služby uložiť povinnosť poskytovať účastníkom:</w:t>
              <w:br/>
              <w:br/>
              <w:t xml:space="preserve">bezplatne základnú úroveň rozpísania faktúr na kontrolu výdavkov pri využívaní verejnej siete na pevnom mieste alebo príslušných verejných telefónnych služieb; úrad určí základnú úroveň rozpísania faktúr v rozhodnutí podľa § 50 ods.3,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b) </w:t>
            </w:r>
            <w:r>
              <w:rPr>
                <w:rFonts w:ascii="Times New Roman" w:hAnsi="Times New Roman"/>
                <w:i/>
                <w:iCs/>
                <w:sz w:val="20"/>
                <w:szCs w:val="20"/>
              </w:rPr>
              <w:t>Selektívne blokovanie odchádzajúcich volaní alebo služby prémium SMS alebo MMS, alebo ak je to technicky uskutočniteľné, iných druhov podobných aplikácií bez poplatku</w:t>
            </w:r>
          </w:p>
          <w:p w:rsidR="00BA5793">
            <w:pPr>
              <w:bidi w:val="0"/>
              <w:rPr>
                <w:rFonts w:ascii="Times New Roman" w:eastAsia="Arial Unicode MS" w:hAnsi="Times New Roman"/>
                <w:sz w:val="20"/>
                <w:szCs w:val="20"/>
              </w:rPr>
            </w:pPr>
            <w:r>
              <w:rPr>
                <w:rFonts w:ascii="Times New Roman" w:hAnsi="Times New Roman"/>
                <w:sz w:val="20"/>
                <w:szCs w:val="20"/>
              </w:rPr>
              <w:t>Zariadenie, ktorým môže účastník na základe žiadosti adresovanej určenému podniku poskytujúcemu telefónne služby bezplatne blokovať odchádzajúce volania alebo službu prémium SMS alebo MMS, alebo iné druhy podobných aplikácií vymedzeného typu alebo vymedzených typov čísel.</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P:b</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bezplatné zablokovanie určitých druhov odchádzajúcich volaní, služby SMS alebo MMS so zvýšenou cenou, alebo ak je technicky uskutočniteľné iných druhov podobných aplikácií, na základe žiadosti účastníka adresovanej podniku,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c) </w:t>
            </w:r>
            <w:r>
              <w:rPr>
                <w:rFonts w:ascii="Times New Roman" w:hAnsi="Times New Roman"/>
                <w:i/>
                <w:iCs/>
                <w:sz w:val="20"/>
                <w:szCs w:val="20"/>
              </w:rPr>
              <w:t>Predplatné systémy</w:t>
            </w:r>
          </w:p>
          <w:p w:rsidR="00BA5793">
            <w:pPr>
              <w:bidi w:val="0"/>
              <w:rPr>
                <w:rFonts w:ascii="Times New Roman" w:eastAsia="Arial Unicode MS" w:hAnsi="Times New Roman"/>
                <w:sz w:val="20"/>
                <w:szCs w:val="20"/>
              </w:rPr>
            </w:pPr>
            <w:r>
              <w:rPr>
                <w:rFonts w:ascii="Times New Roman" w:hAnsi="Times New Roman"/>
                <w:sz w:val="20"/>
                <w:szCs w:val="20"/>
              </w:rPr>
              <w:t>Členské štáty zabezpečia, aby národné regulačné orgány mohli od určených podnikov požadovať, aby spotrebiteľom umožnili predplatiť si prístup k verejnej komunikačnej sieti a využívanie verejne dostupných telefónnych služieb.</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P:c</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možnosť platby vopred za pripojenie k verejnej sieti a používanie verejných telefónnych služieb,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d) </w:t>
            </w:r>
            <w:r>
              <w:rPr>
                <w:rFonts w:ascii="Times New Roman" w:hAnsi="Times New Roman"/>
                <w:i/>
                <w:iCs/>
                <w:sz w:val="20"/>
                <w:szCs w:val="20"/>
              </w:rPr>
              <w:t>Postupné platby pripojovacích poplatkov</w:t>
            </w:r>
          </w:p>
          <w:p w:rsidR="00BA5793">
            <w:pPr>
              <w:bidi w:val="0"/>
              <w:rPr>
                <w:rFonts w:ascii="Times New Roman" w:eastAsia="Arial Unicode MS" w:hAnsi="Times New Roman"/>
                <w:sz w:val="20"/>
                <w:szCs w:val="20"/>
              </w:rPr>
            </w:pPr>
            <w:r>
              <w:rPr>
                <w:rFonts w:ascii="Times New Roman" w:hAnsi="Times New Roman"/>
                <w:sz w:val="20"/>
                <w:szCs w:val="20"/>
              </w:rPr>
              <w:t>Členské štáty zabezpečia, aby národné regulačné orgány mohli od určených podnikov požadovať, aby spotrebiteľom umožnili platiť za pripojenie k verejnej komunikačnej sieti na základe postupných platieb rozvrhnutých na určité obdobie.</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P:d</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možnosť platby v splátkach za zriadenie pripojenia k verejnej sieti,</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e) </w:t>
            </w:r>
            <w:r>
              <w:rPr>
                <w:rFonts w:ascii="Times New Roman" w:hAnsi="Times New Roman"/>
                <w:i/>
                <w:iCs/>
                <w:sz w:val="20"/>
                <w:szCs w:val="20"/>
              </w:rPr>
              <w:t>Neplatenie faktúr</w:t>
            </w:r>
          </w:p>
          <w:p w:rsidR="00BA5793">
            <w:pPr>
              <w:bidi w:val="0"/>
              <w:rPr>
                <w:rFonts w:ascii="Times New Roman" w:eastAsia="Arial Unicode MS" w:hAnsi="Times New Roman"/>
                <w:sz w:val="20"/>
                <w:szCs w:val="20"/>
              </w:rPr>
            </w:pPr>
            <w:r>
              <w:rPr>
                <w:rFonts w:ascii="Times New Roman" w:hAnsi="Times New Roman"/>
                <w:sz w:val="20"/>
                <w:szCs w:val="20"/>
              </w:rPr>
              <w:t>Členské štáty povolia špecifické opatrenia týkajúce sa neplatenia účtov podnikov, pričom tieto opatrenia musia byť primerané, nediskriminačné a musia sa uverejniť. Tieto opatrenia zabezpečia, aby po náležitom včasnom upozornení mohlo nasledovať prerušenie alebo odpojenie účastníka. S výnimkou prípadov podvodu, trvalého oneskoreného platenia alebo neplatenia tieto opatrenia zabezpečia, pokiaľ je to technicky možné, aby sa každé prerušenie služby obmedzilo na príslušnú službu. Odpojenie za neplatenie účtov by sa malo vykonať len po náležitom upozornení účastníka. Členské štáty môžu na určité obdobie povoliť poskytovanie obmedzenej služby predtým, než sa služba úplne odpojí, a počas tohto obdobia sa povoľujú len volania, z ktorých nevyplývajú žiadne poplatky pre účastníka (napr. volanie na číslo 112).</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P:e</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informácie o primeraných a nediskriminačných opatreniach v prípade neplatenia faktúr, ktorými sa zabezpečí, aby po predchádzajúcom preukázateľnom upozornení účastníka mohlo nasledovať prerušenie alebo odpojenie účastníka; tieto opatrenia sa nevzťahujú na prípady podvodu, opakované oneskorené platenia alebo neplatenia,</w:t>
            </w:r>
          </w:p>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f) </w:t>
            </w:r>
            <w:r>
              <w:rPr>
                <w:rFonts w:ascii="Times New Roman" w:hAnsi="Times New Roman"/>
                <w:i/>
                <w:iCs/>
                <w:sz w:val="20"/>
                <w:szCs w:val="20"/>
              </w:rPr>
              <w:t>Tarifné poradenstvo</w:t>
            </w:r>
          </w:p>
          <w:p w:rsidR="00BA5793">
            <w:pPr>
              <w:bidi w:val="0"/>
              <w:rPr>
                <w:rFonts w:ascii="Times New Roman" w:eastAsia="Arial Unicode MS" w:hAnsi="Times New Roman"/>
                <w:sz w:val="20"/>
                <w:szCs w:val="20"/>
              </w:rPr>
            </w:pPr>
            <w:r>
              <w:rPr>
                <w:rFonts w:ascii="Times New Roman" w:hAnsi="Times New Roman"/>
                <w:sz w:val="20"/>
                <w:szCs w:val="20"/>
              </w:rPr>
              <w:t>Služba umožňujúca účastníkom žiadať od podniku poskytnutie informácií o možných lacnejších tarifách, ak existujú.</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P:f</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xml:space="preserve">na ich požiadanie informácie o existujúcich nižších cenách,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g) </w:t>
            </w:r>
            <w:r>
              <w:rPr>
                <w:rFonts w:ascii="Times New Roman" w:hAnsi="Times New Roman"/>
                <w:i/>
                <w:iCs/>
                <w:sz w:val="20"/>
                <w:szCs w:val="20"/>
              </w:rPr>
              <w:t>Kontrola nákladov</w:t>
            </w:r>
          </w:p>
          <w:p w:rsidR="00BA5793">
            <w:pPr>
              <w:bidi w:val="0"/>
              <w:rPr>
                <w:rFonts w:ascii="Times New Roman" w:eastAsia="Arial Unicode MS" w:hAnsi="Times New Roman"/>
                <w:sz w:val="20"/>
                <w:szCs w:val="20"/>
              </w:rPr>
            </w:pPr>
            <w:r>
              <w:rPr>
                <w:rFonts w:ascii="Times New Roman" w:hAnsi="Times New Roman"/>
                <w:sz w:val="20"/>
                <w:szCs w:val="20"/>
              </w:rPr>
              <w:t>Nástroj, prostredníctvom ktorého podnik ponúka iné spôsoby (ak ich vnútroštátne regulačné orgány označia za vhodné) kontroly nákladov na verejne dostupné telefónne služby vrátane bezplatného upozornenia spotrebiteľov v prípade neobvyklých alebo neprimeraných modelov spotreby.</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P:g</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iné možnosti kontroly výdavkov za verejné telefónne služby, vrátane bezplatného upozornenia v prípade neobvyklých alebo neprimeraných výdavkov.</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Časť B: Zariadenia uvedené v článku 29</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a) </w:t>
            </w:r>
            <w:r>
              <w:rPr>
                <w:rFonts w:ascii="Times New Roman" w:hAnsi="Times New Roman"/>
                <w:i/>
                <w:iCs/>
                <w:sz w:val="20"/>
                <w:szCs w:val="20"/>
              </w:rPr>
              <w:t>Tónová voľba alebo DTMF (dual-tone multi-frequency operation – dvojtónová viacfrekvenčná prevádzka)</w:t>
            </w:r>
          </w:p>
          <w:p w:rsidR="00BA5793">
            <w:pPr>
              <w:bidi w:val="0"/>
              <w:rPr>
                <w:rFonts w:ascii="Times New Roman" w:eastAsia="Arial Unicode MS" w:hAnsi="Times New Roman"/>
                <w:sz w:val="20"/>
                <w:szCs w:val="20"/>
              </w:rPr>
            </w:pPr>
            <w:r>
              <w:rPr>
                <w:rFonts w:ascii="Times New Roman" w:hAnsi="Times New Roman"/>
                <w:sz w:val="20"/>
                <w:szCs w:val="20"/>
              </w:rPr>
              <w:t>Verejná komunikačná sieť a/alebo verejne dostupné telefónne služby podporujú používanie tónov DTMF vymedzených v ETSI ETR 207 pre medzikoncovú signalizáciu v celej sieti v členskom štáte, ako aj medzi členskými štátmi.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§:43, O:4, </w:t>
            </w:r>
          </w:p>
          <w:p w:rsidR="00BA5793">
            <w:pPr>
              <w:bidi w:val="0"/>
              <w:rPr>
                <w:rFonts w:ascii="Times New Roman" w:hAnsi="Times New Roman"/>
                <w:sz w:val="20"/>
                <w:szCs w:val="20"/>
              </w:rPr>
            </w:pPr>
            <w:r>
              <w:rPr>
                <w:rFonts w:ascii="Times New Roman" w:hAnsi="Times New Roman"/>
                <w:sz w:val="20"/>
                <w:szCs w:val="20"/>
              </w:rPr>
              <w:t> </w:t>
            </w:r>
          </w:p>
          <w:p w:rsidR="00BA5793">
            <w:pPr>
              <w:bidi w:val="0"/>
              <w:rPr>
                <w:rFonts w:ascii="Times New Roman" w:hAnsi="Times New Roman"/>
                <w:sz w:val="20"/>
                <w:szCs w:val="20"/>
              </w:rPr>
            </w:pPr>
            <w:r>
              <w:rPr>
                <w:rFonts w:ascii="Times New Roman" w:hAnsi="Times New Roman"/>
                <w:sz w:val="20"/>
                <w:szCs w:val="20"/>
              </w:rPr>
              <w:t>P:a</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tak úrad určí vo všeobecnom povolení podľa § 14 ods. 2 písm. g), je podnik poskytujúci verejnú sieť alebo verejnú službu povinný poskytovať</w:t>
            </w:r>
          </w:p>
          <w:p w:rsidR="00BA5793">
            <w:pPr>
              <w:bidi w:val="0"/>
              <w:rPr>
                <w:rFonts w:ascii="Times New Roman" w:hAnsi="Times New Roman"/>
                <w:sz w:val="20"/>
                <w:szCs w:val="20"/>
              </w:rPr>
            </w:pPr>
            <w:r>
              <w:rPr>
                <w:rFonts w:ascii="Times New Roman" w:hAnsi="Times New Roman"/>
                <w:sz w:val="20"/>
                <w:szCs w:val="20"/>
              </w:rPr>
              <w:t>tónovú voľbu alebo dvojtónovú viacfrekvenčnú prevádzku, ak je to technicky a ekonomicky uskutočniteľné a službu identifikácie prezentácie volajúceho v súlade s § 60,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b) </w:t>
            </w:r>
            <w:r>
              <w:rPr>
                <w:rFonts w:ascii="Times New Roman" w:hAnsi="Times New Roman"/>
                <w:i/>
                <w:iCs/>
                <w:sz w:val="20"/>
                <w:szCs w:val="20"/>
              </w:rPr>
              <w:t>Identifikácia čísla volajúceho</w:t>
            </w:r>
          </w:p>
          <w:p w:rsidR="00BA5793">
            <w:pPr>
              <w:bidi w:val="0"/>
              <w:rPr>
                <w:rFonts w:ascii="Times New Roman" w:hAnsi="Times New Roman"/>
                <w:sz w:val="20"/>
                <w:szCs w:val="20"/>
              </w:rPr>
            </w:pPr>
            <w:r>
              <w:rPr>
                <w:rFonts w:ascii="Times New Roman" w:hAnsi="Times New Roman"/>
                <w:sz w:val="20"/>
                <w:szCs w:val="20"/>
              </w:rPr>
              <w:t>Číslo volajúceho sa ukáže volanej strane predtým, než sa volanie uskutoční.</w:t>
            </w:r>
          </w:p>
          <w:p w:rsidR="00BA5793">
            <w:pPr>
              <w:bidi w:val="0"/>
              <w:rPr>
                <w:rFonts w:ascii="Times New Roman" w:hAnsi="Times New Roman"/>
                <w:sz w:val="20"/>
                <w:szCs w:val="20"/>
              </w:rPr>
            </w:pPr>
            <w:r>
              <w:rPr>
                <w:rFonts w:ascii="Times New Roman" w:hAnsi="Times New Roman"/>
                <w:sz w:val="20"/>
                <w:szCs w:val="20"/>
              </w:rPr>
              <w:t>Táto možnosť by sa mala poskytovať v súlade s príslušnými právnymi predpismi o ochrane osobných údajov a súkromia, najmä so smernicou 2002/58/ES (smernica o súkromí a elektronických komunikáciách).</w:t>
            </w:r>
          </w:p>
          <w:p w:rsidR="00BA5793">
            <w:pPr>
              <w:bidi w:val="0"/>
              <w:rPr>
                <w:rFonts w:ascii="Times New Roman" w:eastAsia="Arial Unicode MS" w:hAnsi="Times New Roman"/>
                <w:sz w:val="20"/>
                <w:szCs w:val="20"/>
              </w:rPr>
            </w:pPr>
            <w:r>
              <w:rPr>
                <w:rFonts w:ascii="Times New Roman" w:hAnsi="Times New Roman"/>
                <w:sz w:val="20"/>
                <w:szCs w:val="20"/>
              </w:rPr>
              <w:t>Operátori by mali poskytovať údaje a signály v technicky možnom rozsahu, aby sa uľahčilo zistenie totožnosti volajúceho a tónová voľba cez hranice členského štátu.</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§:43, O:4</w:t>
              <w:br/>
              <w:br/>
              <w:br/>
              <w:br/>
              <w:t> P:a</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tak úrad určí vo všeobecnom povolení podľa § 14 ods. 2 písm. g), je podnik poskytujúci verejnú sieť alebo verejnú službu povinný poskytovať</w:t>
              <w:br/>
              <w:br/>
              <w:t>tónovú voľbu alebo dvojtónovú viacfrekvenčnú prevádzku, ak je to technicky a ekonomicky uskutočniteľné a službu identifikácie prezentácie volajúceho v súlade s § 58,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87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41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Časť C: Vykonávanie ustanovení o prenositeľnosti čísla podľa článku 30</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3175"/>
        </w:trPr>
        <w:tc>
          <w:tcPr>
            <w:tcW w:w="87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Požiadavka, aby si všetci účastníci s volacími číslami z národného telefónneho číslovacieho plánu, ktorí o to požiadajú, mohli ponechať svoje volacie číslo/čísla nezávisle od podniku poskytujúceho službu, sa uplatňuje:</w:t>
            </w:r>
          </w:p>
          <w:p w:rsidR="00BA5793">
            <w:pPr>
              <w:bidi w:val="0"/>
              <w:rPr>
                <w:rFonts w:ascii="Times New Roman" w:hAnsi="Times New Roman"/>
                <w:sz w:val="20"/>
                <w:szCs w:val="20"/>
              </w:rPr>
            </w:pPr>
            <w:r>
              <w:rPr>
                <w:rFonts w:ascii="Times New Roman" w:hAnsi="Times New Roman"/>
                <w:sz w:val="20"/>
                <w:szCs w:val="20"/>
              </w:rPr>
              <w:t>a) v prípade geografických čísel na špecifickom mieste a</w:t>
            </w:r>
          </w:p>
          <w:p w:rsidR="00BA5793">
            <w:pPr>
              <w:bidi w:val="0"/>
              <w:rPr>
                <w:rFonts w:ascii="Times New Roman" w:hAnsi="Times New Roman"/>
                <w:sz w:val="20"/>
                <w:szCs w:val="20"/>
              </w:rPr>
            </w:pPr>
            <w:r>
              <w:rPr>
                <w:rFonts w:ascii="Times New Roman" w:hAnsi="Times New Roman"/>
                <w:sz w:val="20"/>
                <w:szCs w:val="20"/>
              </w:rPr>
              <w:t>b) v prípade negeografických čísel na ktoromkoľvek mieste.</w:t>
            </w:r>
          </w:p>
          <w:p w:rsidR="00BA5793">
            <w:pPr>
              <w:bidi w:val="0"/>
              <w:rPr>
                <w:rFonts w:ascii="Times New Roman" w:eastAsia="Arial Unicode MS" w:hAnsi="Times New Roman"/>
                <w:sz w:val="20"/>
                <w:szCs w:val="20"/>
              </w:rPr>
            </w:pPr>
            <w:r>
              <w:rPr>
                <w:rFonts w:ascii="Times New Roman" w:hAnsi="Times New Roman"/>
                <w:sz w:val="20"/>
                <w:szCs w:val="20"/>
              </w:rPr>
              <w:t>Táto časť sa nevzťahuje na prenositeľnosť čísel medzi sieťami poskytujúcimi služby na pevnom mieste a mobilnými sieťami.</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§:48, O:1</w:t>
              <w:br/>
              <w:br/>
              <w:br/>
              <w:br/>
              <w:br/>
              <w:t>P:a</w:t>
              <w:br/>
              <w:br/>
              <w:br/>
              <w:br/>
              <w:t>P:b</w:t>
              <w:br/>
              <w:br/>
              <w:t>§:48, 0:2</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Podnik je povinný zabezpečiť svojim účastníkom s telefónnymi číslami z národného číslovacieho plánu, ktorí o to požiadajú, aby si mohli ponechať svoje telefónne čísla nezávisle od podniku, ktorý službu poskytuje, v prípade</w:t>
              <w:br/>
              <w:br/>
              <w:t>geografických čísel v rámci geograficky určenej číslovacej oblasti vymedzenej úradom na špecifickom mieste pripojenia účastníka a</w:t>
              <w:br/>
              <w:br/>
              <w:t>negeografických čísel na ktoromkoľvek mieste.</w:t>
              <w:br/>
              <w:br/>
              <w:t>Na prenositeľnosť čísla medzi pevnými a mobilnými verejnými sieťami sa odsek 1 nevzťahuje.</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1063"/>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II</w:t>
            </w:r>
          </w:p>
          <w:p w:rsidR="00BA5793">
            <w:pPr>
              <w:pStyle w:val="BodyText2"/>
              <w:bidi w:val="0"/>
              <w:rPr>
                <w:rFonts w:ascii="Times New Roman" w:hAnsi="Times New Roman"/>
              </w:rPr>
            </w:pPr>
            <w:r>
              <w:rPr>
                <w:rFonts w:ascii="Times New Roman" w:hAnsi="Times New Roman"/>
              </w:rPr>
              <w:t>INFORMÁCIE, KTORÉ SA MAJÚ UVEREJNIŤ V SÚLADE S ČLÁNKOM 21</w:t>
            </w:r>
          </w:p>
          <w:p w:rsidR="00BA5793">
            <w:pPr>
              <w:pStyle w:val="BodyText2"/>
              <w:bidi w:val="0"/>
              <w:rPr>
                <w:rFonts w:ascii="Times New Roman" w:eastAsia="Arial Unicode MS" w:hAnsi="Times New Roman"/>
              </w:rPr>
            </w:pPr>
            <w:r>
              <w:rPr>
                <w:rFonts w:ascii="Times New Roman" w:hAnsi="Times New Roman"/>
              </w:rPr>
              <w:t>(TRANSPARENTNOSŤ A UVEREJŇOVANIE INFORMÁCIÍ)</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cantSplit/>
          <w:trHeight w:val="8250"/>
        </w:trPr>
        <w:tc>
          <w:tcPr>
            <w:tcW w:w="87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415"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Národný regulačný orgán musí zabezpečiť uverejňovanie informácií uvedených v tejto prílohe v súlade s článkom 21. Národný regulačný orgán môže rozhodnúť o tom, ktoré informácie majú uverejniť podniky poskytujúce verejné komunikačné siete a/alebo verejne dostupné telefónne služby a ktoré informácie má uverejniť samotný národný regulačný orgán, tak aby sa zabezpečilo, že spotrebitelia si môžu vybrať na základe úplných informácií.</w:t>
            </w:r>
          </w:p>
          <w:p w:rsidR="00BA5793">
            <w:pPr>
              <w:bidi w:val="0"/>
              <w:rPr>
                <w:rFonts w:ascii="Times New Roman" w:hAnsi="Times New Roman"/>
                <w:sz w:val="20"/>
                <w:szCs w:val="20"/>
              </w:rPr>
            </w:pPr>
            <w:r>
              <w:rPr>
                <w:rFonts w:ascii="Times New Roman" w:hAnsi="Times New Roman"/>
                <w:sz w:val="20"/>
                <w:szCs w:val="20"/>
              </w:rPr>
              <w:t>1. Meno(-á) a adresa(-y) podniku(-ov)</w:t>
            </w:r>
          </w:p>
          <w:p w:rsidR="00BA5793">
            <w:pPr>
              <w:bidi w:val="0"/>
              <w:rPr>
                <w:rFonts w:ascii="Times New Roman" w:hAnsi="Times New Roman"/>
                <w:sz w:val="20"/>
                <w:szCs w:val="20"/>
              </w:rPr>
            </w:pPr>
            <w:r>
              <w:rPr>
                <w:rFonts w:ascii="Times New Roman" w:hAnsi="Times New Roman"/>
                <w:sz w:val="20"/>
                <w:szCs w:val="20"/>
              </w:rPr>
              <w:t>Mená a adresy sídiel podnikov poskytujúcich verejné komunikačné siete a/alebo verejne dostupné telefónne služby.</w:t>
            </w:r>
          </w:p>
          <w:p w:rsidR="00BA5793">
            <w:pPr>
              <w:bidi w:val="0"/>
              <w:rPr>
                <w:rFonts w:ascii="Times New Roman" w:hAnsi="Times New Roman"/>
                <w:sz w:val="20"/>
                <w:szCs w:val="20"/>
              </w:rPr>
            </w:pPr>
            <w:r>
              <w:rPr>
                <w:rFonts w:ascii="Times New Roman" w:hAnsi="Times New Roman"/>
                <w:sz w:val="20"/>
                <w:szCs w:val="20"/>
              </w:rPr>
              <w:t>2. Opis ponúkaných služieb</w:t>
            </w:r>
          </w:p>
          <w:p w:rsidR="00BA5793">
            <w:pPr>
              <w:bidi w:val="0"/>
              <w:rPr>
                <w:rFonts w:ascii="Times New Roman" w:hAnsi="Times New Roman"/>
                <w:sz w:val="20"/>
                <w:szCs w:val="20"/>
              </w:rPr>
            </w:pPr>
            <w:r>
              <w:rPr>
                <w:rFonts w:ascii="Times New Roman" w:hAnsi="Times New Roman"/>
                <w:sz w:val="20"/>
                <w:szCs w:val="20"/>
              </w:rPr>
              <w:t>2.1. Rozsah ponúkaných služieb</w:t>
            </w:r>
          </w:p>
          <w:p w:rsidR="00BA5793">
            <w:pPr>
              <w:bidi w:val="0"/>
              <w:rPr>
                <w:rFonts w:ascii="Times New Roman" w:hAnsi="Times New Roman"/>
                <w:sz w:val="20"/>
                <w:szCs w:val="20"/>
              </w:rPr>
            </w:pPr>
            <w:r>
              <w:rPr>
                <w:rFonts w:ascii="Times New Roman" w:hAnsi="Times New Roman"/>
                <w:sz w:val="20"/>
                <w:szCs w:val="20"/>
              </w:rPr>
              <w:t>2.2. Štandardné tarify s informáciou o poskytovaných službách a obsahu každej tarifnej zložky (napr. poplatky za prístup, všetky typy užívateľských poplatkov, poplatky za údržbu) vrátane podrobností o uplatňovaných štandardných zľavách a osobitných a cielených systémoch taríf, ako aj všetky ďalšie poplatky i náklady v súvislosti s koncovými zariadeniami.</w:t>
            </w:r>
          </w:p>
          <w:p w:rsidR="00BA5793">
            <w:pPr>
              <w:bidi w:val="0"/>
              <w:rPr>
                <w:rFonts w:ascii="Times New Roman" w:hAnsi="Times New Roman"/>
                <w:sz w:val="20"/>
                <w:szCs w:val="20"/>
              </w:rPr>
            </w:pPr>
            <w:r>
              <w:rPr>
                <w:rFonts w:ascii="Times New Roman" w:hAnsi="Times New Roman"/>
                <w:sz w:val="20"/>
                <w:szCs w:val="20"/>
              </w:rPr>
              <w:t>2.3. Režimy odškodnenia/úhrady vrátane špecifických podrobností o akýchkoľvek ponúkaných režimoch odškodnenia/úhrady.</w:t>
            </w:r>
          </w:p>
          <w:p w:rsidR="00BA5793">
            <w:pPr>
              <w:bidi w:val="0"/>
              <w:rPr>
                <w:rFonts w:ascii="Times New Roman" w:hAnsi="Times New Roman"/>
                <w:sz w:val="20"/>
                <w:szCs w:val="20"/>
              </w:rPr>
            </w:pPr>
            <w:r>
              <w:rPr>
                <w:rFonts w:ascii="Times New Roman" w:hAnsi="Times New Roman"/>
                <w:sz w:val="20"/>
                <w:szCs w:val="20"/>
              </w:rPr>
              <w:t>2.4. Druhy ponúkaných údržbárskych služieb.</w:t>
            </w:r>
          </w:p>
          <w:p w:rsidR="00BA5793">
            <w:pPr>
              <w:bidi w:val="0"/>
              <w:rPr>
                <w:rFonts w:ascii="Times New Roman" w:hAnsi="Times New Roman"/>
                <w:sz w:val="20"/>
                <w:szCs w:val="20"/>
              </w:rPr>
            </w:pPr>
            <w:r>
              <w:rPr>
                <w:rFonts w:ascii="Times New Roman" w:hAnsi="Times New Roman"/>
                <w:sz w:val="20"/>
                <w:szCs w:val="20"/>
              </w:rPr>
              <w:t>2.5. Štandardné zmluvné podmienky vrátane prípadného minimálneho trvania zmluvy, ukončenia zmluvy a postupov a priamych poplatkov súvisiacich s prenositeľnosťou čísel, a prípadne aj iných identifikátorov.</w:t>
            </w:r>
          </w:p>
          <w:p w:rsidR="00BA5793">
            <w:pPr>
              <w:bidi w:val="0"/>
              <w:rPr>
                <w:rFonts w:ascii="Times New Roman" w:hAnsi="Times New Roman"/>
                <w:sz w:val="20"/>
                <w:szCs w:val="20"/>
              </w:rPr>
            </w:pPr>
            <w:r>
              <w:rPr>
                <w:rFonts w:ascii="Times New Roman" w:hAnsi="Times New Roman"/>
                <w:sz w:val="20"/>
                <w:szCs w:val="20"/>
              </w:rPr>
              <w:t>3. Mechanizmy urovnávania sporov vrátane tých, ktoré poskytuje podnik.</w:t>
            </w:r>
          </w:p>
          <w:p w:rsidR="00BA5793">
            <w:pPr>
              <w:bidi w:val="0"/>
              <w:rPr>
                <w:rFonts w:ascii="Times New Roman" w:eastAsia="Arial Unicode MS" w:hAnsi="Times New Roman"/>
                <w:sz w:val="20"/>
                <w:szCs w:val="20"/>
              </w:rPr>
            </w:pPr>
            <w:r>
              <w:rPr>
                <w:rFonts w:ascii="Times New Roman" w:hAnsi="Times New Roman"/>
                <w:sz w:val="20"/>
                <w:szCs w:val="20"/>
              </w:rPr>
              <w:t>4. Informácie o právach v súvislosti s univerzálnou službou, prípadne vrátane prostriedkov a služieb uvedených v prílohe I.</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§:42, O:1</w:t>
              <w:br/>
              <w:br/>
              <w:br/>
              <w:br/>
              <w:br/>
              <w:t>P:a</w:t>
              <w:br/>
              <w:br/>
              <w:t>P:b</w:t>
              <w:br/>
              <w:br/>
              <w:t>P:c</w:t>
              <w:br/>
              <w:br/>
              <w:br/>
              <w:br/>
              <w:br/>
              <w:t>P:d</w:t>
              <w:br/>
              <w:br/>
              <w:br/>
              <w:br/>
              <w:br/>
              <w:br/>
              <w:br/>
              <w:br/>
              <w:t>P:e</w:t>
              <w:br/>
              <w:br/>
              <w:br/>
              <w:br/>
              <w:t>P:f</w:t>
              <w:br/>
              <w:br/>
              <w:t>P:g</w:t>
              <w:br/>
              <w:br/>
              <w:br/>
              <w:t>P:h</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Úrad určí vo všeobecnom povolení podľa § 14 ods. 2 písm. g) podniku poskytujúcemu verejné siete alebo verejné služby rozsah informácií, ktoré je povinný zverejňovať v jasnej, zrozumiteľnej a ľahko dostupnej podobe, a to najmä</w:t>
              <w:br/>
              <w:br/>
              <w:t>identifikačné údaje podniku,</w:t>
              <w:br/>
              <w:br/>
              <w:t>rozsah ponúkaných služieb,</w:t>
              <w:br/>
              <w:br/>
              <w:t>štandardné zmluvné podmienky, vrátane prípadného minimálneho trvania zmluvy o poskytovaní verejných služieb a jej ukončenia a postupy súvisiace s prenosom čísel a iných identifikátorov,</w:t>
              <w:br/>
              <w:br/>
              <w:t>štandardné ceny s informáciou o poskytovaných službách a všetky cenové položky, všetky druhy užívateľských poplatkov, poplatky za servisné služby vrátane podrobností o uplatňovaných štandardných zľavách, osobitných a cielených systémov taríf, poplatky alebo náklady účastníka súvisiace s koncovými zariadeniami, priame poplatky súvisiace s prenosom čísel alebo iných identifikátorov,</w:t>
              <w:br/>
              <w:br/>
              <w:t>reklamačný poriadok (§ 45), spôsoby odškodnenia alebo úhrady, vrátane podrobností o ponúkaných spôsoboch odškodnenia,</w:t>
              <w:br/>
              <w:br/>
              <w:t>druhy ponúkaných servisných služieb,</w:t>
              <w:br/>
              <w:br/>
              <w:t>mechanizmy na urovnanie sporov vrátane tých mechanizmov, ktoré poskytuje podnik,</w:t>
              <w:br/>
              <w:br/>
              <w:t>informácie o právach súvisiacich s univerzálnou službou, vrátane tónovej voľby alebo dvojtónovej viacfrekvenčnej prevádzky, o službe prezentácie identifikácie volajúceho a zamedzenia prezentácie identifikácie volajúceho podľa § 60,</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III</w:t>
            </w:r>
          </w:p>
          <w:p w:rsidR="00BA5793">
            <w:pPr>
              <w:pStyle w:val="Heading2"/>
              <w:bidi w:val="0"/>
              <w:rPr>
                <w:rFonts w:ascii="Times New Roman" w:hAnsi="Times New Roman"/>
              </w:rPr>
            </w:pPr>
            <w:r>
              <w:rPr>
                <w:rFonts w:ascii="Times New Roman" w:hAnsi="Times New Roman"/>
              </w:rPr>
              <w:t>PARAMETRE KVALITY SLUŽBY</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xml:space="preserve">Parametre kvality služby, definície a metódy merania uvedené v článkoch </w:t>
            </w:r>
            <w:smartTag w:uri="urn:schemas-microsoft-com:office:smarttags" w:element="metricconverter">
              <w:smartTagPr>
                <w:attr w:name="ProductID" w:val="30 cm"/>
              </w:smartTagPr>
              <w:r>
                <w:rPr>
                  <w:rFonts w:ascii="Times New Roman" w:hAnsi="Times New Roman"/>
                </w:rPr>
                <w:t>11 a</w:t>
              </w:r>
            </w:smartTag>
            <w:r>
              <w:rPr>
                <w:rFonts w:ascii="Times New Roman" w:hAnsi="Times New Roman"/>
              </w:rPr>
              <w:t xml:space="preserve"> 22</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873"/>
        </w:trPr>
        <w:tc>
          <w:tcPr>
            <w:tcW w:w="900" w:type="dxa"/>
            <w:gridSpan w:val="2"/>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Pre podniky poskytujúce prístup k verejnej komunikačnej sieti</w:t>
            </w:r>
          </w:p>
          <w:p w:rsidR="00BA5793">
            <w:pPr>
              <w:bidi w:val="0"/>
              <w:rPr>
                <w:rFonts w:ascii="Times New Roman" w:hAnsi="Times New Roman"/>
                <w:sz w:val="20"/>
                <w:szCs w:val="20"/>
              </w:rPr>
            </w:pP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 style="width:187.92pt;height:105.84pt" filled="f" stroked="f">
                  <v:fill o:detectmouseclick="f"/>
                  <v:imagedata r:id="rId4" r:href="rId5" o:title=""/>
                </v:shape>
              </w:pict>
            </w:r>
          </w:p>
          <w:p w:rsidR="00BA5793">
            <w:pPr>
              <w:bidi w:val="0"/>
              <w:rPr>
                <w:rFonts w:ascii="Times New Roman" w:hAnsi="Times New Roman"/>
                <w:sz w:val="20"/>
                <w:szCs w:val="20"/>
              </w:rPr>
            </w:pPr>
            <w:r>
              <w:rPr>
                <w:rFonts w:ascii="Times New Roman" w:hAnsi="Times New Roman"/>
                <w:sz w:val="20"/>
                <w:szCs w:val="20"/>
              </w:rPr>
              <w:t>Pre podniky poskytujúce verejne dostupnú telefónnu službu</w:t>
            </w:r>
          </w:p>
          <w:p w:rsidR="00BA5793">
            <w:pPr>
              <w:bidi w:val="0"/>
              <w:rPr>
                <w:rFonts w:ascii="Times New Roman" w:hAnsi="Times New Roman"/>
                <w:sz w:val="20"/>
                <w:szCs w:val="20"/>
              </w:rPr>
            </w:pPr>
            <w:r>
              <w:rPr>
                <w:rFonts w:ascii="Times New Roman" w:hAnsi="Times New Roman"/>
                <w:sz w:val="20"/>
                <w:szCs w:val="20"/>
                <w:rtl w:val="0"/>
              </w:rPr>
              <w:pict>
                <v:shape id="_x0000_i1026" type="#_x0000_t75" alt="0" style="width:77.76pt;height:21.6pt" filled="f" stroked="f">
                  <v:fill o:detectmouseclick="f"/>
                  <v:imagedata r:id="rId6" r:href="rId7" o:title=""/>
                </v:shape>
              </w:pict>
            </w:r>
          </w:p>
          <w:p w:rsidR="00BA5793">
            <w:pPr>
              <w:bidi w:val="0"/>
              <w:rPr>
                <w:rFonts w:ascii="Times New Roman" w:hAnsi="Times New Roman"/>
                <w:sz w:val="20"/>
                <w:szCs w:val="20"/>
              </w:rPr>
            </w:pPr>
            <w:r>
              <w:rPr>
                <w:rFonts w:ascii="Times New Roman" w:hAnsi="Times New Roman"/>
                <w:i/>
                <w:iCs/>
                <w:sz w:val="20"/>
                <w:szCs w:val="20"/>
              </w:rPr>
              <w:t>Poznámka 1</w:t>
            </w:r>
          </w:p>
          <w:p w:rsidR="00BA5793">
            <w:pPr>
              <w:bidi w:val="0"/>
              <w:rPr>
                <w:rFonts w:ascii="Times New Roman" w:hAnsi="Times New Roman"/>
                <w:sz w:val="20"/>
                <w:szCs w:val="20"/>
              </w:rPr>
            </w:pPr>
            <w:r>
              <w:rPr>
                <w:rFonts w:ascii="Times New Roman" w:hAnsi="Times New Roman"/>
                <w:sz w:val="20"/>
                <w:szCs w:val="20"/>
              </w:rPr>
              <w:t>Parametre by mali umožňovať analýzu výkonnosti na regionálnej úrovni [t. j. nie nižšej ako úroveň 2 nomenklatúry územných jednotiek na štatistické účely (Nomenclature of Territorial Units for Statistics – NUTS) stanovenej Eurostatom].</w:t>
            </w:r>
          </w:p>
          <w:p w:rsidR="00BA5793">
            <w:pPr>
              <w:bidi w:val="0"/>
              <w:rPr>
                <w:rFonts w:ascii="Times New Roman" w:hAnsi="Times New Roman"/>
                <w:sz w:val="20"/>
                <w:szCs w:val="20"/>
              </w:rPr>
            </w:pPr>
            <w:r>
              <w:rPr>
                <w:rFonts w:ascii="Times New Roman" w:hAnsi="Times New Roman"/>
                <w:sz w:val="20"/>
                <w:szCs w:val="20"/>
              </w:rPr>
              <w:t>Poznámka 2</w:t>
            </w:r>
          </w:p>
          <w:p w:rsidR="00BA5793">
            <w:pPr>
              <w:bidi w:val="0"/>
              <w:rPr>
                <w:rFonts w:ascii="Times New Roman" w:eastAsia="Arial Unicode MS" w:hAnsi="Times New Roman"/>
                <w:sz w:val="20"/>
                <w:szCs w:val="20"/>
              </w:rPr>
            </w:pPr>
            <w:r>
              <w:rPr>
                <w:rFonts w:ascii="Times New Roman" w:hAnsi="Times New Roman"/>
                <w:sz w:val="20"/>
                <w:szCs w:val="20"/>
              </w:rPr>
              <w:t>Členské štáty sa môžu rozhodnúť, že nebudú vyžadovať uchovávanie aktuálnych informácií o výkone pre tieto dva parametre, ak je k dispozícii dôkaz o tom, že výkon v týchto dvoch oblastiach je uspokojivý.</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 </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§:51, O:1</w:t>
              <w:br/>
              <w:br/>
              <w:br/>
              <w:br/>
              <w:br/>
              <w:br/>
              <w:br/>
              <w:br/>
              <w:br/>
              <w:br/>
              <w:t>P:a</w:t>
              <w:br/>
              <w:br/>
              <w:t>P:b</w:t>
              <w:br/>
              <w:br/>
              <w:t>P:c</w:t>
              <w:br/>
              <w:br/>
              <w:t>P:d</w:t>
              <w:br/>
              <w:br/>
              <w:t>P:e</w:t>
              <w:br/>
              <w:br/>
              <w:br/>
              <w:t>P:f</w:t>
              <w:br/>
              <w:br/>
              <w:t>§:46, O:1</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Úrad určí v rozhodnutí podľa § 50 ods. 3 kvalitatívne ukazovatele a cieľové hodnoty univerzálnej služby a metódy ich merania v súlade s technickými normami; úrad môže určiť aj formu a spôsob ich uverejnenia.  Úrad môže určené kvalitatívne ukazovatele meniť v závislosti od technologického rozvoja. Úrad pri stanovení cieľových hodnôt zohľadňuje stanoviská dotknutých osôb získané podľa § 10. Kvalita univerzálnej služby je založená na týchto ukazovateľoch:</w:t>
              <w:br/>
              <w:br/>
              <w:t xml:space="preserve">lehota prvého pripojenia, </w:t>
              <w:br/>
              <w:br/>
              <w:t xml:space="preserve">poruchovosť na jednu účastnícku prípojku, </w:t>
              <w:br/>
              <w:br/>
              <w:t xml:space="preserve">čas potrebný na odstránenie poruchy, </w:t>
              <w:br/>
              <w:br/>
              <w:t xml:space="preserve">čas prihlásenia sa informačnej služby o telefónnych číslach, </w:t>
              <w:br/>
              <w:br/>
              <w:t xml:space="preserve">percentuálny podiel plne funkčných mincových a kartových verejných telefónnych automatov, </w:t>
              <w:br/>
              <w:br/>
              <w:t>reklamácie fakturácie.</w:t>
              <w:br/>
              <w:br/>
              <w:t>Úrad môže vo všeobecnom povolení podľa § 14 ods. 2 písm. g) určiť merateľné ukazovatele kvality verejných služieb pre koncových užívateľov  a obsah, formu a spôsob zverejnenia informácií o kvalitatívnych ukazovateľoch, vrátane mechanizmov osvedčovania kvality, aby zabezpečil pre koncových užívateľov, vrátane užívateľov so zdravotným postihnutím, prístup ku komplexným, porovnateľným, spoľahlivým a užívateľsky zrozumiteľným informáciám. Ak je to potrebné môžu sa použiť ukazovatele kvality podľa § 51 ods. 1.</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Ú</w:t>
            </w:r>
          </w:p>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IV</w:t>
            </w:r>
          </w:p>
          <w:p w:rsidR="00BA5793">
            <w:pPr>
              <w:pStyle w:val="Heading2"/>
              <w:bidi w:val="0"/>
              <w:rPr>
                <w:rFonts w:ascii="Times New Roman" w:eastAsia="Arial Unicode MS" w:hAnsi="Times New Roman"/>
              </w:rPr>
            </w:pPr>
            <w:r>
              <w:rPr>
                <w:rFonts w:ascii="Times New Roman" w:hAnsi="Times New Roman"/>
              </w:rPr>
              <w:t xml:space="preserve">KALKULÁCIA PRÍPADNÝCH ČISTÝCH NÁKLADOV ZÁVÄZKOV UNIVERZÁLNEJ SLUŽBY A ZAVEDENIE MECHANIZMU ÚHRADY ALEBO ROZDELENIA V SÚLADE S ČLÁNKAMI </w:t>
            </w:r>
            <w:smartTag w:uri="urn:schemas-microsoft-com:office:smarttags" w:element="metricconverter">
              <w:smartTagPr>
                <w:attr w:name="ProductID" w:val="30 cm"/>
              </w:smartTagPr>
              <w:r>
                <w:rPr>
                  <w:rFonts w:ascii="Times New Roman" w:hAnsi="Times New Roman"/>
                </w:rPr>
                <w:t>12 A</w:t>
              </w:r>
            </w:smartTag>
            <w:r>
              <w:rPr>
                <w:rFonts w:ascii="Times New Roman" w:hAnsi="Times New Roman"/>
              </w:rPr>
              <w:t xml:space="preserve"> 13</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Časť A: Kalkulácia čistých nákladov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Záväzky univerzálnej služby sa vzťahujú k tým povinnostiam, ktoré uložil podnikom členský štát a týkajú sa zabezpečenia siete a služby v špecifikovanej geografickej oblasti, vrátane, ak sa to vyžaduje, priemerných cien v uvedenej geografickej oblasti za poskytnutie uvedenej služby alebo poskytnutie špecifickej tarifnej voľby pre spotrebiteľov s nízkymi príjmami alebo s osobitnými sociálnymi potrebami.</w:t>
              <w:br/>
              <w:br/>
              <w:t>Národné regulačné orgány uvážia všetky prostriedky na zabezpečenie primeraných stimulov pre podniky (určené alebo nie), aby tieto záväzky univerzálnej služby plnili nákladovo efektívne. Pri kalkulácii nákladov sa čisté náklady univerzálnej služby vypočítajú ako rozdiel medzi čistými nákladmi určeného podniku s povinnosťou poskytovania univerzálnej služby a podniku bez tejto povinnosti. Toto sa uplatňuje bez ohľadu na to, či je sieť v jednotlivom členskom štáte plne rozvinutá, alebo je ešte v etape vývoja a expanzie. Náležitá pozornosť sa venuje správnemu posúdeniu nákladov, ktorým by sa určený podnik mohol vyhnúť, keby nemal žiadne povinnosti týkajúce sa poskytovania univerzálnej služby. Kalkulácia čistých nákladov by mala zhodnotiť prínosy vrátane nehmotného prospechu pre operátora univerzálnej služby.</w:t>
              <w:br/>
              <w:t>Kalkulácia ja založená na nákladoch vzťahujúcich sa k:</w:t>
            </w:r>
          </w:p>
          <w:p w:rsidR="00BA5793">
            <w:pPr>
              <w:bidi w:val="0"/>
              <w:rPr>
                <w:rFonts w:ascii="Times New Roman" w:hAnsi="Times New Roman"/>
                <w:sz w:val="20"/>
                <w:szCs w:val="20"/>
              </w:rPr>
            </w:pPr>
            <w:r>
              <w:rPr>
                <w:rFonts w:ascii="Times New Roman" w:hAnsi="Times New Roman"/>
                <w:sz w:val="20"/>
                <w:szCs w:val="20"/>
              </w:rPr>
              <w:t>i) prvkom identifikovanej služby, ktorá sa môže poskytovať so stratou alebo za nákladových podmienok, ktoré spadajú mimo rámca bežných hospodárskych noriem.</w:t>
            </w:r>
          </w:p>
          <w:p w:rsidR="00BA5793">
            <w:pPr>
              <w:bidi w:val="0"/>
              <w:rPr>
                <w:rFonts w:ascii="Times New Roman" w:hAnsi="Times New Roman"/>
                <w:sz w:val="20"/>
                <w:szCs w:val="20"/>
              </w:rPr>
            </w:pPr>
            <w:r>
              <w:rPr>
                <w:rFonts w:ascii="Times New Roman" w:hAnsi="Times New Roman"/>
                <w:sz w:val="20"/>
                <w:szCs w:val="20"/>
              </w:rPr>
              <w:t>Táto kategória môže zahŕňať prvky služby, ako je prístup k núdzovým telefónnym službám, zabezpečenie určitých verejných mincových a kartových telefónov, poskytovanie určitých služieb alebo vybavenia pre ľudí so zdravotným postihnutím, atď.</w:t>
            </w:r>
          </w:p>
          <w:p w:rsidR="00BA5793">
            <w:pPr>
              <w:bidi w:val="0"/>
              <w:rPr>
                <w:rFonts w:ascii="Times New Roman" w:hAnsi="Times New Roman"/>
                <w:sz w:val="20"/>
                <w:szCs w:val="20"/>
              </w:rPr>
            </w:pPr>
            <w:r>
              <w:rPr>
                <w:rFonts w:ascii="Times New Roman" w:hAnsi="Times New Roman"/>
                <w:sz w:val="20"/>
                <w:szCs w:val="20"/>
              </w:rPr>
              <w:t>ii) špecifickým koncovým užívateľom alebo skupinám koncových užívateľov, ktoré, berúc do úvahy náklady na zabezpečenie špecifikovanej siete a služby, vytvorené príjmy a akékoľvek geografické spriemerovanie cien uložených členským štátom, môžu byť obsluhované len so stratou alebo za nákladových podmienok, ktoré spadajú mimo rámca bežných hospodárskych noriem.</w:t>
            </w:r>
          </w:p>
          <w:p w:rsidR="00BA5793">
            <w:pPr>
              <w:bidi w:val="0"/>
              <w:rPr>
                <w:rFonts w:ascii="Times New Roman" w:hAnsi="Times New Roman"/>
                <w:sz w:val="20"/>
                <w:szCs w:val="20"/>
              </w:rPr>
            </w:pPr>
            <w:r>
              <w:rPr>
                <w:rFonts w:ascii="Times New Roman" w:hAnsi="Times New Roman"/>
                <w:sz w:val="20"/>
                <w:szCs w:val="20"/>
              </w:rPr>
              <w:t>Táto kategória zahŕňa tých koncových užívateľov alebo skupiny koncových užívateľov, ktorých by neobsluhoval obchodný podnik, ktorý nemá povinnosť poskytovať univerzálnu službu.</w:t>
            </w:r>
          </w:p>
          <w:p w:rsidR="00BA5793">
            <w:pPr>
              <w:bidi w:val="0"/>
              <w:rPr>
                <w:rFonts w:ascii="Times New Roman" w:hAnsi="Times New Roman"/>
                <w:sz w:val="20"/>
                <w:szCs w:val="20"/>
              </w:rPr>
            </w:pPr>
            <w:r>
              <w:rPr>
                <w:rFonts w:ascii="Times New Roman" w:hAnsi="Times New Roman"/>
                <w:sz w:val="20"/>
                <w:szCs w:val="20"/>
              </w:rPr>
              <w:t>Kalkulácia čistých nákladov špecifických aspektov záväzkov univerzálnej služby sa vykonáva oddelene, a tak, aby sa vyhlo dvojitému zaúčtovaniu ktorýchkoľvek priamych alebo nepriamych výnosov a nákladov. Celkové čisté náklady záväzkov univerzálnej služby pre každý podnik sa vypočítajú ako suma čistých nákladov vyplývajúcich zo špecifických komponentov záväzkov univerzálnej služby, berúc do úvahy akýkoľvek nehmotný prínos. Národný regulačný orgán je zodpovedný za overenie čistých nákladov.</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§:53, O:1</w:t>
              <w:br/>
              <w:br/>
              <w:br/>
              <w:br/>
              <w:br/>
              <w:br/>
              <w:br/>
              <w:br/>
              <w:br/>
              <w:t>O:2</w:t>
              <w:br/>
              <w:br/>
              <w:br/>
              <w:br/>
              <w:br/>
              <w:br/>
              <w:br/>
              <w:br/>
              <w:br/>
              <w:br/>
              <w:t>O:3</w:t>
              <w:br/>
              <w:br/>
              <w:br/>
              <w:br/>
              <w:br/>
              <w:br/>
              <w:br/>
              <w:t>O:4</w:t>
              <w:br/>
              <w:br/>
              <w:br/>
              <w:br/>
              <w:t>§:54, O:7</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Podnik určený na poskytovanie univerzálnej služby má právo na úhradu zistených čistých nákladov vzniknutých pri vykonávaní povinností univerzálnej služby, ak je poskytovanie univerzálnej služby pre podnik neprimeraným zaťažením. Žiadosť o úhradu čistých nákladov s podkladmi môže podnik podať úradu do dvoch rokov od uplynutia finančného roka, v ktorom vznikli, inak právo na úhradu zaniká.</w:t>
              <w:br/>
              <w:br/>
              <w:t>Úrad na základe žiadosti podniku, ktorá obsahuje podklady na výpočet čistých nákladov, posúdi, či podnik plní povinnosti vyplývajúce z poskytovania univerzálnej služby nákladovo efektívnym spôsobom a jej poskytovanie môže byť pre podnik neprimeraným zaťažením. Podklady na výpočet čistých nákladov môže úrad sám alebo prostredníctvom ním poverenej odborne spôsobilej a nezávislej osoby overovať a kontrolovať a nahliadať do účtovných kníh a záznamov; výsledky overenia podkladov úrad zverejní.</w:t>
              <w:br/>
              <w:br/>
              <w:t>Ak úrad zistí, že poskytovanie univerzálnej služby je pre podnik neprimeraným zaťažením, vypočíta čisté náklady, pričom prihliada na akúkoľvek vznikajúcu výhodu na trhu, ktorú príslušný podnik získa poskytovaním povinností univerzálnej služby a rozhodne o výške úhrady čistých nákladov. Vypočítané čisté náklady úrad zverejní.</w:t>
              <w:br/>
              <w:br/>
              <w:t>Účastníkom konania o úhrade čistých nákladov je len podnik určený na poskytovanie univerzálnej služby, ktorý podal žiadosť podľa odseku 1</w:t>
              <w:br/>
              <w:br/>
              <w:t>Podrobnosti o  úhrade čistých nákladov, o postupe pri posudzovaní neprimeraného zaťaženia, a o zriadení a spravovaní osobitného účtu ustanoví všeobecne záväzný právny predpis, ktorý vydá úrad.</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Časť B: Úhrada prípadných čistých nákladov záväzkov univerzálnej služby</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Úhrada alebo financovanie prípadných čistých nákladov záväzkov univerzálnej služby si vyžaduje, aby boli určené podniky s povinnosťou poskytovania univerzálnej služby kompenzované za služby, ktoré neposkytujú za komerčných podmienok. Pretože taká úhrada zahŕňa finančné transfery, členské štáty zabezpečia, aby sa vykonávala objektívnym, transparentným, nediskriminačným a primeraným spôsobom. To znamená, že transfery vedú k čo najmenšiemu skresleniu hospodárskej súťaže a dopytu užívateľov.</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§:53, O:1</w:t>
              <w:br/>
              <w:br/>
              <w:br/>
              <w:br/>
              <w:br/>
              <w:br/>
              <w:br/>
              <w:br/>
              <w:br/>
              <w:t>§:54, O:4</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Podnik určený na poskytovanie univerzálnej služby má právo na úhradu zistených čistých nákladov vzniknutých pri vykonávaní povinností univerzálnej služby, ak je poskytovanie univerzálnej služby pre podnik neprimeraným zaťažením. Žiadosť o úhradu čistých nákladov s podkladmi môže podnik podať úradu do dvoch rokov od uplynutia finančného roka, v ktorom vznikli, inak právo na úhradu zaniká.</w:t>
              <w:br/>
              <w:br/>
              <w:t>Úrad zverejňuje výročnú správu o hospodárení s osobitným účtom, ktorá obsahuje výšku úhrady čistých nákladov, výhody na trhu, ktoré určený podnik získal poskytovaním povinností univerzálnej služby, a určené podiely jednotlivých podnikov.</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V súlade s článkom 13 ods. 3 by mal mechanizmus rozdeľovania vychádzajúci z fondu používať transparentné a neutrálne prostriedky vyberania príspevkov, aby sa zabránilo riziku dvojitých príspevkov spadajúcich do výstupov ako aj do vstupov podnikov.</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O:2</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Výšku úhrady na osobitný účet určí úrad pre každý podnik samostatne. Výška sa odvodí z podielu ročných vnútroštátnych tržieb z poskytovania verejných sietí alebo verejných služieb v príslušnom finančnom roku. </w:t>
            </w:r>
          </w:p>
          <w:p w:rsidR="00BA5793">
            <w:pPr>
              <w:bidi w:val="0"/>
              <w:rPr>
                <w:rFonts w:ascii="Times New Roman" w:eastAsia="Arial Unicode MS" w:hAnsi="Times New Roman"/>
                <w:sz w:val="20"/>
                <w:szCs w:val="20"/>
              </w:rPr>
            </w:pPr>
            <w:r>
              <w:rPr>
                <w:rFonts w:ascii="Times New Roman" w:hAnsi="Times New Roman"/>
                <w:sz w:val="20"/>
                <w:szCs w:val="20"/>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Nezávislý orgán spravujúci fond je zodpovedný za vyberanie príspevkov od podnikov, ktoré sa považujú za podniky podliehajúce povinnosti prispievať na čisté náklady záväzkov univerzálnej služby v členskom štáte, a dozerá na transfer splatných príspevkov a/alebo správnych poplatkov podnikom, ktoré sú oprávnené prijímať platby z fondu.</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§:54, O:1</w:t>
            </w:r>
          </w:p>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Ak je to potrebné úrad zriadi a spravuje osobitný účet univerzálnej služby (ďalej len „osobitný účet") na úhradu čistých nákladov, do ktorého je povinný prispievať podnik poskytujúci verejné siete alebo verejné služby, ktorého podiel ročných tržieb na vnútroštátnom trhu verejnej siete alebo verejnej služby sa rovná alebo je vyšší ako 0,2 percenta; do tržieb sa nezapočítavajú výnosy z poskytovania služby retransmisie.</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V</w:t>
            </w:r>
          </w:p>
          <w:p w:rsidR="00BA5793">
            <w:pPr>
              <w:pStyle w:val="Heading2"/>
              <w:bidi w:val="0"/>
              <w:rPr>
                <w:rFonts w:ascii="Times New Roman" w:eastAsia="Arial Unicode MS" w:hAnsi="Times New Roman"/>
              </w:rPr>
            </w:pPr>
            <w:r>
              <w:rPr>
                <w:rFonts w:ascii="Times New Roman" w:hAnsi="Times New Roman"/>
              </w:rPr>
              <w:t>PROCES REVÍZIE ROZSAHU UNIVERZÁLNEJ SLUŽBY V SÚLADE S ČLÁNKOM 15</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Pri uvažovaní o tom, či sa má vykonať revízia rozsahu záväzkov univerzálnej služby, Komisia zohľadní tieto prvky:</w:t>
            </w:r>
          </w:p>
          <w:p w:rsidR="00BA5793">
            <w:pPr>
              <w:bidi w:val="0"/>
              <w:rPr>
                <w:rFonts w:ascii="Times New Roman" w:hAnsi="Times New Roman"/>
                <w:sz w:val="20"/>
                <w:szCs w:val="20"/>
              </w:rPr>
            </w:pPr>
            <w:r>
              <w:rPr>
                <w:rFonts w:ascii="Times New Roman" w:hAnsi="Times New Roman"/>
                <w:sz w:val="20"/>
                <w:szCs w:val="20"/>
              </w:rPr>
              <w:t>— sociálny vývoj a vývoj trhu z hľadiska služby využívanej spotrebiteľmi,</w:t>
            </w:r>
          </w:p>
          <w:p w:rsidR="00BA5793">
            <w:pPr>
              <w:bidi w:val="0"/>
              <w:rPr>
                <w:rFonts w:ascii="Times New Roman" w:hAnsi="Times New Roman"/>
                <w:sz w:val="20"/>
                <w:szCs w:val="20"/>
              </w:rPr>
            </w:pPr>
            <w:r>
              <w:rPr>
                <w:rFonts w:ascii="Times New Roman" w:hAnsi="Times New Roman"/>
                <w:sz w:val="20"/>
                <w:szCs w:val="20"/>
              </w:rPr>
              <w:t>— sociálny vývoj a vývoj trhu z hľadiska dostupnosti a výberu služieb pre spotrebiteľov,</w:t>
            </w:r>
          </w:p>
          <w:p w:rsidR="00BA5793">
            <w:pPr>
              <w:bidi w:val="0"/>
              <w:rPr>
                <w:rFonts w:ascii="Times New Roman" w:eastAsia="Arial Unicode MS" w:hAnsi="Times New Roman"/>
                <w:sz w:val="20"/>
                <w:szCs w:val="20"/>
              </w:rPr>
            </w:pPr>
            <w:r>
              <w:rPr>
                <w:rFonts w:ascii="Times New Roman" w:hAnsi="Times New Roman"/>
                <w:sz w:val="20"/>
                <w:szCs w:val="20"/>
              </w:rPr>
              <w:t>— technologický rozvoj z hľadiska spôsobu, akým sú služby spotrebiteľom poskytované.</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n.a.</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Pri uvažovaní o tom, či sa má rozsah záväzkov univerzálnej služby zmeniť alebo predefinovať, Komisia zohľadní tieto prvky:</w:t>
            </w:r>
          </w:p>
          <w:p w:rsidR="00BA5793">
            <w:pPr>
              <w:bidi w:val="0"/>
              <w:rPr>
                <w:rFonts w:ascii="Times New Roman" w:hAnsi="Times New Roman"/>
                <w:sz w:val="20"/>
                <w:szCs w:val="20"/>
              </w:rPr>
            </w:pPr>
            <w:r>
              <w:rPr>
                <w:rFonts w:ascii="Times New Roman" w:hAnsi="Times New Roman"/>
                <w:sz w:val="20"/>
                <w:szCs w:val="20"/>
              </w:rPr>
              <w:t>— sú špecifické služby dostupné a používané väčšinou spotrebiteľov a nespôsobí nedostatočná dostupnosť alebo nevyužívanie menšinou spotrebiteľov ich sociálne vylúčenie a</w:t>
            </w:r>
          </w:p>
          <w:p w:rsidR="00BA5793">
            <w:pPr>
              <w:bidi w:val="0"/>
              <w:rPr>
                <w:rFonts w:ascii="Times New Roman" w:eastAsia="Arial Unicode MS" w:hAnsi="Times New Roman"/>
                <w:sz w:val="20"/>
                <w:szCs w:val="20"/>
              </w:rPr>
            </w:pPr>
            <w:r>
              <w:rPr>
                <w:rFonts w:ascii="Times New Roman" w:hAnsi="Times New Roman"/>
                <w:sz w:val="20"/>
                <w:szCs w:val="20"/>
              </w:rPr>
              <w:t>— prinesie dostupnosť a používanie špecifických služieb všeobecný čistý prospech všetkým spotrebiteľom, takže verejný zásah je oprávnený za okolností, za ktorých nie sú špecifické služby poskytované verejnosti v bežných komerčných podmienkach?</w:t>
            </w:r>
          </w:p>
        </w:tc>
        <w:tc>
          <w:tcPr>
            <w:tcW w:w="1077"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n.a.</w:t>
            </w:r>
          </w:p>
        </w:tc>
        <w:tc>
          <w:tcPr>
            <w:tcW w:w="8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i/>
                <w:iCs/>
              </w:rPr>
              <w:t>PRÍLOHA VI</w:t>
            </w:r>
          </w:p>
          <w:p w:rsidR="00BA5793">
            <w:pPr>
              <w:pStyle w:val="Heading2"/>
              <w:bidi w:val="0"/>
              <w:rPr>
                <w:rFonts w:ascii="Times New Roman" w:eastAsia="Arial Unicode MS" w:hAnsi="Times New Roman"/>
              </w:rPr>
            </w:pPr>
            <w:r>
              <w:rPr>
                <w:rFonts w:ascii="Times New Roman" w:hAnsi="Times New Roman"/>
              </w:rPr>
              <w:t>INTEROPERABILITA DIGITÁLNEHO TELEVÍZNEHO VYBAVENIA SPOTREBITEĽA UVEDENÁ V ČLÁNKU 24</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hAnsi="Times New Roman"/>
              </w:rPr>
            </w:pPr>
            <w:r>
              <w:rPr>
                <w:rFonts w:ascii="Times New Roman" w:hAnsi="Times New Roman"/>
              </w:rPr>
              <w:t> </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pStyle w:val="Heading2"/>
              <w:bidi w:val="0"/>
              <w:rPr>
                <w:rFonts w:ascii="Times New Roman" w:eastAsia="Arial Unicode MS" w:hAnsi="Times New Roman"/>
              </w:rPr>
            </w:pPr>
            <w:r>
              <w:rPr>
                <w:rFonts w:ascii="Times New Roman" w:hAnsi="Times New Roman"/>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xml:space="preserve">1. </w:t>
            </w:r>
            <w:r>
              <w:rPr>
                <w:rFonts w:ascii="Times New Roman" w:hAnsi="Times New Roman"/>
                <w:i/>
                <w:iCs/>
                <w:sz w:val="20"/>
                <w:szCs w:val="20"/>
              </w:rPr>
              <w:t>Spoločný kódovací algoritmus a nekódovaný voľný príjem</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Celé vybavenie spotrebiteľa určené na príjem digitálneho televízneho signálu, predávané, prenajímané alebo inak dostupné v spoločenstve, ktoré môže dekódovať digitálne televízne signály, musí:</w:t>
            </w:r>
          </w:p>
          <w:p w:rsidR="00BA5793">
            <w:pPr>
              <w:bidi w:val="0"/>
              <w:rPr>
                <w:rFonts w:ascii="Times New Roman" w:hAnsi="Times New Roman"/>
                <w:sz w:val="20"/>
                <w:szCs w:val="20"/>
              </w:rPr>
            </w:pPr>
            <w:r>
              <w:rPr>
                <w:rFonts w:ascii="Times New Roman" w:hAnsi="Times New Roman"/>
                <w:sz w:val="20"/>
                <w:szCs w:val="20"/>
              </w:rPr>
              <w:t>— umožniť dekódovanie takých signálov podľa spoločného európskeho kódovacieho algoritmu spravovaného uznanou európskou normalizačnou organizáciou, v súčasnosti ETSI;</w:t>
            </w:r>
          </w:p>
          <w:p w:rsidR="00BA5793">
            <w:pPr>
              <w:bidi w:val="0"/>
              <w:rPr>
                <w:rFonts w:ascii="Times New Roman" w:eastAsia="Arial Unicode MS" w:hAnsi="Times New Roman"/>
                <w:sz w:val="20"/>
                <w:szCs w:val="20"/>
              </w:rPr>
            </w:pPr>
            <w:r>
              <w:rPr>
                <w:rFonts w:ascii="Times New Roman" w:hAnsi="Times New Roman"/>
                <w:sz w:val="20"/>
                <w:szCs w:val="20"/>
              </w:rPr>
              <w:t>— zobraziť signály, ktoré boli ako nezakódované prenesené za predpokladu, že, v prípade prenájmu takého vybavenia, nájomník dodržiava príslušnú zmluvu o prenájme.</w:t>
            </w:r>
          </w:p>
        </w:tc>
        <w:tc>
          <w:tcPr>
            <w:tcW w:w="1077"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§:36, O:3</w:t>
            </w:r>
          </w:p>
        </w:tc>
        <w:tc>
          <w:tcPr>
            <w:tcW w:w="50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interoperabilite koncových zariadení určených na príjem digitálneho televízneho signálu a interoperabilite analógových a digitálnych televíznych prijímačov ustanoví vláda nariadením.</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xml:space="preserve">2. </w:t>
            </w:r>
            <w:r>
              <w:rPr>
                <w:rFonts w:ascii="Times New Roman" w:hAnsi="Times New Roman"/>
                <w:i/>
                <w:iCs/>
                <w:sz w:val="20"/>
                <w:szCs w:val="20"/>
              </w:rPr>
              <w:t>Interoperabilita analógových a digitálnych televíznych prístrojov</w:t>
            </w:r>
          </w:p>
        </w:tc>
        <w:tc>
          <w:tcPr>
            <w:tcW w:w="1077"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8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92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0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c>
          <w:tcPr>
            <w:tcW w:w="108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 </w:t>
            </w:r>
          </w:p>
        </w:tc>
      </w:tr>
      <w:tr>
        <w:tblPrEx>
          <w:tblW w:w="16020" w:type="dxa"/>
          <w:tblInd w:w="-857" w:type="dxa"/>
          <w:tblLayout w:type="fixed"/>
          <w:tblCellMar>
            <w:left w:w="0" w:type="dxa"/>
            <w:right w:w="0" w:type="dxa"/>
          </w:tblCellMar>
        </w:tblPrEx>
        <w:trPr>
          <w:trHeight w:val="62"/>
        </w:trPr>
        <w:tc>
          <w:tcPr>
            <w:tcW w:w="900"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w:t>
            </w:r>
          </w:p>
        </w:tc>
        <w:tc>
          <w:tcPr>
            <w:tcW w:w="53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 xml:space="preserve">Každý analógový televízny prístroj s integrálnou obrazovkou s viditeľnou uhlopriečkou väčšou než </w:t>
            </w:r>
            <w:smartTag w:uri="urn:schemas-microsoft-com:office:smarttags" w:element="metricconverter">
              <w:smartTagPr>
                <w:attr w:name="ProductID" w:val="30 cm"/>
              </w:smartTagPr>
              <w:r>
                <w:rPr>
                  <w:rFonts w:ascii="Times New Roman" w:hAnsi="Times New Roman"/>
                  <w:sz w:val="20"/>
                  <w:szCs w:val="20"/>
                </w:rPr>
                <w:t>42 cm</w:t>
              </w:r>
            </w:smartTag>
            <w:r>
              <w:rPr>
                <w:rFonts w:ascii="Times New Roman" w:hAnsi="Times New Roman"/>
                <w:sz w:val="20"/>
                <w:szCs w:val="20"/>
              </w:rPr>
              <w:t>, ktorý je uvedený na trh s cieľom predaja alebo prenájmu v spoločenstve, je vybavený aspoň otvorenou pripojovacou zásuvkou, normalizovanou uznanou európskou normalizačnou organizáciou, napr. normou CENELEC EN 50 049-1:1997, umožňujúcou jednoduché pripojenie periférnych prístrojov najmä doplnkových dekodérov a digitálnych prijímačov.</w:t>
            </w:r>
          </w:p>
          <w:p w:rsidR="00BA5793">
            <w:pPr>
              <w:bidi w:val="0"/>
              <w:rPr>
                <w:rFonts w:ascii="Times New Roman" w:eastAsia="Arial Unicode MS" w:hAnsi="Times New Roman"/>
                <w:sz w:val="20"/>
                <w:szCs w:val="20"/>
              </w:rPr>
            </w:pPr>
            <w:r>
              <w:rPr>
                <w:rFonts w:ascii="Times New Roman" w:hAnsi="Times New Roman"/>
                <w:sz w:val="20"/>
                <w:szCs w:val="20"/>
              </w:rPr>
              <w:t xml:space="preserve">Každý digitálny televízny prístroj s integrálnou obrazovkou s viditeľnou uhlopriečkou väčšou než </w:t>
            </w:r>
            <w:smartTag w:uri="urn:schemas-microsoft-com:office:smarttags" w:element="metricconverter">
              <w:smartTagPr>
                <w:attr w:name="ProductID" w:val="30 cm"/>
              </w:smartTagPr>
              <w:r>
                <w:rPr>
                  <w:rFonts w:ascii="Times New Roman" w:hAnsi="Times New Roman"/>
                  <w:sz w:val="20"/>
                  <w:szCs w:val="20"/>
                </w:rPr>
                <w:t>30 cm</w:t>
              </w:r>
            </w:smartTag>
            <w:r>
              <w:rPr>
                <w:rFonts w:ascii="Times New Roman" w:hAnsi="Times New Roman"/>
                <w:sz w:val="20"/>
                <w:szCs w:val="20"/>
              </w:rPr>
              <w:t>, ktorý je uvedený na trh s cieľom predaja alebo prenájmu v spoločenstve, je vybavený aspoň otvorenou pripojovacou zásuvkou (buď normalizovanou alebo zodpovedajúcou norme prijatej uznanou európskou normalizačnou organizáciou, alebo zodpovedajúcou rozšírenej priemyselnej špecifikácii), napr. spoločným DVB rozhraním, umožňujúcim jednoduché pripojenie periférnych prístrojov a schopným prepustiť všetky prvky digitálneho televízneho signálu vrátane informácií týkajúcich sa interaktívnych a prístup kontrolujúcich služieb.</w:t>
            </w:r>
          </w:p>
        </w:tc>
        <w:tc>
          <w:tcPr>
            <w:tcW w:w="1077"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N</w:t>
            </w:r>
          </w:p>
        </w:tc>
        <w:tc>
          <w:tcPr>
            <w:tcW w:w="8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1</w:t>
            </w:r>
          </w:p>
        </w:tc>
        <w:tc>
          <w:tcPr>
            <w:tcW w:w="92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§:36,O:3</w:t>
            </w:r>
          </w:p>
        </w:tc>
        <w:tc>
          <w:tcPr>
            <w:tcW w:w="50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hAnsi="Times New Roman"/>
                <w:sz w:val="20"/>
                <w:szCs w:val="20"/>
              </w:rPr>
            </w:pPr>
            <w:r>
              <w:rPr>
                <w:rFonts w:ascii="Times New Roman" w:hAnsi="Times New Roman"/>
                <w:sz w:val="20"/>
                <w:szCs w:val="20"/>
              </w:rPr>
              <w:t>Podrobnosti o interoperabilite koncových zariadení určených na príjem digitálneho televízneho signálu a interoperabilite analógových a digitálnych televíznych prijímačov ustanoví vláda nariadením.</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Ú</w:t>
            </w:r>
          </w:p>
        </w:tc>
        <w:tc>
          <w:tcPr>
            <w:tcW w:w="108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A5793">
            <w:pPr>
              <w:bidi w:val="0"/>
              <w:rPr>
                <w:rFonts w:ascii="Times New Roman" w:eastAsia="Arial Unicode MS" w:hAnsi="Times New Roman"/>
                <w:sz w:val="20"/>
                <w:szCs w:val="20"/>
              </w:rPr>
            </w:pPr>
            <w:r>
              <w:rPr>
                <w:rFonts w:ascii="Times New Roman" w:hAnsi="Times New Roman"/>
                <w:sz w:val="20"/>
                <w:szCs w:val="20"/>
              </w:rPr>
              <w:t>4. Nariadenie vlády č. č. 26/2005 Z</w:t>
            </w:r>
          </w:p>
        </w:tc>
      </w:tr>
    </w:tbl>
    <w:p w:rsidR="00BA5793" w:rsidP="00F8316F">
      <w:pPr>
        <w:bidi w:val="0"/>
        <w:rPr>
          <w:rFonts w:ascii="Times New Roman" w:hAnsi="Times New Roman"/>
          <w:lang w:val="cs-CZ"/>
        </w:rPr>
      </w:pPr>
    </w:p>
    <w:sectPr>
      <w:footerReference w:type="default" r:id="rId8"/>
      <w:pgSz w:w="16838" w:h="11906" w:orient="landscape" w:code="9"/>
      <w:pgMar w:top="1418" w:right="1418" w:bottom="1418" w:left="1418"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93">
    <w:pPr>
      <w:pStyle w:val="Footer"/>
      <w:framePr w:vAnchor="text" w:hAnchor="margin" w:xAlign="right"/>
      <w:bidi w:val="0"/>
      <w:rPr>
        <w:rStyle w:val="PageNumber"/>
      </w:rPr>
    </w:pPr>
    <w:r>
      <w:rPr>
        <w:rStyle w:val="PageNumber"/>
        <w:rFonts w:ascii="Arial Unicode MS" w:hAnsi="Arial Unicode MS" w:cs="Arial Unicode MS"/>
      </w:rPr>
      <w:fldChar w:fldCharType="begin"/>
    </w:r>
    <w:r>
      <w:rPr>
        <w:rStyle w:val="PageNumber"/>
        <w:rFonts w:ascii="Arial Unicode MS" w:hAnsi="Arial Unicode MS" w:cs="Arial Unicode MS"/>
      </w:rPr>
      <w:instrText xml:space="preserve">PAGE  </w:instrText>
    </w:r>
    <w:r>
      <w:rPr>
        <w:rStyle w:val="PageNumber"/>
        <w:rFonts w:ascii="Arial Unicode MS" w:hAnsi="Arial Unicode MS" w:cs="Arial Unicode MS"/>
      </w:rPr>
      <w:fldChar w:fldCharType="separate"/>
    </w:r>
    <w:r w:rsidR="00F8316F">
      <w:rPr>
        <w:rStyle w:val="PageNumber"/>
        <w:rFonts w:ascii="Arial Unicode MS" w:hAnsi="Arial Unicode MS" w:cs="Arial Unicode MS"/>
        <w:noProof/>
      </w:rPr>
      <w:t>47</w:t>
    </w:r>
    <w:r>
      <w:rPr>
        <w:rStyle w:val="PageNumber"/>
        <w:rFonts w:ascii="Arial Unicode MS" w:hAnsi="Arial Unicode MS" w:cs="Arial Unicode MS"/>
      </w:rPr>
      <w:fldChar w:fldCharType="end"/>
    </w:r>
  </w:p>
  <w:p w:rsidR="00BA5793">
    <w:pPr>
      <w:pStyle w:val="Footer"/>
      <w:bidi w:val="0"/>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3">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4DBC68FD"/>
    <w:multiLevelType w:val="hybridMultilevel"/>
    <w:tmpl w:val="0F6858F0"/>
    <w:lvl w:ilvl="0">
      <w:start w:val="1"/>
      <w:numFmt w:val="lowerLetter"/>
      <w:lvlText w:val="%1)"/>
      <w:lvlJc w:val="left"/>
      <w:pPr>
        <w:tabs>
          <w:tab w:val="num" w:pos="360"/>
        </w:tabs>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620D652B"/>
    <w:multiLevelType w:val="hybridMultilevel"/>
    <w:tmpl w:val="E4A8A28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8">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
  </w:num>
  <w:num w:numId="2">
    <w:abstractNumId w:val="2"/>
  </w:num>
  <w:num w:numId="3">
    <w:abstractNumId w:val="7"/>
  </w:num>
  <w:num w:numId="4">
    <w:abstractNumId w:val="8"/>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16BA3"/>
    <w:rsid w:val="00AA5EE4"/>
    <w:rsid w:val="00BA5793"/>
    <w:rsid w:val="00F16BA3"/>
    <w:rsid w:val="00F8316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spacing w:before="60" w:after="60"/>
      <w:ind w:left="0" w:right="0"/>
      <w:jc w:val="left"/>
      <w:textAlignment w:val="auto"/>
    </w:pPr>
    <w:rPr>
      <w:rFonts w:cs="Times New Roman"/>
      <w:sz w:val="24"/>
      <w:szCs w:val="24"/>
      <w:rtl w:val="0"/>
      <w:cs w:val="0"/>
      <w:lang w:val="sk-SK" w:eastAsia="cs-CZ" w:bidi="ar-SA"/>
    </w:rPr>
  </w:style>
  <w:style w:type="paragraph" w:styleId="Heading1">
    <w:name w:val="heading 1"/>
    <w:basedOn w:val="Normal"/>
    <w:uiPriority w:val="99"/>
    <w:pPr>
      <w:autoSpaceDE/>
      <w:autoSpaceDN/>
      <w:spacing w:before="100" w:beforeAutospacing="1" w:after="100" w:afterAutospacing="1"/>
      <w:jc w:val="left"/>
      <w:outlineLvl w:val="0"/>
    </w:pPr>
    <w:rPr>
      <w:rFonts w:ascii="Arial Unicode MS" w:eastAsia="Arial Unicode MS" w:hAnsi="Arial Unicode MS" w:cs="Arial Unicode MS"/>
      <w:b/>
      <w:bCs/>
      <w:kern w:val="36"/>
      <w:sz w:val="48"/>
      <w:szCs w:val="48"/>
      <w:lang w:val="cs-CZ"/>
    </w:rPr>
  </w:style>
  <w:style w:type="paragraph" w:styleId="Heading2">
    <w:name w:val="heading 2"/>
    <w:basedOn w:val="Normal"/>
    <w:next w:val="Normal"/>
    <w:uiPriority w:val="99"/>
    <w:pPr>
      <w:keepNext/>
      <w:jc w:val="left"/>
      <w:outlineLvl w:val="1"/>
    </w:pPr>
    <w:rPr>
      <w:b/>
      <w:bCs/>
      <w:sz w:val="20"/>
      <w:szCs w:val="20"/>
    </w:rPr>
  </w:style>
  <w:style w:type="paragraph" w:styleId="Heading3">
    <w:name w:val="heading 3"/>
    <w:basedOn w:val="Normal"/>
    <w:next w:val="Normal"/>
    <w:uiPriority w:val="99"/>
    <w:pPr>
      <w:keepNext/>
      <w:numPr>
        <w:ilvl w:val="2"/>
        <w:numId w:val="3"/>
      </w:numPr>
      <w:tabs>
        <w:tab w:val="left" w:pos="709"/>
        <w:tab w:val="num" w:pos="1440"/>
      </w:tabs>
      <w:spacing w:line="240" w:lineRule="atLeast"/>
      <w:ind w:left="1224" w:hanging="504"/>
      <w:jc w:val="left"/>
      <w:outlineLvl w:val="2"/>
    </w:pPr>
    <w:rPr>
      <w:b/>
      <w:bCs/>
      <w:color w:val="000000"/>
      <w:lang w:val="cs-CZ"/>
    </w:rPr>
  </w:style>
  <w:style w:type="paragraph" w:styleId="Heading4">
    <w:name w:val="heading 4"/>
    <w:basedOn w:val="Normal"/>
    <w:uiPriority w:val="99"/>
    <w:pPr>
      <w:autoSpaceDE/>
      <w:autoSpaceDN/>
      <w:spacing w:before="100" w:beforeAutospacing="1" w:after="100" w:afterAutospacing="1"/>
      <w:jc w:val="left"/>
      <w:outlineLvl w:val="3"/>
    </w:pPr>
    <w:rPr>
      <w:rFonts w:ascii="Arial Unicode MS" w:eastAsia="Arial Unicode MS" w:hAnsi="Arial Unicode MS" w:cs="Arial Unicode MS"/>
      <w:b/>
      <w:bCs/>
      <w:lang w:val="cs-CZ"/>
    </w:rPr>
  </w:style>
  <w:style w:type="paragraph" w:styleId="Heading5">
    <w:name w:val="heading 5"/>
    <w:basedOn w:val="Normal"/>
    <w:uiPriority w:val="99"/>
    <w:pPr>
      <w:autoSpaceDE/>
      <w:autoSpaceDN/>
      <w:spacing w:before="100" w:beforeAutospacing="1" w:after="100" w:afterAutospacing="1"/>
      <w:jc w:val="left"/>
      <w:outlineLvl w:val="4"/>
    </w:pPr>
    <w:rPr>
      <w:rFonts w:ascii="Arial Unicode MS" w:eastAsia="Arial Unicode MS" w:hAnsi="Arial Unicode MS" w:cs="Arial Unicode MS"/>
      <w:b/>
      <w:bCs/>
      <w:sz w:val="20"/>
      <w:szCs w:val="20"/>
      <w:lang w:val="cs-CZ"/>
    </w:rPr>
  </w:style>
  <w:style w:type="paragraph" w:styleId="Heading6">
    <w:name w:val="heading 6"/>
    <w:basedOn w:val="Normal"/>
    <w:next w:val="Normal"/>
    <w:uiPriority w:val="99"/>
    <w:pPr>
      <w:keepNext/>
      <w:tabs>
        <w:tab w:val="left" w:pos="8566"/>
        <w:tab w:val="left" w:pos="14248"/>
      </w:tabs>
      <w:ind w:right="636"/>
      <w:jc w:val="center"/>
      <w:outlineLvl w:val="5"/>
    </w:pPr>
    <w:rPr>
      <w:b/>
      <w:bCs/>
    </w:rPr>
  </w:style>
  <w:style w:type="paragraph" w:styleId="Heading7">
    <w:name w:val="heading 7"/>
    <w:basedOn w:val="Normal"/>
    <w:next w:val="Normal"/>
    <w:uiPriority w:val="99"/>
    <w:pPr>
      <w:keepNext/>
      <w:jc w:val="center"/>
      <w:outlineLvl w:val="6"/>
    </w:pPr>
    <w:rPr>
      <w:b/>
      <w:bCs/>
    </w:rPr>
  </w:style>
  <w:style w:type="paragraph" w:styleId="Heading8">
    <w:name w:val="heading 8"/>
    <w:basedOn w:val="Normal"/>
    <w:uiPriority w:val="99"/>
    <w:pPr>
      <w:autoSpaceDE/>
      <w:autoSpaceDN/>
      <w:spacing w:before="100" w:beforeAutospacing="1" w:after="100" w:afterAutospacing="1"/>
      <w:jc w:val="left"/>
      <w:outlineLvl w:val="7"/>
    </w:pPr>
    <w:rPr>
      <w:rFonts w:ascii="Arial Unicode MS" w:eastAsia="Arial Unicode MS" w:hAnsi="Arial Unicode MS" w:cs="Arial Unicode MS"/>
      <w:lang w:val="cs-CZ"/>
    </w:rPr>
  </w:style>
  <w:style w:type="paragraph" w:styleId="Heading9">
    <w:name w:val="heading 9"/>
    <w:basedOn w:val="Normal"/>
    <w:uiPriority w:val="99"/>
    <w:pPr>
      <w:autoSpaceDE/>
      <w:autoSpaceDN/>
      <w:spacing w:before="100" w:beforeAutospacing="1" w:after="100" w:afterAutospacing="1"/>
      <w:jc w:val="left"/>
      <w:outlineLvl w:val="8"/>
    </w:pPr>
    <w:rPr>
      <w:rFonts w:ascii="Arial Unicode MS" w:eastAsia="Arial Unicode MS" w:hAnsi="Arial Unicode MS" w:cs="Arial Unicode MS"/>
      <w:lang w:val="cs-CZ"/>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Heading1Char">
    <w:name w:val="Heading 1 Char"/>
    <w:basedOn w:val="DefaultParagraphFont"/>
    <w:uiPriority w:val="99"/>
    <w:rPr>
      <w:rFonts w:ascii="Cambria" w:hAnsi="Cambria" w:cs="Cambria"/>
      <w:b/>
      <w:bCs/>
      <w:kern w:val="32"/>
      <w:sz w:val="32"/>
      <w:szCs w:val="32"/>
      <w:rtl w:val="0"/>
      <w:cs w:val="0"/>
      <w:lang w:val="x-none" w:eastAsia="cs-CZ"/>
    </w:rPr>
  </w:style>
  <w:style w:type="character" w:customStyle="1" w:styleId="Heading2Char">
    <w:name w:val="Heading 2 Char"/>
    <w:basedOn w:val="DefaultParagraphFont"/>
    <w:uiPriority w:val="99"/>
    <w:rPr>
      <w:rFonts w:ascii="Cambria" w:hAnsi="Cambria" w:cs="Cambria"/>
      <w:b/>
      <w:bCs/>
      <w:i/>
      <w:iCs/>
      <w:sz w:val="28"/>
      <w:szCs w:val="28"/>
      <w:rtl w:val="0"/>
      <w:cs w:val="0"/>
      <w:lang w:val="x-none" w:eastAsia="cs-CZ"/>
    </w:rPr>
  </w:style>
  <w:style w:type="character" w:customStyle="1" w:styleId="Heading3Char">
    <w:name w:val="Heading 3 Char"/>
    <w:basedOn w:val="DefaultParagraphFont"/>
    <w:uiPriority w:val="99"/>
    <w:rPr>
      <w:rFonts w:ascii="Cambria" w:hAnsi="Cambria" w:cs="Cambria"/>
      <w:b/>
      <w:bCs/>
      <w:sz w:val="26"/>
      <w:szCs w:val="26"/>
      <w:rtl w:val="0"/>
      <w:cs w:val="0"/>
      <w:lang w:val="x-none" w:eastAsia="cs-CZ"/>
    </w:rPr>
  </w:style>
  <w:style w:type="character" w:customStyle="1" w:styleId="Heading4Char">
    <w:name w:val="Heading 4 Char"/>
    <w:basedOn w:val="DefaultParagraphFont"/>
    <w:uiPriority w:val="99"/>
    <w:rPr>
      <w:rFonts w:ascii="Calibri" w:hAnsi="Calibri" w:cs="Calibri"/>
      <w:b/>
      <w:bCs/>
      <w:sz w:val="28"/>
      <w:szCs w:val="28"/>
      <w:rtl w:val="0"/>
      <w:cs w:val="0"/>
      <w:lang w:val="x-none" w:eastAsia="cs-CZ"/>
    </w:rPr>
  </w:style>
  <w:style w:type="character" w:customStyle="1" w:styleId="Heading5Char">
    <w:name w:val="Heading 5 Char"/>
    <w:basedOn w:val="DefaultParagraphFont"/>
    <w:uiPriority w:val="99"/>
    <w:rPr>
      <w:rFonts w:ascii="Calibri" w:hAnsi="Calibri" w:cs="Calibri"/>
      <w:b/>
      <w:bCs/>
      <w:i/>
      <w:iCs/>
      <w:sz w:val="26"/>
      <w:szCs w:val="26"/>
      <w:rtl w:val="0"/>
      <w:cs w:val="0"/>
      <w:lang w:val="x-none" w:eastAsia="cs-CZ"/>
    </w:rPr>
  </w:style>
  <w:style w:type="character" w:customStyle="1" w:styleId="Heading8Char">
    <w:name w:val="Heading 8 Char"/>
    <w:basedOn w:val="DefaultParagraphFont"/>
    <w:uiPriority w:val="99"/>
    <w:rPr>
      <w:rFonts w:ascii="Calibri" w:hAnsi="Calibri" w:cs="Calibri"/>
      <w:i/>
      <w:iCs/>
      <w:sz w:val="24"/>
      <w:szCs w:val="24"/>
      <w:rtl w:val="0"/>
      <w:cs w:val="0"/>
      <w:lang w:val="x-none" w:eastAsia="cs-CZ"/>
    </w:rPr>
  </w:style>
  <w:style w:type="character" w:customStyle="1" w:styleId="Heading9Char">
    <w:name w:val="Heading 9 Char"/>
    <w:basedOn w:val="DefaultParagraphFont"/>
    <w:uiPriority w:val="99"/>
    <w:rPr>
      <w:rFonts w:ascii="Cambria" w:hAnsi="Cambria" w:cs="Cambria"/>
      <w:sz w:val="22"/>
      <w:szCs w:val="22"/>
      <w:rtl w:val="0"/>
      <w:cs w:val="0"/>
      <w:lang w:val="x-none" w:eastAsia="cs-CZ"/>
    </w:rPr>
  </w:style>
  <w:style w:type="paragraph" w:styleId="BodyText">
    <w:name w:val="Body Text"/>
    <w:basedOn w:val="Normal"/>
    <w:uiPriority w:val="99"/>
    <w:pPr>
      <w:numPr>
        <w:numId w:val="5"/>
      </w:numPr>
      <w:tabs>
        <w:tab w:val="num" w:pos="720"/>
      </w:tabs>
      <w:spacing w:after="0"/>
      <w:ind w:left="720" w:hanging="360"/>
      <w:jc w:val="both"/>
    </w:pPr>
  </w:style>
  <w:style w:type="character" w:customStyle="1" w:styleId="BodyTextChar">
    <w:name w:val="Body Text Char"/>
    <w:basedOn w:val="DefaultParagraphFont"/>
    <w:uiPriority w:val="99"/>
    <w:rPr>
      <w:rFonts w:ascii="Times New Roman" w:hAnsi="Times New Roman" w:cs="Times New Roman"/>
      <w:sz w:val="24"/>
      <w:szCs w:val="24"/>
      <w:rtl w:val="0"/>
      <w:cs w:val="0"/>
      <w:lang w:val="x-none" w:eastAsia="cs-CZ"/>
    </w:rPr>
  </w:style>
  <w:style w:type="paragraph" w:customStyle="1" w:styleId="Odsektext">
    <w:name w:val="Odsek text"/>
    <w:basedOn w:val="Normal"/>
    <w:autoRedefine/>
    <w:uiPriority w:val="99"/>
    <w:pPr>
      <w:spacing w:line="360" w:lineRule="auto"/>
      <w:jc w:val="both"/>
    </w:pPr>
    <w:rPr>
      <w:lang w:val="en-GB"/>
    </w:rPr>
  </w:style>
  <w:style w:type="paragraph" w:customStyle="1" w:styleId="adresa">
    <w:name w:val="adresa"/>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customStyle="1" w:styleId="abc">
    <w:name w:val="abc"/>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textpoznmkypodiarouchar">
    <w:name w:val="textpoznmkypodiarouchar"/>
    <w:basedOn w:val="DefaultParagraphFont"/>
    <w:uiPriority w:val="99"/>
    <w:rPr>
      <w:rFonts w:ascii="Times New Roman" w:hAnsi="Times New Roman" w:cs="Times New Roman"/>
      <w:rtl w:val="0"/>
      <w:cs w:val="0"/>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3">
    <w:name w:val="Body Text 3"/>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BodyText3Char">
    <w:name w:val="Body Text 3 Char"/>
    <w:basedOn w:val="DefaultParagraphFont"/>
    <w:uiPriority w:val="99"/>
    <w:rPr>
      <w:rFonts w:ascii="Times New Roman" w:hAnsi="Times New Roman" w:cs="Times New Roman"/>
      <w:sz w:val="16"/>
      <w:szCs w:val="16"/>
      <w:rtl w:val="0"/>
      <w:cs w:val="0"/>
      <w:lang w:val="x-none" w:eastAsia="cs-CZ"/>
    </w:rPr>
  </w:style>
  <w:style w:type="paragraph" w:styleId="Header">
    <w:name w:val="header"/>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HeaderChar">
    <w:name w:val="Header Char"/>
    <w:basedOn w:val="DefaultParagraphFont"/>
    <w:uiPriority w:val="99"/>
    <w:rPr>
      <w:rFonts w:ascii="Times New Roman" w:hAnsi="Times New Roman" w:cs="Times New Roman"/>
      <w:sz w:val="24"/>
      <w:szCs w:val="24"/>
      <w:rtl w:val="0"/>
      <w:cs w:val="0"/>
      <w:lang w:val="x-none" w:eastAsia="cs-CZ"/>
    </w:rPr>
  </w:style>
  <w:style w:type="paragraph" w:styleId="FootnoteText">
    <w:name w:val="footnote tex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FootnoteTextChar">
    <w:name w:val="Footnote Text Char"/>
    <w:basedOn w:val="DefaultParagraphFont"/>
    <w:uiPriority w:val="99"/>
    <w:rPr>
      <w:rFonts w:ascii="Times New Roman" w:hAnsi="Times New Roman" w:cs="Times New Roman"/>
      <w:rtl w:val="0"/>
      <w:cs w:val="0"/>
      <w:lang w:val="x-none" w:eastAsia="cs-CZ"/>
    </w:rPr>
  </w:style>
  <w:style w:type="paragraph" w:styleId="BodyTextIndent">
    <w:name w:val="Body Text Inden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BodyTextIndentChar">
    <w:name w:val="Body Text Indent Char"/>
    <w:basedOn w:val="DefaultParagraphFont"/>
    <w:uiPriority w:val="99"/>
    <w:rPr>
      <w:rFonts w:ascii="Times New Roman" w:hAnsi="Times New Roman" w:cs="Times New Roman"/>
      <w:sz w:val="24"/>
      <w:szCs w:val="24"/>
      <w:rtl w:val="0"/>
      <w:cs w:val="0"/>
      <w:lang w:val="x-none" w:eastAsia="cs-CZ"/>
    </w:rPr>
  </w:style>
  <w:style w:type="paragraph" w:customStyle="1" w:styleId="para">
    <w:name w:val="para"/>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2">
    <w:name w:val="Body Text 2"/>
    <w:basedOn w:val="Normal"/>
    <w:uiPriority w:val="99"/>
    <w:pPr>
      <w:spacing w:before="0" w:after="0"/>
      <w:jc w:val="left"/>
    </w:pPr>
    <w:rPr>
      <w:sz w:val="20"/>
      <w:szCs w:val="20"/>
    </w:rPr>
  </w:style>
  <w:style w:type="character" w:customStyle="1" w:styleId="BodyText2Char">
    <w:name w:val="Body Text 2 Char"/>
    <w:basedOn w:val="DefaultParagraphFont"/>
    <w:uiPriority w:val="99"/>
    <w:rPr>
      <w:rFonts w:ascii="Times New Roman" w:hAnsi="Times New Roman" w:cs="Times New Roman"/>
      <w:sz w:val="24"/>
      <w:szCs w:val="24"/>
      <w:rtl w:val="0"/>
      <w:cs w:val="0"/>
      <w:lang w:val="x-none" w:eastAsia="cs-CZ"/>
    </w:rPr>
  </w:style>
  <w:style w:type="paragraph" w:styleId="CommentText">
    <w:name w:val="annotation tex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CommentTextChar">
    <w:name w:val="Comment Text Char"/>
    <w:basedOn w:val="DefaultParagraphFont"/>
    <w:uiPriority w:val="99"/>
    <w:rPr>
      <w:rFonts w:ascii="Times New Roman" w:hAnsi="Times New Roman" w:cs="Times New Roman"/>
      <w:rtl w:val="0"/>
      <w:cs w:val="0"/>
      <w:lang w:val="x-none" w:eastAsia="cs-CZ"/>
    </w:rPr>
  </w:style>
  <w:style w:type="paragraph" w:customStyle="1" w:styleId="point1">
    <w:name w:val="point1"/>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er">
    <w:name w:val="footer"/>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FooterChar">
    <w:name w:val="Footer Char"/>
    <w:basedOn w:val="DefaultParagraphFont"/>
    <w:uiPriority w:val="99"/>
    <w:rPr>
      <w:rFonts w:ascii="Times New Roman" w:hAnsi="Times New Roman" w:cs="Times New Roman"/>
      <w:sz w:val="24"/>
      <w:szCs w:val="24"/>
      <w:rtl w:val="0"/>
      <w:cs w:val="0"/>
      <w:lang w:val="x-none" w:eastAsia="cs-CZ"/>
    </w:rPr>
  </w:style>
  <w:style w:type="character" w:styleId="Hyperlink">
    <w:name w:val="Hyperlink"/>
    <w:basedOn w:val="DefaultParagraphFont"/>
    <w:uiPriority w:val="99"/>
    <w:rPr>
      <w:rFonts w:ascii="Times New Roman" w:hAnsi="Times New Roman" w:cs="Times New Roman"/>
      <w:color w:val="0000FF"/>
      <w:u w:val="single"/>
      <w:rtl w:val="0"/>
      <w:cs w:val="0"/>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BalloonText">
    <w:name w:val="Balloon Text"/>
    <w:basedOn w:val="Normal"/>
    <w:uiPriority w:val="99"/>
    <w:pPr>
      <w:jc w:val="left"/>
    </w:pPr>
    <w:rPr>
      <w:rFonts w:ascii="Tahoma" w:hAnsi="Tahoma" w:cs="Tahoma"/>
      <w:sz w:val="16"/>
      <w:szCs w:val="16"/>
    </w:rPr>
  </w:style>
  <w:style w:type="character" w:customStyle="1" w:styleId="BalloonTextChar">
    <w:name w:val="Balloon Text Char"/>
    <w:basedOn w:val="DefaultParagraphFont"/>
    <w:uiPriority w:val="99"/>
    <w:rPr>
      <w:rFonts w:ascii="Times New Roman" w:hAnsi="Times New Roman" w:cs="Times New Roman"/>
      <w:sz w:val="2"/>
      <w:szCs w:val="2"/>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character" w:styleId="FollowedHyperlink">
    <w:name w:val="FollowedHyperlink"/>
    <w:basedOn w:val="DefaultParagraphFont"/>
    <w:uiPriority w:val="99"/>
    <w:rPr>
      <w:rFonts w:ascii="Times New Roman" w:hAnsi="Times New Roman"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rpo.rokovania.sk/lrv/PublishHtmlFile/761b5802-d4d2-4339-ad32-a719f1b3f913_files/image002.gif" TargetMode="External" /><Relationship Id="rId6" Type="http://schemas.openxmlformats.org/officeDocument/2006/relationships/image" Target="media/image2.png" /><Relationship Id="rId7" Type="http://schemas.openxmlformats.org/officeDocument/2006/relationships/image" Target="http://rpo.rokovania.sk/lrv/PublishHtmlFile/761b5802-d4d2-4339-ad32-a719f1b3f913_files/image004.gi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TotalTime>
  <Pages>47</Pages>
  <Words>18076</Words>
  <Characters>103036</Characters>
  <Application>Microsoft Office Word</Application>
  <DocSecurity>0</DocSecurity>
  <Lines>0</Lines>
  <Paragraphs>0</Paragraphs>
  <ScaleCrop>false</ScaleCrop>
  <Company>mdvrr</Company>
  <LinksUpToDate>false</LinksUpToDate>
  <CharactersWithSpaces>120871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MDVRR</dc:creator>
  <cp:lastModifiedBy>petrikova</cp:lastModifiedBy>
  <cp:revision>5</cp:revision>
  <cp:lastPrinted>2011-06-03T07:51:00Z</cp:lastPrinted>
  <dcterms:created xsi:type="dcterms:W3CDTF">2011-05-31T15:01:00Z</dcterms:created>
  <dcterms:modified xsi:type="dcterms:W3CDTF">2011-06-03T07:59:00Z</dcterms:modified>
</cp:coreProperties>
</file>