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240E" w:rsidP="00102407">
      <w:pPr>
        <w:jc w:val="right"/>
        <w:outlineLvl w:val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31240E">
        <w:rPr>
          <w:rFonts w:ascii="Times New Roman" w:hAnsi="Times New Roman" w:cs="Times New Roman"/>
          <w:b/>
          <w:szCs w:val="24"/>
          <w:u w:val="single"/>
        </w:rPr>
        <w:t>PRÍLOHA 3</w:t>
      </w:r>
    </w:p>
    <w:p w:rsidR="0031240E" w:rsidP="0031240E">
      <w:pPr>
        <w:rPr>
          <w:rFonts w:ascii="Times New Roman" w:hAnsi="Times New Roman" w:cs="Times New Roman"/>
          <w:color w:val="000000"/>
          <w:szCs w:val="24"/>
          <w:u w:val="single"/>
        </w:rPr>
      </w:pPr>
    </w:p>
    <w:p w:rsidR="0031240E" w:rsidRPr="0031240E" w:rsidP="0031240E">
      <w:pPr>
        <w:rPr>
          <w:rFonts w:ascii="Times New Roman" w:hAnsi="Times New Roman" w:cs="Times New Roman"/>
          <w:color w:val="000000"/>
          <w:szCs w:val="24"/>
          <w:u w:val="single"/>
        </w:rPr>
      </w:pPr>
    </w:p>
    <w:p w:rsidR="0031240E" w:rsidP="00102407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OCHRANNÉ OPATRENIA V POĽNOHOSPODÁRSKEJ OBLASTI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102407">
      <w:pPr>
        <w:outlineLvl w:val="0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Zoznam Kórei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RPr="005D6DDA" w:rsidP="00102407">
      <w:pPr>
        <w:outlineLvl w:val="0"/>
        <w:rPr>
          <w:rFonts w:ascii="Times New Roman" w:hAnsi="Times New Roman" w:cs="Times New Roman"/>
          <w:color w:val="000000"/>
          <w:szCs w:val="24"/>
        </w:rPr>
      </w:pPr>
      <w:r w:rsidRPr="005D6DDA" w:rsidR="006D2529">
        <w:rPr>
          <w:rFonts w:ascii="Times New Roman" w:hAnsi="Times New Roman" w:cs="Times New Roman"/>
          <w:szCs w:val="24"/>
        </w:rPr>
        <w:t>Tovary, ktoré podliehajú opatreniam, spúšťacie úrovne a maximálne ochranné clá</w:t>
      </w:r>
    </w:p>
    <w:p w:rsidR="0031240E" w:rsidP="0031240E">
      <w:pPr>
        <w:rPr>
          <w:rFonts w:ascii="Times New Roman" w:hAnsi="Times New Roman" w:cs="Times New Roman"/>
          <w:i/>
          <w:color w:val="000000"/>
          <w:szCs w:val="24"/>
        </w:rPr>
      </w:pPr>
    </w:p>
    <w:p w:rsidR="0031240E" w:rsidP="0031240E">
      <w:pPr>
        <w:ind w:left="567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1.</w:t>
        <w:tab/>
        <w:t>Táto príloha stanovuje tie tovary s pôvodom, ktoré môžu podliehať ochranným opatreniam v poľnohospodárskej oblasti podľa článku 3.6, spúšťacie úrovne pre uplatňovanie týchto opatrení a maximálne ochranné clo, ktoré sa môže uplatňovať každý rok na každý takýto tovar.</w:t>
      </w:r>
    </w:p>
    <w:p w:rsidR="0031240E" w:rsidP="0031240E">
      <w:pPr>
        <w:ind w:left="567" w:hanging="567"/>
        <w:rPr>
          <w:rFonts w:ascii="Times New Roman" w:hAnsi="Times New Roman" w:cs="Times New Roman"/>
          <w:szCs w:val="24"/>
        </w:rPr>
      </w:pPr>
    </w:p>
    <w:p w:rsidR="0031240E" w:rsidP="0031240E">
      <w:pPr>
        <w:ind w:left="567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2.</w:t>
        <w:tab/>
        <w:t>Potom, ako ochranné clá stanovené ďalej dosiahnu úroveň nula, sa nesmie uplatňovať alebo zachovať ochranné clo.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31240E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6D2529">
        <w:rPr>
          <w:rFonts w:ascii="Times New Roman" w:hAnsi="Times New Roman" w:cs="Times New Roman"/>
          <w:szCs w:val="24"/>
        </w:rPr>
        <w:t>a)</w:t>
        <w:tab/>
        <w:t xml:space="preserve">Pre hovädzie mäso, na ktoré sa vzťahuje ďalej uvedené: </w:t>
      </w:r>
    </w:p>
    <w:p w:rsidR="0031240E" w:rsidP="0031240E">
      <w:pPr>
        <w:ind w:left="567"/>
        <w:rPr>
          <w:rFonts w:ascii="Times New Roman" w:hAnsi="Times New Roman" w:cs="Times New Roman"/>
          <w:szCs w:val="24"/>
        </w:rPr>
      </w:pPr>
    </w:p>
    <w:p w:rsidR="006D2529" w:rsidP="0031240E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 Čerstvé, chladené a mrazené hovädzie mäso (svalovina) – ustanovenia HSK 0201.10.0000, 0201.20.0000, 0201.30.0000, 0202.10.0000, 0202.20.0000 a 0202.30.0000.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9,900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10,098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10,299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10,716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40,0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10,930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11,149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11,371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11,599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11,831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12,068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24,0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4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12,309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12,555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12,806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13,062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 xml:space="preserve">Ochranné clo (%)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31240E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b)</w:t>
        <w:tab/>
        <w:t xml:space="preserve">Pre bravčové mäso, na ktoré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RPr="0031240E" w:rsidP="00102407">
      <w:pPr>
        <w:ind w:left="1134"/>
        <w:outlineLvl w:val="0"/>
        <w:rPr>
          <w:rFonts w:ascii="Times New Roman" w:hAnsi="Times New Roman" w:cs="Times New Roman"/>
          <w:szCs w:val="24"/>
        </w:rPr>
      </w:pPr>
      <w:r w:rsidRPr="0031240E">
        <w:rPr>
          <w:rFonts w:ascii="Times New Roman" w:hAnsi="Times New Roman" w:cs="Times New Roman"/>
          <w:szCs w:val="24"/>
        </w:rPr>
        <w:t>Pôsobnosť: ustanovenia HSK 0203.19.1000 a 0203.19.9000</w:t>
      </w:r>
    </w:p>
    <w:p w:rsidR="0031240E" w:rsidRPr="0031240E" w:rsidP="0031240E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176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22,5</w:t>
            </w:r>
          </w:p>
        </w:tc>
      </w:tr>
    </w:tbl>
    <w:p w:rsid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  <w:r w:rsidR="0031240E">
        <w:rPr>
          <w:rFonts w:ascii="Times New Roman" w:hAnsi="Times New Roman" w:cs="Times New Roman"/>
          <w:szCs w:val="24"/>
        </w:rPr>
        <w:br w:type="page"/>
      </w: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1240E" w:rsidP="0031240E">
      <w:pPr>
        <w:rPr>
          <w:rFonts w:ascii="Times New Roman" w:hAnsi="Times New Roman" w:cs="Times New Roman"/>
          <w:szCs w:val="24"/>
        </w:rPr>
      </w:pPr>
    </w:p>
    <w:p w:rsidR="005601E1" w:rsidP="0031240E">
      <w:pPr>
        <w:rPr>
          <w:rFonts w:ascii="Times New Roman" w:hAnsi="Times New Roman" w:cs="Times New Roman"/>
          <w:szCs w:val="24"/>
        </w:rPr>
      </w:pPr>
    </w:p>
    <w:p w:rsidR="0031240E" w:rsidP="0031240E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c)</w:t>
        <w:tab/>
        <w:t xml:space="preserve">Pre jablká, na ktoré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P="00102407">
      <w:pPr>
        <w:ind w:left="1134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ustanovenia HSK 0808.10.0000</w:t>
      </w:r>
    </w:p>
    <w:p w:rsidR="0031240E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7,500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7,500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7,650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7,803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7,959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8,118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45,0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8,280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8,446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8,615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8,787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8,963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9,142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33,8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33,8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9,511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9,896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10,094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10,295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3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10,501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10,711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10,926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11,144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11,367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11,594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22,5</w:t>
            </w:r>
          </w:p>
        </w:tc>
      </w:tr>
    </w:tbl>
    <w:p w:rsidR="006D2529" w:rsidRPr="0031240E" w:rsidP="0031240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3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31240E" w:rsidP="003124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40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31240E" w:rsidP="0031240E">
      <w:pPr>
        <w:rPr>
          <w:rFonts w:ascii="Times New Roman" w:hAnsi="Times New Roman" w:cs="Times New Roman"/>
          <w:szCs w:val="24"/>
        </w:rPr>
      </w:pPr>
    </w:p>
    <w:p w:rsidR="005601E1" w:rsidP="00C161AF">
      <w:pPr>
        <w:ind w:left="1134"/>
        <w:rPr>
          <w:rFonts w:ascii="Times New Roman" w:hAnsi="Times New Roman" w:cs="Times New Roman"/>
          <w:szCs w:val="24"/>
        </w:rPr>
      </w:pPr>
      <w:r w:rsidR="0031240E">
        <w:rPr>
          <w:rFonts w:ascii="Times New Roman" w:hAnsi="Times New Roman" w:cs="Times New Roman"/>
          <w:szCs w:val="24"/>
        </w:rPr>
        <w:br w:type="page"/>
      </w:r>
    </w:p>
    <w:p w:rsidR="0031240E" w:rsidP="00102407">
      <w:pPr>
        <w:ind w:left="1134"/>
        <w:outlineLvl w:val="0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 xml:space="preserve">Spúšťacia úroveň sa týka celkového množstva všetkých druhov dovážaných jabĺk. </w:t>
      </w:r>
    </w:p>
    <w:p w:rsidR="0031240E" w:rsidP="00C161AF">
      <w:pPr>
        <w:ind w:left="1134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V dvanástom roku a v každom ďalšom roku až do dvadsiateho štvrtého roku smie byť ochranné clo uplatňované iba na jablká Fuji.</w:t>
      </w:r>
    </w:p>
    <w:p w:rsidR="0031240E" w:rsidP="00C161AF">
      <w:pPr>
        <w:ind w:left="1134"/>
        <w:rPr>
          <w:rFonts w:ascii="Times New Roman" w:hAnsi="Times New Roman" w:cs="Times New Roman"/>
          <w:szCs w:val="24"/>
        </w:rPr>
      </w:pP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d)</w:t>
        <w:tab/>
        <w:t>Pre slad a sladový jačmeň, na ktoré sa vzťahuje ďalej uvedené:</w:t>
      </w:r>
    </w:p>
    <w:p w:rsidR="0031240E" w:rsidP="00C161AF">
      <w:pPr>
        <w:ind w:left="1134"/>
        <w:rPr>
          <w:rFonts w:ascii="Times New Roman" w:hAnsi="Times New Roman" w:cs="Times New Roman"/>
          <w:szCs w:val="24"/>
        </w:rPr>
      </w:pPr>
    </w:p>
    <w:p w:rsidR="006D2529" w:rsidP="00102407">
      <w:pPr>
        <w:ind w:left="1134"/>
        <w:outlineLvl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ustanovenia HSK 1003.00.1000 a 1107.10.</w:t>
      </w:r>
      <w:r w:rsidR="00EE77AF">
        <w:rPr>
          <w:rFonts w:ascii="Times New Roman" w:hAnsi="Times New Roman" w:cs="Times New Roman"/>
          <w:szCs w:val="24"/>
        </w:rPr>
        <w:t>0000</w:t>
      </w:r>
      <w:r w:rsidR="00EE77AF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161AF" w:rsidRPr="00C161AF" w:rsidP="00C161AF">
      <w:pPr>
        <w:ind w:left="1134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14,280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14,565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14,856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15,154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1003.00.1000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479,0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432,0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408,0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2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1107.10.0000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258,0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252,0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240,0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7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15,457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15,766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16,081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16,403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16,731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17,065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1003.00.1000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385,0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361,0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338,0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291,0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268,0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1107.10.0000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216,0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1240E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 w:rsidR="006D2529">
              <w:rPr>
                <w:rFonts w:ascii="Times New Roman" w:hAnsi="Times New Roman" w:cs="Times New Roman"/>
                <w:color w:val="000000"/>
                <w:szCs w:val="24"/>
              </w:rPr>
              <w:t>207,0</w:t>
            </w:r>
          </w:p>
          <w:p w:rsidR="0031240E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181,0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139,0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17,407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17,755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18,110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18,472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1003.00.1000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221,0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174,0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1107.10.0000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</w:p>
    <w:p w:rsidR="0031240E" w:rsidP="00102407">
      <w:pPr>
        <w:ind w:left="1134"/>
        <w:outlineLvl w:val="0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Pre vstup množstva na spúšťacej úrovni alebo pod ňou, pozri odsek 12 dodatku 2-A-1.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5601E1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br w:type="page"/>
      </w: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e)</w:t>
        <w:tab/>
        <w:t xml:space="preserve">Pre zemiakový škrob, na ktorý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P="00102407">
      <w:pPr>
        <w:spacing w:line="240" w:lineRule="auto"/>
        <w:ind w:left="1134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 ustanovenia HSK 1108.13.0000</w:t>
      </w:r>
    </w:p>
    <w:p w:rsidR="00C161AF" w:rsidRPr="00C161AF" w:rsidP="00C161AF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37,900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38,658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39,431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40,219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41,024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455,0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426,0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416,0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406,0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41,844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42,681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43,535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44,405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45,294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46,199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366,0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351,0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321,0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306,0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235,0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47,123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48,066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49,027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50,008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195,0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175,0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155,0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f)</w:t>
        <w:tab/>
        <w:t xml:space="preserve">Pre ženšen, na ktorý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P="00C161AF">
      <w:pPr>
        <w:ind w:left="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ustanovenia HSK 1211.20.2210, 1211.20.2220, 1211.20.2290, 1302.19.1210, 1302.19.1220 a 1302.19.1290</w:t>
      </w:r>
    </w:p>
    <w:p w:rsidR="00C161AF" w:rsidRPr="00C161AF" w:rsidP="00C161AF">
      <w:pPr>
        <w:ind w:left="1134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324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</w:tr>
    </w:tbl>
    <w:p w:rsid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  <w:r w:rsidR="00C161AF">
        <w:rPr>
          <w:rFonts w:ascii="Times New Roman" w:hAnsi="Times New Roman" w:cs="Times New Roman"/>
          <w:szCs w:val="24"/>
        </w:rPr>
        <w:br w:type="page"/>
      </w: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365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411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754,3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754,3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566,0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566,0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38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566,0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g)</w:t>
        <w:tab/>
        <w:t xml:space="preserve">Pre cukor, na ktorý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P="00102407">
      <w:pPr>
        <w:spacing w:line="240" w:lineRule="auto"/>
        <w:ind w:left="1134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ustanovenia HSK 1701.99.0000</w:t>
      </w:r>
    </w:p>
    <w:p w:rsidR="005601E1" w:rsidRPr="00C161AF" w:rsidP="00C161AF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238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69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268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</w:tr>
    </w:tbl>
    <w:p w:rsid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  <w:r w:rsidR="00C161AF">
        <w:rPr>
          <w:rFonts w:ascii="Times New Roman" w:hAnsi="Times New Roman" w:cs="Times New Roman"/>
          <w:szCs w:val="24"/>
        </w:rPr>
        <w:br w:type="page"/>
      </w: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37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302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66"/>
        <w:gridCol w:w="116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37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h)</w:t>
        <w:tab/>
        <w:t xml:space="preserve">Pre alkohol, na ktorý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P="00102407">
      <w:pPr>
        <w:spacing w:line="240" w:lineRule="auto"/>
        <w:ind w:left="1134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ustanovenia HSK 2207.10.9010</w:t>
      </w:r>
    </w:p>
    <w:p w:rsidR="00C161AF" w:rsidP="00C161AF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</w:p>
    <w:p w:rsidR="005601E1" w:rsidRPr="00C161AF" w:rsidP="00C161AF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258,0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253,0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241,0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115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217,0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208,0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191,0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182,0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139,0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6"/>
        <w:gridCol w:w="1176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br w:type="page"/>
      </w:r>
    </w:p>
    <w:p w:rsidR="0031240E" w:rsidP="00C161AF">
      <w:pPr>
        <w:ind w:left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i)</w:t>
        <w:tab/>
        <w:t xml:space="preserve">Pre dextríny, na ktoré sa vzťahuje ďalej uvedené: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6D2529" w:rsidRPr="00C161AF" w:rsidP="00C161AF">
      <w:pPr>
        <w:spacing w:line="240" w:lineRule="auto"/>
        <w:ind w:left="113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Pôsobnosť:</w:t>
      </w:r>
      <w:r>
        <w:rPr>
          <w:rFonts w:ascii="Times New Roman" w:hAnsi="Times New Roman" w:cs="Times New Roman"/>
          <w:color w:val="000000"/>
          <w:szCs w:val="24"/>
        </w:rPr>
        <w:t xml:space="preserve"> ustanovenia HSK </w:t>
      </w:r>
      <w:r>
        <w:rPr>
          <w:rFonts w:ascii="Times New Roman" w:hAnsi="Times New Roman" w:cs="Times New Roman"/>
          <w:szCs w:val="24"/>
        </w:rPr>
        <w:t>3505.10.4010, 3505.10.4090, 3505.10.5010 a 3505.10.5090</w:t>
      </w: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37,900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38,658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39,431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40,219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41,024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365,0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334,0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66"/>
        <w:gridCol w:w="1171"/>
        <w:gridCol w:w="1171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41,844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42,681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43,535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44,405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45,294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46,199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3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291,0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244,0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228,0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152,0</w:t>
            </w:r>
          </w:p>
        </w:tc>
      </w:tr>
    </w:tbl>
    <w:p w:rsidR="006D2529" w:rsidRPr="00C161AF" w:rsidP="00C161AF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1987"/>
        <w:gridCol w:w="1171"/>
        <w:gridCol w:w="1171"/>
      </w:tblGrid>
      <w:tr>
        <w:tblPrEx>
          <w:tblW w:w="0" w:type="auto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4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Spúšťacia úroveň (v tonách)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47,123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neuvádza sa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szCs w:val="24"/>
              </w:rPr>
              <w:t>Ochranné clo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131,0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2529" w:rsidRPr="00C161AF" w:rsidP="00C161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61AF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161AF" w:rsidP="0031240E">
      <w:pPr>
        <w:rPr>
          <w:rFonts w:ascii="Times New Roman" w:hAnsi="Times New Roman" w:cs="Times New Roman"/>
          <w:szCs w:val="24"/>
        </w:rPr>
      </w:pPr>
    </w:p>
    <w:p w:rsidR="0031240E" w:rsidP="00102407">
      <w:pPr>
        <w:ind w:left="1134"/>
        <w:outlineLvl w:val="0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Pre vstup množstva na spúšťacej úrovni alebo pod ňou, pozri odsek 15 dodatku 2-A-1.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31240E">
      <w:pPr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3.</w:t>
        <w:tab/>
        <w:t xml:space="preserve">Na účely tejto prílohy: 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a)</w:t>
        <w:tab/>
        <w:t xml:space="preserve">prvý rok znamená dvanásťmesačné obdobie so začiatkom v deň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C161AF">
        <w:rPr>
          <w:rFonts w:ascii="Times New Roman" w:hAnsi="Times New Roman" w:cs="Times New Roman"/>
          <w:szCs w:val="24"/>
        </w:rPr>
        <w:br w:type="page"/>
      </w:r>
      <w:r w:rsidR="006D2529">
        <w:rPr>
          <w:rFonts w:ascii="Times New Roman" w:hAnsi="Times New Roman" w:cs="Times New Roman"/>
          <w:szCs w:val="24"/>
        </w:rPr>
        <w:t>b)</w:t>
        <w:tab/>
        <w:t>druhý rok znamená dvanásťmesačné obdobie so začiatkom v deň prvého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c)</w:t>
        <w:tab/>
        <w:t>tretí rok znamená dvanásťmesačné obdobie so začiatkom v deň druhého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d)</w:t>
        <w:tab/>
        <w:t>štvrtý rok znamená dvanásťmesačné obdobie so začiatkom v deň tretieho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e)</w:t>
        <w:tab/>
        <w:t>piaty rok znamená dvanásťmesačné obdobie so začiatkom v deň štvrtého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f)</w:t>
        <w:tab/>
        <w:t>šiesty rok znamená dvanásťmesačné obdobie so začiatkom v deň piateho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g)</w:t>
        <w:tab/>
        <w:t>siedmy rok znamená dvanásťmesačné obdobie so začiatkom v deň šiesteho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h)</w:t>
        <w:tab/>
        <w:t xml:space="preserve">ôsmy rok znamená dvanásťmesačné obdobie so začiatkom v deň siedmeho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i)</w:t>
        <w:tab/>
        <w:t>deviaty rok znamená dvanásťmesačné obdobie so začiatkom v deň ôsmeho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C161AF">
        <w:rPr>
          <w:rFonts w:ascii="Times New Roman" w:hAnsi="Times New Roman" w:cs="Times New Roman"/>
          <w:szCs w:val="24"/>
        </w:rPr>
        <w:br w:type="page"/>
      </w:r>
      <w:r w:rsidR="006D2529">
        <w:rPr>
          <w:rFonts w:ascii="Times New Roman" w:hAnsi="Times New Roman" w:cs="Times New Roman"/>
          <w:szCs w:val="24"/>
        </w:rPr>
        <w:t>j)</w:t>
        <w:tab/>
        <w:t>desiaty rok znamená dvanásťmesačné obdobie so začiatkom v deň deviateho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k)</w:t>
        <w:tab/>
        <w:t>jedenásty rok znamená dvanásťmesačné obdobie so začiatkom v deň desiateho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l)</w:t>
        <w:tab/>
        <w:t>dvanásty rok znamená dvanásťmesačné obdobie so začiatkom v deň jedenásteho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m)</w:t>
        <w:tab/>
        <w:t>trinásty rok znamená dvanásťmesačné obdobie so začiatkom v deň dvanásteho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n)</w:t>
        <w:tab/>
        <w:t>štrnásty rok znamená dvanásťmesačné obdobie so začiatkom v deň trinásteho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o)</w:t>
        <w:tab/>
        <w:t>pätnásty rok znamená dvanásťmesačné obdobie so začiatkom v deň štrnásteho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p)</w:t>
        <w:tab/>
        <w:t xml:space="preserve">šestnásty rok znamená dvanásťmesačné obdobie so začiatkom v deň pätnásteho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q)</w:t>
        <w:tab/>
        <w:t xml:space="preserve">sedemnásty rok znamená dvanásťmesačné obdobie so začiatkom v deň šestnásteho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C161AF">
        <w:rPr>
          <w:rFonts w:ascii="Times New Roman" w:hAnsi="Times New Roman" w:cs="Times New Roman"/>
          <w:szCs w:val="24"/>
        </w:rPr>
        <w:br w:type="page"/>
      </w:r>
      <w:r w:rsidR="006D2529">
        <w:rPr>
          <w:rFonts w:ascii="Times New Roman" w:hAnsi="Times New Roman" w:cs="Times New Roman"/>
          <w:szCs w:val="24"/>
        </w:rPr>
        <w:t>r)</w:t>
        <w:tab/>
        <w:t xml:space="preserve">osemnásty rok znamená dvanásťmesačné obdobie so začiatkom v deň sedemnásteho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s)</w:t>
        <w:tab/>
        <w:t xml:space="preserve">devätnásty rok znamená dvanásťmesačné obdobie so začiatkom v deň osemnásteho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t)</w:t>
        <w:tab/>
        <w:t xml:space="preserve">dvadsiaty rok znamená dvanásťmesačné obdobie so začiatkom v deň devätnásteho výročia nadobudnutia platnosti tejto dohody, 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u)</w:t>
        <w:tab/>
        <w:t>dvadsiaty prvý rok znamená dvanásťmesačné obdobie so začiatkom v deň dvadsiateho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v)</w:t>
        <w:tab/>
        <w:t>dvadsiaty druhý rok znamená dvanásťmesačné obdobie so začiatkom v deň dvadsiateho prvého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w)</w:t>
        <w:tab/>
        <w:t>dvadsiaty tretí rok znamená dvanásťmesačné obdobie so začiatkom v deň dvadsiateho druhého výročia nadobudnutia platnosti tejto dohody,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x)</w:t>
        <w:tab/>
        <w:t>dvadsiaty štvrtý rok znamená dvanásťmesačné obdobie so začiatkom v deň dvadsiateho tretieho výročia nadobudnutia platnosti tejto dohody a</w:t>
      </w: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</w:p>
    <w:p w:rsidR="0031240E" w:rsidP="00C161AF">
      <w:pPr>
        <w:ind w:left="1134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y)</w:t>
        <w:tab/>
        <w:t>dvadsiaty piaty rok znamená dvanásťmesačné obdobie so začiatkom v deň dvadsiateho štvrtého výročia nadobudnutia platnosti tejto dohody.</w:t>
      </w:r>
    </w:p>
    <w:p w:rsidR="00C161AF" w:rsidP="00C161AF">
      <w:pPr>
        <w:rPr>
          <w:rFonts w:ascii="Times New Roman" w:hAnsi="Times New Roman" w:cs="Times New Roman"/>
          <w:szCs w:val="24"/>
          <w:lang w:eastAsia="ko-KR"/>
        </w:rPr>
      </w:pPr>
    </w:p>
    <w:p w:rsidR="00C161AF" w:rsidP="00C161AF">
      <w:pPr>
        <w:rPr>
          <w:rFonts w:ascii="Times New Roman" w:hAnsi="Times New Roman" w:cs="Times New Roman"/>
          <w:szCs w:val="24"/>
          <w:lang w:eastAsia="ko-KR"/>
        </w:rPr>
      </w:pPr>
    </w:p>
    <w:p w:rsidR="00C161AF" w:rsidP="00C161AF">
      <w:pPr>
        <w:jc w:val="center"/>
        <w:rPr>
          <w:rFonts w:ascii="Times New Roman" w:hAnsi="Times New Roman" w:cs="Times New Roman"/>
          <w:szCs w:val="24"/>
          <w:lang w:eastAsia="ko-KR"/>
        </w:rPr>
      </w:pPr>
      <w:r>
        <w:rPr>
          <w:rFonts w:ascii="Times New Roman" w:hAnsi="Times New Roman" w:cs="Times New Roman"/>
          <w:szCs w:val="24"/>
          <w:lang w:eastAsia="ko-KR"/>
        </w:rPr>
        <w:t>_______________</w:t>
      </w:r>
    </w:p>
    <w:p w:rsidR="006D2529" w:rsidP="0031240E">
      <w:pPr>
        <w:rPr>
          <w:rFonts w:ascii="Times New Roman" w:hAnsi="Times New Roman" w:cs="Times New Roman"/>
          <w:szCs w:val="24"/>
        </w:rPr>
        <w:sectPr w:rsidSect="005D6DDA">
          <w:footerReference w:type="default" r:id="rId4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1134" w:footer="1134"/>
          <w:lnNumType w:distance="0"/>
          <w:pgNumType w:start="1"/>
          <w:cols w:space="708"/>
          <w:noEndnote w:val="0"/>
        </w:sectPr>
      </w:pPr>
    </w:p>
    <w:p w:rsidR="0031240E" w:rsidRPr="005D6DDA" w:rsidP="00102407">
      <w:pPr>
        <w:jc w:val="right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5D6DDA" w:rsidR="006D2529">
        <w:rPr>
          <w:rFonts w:ascii="Times New Roman" w:hAnsi="Times New Roman" w:cs="Times New Roman"/>
          <w:b/>
          <w:szCs w:val="24"/>
          <w:u w:val="single"/>
        </w:rPr>
        <w:t>PRÍLOHA 4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5D6DDA" w:rsidP="0031240E">
      <w:pPr>
        <w:rPr>
          <w:rFonts w:ascii="Times New Roman" w:hAnsi="Times New Roman" w:cs="Times New Roman"/>
          <w:szCs w:val="24"/>
        </w:rPr>
      </w:pPr>
    </w:p>
    <w:p w:rsidR="0031240E" w:rsidP="00102407">
      <w:pPr>
        <w:jc w:val="center"/>
        <w:outlineLvl w:val="0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KOORDINÁTORI V OBLASTI TECHNICKÝCH PREKÁŽOK OBCHODU</w:t>
      </w:r>
    </w:p>
    <w:p w:rsidR="0031240E" w:rsidP="0031240E">
      <w:pPr>
        <w:rPr>
          <w:rFonts w:ascii="Times New Roman" w:hAnsi="Times New Roman" w:cs="Times New Roman"/>
          <w:szCs w:val="24"/>
        </w:rPr>
      </w:pPr>
    </w:p>
    <w:p w:rsidR="0031240E" w:rsidP="005D6DDA">
      <w:pPr>
        <w:ind w:left="567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1.</w:t>
        <w:tab/>
        <w:t>V prípade Kórey je koordinátorom v oblasti technických prekážok obchodu Kórejská agentúra pre technológiu a normy alebo jej následnícka organizácia.</w:t>
      </w:r>
    </w:p>
    <w:p w:rsidR="0031240E" w:rsidP="005D6DDA">
      <w:pPr>
        <w:ind w:left="567" w:hanging="567"/>
        <w:rPr>
          <w:rFonts w:ascii="Times New Roman" w:hAnsi="Times New Roman" w:cs="Times New Roman"/>
          <w:szCs w:val="24"/>
        </w:rPr>
      </w:pPr>
    </w:p>
    <w:p w:rsidR="0031240E" w:rsidP="005D6DDA">
      <w:pPr>
        <w:ind w:left="567" w:hanging="567"/>
        <w:rPr>
          <w:rFonts w:ascii="Times New Roman" w:hAnsi="Times New Roman" w:cs="Times New Roman"/>
          <w:szCs w:val="24"/>
        </w:rPr>
      </w:pPr>
      <w:r w:rsidR="006D2529">
        <w:rPr>
          <w:rFonts w:ascii="Times New Roman" w:hAnsi="Times New Roman" w:cs="Times New Roman"/>
          <w:szCs w:val="24"/>
        </w:rPr>
        <w:t>2.</w:t>
        <w:tab/>
        <w:t xml:space="preserve">V prípade Európskej únie koordinátora v oblasti technických prekážok vymenuje Európska únia a Kóreu informuje najneskôr jeden mesiac po nadobudnutí platnosti tejto dohody. </w:t>
      </w:r>
    </w:p>
    <w:p w:rsidR="005D6DDA" w:rsidRPr="00EE77AF" w:rsidP="005D6DDA">
      <w:pPr>
        <w:rPr>
          <w:rFonts w:ascii="Times New Roman" w:hAnsi="Times New Roman" w:cs="Times New Roman"/>
          <w:szCs w:val="24"/>
        </w:rPr>
      </w:pPr>
    </w:p>
    <w:p w:rsidR="005D6DDA" w:rsidRPr="00EE77AF" w:rsidP="005D6DDA">
      <w:pPr>
        <w:rPr>
          <w:rFonts w:ascii="Times New Roman" w:hAnsi="Times New Roman" w:cs="Times New Roman"/>
          <w:szCs w:val="24"/>
        </w:rPr>
      </w:pPr>
    </w:p>
    <w:p w:rsidR="0007104E" w:rsidRPr="005D6DDA" w:rsidP="005D6DDA">
      <w:pPr>
        <w:jc w:val="center"/>
        <w:rPr>
          <w:rFonts w:ascii="Times New Roman" w:hAnsi="Times New Roman" w:cs="Times New Roman"/>
          <w:szCs w:val="24"/>
          <w:lang w:val="en-CA"/>
        </w:rPr>
      </w:pPr>
      <w:r w:rsidR="005D6DDA">
        <w:rPr>
          <w:rFonts w:ascii="Times New Roman" w:hAnsi="Times New Roman" w:cs="Times New Roman"/>
          <w:szCs w:val="24"/>
          <w:lang w:val="en-CA"/>
        </w:rPr>
        <w:t>_______________</w:t>
      </w:r>
    </w:p>
    <w:sectPr w:rsidSect="00671A30">
      <w:footerReference w:type="default" r:id="rId5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1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0E" w:rsidRPr="005D6DDA" w:rsidP="005D6DDA">
    <w:pPr>
      <w:pStyle w:val="Footer"/>
      <w:jc w:val="center"/>
      <w:rPr>
        <w:rFonts w:ascii="Times New Roman" w:hAnsi="Times New Roman" w:cs="Times New Roman"/>
        <w:szCs w:val="24"/>
      </w:rPr>
    </w:pPr>
    <w:r w:rsidR="005D6DDA">
      <w:rPr>
        <w:rFonts w:ascii="Times New Roman" w:hAnsi="Times New Roman" w:cs="Times New Roman"/>
        <w:szCs w:val="24"/>
        <w:lang w:val="fr-BE"/>
      </w:rPr>
      <w:t xml:space="preserve">EU/KR/PRÍLOHA 3/sk </w:t>
    </w:r>
    <w:r w:rsidR="005D6DDA">
      <w:rPr>
        <w:rStyle w:val="PageNumber"/>
        <w:rFonts w:ascii="Times New Roman" w:hAnsi="Times New Roman" w:cs="Times New Roman"/>
        <w:szCs w:val="24"/>
      </w:rPr>
      <w:fldChar w:fldCharType="begin"/>
    </w:r>
    <w:r w:rsidR="005D6DDA">
      <w:rPr>
        <w:rStyle w:val="PageNumber"/>
        <w:rFonts w:ascii="Times New Roman" w:hAnsi="Times New Roman" w:cs="Times New Roman"/>
        <w:szCs w:val="24"/>
      </w:rPr>
      <w:instrText xml:space="preserve"> PAGE </w:instrText>
    </w:r>
    <w:r w:rsidR="005D6DDA">
      <w:rPr>
        <w:rStyle w:val="PageNumber"/>
        <w:rFonts w:ascii="Times New Roman" w:hAnsi="Times New Roman" w:cs="Times New Roman"/>
        <w:szCs w:val="24"/>
      </w:rPr>
      <w:fldChar w:fldCharType="separate"/>
    </w:r>
    <w:r w:rsidR="002121EA">
      <w:rPr>
        <w:rStyle w:val="PageNumber"/>
        <w:rFonts w:ascii="Times New Roman" w:hAnsi="Times New Roman" w:cs="Times New Roman"/>
        <w:noProof/>
        <w:szCs w:val="24"/>
      </w:rPr>
      <w:t>1</w:t>
    </w:r>
    <w:r w:rsidR="005D6DDA"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0E" w:rsidP="00671A30">
    <w:pPr>
      <w:pStyle w:val="Footer"/>
      <w:rPr>
        <w:rFonts w:ascii="Times New Roman" w:hAnsi="Times New Roman" w:cs="Times New Roman"/>
        <w:szCs w:val="24"/>
      </w:rPr>
    </w:pPr>
  </w:p>
  <w:p w:rsidR="0031240E" w:rsidRPr="00671A30" w:rsidP="005D6DDA">
    <w:pPr>
      <w:pStyle w:val="Footer"/>
      <w:jc w:val="center"/>
      <w:rPr>
        <w:rFonts w:ascii="Times New Roman" w:hAnsi="Times New Roman" w:cs="Times New Roman"/>
        <w:szCs w:val="24"/>
      </w:rPr>
    </w:pPr>
    <w:r w:rsidR="005D6DDA">
      <w:rPr>
        <w:rFonts w:ascii="Times New Roman" w:hAnsi="Times New Roman" w:cs="Times New Roman"/>
        <w:szCs w:val="24"/>
        <w:lang w:val="fr-BE"/>
      </w:rPr>
      <w:t xml:space="preserve">EU/KR/PRÍLOHA 4/sk </w:t>
    </w:r>
    <w:r w:rsidR="005D6DDA">
      <w:rPr>
        <w:rStyle w:val="PageNumber"/>
        <w:rFonts w:ascii="Times New Roman" w:hAnsi="Times New Roman" w:cs="Times New Roman"/>
        <w:szCs w:val="24"/>
      </w:rPr>
      <w:fldChar w:fldCharType="begin"/>
    </w:r>
    <w:r w:rsidR="005D6DDA">
      <w:rPr>
        <w:rStyle w:val="PageNumber"/>
        <w:rFonts w:ascii="Times New Roman" w:hAnsi="Times New Roman" w:cs="Times New Roman"/>
        <w:szCs w:val="24"/>
      </w:rPr>
      <w:instrText xml:space="preserve"> PAGE </w:instrText>
    </w:r>
    <w:r w:rsidR="005D6DDA">
      <w:rPr>
        <w:rStyle w:val="PageNumber"/>
        <w:rFonts w:ascii="Times New Roman" w:hAnsi="Times New Roman" w:cs="Times New Roman"/>
        <w:szCs w:val="24"/>
      </w:rPr>
      <w:fldChar w:fldCharType="separate"/>
    </w:r>
    <w:r w:rsidR="002121EA">
      <w:rPr>
        <w:rStyle w:val="PageNumber"/>
        <w:rFonts w:ascii="Times New Roman" w:hAnsi="Times New Roman" w:cs="Times New Roman"/>
        <w:noProof/>
        <w:szCs w:val="24"/>
      </w:rPr>
      <w:t>1</w:t>
    </w:r>
    <w:r w:rsidR="005D6DDA"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DD66C9D"/>
    <w:multiLevelType w:val="singleLevel"/>
    <w:tmpl w:val="E5905D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8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7104E"/>
    <w:rsid w:val="000A39A9"/>
    <w:rsid w:val="000D6C4E"/>
    <w:rsid w:val="000F7A4B"/>
    <w:rsid w:val="00102407"/>
    <w:rsid w:val="0015674F"/>
    <w:rsid w:val="002121EA"/>
    <w:rsid w:val="0021429E"/>
    <w:rsid w:val="002634E2"/>
    <w:rsid w:val="00293F61"/>
    <w:rsid w:val="002B77F9"/>
    <w:rsid w:val="002E5515"/>
    <w:rsid w:val="0031240E"/>
    <w:rsid w:val="003327A2"/>
    <w:rsid w:val="00370E5D"/>
    <w:rsid w:val="00376006"/>
    <w:rsid w:val="003A2248"/>
    <w:rsid w:val="003A4C0D"/>
    <w:rsid w:val="003A62DF"/>
    <w:rsid w:val="003A6F3C"/>
    <w:rsid w:val="003B7B33"/>
    <w:rsid w:val="003F7E6C"/>
    <w:rsid w:val="00472A47"/>
    <w:rsid w:val="00494021"/>
    <w:rsid w:val="0049672E"/>
    <w:rsid w:val="004D2367"/>
    <w:rsid w:val="00551EA9"/>
    <w:rsid w:val="0055519B"/>
    <w:rsid w:val="00555E9C"/>
    <w:rsid w:val="005601E1"/>
    <w:rsid w:val="005661F3"/>
    <w:rsid w:val="005D3FF3"/>
    <w:rsid w:val="005D665E"/>
    <w:rsid w:val="005D6DDA"/>
    <w:rsid w:val="005F2778"/>
    <w:rsid w:val="00641F6D"/>
    <w:rsid w:val="00671A30"/>
    <w:rsid w:val="00686361"/>
    <w:rsid w:val="006904BB"/>
    <w:rsid w:val="006D2529"/>
    <w:rsid w:val="0071574D"/>
    <w:rsid w:val="0072590D"/>
    <w:rsid w:val="00732508"/>
    <w:rsid w:val="007534E2"/>
    <w:rsid w:val="00790EC0"/>
    <w:rsid w:val="007C4874"/>
    <w:rsid w:val="008506EB"/>
    <w:rsid w:val="008543C7"/>
    <w:rsid w:val="00895AF8"/>
    <w:rsid w:val="00997758"/>
    <w:rsid w:val="009D428B"/>
    <w:rsid w:val="00A4289D"/>
    <w:rsid w:val="00AA44C0"/>
    <w:rsid w:val="00AA507C"/>
    <w:rsid w:val="00B204CF"/>
    <w:rsid w:val="00B270F9"/>
    <w:rsid w:val="00B762A9"/>
    <w:rsid w:val="00C04477"/>
    <w:rsid w:val="00C151F4"/>
    <w:rsid w:val="00C161AF"/>
    <w:rsid w:val="00C171FA"/>
    <w:rsid w:val="00C77348"/>
    <w:rsid w:val="00CA4323"/>
    <w:rsid w:val="00CC2FC1"/>
    <w:rsid w:val="00CC6E41"/>
    <w:rsid w:val="00D13D17"/>
    <w:rsid w:val="00D370F0"/>
    <w:rsid w:val="00D45157"/>
    <w:rsid w:val="00D8685D"/>
    <w:rsid w:val="00DC6495"/>
    <w:rsid w:val="00DD2615"/>
    <w:rsid w:val="00DE6B95"/>
    <w:rsid w:val="00EE77AF"/>
    <w:rsid w:val="00F31C77"/>
    <w:rsid w:val="00F51D91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1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2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3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4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3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5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6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4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1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2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Point1">
    <w:name w:val="Point 1"/>
    <w:basedOn w:val="Normal"/>
    <w:uiPriority w:val="99"/>
    <w:rsid w:val="006D2529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Normal"/>
    <w:uiPriority w:val="99"/>
    <w:rsid w:val="006D2529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CharCharCharCharChar">
    <w:name w:val="Char Char Char Char Char"/>
    <w:basedOn w:val="Normal"/>
    <w:uiPriority w:val="99"/>
    <w:rsid w:val="00C161AF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1439</Words>
  <Characters>8204</Characters>
  <Application>Microsoft Office Word</Application>
  <DocSecurity>0</DocSecurity>
  <Lines>0</Lines>
  <Paragraphs>0</Paragraphs>
  <ScaleCrop>false</ScaleCrop>
  <Company>DTI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2011-01-14T10:14:00Z</dcterms:created>
  <dcterms:modified xsi:type="dcterms:W3CDTF">2011-01-14T10:14:00Z</dcterms:modified>
</cp:coreProperties>
</file>