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D2429" w:rsidP="00AD2429">
      <w:pPr>
        <w:bidi w:val="0"/>
        <w:spacing w:after="0"/>
        <w:jc w:val="center"/>
        <w:rPr>
          <w:rFonts w:ascii="Times New Roman" w:hAnsi="Times New Roman" w:cs="Times New Roman"/>
          <w:b/>
        </w:rPr>
      </w:pPr>
      <w:r w:rsidRPr="00C96FB2">
        <w:rPr>
          <w:rFonts w:ascii="Times New Roman" w:hAnsi="Times New Roman" w:cs="Times New Roman"/>
          <w:b/>
        </w:rPr>
        <w:t>DÔVODOVÁ SPRÁVA</w:t>
      </w:r>
    </w:p>
    <w:p w:rsidR="00AD2429" w:rsidRPr="00C96FB2" w:rsidP="00AD2429">
      <w:pPr>
        <w:bidi w:val="0"/>
        <w:spacing w:after="0"/>
        <w:jc w:val="center"/>
        <w:rPr>
          <w:rFonts w:ascii="Times New Roman" w:hAnsi="Times New Roman" w:cs="Times New Roman"/>
          <w:b/>
        </w:rPr>
      </w:pPr>
    </w:p>
    <w:p w:rsidR="00AD2429" w:rsidRPr="00C96FB2" w:rsidP="00AD2429">
      <w:pPr>
        <w:pStyle w:val="ListParagraph"/>
        <w:numPr>
          <w:numId w:val="40"/>
        </w:numPr>
        <w:bidi w:val="0"/>
        <w:spacing w:after="0"/>
        <w:ind w:left="0" w:firstLine="0"/>
        <w:contextualSpacing w:val="0"/>
        <w:rPr>
          <w:rFonts w:ascii="Times New Roman" w:hAnsi="Times New Roman" w:cs="Times New Roman"/>
          <w:b/>
          <w:u w:val="single"/>
        </w:rPr>
      </w:pPr>
      <w:r w:rsidRPr="00C96FB2">
        <w:rPr>
          <w:rFonts w:ascii="Times New Roman" w:hAnsi="Times New Roman" w:cs="Times New Roman"/>
          <w:b/>
          <w:u w:val="single"/>
        </w:rPr>
        <w:t>Všeobecná časť</w:t>
      </w:r>
    </w:p>
    <w:p w:rsidR="00AD2429" w:rsidRPr="00C96FB2" w:rsidP="00AD2429">
      <w:pPr>
        <w:bidi w:val="0"/>
        <w:spacing w:after="0"/>
        <w:rPr>
          <w:rFonts w:ascii="Times New Roman" w:hAnsi="Times New Roman" w:cs="Times New Roman"/>
          <w:b/>
        </w:rPr>
      </w:pPr>
    </w:p>
    <w:p w:rsidR="00AD2429" w:rsidRPr="00C96FB2" w:rsidP="00AD2429">
      <w:pPr>
        <w:pStyle w:val="CM4"/>
        <w:bidi w:val="0"/>
        <w:spacing w:line="276" w:lineRule="auto"/>
        <w:ind w:firstLine="708"/>
        <w:jc w:val="both"/>
        <w:rPr>
          <w:rFonts w:ascii="Times New Roman" w:hAnsi="Times New Roman"/>
        </w:rPr>
      </w:pPr>
      <w:r w:rsidRPr="00C96FB2">
        <w:rPr>
          <w:rFonts w:ascii="Times New Roman" w:hAnsi="Times New Roman"/>
        </w:rPr>
        <w:t>Po dôslednom rozbore celej právnej úpravy jadrovej oblasti v Slovenskej republike  (ďalej len „SR“) Úrad jadrového dozoru Slovenskej republiky (ďalej len „ÚJD SR“ ) označil viacero dôvodov, ktoré vedú k  novelizácií zákona č. 541/2004 Z. z. o mierovom využívaní jadrovej energie (atómový zákon) a o zmene a doplnení niektorých zákonov v znení neskorších predpisov (ďalej len „atómový zákon“). Návrh zákona pokrýva niekoľko oblastí, ktoré je nutné aktualizovať.</w:t>
      </w:r>
    </w:p>
    <w:p w:rsidR="00AD2429" w:rsidRPr="00C96FB2" w:rsidP="00AD2429">
      <w:pPr>
        <w:bidi w:val="0"/>
        <w:spacing w:after="0"/>
        <w:rPr>
          <w:rFonts w:ascii="Times New Roman" w:hAnsi="Times New Roman" w:cs="Times New Roman"/>
        </w:rPr>
      </w:pPr>
    </w:p>
    <w:p w:rsidR="00AD2429" w:rsidRPr="00C96FB2" w:rsidP="00AD2429">
      <w:pPr>
        <w:pStyle w:val="CM4"/>
        <w:bidi w:val="0"/>
        <w:spacing w:line="276" w:lineRule="auto"/>
        <w:ind w:firstLine="708"/>
        <w:jc w:val="both"/>
        <w:rPr>
          <w:rFonts w:ascii="Times New Roman" w:hAnsi="Times New Roman"/>
        </w:rPr>
      </w:pPr>
      <w:r w:rsidRPr="00C96FB2">
        <w:rPr>
          <w:rFonts w:ascii="Times New Roman" w:hAnsi="Times New Roman"/>
        </w:rPr>
        <w:t xml:space="preserve">Potreba novelizácie vyplýva z nutnosti dôslednej transpozície </w:t>
      </w:r>
      <w:r w:rsidRPr="00C96FB2">
        <w:rPr>
          <w:rFonts w:ascii="Times New Roman" w:hAnsi="Times New Roman"/>
          <w:bCs/>
          <w:color w:val="000000"/>
        </w:rPr>
        <w:t xml:space="preserve">smernice Rady 2009/71/Euratom z 25. júna 2009, ktorou sa zriaďuje rámec Spoločenstva pre jadrovú bezpečnosť jadrových zariadení </w:t>
      </w:r>
      <w:r w:rsidRPr="00C96FB2">
        <w:rPr>
          <w:rFonts w:ascii="Times New Roman" w:hAnsi="Times New Roman"/>
        </w:rPr>
        <w:t>(Ú. v. EÚ L 172, 2. 7. 2009)</w:t>
      </w:r>
      <w:r w:rsidRPr="00C96FB2">
        <w:rPr>
          <w:rFonts w:ascii="Times New Roman" w:hAnsi="Times New Roman"/>
          <w:bCs/>
        </w:rPr>
        <w:t xml:space="preserve"> (ďalej len „smernica 2009/71/Euratom“).</w:t>
      </w:r>
      <w:r w:rsidRPr="00C96FB2">
        <w:rPr>
          <w:rFonts w:ascii="Times New Roman" w:hAnsi="Times New Roman"/>
        </w:rPr>
        <w:t xml:space="preserve"> Uvedená smernica bola prijatá Radou dňa 25. 6. 2009 a podľa čl. 10 tejto smernice sú členské štáty Európskej únie (ďalej len „EÚ“) povinné uviesť do účinnosti zákony, iné právne predpisy alebo správne opatrenia potrebné na dosiahnutie súladu s touto smernicou, a to v termíne do 22. júla 2011 a bezodkladne o tom informovať Európsku komisiu.</w:t>
      </w:r>
    </w:p>
    <w:p w:rsidR="00AD2429" w:rsidRPr="00C96FB2" w:rsidP="00AD2429">
      <w:pPr>
        <w:bidi w:val="0"/>
        <w:spacing w:after="0"/>
        <w:rPr>
          <w:rFonts w:ascii="Times New Roman" w:hAnsi="Times New Roman" w:cs="Times New Roman"/>
        </w:rPr>
      </w:pPr>
    </w:p>
    <w:p w:rsidR="00AD2429" w:rsidRPr="00C96FB2" w:rsidP="00AD2429">
      <w:pPr>
        <w:bidi w:val="0"/>
        <w:spacing w:after="0"/>
        <w:ind w:firstLine="708"/>
        <w:rPr>
          <w:rFonts w:ascii="Times New Roman" w:hAnsi="Times New Roman" w:cs="Times New Roman"/>
          <w:bCs/>
        </w:rPr>
      </w:pPr>
      <w:r w:rsidRPr="00C96FB2">
        <w:rPr>
          <w:rFonts w:ascii="Times New Roman" w:hAnsi="Times New Roman" w:cs="Times New Roman"/>
          <w:bCs/>
        </w:rPr>
        <w:t xml:space="preserve">Vláda SR svojím uznesením č. </w:t>
      </w:r>
      <w:r w:rsidRPr="00C96FB2">
        <w:rPr>
          <w:rFonts w:ascii="Times New Roman" w:hAnsi="Times New Roman" w:cs="Times New Roman"/>
          <w:b/>
          <w:bCs/>
        </w:rPr>
        <w:t>686</w:t>
      </w:r>
      <w:r w:rsidRPr="00C96FB2">
        <w:rPr>
          <w:rFonts w:ascii="Times New Roman" w:hAnsi="Times New Roman" w:cs="Times New Roman"/>
          <w:bCs/>
        </w:rPr>
        <w:t xml:space="preserve"> zo dňa 30. septembra 2009 schválila rozdelenie gestorských ústredných orgánov štátnej správy zodpovedných za prebratie a aplikáciu smerníc a rámcových rozhodnutí. Predsedníčke ÚJD SR bolo v spolupráci s ministrom zdravotníctva uložené v bode B. 44 predložiť na rokovanie vlády návrh právneho predpisu, ktorý zabezpečí transpozíciu smernice Rady 2009/71/Euratom v termíne do 15. apríla 2011. </w:t>
      </w:r>
    </w:p>
    <w:p w:rsidR="00AD2429" w:rsidRPr="00C96FB2" w:rsidP="00AD2429">
      <w:pPr>
        <w:bidi w:val="0"/>
        <w:spacing w:after="0"/>
        <w:rPr>
          <w:rFonts w:ascii="Times New Roman" w:hAnsi="Times New Roman" w:cs="Times New Roman"/>
        </w:rPr>
      </w:pPr>
    </w:p>
    <w:p w:rsidR="00AD2429" w:rsidRPr="00C96FB2" w:rsidP="00AD2429">
      <w:pPr>
        <w:bidi w:val="0"/>
        <w:spacing w:after="0"/>
        <w:ind w:firstLine="708"/>
        <w:rPr>
          <w:rFonts w:ascii="Times New Roman" w:hAnsi="Times New Roman" w:cs="Times New Roman"/>
        </w:rPr>
      </w:pPr>
      <w:r w:rsidRPr="00C96FB2">
        <w:rPr>
          <w:rFonts w:ascii="Times New Roman" w:hAnsi="Times New Roman" w:cs="Times New Roman"/>
        </w:rPr>
        <w:t xml:space="preserve">Smernica 2009/71/Euratom stanovuje euro - únijné bezpečnostné štandardy, poskytuje právnu istotu záväznými rámcovými pravidlami jadrovej bezpečnosti, najmä v organizačnej infraštrukturálnej a inštitucionálnej rovine, zodpovednosť za jadrovú bezpečnosť, povinnosť pravidelného zlepšovania jadrovej bezpečnosti a upevňuje postavenie dozorného orgánu. Smernica ďalej stanovuje provoradú zodpovednosť za jadrovú bezpečnosť pre držiteľa povolenia a podporuje transparentnosť jadrových aktivít. Uvedenou smernicou sa preberajú hlavné ustanovenia z Dohovoru o jadrovej bezpečnosti (oznámenie Ministerstva zahraničných vecí č. 163/1997 Z. z.), ktorý bol prijatý na pôde Medzinárodnej agentúry pre atómovú energiu (ďalej len „MAAE“) a stávajú sa tak záväznou súčasťou európskeho práva. Zároveň sa ňou zohľadňujú bezpečnostné štandardy MAAE. </w:t>
      </w:r>
    </w:p>
    <w:p w:rsidR="00805D10" w:rsidRPr="00C96FB2" w:rsidP="00AD2429">
      <w:pPr>
        <w:bidi w:val="0"/>
        <w:spacing w:after="0"/>
        <w:ind w:firstLine="708"/>
        <w:rPr>
          <w:rFonts w:ascii="Times New Roman" w:hAnsi="Times New Roman" w:cs="Times New Roman"/>
        </w:rPr>
      </w:pPr>
    </w:p>
    <w:p w:rsidR="00AD2429" w:rsidRPr="00C96FB2" w:rsidP="00AD2429">
      <w:pPr>
        <w:bidi w:val="0"/>
        <w:spacing w:after="0"/>
        <w:ind w:firstLine="708"/>
        <w:rPr>
          <w:rFonts w:ascii="Times New Roman" w:hAnsi="Times New Roman" w:cs="Times New Roman"/>
          <w:bCs/>
          <w:color w:val="000000"/>
        </w:rPr>
      </w:pPr>
      <w:r w:rsidRPr="00C96FB2">
        <w:rPr>
          <w:rFonts w:ascii="Times New Roman" w:hAnsi="Times New Roman" w:cs="Times New Roman"/>
          <w:bCs/>
          <w:color w:val="000000"/>
        </w:rPr>
        <w:t xml:space="preserve">Nakoľko smernica pokrýva jadrovú bezpečnosť jadrových zariadení v nevyhnutnej spojitosti s problematikou ochrany zamestnancov a obyvateľstva pred nepriaznivými účinkami ionizujúceho žiarenia, návrh zákona na vhodných miestach odkazuje na zákon č. 355/2007 Z. z. o ochrane, podpore a rozvoji verejného zdravia a o zmene a doplnení niektorých zákonov v znení neskorších predpisov, ktorý obsahuje základný inštitucionálny a legislatívny rámec radiačnej ochrany v SR a rovnako na Nariadenie vlády SR č. 345/2006 Z. z. o základných bezpečnostných požiadavkách na ochranu zdravia pracovníkov a obyvateľov pred ionizujúcim žiarením, ktoré detailizuje technické parametre a požiadavky na radiačnú ochranu. Uvedeným spôsobom sa vytvára prepojenie medzi jadrovou bezpečnosťou jadrových zariadení a radiačnou ochranou vo vzťahu k jadrovým zariadeniam.  </w:t>
      </w:r>
    </w:p>
    <w:p w:rsidR="00AD2429" w:rsidRPr="00C96FB2" w:rsidP="00AD2429">
      <w:pPr>
        <w:bidi w:val="0"/>
        <w:spacing w:after="0"/>
        <w:ind w:firstLine="708"/>
        <w:rPr>
          <w:rFonts w:ascii="Times New Roman" w:hAnsi="Times New Roman" w:cs="Times New Roman"/>
        </w:rPr>
      </w:pPr>
      <w:r w:rsidRPr="00C96FB2">
        <w:rPr>
          <w:rFonts w:ascii="Times New Roman" w:hAnsi="Times New Roman" w:cs="Times New Roman"/>
        </w:rPr>
        <w:t>Smernica vyžaduje, aby všetky povinnosti jadrových krajín ustanovené v smernici boli bez výnimky transponované do vnútroštátneho právneho poriadku. Po vyše 60 rokoch existencie EÚ, resp. jej právnych predchodcov, sa vôbec po prvýkrát vytvára spoločný harmonizovaný právny rámec v oblasti jadrovej bezpečnosti, ktorý doteraz v EÚ absentoval,  aj keď zatiaľ len na inštitucionálno - infraštrukturálnej úrovni.</w:t>
      </w:r>
    </w:p>
    <w:p w:rsidR="00AD2429" w:rsidRPr="00C96FB2" w:rsidP="00AD2429">
      <w:pPr>
        <w:bidi w:val="0"/>
        <w:spacing w:after="0"/>
        <w:ind w:firstLine="708"/>
        <w:rPr>
          <w:rFonts w:ascii="Times New Roman" w:hAnsi="Times New Roman" w:cs="Times New Roman"/>
          <w:bCs/>
          <w:color w:val="000000"/>
        </w:rPr>
      </w:pPr>
      <w:r w:rsidRPr="00C96FB2">
        <w:rPr>
          <w:rFonts w:ascii="Times New Roman" w:hAnsi="Times New Roman" w:cs="Times New Roman"/>
        </w:rPr>
        <w:t xml:space="preserve">Návrh novely zákona v ďalšej oblasti dôsledne transponuje požiadavky skupiny WENRA (Western European Nuclear Regulators´ Association) – expertnej skupiny zlučujúcej členov dozorných orgánov členských krajín EÚ a Švajčiarska, majúcich aspoň jedno jadrové zariadenie vo výstavbe, v prevádzke alebo vo vyraďovaní, ktorých cieľom je rozvíjať a zjednotiť spoločný prístup k jednotlivým aspektom jadrovej bezpečnosti, vybudovať a udržiavať sieť dozorných orgánov v EÚ, vytvoriť jednotný prístup k jednotlivým prvkom jadrovej bezpečnosti a radiačnej ochrany, predovšetkým vrámci EÚ, fungovať ako nezávislý orgán, ktorý by EÚ inštitúciám poskytoval informácie z preskúmavania týchto prvkov. V záujme dosiahnutia stanovených cieľov sú členské štáty vo vzájomnej interakcii a poskytujú si materiálnu, personálnu i technickú podporu najmä v oblasti reaktorovej bezpečnosti, bezpečného vyraďovania, nakladania s rádioaktívnym odpadom a vyhoretým jadrovým palivom. Členovia WENRY sa snažia rozšíriť a zdokonaliť bezpečnostné štandardy MAAE. WENRA informuje jednotlivé orgány EÚ, ako aj členské štáty EÚ o svojej činnosti a o výsledkoch svojej práce. </w:t>
      </w:r>
    </w:p>
    <w:p w:rsidR="00AD2429" w:rsidRPr="00C96FB2" w:rsidP="00AD2429">
      <w:pPr>
        <w:autoSpaceDE w:val="0"/>
        <w:autoSpaceDN w:val="0"/>
        <w:bidi w:val="0"/>
        <w:adjustRightInd w:val="0"/>
        <w:spacing w:after="0"/>
        <w:ind w:firstLine="708"/>
        <w:rPr>
          <w:rFonts w:ascii="Times New Roman" w:hAnsi="Times New Roman" w:cs="Times New Roman"/>
        </w:rPr>
      </w:pPr>
      <w:r w:rsidRPr="00C96FB2">
        <w:rPr>
          <w:rFonts w:ascii="Times New Roman" w:hAnsi="Times New Roman" w:cs="Times New Roman"/>
        </w:rPr>
        <w:t xml:space="preserve">ÚJD SR sa aktívne podieľa na prácach dvoch pracovných skupín (ďalej len „PS“), a to </w:t>
      </w:r>
      <w:r w:rsidRPr="00C96FB2">
        <w:rPr>
          <w:rFonts w:ascii="Times New Roman" w:hAnsi="Times New Roman" w:cs="Times New Roman"/>
          <w:iCs/>
        </w:rPr>
        <w:t>PS</w:t>
      </w:r>
      <w:r w:rsidRPr="00C96FB2">
        <w:rPr>
          <w:rFonts w:ascii="Times New Roman" w:hAnsi="Times New Roman" w:cs="Times New Roman"/>
          <w:i/>
          <w:iCs/>
        </w:rPr>
        <w:t xml:space="preserve"> </w:t>
      </w:r>
      <w:r w:rsidRPr="00C96FB2">
        <w:rPr>
          <w:rFonts w:ascii="Times New Roman" w:hAnsi="Times New Roman" w:cs="Times New Roman"/>
          <w:iCs/>
        </w:rPr>
        <w:t>pre harmonizáciu prístupu k bezpečnosti pre existujúce jadrové reaktory</w:t>
      </w:r>
      <w:r w:rsidRPr="00C96FB2">
        <w:rPr>
          <w:rFonts w:ascii="Times New Roman" w:hAnsi="Times New Roman" w:cs="Times New Roman"/>
        </w:rPr>
        <w:t xml:space="preserve"> a </w:t>
      </w:r>
      <w:r w:rsidRPr="00C96FB2">
        <w:rPr>
          <w:rFonts w:ascii="Times New Roman" w:hAnsi="Times New Roman" w:cs="Times New Roman"/>
          <w:iCs/>
        </w:rPr>
        <w:t>PS pre harmonizáciu prístupu k bezpečnosti nakladania s odpadom</w:t>
      </w:r>
      <w:r w:rsidRPr="00C96FB2">
        <w:rPr>
          <w:rFonts w:ascii="Times New Roman" w:hAnsi="Times New Roman" w:cs="Times New Roman"/>
          <w:i/>
          <w:iCs/>
        </w:rPr>
        <w:t>.</w:t>
      </w:r>
      <w:r w:rsidRPr="00C96FB2">
        <w:rPr>
          <w:rFonts w:ascii="Times New Roman" w:hAnsi="Times New Roman" w:cs="Times New Roman"/>
        </w:rPr>
        <w:t xml:space="preserve"> </w:t>
      </w:r>
    </w:p>
    <w:p w:rsidR="00AD2429" w:rsidRPr="00C96FB2" w:rsidP="00AD2429">
      <w:pPr>
        <w:autoSpaceDE w:val="0"/>
        <w:autoSpaceDN w:val="0"/>
        <w:bidi w:val="0"/>
        <w:adjustRightInd w:val="0"/>
        <w:spacing w:after="0"/>
        <w:ind w:firstLine="708"/>
        <w:rPr>
          <w:rFonts w:ascii="Times New Roman" w:hAnsi="Times New Roman" w:cs="Times New Roman"/>
        </w:rPr>
      </w:pPr>
      <w:r w:rsidRPr="00C96FB2">
        <w:rPr>
          <w:rFonts w:ascii="Times New Roman" w:hAnsi="Times New Roman" w:cs="Times New Roman"/>
        </w:rPr>
        <w:t xml:space="preserve">Cieľom PS </w:t>
      </w:r>
      <w:r w:rsidRPr="00C96FB2">
        <w:rPr>
          <w:rFonts w:ascii="Times New Roman" w:hAnsi="Times New Roman" w:cs="Times New Roman"/>
          <w:iCs/>
        </w:rPr>
        <w:t>pre harmonizáciu prístupu k bezpečnosti pre existujúce jadrové reaktory</w:t>
      </w:r>
      <w:r w:rsidRPr="00C96FB2">
        <w:rPr>
          <w:rFonts w:ascii="Times New Roman" w:hAnsi="Times New Roman" w:cs="Times New Roman"/>
        </w:rPr>
        <w:t xml:space="preserve"> je, aby medzi jadrovými zariadeniami členských krajín z pohľadu jadrovej bezpečnosti neboli žiadne významné rozdiely. Výsledkom PS pre harmonizáciu prístupu k bezpečnosti pre existujúce jadrové reaktory je stanovenie minimálnych referenčných úrovní pre osemnásť oblastí posudzovania jadrovej bezpečnosti – bezpečnostná politika, organizačná štruktúra prevádzkovateľa, systém manažérstva kvality, výcvik a oprávnenia personálu, projekt ochrannej obálky pre existujúce reaktory, projekt rozšírenia existujúcich reaktorov, bezpečnostná klasifikácia štruktúr, systémov a komponentov, limity a podmienky prevádzky, manažment starnutia, systém vyšetrovania udalostí alebo spätná väzba prevádzkových skúseností, údržba,  inšpekcie a testovanie prevádzky, havarijné plánovanie a návody pre prípad ťažkých havárii, obsah a aktualizácia bezpečnostných analýz, pravdepodobnostné analýzy, periodické hodnotenie jadrovej bezpečnosti, zmeny na jadrových elektrárňach, havarijná pripravenosť a ochrana pred vnútornými požiarmi.  Referenčné úrovne k jednotlivým aspektom sú stanovené na základe dokumentov MAAE. V roku 2003 boli ukončené práce na pilotnej štúdii, ktorou sa overil spôsob stanovenia referenčných úrovní a otestovala sa metodológia posudzovania ich plnenia a začali sa práce na hlavnej štúdii. V tom čase boli do práce zapojené aj novopristupujúce krajiny EÚ, vrátane Slovenska. Práce na hlavnej štúdii boli ukončené v roku 2006, keď boli prezentované požiadavky, ktoré sa členské krajiny zaviazali implementovať do svojej legislatívy do roku 2010. Akčný plán implementácie požiadaviek vypracovala aj Slovenská republika. Jednotlivé oblasti boli identifikované stupňom zlučiteľnosti s požiadavkami WENRY a výsledkom hodnotenia bolo, že väčšina z požiadaviek je už súčasťou slovenskej legislatívy. Táto PS požaduje, aby boli jej požiadavky inkorporované do dvoch druhov právnych dokumentov. Môže ním byť právne záväzný právny predpis, ktorým je v podmienkach SR zákon alebo vyhláška, ktorých plnenie však musí byť právne vynútiteľné, s možnosťou sankcionovania alebo to má byť dokument, ktorý má charakter všeobecného odporúčania vydaný dozorným orgánom. </w:t>
      </w:r>
    </w:p>
    <w:p w:rsidR="00AD2429" w:rsidRPr="00C96FB2" w:rsidP="00AD2429">
      <w:pPr>
        <w:bidi w:val="0"/>
        <w:spacing w:after="0"/>
        <w:ind w:firstLine="708"/>
        <w:rPr>
          <w:rFonts w:ascii="Times New Roman" w:hAnsi="Times New Roman" w:cs="Times New Roman"/>
        </w:rPr>
      </w:pPr>
      <w:r w:rsidRPr="00C96FB2">
        <w:rPr>
          <w:rFonts w:ascii="Times New Roman" w:hAnsi="Times New Roman" w:cs="Times New Roman"/>
        </w:rPr>
        <w:t xml:space="preserve">PS pre harmonizáciu prístupu k bezpečnosti pre existujúce jadrové reaktory vo svojej práci pokračuje na základe mandátu udeleného riadiacim výborom – dopracováva a novelizuje požiadavky v súlade s vývojom dokumentov MAAE, ktoré tvoria ich základ, sleduje plnenie akčného plánu, pomáha riešiť ťažkosti s prípadnou interpretáciou požiadaviek a začala práce na stanovení hlavných cieľov, ktoré by mal spĺňať projekt pre nové jadrové elektrárne budované v EÚ. </w:t>
      </w:r>
    </w:p>
    <w:p w:rsidR="00AD2429" w:rsidRPr="00C96FB2" w:rsidP="00AD2429">
      <w:pPr>
        <w:bidi w:val="0"/>
        <w:spacing w:after="0"/>
        <w:ind w:firstLine="708"/>
        <w:rPr>
          <w:rFonts w:ascii="Times New Roman" w:hAnsi="Times New Roman" w:cs="Times New Roman"/>
          <w:bCs/>
        </w:rPr>
      </w:pPr>
      <w:r w:rsidRPr="00C96FB2">
        <w:rPr>
          <w:rFonts w:ascii="Times New Roman" w:hAnsi="Times New Roman" w:cs="Times New Roman"/>
        </w:rPr>
        <w:t xml:space="preserve">Cieľom PS pre harmonizáciu prístupu k bezpečnosti nakladania s odpadom je zosúladenie právnych predpisov pre členské krajiny EÚ pre oblasť RAO a vyraďovania jadrových zariadení z prevádzky. V rámci pracovnej skupiny pre RAO a vyraďovanie jadrových zariadení boli pripravené 2 základné dokumenty, a to: Referenčné úrovne pre vyraďovanie jadrových zariadení z prevádzky a Referenčné úrovne pre skladovanie rádioaktívnych odpadov a vyhoretého jadrového paliva. </w:t>
        <w:br/>
        <w:t>Prínos zastúpenia Slovenska v pracovných skupinách spočíva v tom, že máme možnosť aktívne pristupovať k tvorbe referenčných požiadaviek, pričom je reálny predpoklad, že aj podľa ich plnenia a aplikácie sa bude posudzovať úroveň jadrovej bezpečnosti členských krajín EÚ.</w:t>
      </w:r>
    </w:p>
    <w:p w:rsidR="00AD2429" w:rsidRPr="00C96FB2" w:rsidP="00AD2429">
      <w:pPr>
        <w:bidi w:val="0"/>
        <w:spacing w:after="0"/>
        <w:ind w:firstLine="708"/>
        <w:rPr>
          <w:rFonts w:ascii="Times New Roman" w:hAnsi="Times New Roman" w:cs="Times New Roman"/>
          <w:color w:val="000000"/>
        </w:rPr>
      </w:pPr>
      <w:r w:rsidRPr="00C96FB2">
        <w:rPr>
          <w:rFonts w:ascii="Times New Roman" w:hAnsi="Times New Roman" w:cs="Times New Roman"/>
          <w:bCs/>
          <w:color w:val="000000"/>
        </w:rPr>
        <w:t>Závery WENRA smerujú v prevažnej väčšine do technických detailov - požiadaviek na jadrovú bezpečnosť, ktoré sú predmetom úpravy vyhlášok ÚJD SR, nutnosť zmien v zákone z tohto titulu je teda obmedzená na prípady, keď požiadavky WENRA zakladajú nové alebo zmenené povinnosti pre fyzické osoby alebo právnické osoby využívajúce jadrovú energiu.</w:t>
      </w:r>
      <w:r w:rsidRPr="00C96FB2">
        <w:rPr>
          <w:rFonts w:ascii="Times New Roman" w:hAnsi="Times New Roman" w:cs="Times New Roman"/>
          <w:color w:val="000000"/>
        </w:rPr>
        <w:t xml:space="preserve"> Tieto požiadavky nie je možné vzhľadom na ústavnosť riešiť len prostredníctvom novelizácie vyhlášok, ale musia byť riešené priamo v zákone. Do tejto skupiny patrí najmä nanovo upravený § 23 – Jadrová bezpečnosť, § 25 – Systém manažérstva kvality a čiastočne aj obohatenie § 10 o všeobecných prierezových povinnostiach držiteľa povolenia.</w:t>
      </w:r>
    </w:p>
    <w:p w:rsidR="00805D10" w:rsidRPr="00C96FB2" w:rsidP="00AD2429">
      <w:pPr>
        <w:bidi w:val="0"/>
        <w:spacing w:after="0"/>
        <w:ind w:firstLine="708"/>
        <w:rPr>
          <w:rFonts w:ascii="Times New Roman" w:hAnsi="Times New Roman" w:cs="Times New Roman"/>
          <w:color w:val="000000"/>
        </w:rPr>
      </w:pPr>
    </w:p>
    <w:p w:rsidR="00AD2429" w:rsidRPr="00C96FB2" w:rsidP="00AD2429">
      <w:pPr>
        <w:bidi w:val="0"/>
        <w:spacing w:after="0"/>
        <w:ind w:firstLine="708"/>
        <w:rPr>
          <w:rFonts w:ascii="Times New Roman" w:hAnsi="Times New Roman" w:cs="Times New Roman"/>
          <w:bCs/>
          <w:color w:val="000000"/>
        </w:rPr>
      </w:pPr>
      <w:r w:rsidRPr="00C96FB2">
        <w:rPr>
          <w:rFonts w:ascii="Times New Roman" w:hAnsi="Times New Roman" w:cs="Times New Roman"/>
          <w:bCs/>
          <w:color w:val="000000"/>
        </w:rPr>
        <w:t>Ďalším faktorom, ktorý ovplyvnil potrebu zmien doterajšej právnej úpravy, je uznesenie vlády SR č. 610/2009, ktoré uložilo predsedníčke ÚJD SR v termíne do 31. decembra 2011 vypracovať novelu atómového zákona v súlade s návrhom postupu pre nakladanie s inštitucionálnymi rádioaktívnymi odpadmi a zachytenými rádioaktívnymi odpadmi v SR. Z tohto dôvodu predkladaná novelizácia legislatívne stvárňuje aj požiadavky vyplývajúce z materiálu, ktorý bol schválený predm</w:t>
      </w:r>
      <w:r w:rsidR="00E462F1">
        <w:rPr>
          <w:rFonts w:ascii="Times New Roman" w:hAnsi="Times New Roman" w:cs="Times New Roman"/>
          <w:bCs/>
          <w:color w:val="000000"/>
        </w:rPr>
        <w:t>etným uznesením vlády SR dňa 2. </w:t>
      </w:r>
      <w:r w:rsidRPr="00C96FB2">
        <w:rPr>
          <w:rFonts w:ascii="Times New Roman" w:hAnsi="Times New Roman" w:cs="Times New Roman"/>
          <w:bCs/>
          <w:color w:val="000000"/>
        </w:rPr>
        <w:t>septembra 2009.</w:t>
      </w:r>
    </w:p>
    <w:p w:rsidR="00805D10" w:rsidP="00AD2429">
      <w:pPr>
        <w:bidi w:val="0"/>
        <w:spacing w:after="0"/>
        <w:ind w:firstLine="708"/>
        <w:rPr>
          <w:rFonts w:ascii="Times New Roman" w:hAnsi="Times New Roman" w:cs="Times New Roman"/>
          <w:bCs/>
          <w:color w:val="000000"/>
        </w:rPr>
      </w:pPr>
    </w:p>
    <w:p w:rsidR="00E462F1" w:rsidRPr="00C96FB2" w:rsidP="00AD2429">
      <w:pPr>
        <w:bidi w:val="0"/>
        <w:spacing w:after="0"/>
        <w:ind w:firstLine="708"/>
        <w:rPr>
          <w:rFonts w:ascii="Times New Roman" w:hAnsi="Times New Roman" w:cs="Times New Roman"/>
          <w:bCs/>
          <w:color w:val="000000"/>
        </w:rPr>
      </w:pPr>
    </w:p>
    <w:p w:rsidR="00AD2429" w:rsidRPr="00C96FB2" w:rsidP="00AD2429">
      <w:pPr>
        <w:bidi w:val="0"/>
        <w:spacing w:after="0"/>
        <w:ind w:firstLine="708"/>
        <w:rPr>
          <w:rFonts w:ascii="Times New Roman" w:hAnsi="Times New Roman" w:cs="Times New Roman"/>
        </w:rPr>
      </w:pPr>
      <w:r w:rsidRPr="00C96FB2">
        <w:rPr>
          <w:rFonts w:ascii="Times New Roman" w:hAnsi="Times New Roman" w:cs="Times New Roman"/>
        </w:rPr>
        <w:t xml:space="preserve">Poslednou oblasťou úpravy je obmedzenie prístupu k materiálom, ktoré novela atómového zákona označuje ako citlivú dokumentáciu. Samotný Dohovor </w:t>
      </w:r>
      <w:r w:rsidRPr="00C96FB2">
        <w:rPr>
          <w:rFonts w:ascii="Times New Roman" w:hAnsi="Times New Roman" w:cs="Times New Roman"/>
          <w:bCs/>
        </w:rPr>
        <w:t>o prístupe k informáciám, účasti verejnosti na rozhodovacom procese a prístupe k spravodlivosti v záležitostiach životného prostredia (oznámenie Ministerstva zahraničných vecí SR č. 43/2006 Z. z.) (ďalej len „</w:t>
      </w:r>
      <w:r w:rsidRPr="00C96FB2">
        <w:rPr>
          <w:rFonts w:ascii="Times New Roman" w:hAnsi="Times New Roman" w:cs="Times New Roman"/>
        </w:rPr>
        <w:t xml:space="preserve">Aarhuský dohovor“ ), rešpektuje práva jednotlivých signatárskych členských krajín a stanovuje právo odmietnuť poskytnutie informácie, ktorej zverejnenie by mohlo nepriaznivo ovplyvniť </w:t>
      </w:r>
      <w:r w:rsidRPr="00C96FB2">
        <w:rPr>
          <w:rFonts w:ascii="Times New Roman" w:hAnsi="Times New Roman" w:cs="Times New Roman"/>
          <w:b/>
        </w:rPr>
        <w:t>medzinárodné vzťahy, obranu štátu alebo bezpečnosť verejnosti</w:t>
      </w:r>
      <w:r w:rsidRPr="00C96FB2">
        <w:rPr>
          <w:rFonts w:ascii="Times New Roman" w:hAnsi="Times New Roman" w:cs="Times New Roman"/>
        </w:rPr>
        <w:t xml:space="preserve">. Takéto obmedzenie pripúšťa aj transponovaná smernica 2009/71/Euratom v čl. 8. Taxatívne sa vymedzujú dokumenty, ktoré ÚJD SR považuje za natoľko dôležité, že by ich zverejnením mohlo dôjsť k zneužitiu informácii v nich obsiahnutých na plánovanie a vykonanie činností s cieľom spôsobiť narušenie alebo zničenie jadrového zariadenia a v konečnom dôsledku spôsobiť nielen SR, ale aj okolitým štátom obrovské škody na životoch, majetku a životnom prostredí. Spomenuté obmedzenie je vo verejnom záujme a bude vykladané reštriktívne len s poukazom na konkrétny výpočet. </w:t>
      </w:r>
    </w:p>
    <w:p w:rsidR="00805D10" w:rsidRPr="00C96FB2" w:rsidP="00AD2429">
      <w:pPr>
        <w:bidi w:val="0"/>
        <w:spacing w:after="0"/>
        <w:ind w:firstLine="708"/>
        <w:rPr>
          <w:rFonts w:ascii="Times New Roman" w:hAnsi="Times New Roman" w:cs="Times New Roman"/>
        </w:rPr>
      </w:pPr>
    </w:p>
    <w:p w:rsidR="00AD2429" w:rsidRPr="00C96FB2" w:rsidP="00AD2429">
      <w:pPr>
        <w:pStyle w:val="Nzovvyhlky"/>
        <w:bidi w:val="0"/>
        <w:spacing w:afterLines="0" w:line="276" w:lineRule="auto"/>
        <w:ind w:firstLine="708"/>
        <w:jc w:val="both"/>
        <w:rPr>
          <w:rFonts w:ascii="Times New Roman" w:hAnsi="Times New Roman"/>
          <w:b w:val="0"/>
          <w:lang w:val="sk-SK"/>
        </w:rPr>
      </w:pPr>
      <w:r w:rsidRPr="00C96FB2">
        <w:rPr>
          <w:rFonts w:ascii="Times New Roman" w:hAnsi="Times New Roman"/>
          <w:b w:val="0"/>
          <w:lang w:val="sk-SK"/>
        </w:rPr>
        <w:t xml:space="preserve">Vzhľadom na novelizáciu množstva ustanovení súvisiacich s atómovým zákonom, na ktoré sa vyskytuje odkaz priamo v texte, predkladateľ pristupuje aj k legislatívno - technickej úprave poznámok pod čiarou a vnútorných odkazov, a to v súlade s Legislatívnymi pravidlami vlády SR. Aktualizácia odkazov je v záujme prehľadnosti a zrozumiteľnosti právnej úpravy zakotvenej atómovým zákonom a zabezpečuje pochopenie previazanosti jednotlivých ustanovení atómového zákona. </w:t>
      </w:r>
    </w:p>
    <w:p w:rsidR="00805D10" w:rsidRPr="00C96FB2" w:rsidP="00AD2429">
      <w:pPr>
        <w:pStyle w:val="Nzovvyhlky"/>
        <w:bidi w:val="0"/>
        <w:spacing w:afterLines="0" w:line="276" w:lineRule="auto"/>
        <w:ind w:firstLine="708"/>
        <w:jc w:val="both"/>
        <w:rPr>
          <w:rFonts w:ascii="Times New Roman" w:hAnsi="Times New Roman"/>
          <w:b w:val="0"/>
          <w:lang w:val="sk-SK"/>
        </w:rPr>
      </w:pPr>
    </w:p>
    <w:p w:rsidR="00AD2429" w:rsidRPr="00C96FB2" w:rsidP="00AD2429">
      <w:pPr>
        <w:pStyle w:val="Nzovvyhlky"/>
        <w:bidi w:val="0"/>
        <w:spacing w:afterLines="0" w:line="276" w:lineRule="auto"/>
        <w:ind w:firstLine="708"/>
        <w:jc w:val="both"/>
        <w:rPr>
          <w:rFonts w:ascii="Times New Roman" w:hAnsi="Times New Roman"/>
          <w:b w:val="0"/>
          <w:lang w:val="sk-SK"/>
        </w:rPr>
      </w:pPr>
      <w:r w:rsidRPr="00C96FB2">
        <w:rPr>
          <w:rFonts w:ascii="Times New Roman" w:hAnsi="Times New Roman"/>
          <w:b w:val="0"/>
          <w:lang w:val="sk-SK"/>
        </w:rPr>
        <w:t>Súčasťou predkladaného materiálu sú aj návrhy dvoch nových vyhlášok ÚJD SR, a to vyhláška, ktorou sa ustanovujú podrobnosti o požiadavkách na jadrovú bezpečnosť a</w:t>
      </w:r>
      <w:r w:rsidRPr="00C96FB2">
        <w:rPr>
          <w:rFonts w:ascii="Times New Roman" w:hAnsi="Times New Roman"/>
          <w:b w:val="0"/>
        </w:rPr>
        <w:t xml:space="preserve"> vyhláška, </w:t>
      </w:r>
      <w:r w:rsidRPr="00C96FB2">
        <w:rPr>
          <w:rFonts w:ascii="Times New Roman" w:hAnsi="Times New Roman"/>
          <w:b w:val="0"/>
          <w:lang w:val="sk-SK"/>
        </w:rPr>
        <w:t>ktorou sa ustanovujú podrobnosti o systéme manažérstva kvality. Predložené vyhlášky nanovo rozpracúvajú najmä § 23 a § 25 z titulu najrozsiahlejších zmien oproti doterajšiemu právnemu stavu. Obe vyhlášky reflektujú najpočetnejšie a obsahovo najzložitejšie požiadavky skupiny WENRA, ako aj transpozíciu smernice 2009/71/Euratom a zmenu splnomocňovacích ustanovení. Predložené vyhlášky v budúcnosti nahradia súčasnú vyhlášku 50/2006 Z. z. a vyhlášku 56/2006 Z. z. Ostatné vyhlášky ÚJD SR účinné v súčasnosti buď transpozíciou smernice 2009/71/Euratom a požiadavkami WENRY neboli dotknuté vôbec, alebo sa pristúpi len k ich stručnej novelizácii.</w:t>
      </w:r>
    </w:p>
    <w:p w:rsidR="00805D10" w:rsidRPr="00C96FB2" w:rsidP="00AD2429">
      <w:pPr>
        <w:pStyle w:val="Nzovvyhlky"/>
        <w:bidi w:val="0"/>
        <w:spacing w:afterLines="0" w:line="276" w:lineRule="auto"/>
        <w:ind w:firstLine="708"/>
        <w:jc w:val="both"/>
        <w:rPr>
          <w:rFonts w:ascii="Times New Roman" w:hAnsi="Times New Roman"/>
          <w:b w:val="0"/>
          <w:lang w:val="sk-SK"/>
        </w:rPr>
      </w:pPr>
    </w:p>
    <w:p w:rsidR="00AD2429" w:rsidRPr="00C96FB2" w:rsidP="00AD2429">
      <w:pPr>
        <w:pStyle w:val="Nzovvyhlky"/>
        <w:bidi w:val="0"/>
        <w:spacing w:afterLines="0" w:line="276" w:lineRule="auto"/>
        <w:ind w:firstLine="708"/>
        <w:jc w:val="both"/>
        <w:rPr>
          <w:rFonts w:ascii="Times New Roman" w:hAnsi="Times New Roman"/>
          <w:b w:val="0"/>
          <w:lang w:val="sk-SK"/>
        </w:rPr>
      </w:pPr>
      <w:r w:rsidRPr="00C96FB2">
        <w:rPr>
          <w:rFonts w:ascii="Times New Roman" w:hAnsi="Times New Roman"/>
          <w:b w:val="0"/>
          <w:lang w:val="sk-SK"/>
        </w:rPr>
        <w:t xml:space="preserve">Návrh zákona je v súlade s Ústavou SR, ústavnými zákonmi a inými zákonmi, medzinárodnými zmluvami a inými medzinárodnými dokumentmi, ktorými je SR viazaná, ako aj s právom európskej únie. </w:t>
      </w:r>
    </w:p>
    <w:p w:rsidR="00AD2429" w:rsidRPr="00C96FB2" w:rsidP="00AD2429">
      <w:pPr>
        <w:bidi w:val="0"/>
        <w:rPr>
          <w:rFonts w:ascii="Times New Roman" w:hAnsi="Times New Roman" w:cs="Times New Roman"/>
        </w:rPr>
      </w:pPr>
    </w:p>
    <w:p w:rsidR="00AD2429" w:rsidRPr="00C96FB2" w:rsidP="00AD2429">
      <w:pPr>
        <w:bidi w:val="0"/>
        <w:rPr>
          <w:rFonts w:ascii="Times New Roman" w:hAnsi="Times New Roman" w:cs="Times New Roman"/>
        </w:rPr>
        <w:sectPr w:rsidSect="00C707DB">
          <w:footerReference w:type="default" r:id="rId4"/>
          <w:footerReference w:type="first" r:id="rId5"/>
          <w:pgSz w:w="11906" w:h="16838" w:code="9"/>
          <w:pgMar w:top="1418" w:right="1418" w:bottom="1418" w:left="1418" w:header="709" w:footer="709" w:gutter="0"/>
          <w:lnNumType w:distance="0"/>
          <w:cols w:space="708"/>
          <w:noEndnote w:val="0"/>
          <w:bidi w:val="0"/>
          <w:docGrid w:linePitch="360"/>
        </w:sectPr>
      </w:pPr>
    </w:p>
    <w:p w:rsidR="00C87979" w:rsidRPr="00C96FB2" w:rsidP="00C87979">
      <w:pPr>
        <w:bidi w:val="0"/>
        <w:ind w:right="-108"/>
        <w:jc w:val="center"/>
        <w:rPr>
          <w:rFonts w:ascii="Times New Roman" w:hAnsi="Times New Roman" w:cs="Times New Roman"/>
          <w:b/>
          <w:bCs/>
          <w:sz w:val="28"/>
          <w:szCs w:val="28"/>
        </w:rPr>
      </w:pPr>
      <w:r w:rsidRPr="00C96FB2">
        <w:rPr>
          <w:rFonts w:ascii="Times New Roman" w:hAnsi="Times New Roman" w:cs="Times New Roman"/>
          <w:b/>
          <w:bCs/>
          <w:sz w:val="28"/>
          <w:szCs w:val="28"/>
        </w:rPr>
        <w:t>Doložka vybraných vplyvov</w:t>
      </w:r>
    </w:p>
    <w:p w:rsidR="00C87979" w:rsidRPr="00C96FB2" w:rsidP="00C87979">
      <w:pPr>
        <w:bidi w:val="0"/>
        <w:ind w:right="-108"/>
        <w:jc w:val="center"/>
        <w:rPr>
          <w:rFonts w:ascii="Times New Roman" w:hAnsi="Times New Roman" w:cs="Times New Roman"/>
          <w:b/>
          <w:bCs/>
          <w:sz w:val="28"/>
          <w:szCs w:val="28"/>
        </w:rPr>
      </w:pPr>
    </w:p>
    <w:p w:rsidR="00C87979" w:rsidRPr="00C96FB2" w:rsidP="00C87979">
      <w:pPr>
        <w:bidi w:val="0"/>
        <w:rPr>
          <w:rFonts w:ascii="Times New Roman" w:hAnsi="Times New Roman" w:cs="Times New Roman"/>
          <w:b/>
          <w:bCs/>
        </w:rPr>
      </w:pPr>
    </w:p>
    <w:p w:rsidR="00C87979" w:rsidRPr="00C96FB2" w:rsidP="00C87979">
      <w:pPr>
        <w:bidi w:val="0"/>
        <w:rPr>
          <w:rFonts w:ascii="Times New Roman" w:hAnsi="Times New Roman" w:cs="Times New Roman"/>
          <w:b/>
          <w:bCs/>
        </w:rPr>
      </w:pPr>
    </w:p>
    <w:p w:rsidR="00C87979" w:rsidRPr="00C96FB2" w:rsidP="00C87979">
      <w:pPr>
        <w:bidi w:val="0"/>
        <w:rPr>
          <w:rFonts w:ascii="Times New Roman" w:hAnsi="Times New Roman" w:cs="Times New Roman"/>
          <w:b/>
          <w:bCs/>
        </w:rPr>
      </w:pPr>
      <w:r w:rsidRPr="00C96FB2">
        <w:rPr>
          <w:rFonts w:ascii="Times New Roman" w:hAnsi="Times New Roman" w:cs="Times New Roman"/>
          <w:b/>
          <w:bCs/>
        </w:rPr>
        <w:t>A.1. Názov materiálu:</w:t>
      </w:r>
      <w:r w:rsidR="00696F88">
        <w:rPr>
          <w:rFonts w:ascii="Times New Roman" w:hAnsi="Times New Roman" w:cs="Times New Roman"/>
          <w:b/>
          <w:bCs/>
        </w:rPr>
        <w:t xml:space="preserve"> Vládny návrh zákona, ktorým sa mení a dopĺňa zákon č. 541/2004 Z. z. o mierovom využívaní jadrovej energie (atómový zákon) a o zmene a doplnení niektorých zákonov v znení neskorších predpisov</w:t>
      </w:r>
    </w:p>
    <w:p w:rsidR="00C87979" w:rsidRPr="00C96FB2" w:rsidP="00C87979">
      <w:pPr>
        <w:bidi w:val="0"/>
        <w:rPr>
          <w:rFonts w:ascii="Times New Roman" w:hAnsi="Times New Roman" w:cs="Times New Roman"/>
          <w:b/>
          <w:bCs/>
        </w:rPr>
      </w:pPr>
      <w:r w:rsidRPr="00C96FB2">
        <w:rPr>
          <w:rFonts w:ascii="Times New Roman" w:hAnsi="Times New Roman" w:cs="Times New Roman"/>
          <w:b/>
          <w:bCs/>
        </w:rPr>
        <w:t xml:space="preserve">        Termín začatia a ukončenia PPK: 5.</w:t>
      </w:r>
      <w:r w:rsidR="00903A34">
        <w:rPr>
          <w:rFonts w:ascii="Times New Roman" w:hAnsi="Times New Roman" w:cs="Times New Roman"/>
          <w:b/>
          <w:bCs/>
        </w:rPr>
        <w:t xml:space="preserve"> </w:t>
      </w:r>
      <w:r w:rsidRPr="00C96FB2">
        <w:rPr>
          <w:rFonts w:ascii="Times New Roman" w:hAnsi="Times New Roman" w:cs="Times New Roman"/>
          <w:b/>
          <w:bCs/>
        </w:rPr>
        <w:t>8.</w:t>
      </w:r>
      <w:r w:rsidR="00903A34">
        <w:rPr>
          <w:rFonts w:ascii="Times New Roman" w:hAnsi="Times New Roman" w:cs="Times New Roman"/>
          <w:b/>
          <w:bCs/>
        </w:rPr>
        <w:t xml:space="preserve"> </w:t>
      </w:r>
      <w:r w:rsidRPr="00C96FB2">
        <w:rPr>
          <w:rFonts w:ascii="Times New Roman" w:hAnsi="Times New Roman" w:cs="Times New Roman"/>
          <w:b/>
          <w:bCs/>
        </w:rPr>
        <w:t>2010 – 3.</w:t>
      </w:r>
      <w:r w:rsidR="00903A34">
        <w:rPr>
          <w:rFonts w:ascii="Times New Roman" w:hAnsi="Times New Roman" w:cs="Times New Roman"/>
          <w:b/>
          <w:bCs/>
        </w:rPr>
        <w:t xml:space="preserve"> </w:t>
      </w:r>
      <w:r w:rsidRPr="00C96FB2">
        <w:rPr>
          <w:rFonts w:ascii="Times New Roman" w:hAnsi="Times New Roman" w:cs="Times New Roman"/>
          <w:b/>
          <w:bCs/>
        </w:rPr>
        <w:t>9.</w:t>
      </w:r>
      <w:r w:rsidR="00903A34">
        <w:rPr>
          <w:rFonts w:ascii="Times New Roman" w:hAnsi="Times New Roman" w:cs="Times New Roman"/>
          <w:b/>
          <w:bCs/>
        </w:rPr>
        <w:t xml:space="preserve"> </w:t>
      </w:r>
      <w:r w:rsidRPr="00C96FB2">
        <w:rPr>
          <w:rFonts w:ascii="Times New Roman" w:hAnsi="Times New Roman" w:cs="Times New Roman"/>
          <w:b/>
          <w:bCs/>
        </w:rPr>
        <w:t>2010</w:t>
      </w:r>
    </w:p>
    <w:p w:rsidR="00C87979" w:rsidRPr="00C96FB2" w:rsidP="00C87979">
      <w:pPr>
        <w:bidi w:val="0"/>
        <w:rPr>
          <w:rFonts w:ascii="Times New Roman" w:hAnsi="Times New Roman" w:cs="Times New Roman"/>
          <w:b/>
          <w:bCs/>
        </w:rPr>
      </w:pPr>
    </w:p>
    <w:p w:rsidR="00C87979" w:rsidRPr="00C96FB2" w:rsidP="00C87979">
      <w:pPr>
        <w:bidi w:val="0"/>
        <w:rPr>
          <w:rFonts w:ascii="Times New Roman" w:hAnsi="Times New Roman" w:cs="Times New Roman"/>
          <w:b/>
          <w:bCs/>
        </w:rPr>
      </w:pPr>
      <w:r w:rsidRPr="00C96FB2">
        <w:rPr>
          <w:rFonts w:ascii="Times New Roman" w:hAnsi="Times New Roman" w:cs="Times New Roman"/>
          <w:b/>
          <w:bCs/>
        </w:rPr>
        <w:t>A.2. Vplyvy:</w:t>
      </w:r>
    </w:p>
    <w:p w:rsidR="00C87979" w:rsidRPr="00C96FB2" w:rsidP="00C87979">
      <w:pPr>
        <w:bidi w:val="0"/>
        <w:rPr>
          <w:rFonts w:ascii="Times New Roman" w:hAnsi="Times New Roman" w:cs="Times New Roman"/>
        </w:rPr>
      </w:pPr>
    </w:p>
    <w:tbl>
      <w:tblPr>
        <w:tblStyle w:val="TableNormal"/>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726"/>
        <w:gridCol w:w="1242"/>
        <w:gridCol w:w="1260"/>
        <w:gridCol w:w="1336"/>
      </w:tblGrid>
      <w:tr>
        <w:tblPrEx>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C87979" w:rsidRPr="00C96FB2" w:rsidP="00AD2429">
            <w:pPr>
              <w:bidi w:val="0"/>
              <w:rPr>
                <w:rFonts w:ascii="Times New Roman" w:hAnsi="Times New Roman" w:cs="Times New Roman"/>
              </w:rPr>
            </w:pPr>
          </w:p>
        </w:tc>
        <w:tc>
          <w:tcPr>
            <w:tcW w:w="1242" w:type="dxa"/>
            <w:tcBorders>
              <w:top w:val="single" w:sz="4" w:space="0" w:color="auto"/>
              <w:left w:val="single" w:sz="4" w:space="0" w:color="auto"/>
              <w:bottom w:val="single" w:sz="4" w:space="0" w:color="auto"/>
              <w:right w:val="single" w:sz="4" w:space="0" w:color="auto"/>
            </w:tcBorders>
            <w:textDirection w:val="lrTb"/>
            <w:vAlign w:val="center"/>
          </w:tcPr>
          <w:p w:rsidR="00C87979" w:rsidRPr="00C96FB2" w:rsidP="00AD2429">
            <w:pPr>
              <w:bidi w:val="0"/>
              <w:jc w:val="center"/>
              <w:rPr>
                <w:rFonts w:ascii="Times New Roman" w:hAnsi="Times New Roman" w:cs="Times New Roman"/>
              </w:rPr>
            </w:pPr>
            <w:r w:rsidRPr="00C96FB2">
              <w:rPr>
                <w:rFonts w:ascii="Times New Roman" w:hAnsi="Times New Roman" w:cs="Times New Roman"/>
              </w:rPr>
              <w:t>Pozitívne</w:t>
            </w:r>
            <w:r w:rsidRPr="00C96FB2">
              <w:rPr>
                <w:rFonts w:ascii="Times New Roman" w:hAnsi="Times New Roman" w:cs="Times New Roman"/>
                <w:vertAlign w:val="superscript"/>
              </w:rPr>
              <w:t>*</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C87979" w:rsidRPr="00C96FB2" w:rsidP="00AD2429">
            <w:pPr>
              <w:bidi w:val="0"/>
              <w:jc w:val="center"/>
              <w:rPr>
                <w:rFonts w:ascii="Times New Roman" w:hAnsi="Times New Roman" w:cs="Times New Roman"/>
              </w:rPr>
            </w:pPr>
            <w:r w:rsidRPr="00C96FB2">
              <w:rPr>
                <w:rFonts w:ascii="Times New Roman" w:hAnsi="Times New Roman" w:cs="Times New Roman"/>
              </w:rPr>
              <w:t>Žiadne</w:t>
            </w:r>
            <w:r w:rsidRPr="00C96FB2">
              <w:rPr>
                <w:rFonts w:ascii="Times New Roman" w:hAnsi="Times New Roman" w:cs="Times New Roman"/>
                <w:vertAlign w:val="superscript"/>
              </w:rPr>
              <w:t>*</w:t>
            </w:r>
          </w:p>
        </w:tc>
        <w:tc>
          <w:tcPr>
            <w:tcW w:w="1336" w:type="dxa"/>
            <w:tcBorders>
              <w:top w:val="single" w:sz="4" w:space="0" w:color="auto"/>
              <w:left w:val="single" w:sz="4" w:space="0" w:color="auto"/>
              <w:bottom w:val="single" w:sz="4" w:space="0" w:color="auto"/>
              <w:right w:val="single" w:sz="4" w:space="0" w:color="auto"/>
            </w:tcBorders>
            <w:textDirection w:val="lrTb"/>
            <w:vAlign w:val="center"/>
          </w:tcPr>
          <w:p w:rsidR="00C87979" w:rsidRPr="00C96FB2" w:rsidP="00AD2429">
            <w:pPr>
              <w:bidi w:val="0"/>
              <w:jc w:val="center"/>
              <w:rPr>
                <w:rFonts w:ascii="Times New Roman" w:hAnsi="Times New Roman" w:cs="Times New Roman"/>
              </w:rPr>
            </w:pPr>
            <w:r w:rsidRPr="00C96FB2">
              <w:rPr>
                <w:rFonts w:ascii="Times New Roman" w:hAnsi="Times New Roman" w:cs="Times New Roman"/>
              </w:rPr>
              <w:t>Negatívne</w:t>
            </w:r>
            <w:r w:rsidRPr="00C96FB2">
              <w:rPr>
                <w:rFonts w:ascii="Times New Roman" w:hAnsi="Times New Roman" w:cs="Times New Roman"/>
                <w:vertAlign w:val="superscript"/>
              </w:rPr>
              <w:t>*</w:t>
            </w: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C87979" w:rsidRPr="00C96FB2" w:rsidP="00AD2429">
            <w:pPr>
              <w:bidi w:val="0"/>
              <w:rPr>
                <w:rFonts w:ascii="Times New Roman" w:hAnsi="Times New Roman" w:cs="Times New Roman"/>
                <w:bCs/>
              </w:rPr>
            </w:pPr>
            <w:r w:rsidRPr="00C96FB2">
              <w:rPr>
                <w:rFonts w:ascii="Times New Roman" w:hAnsi="Times New Roman" w:cs="Times New Roman"/>
                <w:bCs/>
                <w:sz w:val="22"/>
              </w:rPr>
              <w:t>1. Vplyvy na rozpočet verejnej správy</w:t>
            </w:r>
          </w:p>
          <w:p w:rsidR="00C87979" w:rsidRPr="00C96FB2" w:rsidP="00AD2429">
            <w:pPr>
              <w:bidi w:val="0"/>
              <w:rPr>
                <w:rFonts w:ascii="Times New Roman" w:hAnsi="Times New Roman" w:cs="Times New Roman"/>
                <w:i/>
              </w:rPr>
            </w:pP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C87979" w:rsidRPr="00C96FB2" w:rsidP="00AD2429">
            <w:pPr>
              <w:bidi w:val="0"/>
              <w:jc w:val="center"/>
              <w:rPr>
                <w:rFonts w:ascii="Times New Roman" w:hAnsi="Times New Roman" w:cs="Times New Roman"/>
              </w:rPr>
            </w:pPr>
            <w:r w:rsidRPr="00C96FB2">
              <w:rPr>
                <w:rFonts w:ascii="Times New Roman" w:hAnsi="Times New Roman" w:cs="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C87979" w:rsidRPr="00C96FB2" w:rsidP="00AD2429">
            <w:pPr>
              <w:bidi w:val="0"/>
              <w:jc w:val="center"/>
              <w:rPr>
                <w:rFonts w:ascii="Times New Roman" w:hAnsi="Times New Roman" w:cs="Times New Roman"/>
              </w:rPr>
            </w:pP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C87979" w:rsidRPr="00C96FB2" w:rsidP="00AD2429">
            <w:pPr>
              <w:bidi w:val="0"/>
              <w:jc w:val="center"/>
              <w:rPr>
                <w:rFonts w:ascii="Times New Roman" w:hAnsi="Times New Roman" w:cs="Times New Roman"/>
              </w:rPr>
            </w:pPr>
            <w:r w:rsidRPr="00C96FB2">
              <w:rPr>
                <w:rFonts w:ascii="Times New Roman" w:hAnsi="Times New Roman" w:cs="Times New Roman"/>
              </w:rPr>
              <w:t>x</w:t>
            </w: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C87979" w:rsidRPr="00C96FB2" w:rsidP="00AD2429">
            <w:pPr>
              <w:bidi w:val="0"/>
              <w:rPr>
                <w:rFonts w:ascii="Times New Roman" w:hAnsi="Times New Roman" w:cs="Times New Roman"/>
              </w:rPr>
            </w:pPr>
            <w:r w:rsidRPr="00C96FB2">
              <w:rPr>
                <w:rFonts w:ascii="Times New Roman" w:hAnsi="Times New Roman" w:cs="Times New Roman"/>
                <w:bCs/>
                <w:sz w:val="22"/>
              </w:rPr>
              <w:t>2. Vplyvy na podnikateľské prostredie – dochádza k zvýšeniu regulačného zaťaženia?</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C87979" w:rsidRPr="00C96FB2" w:rsidP="00AD2429">
            <w:pPr>
              <w:bidi w:val="0"/>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C87979" w:rsidRPr="00C96FB2" w:rsidP="00AD2429">
            <w:pPr>
              <w:bidi w:val="0"/>
              <w:jc w:val="center"/>
              <w:rPr>
                <w:rFonts w:ascii="Times New Roman" w:hAnsi="Times New Roman" w:cs="Times New Roman"/>
              </w:rPr>
            </w:pPr>
            <w:r w:rsidRPr="00C96FB2">
              <w:rPr>
                <w:rFonts w:ascii="Times New Roman" w:hAnsi="Times New Roman" w:cs="Times New Roman"/>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C87979" w:rsidRPr="00C96FB2" w:rsidP="00AD2429">
            <w:pPr>
              <w:bidi w:val="0"/>
              <w:jc w:val="center"/>
              <w:rPr>
                <w:rFonts w:ascii="Times New Roman" w:hAnsi="Times New Roman" w:cs="Times New Roman"/>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C87979" w:rsidRPr="00C96FB2" w:rsidP="00AD2429">
            <w:pPr>
              <w:bidi w:val="0"/>
              <w:rPr>
                <w:rFonts w:ascii="Times New Roman" w:hAnsi="Times New Roman" w:cs="Times New Roman"/>
                <w:bCs/>
              </w:rPr>
            </w:pPr>
            <w:r w:rsidRPr="00C96FB2" w:rsidR="00805D10">
              <w:rPr>
                <w:rFonts w:ascii="Times New Roman" w:hAnsi="Times New Roman" w:cs="Times New Roman"/>
                <w:bCs/>
                <w:sz w:val="22"/>
              </w:rPr>
              <w:t>3.</w:t>
            </w:r>
            <w:r w:rsidRPr="00C96FB2">
              <w:rPr>
                <w:rFonts w:ascii="Times New Roman" w:hAnsi="Times New Roman" w:cs="Times New Roman"/>
                <w:bCs/>
                <w:sz w:val="22"/>
              </w:rPr>
              <w:t xml:space="preserve"> Sociálne vplyvy </w:t>
            </w:r>
          </w:p>
          <w:p w:rsidR="00C87979" w:rsidRPr="00C96FB2" w:rsidP="00805D10">
            <w:pPr>
              <w:pStyle w:val="ListParagraph"/>
              <w:numPr>
                <w:numId w:val="44"/>
              </w:numPr>
              <w:bidi w:val="0"/>
              <w:rPr>
                <w:rFonts w:ascii="Times New Roman" w:hAnsi="Times New Roman" w:cs="Times New Roman"/>
                <w:bCs/>
              </w:rPr>
            </w:pPr>
            <w:r w:rsidRPr="00C96FB2">
              <w:rPr>
                <w:rFonts w:ascii="Times New Roman" w:hAnsi="Times New Roman" w:cs="Times New Roman"/>
                <w:bCs/>
                <w:sz w:val="22"/>
              </w:rPr>
              <w:t>vplyvy  na hospodárenie obyvateľstva,</w:t>
            </w:r>
          </w:p>
          <w:p w:rsidR="00C87979" w:rsidRPr="00C96FB2" w:rsidP="00805D10">
            <w:pPr>
              <w:pStyle w:val="ListParagraph"/>
              <w:numPr>
                <w:numId w:val="44"/>
              </w:numPr>
              <w:bidi w:val="0"/>
              <w:rPr>
                <w:rFonts w:ascii="Times New Roman" w:hAnsi="Times New Roman" w:cs="Times New Roman"/>
                <w:bCs/>
              </w:rPr>
            </w:pPr>
            <w:r w:rsidRPr="00C96FB2">
              <w:rPr>
                <w:rFonts w:ascii="Times New Roman" w:hAnsi="Times New Roman" w:cs="Times New Roman"/>
                <w:bCs/>
                <w:sz w:val="22"/>
              </w:rPr>
              <w:t>sociálnu exklúziu,</w:t>
            </w:r>
          </w:p>
          <w:p w:rsidR="00C87979" w:rsidRPr="00C96FB2" w:rsidP="00805D10">
            <w:pPr>
              <w:pStyle w:val="ListParagraph"/>
              <w:numPr>
                <w:numId w:val="44"/>
              </w:numPr>
              <w:bidi w:val="0"/>
              <w:rPr>
                <w:rFonts w:ascii="Times New Roman" w:hAnsi="Times New Roman" w:cs="Times New Roman"/>
              </w:rPr>
            </w:pPr>
            <w:r w:rsidRPr="00C96FB2">
              <w:rPr>
                <w:rFonts w:ascii="Times New Roman" w:hAnsi="Times New Roman" w:cs="Times New Roman"/>
                <w:bCs/>
                <w:sz w:val="22"/>
              </w:rPr>
              <w:t>rovnosť príležitostí a rodovú rovnosť a vplyvy na zamestnanosť</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C87979" w:rsidRPr="00C96FB2" w:rsidP="00AD2429">
            <w:pPr>
              <w:bidi w:val="0"/>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C87979" w:rsidRPr="00C96FB2" w:rsidP="00AD2429">
            <w:pPr>
              <w:bidi w:val="0"/>
              <w:jc w:val="center"/>
              <w:rPr>
                <w:rFonts w:ascii="Times New Roman" w:hAnsi="Times New Roman" w:cs="Times New Roman"/>
              </w:rPr>
            </w:pPr>
            <w:r w:rsidRPr="00C96FB2">
              <w:rPr>
                <w:rFonts w:ascii="Times New Roman" w:hAnsi="Times New Roman" w:cs="Times New Roman"/>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C87979" w:rsidRPr="00C96FB2" w:rsidP="00AD2429">
            <w:pPr>
              <w:bidi w:val="0"/>
              <w:jc w:val="center"/>
              <w:rPr>
                <w:rFonts w:ascii="Times New Roman" w:hAnsi="Times New Roman" w:cs="Times New Roman"/>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C87979" w:rsidRPr="00C96FB2" w:rsidP="00AD2429">
            <w:pPr>
              <w:bidi w:val="0"/>
              <w:rPr>
                <w:rFonts w:ascii="Times New Roman" w:hAnsi="Times New Roman" w:cs="Times New Roman"/>
              </w:rPr>
            </w:pPr>
            <w:r w:rsidRPr="00C96FB2">
              <w:rPr>
                <w:rFonts w:ascii="Times New Roman" w:hAnsi="Times New Roman" w:cs="Times New Roman"/>
                <w:bCs/>
                <w:sz w:val="22"/>
                <w:lang w:val="pt-BR"/>
              </w:rPr>
              <w:t>4. Vplyvy na životné prostredie</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C87979" w:rsidRPr="00C96FB2" w:rsidP="00AD2429">
            <w:pPr>
              <w:bidi w:val="0"/>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C87979" w:rsidRPr="00C96FB2" w:rsidP="00AD2429">
            <w:pPr>
              <w:bidi w:val="0"/>
              <w:jc w:val="center"/>
              <w:rPr>
                <w:rFonts w:ascii="Times New Roman" w:hAnsi="Times New Roman" w:cs="Times New Roman"/>
              </w:rPr>
            </w:pPr>
            <w:r w:rsidRPr="00C96FB2">
              <w:rPr>
                <w:rFonts w:ascii="Times New Roman" w:hAnsi="Times New Roman" w:cs="Times New Roman"/>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C87979" w:rsidRPr="00C96FB2" w:rsidP="00AD2429">
            <w:pPr>
              <w:bidi w:val="0"/>
              <w:jc w:val="center"/>
              <w:rPr>
                <w:rFonts w:ascii="Times New Roman" w:hAnsi="Times New Roman" w:cs="Times New Roman"/>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C87979" w:rsidRPr="00C96FB2" w:rsidP="00AD2429">
            <w:pPr>
              <w:bidi w:val="0"/>
              <w:rPr>
                <w:rFonts w:ascii="Times New Roman" w:hAnsi="Times New Roman" w:cs="Times New Roman"/>
                <w:bCs/>
                <w:lang w:val="pt-BR"/>
              </w:rPr>
            </w:pPr>
            <w:r w:rsidRPr="00C96FB2">
              <w:rPr>
                <w:rFonts w:ascii="Times New Roman" w:hAnsi="Times New Roman" w:cs="Times New Roman"/>
                <w:bCs/>
                <w:sz w:val="22"/>
                <w:lang w:val="pt-BR"/>
              </w:rPr>
              <w:t>5. Vplyvy na informatizáciu spoločnosti</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C87979" w:rsidRPr="00C96FB2" w:rsidP="00AD2429">
            <w:pPr>
              <w:bidi w:val="0"/>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C87979" w:rsidRPr="00C96FB2" w:rsidP="00AD2429">
            <w:pPr>
              <w:bidi w:val="0"/>
              <w:jc w:val="center"/>
              <w:rPr>
                <w:rFonts w:ascii="Times New Roman" w:hAnsi="Times New Roman" w:cs="Times New Roman"/>
              </w:rPr>
            </w:pPr>
            <w:r w:rsidRPr="00C96FB2">
              <w:rPr>
                <w:rFonts w:ascii="Times New Roman" w:hAnsi="Times New Roman" w:cs="Times New Roman"/>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C87979" w:rsidRPr="00C96FB2" w:rsidP="00AD2429">
            <w:pPr>
              <w:bidi w:val="0"/>
              <w:jc w:val="center"/>
              <w:rPr>
                <w:rFonts w:ascii="Times New Roman" w:hAnsi="Times New Roman" w:cs="Times New Roman"/>
              </w:rPr>
            </w:pPr>
          </w:p>
        </w:tc>
      </w:tr>
    </w:tbl>
    <w:p w:rsidR="00C87979" w:rsidRPr="00C96FB2" w:rsidP="00C87979">
      <w:pPr>
        <w:pStyle w:val="BodyText"/>
        <w:bidi w:val="0"/>
        <w:jc w:val="both"/>
        <w:rPr>
          <w:rFonts w:ascii="Times New Roman" w:hAnsi="Times New Roman"/>
          <w:b w:val="0"/>
          <w:bCs/>
          <w:u w:val="single"/>
        </w:rPr>
      </w:pPr>
      <w:r w:rsidRPr="00C96FB2">
        <w:rPr>
          <w:rFonts w:ascii="Times New Roman" w:hAnsi="Times New Roman"/>
          <w:sz w:val="16"/>
          <w:szCs w:val="16"/>
        </w:rPr>
        <w:t>*</w:t>
      </w:r>
      <w:r w:rsidRPr="00C96FB2">
        <w:rPr>
          <w:rFonts w:ascii="Times New Roman" w:hAnsi="Times New Roman"/>
          <w:b w:val="0"/>
          <w:bCs/>
          <w:sz w:val="16"/>
          <w:szCs w:val="16"/>
        </w:rPr>
        <w:t>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C87979" w:rsidRPr="00C96FB2" w:rsidP="00C87979">
      <w:pPr>
        <w:pStyle w:val="BodyText"/>
        <w:bidi w:val="0"/>
        <w:jc w:val="both"/>
        <w:rPr>
          <w:rFonts w:ascii="Times New Roman" w:hAnsi="Times New Roman"/>
          <w:b w:val="0"/>
          <w:bCs/>
          <w:sz w:val="16"/>
          <w:szCs w:val="16"/>
        </w:rPr>
      </w:pPr>
    </w:p>
    <w:p w:rsidR="00C87979" w:rsidRPr="00C96FB2" w:rsidP="00C87979">
      <w:pPr>
        <w:pStyle w:val="BodyText"/>
        <w:bidi w:val="0"/>
        <w:jc w:val="both"/>
        <w:rPr>
          <w:rFonts w:ascii="Times New Roman" w:hAnsi="Times New Roman"/>
          <w:b w:val="0"/>
          <w:bCs/>
          <w:u w:val="single"/>
        </w:rPr>
      </w:pPr>
    </w:p>
    <w:p w:rsidR="00C87979" w:rsidRPr="00C96FB2" w:rsidP="00C96FB2">
      <w:pPr>
        <w:pStyle w:val="BodyText"/>
        <w:bidi w:val="0"/>
        <w:spacing w:line="276" w:lineRule="auto"/>
        <w:jc w:val="both"/>
        <w:rPr>
          <w:rFonts w:ascii="Times New Roman" w:hAnsi="Times New Roman"/>
          <w:b w:val="0"/>
          <w:bCs/>
          <w:u w:val="single"/>
        </w:rPr>
      </w:pPr>
    </w:p>
    <w:p w:rsidR="00C87979" w:rsidRPr="00C96FB2" w:rsidP="00C96FB2">
      <w:pPr>
        <w:pStyle w:val="BodyText"/>
        <w:bidi w:val="0"/>
        <w:spacing w:line="276" w:lineRule="auto"/>
        <w:jc w:val="both"/>
        <w:rPr>
          <w:rFonts w:ascii="Times New Roman" w:hAnsi="Times New Roman"/>
          <w:bCs/>
        </w:rPr>
      </w:pPr>
    </w:p>
    <w:p w:rsidR="00C87979" w:rsidRPr="00C96FB2" w:rsidP="00C96FB2">
      <w:pPr>
        <w:pStyle w:val="BodyText"/>
        <w:bidi w:val="0"/>
        <w:spacing w:line="276" w:lineRule="auto"/>
        <w:jc w:val="both"/>
        <w:rPr>
          <w:rFonts w:ascii="Times New Roman" w:hAnsi="Times New Roman"/>
          <w:bCs/>
        </w:rPr>
      </w:pPr>
      <w:r w:rsidRPr="00C96FB2">
        <w:rPr>
          <w:rFonts w:ascii="Times New Roman" w:hAnsi="Times New Roman"/>
          <w:bCs/>
        </w:rPr>
        <w:t>A.3. Poznámky</w:t>
      </w:r>
    </w:p>
    <w:p w:rsidR="00C87979" w:rsidRPr="00C96FB2" w:rsidP="00C96FB2">
      <w:pPr>
        <w:pStyle w:val="BodyText"/>
        <w:bidi w:val="0"/>
        <w:spacing w:line="276" w:lineRule="auto"/>
        <w:jc w:val="both"/>
        <w:rPr>
          <w:rFonts w:ascii="Times New Roman" w:hAnsi="Times New Roman"/>
          <w:bCs/>
        </w:rPr>
      </w:pPr>
    </w:p>
    <w:p w:rsidR="00C87979" w:rsidRPr="00C96FB2" w:rsidP="00C96FB2">
      <w:pPr>
        <w:pStyle w:val="BodyText"/>
        <w:bidi w:val="0"/>
        <w:spacing w:line="276" w:lineRule="auto"/>
        <w:jc w:val="both"/>
        <w:rPr>
          <w:rFonts w:ascii="Times New Roman" w:hAnsi="Times New Roman"/>
          <w:b w:val="0"/>
        </w:rPr>
      </w:pPr>
      <w:r w:rsidRPr="00C96FB2">
        <w:rPr>
          <w:rFonts w:ascii="Times New Roman" w:hAnsi="Times New Roman"/>
          <w:b w:val="0"/>
        </w:rPr>
        <w:t>V prípade vplyvov na podnikateľské prostredie je uvedený neutrálny (resp. žiadny) vplyv. Regulačné zaťaženie dvoch subjektov v SR, na ktoré zákon dopadá je principiálne rovnaké ako bolo doteraz, čo je vysvetlené najmä v dôvodovej správe. Môže dôjsť k navýšeniu akceptovateľnosti jadrových zariadení v SR a v zahraničí, ale nie je možné túto skutočnosť vyčísliť. Teoreticky je možné uvažovať sekundárne o zvýšení úrovne ochrany životného prostredia.</w:t>
      </w:r>
    </w:p>
    <w:p w:rsidR="00C87979" w:rsidRPr="00C96FB2" w:rsidP="00C96FB2">
      <w:pPr>
        <w:pStyle w:val="BodyText"/>
        <w:bidi w:val="0"/>
        <w:spacing w:line="276" w:lineRule="auto"/>
        <w:jc w:val="both"/>
        <w:rPr>
          <w:rFonts w:ascii="Times New Roman" w:hAnsi="Times New Roman"/>
          <w:b w:val="0"/>
        </w:rPr>
      </w:pPr>
    </w:p>
    <w:p w:rsidR="00C87979" w:rsidRPr="00C96FB2" w:rsidP="00C96FB2">
      <w:pPr>
        <w:pStyle w:val="BodyText"/>
        <w:bidi w:val="0"/>
        <w:spacing w:line="276" w:lineRule="auto"/>
        <w:jc w:val="both"/>
        <w:rPr>
          <w:rFonts w:ascii="Times New Roman" w:hAnsi="Times New Roman"/>
        </w:rPr>
      </w:pPr>
      <w:r w:rsidRPr="00C96FB2">
        <w:rPr>
          <w:rFonts w:ascii="Times New Roman" w:hAnsi="Times New Roman"/>
        </w:rPr>
        <w:t>A.4. Alternatívne riešenia</w:t>
      </w:r>
    </w:p>
    <w:p w:rsidR="00C87979" w:rsidRPr="00C96FB2" w:rsidP="00C96FB2">
      <w:pPr>
        <w:pStyle w:val="BodyText"/>
        <w:bidi w:val="0"/>
        <w:spacing w:line="276" w:lineRule="auto"/>
        <w:ind w:left="1416"/>
        <w:jc w:val="both"/>
        <w:rPr>
          <w:rFonts w:ascii="Times New Roman" w:hAnsi="Times New Roman"/>
          <w:b w:val="0"/>
          <w:sz w:val="22"/>
          <w:szCs w:val="22"/>
        </w:rPr>
      </w:pPr>
    </w:p>
    <w:p w:rsidR="00C87979" w:rsidRPr="00C96FB2" w:rsidP="00C96FB2">
      <w:pPr>
        <w:pStyle w:val="BodyText"/>
        <w:bidi w:val="0"/>
        <w:spacing w:line="276" w:lineRule="auto"/>
        <w:jc w:val="both"/>
        <w:rPr>
          <w:rFonts w:ascii="Times New Roman" w:hAnsi="Times New Roman"/>
          <w:szCs w:val="24"/>
        </w:rPr>
      </w:pPr>
      <w:r w:rsidRPr="00C96FB2">
        <w:rPr>
          <w:rFonts w:ascii="Times New Roman" w:hAnsi="Times New Roman"/>
          <w:b w:val="0"/>
          <w:szCs w:val="24"/>
        </w:rPr>
        <w:t xml:space="preserve">Nakoľko ide o návrh zákona preberajúci najmä ustanovenia smernice 2009/71/Euratom  a požiadavky WENRA, nebolo možné uplatniť alternatívne riešenie. </w:t>
      </w:r>
    </w:p>
    <w:p w:rsidR="00C87979" w:rsidRPr="00C96FB2" w:rsidP="00C87979">
      <w:pPr>
        <w:pStyle w:val="BodyText"/>
        <w:bidi w:val="0"/>
        <w:jc w:val="both"/>
        <w:rPr>
          <w:rFonts w:ascii="Times New Roman" w:hAnsi="Times New Roman"/>
        </w:rPr>
      </w:pPr>
    </w:p>
    <w:p w:rsidR="00C87979" w:rsidRPr="00C96FB2" w:rsidP="00C87979">
      <w:pPr>
        <w:pStyle w:val="BodyText"/>
        <w:bidi w:val="0"/>
        <w:jc w:val="both"/>
        <w:rPr>
          <w:rFonts w:ascii="Times New Roman" w:hAnsi="Times New Roman"/>
        </w:rPr>
      </w:pPr>
    </w:p>
    <w:p w:rsidR="00C87979" w:rsidRPr="00C96FB2" w:rsidP="00C96FB2">
      <w:pPr>
        <w:pStyle w:val="BodyText2"/>
        <w:bidi w:val="0"/>
        <w:spacing w:line="276" w:lineRule="auto"/>
        <w:rPr>
          <w:rFonts w:ascii="Times New Roman" w:hAnsi="Times New Roman"/>
          <w:b/>
        </w:rPr>
      </w:pPr>
      <w:r w:rsidRPr="00C96FB2">
        <w:rPr>
          <w:rFonts w:ascii="Times New Roman" w:hAnsi="Times New Roman"/>
          <w:b/>
        </w:rPr>
        <w:t xml:space="preserve">A.5. Stanovisko gestorov </w:t>
      </w:r>
    </w:p>
    <w:p w:rsidR="00C87979" w:rsidRPr="00C96FB2" w:rsidP="00C96FB2">
      <w:pPr>
        <w:pStyle w:val="BodyText2"/>
        <w:bidi w:val="0"/>
        <w:spacing w:line="276" w:lineRule="auto"/>
        <w:jc w:val="both"/>
        <w:rPr>
          <w:rFonts w:ascii="Times New Roman" w:hAnsi="Times New Roman"/>
        </w:rPr>
      </w:pPr>
      <w:r w:rsidRPr="00C96FB2">
        <w:rPr>
          <w:rFonts w:ascii="Times New Roman" w:hAnsi="Times New Roman"/>
        </w:rPr>
        <w:t xml:space="preserve">V rámci PPK Ministerstvo pôdohospodárstva, životného prostredia a regionálneho rozvoja SR a Ministerstvo práce, sociálnych vecí a rodiny SR vyjadrilo pozitívny postoj k doložke vplyvov, resp. neuplatnilo žiadne pripomienky a súhlasilo s predkladaným návrhom. Ministerstvo financií SR a Ministerstvo hospodárstva a výstavby SR žiadalo presne vyčísliť dopady navrhovaného právneho predpisu. Pokiaľ ide o vplyv na rozpočet verejnej správy, bol vyčíslený v podobe vyjadrenia celkového rozpočtu ÚJD SR podľa predpísaných položiek. V prípade vyčíslenia vplyvov na podnikateľský sektor nie je možné vzhľadom na charakter predpisu číselne vyjadriť vplyvy, okrem všeobecného slovného konštatovania, že podnikateľské prostredie nebude ani pozitívne ani negatívne ovplyvnené predkladaným materiálom. Je možné konštatovať, že pripomienky Ministerstva financií SR boli zohľadnené v plnej miere a vplyv na rozpočet verejnej správy bol vyjadrený rozpísaním základných položiek rozpočtu ÚJD SR na roky 2010-2013. Rokovanie k pripomienkam Ministerstva hospodárstva a výstavby SR sa uskutočnilo na ÚJD SR dňa 23. 9. 2010 pričom zásadné pripomienky boli vysvetlené a v rámci možnosti materiál opravený. </w:t>
      </w:r>
    </w:p>
    <w:p w:rsidR="00C87979" w:rsidRPr="00C96FB2" w:rsidP="00C96FB2">
      <w:pPr>
        <w:pStyle w:val="BodyText2"/>
        <w:bidi w:val="0"/>
        <w:spacing w:line="276" w:lineRule="auto"/>
        <w:ind w:firstLine="708"/>
        <w:jc w:val="both"/>
        <w:rPr>
          <w:rFonts w:ascii="Times New Roman" w:hAnsi="Times New Roman"/>
          <w:szCs w:val="24"/>
        </w:rPr>
      </w:pPr>
      <w:r w:rsidRPr="00C96FB2">
        <w:rPr>
          <w:rFonts w:ascii="Times New Roman" w:hAnsi="Times New Roman"/>
        </w:rPr>
        <w:t>V rámci MPK boli uplatnené zásadné pripomienky Ministerstva financií SR k vyčísleniu vplyvov na rozpočet verejnej správy. Doložka vplyvov na rozpočet verejnej správy bola opravená v súlade s požiadavkou Ministerstva financií SR. Ďalšie zásadné pripomienky boli uplatnené od držiteľov povolení a od Asociácie zamestnávateľských zväzov a združení, od Ministerstva hospodárstva SR a Ministerstva vnútra SR, s ktorými sa viedli dňa 8.12.2010 rozporové konania. Možno konštatovať, že všetky rozpory boli v rámci rozporového konania odstránené a zmeny zapracované do zákona.</w:t>
      </w:r>
    </w:p>
    <w:p w:rsidR="00C87979" w:rsidRPr="00C96FB2" w:rsidP="00C87979">
      <w:pPr>
        <w:bidi w:val="0"/>
        <w:rPr>
          <w:rFonts w:ascii="Times New Roman" w:hAnsi="Times New Roman" w:cs="Times New Roman"/>
        </w:rPr>
      </w:pPr>
    </w:p>
    <w:p w:rsidR="00C87979" w:rsidRPr="00C96FB2" w:rsidP="00C87979">
      <w:pPr>
        <w:bidi w:val="0"/>
        <w:rPr>
          <w:rFonts w:ascii="Times New Roman" w:hAnsi="Times New Roman" w:cs="Times New Roman"/>
        </w:rPr>
        <w:sectPr w:rsidSect="00C707DB">
          <w:headerReference w:type="default" r:id="rId6"/>
          <w:pgSz w:w="11906" w:h="16838" w:code="9"/>
          <w:pgMar w:top="1418" w:right="1418" w:bottom="1418" w:left="1418" w:header="709" w:footer="709" w:gutter="0"/>
          <w:lnNumType w:distance="0"/>
          <w:cols w:space="708"/>
          <w:noEndnote w:val="0"/>
          <w:bidi w:val="0"/>
          <w:docGrid w:linePitch="360"/>
        </w:sectPr>
      </w:pPr>
    </w:p>
    <w:p w:rsidR="00A44EF6" w:rsidRPr="00352400" w:rsidP="00A44EF6">
      <w:pPr>
        <w:pStyle w:val="Heading1"/>
        <w:widowControl/>
        <w:bidi w:val="0"/>
        <w:spacing w:before="0" w:after="0"/>
        <w:rPr>
          <w:rFonts w:ascii="Times New Roman" w:hAnsi="Times New Roman" w:cs="Times New Roman"/>
          <w:color w:val="000000"/>
          <w:sz w:val="24"/>
          <w:szCs w:val="24"/>
          <w:lang w:val="sk-SK"/>
        </w:rPr>
      </w:pPr>
      <w:r w:rsidRPr="00352400">
        <w:rPr>
          <w:rFonts w:ascii="Times New Roman" w:hAnsi="Times New Roman" w:cs="Times New Roman"/>
          <w:color w:val="000000"/>
          <w:sz w:val="24"/>
          <w:szCs w:val="24"/>
          <w:lang w:val="sk-SK"/>
        </w:rPr>
        <w:t> </w:t>
      </w:r>
    </w:p>
    <w:p w:rsidR="00A44EF6" w:rsidRPr="00352400" w:rsidP="00A44EF6">
      <w:pPr>
        <w:pStyle w:val="Heading1"/>
        <w:widowControl/>
        <w:bidi w:val="0"/>
        <w:spacing w:before="0" w:after="0"/>
        <w:jc w:val="center"/>
        <w:rPr>
          <w:rFonts w:ascii="Times New Roman" w:hAnsi="Times New Roman" w:cs="Times New Roman"/>
          <w:color w:val="000000"/>
          <w:sz w:val="24"/>
          <w:szCs w:val="24"/>
          <w:lang w:val="sk-SK"/>
        </w:rPr>
      </w:pPr>
      <w:r w:rsidRPr="00352400">
        <w:rPr>
          <w:rFonts w:ascii="Times New Roman" w:hAnsi="Times New Roman" w:cs="Times New Roman"/>
          <w:color w:val="000000"/>
          <w:sz w:val="24"/>
          <w:szCs w:val="24"/>
          <w:lang w:val="sk-SK"/>
        </w:rPr>
        <w:t>Vplyvy na rozpočet verejnej správy,</w:t>
      </w:r>
    </w:p>
    <w:p w:rsidR="00A44EF6" w:rsidRPr="00352400" w:rsidP="00A44EF6">
      <w:pPr>
        <w:pStyle w:val="Heading1"/>
        <w:widowControl/>
        <w:bidi w:val="0"/>
        <w:spacing w:before="0" w:after="0"/>
        <w:jc w:val="center"/>
        <w:rPr>
          <w:rFonts w:ascii="Times New Roman" w:hAnsi="Times New Roman" w:cs="Times New Roman"/>
          <w:color w:val="000000"/>
          <w:sz w:val="24"/>
          <w:szCs w:val="24"/>
          <w:lang w:val="sk-SK"/>
        </w:rPr>
      </w:pPr>
      <w:r w:rsidRPr="00352400">
        <w:rPr>
          <w:rFonts w:ascii="Times New Roman" w:hAnsi="Times New Roman" w:cs="Times New Roman"/>
          <w:color w:val="000000"/>
          <w:sz w:val="24"/>
          <w:szCs w:val="24"/>
          <w:lang w:val="sk-SK"/>
        </w:rPr>
        <w:t>na zamestnanosť vo verejnej správe a financovanie návrhu</w:t>
      </w:r>
    </w:p>
    <w:p w:rsidR="00A44EF6" w:rsidRPr="00352400" w:rsidP="00A44EF6">
      <w:pPr>
        <w:bidi w:val="0"/>
        <w:spacing w:after="0"/>
        <w:rPr>
          <w:rFonts w:ascii="Times New Roman" w:hAnsi="Times New Roman"/>
          <w:color w:val="000000"/>
          <w:szCs w:val="24"/>
        </w:rPr>
      </w:pPr>
      <w:r w:rsidRPr="00352400">
        <w:rPr>
          <w:rFonts w:ascii="Times New Roman" w:hAnsi="Times New Roman"/>
          <w:color w:val="000000"/>
          <w:szCs w:val="24"/>
        </w:rPr>
        <w:t> </w:t>
      </w:r>
    </w:p>
    <w:p w:rsidR="00A44EF6" w:rsidRPr="00352400" w:rsidP="00A44EF6">
      <w:pPr>
        <w:bidi w:val="0"/>
        <w:spacing w:after="0"/>
        <w:rPr>
          <w:rFonts w:ascii="Times New Roman" w:hAnsi="Times New Roman"/>
          <w:color w:val="000000"/>
          <w:szCs w:val="24"/>
        </w:rPr>
      </w:pPr>
      <w:r w:rsidRPr="00352400">
        <w:rPr>
          <w:rFonts w:ascii="Times New Roman" w:hAnsi="Times New Roman"/>
          <w:b/>
          <w:color w:val="000000"/>
          <w:szCs w:val="24"/>
        </w:rPr>
        <w:t>2.1. Zhrnutie vplyvov na rozpočet verejnej správy v návrhu</w:t>
      </w:r>
    </w:p>
    <w:p w:rsidR="00A44EF6" w:rsidRPr="00352400" w:rsidP="00A44EF6">
      <w:pPr>
        <w:bidi w:val="0"/>
        <w:spacing w:after="0"/>
        <w:jc w:val="right"/>
        <w:rPr>
          <w:rFonts w:ascii="Times New Roman" w:hAnsi="Times New Roman"/>
          <w:color w:val="000000"/>
          <w:szCs w:val="24"/>
        </w:rPr>
      </w:pPr>
      <w:r w:rsidRPr="00352400">
        <w:rPr>
          <w:rFonts w:ascii="Times New Roman" w:hAnsi="Times New Roman"/>
          <w:color w:val="000000"/>
          <w:szCs w:val="24"/>
        </w:rPr>
        <w:t xml:space="preserve">Tabuľka č. 1 </w:t>
      </w:r>
    </w:p>
    <w:tbl>
      <w:tblPr>
        <w:tblStyle w:val="TableNormal"/>
        <w:tblW w:w="9729"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4661"/>
        <w:gridCol w:w="1267"/>
        <w:gridCol w:w="1267"/>
        <w:gridCol w:w="1267"/>
        <w:gridCol w:w="1267"/>
      </w:tblGrid>
      <w:tr>
        <w:tblPrEx>
          <w:tblW w:w="9729" w:type="dxa"/>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194"/>
        </w:trPr>
        <w:tc>
          <w:tcPr>
            <w:tcW w:w="4661" w:type="dxa"/>
            <w:vMerge w:val="restart"/>
            <w:tcBorders>
              <w:top w:val="single" w:sz="8" w:space="0" w:color="auto"/>
              <w:left w:val="single" w:sz="8" w:space="0" w:color="auto"/>
              <w:bottom w:val="single" w:sz="8" w:space="0" w:color="auto"/>
              <w:right w:val="single" w:sz="8" w:space="0" w:color="auto"/>
            </w:tcBorders>
            <w:shd w:val="solid" w:color="000000" w:fill="auto"/>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bookmarkStart w:id="0" w:name="OLE_LINK1"/>
            <w:r w:rsidRPr="00352400">
              <w:rPr>
                <w:rFonts w:ascii="Times New Roman" w:hAnsi="Times New Roman"/>
                <w:b/>
                <w:color w:val="FFFFFF"/>
                <w:szCs w:val="24"/>
              </w:rPr>
              <w:t xml:space="preserve">Vplyvy na </w:t>
            </w:r>
            <w:bookmarkEnd w:id="0"/>
            <w:r w:rsidRPr="00352400">
              <w:rPr>
                <w:rFonts w:ascii="Times New Roman" w:hAnsi="Times New Roman"/>
                <w:b/>
                <w:color w:val="000000"/>
                <w:szCs w:val="24"/>
              </w:rPr>
              <w:t>rozpočet verejnej správy</w:t>
            </w:r>
          </w:p>
        </w:tc>
        <w:tc>
          <w:tcPr>
            <w:tcW w:w="5068" w:type="dxa"/>
            <w:gridSpan w:val="4"/>
            <w:tcBorders>
              <w:top w:val="single" w:sz="8" w:space="0" w:color="auto"/>
              <w:left w:val="outset" w:sz="6" w:space="0" w:color="ECE9D8"/>
              <w:bottom w:val="single" w:sz="8" w:space="0" w:color="auto"/>
              <w:right w:val="single" w:sz="8" w:space="0" w:color="auto"/>
            </w:tcBorders>
            <w:shd w:val="solid" w:color="000000" w:fill="auto"/>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r w:rsidRPr="00352400">
              <w:rPr>
                <w:rFonts w:ascii="Times New Roman" w:hAnsi="Times New Roman"/>
                <w:b/>
                <w:color w:val="FFFFFF"/>
                <w:szCs w:val="24"/>
              </w:rPr>
              <w:t xml:space="preserve">Vplyv na rozpočet verejnej správy </w:t>
            </w:r>
            <w:r w:rsidRPr="00352400">
              <w:rPr>
                <w:rFonts w:ascii="Times New Roman" w:hAnsi="Times New Roman"/>
                <w:b/>
                <w:color w:val="000000"/>
                <w:szCs w:val="24"/>
              </w:rPr>
              <w:t>(v eurách)</w:t>
            </w:r>
          </w:p>
        </w:tc>
      </w:tr>
      <w:tr>
        <w:tblPrEx>
          <w:tblW w:w="9729" w:type="dxa"/>
          <w:tblCellMar>
            <w:left w:w="0" w:type="dxa"/>
            <w:right w:w="0" w:type="dxa"/>
          </w:tblCellMar>
        </w:tblPrEx>
        <w:trPr>
          <w:trHeight w:val="70"/>
        </w:trPr>
        <w:tc>
          <w:tcPr>
            <w:tcW w:w="0" w:type="auto"/>
            <w:vMerge/>
            <w:tcBorders>
              <w:top w:val="single" w:sz="8" w:space="0" w:color="auto"/>
              <w:left w:val="single" w:sz="8" w:space="0" w:color="auto"/>
              <w:bottom w:val="single" w:sz="8" w:space="0" w:color="auto"/>
              <w:right w:val="single" w:sz="8" w:space="0" w:color="auto"/>
            </w:tcBorders>
            <w:textDirection w:val="lrTb"/>
            <w:vAlign w:val="center"/>
          </w:tcPr>
          <w:p w:rsidR="00A44EF6" w:rsidRPr="00352400" w:rsidP="009016CC">
            <w:pPr>
              <w:bidi w:val="0"/>
              <w:spacing w:after="0"/>
              <w:jc w:val="center"/>
              <w:rPr>
                <w:rFonts w:ascii="Times New Roman" w:hAnsi="Times New Roman"/>
                <w:color w:val="000000"/>
                <w:szCs w:val="24"/>
              </w:rPr>
            </w:pPr>
          </w:p>
        </w:tc>
        <w:tc>
          <w:tcPr>
            <w:tcW w:w="1267" w:type="dxa"/>
            <w:tcBorders>
              <w:top w:val="outset" w:sz="6" w:space="0" w:color="ECE9D8"/>
              <w:left w:val="outset" w:sz="6" w:space="0" w:color="ECE9D8"/>
              <w:bottom w:val="single" w:sz="8" w:space="0" w:color="auto"/>
              <w:right w:val="single" w:sz="8" w:space="0" w:color="auto"/>
            </w:tcBorders>
            <w:shd w:val="solid" w:color="000000" w:fill="auto"/>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r>
              <w:rPr>
                <w:rFonts w:ascii="Times New Roman" w:hAnsi="Times New Roman"/>
                <w:b/>
                <w:color w:val="FFFFFF"/>
                <w:szCs w:val="24"/>
              </w:rPr>
              <w:t>2011</w:t>
            </w:r>
          </w:p>
        </w:tc>
        <w:tc>
          <w:tcPr>
            <w:tcW w:w="1267" w:type="dxa"/>
            <w:tcBorders>
              <w:top w:val="outset" w:sz="6" w:space="0" w:color="ECE9D8"/>
              <w:left w:val="outset" w:sz="6" w:space="0" w:color="ECE9D8"/>
              <w:bottom w:val="single" w:sz="8" w:space="0" w:color="auto"/>
              <w:right w:val="single" w:sz="8" w:space="0" w:color="auto"/>
            </w:tcBorders>
            <w:shd w:val="solid" w:color="000000" w:fill="auto"/>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r>
              <w:rPr>
                <w:rFonts w:ascii="Times New Roman" w:hAnsi="Times New Roman"/>
                <w:b/>
                <w:color w:val="FFFFFF"/>
                <w:szCs w:val="24"/>
              </w:rPr>
              <w:t>2012</w:t>
            </w:r>
          </w:p>
        </w:tc>
        <w:tc>
          <w:tcPr>
            <w:tcW w:w="1267" w:type="dxa"/>
            <w:tcBorders>
              <w:top w:val="outset" w:sz="6" w:space="0" w:color="ECE9D8"/>
              <w:left w:val="outset" w:sz="6" w:space="0" w:color="ECE9D8"/>
              <w:bottom w:val="single" w:sz="8" w:space="0" w:color="auto"/>
              <w:right w:val="single" w:sz="8" w:space="0" w:color="auto"/>
            </w:tcBorders>
            <w:shd w:val="solid" w:color="000000" w:fill="auto"/>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r>
              <w:rPr>
                <w:rFonts w:ascii="Times New Roman" w:hAnsi="Times New Roman"/>
                <w:b/>
                <w:color w:val="FFFFFF"/>
                <w:szCs w:val="24"/>
              </w:rPr>
              <w:t>2013</w:t>
            </w:r>
          </w:p>
        </w:tc>
        <w:tc>
          <w:tcPr>
            <w:tcW w:w="1267" w:type="dxa"/>
            <w:tcBorders>
              <w:top w:val="outset" w:sz="6" w:space="0" w:color="ECE9D8"/>
              <w:left w:val="outset" w:sz="6" w:space="0" w:color="ECE9D8"/>
              <w:bottom w:val="single" w:sz="8" w:space="0" w:color="auto"/>
              <w:right w:val="single" w:sz="8" w:space="0" w:color="auto"/>
            </w:tcBorders>
            <w:shd w:val="solid" w:color="000000" w:fill="auto"/>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r>
              <w:rPr>
                <w:rFonts w:ascii="Times New Roman" w:hAnsi="Times New Roman"/>
                <w:b/>
                <w:color w:val="FFFFFF"/>
                <w:szCs w:val="24"/>
              </w:rPr>
              <w:t>2014</w:t>
            </w:r>
          </w:p>
        </w:tc>
      </w:tr>
      <w:tr>
        <w:tblPrEx>
          <w:tblW w:w="9729" w:type="dxa"/>
          <w:tblCellMar>
            <w:left w:w="0" w:type="dxa"/>
            <w:right w:w="0" w:type="dxa"/>
          </w:tblCellMar>
        </w:tblPrEx>
        <w:trPr>
          <w:trHeight w:val="70"/>
        </w:trPr>
        <w:tc>
          <w:tcPr>
            <w:tcW w:w="4661" w:type="dxa"/>
            <w:tcBorders>
              <w:top w:val="outset" w:sz="6" w:space="0" w:color="ECE9D8"/>
              <w:left w:val="single" w:sz="8" w:space="0" w:color="auto"/>
              <w:bottom w:val="single" w:sz="8" w:space="0" w:color="auto"/>
              <w:right w:val="single" w:sz="8" w:space="0" w:color="auto"/>
            </w:tcBorders>
            <w:shd w:val="solid" w:color="C0C0C0" w:fill="auto"/>
            <w:tcMar>
              <w:top w:w="0" w:type="dxa"/>
              <w:left w:w="70" w:type="dxa"/>
              <w:bottom w:w="0" w:type="dxa"/>
              <w:right w:w="70" w:type="dxa"/>
            </w:tcMar>
            <w:textDirection w:val="lrTb"/>
            <w:vAlign w:val="center"/>
          </w:tcPr>
          <w:p w:rsidR="00A44EF6" w:rsidRPr="00352400" w:rsidP="009016CC">
            <w:pPr>
              <w:bidi w:val="0"/>
              <w:spacing w:after="0"/>
              <w:rPr>
                <w:rFonts w:ascii="Times New Roman" w:hAnsi="Times New Roman"/>
                <w:color w:val="000000"/>
                <w:szCs w:val="24"/>
              </w:rPr>
            </w:pPr>
            <w:r w:rsidRPr="00352400">
              <w:rPr>
                <w:rFonts w:ascii="Times New Roman" w:hAnsi="Times New Roman"/>
                <w:b/>
                <w:color w:val="000000"/>
                <w:szCs w:val="24"/>
              </w:rPr>
              <w:t>Príjmy verejnej správy celkom</w:t>
            </w:r>
          </w:p>
        </w:tc>
        <w:tc>
          <w:tcPr>
            <w:tcW w:w="1267" w:type="dxa"/>
            <w:tcBorders>
              <w:top w:val="outset" w:sz="6" w:space="0" w:color="ECE9D8"/>
              <w:left w:val="outset" w:sz="6" w:space="0" w:color="ECE9D8"/>
              <w:bottom w:val="single" w:sz="8" w:space="0" w:color="auto"/>
              <w:right w:val="single" w:sz="8" w:space="0" w:color="auto"/>
            </w:tcBorders>
            <w:shd w:val="solid" w:color="C0C0C0" w:fill="auto"/>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5 168 267</w:t>
            </w:r>
          </w:p>
        </w:tc>
        <w:tc>
          <w:tcPr>
            <w:tcW w:w="1267" w:type="dxa"/>
            <w:tcBorders>
              <w:top w:val="outset" w:sz="6" w:space="0" w:color="ECE9D8"/>
              <w:left w:val="outset" w:sz="6" w:space="0" w:color="ECE9D8"/>
              <w:bottom w:val="single" w:sz="8" w:space="0" w:color="auto"/>
              <w:right w:val="single" w:sz="8" w:space="0" w:color="auto"/>
            </w:tcBorders>
            <w:shd w:val="solid" w:color="C0C0C0" w:fill="auto"/>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4 959 142</w:t>
            </w:r>
          </w:p>
        </w:tc>
        <w:tc>
          <w:tcPr>
            <w:tcW w:w="1267" w:type="dxa"/>
            <w:tcBorders>
              <w:top w:val="outset" w:sz="6" w:space="0" w:color="ECE9D8"/>
              <w:left w:val="outset" w:sz="6" w:space="0" w:color="ECE9D8"/>
              <w:bottom w:val="single" w:sz="8" w:space="0" w:color="auto"/>
              <w:right w:val="single" w:sz="8" w:space="0" w:color="auto"/>
            </w:tcBorders>
            <w:shd w:val="solid" w:color="C0C0C0" w:fill="auto"/>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4 708 438</w:t>
            </w:r>
          </w:p>
        </w:tc>
        <w:tc>
          <w:tcPr>
            <w:tcW w:w="1267" w:type="dxa"/>
            <w:tcBorders>
              <w:top w:val="outset" w:sz="6" w:space="0" w:color="ECE9D8"/>
              <w:left w:val="outset" w:sz="6" w:space="0" w:color="ECE9D8"/>
              <w:bottom w:val="single" w:sz="8" w:space="0" w:color="auto"/>
              <w:right w:val="single" w:sz="8" w:space="0" w:color="auto"/>
            </w:tcBorders>
            <w:shd w:val="solid" w:color="C0C0C0" w:fill="auto"/>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4 7</w:t>
            </w:r>
            <w:r>
              <w:rPr>
                <w:rFonts w:ascii="Times New Roman" w:hAnsi="Times New Roman"/>
                <w:b/>
                <w:color w:val="000000"/>
                <w:szCs w:val="24"/>
              </w:rPr>
              <w:t>21</w:t>
            </w:r>
            <w:r w:rsidRPr="00352400">
              <w:rPr>
                <w:rFonts w:ascii="Times New Roman" w:hAnsi="Times New Roman"/>
                <w:b/>
                <w:color w:val="000000"/>
                <w:szCs w:val="24"/>
              </w:rPr>
              <w:t xml:space="preserve"> </w:t>
            </w:r>
            <w:r>
              <w:rPr>
                <w:rFonts w:ascii="Times New Roman" w:hAnsi="Times New Roman"/>
                <w:b/>
                <w:color w:val="000000"/>
                <w:szCs w:val="24"/>
              </w:rPr>
              <w:t>764</w:t>
            </w:r>
          </w:p>
        </w:tc>
      </w:tr>
      <w:tr>
        <w:tblPrEx>
          <w:tblW w:w="9729" w:type="dxa"/>
          <w:tblCellMar>
            <w:left w:w="0" w:type="dxa"/>
            <w:right w:w="0" w:type="dxa"/>
          </w:tblCellMar>
        </w:tblPrEx>
        <w:trPr>
          <w:trHeight w:val="132"/>
        </w:trPr>
        <w:tc>
          <w:tcPr>
            <w:tcW w:w="4661" w:type="dxa"/>
            <w:tcBorders>
              <w:top w:val="outset" w:sz="6" w:space="0" w:color="ECE9D8"/>
              <w:left w:val="single" w:sz="8" w:space="0" w:color="auto"/>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v tom: za každý subjekt verejnej správy zvlášť</w:t>
            </w: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p>
        </w:tc>
      </w:tr>
      <w:tr>
        <w:tblPrEx>
          <w:tblW w:w="9729" w:type="dxa"/>
          <w:tblCellMar>
            <w:left w:w="0" w:type="dxa"/>
            <w:right w:w="0" w:type="dxa"/>
          </w:tblCellMar>
        </w:tblPrEx>
        <w:trPr>
          <w:trHeight w:val="70"/>
        </w:trPr>
        <w:tc>
          <w:tcPr>
            <w:tcW w:w="4661" w:type="dxa"/>
            <w:tcBorders>
              <w:top w:val="outset" w:sz="6" w:space="0" w:color="ECE9D8"/>
              <w:left w:val="single" w:sz="8" w:space="0" w:color="auto"/>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rPr>
                <w:rFonts w:ascii="Times New Roman" w:hAnsi="Times New Roman"/>
                <w:color w:val="000000"/>
                <w:szCs w:val="24"/>
              </w:rPr>
            </w:pPr>
            <w:r w:rsidRPr="00352400">
              <w:rPr>
                <w:rFonts w:ascii="Times New Roman" w:hAnsi="Times New Roman"/>
                <w:b/>
                <w:i/>
                <w:color w:val="000000"/>
                <w:szCs w:val="24"/>
              </w:rPr>
              <w:t>z toho:  </w:t>
            </w: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color w:val="000000"/>
                <w:szCs w:val="24"/>
              </w:rPr>
              <w:t> </w:t>
            </w: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color w:val="000000"/>
                <w:szCs w:val="24"/>
              </w:rPr>
              <w:t> </w:t>
            </w: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color w:val="000000"/>
                <w:szCs w:val="24"/>
              </w:rPr>
              <w:t> </w:t>
            </w: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color w:val="000000"/>
                <w:szCs w:val="24"/>
              </w:rPr>
              <w:t> </w:t>
            </w:r>
          </w:p>
        </w:tc>
      </w:tr>
      <w:tr>
        <w:tblPrEx>
          <w:tblW w:w="9729" w:type="dxa"/>
          <w:tblCellMar>
            <w:left w:w="0" w:type="dxa"/>
            <w:right w:w="0" w:type="dxa"/>
          </w:tblCellMar>
        </w:tblPrEx>
        <w:trPr>
          <w:trHeight w:val="125"/>
        </w:trPr>
        <w:tc>
          <w:tcPr>
            <w:tcW w:w="4661" w:type="dxa"/>
            <w:tcBorders>
              <w:top w:val="outset" w:sz="6" w:space="0" w:color="ECE9D8"/>
              <w:left w:val="single" w:sz="8" w:space="0" w:color="auto"/>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rPr>
                <w:rFonts w:ascii="Times New Roman" w:hAnsi="Times New Roman"/>
                <w:color w:val="000000"/>
                <w:szCs w:val="24"/>
              </w:rPr>
            </w:pPr>
            <w:r w:rsidRPr="00352400">
              <w:rPr>
                <w:rFonts w:ascii="Times New Roman" w:hAnsi="Times New Roman"/>
                <w:b/>
                <w:i/>
                <w:color w:val="000000"/>
                <w:szCs w:val="24"/>
              </w:rPr>
              <w:t>- vplyv na ŠR</w:t>
            </w: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5 168 267</w:t>
            </w: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4 959 142</w:t>
            </w: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4 708 438</w:t>
            </w: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4 7</w:t>
            </w:r>
            <w:r>
              <w:rPr>
                <w:rFonts w:ascii="Times New Roman" w:hAnsi="Times New Roman"/>
                <w:b/>
                <w:color w:val="000000"/>
                <w:szCs w:val="24"/>
              </w:rPr>
              <w:t>21</w:t>
            </w:r>
            <w:r w:rsidRPr="00352400">
              <w:rPr>
                <w:rFonts w:ascii="Times New Roman" w:hAnsi="Times New Roman"/>
                <w:b/>
                <w:color w:val="000000"/>
                <w:szCs w:val="24"/>
              </w:rPr>
              <w:t xml:space="preserve"> </w:t>
            </w:r>
            <w:r>
              <w:rPr>
                <w:rFonts w:ascii="Times New Roman" w:hAnsi="Times New Roman"/>
                <w:b/>
                <w:color w:val="000000"/>
                <w:szCs w:val="24"/>
              </w:rPr>
              <w:t>764</w:t>
            </w:r>
          </w:p>
        </w:tc>
      </w:tr>
      <w:tr>
        <w:tblPrEx>
          <w:tblW w:w="9729" w:type="dxa"/>
          <w:tblCellMar>
            <w:left w:w="0" w:type="dxa"/>
            <w:right w:w="0" w:type="dxa"/>
          </w:tblCellMar>
        </w:tblPrEx>
        <w:trPr>
          <w:trHeight w:val="125"/>
        </w:trPr>
        <w:tc>
          <w:tcPr>
            <w:tcW w:w="4661" w:type="dxa"/>
            <w:tcBorders>
              <w:top w:val="outset" w:sz="6" w:space="0" w:color="ECE9D8"/>
              <w:left w:val="single" w:sz="8" w:space="0" w:color="auto"/>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rPr>
                <w:rFonts w:ascii="Times New Roman" w:hAnsi="Times New Roman"/>
                <w:color w:val="000000"/>
                <w:szCs w:val="24"/>
              </w:rPr>
            </w:pPr>
            <w:r w:rsidRPr="00352400">
              <w:rPr>
                <w:rFonts w:ascii="Times New Roman" w:hAnsi="Times New Roman"/>
                <w:b/>
                <w:i/>
                <w:color w:val="000000"/>
                <w:szCs w:val="24"/>
              </w:rPr>
              <w:t>- vplyv na územnú samosprávu</w:t>
            </w: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0</w:t>
            </w: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0</w:t>
            </w: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0</w:t>
            </w: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0</w:t>
            </w:r>
          </w:p>
        </w:tc>
      </w:tr>
      <w:tr>
        <w:tblPrEx>
          <w:tblW w:w="9729" w:type="dxa"/>
          <w:tblCellMar>
            <w:left w:w="0" w:type="dxa"/>
            <w:right w:w="0" w:type="dxa"/>
          </w:tblCellMar>
        </w:tblPrEx>
        <w:trPr>
          <w:trHeight w:val="125"/>
        </w:trPr>
        <w:tc>
          <w:tcPr>
            <w:tcW w:w="4661" w:type="dxa"/>
            <w:tcBorders>
              <w:top w:val="outset" w:sz="6" w:space="0" w:color="ECE9D8"/>
              <w:left w:val="single" w:sz="8" w:space="0" w:color="auto"/>
              <w:bottom w:val="single" w:sz="8" w:space="0" w:color="auto"/>
              <w:right w:val="single" w:sz="8" w:space="0" w:color="auto"/>
            </w:tcBorders>
            <w:shd w:val="solid" w:color="C0C0C0" w:fill="auto"/>
            <w:tcMar>
              <w:top w:w="0" w:type="dxa"/>
              <w:left w:w="70" w:type="dxa"/>
              <w:bottom w:w="0" w:type="dxa"/>
              <w:right w:w="70" w:type="dxa"/>
            </w:tcMar>
            <w:textDirection w:val="lrTb"/>
            <w:vAlign w:val="center"/>
          </w:tcPr>
          <w:p w:rsidR="00A44EF6" w:rsidRPr="00352400" w:rsidP="009016CC">
            <w:pPr>
              <w:bidi w:val="0"/>
              <w:spacing w:after="0"/>
              <w:rPr>
                <w:rFonts w:ascii="Times New Roman" w:hAnsi="Times New Roman"/>
                <w:color w:val="000000"/>
                <w:szCs w:val="24"/>
              </w:rPr>
            </w:pPr>
            <w:r w:rsidRPr="00352400">
              <w:rPr>
                <w:rFonts w:ascii="Times New Roman" w:hAnsi="Times New Roman"/>
                <w:b/>
                <w:color w:val="000000"/>
                <w:szCs w:val="24"/>
              </w:rPr>
              <w:t>Výdavky verejnej správy celkom</w:t>
            </w:r>
          </w:p>
        </w:tc>
        <w:tc>
          <w:tcPr>
            <w:tcW w:w="1267" w:type="dxa"/>
            <w:tcBorders>
              <w:top w:val="outset" w:sz="6" w:space="0" w:color="ECE9D8"/>
              <w:left w:val="outset" w:sz="6" w:space="0" w:color="ECE9D8"/>
              <w:bottom w:val="single" w:sz="8" w:space="0" w:color="auto"/>
              <w:right w:val="single" w:sz="8" w:space="0" w:color="auto"/>
            </w:tcBorders>
            <w:shd w:val="solid" w:color="C0C0C0" w:fill="auto"/>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5 167 601</w:t>
            </w:r>
          </w:p>
        </w:tc>
        <w:tc>
          <w:tcPr>
            <w:tcW w:w="1267" w:type="dxa"/>
            <w:tcBorders>
              <w:top w:val="outset" w:sz="6" w:space="0" w:color="ECE9D8"/>
              <w:left w:val="outset" w:sz="6" w:space="0" w:color="ECE9D8"/>
              <w:bottom w:val="single" w:sz="8" w:space="0" w:color="auto"/>
              <w:right w:val="single" w:sz="8" w:space="0" w:color="auto"/>
            </w:tcBorders>
            <w:shd w:val="solid" w:color="C0C0C0" w:fill="auto"/>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5 050 801</w:t>
            </w:r>
          </w:p>
        </w:tc>
        <w:tc>
          <w:tcPr>
            <w:tcW w:w="1267" w:type="dxa"/>
            <w:tcBorders>
              <w:top w:val="outset" w:sz="6" w:space="0" w:color="ECE9D8"/>
              <w:left w:val="outset" w:sz="6" w:space="0" w:color="ECE9D8"/>
              <w:bottom w:val="single" w:sz="8" w:space="0" w:color="auto"/>
              <w:right w:val="single" w:sz="8" w:space="0" w:color="auto"/>
            </w:tcBorders>
            <w:shd w:val="solid" w:color="C0C0C0" w:fill="auto"/>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5 050 801</w:t>
            </w:r>
          </w:p>
        </w:tc>
        <w:tc>
          <w:tcPr>
            <w:tcW w:w="1267" w:type="dxa"/>
            <w:tcBorders>
              <w:top w:val="outset" w:sz="6" w:space="0" w:color="ECE9D8"/>
              <w:left w:val="outset" w:sz="6" w:space="0" w:color="ECE9D8"/>
              <w:bottom w:val="single" w:sz="8" w:space="0" w:color="auto"/>
              <w:right w:val="single" w:sz="8" w:space="0" w:color="auto"/>
            </w:tcBorders>
            <w:shd w:val="solid" w:color="C0C0C0" w:fill="auto"/>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5 050 801</w:t>
            </w:r>
          </w:p>
        </w:tc>
      </w:tr>
      <w:tr>
        <w:tblPrEx>
          <w:tblW w:w="9729" w:type="dxa"/>
          <w:tblCellMar>
            <w:left w:w="0" w:type="dxa"/>
            <w:right w:w="0" w:type="dxa"/>
          </w:tblCellMar>
        </w:tblPrEx>
        <w:trPr>
          <w:trHeight w:val="70"/>
        </w:trPr>
        <w:tc>
          <w:tcPr>
            <w:tcW w:w="4661" w:type="dxa"/>
            <w:tcBorders>
              <w:top w:val="outset" w:sz="6" w:space="0" w:color="ECE9D8"/>
              <w:left w:val="single" w:sz="8" w:space="0" w:color="auto"/>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v tom: za každý subjekt verejnej správy / program zvlášť</w:t>
            </w: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p>
        </w:tc>
      </w:tr>
      <w:tr>
        <w:tblPrEx>
          <w:tblW w:w="9729" w:type="dxa"/>
          <w:tblCellMar>
            <w:left w:w="0" w:type="dxa"/>
            <w:right w:w="0" w:type="dxa"/>
          </w:tblCellMar>
        </w:tblPrEx>
        <w:trPr>
          <w:trHeight w:val="70"/>
        </w:trPr>
        <w:tc>
          <w:tcPr>
            <w:tcW w:w="4661" w:type="dxa"/>
            <w:tcBorders>
              <w:top w:val="outset" w:sz="6" w:space="0" w:color="ECE9D8"/>
              <w:left w:val="single" w:sz="8" w:space="0" w:color="auto"/>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rPr>
                <w:rFonts w:ascii="Times New Roman" w:hAnsi="Times New Roman"/>
                <w:color w:val="000000"/>
                <w:szCs w:val="24"/>
              </w:rPr>
            </w:pPr>
            <w:r w:rsidRPr="00352400">
              <w:rPr>
                <w:rFonts w:ascii="Times New Roman" w:hAnsi="Times New Roman"/>
                <w:b/>
                <w:i/>
                <w:color w:val="000000"/>
                <w:szCs w:val="24"/>
              </w:rPr>
              <w:t xml:space="preserve">z toho: </w:t>
            </w: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color w:val="000000"/>
                <w:szCs w:val="24"/>
              </w:rPr>
              <w:t> </w:t>
            </w: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color w:val="000000"/>
                <w:szCs w:val="24"/>
              </w:rPr>
              <w:t> </w:t>
            </w: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color w:val="000000"/>
                <w:szCs w:val="24"/>
              </w:rPr>
              <w:t> </w:t>
            </w: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color w:val="000000"/>
                <w:szCs w:val="24"/>
              </w:rPr>
              <w:t> </w:t>
            </w:r>
          </w:p>
        </w:tc>
      </w:tr>
      <w:tr>
        <w:tblPrEx>
          <w:tblW w:w="9729" w:type="dxa"/>
          <w:tblCellMar>
            <w:left w:w="0" w:type="dxa"/>
            <w:right w:w="0" w:type="dxa"/>
          </w:tblCellMar>
        </w:tblPrEx>
        <w:trPr>
          <w:trHeight w:val="70"/>
        </w:trPr>
        <w:tc>
          <w:tcPr>
            <w:tcW w:w="4661" w:type="dxa"/>
            <w:tcBorders>
              <w:top w:val="outset" w:sz="6" w:space="0" w:color="ECE9D8"/>
              <w:left w:val="single" w:sz="8" w:space="0" w:color="auto"/>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rPr>
                <w:rFonts w:ascii="Times New Roman" w:hAnsi="Times New Roman"/>
                <w:color w:val="000000"/>
                <w:szCs w:val="24"/>
              </w:rPr>
            </w:pPr>
            <w:r w:rsidRPr="00352400">
              <w:rPr>
                <w:rFonts w:ascii="Times New Roman" w:hAnsi="Times New Roman"/>
                <w:b/>
                <w:i/>
                <w:color w:val="000000"/>
                <w:szCs w:val="24"/>
              </w:rPr>
              <w:t>- vplyv na ŠR</w:t>
            </w: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5 167 601</w:t>
            </w: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5 050 801</w:t>
            </w: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5 050 801</w:t>
            </w: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5 050 801</w:t>
            </w:r>
          </w:p>
        </w:tc>
      </w:tr>
      <w:tr>
        <w:tblPrEx>
          <w:tblW w:w="9729" w:type="dxa"/>
          <w:tblCellMar>
            <w:left w:w="0" w:type="dxa"/>
            <w:right w:w="0" w:type="dxa"/>
          </w:tblCellMar>
        </w:tblPrEx>
        <w:trPr>
          <w:trHeight w:val="125"/>
        </w:trPr>
        <w:tc>
          <w:tcPr>
            <w:tcW w:w="4661" w:type="dxa"/>
            <w:tcBorders>
              <w:top w:val="outset" w:sz="6" w:space="0" w:color="ECE9D8"/>
              <w:left w:val="single" w:sz="8" w:space="0" w:color="auto"/>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rPr>
                <w:rFonts w:ascii="Times New Roman" w:hAnsi="Times New Roman"/>
                <w:color w:val="000000"/>
                <w:szCs w:val="24"/>
              </w:rPr>
            </w:pPr>
            <w:r w:rsidRPr="00352400">
              <w:rPr>
                <w:rFonts w:ascii="Times New Roman" w:hAnsi="Times New Roman"/>
                <w:b/>
                <w:i/>
                <w:color w:val="000000"/>
                <w:szCs w:val="24"/>
              </w:rPr>
              <w:t>- vplyv na územnú samosprávu</w:t>
            </w: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0</w:t>
            </w: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0</w:t>
            </w: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0</w:t>
            </w: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0</w:t>
            </w:r>
          </w:p>
        </w:tc>
      </w:tr>
      <w:tr>
        <w:tblPrEx>
          <w:tblW w:w="9729" w:type="dxa"/>
          <w:tblCellMar>
            <w:left w:w="0" w:type="dxa"/>
            <w:right w:w="0" w:type="dxa"/>
          </w:tblCellMar>
        </w:tblPrEx>
        <w:trPr>
          <w:trHeight w:val="70"/>
        </w:trPr>
        <w:tc>
          <w:tcPr>
            <w:tcW w:w="4661" w:type="dxa"/>
            <w:tcBorders>
              <w:top w:val="outset" w:sz="6" w:space="0" w:color="ECE9D8"/>
              <w:left w:val="single" w:sz="8" w:space="0" w:color="auto"/>
              <w:bottom w:val="single" w:sz="8" w:space="0" w:color="auto"/>
              <w:right w:val="single" w:sz="8" w:space="0" w:color="auto"/>
            </w:tcBorders>
            <w:shd w:val="solid" w:color="C0C0C0" w:fill="auto"/>
            <w:tcMar>
              <w:top w:w="0" w:type="dxa"/>
              <w:left w:w="70" w:type="dxa"/>
              <w:bottom w:w="0" w:type="dxa"/>
              <w:right w:w="70" w:type="dxa"/>
            </w:tcMar>
            <w:textDirection w:val="lrTb"/>
            <w:vAlign w:val="center"/>
          </w:tcPr>
          <w:p w:rsidR="00A44EF6" w:rsidRPr="00352400" w:rsidP="009016CC">
            <w:pPr>
              <w:bidi w:val="0"/>
              <w:spacing w:after="0"/>
              <w:rPr>
                <w:rFonts w:ascii="Times New Roman" w:hAnsi="Times New Roman"/>
                <w:color w:val="000000"/>
                <w:szCs w:val="24"/>
              </w:rPr>
            </w:pPr>
            <w:r w:rsidRPr="00352400">
              <w:rPr>
                <w:rFonts w:ascii="Times New Roman" w:hAnsi="Times New Roman"/>
                <w:b/>
                <w:color w:val="000000"/>
                <w:szCs w:val="24"/>
              </w:rPr>
              <w:t xml:space="preserve">Celková zamestnanosť </w:t>
            </w:r>
          </w:p>
        </w:tc>
        <w:tc>
          <w:tcPr>
            <w:tcW w:w="1267" w:type="dxa"/>
            <w:tcBorders>
              <w:top w:val="outset" w:sz="6" w:space="0" w:color="ECE9D8"/>
              <w:left w:val="outset" w:sz="6" w:space="0" w:color="ECE9D8"/>
              <w:bottom w:val="single" w:sz="8" w:space="0" w:color="auto"/>
              <w:right w:val="single" w:sz="8" w:space="0" w:color="auto"/>
            </w:tcBorders>
            <w:shd w:val="solid" w:color="C0C0C0" w:fill="auto"/>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93</w:t>
            </w:r>
          </w:p>
        </w:tc>
        <w:tc>
          <w:tcPr>
            <w:tcW w:w="1267" w:type="dxa"/>
            <w:tcBorders>
              <w:top w:val="outset" w:sz="6" w:space="0" w:color="ECE9D8"/>
              <w:left w:val="outset" w:sz="6" w:space="0" w:color="ECE9D8"/>
              <w:bottom w:val="single" w:sz="8" w:space="0" w:color="auto"/>
              <w:right w:val="single" w:sz="8" w:space="0" w:color="auto"/>
            </w:tcBorders>
            <w:shd w:val="solid" w:color="C0C0C0" w:fill="auto"/>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93</w:t>
            </w:r>
          </w:p>
        </w:tc>
        <w:tc>
          <w:tcPr>
            <w:tcW w:w="1267" w:type="dxa"/>
            <w:tcBorders>
              <w:top w:val="outset" w:sz="6" w:space="0" w:color="ECE9D8"/>
              <w:left w:val="outset" w:sz="6" w:space="0" w:color="ECE9D8"/>
              <w:bottom w:val="single" w:sz="8" w:space="0" w:color="auto"/>
              <w:right w:val="single" w:sz="8" w:space="0" w:color="auto"/>
            </w:tcBorders>
            <w:shd w:val="solid" w:color="C0C0C0" w:fill="auto"/>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93</w:t>
            </w:r>
          </w:p>
        </w:tc>
        <w:tc>
          <w:tcPr>
            <w:tcW w:w="1267" w:type="dxa"/>
            <w:tcBorders>
              <w:top w:val="outset" w:sz="6" w:space="0" w:color="ECE9D8"/>
              <w:left w:val="outset" w:sz="6" w:space="0" w:color="ECE9D8"/>
              <w:bottom w:val="single" w:sz="8" w:space="0" w:color="auto"/>
              <w:right w:val="single" w:sz="8" w:space="0" w:color="auto"/>
            </w:tcBorders>
            <w:shd w:val="solid" w:color="C0C0C0" w:fill="auto"/>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93</w:t>
            </w:r>
          </w:p>
        </w:tc>
      </w:tr>
      <w:tr>
        <w:tblPrEx>
          <w:tblW w:w="9729" w:type="dxa"/>
          <w:tblCellMar>
            <w:left w:w="0" w:type="dxa"/>
            <w:right w:w="0" w:type="dxa"/>
          </w:tblCellMar>
        </w:tblPrEx>
        <w:trPr>
          <w:trHeight w:val="70"/>
        </w:trPr>
        <w:tc>
          <w:tcPr>
            <w:tcW w:w="4661" w:type="dxa"/>
            <w:tcBorders>
              <w:top w:val="outset" w:sz="6" w:space="0" w:color="ECE9D8"/>
              <w:left w:val="single" w:sz="8" w:space="0" w:color="auto"/>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rPr>
                <w:rFonts w:ascii="Times New Roman" w:hAnsi="Times New Roman"/>
                <w:color w:val="000000"/>
                <w:szCs w:val="24"/>
              </w:rPr>
            </w:pPr>
            <w:r w:rsidRPr="00352400">
              <w:rPr>
                <w:rFonts w:ascii="Times New Roman" w:hAnsi="Times New Roman"/>
                <w:b/>
                <w:i/>
                <w:color w:val="000000"/>
                <w:szCs w:val="24"/>
              </w:rPr>
              <w:t>- z toho vplyv na ŠR</w:t>
            </w:r>
            <w:r w:rsidRPr="00352400">
              <w:rPr>
                <w:rFonts w:ascii="Times New Roman" w:hAnsi="Times New Roman"/>
                <w:color w:val="000000"/>
                <w:szCs w:val="24"/>
              </w:rPr>
              <w:t xml:space="preserve"> </w:t>
            </w: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93</w:t>
            </w: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93</w:t>
            </w: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93</w:t>
            </w: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93</w:t>
            </w:r>
          </w:p>
        </w:tc>
      </w:tr>
      <w:tr>
        <w:tblPrEx>
          <w:tblW w:w="9729" w:type="dxa"/>
          <w:tblCellMar>
            <w:left w:w="0" w:type="dxa"/>
            <w:right w:w="0" w:type="dxa"/>
          </w:tblCellMar>
        </w:tblPrEx>
        <w:trPr>
          <w:trHeight w:val="70"/>
        </w:trPr>
        <w:tc>
          <w:tcPr>
            <w:tcW w:w="4661" w:type="dxa"/>
            <w:tcBorders>
              <w:top w:val="outset" w:sz="6" w:space="0" w:color="ECE9D8"/>
              <w:left w:val="single" w:sz="8" w:space="0" w:color="auto"/>
              <w:bottom w:val="single" w:sz="8" w:space="0" w:color="auto"/>
              <w:right w:val="single" w:sz="8" w:space="0" w:color="auto"/>
            </w:tcBorders>
            <w:shd w:val="solid" w:color="C0C0C0" w:fill="auto"/>
            <w:tcMar>
              <w:top w:w="0" w:type="dxa"/>
              <w:left w:w="70" w:type="dxa"/>
              <w:bottom w:w="0" w:type="dxa"/>
              <w:right w:w="70" w:type="dxa"/>
            </w:tcMar>
            <w:textDirection w:val="lrTb"/>
            <w:vAlign w:val="center"/>
          </w:tcPr>
          <w:p w:rsidR="00A44EF6" w:rsidRPr="00352400" w:rsidP="009016CC">
            <w:pPr>
              <w:bidi w:val="0"/>
              <w:spacing w:after="0"/>
              <w:rPr>
                <w:rFonts w:ascii="Times New Roman" w:hAnsi="Times New Roman"/>
                <w:color w:val="000000"/>
                <w:szCs w:val="24"/>
              </w:rPr>
            </w:pPr>
            <w:r w:rsidRPr="00352400">
              <w:rPr>
                <w:rFonts w:ascii="Times New Roman" w:hAnsi="Times New Roman"/>
                <w:b/>
                <w:color w:val="000000"/>
                <w:szCs w:val="24"/>
              </w:rPr>
              <w:t>Financovanie zabezpečené v rozpočte</w:t>
            </w:r>
          </w:p>
        </w:tc>
        <w:tc>
          <w:tcPr>
            <w:tcW w:w="1267" w:type="dxa"/>
            <w:tcBorders>
              <w:top w:val="outset" w:sz="6" w:space="0" w:color="ECE9D8"/>
              <w:left w:val="outset" w:sz="6" w:space="0" w:color="ECE9D8"/>
              <w:bottom w:val="single" w:sz="8" w:space="0" w:color="auto"/>
              <w:right w:val="single" w:sz="8" w:space="0" w:color="auto"/>
            </w:tcBorders>
            <w:shd w:val="solid" w:color="C0C0C0" w:fill="auto"/>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5 167 601</w:t>
            </w:r>
          </w:p>
        </w:tc>
        <w:tc>
          <w:tcPr>
            <w:tcW w:w="1267" w:type="dxa"/>
            <w:tcBorders>
              <w:top w:val="outset" w:sz="6" w:space="0" w:color="ECE9D8"/>
              <w:left w:val="outset" w:sz="6" w:space="0" w:color="ECE9D8"/>
              <w:bottom w:val="single" w:sz="8" w:space="0" w:color="auto"/>
              <w:right w:val="single" w:sz="8" w:space="0" w:color="auto"/>
            </w:tcBorders>
            <w:shd w:val="solid" w:color="C0C0C0" w:fill="auto"/>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5 050 801</w:t>
            </w:r>
          </w:p>
        </w:tc>
        <w:tc>
          <w:tcPr>
            <w:tcW w:w="1267" w:type="dxa"/>
            <w:tcBorders>
              <w:top w:val="outset" w:sz="6" w:space="0" w:color="ECE9D8"/>
              <w:left w:val="outset" w:sz="6" w:space="0" w:color="ECE9D8"/>
              <w:bottom w:val="single" w:sz="8" w:space="0" w:color="auto"/>
              <w:right w:val="single" w:sz="8" w:space="0" w:color="auto"/>
            </w:tcBorders>
            <w:shd w:val="solid" w:color="C0C0C0" w:fill="auto"/>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5 050 801</w:t>
            </w:r>
          </w:p>
        </w:tc>
        <w:tc>
          <w:tcPr>
            <w:tcW w:w="1267" w:type="dxa"/>
            <w:tcBorders>
              <w:top w:val="outset" w:sz="6" w:space="0" w:color="ECE9D8"/>
              <w:left w:val="outset" w:sz="6" w:space="0" w:color="ECE9D8"/>
              <w:bottom w:val="single" w:sz="8" w:space="0" w:color="auto"/>
              <w:right w:val="single" w:sz="8" w:space="0" w:color="auto"/>
            </w:tcBorders>
            <w:shd w:val="solid" w:color="C0C0C0" w:fill="auto"/>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5 050 801</w:t>
            </w:r>
          </w:p>
        </w:tc>
      </w:tr>
      <w:tr>
        <w:tblPrEx>
          <w:tblW w:w="9729" w:type="dxa"/>
          <w:tblCellMar>
            <w:left w:w="0" w:type="dxa"/>
            <w:right w:w="0" w:type="dxa"/>
          </w:tblCellMar>
        </w:tblPrEx>
        <w:trPr>
          <w:trHeight w:val="70"/>
        </w:trPr>
        <w:tc>
          <w:tcPr>
            <w:tcW w:w="4661" w:type="dxa"/>
            <w:tcBorders>
              <w:top w:val="outset" w:sz="6" w:space="0" w:color="ECE9D8"/>
              <w:left w:val="single" w:sz="8" w:space="0" w:color="auto"/>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v tom: za každý subjekt verejnej správy / program zvlášť</w:t>
            </w: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p>
        </w:tc>
        <w:tc>
          <w:tcPr>
            <w:tcW w:w="1267"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p>
        </w:tc>
      </w:tr>
    </w:tbl>
    <w:p w:rsidR="00A44EF6" w:rsidP="00A44EF6">
      <w:pPr>
        <w:bidi w:val="0"/>
        <w:spacing w:after="0"/>
        <w:rPr>
          <w:rFonts w:ascii="Times New Roman" w:hAnsi="Times New Roman"/>
          <w:color w:val="000000"/>
          <w:szCs w:val="24"/>
        </w:rPr>
      </w:pPr>
    </w:p>
    <w:p w:rsidR="00A44EF6" w:rsidRPr="00352400" w:rsidP="00A44EF6">
      <w:pPr>
        <w:bidi w:val="0"/>
        <w:spacing w:after="0"/>
        <w:rPr>
          <w:rFonts w:ascii="Times New Roman" w:hAnsi="Times New Roman"/>
          <w:color w:val="000000"/>
          <w:szCs w:val="24"/>
        </w:rPr>
      </w:pPr>
      <w:r w:rsidRPr="00352400">
        <w:rPr>
          <w:rFonts w:ascii="Times New Roman" w:hAnsi="Times New Roman"/>
          <w:color w:val="000000"/>
          <w:szCs w:val="24"/>
        </w:rPr>
        <w:t> </w:t>
      </w:r>
    </w:p>
    <w:p w:rsidR="00A44EF6" w:rsidRPr="00352400" w:rsidP="00A44EF6">
      <w:pPr>
        <w:bidi w:val="0"/>
        <w:spacing w:after="0"/>
        <w:rPr>
          <w:rFonts w:ascii="Times New Roman" w:hAnsi="Times New Roman"/>
          <w:color w:val="000000"/>
          <w:szCs w:val="24"/>
        </w:rPr>
      </w:pPr>
      <w:r w:rsidRPr="00352400">
        <w:rPr>
          <w:rFonts w:ascii="Times New Roman" w:hAnsi="Times New Roman"/>
          <w:b/>
          <w:color w:val="000000"/>
          <w:szCs w:val="24"/>
        </w:rPr>
        <w:t>2.2. Financovanie návrhu</w:t>
      </w:r>
    </w:p>
    <w:p w:rsidR="00A44EF6" w:rsidRPr="00352400" w:rsidP="00A44EF6">
      <w:pPr>
        <w:bidi w:val="0"/>
        <w:spacing w:after="0"/>
        <w:jc w:val="right"/>
        <w:rPr>
          <w:rFonts w:ascii="Times New Roman" w:hAnsi="Times New Roman"/>
          <w:color w:val="000000"/>
          <w:szCs w:val="24"/>
        </w:rPr>
      </w:pPr>
      <w:r w:rsidRPr="00352400">
        <w:rPr>
          <w:rFonts w:ascii="Times New Roman" w:hAnsi="Times New Roman"/>
          <w:color w:val="000000"/>
          <w:szCs w:val="24"/>
        </w:rPr>
        <w:t>Tabuľka č. 2</w:t>
      </w:r>
    </w:p>
    <w:tbl>
      <w:tblPr>
        <w:tblStyle w:val="TableNormal"/>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4304"/>
        <w:gridCol w:w="1264"/>
        <w:gridCol w:w="1264"/>
        <w:gridCol w:w="1264"/>
        <w:gridCol w:w="1264"/>
      </w:tblGrid>
      <w:tr>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70"/>
        </w:trPr>
        <w:tc>
          <w:tcPr>
            <w:tcW w:w="4304" w:type="dxa"/>
            <w:vMerge w:val="restart"/>
            <w:tcBorders>
              <w:top w:val="single" w:sz="8" w:space="0" w:color="auto"/>
              <w:left w:val="single" w:sz="8" w:space="0" w:color="auto"/>
              <w:bottom w:val="single" w:sz="8" w:space="0" w:color="auto"/>
              <w:right w:val="single" w:sz="8" w:space="0" w:color="auto"/>
            </w:tcBorders>
            <w:shd w:val="solid" w:color="000000" w:fill="auto"/>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r w:rsidRPr="00352400">
              <w:rPr>
                <w:rFonts w:ascii="Times New Roman" w:hAnsi="Times New Roman"/>
                <w:b/>
                <w:color w:val="FFFFFF"/>
                <w:szCs w:val="24"/>
              </w:rPr>
              <w:t>Financovanie</w:t>
            </w:r>
          </w:p>
        </w:tc>
        <w:tc>
          <w:tcPr>
            <w:tcW w:w="5056" w:type="dxa"/>
            <w:gridSpan w:val="4"/>
            <w:tcBorders>
              <w:top w:val="single" w:sz="8" w:space="0" w:color="auto"/>
              <w:left w:val="outset" w:sz="6" w:space="0" w:color="ECE9D8"/>
              <w:bottom w:val="single" w:sz="8" w:space="0" w:color="auto"/>
              <w:right w:val="single" w:sz="8" w:space="0" w:color="auto"/>
            </w:tcBorders>
            <w:shd w:val="solid" w:color="000000" w:fill="auto"/>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r w:rsidRPr="00352400">
              <w:rPr>
                <w:rFonts w:ascii="Times New Roman" w:hAnsi="Times New Roman"/>
                <w:b/>
                <w:color w:val="FFFFFF"/>
                <w:szCs w:val="24"/>
              </w:rPr>
              <w:t xml:space="preserve">Vplyv na rozpočet verejnej správy </w:t>
            </w:r>
            <w:r w:rsidRPr="00352400">
              <w:rPr>
                <w:rFonts w:ascii="Times New Roman" w:hAnsi="Times New Roman"/>
                <w:b/>
                <w:color w:val="000000"/>
                <w:szCs w:val="24"/>
              </w:rPr>
              <w:t>(v eurách)</w:t>
            </w:r>
          </w:p>
        </w:tc>
      </w:tr>
      <w:tr>
        <w:tblPrEx>
          <w:tblW w:w="9360" w:type="dxa"/>
          <w:tblCellMar>
            <w:left w:w="0" w:type="dxa"/>
            <w:right w:w="0" w:type="dxa"/>
          </w:tblCellMar>
        </w:tblPrEx>
        <w:trPr>
          <w:trHeight w:val="70"/>
        </w:trPr>
        <w:tc>
          <w:tcPr>
            <w:tcW w:w="0" w:type="auto"/>
            <w:vMerge/>
            <w:tcBorders>
              <w:top w:val="single" w:sz="8" w:space="0" w:color="auto"/>
              <w:left w:val="single" w:sz="8" w:space="0" w:color="auto"/>
              <w:bottom w:val="single" w:sz="8" w:space="0" w:color="auto"/>
              <w:right w:val="single" w:sz="8" w:space="0" w:color="auto"/>
            </w:tcBorders>
            <w:textDirection w:val="lrTb"/>
            <w:vAlign w:val="center"/>
          </w:tcPr>
          <w:p w:rsidR="00A44EF6" w:rsidRPr="00352400" w:rsidP="009016CC">
            <w:pPr>
              <w:bidi w:val="0"/>
              <w:spacing w:after="0"/>
              <w:jc w:val="center"/>
              <w:rPr>
                <w:rFonts w:ascii="Times New Roman" w:hAnsi="Times New Roman"/>
                <w:color w:val="000000"/>
                <w:szCs w:val="24"/>
              </w:rPr>
            </w:pPr>
          </w:p>
        </w:tc>
        <w:tc>
          <w:tcPr>
            <w:tcW w:w="1264" w:type="dxa"/>
            <w:tcBorders>
              <w:top w:val="outset" w:sz="6" w:space="0" w:color="ECE9D8"/>
              <w:left w:val="outset" w:sz="6" w:space="0" w:color="ECE9D8"/>
              <w:bottom w:val="single" w:sz="8" w:space="0" w:color="auto"/>
              <w:right w:val="single" w:sz="8" w:space="0" w:color="auto"/>
            </w:tcBorders>
            <w:shd w:val="solid" w:color="000000" w:fill="auto"/>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r>
              <w:rPr>
                <w:rFonts w:ascii="Times New Roman" w:hAnsi="Times New Roman"/>
                <w:b/>
                <w:color w:val="FFFFFF"/>
                <w:szCs w:val="24"/>
              </w:rPr>
              <w:t>2011</w:t>
            </w:r>
          </w:p>
        </w:tc>
        <w:tc>
          <w:tcPr>
            <w:tcW w:w="1264" w:type="dxa"/>
            <w:tcBorders>
              <w:top w:val="outset" w:sz="6" w:space="0" w:color="ECE9D8"/>
              <w:left w:val="outset" w:sz="6" w:space="0" w:color="ECE9D8"/>
              <w:bottom w:val="single" w:sz="8" w:space="0" w:color="auto"/>
              <w:right w:val="single" w:sz="8" w:space="0" w:color="auto"/>
            </w:tcBorders>
            <w:shd w:val="solid" w:color="000000" w:fill="auto"/>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r>
              <w:rPr>
                <w:rFonts w:ascii="Times New Roman" w:hAnsi="Times New Roman"/>
                <w:b/>
                <w:color w:val="FFFFFF"/>
                <w:szCs w:val="24"/>
              </w:rPr>
              <w:t>2012</w:t>
            </w:r>
          </w:p>
        </w:tc>
        <w:tc>
          <w:tcPr>
            <w:tcW w:w="1264" w:type="dxa"/>
            <w:tcBorders>
              <w:top w:val="outset" w:sz="6" w:space="0" w:color="ECE9D8"/>
              <w:left w:val="outset" w:sz="6" w:space="0" w:color="ECE9D8"/>
              <w:bottom w:val="single" w:sz="8" w:space="0" w:color="auto"/>
              <w:right w:val="single" w:sz="8" w:space="0" w:color="auto"/>
            </w:tcBorders>
            <w:shd w:val="solid" w:color="000000" w:fill="auto"/>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r>
              <w:rPr>
                <w:rFonts w:ascii="Times New Roman" w:hAnsi="Times New Roman"/>
                <w:b/>
                <w:color w:val="FFFFFF"/>
                <w:szCs w:val="24"/>
              </w:rPr>
              <w:t>2013</w:t>
            </w:r>
          </w:p>
        </w:tc>
        <w:tc>
          <w:tcPr>
            <w:tcW w:w="1264" w:type="dxa"/>
            <w:tcBorders>
              <w:top w:val="outset" w:sz="6" w:space="0" w:color="ECE9D8"/>
              <w:left w:val="outset" w:sz="6" w:space="0" w:color="ECE9D8"/>
              <w:bottom w:val="single" w:sz="8" w:space="0" w:color="auto"/>
              <w:right w:val="single" w:sz="8" w:space="0" w:color="auto"/>
            </w:tcBorders>
            <w:shd w:val="solid" w:color="000000" w:fill="auto"/>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r>
              <w:rPr>
                <w:rFonts w:ascii="Times New Roman" w:hAnsi="Times New Roman"/>
                <w:b/>
                <w:color w:val="FFFFFF"/>
                <w:szCs w:val="24"/>
              </w:rPr>
              <w:t>2014</w:t>
            </w:r>
          </w:p>
        </w:tc>
      </w:tr>
      <w:tr>
        <w:tblPrEx>
          <w:tblW w:w="9360" w:type="dxa"/>
          <w:tblCellMar>
            <w:left w:w="0" w:type="dxa"/>
            <w:right w:w="0" w:type="dxa"/>
          </w:tblCellMar>
        </w:tblPrEx>
        <w:trPr>
          <w:trHeight w:val="70"/>
        </w:trPr>
        <w:tc>
          <w:tcPr>
            <w:tcW w:w="4304" w:type="dxa"/>
            <w:tcBorders>
              <w:top w:val="outset" w:sz="6" w:space="0" w:color="ECE9D8"/>
              <w:left w:val="single" w:sz="8" w:space="0" w:color="auto"/>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rPr>
                <w:rFonts w:ascii="Times New Roman" w:hAnsi="Times New Roman"/>
                <w:color w:val="000000"/>
                <w:szCs w:val="24"/>
              </w:rPr>
            </w:pPr>
            <w:r w:rsidRPr="00352400">
              <w:rPr>
                <w:rFonts w:ascii="Times New Roman" w:hAnsi="Times New Roman"/>
                <w:b/>
                <w:color w:val="000000"/>
                <w:szCs w:val="24"/>
              </w:rPr>
              <w:t>Celkový vplyv na rozpočet verejnej správy ( - príjmy, výdavky)</w:t>
            </w:r>
          </w:p>
        </w:tc>
        <w:tc>
          <w:tcPr>
            <w:tcW w:w="1264"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- 666</w:t>
            </w:r>
          </w:p>
        </w:tc>
        <w:tc>
          <w:tcPr>
            <w:tcW w:w="1264"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r>
              <w:rPr>
                <w:rFonts w:ascii="Times New Roman" w:hAnsi="Times New Roman"/>
                <w:color w:val="000000"/>
                <w:szCs w:val="24"/>
              </w:rPr>
              <w:t xml:space="preserve">    +91 659</w:t>
            </w:r>
          </w:p>
        </w:tc>
        <w:tc>
          <w:tcPr>
            <w:tcW w:w="1264"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r>
              <w:rPr>
                <w:rFonts w:ascii="Times New Roman" w:hAnsi="Times New Roman"/>
                <w:color w:val="000000"/>
                <w:szCs w:val="24"/>
              </w:rPr>
              <w:t>+ 342 363</w:t>
            </w:r>
          </w:p>
        </w:tc>
        <w:tc>
          <w:tcPr>
            <w:tcW w:w="1264"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+329 037</w:t>
            </w:r>
          </w:p>
        </w:tc>
      </w:tr>
      <w:tr>
        <w:tblPrEx>
          <w:tblW w:w="9360" w:type="dxa"/>
          <w:tblCellMar>
            <w:left w:w="0" w:type="dxa"/>
            <w:right w:w="0" w:type="dxa"/>
          </w:tblCellMar>
        </w:tblPrEx>
        <w:trPr>
          <w:trHeight w:val="70"/>
        </w:trPr>
        <w:tc>
          <w:tcPr>
            <w:tcW w:w="4304" w:type="dxa"/>
            <w:tcBorders>
              <w:top w:val="outset" w:sz="6" w:space="0" w:color="ECE9D8"/>
              <w:left w:val="single" w:sz="8" w:space="0" w:color="auto"/>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z toho vplyv na ŠR</w:t>
            </w:r>
          </w:p>
        </w:tc>
        <w:tc>
          <w:tcPr>
            <w:tcW w:w="1264"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- 666</w:t>
            </w:r>
          </w:p>
        </w:tc>
        <w:tc>
          <w:tcPr>
            <w:tcW w:w="1264"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676F8A" w:rsidP="009016CC">
            <w:pPr>
              <w:bidi w:val="0"/>
              <w:spacing w:after="0"/>
              <w:rPr>
                <w:rFonts w:ascii="Times New Roman" w:hAnsi="Times New Roman"/>
                <w:color w:val="000000"/>
                <w:szCs w:val="24"/>
              </w:rPr>
            </w:pPr>
            <w:r>
              <w:rPr>
                <w:rFonts w:ascii="Times New Roman" w:hAnsi="Times New Roman"/>
                <w:color w:val="000000"/>
                <w:szCs w:val="24"/>
              </w:rPr>
              <w:t xml:space="preserve">     </w:t>
            </w:r>
            <w:r w:rsidRPr="00676F8A">
              <w:rPr>
                <w:rFonts w:ascii="Times New Roman" w:hAnsi="Times New Roman"/>
                <w:color w:val="000000"/>
                <w:szCs w:val="24"/>
              </w:rPr>
              <w:t>+91 659</w:t>
            </w:r>
          </w:p>
        </w:tc>
        <w:tc>
          <w:tcPr>
            <w:tcW w:w="1264"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676F8A" w:rsidP="009016CC">
            <w:pPr>
              <w:bidi w:val="0"/>
              <w:spacing w:after="0"/>
              <w:rPr>
                <w:rFonts w:ascii="Times New Roman" w:hAnsi="Times New Roman"/>
                <w:color w:val="000000"/>
                <w:szCs w:val="24"/>
              </w:rPr>
            </w:pPr>
            <w:r>
              <w:rPr>
                <w:rFonts w:ascii="Times New Roman" w:hAnsi="Times New Roman"/>
                <w:color w:val="000000"/>
                <w:szCs w:val="24"/>
              </w:rPr>
              <w:t xml:space="preserve">  </w:t>
            </w:r>
            <w:r w:rsidRPr="00676F8A">
              <w:rPr>
                <w:rFonts w:ascii="Times New Roman" w:hAnsi="Times New Roman"/>
                <w:color w:val="000000"/>
                <w:szCs w:val="24"/>
              </w:rPr>
              <w:t>+ 342 363</w:t>
            </w:r>
          </w:p>
        </w:tc>
        <w:tc>
          <w:tcPr>
            <w:tcW w:w="1264"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+329 037</w:t>
            </w:r>
          </w:p>
        </w:tc>
      </w:tr>
      <w:tr>
        <w:tblPrEx>
          <w:tblW w:w="9360" w:type="dxa"/>
          <w:tblCellMar>
            <w:left w:w="0" w:type="dxa"/>
            <w:right w:w="0" w:type="dxa"/>
          </w:tblCellMar>
        </w:tblPrEx>
        <w:trPr>
          <w:trHeight w:val="151"/>
        </w:trPr>
        <w:tc>
          <w:tcPr>
            <w:tcW w:w="4304" w:type="dxa"/>
            <w:tcBorders>
              <w:top w:val="outset" w:sz="6" w:space="0" w:color="ECE9D8"/>
              <w:left w:val="single" w:sz="8" w:space="0" w:color="auto"/>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financovanie zabezpečené v rozpočte</w:t>
            </w:r>
          </w:p>
        </w:tc>
        <w:tc>
          <w:tcPr>
            <w:tcW w:w="1264"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p>
        </w:tc>
        <w:tc>
          <w:tcPr>
            <w:tcW w:w="1264"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p>
        </w:tc>
        <w:tc>
          <w:tcPr>
            <w:tcW w:w="1264"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p>
        </w:tc>
        <w:tc>
          <w:tcPr>
            <w:tcW w:w="1264"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p>
        </w:tc>
      </w:tr>
      <w:tr>
        <w:tblPrEx>
          <w:tblW w:w="9360" w:type="dxa"/>
          <w:tblCellMar>
            <w:left w:w="0" w:type="dxa"/>
            <w:right w:w="0" w:type="dxa"/>
          </w:tblCellMar>
        </w:tblPrEx>
        <w:trPr>
          <w:trHeight w:val="135"/>
        </w:trPr>
        <w:tc>
          <w:tcPr>
            <w:tcW w:w="4304" w:type="dxa"/>
            <w:tcBorders>
              <w:top w:val="outset" w:sz="6" w:space="0" w:color="ECE9D8"/>
              <w:left w:val="single" w:sz="8" w:space="0" w:color="auto"/>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ostatné zdroje financovania</w:t>
            </w:r>
          </w:p>
        </w:tc>
        <w:tc>
          <w:tcPr>
            <w:tcW w:w="1264"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color w:val="000000"/>
                <w:szCs w:val="24"/>
              </w:rPr>
              <w:t>0</w:t>
            </w:r>
          </w:p>
        </w:tc>
        <w:tc>
          <w:tcPr>
            <w:tcW w:w="1264"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color w:val="000000"/>
                <w:szCs w:val="24"/>
              </w:rPr>
              <w:t>0</w:t>
            </w:r>
          </w:p>
        </w:tc>
        <w:tc>
          <w:tcPr>
            <w:tcW w:w="1264"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color w:val="000000"/>
                <w:szCs w:val="24"/>
              </w:rPr>
              <w:t>0</w:t>
            </w:r>
          </w:p>
        </w:tc>
        <w:tc>
          <w:tcPr>
            <w:tcW w:w="1264"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color w:val="000000"/>
                <w:szCs w:val="24"/>
              </w:rPr>
              <w:t>0</w:t>
            </w:r>
          </w:p>
        </w:tc>
      </w:tr>
      <w:tr>
        <w:tblPrEx>
          <w:tblW w:w="9360" w:type="dxa"/>
          <w:tblCellMar>
            <w:left w:w="0" w:type="dxa"/>
            <w:right w:w="0" w:type="dxa"/>
          </w:tblCellMar>
        </w:tblPrEx>
        <w:trPr>
          <w:trHeight w:val="70"/>
        </w:trPr>
        <w:tc>
          <w:tcPr>
            <w:tcW w:w="4304" w:type="dxa"/>
            <w:tcBorders>
              <w:top w:val="outset" w:sz="6" w:space="0" w:color="ECE9D8"/>
              <w:left w:val="single" w:sz="8" w:space="0" w:color="auto"/>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rPr>
                <w:rFonts w:ascii="Times New Roman" w:hAnsi="Times New Roman"/>
                <w:color w:val="000000"/>
                <w:szCs w:val="24"/>
              </w:rPr>
            </w:pPr>
            <w:r w:rsidRPr="00352400">
              <w:rPr>
                <w:rFonts w:ascii="Times New Roman" w:hAnsi="Times New Roman"/>
                <w:b/>
                <w:color w:val="000000"/>
                <w:szCs w:val="24"/>
              </w:rPr>
              <w:t>Rozpočtovo nekrytý vplyv / úspora</w:t>
            </w:r>
          </w:p>
        </w:tc>
        <w:tc>
          <w:tcPr>
            <w:tcW w:w="1264"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0</w:t>
            </w:r>
          </w:p>
        </w:tc>
        <w:tc>
          <w:tcPr>
            <w:tcW w:w="1264"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0</w:t>
            </w:r>
          </w:p>
        </w:tc>
        <w:tc>
          <w:tcPr>
            <w:tcW w:w="1264"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0</w:t>
            </w:r>
          </w:p>
        </w:tc>
        <w:tc>
          <w:tcPr>
            <w:tcW w:w="1264" w:type="dxa"/>
            <w:tcBorders>
              <w:top w:val="outset" w:sz="6" w:space="0" w:color="ECE9D8"/>
              <w:left w:val="outset" w:sz="6" w:space="0" w:color="ECE9D8"/>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0</w:t>
            </w:r>
          </w:p>
        </w:tc>
      </w:tr>
    </w:tbl>
    <w:p w:rsidR="00A44EF6" w:rsidRPr="00352400" w:rsidP="00A44EF6">
      <w:pPr>
        <w:bidi w:val="0"/>
        <w:spacing w:after="0"/>
        <w:rPr>
          <w:rFonts w:ascii="Times New Roman" w:hAnsi="Times New Roman"/>
          <w:color w:val="000000"/>
          <w:szCs w:val="24"/>
        </w:rPr>
      </w:pPr>
      <w:r w:rsidRPr="00352400">
        <w:rPr>
          <w:rFonts w:ascii="Times New Roman" w:hAnsi="Times New Roman"/>
          <w:color w:val="000000"/>
          <w:szCs w:val="24"/>
        </w:rPr>
        <w:t>  </w:t>
      </w:r>
    </w:p>
    <w:p w:rsidR="00A44EF6" w:rsidRPr="00352400" w:rsidP="00A44EF6">
      <w:pPr>
        <w:bidi w:val="0"/>
        <w:spacing w:after="0"/>
        <w:rPr>
          <w:rFonts w:ascii="Times New Roman" w:hAnsi="Times New Roman"/>
          <w:color w:val="000000"/>
          <w:szCs w:val="24"/>
        </w:rPr>
      </w:pPr>
      <w:r w:rsidRPr="00352400">
        <w:rPr>
          <w:rFonts w:ascii="Times New Roman" w:hAnsi="Times New Roman"/>
          <w:color w:val="000000"/>
          <w:szCs w:val="24"/>
        </w:rPr>
        <w:t> </w:t>
      </w:r>
    </w:p>
    <w:p w:rsidR="00A44EF6" w:rsidRPr="00352400" w:rsidP="00A44EF6">
      <w:pPr>
        <w:bidi w:val="0"/>
        <w:spacing w:after="0"/>
        <w:rPr>
          <w:rFonts w:ascii="Times New Roman" w:hAnsi="Times New Roman"/>
          <w:color w:val="000000"/>
          <w:szCs w:val="24"/>
        </w:rPr>
      </w:pPr>
      <w:r w:rsidRPr="00352400">
        <w:rPr>
          <w:rFonts w:ascii="Times New Roman" w:hAnsi="Times New Roman"/>
          <w:color w:val="000000"/>
          <w:szCs w:val="24"/>
        </w:rPr>
        <w:t> </w:t>
      </w:r>
    </w:p>
    <w:p w:rsidR="00A44EF6" w:rsidRPr="00352400" w:rsidP="00A44EF6">
      <w:pPr>
        <w:bidi w:val="0"/>
        <w:spacing w:after="0"/>
        <w:rPr>
          <w:rFonts w:ascii="Times New Roman" w:hAnsi="Times New Roman"/>
          <w:color w:val="000000"/>
          <w:szCs w:val="24"/>
        </w:rPr>
      </w:pPr>
      <w:r w:rsidRPr="00352400">
        <w:rPr>
          <w:rFonts w:ascii="Times New Roman" w:hAnsi="Times New Roman"/>
          <w:b/>
          <w:color w:val="000000"/>
          <w:szCs w:val="24"/>
        </w:rPr>
        <w:t>2.3.4. Výpočty vplyvov na verejné financie</w:t>
      </w:r>
    </w:p>
    <w:p w:rsidR="00A44EF6" w:rsidRPr="00352400" w:rsidP="00A44EF6">
      <w:pPr>
        <w:bidi w:val="0"/>
        <w:spacing w:after="0"/>
        <w:rPr>
          <w:rFonts w:ascii="Times New Roman" w:hAnsi="Times New Roman"/>
          <w:color w:val="000000"/>
          <w:szCs w:val="24"/>
        </w:rPr>
      </w:pPr>
      <w:r w:rsidRPr="00352400">
        <w:rPr>
          <w:rFonts w:ascii="Times New Roman" w:hAnsi="Times New Roman"/>
          <w:color w:val="000000"/>
          <w:szCs w:val="24"/>
        </w:rPr>
        <w:t> </w:t>
      </w:r>
    </w:p>
    <w:p w:rsidR="00A44EF6" w:rsidRPr="00352400" w:rsidP="00A44EF6">
      <w:pPr>
        <w:bidi w:val="0"/>
        <w:spacing w:after="0"/>
        <w:rPr>
          <w:rFonts w:ascii="Times New Roman" w:hAnsi="Times New Roman"/>
          <w:color w:val="000000"/>
          <w:szCs w:val="24"/>
        </w:rPr>
      </w:pPr>
      <w:r w:rsidRPr="00352400">
        <w:rPr>
          <w:rFonts w:ascii="Times New Roman" w:hAnsi="Times New Roman"/>
          <w:color w:val="000000"/>
          <w:szCs w:val="24"/>
        </w:rPr>
        <w:t>V prílohác</w:t>
      </w:r>
      <w:r>
        <w:rPr>
          <w:rFonts w:ascii="Times New Roman" w:hAnsi="Times New Roman"/>
          <w:color w:val="000000"/>
          <w:szCs w:val="24"/>
        </w:rPr>
        <w:t>h  sa   uvádzajú  údaje   schvále</w:t>
      </w:r>
      <w:r w:rsidRPr="00352400">
        <w:rPr>
          <w:rFonts w:ascii="Times New Roman" w:hAnsi="Times New Roman"/>
          <w:color w:val="000000"/>
          <w:szCs w:val="24"/>
        </w:rPr>
        <w:t>ného  rozpočtu  roku  201</w:t>
      </w:r>
      <w:r>
        <w:rPr>
          <w:rFonts w:ascii="Times New Roman" w:hAnsi="Times New Roman"/>
          <w:color w:val="000000"/>
          <w:szCs w:val="24"/>
        </w:rPr>
        <w:t>1</w:t>
      </w:r>
      <w:r w:rsidRPr="00352400">
        <w:rPr>
          <w:rFonts w:ascii="Times New Roman" w:hAnsi="Times New Roman"/>
          <w:color w:val="000000"/>
          <w:szCs w:val="24"/>
        </w:rPr>
        <w:t xml:space="preserve">  ÚJD SR </w:t>
      </w:r>
      <w:r>
        <w:rPr>
          <w:rFonts w:ascii="Times New Roman" w:hAnsi="Times New Roman"/>
          <w:color w:val="000000"/>
          <w:szCs w:val="24"/>
        </w:rPr>
        <w:t xml:space="preserve">a údaje </w:t>
      </w:r>
      <w:r w:rsidRPr="00352400">
        <w:rPr>
          <w:rFonts w:ascii="Times New Roman" w:hAnsi="Times New Roman"/>
          <w:color w:val="000000"/>
          <w:szCs w:val="24"/>
        </w:rPr>
        <w:t>rozpočt</w:t>
      </w:r>
      <w:r>
        <w:rPr>
          <w:rFonts w:ascii="Times New Roman" w:hAnsi="Times New Roman"/>
          <w:color w:val="000000"/>
          <w:szCs w:val="24"/>
        </w:rPr>
        <w:t>u  ÚJD SR  na</w:t>
      </w:r>
      <w:r w:rsidRPr="00352400">
        <w:rPr>
          <w:rFonts w:ascii="Times New Roman" w:hAnsi="Times New Roman"/>
          <w:color w:val="000000"/>
          <w:szCs w:val="24"/>
        </w:rPr>
        <w:t> rok</w:t>
      </w:r>
      <w:r>
        <w:rPr>
          <w:rFonts w:ascii="Times New Roman" w:hAnsi="Times New Roman"/>
          <w:color w:val="000000"/>
          <w:szCs w:val="24"/>
        </w:rPr>
        <w:t>y</w:t>
      </w:r>
      <w:r w:rsidRPr="00352400">
        <w:rPr>
          <w:rFonts w:ascii="Times New Roman" w:hAnsi="Times New Roman"/>
          <w:color w:val="000000"/>
          <w:szCs w:val="24"/>
        </w:rPr>
        <w:t>  201</w:t>
      </w:r>
      <w:r>
        <w:rPr>
          <w:rFonts w:ascii="Times New Roman" w:hAnsi="Times New Roman"/>
          <w:color w:val="000000"/>
          <w:szCs w:val="24"/>
        </w:rPr>
        <w:t>2</w:t>
      </w:r>
      <w:r w:rsidRPr="00352400">
        <w:rPr>
          <w:rFonts w:ascii="Times New Roman" w:hAnsi="Times New Roman"/>
          <w:color w:val="000000"/>
          <w:szCs w:val="24"/>
        </w:rPr>
        <w:t>, 201</w:t>
      </w:r>
      <w:r>
        <w:rPr>
          <w:rFonts w:ascii="Times New Roman" w:hAnsi="Times New Roman"/>
          <w:color w:val="000000"/>
          <w:szCs w:val="24"/>
        </w:rPr>
        <w:t>3</w:t>
      </w:r>
      <w:r w:rsidRPr="00352400">
        <w:rPr>
          <w:rFonts w:ascii="Times New Roman" w:hAnsi="Times New Roman"/>
          <w:color w:val="000000"/>
          <w:szCs w:val="24"/>
        </w:rPr>
        <w:t xml:space="preserve"> a</w:t>
      </w:r>
      <w:r w:rsidR="00C25457">
        <w:rPr>
          <w:rFonts w:ascii="Times New Roman" w:hAnsi="Times New Roman"/>
          <w:color w:val="000000"/>
          <w:szCs w:val="24"/>
        </w:rPr>
        <w:t> </w:t>
      </w:r>
      <w:r w:rsidRPr="00352400">
        <w:rPr>
          <w:rFonts w:ascii="Times New Roman" w:hAnsi="Times New Roman"/>
          <w:color w:val="000000"/>
          <w:szCs w:val="24"/>
        </w:rPr>
        <w:t>201</w:t>
      </w:r>
      <w:r w:rsidR="00C25457">
        <w:rPr>
          <w:rFonts w:ascii="Times New Roman" w:hAnsi="Times New Roman"/>
          <w:color w:val="000000"/>
          <w:szCs w:val="24"/>
        </w:rPr>
        <w:t>4.</w:t>
      </w:r>
    </w:p>
    <w:p w:rsidR="00A44EF6" w:rsidRPr="00352400" w:rsidP="00A44EF6">
      <w:pPr>
        <w:bidi w:val="0"/>
        <w:spacing w:after="0"/>
        <w:rPr>
          <w:rFonts w:ascii="Times New Roman" w:hAnsi="Times New Roman"/>
          <w:color w:val="000000"/>
          <w:szCs w:val="24"/>
        </w:rPr>
      </w:pPr>
      <w:r w:rsidRPr="00352400">
        <w:rPr>
          <w:rFonts w:ascii="Times New Roman" w:hAnsi="Times New Roman"/>
          <w:color w:val="000000"/>
          <w:szCs w:val="24"/>
        </w:rPr>
        <w:t> </w:t>
      </w:r>
    </w:p>
    <w:p w:rsidR="00A44EF6" w:rsidRPr="00352400" w:rsidP="00A44EF6">
      <w:pPr>
        <w:bidi w:val="0"/>
        <w:spacing w:after="0"/>
        <w:jc w:val="right"/>
        <w:rPr>
          <w:rFonts w:ascii="Times New Roman" w:hAnsi="Times New Roman"/>
          <w:color w:val="000000"/>
          <w:szCs w:val="24"/>
        </w:rPr>
      </w:pPr>
      <w:r w:rsidRPr="00352400">
        <w:rPr>
          <w:rFonts w:ascii="Times New Roman" w:hAnsi="Times New Roman"/>
          <w:color w:val="000000"/>
          <w:szCs w:val="24"/>
        </w:rPr>
        <w:t xml:space="preserve">Tabuľka č. 4 </w:t>
      </w:r>
    </w:p>
    <w:tbl>
      <w:tblPr>
        <w:tblStyle w:val="TableNormal"/>
        <w:tblW w:w="5000" w:type="pct"/>
        <w:tblCellMar>
          <w:left w:w="0" w:type="dxa"/>
          <w:right w:w="0" w:type="dxa"/>
        </w:tblCellMar>
      </w:tblPr>
      <w:tblGrid>
        <w:gridCol w:w="2937"/>
        <w:gridCol w:w="1094"/>
        <w:gridCol w:w="1228"/>
        <w:gridCol w:w="1223"/>
        <w:gridCol w:w="1351"/>
        <w:gridCol w:w="1333"/>
      </w:tblGrid>
      <w:tr>
        <w:tblPrEx>
          <w:tblW w:w="5000" w:type="pct"/>
          <w:tblCellMar>
            <w:left w:w="0" w:type="dxa"/>
            <w:right w:w="0" w:type="dxa"/>
          </w:tblCellMar>
        </w:tblPrEx>
        <w:trPr>
          <w:trHeight w:val="255"/>
        </w:trPr>
        <w:tc>
          <w:tcPr>
            <w:tcW w:w="3048" w:type="dxa"/>
            <w:vMerge w:val="restart"/>
            <w:tcBorders>
              <w:top w:val="single" w:sz="8" w:space="0" w:color="auto"/>
              <w:left w:val="single" w:sz="8" w:space="0" w:color="auto"/>
              <w:bottom w:val="single" w:sz="8" w:space="0" w:color="auto"/>
              <w:right w:val="single" w:sz="8" w:space="0" w:color="auto"/>
            </w:tcBorders>
            <w:shd w:val="solid" w:color="000000" w:fill="auto"/>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r w:rsidRPr="00352400">
              <w:rPr>
                <w:rFonts w:ascii="Times New Roman" w:hAnsi="Times New Roman"/>
                <w:b/>
                <w:color w:val="FFFFFF"/>
                <w:szCs w:val="24"/>
              </w:rPr>
              <w:t>Príjmy (v eurách)</w:t>
            </w:r>
          </w:p>
        </w:tc>
        <w:tc>
          <w:tcPr>
            <w:tcW w:w="5107" w:type="dxa"/>
            <w:gridSpan w:val="4"/>
            <w:tcBorders>
              <w:top w:val="single" w:sz="8" w:space="0" w:color="auto"/>
              <w:left w:val="nil"/>
              <w:bottom w:val="single" w:sz="8" w:space="0" w:color="auto"/>
              <w:right w:val="single" w:sz="8" w:space="0" w:color="auto"/>
            </w:tcBorders>
            <w:shd w:val="solid" w:color="000000" w:fill="auto"/>
            <w:tcMar>
              <w:top w:w="0" w:type="dxa"/>
              <w:left w:w="70" w:type="dxa"/>
              <w:bottom w:w="0" w:type="dxa"/>
              <w:right w:w="70" w:type="dxa"/>
            </w:tcMar>
            <w:textDirection w:val="lrTb"/>
            <w:vAlign w:val="top"/>
          </w:tcPr>
          <w:p w:rsidR="00A44EF6" w:rsidRPr="00352400" w:rsidP="009016CC">
            <w:pPr>
              <w:bidi w:val="0"/>
              <w:spacing w:after="0"/>
              <w:jc w:val="center"/>
              <w:rPr>
                <w:rFonts w:ascii="Times New Roman" w:hAnsi="Times New Roman"/>
                <w:color w:val="000000"/>
                <w:szCs w:val="24"/>
              </w:rPr>
            </w:pPr>
            <w:r w:rsidRPr="00352400">
              <w:rPr>
                <w:rFonts w:ascii="Times New Roman" w:hAnsi="Times New Roman"/>
                <w:b/>
                <w:color w:val="FFFFFF"/>
                <w:szCs w:val="24"/>
              </w:rPr>
              <w:t>Vplyv na rozpočet verejnej správy</w:t>
            </w:r>
          </w:p>
        </w:tc>
        <w:tc>
          <w:tcPr>
            <w:tcW w:w="1345" w:type="dxa"/>
            <w:tcBorders>
              <w:top w:val="single" w:sz="8" w:space="0" w:color="auto"/>
              <w:left w:val="nil"/>
              <w:bottom w:val="single" w:sz="8" w:space="0" w:color="auto"/>
              <w:right w:val="single" w:sz="8" w:space="0" w:color="auto"/>
            </w:tcBorders>
            <w:shd w:val="solid" w:color="000000" w:fill="auto"/>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r w:rsidRPr="00352400">
              <w:rPr>
                <w:rFonts w:ascii="Times New Roman" w:hAnsi="Times New Roman"/>
                <w:b/>
                <w:color w:val="FFFFFF"/>
                <w:szCs w:val="24"/>
              </w:rPr>
              <w:t>poznámka</w:t>
            </w:r>
          </w:p>
        </w:tc>
      </w:tr>
      <w:tr>
        <w:tblPrEx>
          <w:tblW w:w="5000" w:type="pct"/>
          <w:tblCellMar>
            <w:left w:w="0" w:type="dxa"/>
            <w:right w:w="0" w:type="dxa"/>
          </w:tblCellMar>
        </w:tblPrEx>
        <w:trPr>
          <w:trHeight w:val="255"/>
        </w:trPr>
        <w:tc>
          <w:tcPr>
            <w:tcW w:w="0" w:type="auto"/>
            <w:vMerge/>
            <w:tcBorders>
              <w:top w:val="single" w:sz="8" w:space="0" w:color="auto"/>
              <w:left w:val="single" w:sz="8" w:space="0" w:color="auto"/>
              <w:bottom w:val="single" w:sz="8" w:space="0" w:color="auto"/>
              <w:right w:val="single" w:sz="8" w:space="0" w:color="auto"/>
            </w:tcBorders>
            <w:textDirection w:val="lrTb"/>
            <w:vAlign w:val="center"/>
          </w:tcPr>
          <w:p w:rsidR="00A44EF6" w:rsidRPr="00352400" w:rsidP="009016CC">
            <w:pPr>
              <w:bidi w:val="0"/>
              <w:spacing w:after="0"/>
              <w:jc w:val="center"/>
              <w:rPr>
                <w:rFonts w:ascii="Times New Roman" w:hAnsi="Times New Roman"/>
                <w:color w:val="000000"/>
                <w:szCs w:val="24"/>
              </w:rPr>
            </w:pPr>
          </w:p>
        </w:tc>
        <w:tc>
          <w:tcPr>
            <w:tcW w:w="1135"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r>
              <w:rPr>
                <w:rFonts w:ascii="Times New Roman" w:hAnsi="Times New Roman"/>
                <w:b/>
                <w:color w:val="FFFFFF"/>
                <w:szCs w:val="24"/>
              </w:rPr>
              <w:t>2011</w:t>
            </w:r>
          </w:p>
        </w:tc>
        <w:tc>
          <w:tcPr>
            <w:tcW w:w="1277"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r>
              <w:rPr>
                <w:rFonts w:ascii="Times New Roman" w:hAnsi="Times New Roman"/>
                <w:b/>
                <w:color w:val="FFFFFF"/>
                <w:szCs w:val="24"/>
              </w:rPr>
              <w:t>2012</w:t>
            </w:r>
          </w:p>
        </w:tc>
        <w:tc>
          <w:tcPr>
            <w:tcW w:w="1277"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r>
              <w:rPr>
                <w:rFonts w:ascii="Times New Roman" w:hAnsi="Times New Roman"/>
                <w:b/>
                <w:color w:val="FFFFFF"/>
                <w:szCs w:val="24"/>
              </w:rPr>
              <w:t>2013</w:t>
            </w:r>
          </w:p>
        </w:tc>
        <w:tc>
          <w:tcPr>
            <w:tcW w:w="1418"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r>
              <w:rPr>
                <w:rFonts w:ascii="Times New Roman" w:hAnsi="Times New Roman"/>
                <w:b/>
                <w:color w:val="FFFFFF"/>
                <w:szCs w:val="24"/>
              </w:rPr>
              <w:t>2014</w:t>
            </w:r>
          </w:p>
        </w:tc>
        <w:tc>
          <w:tcPr>
            <w:tcW w:w="0" w:type="auto"/>
            <w:tcBorders>
              <w:top w:val="single" w:sz="8" w:space="0" w:color="auto"/>
              <w:left w:val="nil"/>
              <w:bottom w:val="single" w:sz="8" w:space="0" w:color="auto"/>
              <w:right w:val="single" w:sz="8" w:space="0" w:color="auto"/>
            </w:tcBorders>
            <w:textDirection w:val="lrTb"/>
            <w:vAlign w:val="center"/>
          </w:tcPr>
          <w:p w:rsidR="00A44EF6" w:rsidRPr="00352400" w:rsidP="009016CC">
            <w:pPr>
              <w:bidi w:val="0"/>
              <w:spacing w:after="0"/>
              <w:jc w:val="center"/>
              <w:rPr>
                <w:rFonts w:ascii="Times New Roman" w:hAnsi="Times New Roman"/>
                <w:color w:val="000000"/>
                <w:szCs w:val="24"/>
              </w:rPr>
            </w:pPr>
          </w:p>
        </w:tc>
      </w:tr>
      <w:tr>
        <w:tblPrEx>
          <w:tblW w:w="5000" w:type="pct"/>
          <w:tblCellMar>
            <w:left w:w="0" w:type="dxa"/>
            <w:right w:w="0" w:type="dxa"/>
          </w:tblCellMar>
        </w:tblPrEx>
        <w:trPr>
          <w:trHeight w:val="255"/>
        </w:trPr>
        <w:tc>
          <w:tcPr>
            <w:tcW w:w="3048"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sidRPr="00352400">
              <w:rPr>
                <w:rFonts w:ascii="Times New Roman" w:hAnsi="Times New Roman"/>
                <w:b/>
                <w:color w:val="000000"/>
                <w:szCs w:val="24"/>
              </w:rPr>
              <w:t>Daňové príjmy (100)</w:t>
            </w:r>
            <w:r w:rsidRPr="00352400">
              <w:rPr>
                <w:rFonts w:ascii="Times New Roman" w:hAnsi="Times New Roman"/>
                <w:b/>
                <w:color w:val="000000"/>
                <w:szCs w:val="24"/>
                <w:vertAlign w:val="superscript"/>
              </w:rPr>
              <w:t>1</w:t>
            </w:r>
          </w:p>
        </w:tc>
        <w:tc>
          <w:tcPr>
            <w:tcW w:w="1135"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center"/>
              <w:rPr>
                <w:rFonts w:ascii="Times New Roman" w:hAnsi="Times New Roman"/>
                <w:color w:val="000000"/>
                <w:szCs w:val="24"/>
              </w:rPr>
            </w:pPr>
            <w:r>
              <w:rPr>
                <w:rFonts w:ascii="Times New Roman" w:hAnsi="Times New Roman"/>
                <w:b/>
                <w:color w:val="000000"/>
                <w:szCs w:val="24"/>
              </w:rPr>
              <w:t>0</w:t>
            </w:r>
          </w:p>
        </w:tc>
        <w:tc>
          <w:tcPr>
            <w:tcW w:w="1277"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center"/>
              <w:rPr>
                <w:rFonts w:ascii="Times New Roman" w:hAnsi="Times New Roman"/>
                <w:color w:val="000000"/>
                <w:szCs w:val="24"/>
              </w:rPr>
            </w:pPr>
            <w:r>
              <w:rPr>
                <w:rFonts w:ascii="Times New Roman" w:hAnsi="Times New Roman"/>
                <w:b/>
                <w:color w:val="000000"/>
                <w:szCs w:val="24"/>
              </w:rPr>
              <w:t>0</w:t>
            </w:r>
          </w:p>
        </w:tc>
        <w:tc>
          <w:tcPr>
            <w:tcW w:w="1277"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center"/>
              <w:rPr>
                <w:rFonts w:ascii="Times New Roman" w:hAnsi="Times New Roman"/>
                <w:color w:val="000000"/>
                <w:szCs w:val="24"/>
              </w:rPr>
            </w:pPr>
            <w:r w:rsidRPr="00352400">
              <w:rPr>
                <w:rFonts w:ascii="Times New Roman" w:hAnsi="Times New Roman"/>
                <w:b/>
                <w:color w:val="000000"/>
                <w:szCs w:val="24"/>
              </w:rPr>
              <w:t>0</w:t>
            </w:r>
          </w:p>
        </w:tc>
        <w:tc>
          <w:tcPr>
            <w:tcW w:w="141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center"/>
              <w:rPr>
                <w:rFonts w:ascii="Times New Roman" w:hAnsi="Times New Roman"/>
                <w:color w:val="000000"/>
                <w:szCs w:val="24"/>
              </w:rPr>
            </w:pPr>
            <w:r w:rsidRPr="00352400">
              <w:rPr>
                <w:rFonts w:ascii="Times New Roman" w:hAnsi="Times New Roman"/>
                <w:b/>
                <w:color w:val="000000"/>
                <w:szCs w:val="24"/>
              </w:rPr>
              <w:t>0</w:t>
            </w:r>
          </w:p>
        </w:tc>
        <w:tc>
          <w:tcPr>
            <w:tcW w:w="1345"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w:t>
            </w:r>
          </w:p>
        </w:tc>
      </w:tr>
      <w:tr>
        <w:tblPrEx>
          <w:tblW w:w="5000" w:type="pct"/>
          <w:tblCellMar>
            <w:left w:w="0" w:type="dxa"/>
            <w:right w:w="0" w:type="dxa"/>
          </w:tblCellMar>
        </w:tblPrEx>
        <w:trPr>
          <w:trHeight w:val="255"/>
        </w:trPr>
        <w:tc>
          <w:tcPr>
            <w:tcW w:w="3048"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sidRPr="00352400">
              <w:rPr>
                <w:rFonts w:ascii="Times New Roman" w:hAnsi="Times New Roman"/>
                <w:b/>
                <w:color w:val="000000"/>
                <w:szCs w:val="24"/>
              </w:rPr>
              <w:t>Nedaňové príjmy (200)</w:t>
            </w:r>
            <w:r w:rsidRPr="00352400">
              <w:rPr>
                <w:rFonts w:ascii="Times New Roman" w:hAnsi="Times New Roman"/>
                <w:b/>
                <w:color w:val="000000"/>
                <w:szCs w:val="24"/>
                <w:vertAlign w:val="superscript"/>
              </w:rPr>
              <w:t>1</w:t>
            </w:r>
          </w:p>
        </w:tc>
        <w:tc>
          <w:tcPr>
            <w:tcW w:w="1135"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5 168 267</w:t>
            </w:r>
          </w:p>
        </w:tc>
        <w:tc>
          <w:tcPr>
            <w:tcW w:w="1277"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4 959 142</w:t>
            </w:r>
          </w:p>
        </w:tc>
        <w:tc>
          <w:tcPr>
            <w:tcW w:w="1277"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4 708 438</w:t>
            </w:r>
          </w:p>
        </w:tc>
        <w:tc>
          <w:tcPr>
            <w:tcW w:w="141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4 7</w:t>
            </w:r>
            <w:r>
              <w:rPr>
                <w:rFonts w:ascii="Times New Roman" w:hAnsi="Times New Roman"/>
                <w:b/>
                <w:color w:val="000000"/>
                <w:szCs w:val="24"/>
              </w:rPr>
              <w:t>21</w:t>
            </w:r>
            <w:r w:rsidRPr="00352400">
              <w:rPr>
                <w:rFonts w:ascii="Times New Roman" w:hAnsi="Times New Roman"/>
                <w:b/>
                <w:color w:val="000000"/>
                <w:szCs w:val="24"/>
              </w:rPr>
              <w:t xml:space="preserve"> </w:t>
            </w:r>
            <w:r>
              <w:rPr>
                <w:rFonts w:ascii="Times New Roman" w:hAnsi="Times New Roman"/>
                <w:b/>
                <w:color w:val="000000"/>
                <w:szCs w:val="24"/>
              </w:rPr>
              <w:t>764</w:t>
            </w:r>
          </w:p>
        </w:tc>
        <w:tc>
          <w:tcPr>
            <w:tcW w:w="1345"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p>
        </w:tc>
      </w:tr>
      <w:tr>
        <w:tblPrEx>
          <w:tblW w:w="5000" w:type="pct"/>
          <w:tblCellMar>
            <w:left w:w="0" w:type="dxa"/>
            <w:right w:w="0" w:type="dxa"/>
          </w:tblCellMar>
        </w:tblPrEx>
        <w:trPr>
          <w:trHeight w:val="255"/>
        </w:trPr>
        <w:tc>
          <w:tcPr>
            <w:tcW w:w="3048"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b/>
                <w:color w:val="000000"/>
                <w:szCs w:val="24"/>
              </w:rPr>
            </w:pPr>
            <w:r>
              <w:rPr>
                <w:rFonts w:ascii="Times New Roman" w:hAnsi="Times New Roman"/>
                <w:b/>
                <w:color w:val="000000"/>
                <w:szCs w:val="24"/>
              </w:rPr>
              <w:t xml:space="preserve">   Administratívne poplatky (221)</w:t>
            </w:r>
          </w:p>
        </w:tc>
        <w:tc>
          <w:tcPr>
            <w:tcW w:w="1135"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8541F" w:rsidP="009016CC">
            <w:pPr>
              <w:bidi w:val="0"/>
              <w:spacing w:after="0"/>
              <w:jc w:val="right"/>
              <w:rPr>
                <w:rFonts w:ascii="Times New Roman" w:hAnsi="Times New Roman"/>
                <w:color w:val="000000"/>
                <w:szCs w:val="24"/>
              </w:rPr>
            </w:pPr>
            <w:r w:rsidRPr="0008541F">
              <w:rPr>
                <w:rFonts w:ascii="Times New Roman" w:hAnsi="Times New Roman"/>
                <w:color w:val="000000"/>
                <w:szCs w:val="24"/>
              </w:rPr>
              <w:t>5 168 267</w:t>
            </w:r>
          </w:p>
        </w:tc>
        <w:tc>
          <w:tcPr>
            <w:tcW w:w="1277"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8541F" w:rsidP="009016CC">
            <w:pPr>
              <w:bidi w:val="0"/>
              <w:spacing w:after="0"/>
              <w:jc w:val="right"/>
              <w:rPr>
                <w:rFonts w:ascii="Times New Roman" w:hAnsi="Times New Roman"/>
                <w:color w:val="000000"/>
                <w:szCs w:val="24"/>
              </w:rPr>
            </w:pPr>
            <w:r w:rsidRPr="0008541F">
              <w:rPr>
                <w:rFonts w:ascii="Times New Roman" w:hAnsi="Times New Roman"/>
                <w:color w:val="000000"/>
                <w:szCs w:val="24"/>
              </w:rPr>
              <w:t>4 959 142</w:t>
            </w:r>
          </w:p>
        </w:tc>
        <w:tc>
          <w:tcPr>
            <w:tcW w:w="1277"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8541F" w:rsidP="009016CC">
            <w:pPr>
              <w:bidi w:val="0"/>
              <w:spacing w:after="0"/>
              <w:jc w:val="right"/>
              <w:rPr>
                <w:rFonts w:ascii="Times New Roman" w:hAnsi="Times New Roman"/>
                <w:color w:val="000000"/>
                <w:szCs w:val="24"/>
              </w:rPr>
            </w:pPr>
            <w:r w:rsidRPr="0008541F">
              <w:rPr>
                <w:rFonts w:ascii="Times New Roman" w:hAnsi="Times New Roman"/>
                <w:color w:val="000000"/>
                <w:szCs w:val="24"/>
              </w:rPr>
              <w:t>4 708 438</w:t>
            </w:r>
          </w:p>
        </w:tc>
        <w:tc>
          <w:tcPr>
            <w:tcW w:w="141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8541F" w:rsidP="009016CC">
            <w:pPr>
              <w:bidi w:val="0"/>
              <w:spacing w:after="0"/>
              <w:jc w:val="right"/>
              <w:rPr>
                <w:rFonts w:ascii="Times New Roman" w:hAnsi="Times New Roman"/>
                <w:color w:val="000000"/>
                <w:szCs w:val="24"/>
              </w:rPr>
            </w:pPr>
            <w:r w:rsidRPr="0008541F">
              <w:rPr>
                <w:rFonts w:ascii="Times New Roman" w:hAnsi="Times New Roman"/>
                <w:color w:val="000000"/>
                <w:szCs w:val="24"/>
              </w:rPr>
              <w:t>4 721 764</w:t>
            </w:r>
          </w:p>
        </w:tc>
        <w:tc>
          <w:tcPr>
            <w:tcW w:w="1345"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p>
        </w:tc>
      </w:tr>
      <w:tr>
        <w:tblPrEx>
          <w:tblW w:w="5000" w:type="pct"/>
          <w:tblCellMar>
            <w:left w:w="0" w:type="dxa"/>
            <w:right w:w="0" w:type="dxa"/>
          </w:tblCellMar>
        </w:tblPrEx>
        <w:trPr>
          <w:trHeight w:val="255"/>
        </w:trPr>
        <w:tc>
          <w:tcPr>
            <w:tcW w:w="3048"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sidRPr="00352400">
              <w:rPr>
                <w:rFonts w:ascii="Times New Roman" w:hAnsi="Times New Roman"/>
                <w:b/>
                <w:color w:val="000000"/>
                <w:szCs w:val="24"/>
              </w:rPr>
              <w:t>Granty a transfery (300)</w:t>
            </w:r>
            <w:r w:rsidRPr="00352400">
              <w:rPr>
                <w:rFonts w:ascii="Times New Roman" w:hAnsi="Times New Roman"/>
                <w:b/>
                <w:color w:val="000000"/>
                <w:szCs w:val="24"/>
                <w:vertAlign w:val="superscript"/>
              </w:rPr>
              <w:t>1</w:t>
            </w:r>
          </w:p>
        </w:tc>
        <w:tc>
          <w:tcPr>
            <w:tcW w:w="1135"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b/>
                <w:color w:val="000000"/>
                <w:szCs w:val="24"/>
              </w:rPr>
              <w:t>0</w:t>
            </w:r>
          </w:p>
        </w:tc>
        <w:tc>
          <w:tcPr>
            <w:tcW w:w="1277"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0</w:t>
            </w:r>
          </w:p>
        </w:tc>
        <w:tc>
          <w:tcPr>
            <w:tcW w:w="1277"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0</w:t>
            </w:r>
          </w:p>
        </w:tc>
        <w:tc>
          <w:tcPr>
            <w:tcW w:w="141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0</w:t>
            </w:r>
          </w:p>
        </w:tc>
        <w:tc>
          <w:tcPr>
            <w:tcW w:w="1345"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w:t>
            </w:r>
          </w:p>
        </w:tc>
      </w:tr>
      <w:tr>
        <w:tblPrEx>
          <w:tblW w:w="5000" w:type="pct"/>
          <w:tblCellMar>
            <w:left w:w="0" w:type="dxa"/>
            <w:right w:w="0" w:type="dxa"/>
          </w:tblCellMar>
        </w:tblPrEx>
        <w:trPr>
          <w:trHeight w:val="255"/>
        </w:trPr>
        <w:tc>
          <w:tcPr>
            <w:tcW w:w="3048"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sidRPr="00352400">
              <w:rPr>
                <w:rFonts w:ascii="Times New Roman" w:hAnsi="Times New Roman"/>
                <w:b/>
                <w:color w:val="000000"/>
                <w:szCs w:val="24"/>
              </w:rPr>
              <w:t>Príjmy z transakcií s finančnými aktívami a finančnými pasívami (400)</w:t>
            </w:r>
          </w:p>
        </w:tc>
        <w:tc>
          <w:tcPr>
            <w:tcW w:w="1135" w:type="dxa"/>
            <w:tcBorders>
              <w:top w:val="nil"/>
              <w:left w:val="nil"/>
              <w:bottom w:val="single" w:sz="8" w:space="0" w:color="auto"/>
              <w:right w:val="single" w:sz="8" w:space="0" w:color="auto"/>
            </w:tcBorders>
            <w:shd w:val="solid" w:color="FFFF99" w:fill="auto"/>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0</w:t>
            </w:r>
          </w:p>
        </w:tc>
        <w:tc>
          <w:tcPr>
            <w:tcW w:w="1277" w:type="dxa"/>
            <w:tcBorders>
              <w:top w:val="nil"/>
              <w:left w:val="nil"/>
              <w:bottom w:val="single" w:sz="8" w:space="0" w:color="auto"/>
              <w:right w:val="single" w:sz="8" w:space="0" w:color="auto"/>
            </w:tcBorders>
            <w:shd w:val="solid" w:color="FFFF99" w:fill="auto"/>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0</w:t>
            </w:r>
          </w:p>
        </w:tc>
        <w:tc>
          <w:tcPr>
            <w:tcW w:w="1277" w:type="dxa"/>
            <w:tcBorders>
              <w:top w:val="nil"/>
              <w:left w:val="nil"/>
              <w:bottom w:val="single" w:sz="8" w:space="0" w:color="auto"/>
              <w:right w:val="single" w:sz="8" w:space="0" w:color="auto"/>
            </w:tcBorders>
            <w:shd w:val="solid" w:color="FFFF99" w:fill="auto"/>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0</w:t>
            </w:r>
          </w:p>
        </w:tc>
        <w:tc>
          <w:tcPr>
            <w:tcW w:w="1418" w:type="dxa"/>
            <w:tcBorders>
              <w:top w:val="nil"/>
              <w:left w:val="nil"/>
              <w:bottom w:val="single" w:sz="8" w:space="0" w:color="auto"/>
              <w:right w:val="single" w:sz="8" w:space="0" w:color="auto"/>
            </w:tcBorders>
            <w:shd w:val="solid" w:color="FFFF99" w:fill="auto"/>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0</w:t>
            </w:r>
          </w:p>
        </w:tc>
        <w:tc>
          <w:tcPr>
            <w:tcW w:w="1345"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w:t>
            </w:r>
          </w:p>
        </w:tc>
      </w:tr>
      <w:tr>
        <w:tblPrEx>
          <w:tblW w:w="5000" w:type="pct"/>
          <w:tblCellMar>
            <w:left w:w="0" w:type="dxa"/>
            <w:right w:w="0" w:type="dxa"/>
          </w:tblCellMar>
        </w:tblPrEx>
        <w:trPr>
          <w:trHeight w:val="255"/>
        </w:trPr>
        <w:tc>
          <w:tcPr>
            <w:tcW w:w="3048"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sidRPr="00352400">
              <w:rPr>
                <w:rFonts w:ascii="Times New Roman" w:hAnsi="Times New Roman"/>
                <w:b/>
                <w:color w:val="000000"/>
                <w:szCs w:val="24"/>
              </w:rPr>
              <w:t>Prijaté úvery, pôžičky a návratné finančné výpomoci (500)</w:t>
            </w:r>
          </w:p>
        </w:tc>
        <w:tc>
          <w:tcPr>
            <w:tcW w:w="1135" w:type="dxa"/>
            <w:tcBorders>
              <w:top w:val="nil"/>
              <w:left w:val="nil"/>
              <w:bottom w:val="single" w:sz="8" w:space="0" w:color="auto"/>
              <w:right w:val="single" w:sz="8" w:space="0" w:color="auto"/>
            </w:tcBorders>
            <w:shd w:val="solid" w:color="FFFF99" w:fill="auto"/>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0</w:t>
            </w:r>
          </w:p>
        </w:tc>
        <w:tc>
          <w:tcPr>
            <w:tcW w:w="1277" w:type="dxa"/>
            <w:tcBorders>
              <w:top w:val="nil"/>
              <w:left w:val="nil"/>
              <w:bottom w:val="single" w:sz="8" w:space="0" w:color="auto"/>
              <w:right w:val="single" w:sz="8" w:space="0" w:color="auto"/>
            </w:tcBorders>
            <w:shd w:val="solid" w:color="FFFF99" w:fill="auto"/>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0</w:t>
            </w:r>
          </w:p>
        </w:tc>
        <w:tc>
          <w:tcPr>
            <w:tcW w:w="1277" w:type="dxa"/>
            <w:tcBorders>
              <w:top w:val="nil"/>
              <w:left w:val="nil"/>
              <w:bottom w:val="single" w:sz="8" w:space="0" w:color="auto"/>
              <w:right w:val="single" w:sz="8" w:space="0" w:color="auto"/>
            </w:tcBorders>
            <w:shd w:val="solid" w:color="FFFF99" w:fill="auto"/>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0</w:t>
            </w:r>
          </w:p>
        </w:tc>
        <w:tc>
          <w:tcPr>
            <w:tcW w:w="1418" w:type="dxa"/>
            <w:tcBorders>
              <w:top w:val="nil"/>
              <w:left w:val="nil"/>
              <w:bottom w:val="single" w:sz="8" w:space="0" w:color="auto"/>
              <w:right w:val="single" w:sz="8" w:space="0" w:color="auto"/>
            </w:tcBorders>
            <w:shd w:val="solid" w:color="FFFF99" w:fill="auto"/>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0</w:t>
            </w:r>
          </w:p>
        </w:tc>
        <w:tc>
          <w:tcPr>
            <w:tcW w:w="1345"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w:t>
            </w:r>
          </w:p>
        </w:tc>
      </w:tr>
      <w:tr>
        <w:tblPrEx>
          <w:tblW w:w="5000" w:type="pct"/>
          <w:tblCellMar>
            <w:left w:w="0" w:type="dxa"/>
            <w:right w:w="0" w:type="dxa"/>
          </w:tblCellMar>
        </w:tblPrEx>
        <w:trPr>
          <w:trHeight w:val="255"/>
        </w:trPr>
        <w:tc>
          <w:tcPr>
            <w:tcW w:w="3048" w:type="dxa"/>
            <w:tcBorders>
              <w:top w:val="nil"/>
              <w:left w:val="single" w:sz="8" w:space="0" w:color="auto"/>
              <w:bottom w:val="single" w:sz="8" w:space="0" w:color="auto"/>
              <w:right w:val="single" w:sz="8" w:space="0" w:color="auto"/>
            </w:tcBorders>
            <w:shd w:val="solid" w:color="000000" w:fill="auto"/>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sidRPr="00352400">
              <w:rPr>
                <w:rFonts w:ascii="Times New Roman" w:hAnsi="Times New Roman"/>
                <w:b/>
                <w:color w:val="FFFFFF"/>
                <w:szCs w:val="24"/>
              </w:rPr>
              <w:t>Dopad na príjmy verejnej správy celkom</w:t>
            </w:r>
          </w:p>
        </w:tc>
        <w:tc>
          <w:tcPr>
            <w:tcW w:w="1135"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b/>
                <w:color w:val="FFFFFF"/>
                <w:szCs w:val="24"/>
              </w:rPr>
              <w:t>5 168 267</w:t>
            </w:r>
          </w:p>
        </w:tc>
        <w:tc>
          <w:tcPr>
            <w:tcW w:w="1277"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FFFFFF"/>
                <w:szCs w:val="24"/>
              </w:rPr>
              <w:t> </w:t>
            </w:r>
            <w:r>
              <w:rPr>
                <w:rFonts w:ascii="Times New Roman" w:hAnsi="Times New Roman"/>
                <w:b/>
                <w:color w:val="FFFFFF"/>
                <w:szCs w:val="24"/>
              </w:rPr>
              <w:t>4 959 142</w:t>
            </w:r>
          </w:p>
        </w:tc>
        <w:tc>
          <w:tcPr>
            <w:tcW w:w="1277"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b/>
                <w:color w:val="FFFFFF"/>
                <w:szCs w:val="24"/>
              </w:rPr>
              <w:t>4 708 438</w:t>
            </w:r>
          </w:p>
        </w:tc>
        <w:tc>
          <w:tcPr>
            <w:tcW w:w="1418"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b/>
                <w:color w:val="FFFFFF"/>
                <w:szCs w:val="24"/>
              </w:rPr>
              <w:t>4 721 764</w:t>
            </w:r>
          </w:p>
        </w:tc>
        <w:tc>
          <w:tcPr>
            <w:tcW w:w="1345"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w:t>
            </w:r>
          </w:p>
        </w:tc>
      </w:tr>
    </w:tbl>
    <w:p w:rsidR="00A44EF6" w:rsidRPr="00352400" w:rsidP="00A44EF6">
      <w:pPr>
        <w:bidi w:val="0"/>
        <w:spacing w:after="0"/>
        <w:rPr>
          <w:rFonts w:ascii="Times New Roman" w:hAnsi="Times New Roman"/>
          <w:color w:val="000000"/>
          <w:szCs w:val="24"/>
        </w:rPr>
      </w:pPr>
      <w:r w:rsidRPr="00352400">
        <w:rPr>
          <w:rFonts w:ascii="Times New Roman" w:hAnsi="Times New Roman"/>
          <w:color w:val="000000"/>
          <w:szCs w:val="24"/>
        </w:rPr>
        <w:t>1 –  príjmy rozpísať až do položiek platnej ekonomickej klasifikácie</w:t>
      </w:r>
    </w:p>
    <w:p w:rsidR="00A44EF6" w:rsidRPr="00352400" w:rsidP="00A44EF6">
      <w:pPr>
        <w:bidi w:val="0"/>
        <w:spacing w:after="0"/>
        <w:rPr>
          <w:rFonts w:ascii="Times New Roman" w:hAnsi="Times New Roman"/>
          <w:color w:val="000000"/>
          <w:szCs w:val="24"/>
        </w:rPr>
      </w:pPr>
      <w:r w:rsidRPr="00352400">
        <w:rPr>
          <w:rFonts w:ascii="Times New Roman" w:hAnsi="Times New Roman"/>
          <w:color w:val="000000"/>
          <w:szCs w:val="24"/>
        </w:rPr>
        <w:t> </w:t>
      </w:r>
    </w:p>
    <w:p w:rsidR="00A44EF6" w:rsidRPr="00352400" w:rsidP="00A44EF6">
      <w:pPr>
        <w:bidi w:val="0"/>
        <w:spacing w:after="0"/>
        <w:ind w:right="-2"/>
        <w:jc w:val="right"/>
        <w:rPr>
          <w:rFonts w:ascii="Times New Roman" w:hAnsi="Times New Roman"/>
          <w:color w:val="000000"/>
          <w:szCs w:val="24"/>
        </w:rPr>
      </w:pPr>
      <w:r w:rsidRPr="00352400">
        <w:rPr>
          <w:rFonts w:ascii="Times New Roman" w:hAnsi="Times New Roman"/>
          <w:color w:val="000000"/>
          <w:szCs w:val="24"/>
        </w:rPr>
        <w:t>Tabuľka č. 5</w:t>
      </w:r>
    </w:p>
    <w:tbl>
      <w:tblPr>
        <w:tblStyle w:val="TableNormal"/>
        <w:tblW w:w="5000" w:type="pct"/>
        <w:tblLayout w:type="fixed"/>
        <w:tblCellMar>
          <w:left w:w="0" w:type="dxa"/>
          <w:right w:w="0" w:type="dxa"/>
        </w:tblCellMar>
      </w:tblPr>
      <w:tblGrid>
        <w:gridCol w:w="3341"/>
        <w:gridCol w:w="1234"/>
        <w:gridCol w:w="1232"/>
        <w:gridCol w:w="1096"/>
        <w:gridCol w:w="1232"/>
        <w:gridCol w:w="1031"/>
      </w:tblGrid>
      <w:tr>
        <w:tblPrEx>
          <w:tblW w:w="5000" w:type="pct"/>
          <w:tblLayout w:type="fixed"/>
          <w:tblCellMar>
            <w:left w:w="0" w:type="dxa"/>
            <w:right w:w="0" w:type="dxa"/>
          </w:tblCellMar>
        </w:tblPrEx>
        <w:trPr>
          <w:trHeight w:val="255"/>
        </w:trPr>
        <w:tc>
          <w:tcPr>
            <w:tcW w:w="3470" w:type="dxa"/>
            <w:vMerge w:val="restart"/>
            <w:tcBorders>
              <w:top w:val="single" w:sz="8" w:space="0" w:color="auto"/>
              <w:left w:val="single" w:sz="8" w:space="0" w:color="auto"/>
              <w:bottom w:val="single" w:sz="8" w:space="0" w:color="000000"/>
              <w:right w:val="single" w:sz="8" w:space="0" w:color="auto"/>
            </w:tcBorders>
            <w:shd w:val="solid" w:color="000000" w:fill="auto"/>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r w:rsidRPr="00352400">
              <w:rPr>
                <w:rFonts w:ascii="Times New Roman" w:hAnsi="Times New Roman"/>
                <w:b/>
                <w:color w:val="FFFFFF"/>
                <w:szCs w:val="24"/>
              </w:rPr>
              <w:t>Výdavky (v eurách)</w:t>
            </w:r>
          </w:p>
        </w:tc>
        <w:tc>
          <w:tcPr>
            <w:tcW w:w="4964" w:type="dxa"/>
            <w:gridSpan w:val="4"/>
            <w:tcBorders>
              <w:top w:val="single" w:sz="8" w:space="0" w:color="auto"/>
              <w:left w:val="nil"/>
              <w:bottom w:val="single" w:sz="8" w:space="0" w:color="auto"/>
              <w:right w:val="single" w:sz="8" w:space="0" w:color="auto"/>
            </w:tcBorders>
            <w:shd w:val="solid" w:color="000000" w:fill="auto"/>
            <w:tcMar>
              <w:top w:w="0" w:type="dxa"/>
              <w:left w:w="70" w:type="dxa"/>
              <w:bottom w:w="0" w:type="dxa"/>
              <w:right w:w="70" w:type="dxa"/>
            </w:tcMar>
            <w:textDirection w:val="lrTb"/>
            <w:vAlign w:val="top"/>
          </w:tcPr>
          <w:p w:rsidR="00A44EF6" w:rsidRPr="00352400" w:rsidP="009016CC">
            <w:pPr>
              <w:bidi w:val="0"/>
              <w:spacing w:after="0"/>
              <w:jc w:val="center"/>
              <w:rPr>
                <w:rFonts w:ascii="Times New Roman" w:hAnsi="Times New Roman"/>
                <w:color w:val="000000"/>
                <w:szCs w:val="24"/>
              </w:rPr>
            </w:pPr>
            <w:r w:rsidRPr="00352400">
              <w:rPr>
                <w:rFonts w:ascii="Times New Roman" w:hAnsi="Times New Roman"/>
                <w:b/>
                <w:color w:val="FFFFFF"/>
                <w:szCs w:val="24"/>
              </w:rPr>
              <w:t>Vplyv na rozpočet verejnej správy</w:t>
            </w:r>
          </w:p>
        </w:tc>
        <w:tc>
          <w:tcPr>
            <w:tcW w:w="1066" w:type="dxa"/>
            <w:tcBorders>
              <w:top w:val="single" w:sz="8" w:space="0" w:color="auto"/>
              <w:left w:val="nil"/>
              <w:bottom w:val="single" w:sz="8" w:space="0" w:color="auto"/>
              <w:right w:val="single" w:sz="8" w:space="0" w:color="auto"/>
            </w:tcBorders>
            <w:shd w:val="solid" w:color="000000" w:fill="auto"/>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r w:rsidRPr="00352400">
              <w:rPr>
                <w:rFonts w:ascii="Times New Roman" w:hAnsi="Times New Roman"/>
                <w:b/>
                <w:color w:val="FFFFFF"/>
                <w:szCs w:val="24"/>
              </w:rPr>
              <w:t>poznámka</w:t>
            </w:r>
          </w:p>
        </w:tc>
      </w:tr>
      <w:tr>
        <w:tblPrEx>
          <w:tblW w:w="5000" w:type="pct"/>
          <w:tblLayout w:type="fixed"/>
          <w:tblCellMar>
            <w:left w:w="0" w:type="dxa"/>
            <w:right w:w="0" w:type="dxa"/>
          </w:tblCellMar>
        </w:tblPrEx>
        <w:trPr>
          <w:trHeight w:val="255"/>
        </w:trPr>
        <w:tc>
          <w:tcPr>
            <w:tcW w:w="3470" w:type="dxa"/>
            <w:vMerge/>
            <w:tcBorders>
              <w:top w:val="single" w:sz="8" w:space="0" w:color="auto"/>
              <w:left w:val="single" w:sz="8" w:space="0" w:color="auto"/>
              <w:bottom w:val="single" w:sz="8" w:space="0" w:color="000000"/>
              <w:right w:val="single" w:sz="8" w:space="0" w:color="auto"/>
            </w:tcBorders>
            <w:textDirection w:val="lrTb"/>
            <w:vAlign w:val="center"/>
          </w:tcPr>
          <w:p w:rsidR="00A44EF6" w:rsidRPr="00352400" w:rsidP="009016CC">
            <w:pPr>
              <w:bidi w:val="0"/>
              <w:spacing w:after="0"/>
              <w:jc w:val="center"/>
              <w:rPr>
                <w:rFonts w:ascii="Times New Roman" w:hAnsi="Times New Roman"/>
                <w:color w:val="000000"/>
                <w:szCs w:val="24"/>
              </w:rPr>
            </w:pPr>
          </w:p>
        </w:tc>
        <w:tc>
          <w:tcPr>
            <w:tcW w:w="1278"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r>
              <w:rPr>
                <w:rFonts w:ascii="Times New Roman" w:hAnsi="Times New Roman"/>
                <w:b/>
                <w:color w:val="FFFFFF"/>
                <w:szCs w:val="24"/>
              </w:rPr>
              <w:t>2011</w:t>
            </w:r>
          </w:p>
        </w:tc>
        <w:tc>
          <w:tcPr>
            <w:tcW w:w="1276"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r>
              <w:rPr>
                <w:rFonts w:ascii="Times New Roman" w:hAnsi="Times New Roman"/>
                <w:b/>
                <w:color w:val="FFFFFF"/>
                <w:szCs w:val="24"/>
              </w:rPr>
              <w:t>2012</w:t>
            </w:r>
          </w:p>
        </w:tc>
        <w:tc>
          <w:tcPr>
            <w:tcW w:w="1134"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r>
              <w:rPr>
                <w:rFonts w:ascii="Times New Roman" w:hAnsi="Times New Roman"/>
                <w:b/>
                <w:color w:val="FFFFFF"/>
                <w:szCs w:val="24"/>
              </w:rPr>
              <w:t>2013</w:t>
            </w:r>
          </w:p>
        </w:tc>
        <w:tc>
          <w:tcPr>
            <w:tcW w:w="1276"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r>
              <w:rPr>
                <w:rFonts w:ascii="Times New Roman" w:hAnsi="Times New Roman"/>
                <w:b/>
                <w:color w:val="FFFFFF"/>
                <w:szCs w:val="24"/>
              </w:rPr>
              <w:t>2014</w:t>
            </w:r>
          </w:p>
        </w:tc>
        <w:tc>
          <w:tcPr>
            <w:tcW w:w="1066" w:type="dxa"/>
            <w:tcBorders>
              <w:top w:val="single" w:sz="8" w:space="0" w:color="auto"/>
              <w:left w:val="nil"/>
              <w:bottom w:val="single" w:sz="8" w:space="0" w:color="auto"/>
              <w:right w:val="single" w:sz="8" w:space="0" w:color="auto"/>
            </w:tcBorders>
            <w:textDirection w:val="lrTb"/>
            <w:vAlign w:val="center"/>
          </w:tcPr>
          <w:p w:rsidR="00A44EF6" w:rsidRPr="00352400" w:rsidP="009016CC">
            <w:pPr>
              <w:bidi w:val="0"/>
              <w:spacing w:after="0"/>
              <w:jc w:val="center"/>
              <w:rPr>
                <w:rFonts w:ascii="Times New Roman" w:hAnsi="Times New Roman"/>
                <w:color w:val="000000"/>
                <w:szCs w:val="24"/>
              </w:rPr>
            </w:pPr>
          </w:p>
        </w:tc>
      </w:tr>
      <w:tr>
        <w:tblPrEx>
          <w:tblW w:w="5000" w:type="pct"/>
          <w:tblLayout w:type="fixed"/>
          <w:tblCellMar>
            <w:left w:w="0" w:type="dxa"/>
            <w:right w:w="0" w:type="dxa"/>
          </w:tblCellMar>
        </w:tblPrEx>
        <w:trPr>
          <w:trHeight w:val="255"/>
        </w:trPr>
        <w:tc>
          <w:tcPr>
            <w:tcW w:w="347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sidRPr="00352400">
              <w:rPr>
                <w:rFonts w:ascii="Times New Roman" w:hAnsi="Times New Roman"/>
                <w:b/>
                <w:color w:val="000000"/>
                <w:szCs w:val="24"/>
              </w:rPr>
              <w:t>Bežné výdavky (600)</w:t>
            </w:r>
          </w:p>
        </w:tc>
        <w:tc>
          <w:tcPr>
            <w:tcW w:w="127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5 108</w:t>
            </w:r>
            <w:r w:rsidRPr="000C4039">
              <w:rPr>
                <w:rFonts w:ascii="Times New Roman" w:hAnsi="Times New Roman"/>
                <w:color w:val="000000"/>
                <w:szCs w:val="24"/>
              </w:rPr>
              <w:t xml:space="preserve"> 801</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4 995 901</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sidRPr="000C4039">
              <w:rPr>
                <w:rFonts w:ascii="Times New Roman" w:hAnsi="Times New Roman"/>
                <w:color w:val="000000"/>
                <w:szCs w:val="24"/>
              </w:rPr>
              <w:t>4</w:t>
            </w:r>
            <w:r>
              <w:rPr>
                <w:rFonts w:ascii="Times New Roman" w:hAnsi="Times New Roman"/>
                <w:color w:val="000000"/>
                <w:szCs w:val="24"/>
              </w:rPr>
              <w:t> 995 901</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sidRPr="000C4039">
              <w:rPr>
                <w:rFonts w:ascii="Times New Roman" w:hAnsi="Times New Roman"/>
                <w:color w:val="000000"/>
                <w:szCs w:val="24"/>
              </w:rPr>
              <w:t>4</w:t>
            </w:r>
            <w:r>
              <w:rPr>
                <w:rFonts w:ascii="Times New Roman" w:hAnsi="Times New Roman"/>
                <w:color w:val="000000"/>
                <w:szCs w:val="24"/>
              </w:rPr>
              <w:t> 995 901</w:t>
            </w:r>
          </w:p>
        </w:tc>
        <w:tc>
          <w:tcPr>
            <w:tcW w:w="1066"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w:t>
            </w:r>
          </w:p>
        </w:tc>
      </w:tr>
      <w:tr>
        <w:tblPrEx>
          <w:tblW w:w="5000" w:type="pct"/>
          <w:tblLayout w:type="fixed"/>
          <w:tblCellMar>
            <w:left w:w="0" w:type="dxa"/>
            <w:right w:w="0" w:type="dxa"/>
          </w:tblCellMar>
        </w:tblPrEx>
        <w:trPr>
          <w:trHeight w:val="255"/>
        </w:trPr>
        <w:tc>
          <w:tcPr>
            <w:tcW w:w="347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Mzdy, platy, služobné príjmy a ostatné osobné vyrovnania (610)</w:t>
            </w:r>
          </w:p>
        </w:tc>
        <w:tc>
          <w:tcPr>
            <w:tcW w:w="127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1 508 160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C46CAF" w:rsidP="009016CC">
            <w:pPr>
              <w:bidi w:val="0"/>
              <w:spacing w:after="0"/>
              <w:jc w:val="right"/>
              <w:rPr>
                <w:rFonts w:ascii="Times New Roman" w:hAnsi="Times New Roman"/>
                <w:color w:val="000000"/>
                <w:szCs w:val="24"/>
              </w:rPr>
            </w:pPr>
            <w:r w:rsidRPr="00C46CAF">
              <w:rPr>
                <w:rFonts w:ascii="Times New Roman" w:hAnsi="Times New Roman"/>
                <w:color w:val="000000"/>
                <w:szCs w:val="24"/>
              </w:rPr>
              <w:t>1 508 617</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C46CAF" w:rsidP="009016CC">
            <w:pPr>
              <w:bidi w:val="0"/>
              <w:spacing w:after="0"/>
              <w:jc w:val="right"/>
              <w:rPr>
                <w:rFonts w:ascii="Times New Roman" w:hAnsi="Times New Roman"/>
                <w:color w:val="000000"/>
                <w:szCs w:val="24"/>
              </w:rPr>
            </w:pPr>
            <w:r w:rsidRPr="00C46CAF">
              <w:rPr>
                <w:rFonts w:ascii="Times New Roman" w:hAnsi="Times New Roman"/>
                <w:color w:val="000000"/>
                <w:szCs w:val="24"/>
              </w:rPr>
              <w:t>1 508 617</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C46CAF" w:rsidP="009016CC">
            <w:pPr>
              <w:bidi w:val="0"/>
              <w:spacing w:after="0"/>
              <w:ind w:left="68" w:right="-207" w:hanging="68"/>
              <w:rPr>
                <w:rFonts w:ascii="Times New Roman" w:hAnsi="Times New Roman"/>
                <w:color w:val="000000"/>
                <w:szCs w:val="24"/>
              </w:rPr>
            </w:pPr>
            <w:r w:rsidRPr="00C46CAF">
              <w:rPr>
                <w:rFonts w:ascii="Times New Roman" w:hAnsi="Times New Roman"/>
                <w:color w:val="000000"/>
                <w:szCs w:val="24"/>
              </w:rPr>
              <w:t xml:space="preserve"> 1 508 617</w:t>
            </w:r>
          </w:p>
        </w:tc>
        <w:tc>
          <w:tcPr>
            <w:tcW w:w="1066"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w:t>
            </w:r>
          </w:p>
        </w:tc>
      </w:tr>
      <w:tr>
        <w:tblPrEx>
          <w:tblW w:w="5000" w:type="pct"/>
          <w:tblLayout w:type="fixed"/>
          <w:tblCellMar>
            <w:left w:w="0" w:type="dxa"/>
            <w:right w:w="0" w:type="dxa"/>
          </w:tblCellMar>
        </w:tblPrEx>
        <w:trPr>
          <w:trHeight w:val="255"/>
        </w:trPr>
        <w:tc>
          <w:tcPr>
            <w:tcW w:w="347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Poistné a príspevok do poisťovní (620)</w:t>
            </w:r>
          </w:p>
        </w:tc>
        <w:tc>
          <w:tcPr>
            <w:tcW w:w="127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566 760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C46CAF" w:rsidP="009016CC">
            <w:pPr>
              <w:bidi w:val="0"/>
              <w:spacing w:after="0"/>
              <w:jc w:val="right"/>
              <w:rPr>
                <w:rFonts w:ascii="Times New Roman" w:hAnsi="Times New Roman"/>
                <w:color w:val="000000"/>
                <w:szCs w:val="24"/>
              </w:rPr>
            </w:pPr>
            <w:r w:rsidRPr="00C46CAF">
              <w:rPr>
                <w:rFonts w:ascii="Times New Roman" w:hAnsi="Times New Roman"/>
                <w:color w:val="000000"/>
                <w:szCs w:val="24"/>
              </w:rPr>
              <w:t>566 934</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C46CAF" w:rsidP="009016CC">
            <w:pPr>
              <w:bidi w:val="0"/>
              <w:spacing w:after="0"/>
              <w:jc w:val="right"/>
              <w:rPr>
                <w:rFonts w:ascii="Times New Roman" w:hAnsi="Times New Roman"/>
                <w:color w:val="000000"/>
                <w:szCs w:val="24"/>
              </w:rPr>
            </w:pPr>
            <w:r w:rsidRPr="00C46CAF">
              <w:rPr>
                <w:rFonts w:ascii="Times New Roman" w:hAnsi="Times New Roman"/>
                <w:color w:val="000000"/>
                <w:szCs w:val="24"/>
              </w:rPr>
              <w:t>566 934</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C46CAF" w:rsidP="009016CC">
            <w:pPr>
              <w:bidi w:val="0"/>
              <w:spacing w:after="0"/>
              <w:jc w:val="right"/>
              <w:rPr>
                <w:rFonts w:ascii="Times New Roman" w:hAnsi="Times New Roman"/>
                <w:color w:val="000000"/>
                <w:szCs w:val="24"/>
              </w:rPr>
            </w:pPr>
            <w:r w:rsidRPr="00C46CAF">
              <w:rPr>
                <w:rFonts w:ascii="Times New Roman" w:hAnsi="Times New Roman"/>
                <w:color w:val="000000"/>
                <w:szCs w:val="24"/>
              </w:rPr>
              <w:t>566 934</w:t>
            </w:r>
          </w:p>
        </w:tc>
        <w:tc>
          <w:tcPr>
            <w:tcW w:w="1066"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w:t>
            </w:r>
          </w:p>
        </w:tc>
      </w:tr>
      <w:tr>
        <w:tblPrEx>
          <w:tblW w:w="5000" w:type="pct"/>
          <w:tblLayout w:type="fixed"/>
          <w:tblCellMar>
            <w:left w:w="0" w:type="dxa"/>
            <w:right w:w="0" w:type="dxa"/>
          </w:tblCellMar>
        </w:tblPrEx>
        <w:trPr>
          <w:trHeight w:val="280"/>
        </w:trPr>
        <w:tc>
          <w:tcPr>
            <w:tcW w:w="347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Tovary a služby (630)</w:t>
            </w:r>
            <w:r w:rsidRPr="00352400">
              <w:rPr>
                <w:rFonts w:ascii="Times New Roman" w:hAnsi="Times New Roman"/>
                <w:color w:val="000000"/>
                <w:szCs w:val="24"/>
                <w:vertAlign w:val="superscript"/>
              </w:rPr>
              <w:t>2</w:t>
            </w:r>
          </w:p>
        </w:tc>
        <w:tc>
          <w:tcPr>
            <w:tcW w:w="127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2 348 625</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2 312 944</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2 307 544</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2 308 544</w:t>
            </w:r>
          </w:p>
        </w:tc>
        <w:tc>
          <w:tcPr>
            <w:tcW w:w="1066"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w:t>
            </w:r>
          </w:p>
        </w:tc>
      </w:tr>
      <w:tr>
        <w:tblPrEx>
          <w:tblW w:w="5000" w:type="pct"/>
          <w:tblLayout w:type="fixed"/>
          <w:tblCellMar>
            <w:left w:w="0" w:type="dxa"/>
            <w:right w:w="0" w:type="dxa"/>
          </w:tblCellMar>
        </w:tblPrEx>
        <w:trPr>
          <w:trHeight w:val="255"/>
        </w:trPr>
        <w:tc>
          <w:tcPr>
            <w:tcW w:w="347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Pr>
                <w:rFonts w:ascii="Times New Roman" w:hAnsi="Times New Roman"/>
                <w:color w:val="000000"/>
                <w:szCs w:val="24"/>
              </w:rPr>
              <w:t xml:space="preserve">   Cestovné  náhrady (631)</w:t>
            </w:r>
          </w:p>
        </w:tc>
        <w:tc>
          <w:tcPr>
            <w:tcW w:w="127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118 000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117 500</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117 404</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117 500</w:t>
            </w:r>
          </w:p>
        </w:tc>
        <w:tc>
          <w:tcPr>
            <w:tcW w:w="1066"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p>
        </w:tc>
      </w:tr>
      <w:tr>
        <w:tblPrEx>
          <w:tblW w:w="5000" w:type="pct"/>
          <w:tblLayout w:type="fixed"/>
          <w:tblCellMar>
            <w:left w:w="0" w:type="dxa"/>
            <w:right w:w="0" w:type="dxa"/>
          </w:tblCellMar>
        </w:tblPrEx>
        <w:trPr>
          <w:trHeight w:val="255"/>
        </w:trPr>
        <w:tc>
          <w:tcPr>
            <w:tcW w:w="347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Pr>
                <w:rFonts w:ascii="Times New Roman" w:hAnsi="Times New Roman"/>
                <w:color w:val="000000"/>
                <w:szCs w:val="24"/>
              </w:rPr>
              <w:t xml:space="preserve">   Energie, komunikácie (632)</w:t>
            </w:r>
          </w:p>
        </w:tc>
        <w:tc>
          <w:tcPr>
            <w:tcW w:w="127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78 600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75 500</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83 450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84 450</w:t>
            </w:r>
          </w:p>
        </w:tc>
        <w:tc>
          <w:tcPr>
            <w:tcW w:w="1066"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p>
        </w:tc>
      </w:tr>
      <w:tr>
        <w:tblPrEx>
          <w:tblW w:w="5000" w:type="pct"/>
          <w:tblLayout w:type="fixed"/>
          <w:tblCellMar>
            <w:left w:w="0" w:type="dxa"/>
            <w:right w:w="0" w:type="dxa"/>
          </w:tblCellMar>
        </w:tblPrEx>
        <w:trPr>
          <w:trHeight w:val="255"/>
        </w:trPr>
        <w:tc>
          <w:tcPr>
            <w:tcW w:w="347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Pr>
                <w:rFonts w:ascii="Times New Roman" w:hAnsi="Times New Roman"/>
                <w:color w:val="000000"/>
                <w:szCs w:val="24"/>
              </w:rPr>
              <w:t xml:space="preserve">   Materiál (633)</w:t>
            </w:r>
          </w:p>
        </w:tc>
        <w:tc>
          <w:tcPr>
            <w:tcW w:w="127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143 800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118 900</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120 350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120 050</w:t>
            </w:r>
          </w:p>
        </w:tc>
        <w:tc>
          <w:tcPr>
            <w:tcW w:w="1066"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p>
        </w:tc>
      </w:tr>
      <w:tr>
        <w:tblPrEx>
          <w:tblW w:w="5000" w:type="pct"/>
          <w:tblLayout w:type="fixed"/>
          <w:tblCellMar>
            <w:left w:w="0" w:type="dxa"/>
            <w:right w:w="0" w:type="dxa"/>
          </w:tblCellMar>
        </w:tblPrEx>
        <w:trPr>
          <w:trHeight w:val="255"/>
        </w:trPr>
        <w:tc>
          <w:tcPr>
            <w:tcW w:w="347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Pr>
                <w:rFonts w:ascii="Times New Roman" w:hAnsi="Times New Roman"/>
                <w:color w:val="000000"/>
                <w:szCs w:val="24"/>
              </w:rPr>
              <w:t xml:space="preserve">   Dopravné (634)</w:t>
            </w:r>
          </w:p>
        </w:tc>
        <w:tc>
          <w:tcPr>
            <w:tcW w:w="127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33 100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31 600</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38 600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38 100</w:t>
            </w:r>
          </w:p>
        </w:tc>
        <w:tc>
          <w:tcPr>
            <w:tcW w:w="1066"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p>
        </w:tc>
      </w:tr>
      <w:tr>
        <w:tblPrEx>
          <w:tblW w:w="5000" w:type="pct"/>
          <w:tblLayout w:type="fixed"/>
          <w:tblCellMar>
            <w:left w:w="0" w:type="dxa"/>
            <w:right w:w="0" w:type="dxa"/>
          </w:tblCellMar>
        </w:tblPrEx>
        <w:trPr>
          <w:trHeight w:val="255"/>
        </w:trPr>
        <w:tc>
          <w:tcPr>
            <w:tcW w:w="347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Pr>
                <w:rFonts w:ascii="Times New Roman" w:hAnsi="Times New Roman"/>
                <w:color w:val="000000"/>
                <w:szCs w:val="24"/>
              </w:rPr>
              <w:t xml:space="preserve">   Rutinná  a štand.  údržba (635)</w:t>
            </w:r>
          </w:p>
        </w:tc>
        <w:tc>
          <w:tcPr>
            <w:tcW w:w="127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146 450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174 144</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164 440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158 144</w:t>
            </w:r>
          </w:p>
        </w:tc>
        <w:tc>
          <w:tcPr>
            <w:tcW w:w="1066"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p>
        </w:tc>
      </w:tr>
      <w:tr>
        <w:tblPrEx>
          <w:tblW w:w="5000" w:type="pct"/>
          <w:tblLayout w:type="fixed"/>
          <w:tblCellMar>
            <w:left w:w="0" w:type="dxa"/>
            <w:right w:w="0" w:type="dxa"/>
          </w:tblCellMar>
        </w:tblPrEx>
        <w:trPr>
          <w:trHeight w:val="255"/>
        </w:trPr>
        <w:tc>
          <w:tcPr>
            <w:tcW w:w="347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Pr>
                <w:rFonts w:ascii="Times New Roman" w:hAnsi="Times New Roman"/>
                <w:color w:val="000000"/>
                <w:szCs w:val="24"/>
              </w:rPr>
              <w:t xml:space="preserve">   Nájomné  za  nájom (636)</w:t>
            </w:r>
          </w:p>
        </w:tc>
        <w:tc>
          <w:tcPr>
            <w:tcW w:w="1278" w:type="dxa"/>
            <w:tcBorders>
              <w:top w:val="single" w:sz="8" w:space="0" w:color="auto"/>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38 934</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37 000</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44 000</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45 000</w:t>
            </w:r>
          </w:p>
        </w:tc>
        <w:tc>
          <w:tcPr>
            <w:tcW w:w="1066" w:type="dxa"/>
            <w:tcBorders>
              <w:top w:val="single" w:sz="8" w:space="0" w:color="auto"/>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p>
        </w:tc>
      </w:tr>
      <w:tr>
        <w:tblPrEx>
          <w:tblW w:w="5000" w:type="pct"/>
          <w:tblLayout w:type="fixed"/>
          <w:tblCellMar>
            <w:left w:w="0" w:type="dxa"/>
            <w:right w:w="0" w:type="dxa"/>
          </w:tblCellMar>
        </w:tblPrEx>
        <w:trPr>
          <w:trHeight w:val="255"/>
        </w:trPr>
        <w:tc>
          <w:tcPr>
            <w:tcW w:w="347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Pr>
                <w:rFonts w:ascii="Times New Roman" w:hAnsi="Times New Roman"/>
                <w:color w:val="000000"/>
                <w:szCs w:val="24"/>
              </w:rPr>
              <w:t xml:space="preserve">   Služby (637)</w:t>
            </w:r>
          </w:p>
        </w:tc>
        <w:tc>
          <w:tcPr>
            <w:tcW w:w="1278" w:type="dxa"/>
            <w:tcBorders>
              <w:top w:val="single" w:sz="8" w:space="0" w:color="auto"/>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 xml:space="preserve">1 389 741 </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1 195 300</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1 191 300</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1 192 300</w:t>
            </w:r>
          </w:p>
        </w:tc>
        <w:tc>
          <w:tcPr>
            <w:tcW w:w="1066" w:type="dxa"/>
            <w:tcBorders>
              <w:top w:val="single" w:sz="8" w:space="0" w:color="auto"/>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p>
        </w:tc>
      </w:tr>
      <w:tr>
        <w:tblPrEx>
          <w:tblW w:w="5000" w:type="pct"/>
          <w:tblLayout w:type="fixed"/>
          <w:tblCellMar>
            <w:left w:w="0" w:type="dxa"/>
            <w:right w:w="0" w:type="dxa"/>
          </w:tblCellMar>
        </w:tblPrEx>
        <w:trPr>
          <w:trHeight w:val="255"/>
        </w:trPr>
        <w:tc>
          <w:tcPr>
            <w:tcW w:w="347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Bežné transfery (640)</w:t>
            </w:r>
            <w:r w:rsidRPr="00352400">
              <w:rPr>
                <w:rFonts w:ascii="Times New Roman" w:hAnsi="Times New Roman"/>
                <w:color w:val="000000"/>
                <w:szCs w:val="24"/>
                <w:vertAlign w:val="superscript"/>
              </w:rPr>
              <w:t>2</w:t>
            </w:r>
          </w:p>
        </w:tc>
        <w:tc>
          <w:tcPr>
            <w:tcW w:w="127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685 256</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607 406</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612 806</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611 806</w:t>
            </w:r>
          </w:p>
        </w:tc>
        <w:tc>
          <w:tcPr>
            <w:tcW w:w="1066"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w:t>
            </w:r>
          </w:p>
        </w:tc>
      </w:tr>
      <w:tr>
        <w:tblPrEx>
          <w:tblW w:w="5000" w:type="pct"/>
          <w:tblLayout w:type="fixed"/>
          <w:tblCellMar>
            <w:left w:w="0" w:type="dxa"/>
            <w:right w:w="0" w:type="dxa"/>
          </w:tblCellMar>
        </w:tblPrEx>
        <w:trPr>
          <w:trHeight w:val="255"/>
        </w:trPr>
        <w:tc>
          <w:tcPr>
            <w:tcW w:w="347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rPr>
                <w:rFonts w:ascii="Times New Roman" w:hAnsi="Times New Roman"/>
                <w:color w:val="000000"/>
                <w:szCs w:val="24"/>
              </w:rPr>
            </w:pPr>
            <w:r>
              <w:rPr>
                <w:rFonts w:ascii="Times New Roman" w:hAnsi="Times New Roman"/>
                <w:color w:val="000000"/>
                <w:szCs w:val="24"/>
              </w:rPr>
              <w:t xml:space="preserve">   Transfery jednotlivcom,  (642)</w:t>
            </w:r>
          </w:p>
        </w:tc>
        <w:tc>
          <w:tcPr>
            <w:tcW w:w="127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25 330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19 660</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22 660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21660</w:t>
            </w:r>
          </w:p>
        </w:tc>
        <w:tc>
          <w:tcPr>
            <w:tcW w:w="1066"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p>
        </w:tc>
      </w:tr>
      <w:tr>
        <w:tblPrEx>
          <w:tblW w:w="5000" w:type="pct"/>
          <w:tblLayout w:type="fixed"/>
          <w:tblCellMar>
            <w:left w:w="0" w:type="dxa"/>
            <w:right w:w="0" w:type="dxa"/>
          </w:tblCellMar>
        </w:tblPrEx>
        <w:trPr>
          <w:trHeight w:val="255"/>
        </w:trPr>
        <w:tc>
          <w:tcPr>
            <w:tcW w:w="347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rPr>
                <w:rFonts w:ascii="Times New Roman" w:hAnsi="Times New Roman"/>
                <w:color w:val="000000"/>
                <w:szCs w:val="24"/>
              </w:rPr>
            </w:pPr>
            <w:r>
              <w:rPr>
                <w:rFonts w:ascii="Times New Roman" w:hAnsi="Times New Roman"/>
                <w:color w:val="000000"/>
                <w:szCs w:val="24"/>
              </w:rPr>
              <w:t xml:space="preserve">   Transfery do zahraničia (649)</w:t>
            </w:r>
          </w:p>
        </w:tc>
        <w:tc>
          <w:tcPr>
            <w:tcW w:w="127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659 926</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587 746</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590 146</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Pr>
                <w:rFonts w:ascii="Times New Roman" w:hAnsi="Times New Roman"/>
                <w:color w:val="000000"/>
                <w:szCs w:val="24"/>
              </w:rPr>
              <w:t>590 146</w:t>
            </w:r>
          </w:p>
        </w:tc>
        <w:tc>
          <w:tcPr>
            <w:tcW w:w="1066"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p>
        </w:tc>
      </w:tr>
      <w:tr>
        <w:tblPrEx>
          <w:tblW w:w="5000" w:type="pct"/>
          <w:tblLayout w:type="fixed"/>
          <w:tblCellMar>
            <w:left w:w="0" w:type="dxa"/>
            <w:right w:w="0" w:type="dxa"/>
          </w:tblCellMar>
        </w:tblPrEx>
        <w:trPr>
          <w:trHeight w:val="255"/>
        </w:trPr>
        <w:tc>
          <w:tcPr>
            <w:tcW w:w="347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center"/>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Splácanie úrokov a ostatné platby súvisiace s úvermi, pôžičkami a NFV (650)</w:t>
            </w:r>
            <w:r w:rsidRPr="00352400">
              <w:rPr>
                <w:rFonts w:ascii="Times New Roman" w:hAnsi="Times New Roman"/>
                <w:color w:val="000000"/>
                <w:szCs w:val="24"/>
                <w:vertAlign w:val="superscript"/>
              </w:rPr>
              <w:t>2</w:t>
            </w:r>
          </w:p>
        </w:tc>
        <w:tc>
          <w:tcPr>
            <w:tcW w:w="127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sidRPr="000C4039">
              <w:rPr>
                <w:rFonts w:ascii="Times New Roman" w:hAnsi="Times New Roman"/>
                <w:color w:val="000000"/>
                <w:szCs w:val="24"/>
              </w:rPr>
              <w:t>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sidRPr="000C4039">
              <w:rPr>
                <w:rFonts w:ascii="Times New Roman" w:hAnsi="Times New Roman"/>
                <w:color w:val="000000"/>
                <w:szCs w:val="24"/>
              </w:rPr>
              <w:t>0</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sidRPr="000C4039">
              <w:rPr>
                <w:rFonts w:ascii="Times New Roman" w:hAnsi="Times New Roman"/>
                <w:color w:val="000000"/>
                <w:szCs w:val="24"/>
              </w:rPr>
              <w:t>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C4039" w:rsidP="009016CC">
            <w:pPr>
              <w:bidi w:val="0"/>
              <w:spacing w:after="0"/>
              <w:jc w:val="right"/>
              <w:rPr>
                <w:rFonts w:ascii="Times New Roman" w:hAnsi="Times New Roman"/>
                <w:color w:val="000000"/>
                <w:szCs w:val="24"/>
              </w:rPr>
            </w:pPr>
            <w:r w:rsidRPr="000C4039">
              <w:rPr>
                <w:rFonts w:ascii="Times New Roman" w:hAnsi="Times New Roman"/>
                <w:color w:val="000000"/>
                <w:szCs w:val="24"/>
              </w:rPr>
              <w:t>0</w:t>
            </w:r>
          </w:p>
        </w:tc>
        <w:tc>
          <w:tcPr>
            <w:tcW w:w="1066"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w:t>
            </w:r>
          </w:p>
        </w:tc>
      </w:tr>
      <w:tr>
        <w:tblPrEx>
          <w:tblW w:w="5000" w:type="pct"/>
          <w:tblLayout w:type="fixed"/>
          <w:tblCellMar>
            <w:left w:w="0" w:type="dxa"/>
            <w:right w:w="0" w:type="dxa"/>
          </w:tblCellMar>
        </w:tblPrEx>
        <w:trPr>
          <w:trHeight w:val="255"/>
        </w:trPr>
        <w:tc>
          <w:tcPr>
            <w:tcW w:w="347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sidRPr="00352400">
              <w:rPr>
                <w:rFonts w:ascii="Times New Roman" w:hAnsi="Times New Roman"/>
                <w:b/>
                <w:color w:val="000000"/>
                <w:szCs w:val="24"/>
              </w:rPr>
              <w:t>Kapitálové výdavky (700)</w:t>
            </w:r>
          </w:p>
        </w:tc>
        <w:tc>
          <w:tcPr>
            <w:tcW w:w="127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8225C1" w:rsidP="009016CC">
            <w:pPr>
              <w:bidi w:val="0"/>
              <w:spacing w:after="0"/>
              <w:jc w:val="right"/>
              <w:rPr>
                <w:rFonts w:ascii="Times New Roman" w:hAnsi="Times New Roman"/>
                <w:b/>
                <w:color w:val="000000"/>
                <w:szCs w:val="24"/>
              </w:rPr>
            </w:pPr>
            <w:r w:rsidRPr="008225C1">
              <w:rPr>
                <w:rFonts w:ascii="Times New Roman" w:hAnsi="Times New Roman"/>
                <w:b/>
                <w:color w:val="000000"/>
                <w:szCs w:val="24"/>
              </w:rPr>
              <w:t xml:space="preserve">  </w:t>
            </w:r>
            <w:r>
              <w:rPr>
                <w:rFonts w:ascii="Times New Roman" w:hAnsi="Times New Roman"/>
                <w:b/>
                <w:color w:val="000000"/>
                <w:szCs w:val="24"/>
              </w:rPr>
              <w:t xml:space="preserve">  </w:t>
            </w:r>
            <w:r w:rsidRPr="008225C1">
              <w:rPr>
                <w:rFonts w:ascii="Times New Roman" w:hAnsi="Times New Roman"/>
                <w:b/>
                <w:color w:val="000000"/>
                <w:szCs w:val="24"/>
              </w:rPr>
              <w:t>58 800 </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5046C" w:rsidP="009016CC">
            <w:pPr>
              <w:bidi w:val="0"/>
              <w:spacing w:after="0"/>
              <w:jc w:val="right"/>
              <w:rPr>
                <w:rFonts w:ascii="Times New Roman" w:hAnsi="Times New Roman"/>
                <w:b/>
                <w:color w:val="000000"/>
                <w:szCs w:val="24"/>
              </w:rPr>
            </w:pPr>
            <w:r w:rsidRPr="0005046C">
              <w:rPr>
                <w:rFonts w:ascii="Times New Roman" w:hAnsi="Times New Roman"/>
                <w:b/>
                <w:color w:val="000000"/>
                <w:szCs w:val="24"/>
              </w:rPr>
              <w:t>54 900 </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5046C" w:rsidP="009016CC">
            <w:pPr>
              <w:bidi w:val="0"/>
              <w:spacing w:after="0"/>
              <w:jc w:val="right"/>
              <w:rPr>
                <w:rFonts w:ascii="Times New Roman" w:hAnsi="Times New Roman"/>
                <w:b/>
                <w:color w:val="000000"/>
                <w:szCs w:val="24"/>
              </w:rPr>
            </w:pPr>
            <w:r w:rsidRPr="0005046C">
              <w:rPr>
                <w:rFonts w:ascii="Times New Roman" w:hAnsi="Times New Roman"/>
                <w:b/>
                <w:color w:val="000000"/>
                <w:szCs w:val="24"/>
              </w:rPr>
              <w:t>54 900 </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5046C" w:rsidP="009016CC">
            <w:pPr>
              <w:bidi w:val="0"/>
              <w:spacing w:after="0"/>
              <w:jc w:val="right"/>
              <w:rPr>
                <w:rFonts w:ascii="Times New Roman" w:hAnsi="Times New Roman"/>
                <w:b/>
                <w:color w:val="000000"/>
                <w:szCs w:val="24"/>
              </w:rPr>
            </w:pPr>
            <w:r w:rsidRPr="0005046C">
              <w:rPr>
                <w:rFonts w:ascii="Times New Roman" w:hAnsi="Times New Roman"/>
                <w:b/>
                <w:color w:val="000000"/>
                <w:szCs w:val="24"/>
              </w:rPr>
              <w:t>54 900 </w:t>
            </w:r>
          </w:p>
        </w:tc>
        <w:tc>
          <w:tcPr>
            <w:tcW w:w="1066"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w:t>
            </w:r>
          </w:p>
        </w:tc>
      </w:tr>
      <w:tr>
        <w:tblPrEx>
          <w:tblW w:w="5000" w:type="pct"/>
          <w:tblLayout w:type="fixed"/>
          <w:tblCellMar>
            <w:left w:w="0" w:type="dxa"/>
            <w:right w:w="0" w:type="dxa"/>
          </w:tblCellMar>
        </w:tblPrEx>
        <w:trPr>
          <w:trHeight w:val="255"/>
        </w:trPr>
        <w:tc>
          <w:tcPr>
            <w:tcW w:w="347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Obstarávanie kapitálových aktív (710)</w:t>
            </w:r>
            <w:r w:rsidRPr="00352400">
              <w:rPr>
                <w:rFonts w:ascii="Times New Roman" w:hAnsi="Times New Roman"/>
                <w:color w:val="000000"/>
                <w:szCs w:val="24"/>
                <w:vertAlign w:val="superscript"/>
              </w:rPr>
              <w:t>2</w:t>
            </w:r>
          </w:p>
        </w:tc>
        <w:tc>
          <w:tcPr>
            <w:tcW w:w="127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58 800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5046C" w:rsidP="009016CC">
            <w:pPr>
              <w:bidi w:val="0"/>
              <w:spacing w:after="0"/>
              <w:jc w:val="right"/>
              <w:rPr>
                <w:rFonts w:ascii="Times New Roman" w:hAnsi="Times New Roman"/>
                <w:color w:val="000000"/>
                <w:szCs w:val="24"/>
              </w:rPr>
            </w:pPr>
            <w:r w:rsidRPr="0005046C">
              <w:rPr>
                <w:rFonts w:ascii="Times New Roman" w:hAnsi="Times New Roman"/>
                <w:color w:val="000000"/>
                <w:szCs w:val="24"/>
              </w:rPr>
              <w:t>54 900 </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5046C" w:rsidP="009016CC">
            <w:pPr>
              <w:bidi w:val="0"/>
              <w:spacing w:after="0"/>
              <w:jc w:val="right"/>
              <w:rPr>
                <w:rFonts w:ascii="Times New Roman" w:hAnsi="Times New Roman"/>
                <w:color w:val="000000"/>
                <w:szCs w:val="24"/>
              </w:rPr>
            </w:pPr>
            <w:r w:rsidRPr="0005046C">
              <w:rPr>
                <w:rFonts w:ascii="Times New Roman" w:hAnsi="Times New Roman"/>
                <w:color w:val="000000"/>
                <w:szCs w:val="24"/>
              </w:rPr>
              <w:t>54 900 </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5046C" w:rsidP="009016CC">
            <w:pPr>
              <w:bidi w:val="0"/>
              <w:spacing w:after="0"/>
              <w:jc w:val="right"/>
              <w:rPr>
                <w:rFonts w:ascii="Times New Roman" w:hAnsi="Times New Roman"/>
                <w:color w:val="000000"/>
                <w:szCs w:val="24"/>
              </w:rPr>
            </w:pPr>
            <w:r w:rsidRPr="0005046C">
              <w:rPr>
                <w:rFonts w:ascii="Times New Roman" w:hAnsi="Times New Roman"/>
                <w:color w:val="000000"/>
                <w:szCs w:val="24"/>
              </w:rPr>
              <w:t>54 900 </w:t>
            </w:r>
          </w:p>
        </w:tc>
        <w:tc>
          <w:tcPr>
            <w:tcW w:w="1066"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w:t>
            </w:r>
          </w:p>
        </w:tc>
      </w:tr>
      <w:tr>
        <w:tblPrEx>
          <w:tblW w:w="5000" w:type="pct"/>
          <w:tblLayout w:type="fixed"/>
          <w:tblCellMar>
            <w:left w:w="0" w:type="dxa"/>
            <w:right w:w="0" w:type="dxa"/>
          </w:tblCellMar>
        </w:tblPrEx>
        <w:trPr>
          <w:trHeight w:val="255"/>
        </w:trPr>
        <w:tc>
          <w:tcPr>
            <w:tcW w:w="347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Pr>
                <w:rFonts w:ascii="Times New Roman" w:hAnsi="Times New Roman"/>
                <w:color w:val="000000"/>
                <w:szCs w:val="24"/>
              </w:rPr>
              <w:t xml:space="preserve">  Nákup  nehmotných  aktív (711)</w:t>
            </w:r>
          </w:p>
        </w:tc>
        <w:tc>
          <w:tcPr>
            <w:tcW w:w="127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33 300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5046C" w:rsidP="009016CC">
            <w:pPr>
              <w:bidi w:val="0"/>
              <w:spacing w:after="0"/>
              <w:jc w:val="right"/>
              <w:rPr>
                <w:rFonts w:ascii="Times New Roman" w:hAnsi="Times New Roman"/>
                <w:color w:val="000000"/>
                <w:szCs w:val="24"/>
              </w:rPr>
            </w:pPr>
            <w:r w:rsidRPr="0005046C">
              <w:rPr>
                <w:rFonts w:ascii="Times New Roman" w:hAnsi="Times New Roman"/>
                <w:color w:val="000000"/>
                <w:szCs w:val="24"/>
              </w:rPr>
              <w:t>1</w:t>
            </w:r>
            <w:r>
              <w:rPr>
                <w:rFonts w:ascii="Times New Roman" w:hAnsi="Times New Roman"/>
                <w:color w:val="000000"/>
                <w:szCs w:val="24"/>
              </w:rPr>
              <w:t>5</w:t>
            </w:r>
            <w:r w:rsidRPr="0005046C">
              <w:rPr>
                <w:rFonts w:ascii="Times New Roman" w:hAnsi="Times New Roman"/>
                <w:color w:val="000000"/>
                <w:szCs w:val="24"/>
              </w:rPr>
              <w:t xml:space="preserve"> 500</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5046C" w:rsidP="009016CC">
            <w:pPr>
              <w:bidi w:val="0"/>
              <w:spacing w:after="0"/>
              <w:jc w:val="right"/>
              <w:rPr>
                <w:rFonts w:ascii="Times New Roman" w:hAnsi="Times New Roman"/>
                <w:color w:val="000000"/>
                <w:szCs w:val="24"/>
              </w:rPr>
            </w:pPr>
            <w:r w:rsidRPr="0005046C">
              <w:rPr>
                <w:rFonts w:ascii="Times New Roman" w:hAnsi="Times New Roman"/>
                <w:color w:val="000000"/>
                <w:szCs w:val="24"/>
              </w:rPr>
              <w:t>1</w:t>
            </w:r>
            <w:r>
              <w:rPr>
                <w:rFonts w:ascii="Times New Roman" w:hAnsi="Times New Roman"/>
                <w:color w:val="000000"/>
                <w:szCs w:val="24"/>
              </w:rPr>
              <w:t>6</w:t>
            </w:r>
            <w:r w:rsidRPr="0005046C">
              <w:rPr>
                <w:rFonts w:ascii="Times New Roman" w:hAnsi="Times New Roman"/>
                <w:color w:val="000000"/>
                <w:szCs w:val="24"/>
              </w:rPr>
              <w:t xml:space="preserve"> 000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5046C" w:rsidP="009016CC">
            <w:pPr>
              <w:bidi w:val="0"/>
              <w:spacing w:after="0"/>
              <w:jc w:val="right"/>
              <w:rPr>
                <w:rFonts w:ascii="Times New Roman" w:hAnsi="Times New Roman"/>
                <w:color w:val="000000"/>
                <w:szCs w:val="24"/>
              </w:rPr>
            </w:pPr>
            <w:r w:rsidRPr="0005046C">
              <w:rPr>
                <w:rFonts w:ascii="Times New Roman" w:hAnsi="Times New Roman"/>
                <w:color w:val="000000"/>
                <w:szCs w:val="24"/>
              </w:rPr>
              <w:t>1</w:t>
            </w:r>
            <w:r>
              <w:rPr>
                <w:rFonts w:ascii="Times New Roman" w:hAnsi="Times New Roman"/>
                <w:color w:val="000000"/>
                <w:szCs w:val="24"/>
              </w:rPr>
              <w:t>6</w:t>
            </w:r>
            <w:r w:rsidRPr="0005046C">
              <w:rPr>
                <w:rFonts w:ascii="Times New Roman" w:hAnsi="Times New Roman"/>
                <w:color w:val="000000"/>
                <w:szCs w:val="24"/>
              </w:rPr>
              <w:t xml:space="preserve"> 000</w:t>
            </w:r>
          </w:p>
        </w:tc>
        <w:tc>
          <w:tcPr>
            <w:tcW w:w="1066"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p>
        </w:tc>
      </w:tr>
      <w:tr>
        <w:tblPrEx>
          <w:tblW w:w="5000" w:type="pct"/>
          <w:tblLayout w:type="fixed"/>
          <w:tblCellMar>
            <w:left w:w="0" w:type="dxa"/>
            <w:right w:w="0" w:type="dxa"/>
          </w:tblCellMar>
        </w:tblPrEx>
        <w:trPr>
          <w:trHeight w:val="255"/>
        </w:trPr>
        <w:tc>
          <w:tcPr>
            <w:tcW w:w="347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Pr>
                <w:rFonts w:ascii="Times New Roman" w:hAnsi="Times New Roman"/>
                <w:color w:val="000000"/>
                <w:szCs w:val="24"/>
              </w:rPr>
              <w:t xml:space="preserve">  Nákup  strojov,  prístrojov (713)</w:t>
            </w:r>
          </w:p>
        </w:tc>
        <w:tc>
          <w:tcPr>
            <w:tcW w:w="127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25 000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5046C" w:rsidP="009016CC">
            <w:pPr>
              <w:bidi w:val="0"/>
              <w:spacing w:after="0"/>
              <w:jc w:val="right"/>
              <w:rPr>
                <w:rFonts w:ascii="Times New Roman" w:hAnsi="Times New Roman"/>
                <w:color w:val="000000"/>
                <w:szCs w:val="24"/>
              </w:rPr>
            </w:pPr>
            <w:r w:rsidRPr="0005046C">
              <w:rPr>
                <w:rFonts w:ascii="Times New Roman" w:hAnsi="Times New Roman"/>
                <w:color w:val="000000"/>
                <w:szCs w:val="24"/>
              </w:rPr>
              <w:t>3</w:t>
            </w:r>
            <w:r>
              <w:rPr>
                <w:rFonts w:ascii="Times New Roman" w:hAnsi="Times New Roman"/>
                <w:color w:val="000000"/>
                <w:szCs w:val="24"/>
              </w:rPr>
              <w:t>8</w:t>
            </w:r>
            <w:r w:rsidRPr="0005046C">
              <w:rPr>
                <w:rFonts w:ascii="Times New Roman" w:hAnsi="Times New Roman"/>
                <w:color w:val="000000"/>
                <w:szCs w:val="24"/>
              </w:rPr>
              <w:t xml:space="preserve"> 900</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5046C" w:rsidP="009016CC">
            <w:pPr>
              <w:bidi w:val="0"/>
              <w:spacing w:after="0"/>
              <w:jc w:val="right"/>
              <w:rPr>
                <w:rFonts w:ascii="Times New Roman" w:hAnsi="Times New Roman"/>
                <w:color w:val="000000"/>
                <w:szCs w:val="24"/>
              </w:rPr>
            </w:pPr>
            <w:r w:rsidRPr="0005046C">
              <w:rPr>
                <w:rFonts w:ascii="Times New Roman" w:hAnsi="Times New Roman"/>
                <w:color w:val="000000"/>
                <w:szCs w:val="24"/>
              </w:rPr>
              <w:t>3</w:t>
            </w:r>
            <w:r>
              <w:rPr>
                <w:rFonts w:ascii="Times New Roman" w:hAnsi="Times New Roman"/>
                <w:color w:val="000000"/>
                <w:szCs w:val="24"/>
              </w:rPr>
              <w:t>8</w:t>
            </w:r>
            <w:r w:rsidRPr="0005046C">
              <w:rPr>
                <w:rFonts w:ascii="Times New Roman" w:hAnsi="Times New Roman"/>
                <w:color w:val="000000"/>
                <w:szCs w:val="24"/>
              </w:rPr>
              <w:t>400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5046C" w:rsidP="009016CC">
            <w:pPr>
              <w:bidi w:val="0"/>
              <w:spacing w:after="0"/>
              <w:jc w:val="right"/>
              <w:rPr>
                <w:rFonts w:ascii="Times New Roman" w:hAnsi="Times New Roman"/>
                <w:color w:val="000000"/>
                <w:szCs w:val="24"/>
              </w:rPr>
            </w:pPr>
            <w:r w:rsidRPr="0005046C">
              <w:rPr>
                <w:rFonts w:ascii="Times New Roman" w:hAnsi="Times New Roman"/>
                <w:color w:val="000000"/>
                <w:szCs w:val="24"/>
              </w:rPr>
              <w:t>3</w:t>
            </w:r>
            <w:r>
              <w:rPr>
                <w:rFonts w:ascii="Times New Roman" w:hAnsi="Times New Roman"/>
                <w:color w:val="000000"/>
                <w:szCs w:val="24"/>
              </w:rPr>
              <w:t>8</w:t>
            </w:r>
            <w:r w:rsidRPr="0005046C">
              <w:rPr>
                <w:rFonts w:ascii="Times New Roman" w:hAnsi="Times New Roman"/>
                <w:color w:val="000000"/>
                <w:szCs w:val="24"/>
              </w:rPr>
              <w:t xml:space="preserve"> 400</w:t>
            </w:r>
          </w:p>
        </w:tc>
        <w:tc>
          <w:tcPr>
            <w:tcW w:w="1066"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p>
        </w:tc>
      </w:tr>
      <w:tr>
        <w:tblPrEx>
          <w:tblW w:w="5000" w:type="pct"/>
          <w:tblLayout w:type="fixed"/>
          <w:tblCellMar>
            <w:left w:w="0" w:type="dxa"/>
            <w:right w:w="0" w:type="dxa"/>
          </w:tblCellMar>
        </w:tblPrEx>
        <w:trPr>
          <w:trHeight w:val="255"/>
        </w:trPr>
        <w:tc>
          <w:tcPr>
            <w:tcW w:w="347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Pr>
                <w:rFonts w:ascii="Times New Roman" w:hAnsi="Times New Roman"/>
                <w:color w:val="000000"/>
                <w:szCs w:val="24"/>
              </w:rPr>
              <w:t xml:space="preserve"> Technické zhodn. stavieb  (717) </w:t>
            </w:r>
          </w:p>
        </w:tc>
        <w:tc>
          <w:tcPr>
            <w:tcW w:w="127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CA4DE1" w:rsidP="009016CC">
            <w:pPr>
              <w:bidi w:val="0"/>
              <w:spacing w:after="0"/>
              <w:jc w:val="right"/>
              <w:rPr>
                <w:rFonts w:ascii="Times New Roman" w:hAnsi="Times New Roman"/>
                <w:color w:val="000000"/>
                <w:szCs w:val="24"/>
              </w:rPr>
            </w:pPr>
            <w:r w:rsidRPr="00CA4DE1">
              <w:rPr>
                <w:rFonts w:ascii="Times New Roman" w:hAnsi="Times New Roman"/>
                <w:color w:val="000000"/>
                <w:szCs w:val="24"/>
              </w:rPr>
              <w:t>0</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CA4DE1" w:rsidP="009016CC">
            <w:pPr>
              <w:bidi w:val="0"/>
              <w:spacing w:after="0"/>
              <w:jc w:val="right"/>
              <w:rPr>
                <w:rFonts w:ascii="Times New Roman" w:hAnsi="Times New Roman"/>
                <w:color w:val="000000"/>
                <w:szCs w:val="24"/>
              </w:rPr>
            </w:pPr>
            <w:r w:rsidRPr="00CA4DE1">
              <w:rPr>
                <w:rFonts w:ascii="Times New Roman" w:hAnsi="Times New Roman"/>
                <w:color w:val="000000"/>
                <w:szCs w:val="24"/>
              </w:rPr>
              <w:t>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CA4DE1" w:rsidP="009016CC">
            <w:pPr>
              <w:bidi w:val="0"/>
              <w:spacing w:after="0"/>
              <w:jc w:val="right"/>
              <w:rPr>
                <w:rFonts w:ascii="Times New Roman" w:hAnsi="Times New Roman"/>
                <w:color w:val="000000"/>
                <w:szCs w:val="24"/>
              </w:rPr>
            </w:pPr>
            <w:r w:rsidRPr="00CA4DE1">
              <w:rPr>
                <w:rFonts w:ascii="Times New Roman" w:hAnsi="Times New Roman"/>
                <w:color w:val="000000"/>
                <w:szCs w:val="24"/>
              </w:rPr>
              <w:t>0</w:t>
            </w:r>
          </w:p>
        </w:tc>
        <w:tc>
          <w:tcPr>
            <w:tcW w:w="1066"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p>
        </w:tc>
      </w:tr>
      <w:tr>
        <w:tblPrEx>
          <w:tblW w:w="5000" w:type="pct"/>
          <w:tblLayout w:type="fixed"/>
          <w:tblCellMar>
            <w:left w:w="0" w:type="dxa"/>
            <w:right w:w="0" w:type="dxa"/>
          </w:tblCellMar>
        </w:tblPrEx>
        <w:trPr>
          <w:trHeight w:val="255"/>
        </w:trPr>
        <w:tc>
          <w:tcPr>
            <w:tcW w:w="347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Pr>
                <w:rFonts w:ascii="Times New Roman" w:hAnsi="Times New Roman"/>
                <w:color w:val="000000"/>
                <w:szCs w:val="24"/>
              </w:rPr>
              <w:t>Rekonštrukcia strojov  a zariadení (718)</w:t>
            </w:r>
          </w:p>
        </w:tc>
        <w:tc>
          <w:tcPr>
            <w:tcW w:w="127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500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5046C" w:rsidP="009016CC">
            <w:pPr>
              <w:bidi w:val="0"/>
              <w:spacing w:after="0"/>
              <w:jc w:val="right"/>
              <w:rPr>
                <w:rFonts w:ascii="Times New Roman" w:hAnsi="Times New Roman"/>
                <w:color w:val="000000"/>
                <w:szCs w:val="24"/>
              </w:rPr>
            </w:pPr>
            <w:r w:rsidRPr="0005046C">
              <w:rPr>
                <w:rFonts w:ascii="Times New Roman" w:hAnsi="Times New Roman"/>
                <w:color w:val="000000"/>
                <w:szCs w:val="24"/>
              </w:rPr>
              <w:t>500</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5046C" w:rsidP="009016CC">
            <w:pPr>
              <w:bidi w:val="0"/>
              <w:spacing w:after="0"/>
              <w:jc w:val="right"/>
              <w:rPr>
                <w:rFonts w:ascii="Times New Roman" w:hAnsi="Times New Roman"/>
                <w:color w:val="000000"/>
                <w:szCs w:val="24"/>
              </w:rPr>
            </w:pPr>
            <w:r w:rsidRPr="0005046C">
              <w:rPr>
                <w:rFonts w:ascii="Times New Roman" w:hAnsi="Times New Roman"/>
                <w:color w:val="000000"/>
                <w:szCs w:val="24"/>
              </w:rPr>
              <w:t>500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5046C" w:rsidP="009016CC">
            <w:pPr>
              <w:bidi w:val="0"/>
              <w:spacing w:after="0"/>
              <w:jc w:val="right"/>
              <w:rPr>
                <w:rFonts w:ascii="Times New Roman" w:hAnsi="Times New Roman"/>
                <w:color w:val="000000"/>
                <w:szCs w:val="24"/>
              </w:rPr>
            </w:pPr>
            <w:r w:rsidRPr="0005046C">
              <w:rPr>
                <w:rFonts w:ascii="Times New Roman" w:hAnsi="Times New Roman"/>
                <w:color w:val="000000"/>
                <w:szCs w:val="24"/>
              </w:rPr>
              <w:t>500</w:t>
            </w:r>
          </w:p>
        </w:tc>
        <w:tc>
          <w:tcPr>
            <w:tcW w:w="1066"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p>
        </w:tc>
      </w:tr>
      <w:tr>
        <w:tblPrEx>
          <w:tblW w:w="5000" w:type="pct"/>
          <w:tblLayout w:type="fixed"/>
          <w:tblCellMar>
            <w:left w:w="0" w:type="dxa"/>
            <w:right w:w="0" w:type="dxa"/>
          </w:tblCellMar>
        </w:tblPrEx>
        <w:trPr>
          <w:trHeight w:val="255"/>
        </w:trPr>
        <w:tc>
          <w:tcPr>
            <w:tcW w:w="347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Kapitálové transfery (720)</w:t>
            </w:r>
            <w:r w:rsidRPr="00352400">
              <w:rPr>
                <w:rFonts w:ascii="Times New Roman" w:hAnsi="Times New Roman"/>
                <w:color w:val="000000"/>
                <w:szCs w:val="24"/>
                <w:vertAlign w:val="superscript"/>
              </w:rPr>
              <w:t>2</w:t>
            </w:r>
          </w:p>
        </w:tc>
        <w:tc>
          <w:tcPr>
            <w:tcW w:w="127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color w:val="000000"/>
                <w:szCs w:val="24"/>
              </w:rPr>
              <w:t>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5046C" w:rsidP="009016CC">
            <w:pPr>
              <w:bidi w:val="0"/>
              <w:spacing w:after="0"/>
              <w:jc w:val="right"/>
              <w:rPr>
                <w:rFonts w:ascii="Times New Roman" w:hAnsi="Times New Roman"/>
                <w:color w:val="000000"/>
                <w:szCs w:val="24"/>
              </w:rPr>
            </w:pPr>
            <w:r w:rsidRPr="0005046C">
              <w:rPr>
                <w:rFonts w:ascii="Times New Roman" w:hAnsi="Times New Roman"/>
                <w:color w:val="000000"/>
                <w:szCs w:val="24"/>
              </w:rPr>
              <w:t>0</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5046C" w:rsidP="009016CC">
            <w:pPr>
              <w:bidi w:val="0"/>
              <w:spacing w:after="0"/>
              <w:jc w:val="right"/>
              <w:rPr>
                <w:rFonts w:ascii="Times New Roman" w:hAnsi="Times New Roman"/>
                <w:color w:val="000000"/>
                <w:szCs w:val="24"/>
              </w:rPr>
            </w:pPr>
            <w:r w:rsidRPr="0005046C">
              <w:rPr>
                <w:rFonts w:ascii="Times New Roman" w:hAnsi="Times New Roman"/>
                <w:color w:val="000000"/>
                <w:szCs w:val="24"/>
              </w:rPr>
              <w:t>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05046C" w:rsidP="009016CC">
            <w:pPr>
              <w:bidi w:val="0"/>
              <w:spacing w:after="0"/>
              <w:jc w:val="right"/>
              <w:rPr>
                <w:rFonts w:ascii="Times New Roman" w:hAnsi="Times New Roman"/>
                <w:color w:val="000000"/>
                <w:szCs w:val="24"/>
              </w:rPr>
            </w:pPr>
            <w:r w:rsidRPr="0005046C">
              <w:rPr>
                <w:rFonts w:ascii="Times New Roman" w:hAnsi="Times New Roman"/>
                <w:color w:val="000000"/>
                <w:szCs w:val="24"/>
              </w:rPr>
              <w:t>0</w:t>
            </w:r>
          </w:p>
        </w:tc>
        <w:tc>
          <w:tcPr>
            <w:tcW w:w="1066"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w:t>
            </w:r>
          </w:p>
        </w:tc>
      </w:tr>
      <w:tr>
        <w:tblPrEx>
          <w:tblW w:w="5000" w:type="pct"/>
          <w:tblLayout w:type="fixed"/>
          <w:tblCellMar>
            <w:left w:w="0" w:type="dxa"/>
            <w:right w:w="0" w:type="dxa"/>
          </w:tblCellMar>
        </w:tblPrEx>
        <w:trPr>
          <w:trHeight w:val="255"/>
        </w:trPr>
        <w:tc>
          <w:tcPr>
            <w:tcW w:w="347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sidRPr="00352400">
              <w:rPr>
                <w:rFonts w:ascii="Times New Roman" w:hAnsi="Times New Roman"/>
                <w:b/>
                <w:color w:val="000000"/>
                <w:szCs w:val="24"/>
              </w:rPr>
              <w:t>Výdavky z transakcií s finančnými aktívami a finančnými pasívami (800)</w:t>
            </w:r>
          </w:p>
        </w:tc>
        <w:tc>
          <w:tcPr>
            <w:tcW w:w="1278" w:type="dxa"/>
            <w:tcBorders>
              <w:top w:val="nil"/>
              <w:left w:val="nil"/>
              <w:bottom w:val="single" w:sz="8" w:space="0" w:color="auto"/>
              <w:right w:val="single" w:sz="8" w:space="0" w:color="auto"/>
            </w:tcBorders>
            <w:shd w:val="solid" w:color="FFFF99" w:fill="auto"/>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b/>
                <w:color w:val="000000"/>
                <w:szCs w:val="24"/>
              </w:rPr>
              <w:t> 0</w:t>
            </w:r>
          </w:p>
        </w:tc>
        <w:tc>
          <w:tcPr>
            <w:tcW w:w="1276" w:type="dxa"/>
            <w:tcBorders>
              <w:top w:val="nil"/>
              <w:left w:val="nil"/>
              <w:bottom w:val="single" w:sz="8" w:space="0" w:color="auto"/>
              <w:right w:val="single" w:sz="8" w:space="0" w:color="auto"/>
            </w:tcBorders>
            <w:shd w:val="solid" w:color="FFFF99" w:fill="auto"/>
            <w:tcMar>
              <w:top w:w="0" w:type="dxa"/>
              <w:left w:w="70" w:type="dxa"/>
              <w:bottom w:w="0" w:type="dxa"/>
              <w:right w:w="70" w:type="dxa"/>
            </w:tcMar>
            <w:textDirection w:val="lrTb"/>
            <w:vAlign w:val="top"/>
          </w:tcPr>
          <w:p w:rsidR="00A44EF6" w:rsidRPr="0005046C" w:rsidP="009016CC">
            <w:pPr>
              <w:bidi w:val="0"/>
              <w:spacing w:after="0"/>
              <w:jc w:val="right"/>
              <w:rPr>
                <w:rFonts w:ascii="Times New Roman" w:hAnsi="Times New Roman"/>
                <w:color w:val="000000"/>
                <w:szCs w:val="24"/>
              </w:rPr>
            </w:pPr>
            <w:r w:rsidRPr="0005046C">
              <w:rPr>
                <w:rFonts w:ascii="Times New Roman" w:hAnsi="Times New Roman"/>
                <w:b/>
                <w:color w:val="000000"/>
                <w:szCs w:val="24"/>
              </w:rPr>
              <w:t> 0</w:t>
            </w:r>
          </w:p>
        </w:tc>
        <w:tc>
          <w:tcPr>
            <w:tcW w:w="1134" w:type="dxa"/>
            <w:tcBorders>
              <w:top w:val="nil"/>
              <w:left w:val="nil"/>
              <w:bottom w:val="single" w:sz="8" w:space="0" w:color="auto"/>
              <w:right w:val="single" w:sz="8" w:space="0" w:color="auto"/>
            </w:tcBorders>
            <w:shd w:val="solid" w:color="FFFF99" w:fill="auto"/>
            <w:tcMar>
              <w:top w:w="0" w:type="dxa"/>
              <w:left w:w="70" w:type="dxa"/>
              <w:bottom w:w="0" w:type="dxa"/>
              <w:right w:w="70" w:type="dxa"/>
            </w:tcMar>
            <w:textDirection w:val="lrTb"/>
            <w:vAlign w:val="top"/>
          </w:tcPr>
          <w:p w:rsidR="00A44EF6" w:rsidRPr="0005046C" w:rsidP="009016CC">
            <w:pPr>
              <w:bidi w:val="0"/>
              <w:spacing w:after="0"/>
              <w:jc w:val="right"/>
              <w:rPr>
                <w:rFonts w:ascii="Times New Roman" w:hAnsi="Times New Roman"/>
                <w:color w:val="000000"/>
                <w:szCs w:val="24"/>
              </w:rPr>
            </w:pPr>
            <w:r w:rsidRPr="0005046C">
              <w:rPr>
                <w:rFonts w:ascii="Times New Roman" w:hAnsi="Times New Roman"/>
                <w:b/>
                <w:color w:val="000000"/>
                <w:szCs w:val="24"/>
              </w:rPr>
              <w:t> 0</w:t>
            </w:r>
          </w:p>
        </w:tc>
        <w:tc>
          <w:tcPr>
            <w:tcW w:w="1276" w:type="dxa"/>
            <w:tcBorders>
              <w:top w:val="nil"/>
              <w:left w:val="nil"/>
              <w:bottom w:val="single" w:sz="8" w:space="0" w:color="auto"/>
              <w:right w:val="single" w:sz="8" w:space="0" w:color="auto"/>
            </w:tcBorders>
            <w:shd w:val="solid" w:color="FFFF99" w:fill="auto"/>
            <w:tcMar>
              <w:top w:w="0" w:type="dxa"/>
              <w:left w:w="70" w:type="dxa"/>
              <w:bottom w:w="0" w:type="dxa"/>
              <w:right w:w="70" w:type="dxa"/>
            </w:tcMar>
            <w:textDirection w:val="lrTb"/>
            <w:vAlign w:val="top"/>
          </w:tcPr>
          <w:p w:rsidR="00A44EF6" w:rsidRPr="0005046C" w:rsidP="009016CC">
            <w:pPr>
              <w:bidi w:val="0"/>
              <w:spacing w:after="0"/>
              <w:jc w:val="right"/>
              <w:rPr>
                <w:rFonts w:ascii="Times New Roman" w:hAnsi="Times New Roman"/>
                <w:color w:val="000000"/>
                <w:szCs w:val="24"/>
              </w:rPr>
            </w:pPr>
            <w:r w:rsidRPr="0005046C">
              <w:rPr>
                <w:rFonts w:ascii="Times New Roman" w:hAnsi="Times New Roman"/>
                <w:b/>
                <w:color w:val="000000"/>
                <w:szCs w:val="24"/>
              </w:rPr>
              <w:t> 0</w:t>
            </w:r>
          </w:p>
        </w:tc>
        <w:tc>
          <w:tcPr>
            <w:tcW w:w="1066"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w:t>
            </w:r>
          </w:p>
        </w:tc>
      </w:tr>
      <w:tr>
        <w:tblPrEx>
          <w:tblW w:w="5000" w:type="pct"/>
          <w:tblLayout w:type="fixed"/>
          <w:tblCellMar>
            <w:left w:w="0" w:type="dxa"/>
            <w:right w:w="0" w:type="dxa"/>
          </w:tblCellMar>
        </w:tblPrEx>
        <w:trPr>
          <w:trHeight w:val="255"/>
        </w:trPr>
        <w:tc>
          <w:tcPr>
            <w:tcW w:w="3470" w:type="dxa"/>
            <w:tcBorders>
              <w:top w:val="nil"/>
              <w:left w:val="single" w:sz="8" w:space="0" w:color="auto"/>
              <w:bottom w:val="nil"/>
              <w:right w:val="single" w:sz="8" w:space="0" w:color="auto"/>
            </w:tcBorders>
            <w:shd w:val="solid" w:color="000000" w:fill="auto"/>
            <w:tcMar>
              <w:top w:w="0" w:type="dxa"/>
              <w:left w:w="70" w:type="dxa"/>
              <w:bottom w:w="0" w:type="dxa"/>
              <w:right w:w="70" w:type="dxa"/>
            </w:tcMar>
            <w:textDirection w:val="lrTb"/>
            <w:vAlign w:val="top"/>
          </w:tcPr>
          <w:p w:rsidR="00A44EF6" w:rsidRPr="00C326FE" w:rsidP="009016CC">
            <w:pPr>
              <w:bidi w:val="0"/>
              <w:spacing w:after="0"/>
              <w:rPr>
                <w:rFonts w:ascii="Times New Roman" w:hAnsi="Times New Roman"/>
                <w:color w:val="FFFFFF"/>
                <w:szCs w:val="24"/>
              </w:rPr>
            </w:pPr>
            <w:r w:rsidRPr="00C326FE">
              <w:rPr>
                <w:rFonts w:ascii="Times New Roman" w:hAnsi="Times New Roman"/>
                <w:b/>
                <w:color w:val="FFFFFF"/>
                <w:szCs w:val="24"/>
              </w:rPr>
              <w:t>Dopad na výdavky verejnej správy celkom</w:t>
            </w:r>
          </w:p>
        </w:tc>
        <w:tc>
          <w:tcPr>
            <w:tcW w:w="1278" w:type="dxa"/>
            <w:tcBorders>
              <w:top w:val="nil"/>
              <w:left w:val="nil"/>
              <w:bottom w:val="nil"/>
              <w:right w:val="single" w:sz="8" w:space="0" w:color="auto"/>
            </w:tcBorders>
            <w:shd w:val="solid" w:color="000000" w:fill="auto"/>
            <w:tcMar>
              <w:top w:w="0" w:type="dxa"/>
              <w:left w:w="70" w:type="dxa"/>
              <w:bottom w:w="0" w:type="dxa"/>
              <w:right w:w="70" w:type="dxa"/>
            </w:tcMar>
            <w:textDirection w:val="lrTb"/>
            <w:vAlign w:val="center"/>
          </w:tcPr>
          <w:p w:rsidR="00A44EF6" w:rsidRPr="00753EC1" w:rsidP="009016CC">
            <w:pPr>
              <w:bidi w:val="0"/>
              <w:spacing w:after="0"/>
              <w:jc w:val="right"/>
              <w:rPr>
                <w:rFonts w:ascii="Times New Roman" w:hAnsi="Times New Roman"/>
                <w:color w:val="FFFFFF"/>
                <w:szCs w:val="24"/>
              </w:rPr>
            </w:pPr>
            <w:r w:rsidRPr="00753EC1">
              <w:rPr>
                <w:rFonts w:ascii="Times New Roman" w:hAnsi="Times New Roman"/>
                <w:color w:val="FFFFFF"/>
                <w:szCs w:val="24"/>
              </w:rPr>
              <w:t>5 167 601</w:t>
            </w:r>
          </w:p>
        </w:tc>
        <w:tc>
          <w:tcPr>
            <w:tcW w:w="1276" w:type="dxa"/>
            <w:tcBorders>
              <w:top w:val="nil"/>
              <w:left w:val="nil"/>
              <w:bottom w:val="nil"/>
              <w:right w:val="single" w:sz="8" w:space="0" w:color="auto"/>
            </w:tcBorders>
            <w:shd w:val="solid" w:color="000000" w:fill="auto"/>
            <w:tcMar>
              <w:top w:w="0" w:type="dxa"/>
              <w:left w:w="70" w:type="dxa"/>
              <w:bottom w:w="0" w:type="dxa"/>
              <w:right w:w="70" w:type="dxa"/>
            </w:tcMar>
            <w:textDirection w:val="lrTb"/>
            <w:vAlign w:val="center"/>
          </w:tcPr>
          <w:p w:rsidR="00A44EF6" w:rsidRPr="00753EC1" w:rsidP="009016CC">
            <w:pPr>
              <w:bidi w:val="0"/>
              <w:spacing w:after="0"/>
              <w:jc w:val="right"/>
              <w:rPr>
                <w:rFonts w:ascii="Times New Roman" w:hAnsi="Times New Roman"/>
                <w:color w:val="FFFFFF"/>
                <w:szCs w:val="24"/>
              </w:rPr>
            </w:pPr>
            <w:r w:rsidRPr="00753EC1">
              <w:rPr>
                <w:rFonts w:ascii="Times New Roman" w:hAnsi="Times New Roman"/>
                <w:color w:val="FFFFFF"/>
                <w:szCs w:val="24"/>
              </w:rPr>
              <w:t>5</w:t>
            </w:r>
            <w:r>
              <w:rPr>
                <w:rFonts w:ascii="Times New Roman" w:hAnsi="Times New Roman"/>
                <w:color w:val="FFFFFF"/>
                <w:szCs w:val="24"/>
              </w:rPr>
              <w:t> 050 801</w:t>
            </w:r>
          </w:p>
        </w:tc>
        <w:tc>
          <w:tcPr>
            <w:tcW w:w="1134" w:type="dxa"/>
            <w:tcBorders>
              <w:top w:val="nil"/>
              <w:left w:val="nil"/>
              <w:bottom w:val="nil"/>
              <w:right w:val="single" w:sz="8" w:space="0" w:color="auto"/>
            </w:tcBorders>
            <w:shd w:val="solid" w:color="000000" w:fill="auto"/>
            <w:tcMar>
              <w:top w:w="0" w:type="dxa"/>
              <w:left w:w="70" w:type="dxa"/>
              <w:bottom w:w="0" w:type="dxa"/>
              <w:right w:w="70" w:type="dxa"/>
            </w:tcMar>
            <w:textDirection w:val="lrTb"/>
            <w:vAlign w:val="center"/>
          </w:tcPr>
          <w:p w:rsidR="00A44EF6" w:rsidRPr="00753EC1" w:rsidP="009016CC">
            <w:pPr>
              <w:bidi w:val="0"/>
              <w:spacing w:after="0"/>
              <w:jc w:val="right"/>
              <w:rPr>
                <w:rFonts w:ascii="Times New Roman" w:hAnsi="Times New Roman"/>
                <w:color w:val="FFFFFF"/>
                <w:szCs w:val="24"/>
              </w:rPr>
            </w:pPr>
            <w:r>
              <w:rPr>
                <w:rFonts w:ascii="Times New Roman" w:hAnsi="Times New Roman"/>
                <w:color w:val="FFFFFF"/>
                <w:szCs w:val="24"/>
              </w:rPr>
              <w:t>5 050 801</w:t>
            </w:r>
          </w:p>
        </w:tc>
        <w:tc>
          <w:tcPr>
            <w:tcW w:w="1276" w:type="dxa"/>
            <w:tcBorders>
              <w:top w:val="nil"/>
              <w:left w:val="nil"/>
              <w:bottom w:val="nil"/>
              <w:right w:val="single" w:sz="8" w:space="0" w:color="auto"/>
            </w:tcBorders>
            <w:shd w:val="solid" w:color="000000" w:fill="auto"/>
            <w:tcMar>
              <w:top w:w="0" w:type="dxa"/>
              <w:left w:w="70" w:type="dxa"/>
              <w:bottom w:w="0" w:type="dxa"/>
              <w:right w:w="70" w:type="dxa"/>
            </w:tcMar>
            <w:textDirection w:val="lrTb"/>
            <w:vAlign w:val="center"/>
          </w:tcPr>
          <w:p w:rsidR="00A44EF6" w:rsidRPr="00753EC1" w:rsidP="009016CC">
            <w:pPr>
              <w:bidi w:val="0"/>
              <w:spacing w:after="0"/>
              <w:jc w:val="right"/>
              <w:rPr>
                <w:rFonts w:ascii="Times New Roman" w:hAnsi="Times New Roman"/>
                <w:color w:val="FFFFFF"/>
                <w:szCs w:val="24"/>
              </w:rPr>
            </w:pPr>
            <w:r>
              <w:rPr>
                <w:rFonts w:ascii="Times New Roman" w:hAnsi="Times New Roman"/>
                <w:color w:val="FFFFFF"/>
                <w:szCs w:val="24"/>
              </w:rPr>
              <w:t>5 050 801</w:t>
            </w:r>
          </w:p>
        </w:tc>
        <w:tc>
          <w:tcPr>
            <w:tcW w:w="1066" w:type="dxa"/>
            <w:tcBorders>
              <w:top w:val="nil"/>
              <w:left w:val="nil"/>
              <w:bottom w:val="nil"/>
              <w:right w:val="single" w:sz="8" w:space="0" w:color="auto"/>
            </w:tcBorders>
            <w:shd w:val="solid" w:color="000000" w:fill="auto"/>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w:t>
            </w:r>
          </w:p>
        </w:tc>
      </w:tr>
      <w:tr>
        <w:tblPrEx>
          <w:tblW w:w="5000" w:type="pct"/>
          <w:tblLayout w:type="fixed"/>
          <w:tblCellMar>
            <w:left w:w="0" w:type="dxa"/>
            <w:right w:w="0" w:type="dxa"/>
          </w:tblCellMar>
        </w:tblPrEx>
        <w:trPr>
          <w:trHeight w:val="255"/>
        </w:trPr>
        <w:tc>
          <w:tcPr>
            <w:tcW w:w="347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sidRPr="00352400">
              <w:rPr>
                <w:rFonts w:ascii="Times New Roman" w:hAnsi="Times New Roman"/>
                <w:b/>
                <w:color w:val="000000"/>
                <w:szCs w:val="24"/>
              </w:rPr>
              <w:t> z toho výdavky na ŠR</w:t>
            </w:r>
          </w:p>
        </w:tc>
        <w:tc>
          <w:tcPr>
            <w:tcW w:w="127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5 167 601</w:t>
            </w:r>
            <w:r w:rsidRPr="00352400">
              <w:rPr>
                <w:rFonts w:ascii="Times New Roman" w:hAnsi="Times New Roman"/>
                <w:color w:val="000000"/>
                <w:szCs w:val="24"/>
              </w:rPr>
              <w:t> </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 xml:space="preserve"> 5 050 801</w:t>
            </w:r>
            <w:r w:rsidRPr="00352400">
              <w:rPr>
                <w:rFonts w:ascii="Times New Roman" w:hAnsi="Times New Roman"/>
                <w:color w:val="000000"/>
                <w:szCs w:val="24"/>
              </w:rPr>
              <w:t> </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5 050 801</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5 050 801</w:t>
            </w:r>
            <w:r w:rsidRPr="00352400">
              <w:rPr>
                <w:rFonts w:ascii="Times New Roman" w:hAnsi="Times New Roman"/>
                <w:color w:val="000000"/>
                <w:szCs w:val="24"/>
              </w:rPr>
              <w:t> </w:t>
            </w:r>
          </w:p>
        </w:tc>
        <w:tc>
          <w:tcPr>
            <w:tcW w:w="1066"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w:t>
            </w:r>
          </w:p>
        </w:tc>
      </w:tr>
      <w:tr>
        <w:tblPrEx>
          <w:tblW w:w="5000" w:type="pct"/>
          <w:tblLayout w:type="fixed"/>
          <w:tblCellMar>
            <w:left w:w="0" w:type="dxa"/>
            <w:right w:w="0" w:type="dxa"/>
          </w:tblCellMar>
        </w:tblPrEx>
        <w:trPr>
          <w:trHeight w:val="255"/>
        </w:trPr>
        <w:tc>
          <w:tcPr>
            <w:tcW w:w="347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Bežné výdavky</w:t>
            </w:r>
            <w:r w:rsidRPr="00352400">
              <w:rPr>
                <w:rFonts w:ascii="Times New Roman" w:hAnsi="Times New Roman"/>
                <w:b/>
                <w:color w:val="000000"/>
                <w:szCs w:val="24"/>
              </w:rPr>
              <w:t xml:space="preserve"> </w:t>
            </w:r>
            <w:r w:rsidRPr="00352400">
              <w:rPr>
                <w:rFonts w:ascii="Times New Roman" w:hAnsi="Times New Roman"/>
                <w:color w:val="000000"/>
                <w:szCs w:val="24"/>
              </w:rPr>
              <w:t>(600)</w:t>
            </w:r>
            <w:r w:rsidRPr="00352400">
              <w:rPr>
                <w:rFonts w:ascii="Times New Roman" w:hAnsi="Times New Roman"/>
                <w:b/>
                <w:color w:val="000000"/>
                <w:szCs w:val="24"/>
              </w:rPr>
              <w:t xml:space="preserve"> </w:t>
            </w:r>
          </w:p>
        </w:tc>
        <w:tc>
          <w:tcPr>
            <w:tcW w:w="127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5 108 801</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4 995 901</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4 995 901</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4 995 901</w:t>
            </w:r>
          </w:p>
        </w:tc>
        <w:tc>
          <w:tcPr>
            <w:tcW w:w="1066"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w:t>
            </w:r>
          </w:p>
        </w:tc>
      </w:tr>
      <w:tr>
        <w:tblPrEx>
          <w:tblW w:w="5000" w:type="pct"/>
          <w:tblLayout w:type="fixed"/>
          <w:tblCellMar>
            <w:left w:w="0" w:type="dxa"/>
            <w:right w:w="0" w:type="dxa"/>
          </w:tblCellMar>
        </w:tblPrEx>
        <w:trPr>
          <w:trHeight w:val="255"/>
        </w:trPr>
        <w:tc>
          <w:tcPr>
            <w:tcW w:w="347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sidRPr="00352400">
              <w:rPr>
                <w:rFonts w:ascii="Times New Roman" w:hAnsi="Times New Roman"/>
                <w:b/>
                <w:color w:val="000000"/>
                <w:szCs w:val="24"/>
              </w:rPr>
              <w:t> </w:t>
            </w:r>
            <w:r w:rsidRPr="00352400">
              <w:rPr>
                <w:rFonts w:ascii="Times New Roman" w:hAnsi="Times New Roman"/>
                <w:color w:val="000000"/>
                <w:szCs w:val="24"/>
              </w:rPr>
              <w:t>Mzdy, platy, služobné príjmy a ostatné osobné vyrovnania (610)</w:t>
            </w:r>
          </w:p>
        </w:tc>
        <w:tc>
          <w:tcPr>
            <w:tcW w:w="127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1 508 160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1 508 617</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1 508 617</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1 508 617</w:t>
            </w:r>
          </w:p>
        </w:tc>
        <w:tc>
          <w:tcPr>
            <w:tcW w:w="1066"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w:t>
            </w:r>
          </w:p>
        </w:tc>
      </w:tr>
      <w:tr>
        <w:tblPrEx>
          <w:tblW w:w="5000" w:type="pct"/>
          <w:tblLayout w:type="fixed"/>
          <w:tblCellMar>
            <w:left w:w="0" w:type="dxa"/>
            <w:right w:w="0" w:type="dxa"/>
          </w:tblCellMar>
        </w:tblPrEx>
        <w:trPr>
          <w:trHeight w:val="255"/>
        </w:trPr>
        <w:tc>
          <w:tcPr>
            <w:tcW w:w="347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Kapitálové výdavky (700)</w:t>
            </w:r>
          </w:p>
        </w:tc>
        <w:tc>
          <w:tcPr>
            <w:tcW w:w="127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58 800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54 900</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54 900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54 900</w:t>
            </w:r>
          </w:p>
        </w:tc>
        <w:tc>
          <w:tcPr>
            <w:tcW w:w="1066"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w:t>
            </w:r>
          </w:p>
        </w:tc>
      </w:tr>
      <w:tr>
        <w:tblPrEx>
          <w:tblW w:w="5000" w:type="pct"/>
          <w:tblLayout w:type="fixed"/>
          <w:tblCellMar>
            <w:left w:w="0" w:type="dxa"/>
            <w:right w:w="0" w:type="dxa"/>
          </w:tblCellMar>
        </w:tblPrEx>
        <w:trPr>
          <w:trHeight w:val="255"/>
        </w:trPr>
        <w:tc>
          <w:tcPr>
            <w:tcW w:w="347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Výdavky z transakcií s finančnými aktívami a finančnými pasívami (800)</w:t>
            </w:r>
          </w:p>
        </w:tc>
        <w:tc>
          <w:tcPr>
            <w:tcW w:w="127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color w:val="000000"/>
                <w:szCs w:val="24"/>
              </w:rPr>
              <w:t> </w:t>
            </w:r>
            <w:r>
              <w:rPr>
                <w:rFonts w:ascii="Times New Roman" w:hAnsi="Times New Roman"/>
                <w:color w:val="000000"/>
                <w:szCs w:val="24"/>
              </w:rPr>
              <w:t>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sidRPr="00352400">
              <w:rPr>
                <w:rFonts w:ascii="Times New Roman" w:hAnsi="Times New Roman"/>
                <w:color w:val="000000"/>
                <w:szCs w:val="24"/>
              </w:rPr>
              <w:t> </w:t>
            </w:r>
            <w:r>
              <w:rPr>
                <w:rFonts w:ascii="Times New Roman" w:hAnsi="Times New Roman"/>
                <w:color w:val="000000"/>
                <w:szCs w:val="24"/>
              </w:rPr>
              <w:t>0</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0</w:t>
            </w:r>
            <w:r w:rsidRPr="00352400">
              <w:rPr>
                <w:rFonts w:ascii="Times New Roman" w:hAnsi="Times New Roman"/>
                <w:color w:val="000000"/>
                <w:szCs w:val="24"/>
              </w:rPr>
              <w:t> </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0</w:t>
            </w:r>
            <w:r w:rsidRPr="00352400">
              <w:rPr>
                <w:rFonts w:ascii="Times New Roman" w:hAnsi="Times New Roman"/>
                <w:color w:val="000000"/>
                <w:szCs w:val="24"/>
              </w:rPr>
              <w:t> </w:t>
            </w:r>
          </w:p>
        </w:tc>
        <w:tc>
          <w:tcPr>
            <w:tcW w:w="1066"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w:t>
            </w:r>
          </w:p>
        </w:tc>
      </w:tr>
    </w:tbl>
    <w:p w:rsidR="00A44EF6" w:rsidP="00A44EF6">
      <w:pPr>
        <w:bidi w:val="0"/>
        <w:spacing w:after="0"/>
        <w:rPr>
          <w:rFonts w:ascii="Times New Roman" w:hAnsi="Times New Roman"/>
          <w:color w:val="000000"/>
          <w:szCs w:val="24"/>
        </w:rPr>
      </w:pPr>
      <w:r w:rsidRPr="00352400">
        <w:rPr>
          <w:rFonts w:ascii="Times New Roman" w:hAnsi="Times New Roman"/>
          <w:color w:val="000000"/>
          <w:szCs w:val="24"/>
        </w:rPr>
        <w:t>2 –  výdavky rozpísať až do položiek platnej ekonomickej klasifikácie </w:t>
      </w:r>
    </w:p>
    <w:p w:rsidR="000E7653" w:rsidP="00A44EF6">
      <w:pPr>
        <w:bidi w:val="0"/>
        <w:spacing w:after="0"/>
        <w:rPr>
          <w:rFonts w:ascii="Times New Roman" w:hAnsi="Times New Roman"/>
          <w:color w:val="000000"/>
          <w:szCs w:val="24"/>
        </w:rPr>
      </w:pPr>
    </w:p>
    <w:p w:rsidR="000E7653" w:rsidP="00A44EF6">
      <w:pPr>
        <w:bidi w:val="0"/>
        <w:spacing w:after="0"/>
        <w:rPr>
          <w:rFonts w:ascii="Times New Roman" w:hAnsi="Times New Roman"/>
          <w:color w:val="000000"/>
          <w:szCs w:val="24"/>
        </w:rPr>
      </w:pPr>
    </w:p>
    <w:p w:rsidR="000E7653" w:rsidP="00A44EF6">
      <w:pPr>
        <w:bidi w:val="0"/>
        <w:spacing w:after="0"/>
        <w:rPr>
          <w:rFonts w:ascii="Times New Roman" w:hAnsi="Times New Roman"/>
          <w:color w:val="000000"/>
          <w:szCs w:val="24"/>
        </w:rPr>
      </w:pPr>
    </w:p>
    <w:p w:rsidR="000E7653" w:rsidP="00A44EF6">
      <w:pPr>
        <w:bidi w:val="0"/>
        <w:spacing w:after="0"/>
        <w:rPr>
          <w:rFonts w:ascii="Times New Roman" w:hAnsi="Times New Roman"/>
          <w:color w:val="000000"/>
          <w:szCs w:val="24"/>
        </w:rPr>
      </w:pPr>
    </w:p>
    <w:p w:rsidR="000E7653" w:rsidP="00A44EF6">
      <w:pPr>
        <w:bidi w:val="0"/>
        <w:spacing w:after="0"/>
        <w:rPr>
          <w:rFonts w:ascii="Times New Roman" w:hAnsi="Times New Roman"/>
          <w:color w:val="000000"/>
          <w:szCs w:val="24"/>
        </w:rPr>
      </w:pPr>
    </w:p>
    <w:p w:rsidR="000E7653" w:rsidRPr="00352400" w:rsidP="00A44EF6">
      <w:pPr>
        <w:bidi w:val="0"/>
        <w:spacing w:after="0"/>
        <w:rPr>
          <w:rFonts w:ascii="Times New Roman" w:hAnsi="Times New Roman"/>
          <w:color w:val="000000"/>
          <w:szCs w:val="24"/>
        </w:rPr>
      </w:pPr>
    </w:p>
    <w:p w:rsidR="00A44EF6" w:rsidRPr="00352400" w:rsidP="00A44EF6">
      <w:pPr>
        <w:bidi w:val="0"/>
        <w:spacing w:after="0"/>
        <w:jc w:val="right"/>
        <w:rPr>
          <w:rFonts w:ascii="Times New Roman" w:hAnsi="Times New Roman"/>
          <w:color w:val="000000"/>
          <w:szCs w:val="24"/>
        </w:rPr>
      </w:pPr>
      <w:r w:rsidRPr="00352400">
        <w:rPr>
          <w:rFonts w:ascii="Times New Roman" w:hAnsi="Times New Roman"/>
          <w:color w:val="000000"/>
          <w:szCs w:val="24"/>
        </w:rPr>
        <w:t xml:space="preserve">Tabuľka č. 6 </w:t>
      </w:r>
    </w:p>
    <w:tbl>
      <w:tblPr>
        <w:tblStyle w:val="TableNormal"/>
        <w:tblW w:w="5000" w:type="pct"/>
        <w:tblCellMar>
          <w:left w:w="0" w:type="dxa"/>
          <w:right w:w="0" w:type="dxa"/>
        </w:tblCellMar>
      </w:tblPr>
      <w:tblGrid>
        <w:gridCol w:w="3293"/>
        <w:gridCol w:w="1247"/>
        <w:gridCol w:w="1226"/>
        <w:gridCol w:w="1096"/>
        <w:gridCol w:w="1096"/>
        <w:gridCol w:w="1208"/>
      </w:tblGrid>
      <w:tr>
        <w:tblPrEx>
          <w:tblW w:w="5000" w:type="pct"/>
          <w:tblCellMar>
            <w:left w:w="0" w:type="dxa"/>
            <w:right w:w="0" w:type="dxa"/>
          </w:tblCellMar>
        </w:tblPrEx>
        <w:trPr>
          <w:trHeight w:val="255"/>
        </w:trPr>
        <w:tc>
          <w:tcPr>
            <w:tcW w:w="3448" w:type="dxa"/>
            <w:vMerge w:val="restart"/>
            <w:tcBorders>
              <w:top w:val="single" w:sz="8" w:space="0" w:color="auto"/>
              <w:left w:val="single" w:sz="8" w:space="0" w:color="auto"/>
              <w:bottom w:val="single" w:sz="8" w:space="0" w:color="auto"/>
              <w:right w:val="single" w:sz="8" w:space="0" w:color="auto"/>
            </w:tcBorders>
            <w:shd w:val="solid" w:color="000000" w:fill="auto"/>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r w:rsidRPr="00352400">
              <w:rPr>
                <w:rFonts w:ascii="Times New Roman" w:hAnsi="Times New Roman"/>
                <w:b/>
                <w:color w:val="FFFFFF"/>
                <w:szCs w:val="24"/>
              </w:rPr>
              <w:t>Zamestnanosť</w:t>
            </w:r>
          </w:p>
        </w:tc>
        <w:tc>
          <w:tcPr>
            <w:tcW w:w="4844" w:type="dxa"/>
            <w:gridSpan w:val="4"/>
            <w:tcBorders>
              <w:top w:val="single" w:sz="8" w:space="0" w:color="auto"/>
              <w:left w:val="nil"/>
              <w:bottom w:val="single" w:sz="8" w:space="0" w:color="auto"/>
              <w:right w:val="single" w:sz="8" w:space="0" w:color="auto"/>
            </w:tcBorders>
            <w:shd w:val="solid" w:color="000000" w:fill="auto"/>
            <w:tcMar>
              <w:top w:w="0" w:type="dxa"/>
              <w:left w:w="70" w:type="dxa"/>
              <w:bottom w:w="0" w:type="dxa"/>
              <w:right w:w="70" w:type="dxa"/>
            </w:tcMar>
            <w:textDirection w:val="lrTb"/>
            <w:vAlign w:val="top"/>
          </w:tcPr>
          <w:p w:rsidR="00A44EF6" w:rsidRPr="00352400" w:rsidP="009016CC">
            <w:pPr>
              <w:bidi w:val="0"/>
              <w:spacing w:after="0"/>
              <w:jc w:val="center"/>
              <w:rPr>
                <w:rFonts w:ascii="Times New Roman" w:hAnsi="Times New Roman"/>
                <w:color w:val="000000"/>
                <w:szCs w:val="24"/>
              </w:rPr>
            </w:pPr>
            <w:r w:rsidRPr="00352400">
              <w:rPr>
                <w:rFonts w:ascii="Times New Roman" w:hAnsi="Times New Roman"/>
                <w:b/>
                <w:color w:val="FFFFFF"/>
                <w:szCs w:val="24"/>
              </w:rPr>
              <w:t>Vplyv na rozpočet verejnej správy</w:t>
            </w:r>
          </w:p>
        </w:tc>
        <w:tc>
          <w:tcPr>
            <w:tcW w:w="1208" w:type="dxa"/>
            <w:tcBorders>
              <w:top w:val="single" w:sz="8" w:space="0" w:color="auto"/>
              <w:left w:val="nil"/>
              <w:bottom w:val="single" w:sz="8" w:space="0" w:color="auto"/>
              <w:right w:val="single" w:sz="8" w:space="0" w:color="auto"/>
            </w:tcBorders>
            <w:shd w:val="solid" w:color="000000" w:fill="auto"/>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r w:rsidRPr="00352400">
              <w:rPr>
                <w:rFonts w:ascii="Times New Roman" w:hAnsi="Times New Roman"/>
                <w:b/>
                <w:color w:val="FFFFFF"/>
                <w:szCs w:val="24"/>
              </w:rPr>
              <w:t>poznámka</w:t>
            </w:r>
          </w:p>
        </w:tc>
      </w:tr>
      <w:tr>
        <w:tblPrEx>
          <w:tblW w:w="5000" w:type="pct"/>
          <w:tblCellMar>
            <w:left w:w="0" w:type="dxa"/>
            <w:right w:w="0" w:type="dxa"/>
          </w:tblCellMar>
        </w:tblPrEx>
        <w:trPr>
          <w:trHeight w:val="255"/>
        </w:trPr>
        <w:tc>
          <w:tcPr>
            <w:tcW w:w="3448" w:type="dxa"/>
            <w:vMerge/>
            <w:tcBorders>
              <w:top w:val="single" w:sz="8" w:space="0" w:color="auto"/>
              <w:left w:val="single" w:sz="8" w:space="0" w:color="auto"/>
              <w:bottom w:val="single" w:sz="8" w:space="0" w:color="auto"/>
              <w:right w:val="single" w:sz="8" w:space="0" w:color="auto"/>
            </w:tcBorders>
            <w:textDirection w:val="lrTb"/>
            <w:vAlign w:val="center"/>
          </w:tcPr>
          <w:p w:rsidR="00A44EF6" w:rsidRPr="00352400" w:rsidP="009016CC">
            <w:pPr>
              <w:bidi w:val="0"/>
              <w:spacing w:after="0"/>
              <w:jc w:val="center"/>
              <w:rPr>
                <w:rFonts w:ascii="Times New Roman" w:hAnsi="Times New Roman"/>
                <w:color w:val="000000"/>
                <w:szCs w:val="24"/>
              </w:rPr>
            </w:pPr>
          </w:p>
        </w:tc>
        <w:tc>
          <w:tcPr>
            <w:tcW w:w="1300"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r>
              <w:rPr>
                <w:rFonts w:ascii="Times New Roman" w:hAnsi="Times New Roman"/>
                <w:b/>
                <w:color w:val="FFFFFF"/>
                <w:szCs w:val="24"/>
              </w:rPr>
              <w:t>2011</w:t>
            </w:r>
          </w:p>
        </w:tc>
        <w:tc>
          <w:tcPr>
            <w:tcW w:w="1276"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r>
              <w:rPr>
                <w:rFonts w:ascii="Times New Roman" w:hAnsi="Times New Roman"/>
                <w:b/>
                <w:color w:val="FFFFFF"/>
                <w:szCs w:val="24"/>
              </w:rPr>
              <w:t>2012</w:t>
            </w:r>
          </w:p>
        </w:tc>
        <w:tc>
          <w:tcPr>
            <w:tcW w:w="1134"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r>
              <w:rPr>
                <w:rFonts w:ascii="Times New Roman" w:hAnsi="Times New Roman"/>
                <w:b/>
                <w:color w:val="FFFFFF"/>
                <w:szCs w:val="24"/>
              </w:rPr>
              <w:t>2013</w:t>
            </w:r>
          </w:p>
        </w:tc>
        <w:tc>
          <w:tcPr>
            <w:tcW w:w="1134"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center"/>
          </w:tcPr>
          <w:p w:rsidR="00A44EF6" w:rsidRPr="00352400" w:rsidP="009016CC">
            <w:pPr>
              <w:bidi w:val="0"/>
              <w:spacing w:after="0"/>
              <w:jc w:val="center"/>
              <w:rPr>
                <w:rFonts w:ascii="Times New Roman" w:hAnsi="Times New Roman"/>
                <w:color w:val="000000"/>
                <w:szCs w:val="24"/>
              </w:rPr>
            </w:pPr>
            <w:r>
              <w:rPr>
                <w:rFonts w:ascii="Times New Roman" w:hAnsi="Times New Roman"/>
                <w:b/>
                <w:color w:val="FFFFFF"/>
                <w:szCs w:val="24"/>
              </w:rPr>
              <w:t>2014</w:t>
            </w:r>
          </w:p>
        </w:tc>
        <w:tc>
          <w:tcPr>
            <w:tcW w:w="1208" w:type="dxa"/>
            <w:tcBorders>
              <w:top w:val="single" w:sz="8" w:space="0" w:color="auto"/>
              <w:left w:val="nil"/>
              <w:bottom w:val="single" w:sz="8" w:space="0" w:color="auto"/>
              <w:right w:val="single" w:sz="8" w:space="0" w:color="auto"/>
            </w:tcBorders>
            <w:textDirection w:val="lrTb"/>
            <w:vAlign w:val="center"/>
          </w:tcPr>
          <w:p w:rsidR="00A44EF6" w:rsidRPr="00352400" w:rsidP="009016CC">
            <w:pPr>
              <w:bidi w:val="0"/>
              <w:spacing w:after="0"/>
              <w:jc w:val="center"/>
              <w:rPr>
                <w:rFonts w:ascii="Times New Roman" w:hAnsi="Times New Roman"/>
                <w:color w:val="000000"/>
                <w:szCs w:val="24"/>
              </w:rPr>
            </w:pPr>
          </w:p>
        </w:tc>
      </w:tr>
      <w:tr>
        <w:tblPrEx>
          <w:tblW w:w="5000" w:type="pct"/>
          <w:tblCellMar>
            <w:left w:w="0" w:type="dxa"/>
            <w:right w:w="0" w:type="dxa"/>
          </w:tblCellMar>
        </w:tblPrEx>
        <w:trPr>
          <w:trHeight w:val="255"/>
        </w:trPr>
        <w:tc>
          <w:tcPr>
            <w:tcW w:w="3448"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sidRPr="00352400">
              <w:rPr>
                <w:rFonts w:ascii="Times New Roman" w:hAnsi="Times New Roman"/>
                <w:b/>
                <w:color w:val="000000"/>
                <w:szCs w:val="24"/>
              </w:rPr>
              <w:t>Počet zamestnancov celkom*</w:t>
            </w:r>
          </w:p>
        </w:tc>
        <w:tc>
          <w:tcPr>
            <w:tcW w:w="1300"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center"/>
              <w:rPr>
                <w:rFonts w:ascii="Times New Roman" w:hAnsi="Times New Roman"/>
                <w:color w:val="000000"/>
                <w:szCs w:val="24"/>
              </w:rPr>
            </w:pPr>
            <w:r w:rsidRPr="00352400">
              <w:rPr>
                <w:rFonts w:ascii="Times New Roman" w:hAnsi="Times New Roman"/>
                <w:b/>
                <w:color w:val="000000"/>
                <w:szCs w:val="24"/>
              </w:rPr>
              <w:t>93</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center"/>
              <w:rPr>
                <w:rFonts w:ascii="Times New Roman" w:hAnsi="Times New Roman"/>
                <w:color w:val="000000"/>
                <w:szCs w:val="24"/>
              </w:rPr>
            </w:pPr>
            <w:r w:rsidRPr="00352400">
              <w:rPr>
                <w:rFonts w:ascii="Times New Roman" w:hAnsi="Times New Roman"/>
                <w:b/>
                <w:color w:val="000000"/>
                <w:szCs w:val="24"/>
              </w:rPr>
              <w:t>93</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center"/>
              <w:rPr>
                <w:rFonts w:ascii="Times New Roman" w:hAnsi="Times New Roman"/>
                <w:color w:val="000000"/>
                <w:szCs w:val="24"/>
              </w:rPr>
            </w:pPr>
            <w:r w:rsidRPr="00352400">
              <w:rPr>
                <w:rFonts w:ascii="Times New Roman" w:hAnsi="Times New Roman"/>
                <w:b/>
                <w:color w:val="000000"/>
                <w:szCs w:val="24"/>
              </w:rPr>
              <w:t>93</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center"/>
              <w:rPr>
                <w:rFonts w:ascii="Times New Roman" w:hAnsi="Times New Roman"/>
                <w:color w:val="000000"/>
                <w:szCs w:val="24"/>
              </w:rPr>
            </w:pPr>
            <w:r w:rsidRPr="00352400">
              <w:rPr>
                <w:rFonts w:ascii="Times New Roman" w:hAnsi="Times New Roman"/>
                <w:b/>
                <w:color w:val="000000"/>
                <w:szCs w:val="24"/>
              </w:rPr>
              <w:t>93</w:t>
            </w:r>
          </w:p>
        </w:tc>
        <w:tc>
          <w:tcPr>
            <w:tcW w:w="1208"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w:t>
            </w:r>
          </w:p>
        </w:tc>
      </w:tr>
      <w:tr>
        <w:tblPrEx>
          <w:tblW w:w="5000" w:type="pct"/>
          <w:tblCellMar>
            <w:left w:w="0" w:type="dxa"/>
            <w:right w:w="0" w:type="dxa"/>
          </w:tblCellMar>
        </w:tblPrEx>
        <w:trPr>
          <w:trHeight w:val="255"/>
        </w:trPr>
        <w:tc>
          <w:tcPr>
            <w:tcW w:w="3448"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sidRPr="00352400">
              <w:rPr>
                <w:rFonts w:ascii="Times New Roman" w:hAnsi="Times New Roman"/>
                <w:b/>
                <w:color w:val="000000"/>
                <w:szCs w:val="24"/>
              </w:rPr>
              <w:t>   z toho vplyv na ŠR</w:t>
            </w:r>
          </w:p>
        </w:tc>
        <w:tc>
          <w:tcPr>
            <w:tcW w:w="1300"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center"/>
              <w:rPr>
                <w:rFonts w:ascii="Times New Roman" w:hAnsi="Times New Roman"/>
                <w:color w:val="000000"/>
                <w:szCs w:val="24"/>
              </w:rPr>
            </w:pPr>
            <w:r w:rsidRPr="00352400">
              <w:rPr>
                <w:rFonts w:ascii="Times New Roman" w:hAnsi="Times New Roman"/>
                <w:b/>
                <w:color w:val="000000"/>
                <w:szCs w:val="24"/>
              </w:rPr>
              <w:t>93</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center"/>
              <w:rPr>
                <w:rFonts w:ascii="Times New Roman" w:hAnsi="Times New Roman"/>
                <w:color w:val="000000"/>
                <w:szCs w:val="24"/>
              </w:rPr>
            </w:pPr>
            <w:r w:rsidRPr="00352400">
              <w:rPr>
                <w:rFonts w:ascii="Times New Roman" w:hAnsi="Times New Roman"/>
                <w:b/>
                <w:color w:val="000000"/>
                <w:szCs w:val="24"/>
              </w:rPr>
              <w:t>93</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center"/>
              <w:rPr>
                <w:rFonts w:ascii="Times New Roman" w:hAnsi="Times New Roman"/>
                <w:color w:val="000000"/>
                <w:szCs w:val="24"/>
              </w:rPr>
            </w:pPr>
            <w:r w:rsidRPr="00352400">
              <w:rPr>
                <w:rFonts w:ascii="Times New Roman" w:hAnsi="Times New Roman"/>
                <w:b/>
                <w:color w:val="000000"/>
                <w:szCs w:val="24"/>
              </w:rPr>
              <w:t>93</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center"/>
              <w:rPr>
                <w:rFonts w:ascii="Times New Roman" w:hAnsi="Times New Roman"/>
                <w:color w:val="000000"/>
                <w:szCs w:val="24"/>
              </w:rPr>
            </w:pPr>
            <w:r w:rsidRPr="00352400">
              <w:rPr>
                <w:rFonts w:ascii="Times New Roman" w:hAnsi="Times New Roman"/>
                <w:b/>
                <w:color w:val="000000"/>
                <w:szCs w:val="24"/>
              </w:rPr>
              <w:t>93</w:t>
            </w:r>
          </w:p>
        </w:tc>
        <w:tc>
          <w:tcPr>
            <w:tcW w:w="1208"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w:t>
            </w:r>
          </w:p>
        </w:tc>
      </w:tr>
      <w:tr>
        <w:tblPrEx>
          <w:tblW w:w="5000" w:type="pct"/>
          <w:tblCellMar>
            <w:left w:w="0" w:type="dxa"/>
            <w:right w:w="0" w:type="dxa"/>
          </w:tblCellMar>
        </w:tblPrEx>
        <w:trPr>
          <w:trHeight w:val="255"/>
        </w:trPr>
        <w:tc>
          <w:tcPr>
            <w:tcW w:w="3448"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sidRPr="00352400">
              <w:rPr>
                <w:rFonts w:ascii="Times New Roman" w:hAnsi="Times New Roman"/>
                <w:b/>
                <w:color w:val="000000"/>
                <w:szCs w:val="24"/>
              </w:rPr>
              <w:t>Priemerný mzdový výdavok (v eurách)*</w:t>
            </w:r>
          </w:p>
        </w:tc>
        <w:tc>
          <w:tcPr>
            <w:tcW w:w="1300"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center"/>
              <w:rPr>
                <w:rFonts w:ascii="Times New Roman" w:hAnsi="Times New Roman"/>
                <w:color w:val="000000"/>
                <w:szCs w:val="24"/>
              </w:rPr>
            </w:pPr>
            <w:r>
              <w:rPr>
                <w:rFonts w:ascii="Times New Roman" w:hAnsi="Times New Roman"/>
                <w:color w:val="000000"/>
                <w:szCs w:val="24"/>
              </w:rPr>
              <w:t>1 351</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center"/>
              <w:rPr>
                <w:rFonts w:ascii="Times New Roman" w:hAnsi="Times New Roman"/>
                <w:color w:val="000000"/>
                <w:szCs w:val="24"/>
              </w:rPr>
            </w:pPr>
            <w:r>
              <w:rPr>
                <w:rFonts w:ascii="Times New Roman" w:hAnsi="Times New Roman"/>
                <w:color w:val="000000"/>
                <w:szCs w:val="24"/>
              </w:rPr>
              <w:t>1 352</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center"/>
              <w:rPr>
                <w:rFonts w:ascii="Times New Roman" w:hAnsi="Times New Roman"/>
                <w:color w:val="000000"/>
                <w:szCs w:val="24"/>
              </w:rPr>
            </w:pPr>
            <w:r>
              <w:rPr>
                <w:rFonts w:ascii="Times New Roman" w:hAnsi="Times New Roman"/>
                <w:color w:val="000000"/>
                <w:szCs w:val="24"/>
              </w:rPr>
              <w:t>1 352</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center"/>
              <w:rPr>
                <w:rFonts w:ascii="Times New Roman" w:hAnsi="Times New Roman"/>
                <w:color w:val="000000"/>
                <w:szCs w:val="24"/>
              </w:rPr>
            </w:pPr>
            <w:r>
              <w:rPr>
                <w:rFonts w:ascii="Times New Roman" w:hAnsi="Times New Roman"/>
                <w:color w:val="000000"/>
                <w:szCs w:val="24"/>
              </w:rPr>
              <w:t>1 352</w:t>
            </w:r>
          </w:p>
        </w:tc>
        <w:tc>
          <w:tcPr>
            <w:tcW w:w="1208"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w:t>
            </w:r>
          </w:p>
        </w:tc>
      </w:tr>
      <w:tr>
        <w:tblPrEx>
          <w:tblW w:w="5000" w:type="pct"/>
          <w:tblCellMar>
            <w:left w:w="0" w:type="dxa"/>
            <w:right w:w="0" w:type="dxa"/>
          </w:tblCellMar>
        </w:tblPrEx>
        <w:trPr>
          <w:trHeight w:val="255"/>
        </w:trPr>
        <w:tc>
          <w:tcPr>
            <w:tcW w:w="344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sidRPr="00352400">
              <w:rPr>
                <w:rFonts w:ascii="Times New Roman" w:hAnsi="Times New Roman"/>
                <w:b/>
                <w:color w:val="000000"/>
                <w:szCs w:val="24"/>
              </w:rPr>
              <w:t>   z toho vplyv na ŠR</w:t>
            </w:r>
          </w:p>
        </w:tc>
        <w:tc>
          <w:tcPr>
            <w:tcW w:w="1300" w:type="dxa"/>
            <w:tcBorders>
              <w:top w:val="single" w:sz="8" w:space="0" w:color="auto"/>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center"/>
              <w:rPr>
                <w:rFonts w:ascii="Times New Roman" w:hAnsi="Times New Roman"/>
                <w:color w:val="000000"/>
                <w:szCs w:val="24"/>
              </w:rPr>
            </w:pPr>
            <w:r>
              <w:rPr>
                <w:rFonts w:ascii="Times New Roman" w:hAnsi="Times New Roman"/>
                <w:color w:val="000000"/>
                <w:szCs w:val="24"/>
              </w:rPr>
              <w:t>1 351</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center"/>
              <w:rPr>
                <w:rFonts w:ascii="Times New Roman" w:hAnsi="Times New Roman"/>
                <w:color w:val="000000"/>
                <w:szCs w:val="24"/>
              </w:rPr>
            </w:pPr>
            <w:r>
              <w:rPr>
                <w:rFonts w:ascii="Times New Roman" w:hAnsi="Times New Roman"/>
                <w:color w:val="000000"/>
                <w:szCs w:val="24"/>
              </w:rPr>
              <w:t>1 352</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center"/>
              <w:rPr>
                <w:rFonts w:ascii="Times New Roman" w:hAnsi="Times New Roman"/>
                <w:color w:val="000000"/>
                <w:szCs w:val="24"/>
              </w:rPr>
            </w:pPr>
            <w:r>
              <w:rPr>
                <w:rFonts w:ascii="Times New Roman" w:hAnsi="Times New Roman"/>
                <w:color w:val="000000"/>
                <w:szCs w:val="24"/>
              </w:rPr>
              <w:t>1 352</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center"/>
              <w:rPr>
                <w:rFonts w:ascii="Times New Roman" w:hAnsi="Times New Roman"/>
                <w:color w:val="000000"/>
                <w:szCs w:val="24"/>
              </w:rPr>
            </w:pPr>
            <w:r>
              <w:rPr>
                <w:rFonts w:ascii="Times New Roman" w:hAnsi="Times New Roman"/>
                <w:color w:val="000000"/>
                <w:szCs w:val="24"/>
              </w:rPr>
              <w:t>1 352</w:t>
            </w:r>
          </w:p>
        </w:tc>
        <w:tc>
          <w:tcPr>
            <w:tcW w:w="1208" w:type="dxa"/>
            <w:tcBorders>
              <w:top w:val="single" w:sz="8" w:space="0" w:color="auto"/>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w:t>
            </w:r>
          </w:p>
        </w:tc>
      </w:tr>
      <w:tr>
        <w:tblPrEx>
          <w:tblW w:w="5000" w:type="pct"/>
          <w:tblCellMar>
            <w:left w:w="0" w:type="dxa"/>
            <w:right w:w="0" w:type="dxa"/>
          </w:tblCellMar>
        </w:tblPrEx>
        <w:trPr>
          <w:trHeight w:val="255"/>
        </w:trPr>
        <w:tc>
          <w:tcPr>
            <w:tcW w:w="3448" w:type="dxa"/>
            <w:tcBorders>
              <w:top w:val="nil"/>
              <w:left w:val="single" w:sz="8" w:space="0" w:color="auto"/>
              <w:bottom w:val="single" w:sz="8" w:space="0" w:color="auto"/>
              <w:right w:val="single" w:sz="8" w:space="0" w:color="auto"/>
            </w:tcBorders>
            <w:shd w:val="solid" w:color="000000" w:fill="auto"/>
            <w:tcMar>
              <w:top w:w="0" w:type="dxa"/>
              <w:left w:w="70" w:type="dxa"/>
              <w:bottom w:w="0" w:type="dxa"/>
              <w:right w:w="70" w:type="dxa"/>
            </w:tcMar>
            <w:textDirection w:val="lrTb"/>
            <w:vAlign w:val="top"/>
          </w:tcPr>
          <w:p w:rsidR="00A44EF6" w:rsidRPr="00280E00" w:rsidP="009016CC">
            <w:pPr>
              <w:bidi w:val="0"/>
              <w:spacing w:after="0"/>
              <w:rPr>
                <w:rFonts w:ascii="Times New Roman" w:hAnsi="Times New Roman"/>
                <w:color w:val="FFFFFF"/>
                <w:szCs w:val="24"/>
              </w:rPr>
            </w:pPr>
            <w:r w:rsidRPr="00280E00">
              <w:rPr>
                <w:rFonts w:ascii="Times New Roman" w:hAnsi="Times New Roman"/>
                <w:b/>
                <w:color w:val="FFFFFF"/>
                <w:szCs w:val="24"/>
              </w:rPr>
              <w:t>Osobné výdavky celkom (v eurách)</w:t>
            </w:r>
          </w:p>
        </w:tc>
        <w:tc>
          <w:tcPr>
            <w:tcW w:w="1300"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top"/>
          </w:tcPr>
          <w:p w:rsidR="00A44EF6" w:rsidRPr="00BE4863" w:rsidP="009016CC">
            <w:pPr>
              <w:bidi w:val="0"/>
              <w:spacing w:after="0"/>
              <w:jc w:val="center"/>
              <w:rPr>
                <w:rFonts w:ascii="Times New Roman" w:hAnsi="Times New Roman"/>
                <w:color w:val="FFFF00"/>
                <w:szCs w:val="24"/>
              </w:rPr>
            </w:pPr>
            <w:r>
              <w:rPr>
                <w:rFonts w:ascii="Times New Roman" w:hAnsi="Times New Roman"/>
                <w:color w:val="FFFF00"/>
                <w:szCs w:val="24"/>
              </w:rPr>
              <w:t>2 074 920</w:t>
            </w:r>
          </w:p>
        </w:tc>
        <w:tc>
          <w:tcPr>
            <w:tcW w:w="1276"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top"/>
          </w:tcPr>
          <w:p w:rsidR="00A44EF6" w:rsidRPr="00BE4863" w:rsidP="009016CC">
            <w:pPr>
              <w:bidi w:val="0"/>
              <w:spacing w:after="0"/>
              <w:jc w:val="center"/>
              <w:rPr>
                <w:rFonts w:ascii="Times New Roman" w:hAnsi="Times New Roman"/>
                <w:color w:val="FFFF00"/>
                <w:szCs w:val="24"/>
              </w:rPr>
            </w:pPr>
            <w:r w:rsidRPr="00BE4863">
              <w:rPr>
                <w:rFonts w:ascii="Times New Roman" w:hAnsi="Times New Roman"/>
                <w:color w:val="FFFF00"/>
                <w:szCs w:val="24"/>
              </w:rPr>
              <w:t>2</w:t>
            </w:r>
            <w:r>
              <w:rPr>
                <w:rFonts w:ascii="Times New Roman" w:hAnsi="Times New Roman"/>
                <w:color w:val="FFFF00"/>
                <w:szCs w:val="24"/>
              </w:rPr>
              <w:t> </w:t>
            </w:r>
            <w:r w:rsidRPr="00BE4863">
              <w:rPr>
                <w:rFonts w:ascii="Times New Roman" w:hAnsi="Times New Roman"/>
                <w:color w:val="FFFF00"/>
                <w:szCs w:val="24"/>
              </w:rPr>
              <w:t>07</w:t>
            </w:r>
            <w:r>
              <w:rPr>
                <w:rFonts w:ascii="Times New Roman" w:hAnsi="Times New Roman"/>
                <w:color w:val="FFFF00"/>
                <w:szCs w:val="24"/>
              </w:rPr>
              <w:t>5 551</w:t>
            </w:r>
          </w:p>
        </w:tc>
        <w:tc>
          <w:tcPr>
            <w:tcW w:w="1134"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top"/>
          </w:tcPr>
          <w:p w:rsidR="00A44EF6" w:rsidRPr="00BE4863" w:rsidP="009016CC">
            <w:pPr>
              <w:bidi w:val="0"/>
              <w:spacing w:after="0"/>
              <w:jc w:val="center"/>
              <w:rPr>
                <w:rFonts w:ascii="Times New Roman" w:hAnsi="Times New Roman"/>
                <w:color w:val="FFFF00"/>
                <w:szCs w:val="24"/>
              </w:rPr>
            </w:pPr>
            <w:r w:rsidRPr="00BE4863">
              <w:rPr>
                <w:rFonts w:ascii="Times New Roman" w:hAnsi="Times New Roman"/>
                <w:color w:val="FFFF00"/>
                <w:szCs w:val="24"/>
              </w:rPr>
              <w:t>2 075 551</w:t>
            </w:r>
          </w:p>
        </w:tc>
        <w:tc>
          <w:tcPr>
            <w:tcW w:w="1134"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top"/>
          </w:tcPr>
          <w:p w:rsidR="00A44EF6" w:rsidRPr="00BE4863" w:rsidP="009016CC">
            <w:pPr>
              <w:bidi w:val="0"/>
              <w:spacing w:after="0"/>
              <w:jc w:val="center"/>
              <w:rPr>
                <w:rFonts w:ascii="Times New Roman" w:hAnsi="Times New Roman"/>
                <w:color w:val="FFFF00"/>
                <w:szCs w:val="24"/>
              </w:rPr>
            </w:pPr>
            <w:r w:rsidRPr="00BE4863">
              <w:rPr>
                <w:rFonts w:ascii="Times New Roman" w:hAnsi="Times New Roman"/>
                <w:color w:val="FFFF00"/>
                <w:szCs w:val="24"/>
              </w:rPr>
              <w:t>2 075 551</w:t>
            </w:r>
          </w:p>
        </w:tc>
        <w:tc>
          <w:tcPr>
            <w:tcW w:w="1208"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w:t>
            </w:r>
          </w:p>
        </w:tc>
      </w:tr>
      <w:tr>
        <w:tblPrEx>
          <w:tblW w:w="5000" w:type="pct"/>
          <w:tblCellMar>
            <w:left w:w="0" w:type="dxa"/>
            <w:right w:w="0" w:type="dxa"/>
          </w:tblCellMar>
        </w:tblPrEx>
        <w:trPr>
          <w:trHeight w:val="255"/>
        </w:trPr>
        <w:tc>
          <w:tcPr>
            <w:tcW w:w="3448"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sidRPr="00352400">
              <w:rPr>
                <w:rFonts w:ascii="Times New Roman" w:hAnsi="Times New Roman"/>
                <w:b/>
                <w:color w:val="000000"/>
                <w:szCs w:val="24"/>
              </w:rPr>
              <w:t xml:space="preserve">Mzdy, platy, služobné príjmy a ostatné osobné vyrovnania (610)* </w:t>
            </w:r>
          </w:p>
        </w:tc>
        <w:tc>
          <w:tcPr>
            <w:tcW w:w="1300"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1 508 160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1 508 617</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1 508 617</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1 508 617</w:t>
            </w:r>
          </w:p>
        </w:tc>
        <w:tc>
          <w:tcPr>
            <w:tcW w:w="1208"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w:t>
            </w:r>
          </w:p>
        </w:tc>
      </w:tr>
      <w:tr>
        <w:tblPrEx>
          <w:tblW w:w="5000" w:type="pct"/>
          <w:tblCellMar>
            <w:left w:w="0" w:type="dxa"/>
            <w:right w:w="0" w:type="dxa"/>
          </w:tblCellMar>
        </w:tblPrEx>
        <w:trPr>
          <w:trHeight w:val="255"/>
        </w:trPr>
        <w:tc>
          <w:tcPr>
            <w:tcW w:w="3448"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sidRPr="00352400">
              <w:rPr>
                <w:rFonts w:ascii="Times New Roman" w:hAnsi="Times New Roman"/>
                <w:b/>
                <w:color w:val="000000"/>
                <w:szCs w:val="24"/>
              </w:rPr>
              <w:t>   z toho vplyv na ŠR</w:t>
            </w:r>
          </w:p>
        </w:tc>
        <w:tc>
          <w:tcPr>
            <w:tcW w:w="1300"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1 508 160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1 508 617</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1 508 617</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1 508 617</w:t>
            </w:r>
          </w:p>
        </w:tc>
        <w:tc>
          <w:tcPr>
            <w:tcW w:w="1208"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w:t>
            </w:r>
          </w:p>
        </w:tc>
      </w:tr>
      <w:tr>
        <w:tblPrEx>
          <w:tblW w:w="5000" w:type="pct"/>
          <w:tblCellMar>
            <w:left w:w="0" w:type="dxa"/>
            <w:right w:w="0" w:type="dxa"/>
          </w:tblCellMar>
        </w:tblPrEx>
        <w:trPr>
          <w:trHeight w:val="255"/>
        </w:trPr>
        <w:tc>
          <w:tcPr>
            <w:tcW w:w="3448"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sidRPr="00352400">
              <w:rPr>
                <w:rFonts w:ascii="Times New Roman" w:hAnsi="Times New Roman"/>
                <w:b/>
                <w:color w:val="000000"/>
                <w:szCs w:val="24"/>
              </w:rPr>
              <w:t>Poistné a príspevok do poisťovní (620)*</w:t>
            </w:r>
          </w:p>
        </w:tc>
        <w:tc>
          <w:tcPr>
            <w:tcW w:w="1300"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566 760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566 934</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566 934</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566 934</w:t>
            </w:r>
          </w:p>
        </w:tc>
        <w:tc>
          <w:tcPr>
            <w:tcW w:w="1208"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w:t>
            </w:r>
          </w:p>
        </w:tc>
      </w:tr>
      <w:tr>
        <w:tblPrEx>
          <w:tblW w:w="5000" w:type="pct"/>
          <w:tblCellMar>
            <w:left w:w="0" w:type="dxa"/>
            <w:right w:w="0" w:type="dxa"/>
          </w:tblCellMar>
        </w:tblPrEx>
        <w:trPr>
          <w:trHeight w:val="255"/>
        </w:trPr>
        <w:tc>
          <w:tcPr>
            <w:tcW w:w="3448"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rPr>
                <w:rFonts w:ascii="Times New Roman" w:hAnsi="Times New Roman"/>
                <w:color w:val="000000"/>
                <w:szCs w:val="24"/>
              </w:rPr>
            </w:pPr>
            <w:r w:rsidRPr="00352400">
              <w:rPr>
                <w:rFonts w:ascii="Times New Roman" w:hAnsi="Times New Roman"/>
                <w:b/>
                <w:color w:val="000000"/>
                <w:szCs w:val="24"/>
              </w:rPr>
              <w:t>   z toho vplyv na ŠR</w:t>
            </w:r>
          </w:p>
        </w:tc>
        <w:tc>
          <w:tcPr>
            <w:tcW w:w="1300"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566 760</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566 934</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566 934</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A44EF6" w:rsidRPr="00352400" w:rsidP="009016CC">
            <w:pPr>
              <w:bidi w:val="0"/>
              <w:spacing w:after="0"/>
              <w:jc w:val="right"/>
              <w:rPr>
                <w:rFonts w:ascii="Times New Roman" w:hAnsi="Times New Roman"/>
                <w:color w:val="000000"/>
                <w:szCs w:val="24"/>
              </w:rPr>
            </w:pPr>
            <w:r>
              <w:rPr>
                <w:rFonts w:ascii="Times New Roman" w:hAnsi="Times New Roman"/>
                <w:color w:val="000000"/>
                <w:szCs w:val="24"/>
              </w:rPr>
              <w:t>566 934</w:t>
            </w:r>
          </w:p>
        </w:tc>
        <w:tc>
          <w:tcPr>
            <w:tcW w:w="1208"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tcPr>
          <w:p w:rsidR="00A44EF6" w:rsidRPr="00352400" w:rsidP="009016CC">
            <w:pPr>
              <w:bidi w:val="0"/>
              <w:spacing w:after="0"/>
              <w:rPr>
                <w:rFonts w:ascii="Times New Roman" w:hAnsi="Times New Roman"/>
                <w:color w:val="000000"/>
                <w:szCs w:val="24"/>
              </w:rPr>
            </w:pPr>
            <w:r w:rsidRPr="00352400">
              <w:rPr>
                <w:rFonts w:ascii="Times New Roman" w:hAnsi="Times New Roman"/>
                <w:color w:val="000000"/>
                <w:szCs w:val="24"/>
              </w:rPr>
              <w:t> </w:t>
            </w:r>
          </w:p>
        </w:tc>
      </w:tr>
    </w:tbl>
    <w:p w:rsidR="00A44EF6" w:rsidRPr="00352400" w:rsidP="00A44EF6">
      <w:pPr>
        <w:bidi w:val="0"/>
        <w:spacing w:after="0"/>
        <w:rPr>
          <w:rFonts w:ascii="Times New Roman" w:hAnsi="Times New Roman"/>
          <w:color w:val="000000"/>
          <w:szCs w:val="24"/>
        </w:rPr>
      </w:pPr>
      <w:r w:rsidRPr="00352400">
        <w:rPr>
          <w:rFonts w:ascii="Times New Roman" w:hAnsi="Times New Roman"/>
          <w:color w:val="000000"/>
          <w:szCs w:val="24"/>
        </w:rPr>
        <w:t> </w:t>
      </w:r>
    </w:p>
    <w:p w:rsidR="00A44EF6" w:rsidRPr="00352400" w:rsidP="00A44EF6">
      <w:pPr>
        <w:bidi w:val="0"/>
        <w:spacing w:after="0"/>
        <w:rPr>
          <w:rFonts w:ascii="Times New Roman" w:hAnsi="Times New Roman"/>
          <w:color w:val="000000"/>
          <w:szCs w:val="24"/>
        </w:rPr>
      </w:pPr>
      <w:r w:rsidRPr="00352400">
        <w:rPr>
          <w:rFonts w:ascii="Times New Roman" w:hAnsi="Times New Roman"/>
          <w:color w:val="000000"/>
          <w:szCs w:val="24"/>
        </w:rPr>
        <w:t> </w:t>
      </w:r>
    </w:p>
    <w:p w:rsidR="00A44EF6" w:rsidRPr="00352400" w:rsidP="00A44EF6">
      <w:pPr>
        <w:bidi w:val="0"/>
        <w:spacing w:after="0"/>
        <w:rPr>
          <w:rFonts w:ascii="Times New Roman" w:hAnsi="Times New Roman"/>
          <w:color w:val="000000"/>
          <w:szCs w:val="24"/>
        </w:rPr>
      </w:pPr>
      <w:r w:rsidRPr="00352400">
        <w:rPr>
          <w:rFonts w:ascii="Times New Roman" w:hAnsi="Times New Roman"/>
          <w:color w:val="000000"/>
          <w:szCs w:val="24"/>
        </w:rPr>
        <w:t> </w:t>
      </w:r>
    </w:p>
    <w:p w:rsidR="00A44EF6" w:rsidRPr="00352400" w:rsidP="00A44EF6">
      <w:pPr>
        <w:bidi w:val="0"/>
        <w:spacing w:after="280" w:afterAutospacing="1"/>
        <w:rPr>
          <w:rFonts w:ascii="Times New Roman" w:hAnsi="Times New Roman"/>
          <w:color w:val="000000"/>
          <w:szCs w:val="24"/>
        </w:rPr>
      </w:pPr>
      <w:r w:rsidRPr="00352400">
        <w:rPr>
          <w:rFonts w:ascii="Times New Roman" w:hAnsi="Times New Roman"/>
          <w:color w:val="000000"/>
          <w:szCs w:val="24"/>
        </w:rPr>
        <w:t> </w:t>
      </w:r>
    </w:p>
    <w:p w:rsidR="00A44EF6" w:rsidRPr="00352400" w:rsidP="00A44EF6">
      <w:pPr>
        <w:bidi w:val="0"/>
        <w:spacing w:after="280" w:afterAutospacing="1"/>
        <w:rPr>
          <w:rFonts w:ascii="Times New Roman" w:hAnsi="Times New Roman"/>
          <w:color w:val="000000"/>
          <w:szCs w:val="24"/>
        </w:rPr>
      </w:pPr>
      <w:r w:rsidRPr="00352400">
        <w:rPr>
          <w:rFonts w:ascii="Times New Roman" w:hAnsi="Times New Roman"/>
          <w:color w:val="000000"/>
          <w:szCs w:val="24"/>
        </w:rPr>
        <w:t> </w:t>
      </w:r>
    </w:p>
    <w:p w:rsidR="00A44EF6" w:rsidRPr="00352400" w:rsidP="00A44EF6">
      <w:pPr>
        <w:bidi w:val="0"/>
        <w:rPr>
          <w:rFonts w:ascii="Times New Roman" w:hAnsi="Times New Roman"/>
          <w:szCs w:val="24"/>
        </w:rPr>
      </w:pPr>
    </w:p>
    <w:p w:rsidR="00C87979" w:rsidRPr="00C96FB2" w:rsidP="00C87979">
      <w:pPr>
        <w:bidi w:val="0"/>
        <w:rPr>
          <w:rFonts w:ascii="Times New Roman" w:hAnsi="Times New Roman" w:cs="Times New Roman"/>
        </w:rPr>
        <w:sectPr w:rsidSect="00C707DB">
          <w:headerReference w:type="default" r:id="rId7"/>
          <w:pgSz w:w="11906" w:h="16838" w:code="9"/>
          <w:pgMar w:top="1440" w:right="1440" w:bottom="1440" w:left="1440" w:header="708" w:footer="708" w:gutter="0"/>
          <w:lnNumType w:distance="0"/>
          <w:cols w:space="708"/>
          <w:bidi w:val="0"/>
        </w:sectPr>
      </w:pPr>
    </w:p>
    <w:p w:rsidR="00872FF1" w:rsidRPr="00C96FB2" w:rsidP="00872FF1">
      <w:pPr>
        <w:bidi w:val="0"/>
        <w:spacing w:after="0" w:line="240" w:lineRule="auto"/>
        <w:jc w:val="center"/>
        <w:rPr>
          <w:rFonts w:ascii="Times New Roman" w:hAnsi="Times New Roman" w:cs="Times New Roman"/>
          <w:b/>
          <w:bCs/>
          <w:sz w:val="28"/>
          <w:szCs w:val="28"/>
        </w:rPr>
      </w:pPr>
      <w:r w:rsidRPr="00C96FB2">
        <w:rPr>
          <w:rFonts w:ascii="Times New Roman" w:hAnsi="Times New Roman" w:cs="Times New Roman"/>
          <w:b/>
          <w:bCs/>
          <w:sz w:val="28"/>
          <w:szCs w:val="28"/>
        </w:rPr>
        <w:t>Vplyvy na podnikateľské prostredie</w:t>
      </w:r>
    </w:p>
    <w:p w:rsidR="00872FF1" w:rsidRPr="00C96FB2" w:rsidP="00872FF1">
      <w:pPr>
        <w:bidi w:val="0"/>
        <w:spacing w:after="0" w:line="240" w:lineRule="auto"/>
        <w:rPr>
          <w:rFonts w:ascii="Times New Roman" w:hAnsi="Times New Roman" w:cs="Times New Roman"/>
          <w:b/>
          <w:bCs/>
          <w:sz w:val="28"/>
          <w:szCs w:val="28"/>
        </w:rPr>
      </w:pPr>
    </w:p>
    <w:p w:rsidR="00872FF1" w:rsidRPr="00C96FB2" w:rsidP="00872FF1">
      <w:pPr>
        <w:bidi w:val="0"/>
        <w:spacing w:after="0" w:line="240" w:lineRule="auto"/>
        <w:rPr>
          <w:rFonts w:ascii="Times New Roman" w:hAnsi="Times New Roman" w:cs="Times New Roman"/>
          <w:b/>
          <w:bCs/>
        </w:rPr>
      </w:pP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872FF1" w:rsidRPr="00C96FB2" w:rsidP="00872FF1">
            <w:pPr>
              <w:bidi w:val="0"/>
              <w:spacing w:after="0" w:line="240" w:lineRule="auto"/>
              <w:jc w:val="center"/>
              <w:rPr>
                <w:rFonts w:ascii="Times New Roman" w:hAnsi="Times New Roman" w:cs="Times New Roman"/>
                <w:b/>
                <w:bCs/>
                <w:color w:val="FFFFFF"/>
              </w:rPr>
            </w:pPr>
            <w:r w:rsidRPr="00C96FB2">
              <w:rPr>
                <w:rFonts w:ascii="Times New Roman" w:hAnsi="Times New Roman" w:cs="Times New Roman"/>
                <w:b/>
                <w:bCs/>
                <w:color w:val="FFFFFF"/>
              </w:rPr>
              <w:t>Vplyvy na podnikateľské prostredie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872FF1" w:rsidRPr="00C96FB2" w:rsidP="00872FF1">
            <w:pPr>
              <w:bidi w:val="0"/>
              <w:spacing w:after="0" w:line="240" w:lineRule="auto"/>
              <w:rPr>
                <w:rFonts w:ascii="Times New Roman" w:hAnsi="Times New Roman" w:cs="Times New Roman"/>
              </w:rPr>
            </w:pPr>
          </w:p>
          <w:p w:rsidR="00872FF1" w:rsidRPr="00C96FB2" w:rsidP="00872FF1">
            <w:pPr>
              <w:bidi w:val="0"/>
              <w:spacing w:after="0" w:line="240" w:lineRule="auto"/>
              <w:rPr>
                <w:rFonts w:ascii="Times New Roman" w:hAnsi="Times New Roman" w:cs="Times New Roman"/>
              </w:rPr>
            </w:pPr>
            <w:r w:rsidRPr="00C96FB2">
              <w:rPr>
                <w:rFonts w:ascii="Times New Roman" w:hAnsi="Times New Roman" w:cs="Times New Roman"/>
                <w:b/>
              </w:rPr>
              <w:t>3.1</w:t>
            </w:r>
            <w:r w:rsidRPr="00C96FB2">
              <w:rPr>
                <w:rFonts w:ascii="Times New Roman" w:hAnsi="Times New Roman" w:cs="Times New Roman"/>
              </w:rPr>
              <w:t>. Ktoré podnikateľské subjekty budú predkladaným návrhom ovplyvnené a aký je ich počet?</w:t>
            </w:r>
          </w:p>
          <w:p w:rsidR="00872FF1" w:rsidRPr="00C96FB2" w:rsidP="00872FF1">
            <w:pPr>
              <w:bidi w:val="0"/>
              <w:spacing w:after="0" w:line="240" w:lineRule="auto"/>
              <w:rPr>
                <w:rFonts w:ascii="Times New Roman" w:hAnsi="Times New Roman" w:cs="Times New Roman"/>
              </w:rPr>
            </w:pPr>
          </w:p>
        </w:tc>
        <w:tc>
          <w:tcPr>
            <w:tcW w:w="5040" w:type="dxa"/>
            <w:tcBorders>
              <w:top w:val="nil"/>
              <w:left w:val="nil"/>
              <w:bottom w:val="single" w:sz="4" w:space="0" w:color="auto"/>
              <w:right w:val="single" w:sz="8" w:space="0" w:color="auto"/>
            </w:tcBorders>
            <w:noWrap/>
            <w:textDirection w:val="lrTb"/>
            <w:vAlign w:val="center"/>
          </w:tcPr>
          <w:p w:rsidR="00872FF1" w:rsidRPr="00C96FB2" w:rsidP="00872FF1">
            <w:pPr>
              <w:bidi w:val="0"/>
              <w:spacing w:after="0" w:line="240" w:lineRule="auto"/>
              <w:rPr>
                <w:rFonts w:ascii="Times New Roman" w:hAnsi="Times New Roman" w:cs="Times New Roman"/>
                <w:b/>
              </w:rPr>
            </w:pPr>
            <w:r w:rsidRPr="00C96FB2">
              <w:rPr>
                <w:rFonts w:ascii="Times New Roman" w:hAnsi="Times New Roman" w:cs="Times New Roman"/>
              </w:rPr>
              <w:t xml:space="preserve">Ovplyvnené podnikateľské subjekty – </w:t>
            </w:r>
            <w:r w:rsidRPr="00C96FB2">
              <w:rPr>
                <w:rFonts w:ascii="Times New Roman" w:hAnsi="Times New Roman" w:cs="Times New Roman"/>
                <w:b/>
              </w:rPr>
              <w:t>počet 2, výroba a distribúcia elektriny ( 40.1 CPA)</w:t>
            </w:r>
          </w:p>
          <w:p w:rsidR="00872FF1" w:rsidRPr="00C96FB2" w:rsidP="00872FF1">
            <w:pPr>
              <w:bidi w:val="0"/>
              <w:spacing w:after="0" w:line="240" w:lineRule="auto"/>
              <w:rPr>
                <w:rFonts w:ascii="Times New Roman" w:hAnsi="Times New Roman" w:cs="Times New Roman"/>
              </w:rPr>
            </w:pPr>
            <w:r w:rsidRPr="00C96FB2">
              <w:rPr>
                <w:rFonts w:ascii="Times New Roman" w:hAnsi="Times New Roman" w:cs="Times New Roman"/>
              </w:rPr>
              <w:t xml:space="preserve">Konkrétne: </w:t>
            </w:r>
          </w:p>
          <w:p w:rsidR="00872FF1" w:rsidRPr="00C96FB2" w:rsidP="00872FF1">
            <w:pPr>
              <w:bidi w:val="0"/>
              <w:spacing w:after="0" w:line="240" w:lineRule="auto"/>
              <w:rPr>
                <w:rFonts w:ascii="Times New Roman" w:hAnsi="Times New Roman" w:cs="Times New Roman"/>
              </w:rPr>
            </w:pPr>
            <w:r w:rsidRPr="00C96FB2">
              <w:rPr>
                <w:rFonts w:ascii="Times New Roman" w:hAnsi="Times New Roman" w:cs="Times New Roman"/>
                <w:b/>
              </w:rPr>
              <w:t>prevádzkovatelia jadrových zariadení</w:t>
            </w:r>
            <w:r w:rsidRPr="00C96FB2">
              <w:rPr>
                <w:rFonts w:ascii="Times New Roman" w:hAnsi="Times New Roman" w:cs="Times New Roman"/>
              </w:rPr>
              <w:t xml:space="preserve">: </w:t>
            </w:r>
          </w:p>
          <w:p w:rsidR="00872FF1" w:rsidRPr="00C96FB2" w:rsidP="00872FF1">
            <w:pPr>
              <w:pStyle w:val="ListParagraph"/>
              <w:numPr>
                <w:numId w:val="39"/>
              </w:numPr>
              <w:bidi w:val="0"/>
              <w:spacing w:after="0" w:line="240" w:lineRule="auto"/>
              <w:jc w:val="left"/>
              <w:rPr>
                <w:rFonts w:ascii="Times New Roman" w:hAnsi="Times New Roman" w:cs="Times New Roman"/>
              </w:rPr>
            </w:pPr>
            <w:r w:rsidRPr="00C96FB2">
              <w:rPr>
                <w:rFonts w:ascii="Times New Roman" w:hAnsi="Times New Roman" w:cs="Times New Roman"/>
              </w:rPr>
              <w:t xml:space="preserve">Slovenské elektrárne, a. s. </w:t>
            </w:r>
          </w:p>
          <w:p w:rsidR="00872FF1" w:rsidRPr="00C96FB2" w:rsidP="00872FF1">
            <w:pPr>
              <w:pStyle w:val="ListParagraph"/>
              <w:numPr>
                <w:numId w:val="39"/>
              </w:numPr>
              <w:bidi w:val="0"/>
              <w:spacing w:after="0" w:line="240" w:lineRule="auto"/>
              <w:jc w:val="left"/>
              <w:rPr>
                <w:rFonts w:ascii="Times New Roman" w:hAnsi="Times New Roman" w:cs="Times New Roman"/>
              </w:rPr>
            </w:pPr>
            <w:r w:rsidRPr="00C96FB2">
              <w:rPr>
                <w:rFonts w:ascii="Times New Roman" w:hAnsi="Times New Roman" w:cs="Times New Roman"/>
              </w:rPr>
              <w:t>Jadrová a vyraďovacia spoločnosť, a. s.</w:t>
            </w:r>
          </w:p>
          <w:p w:rsidR="00872FF1" w:rsidRPr="00C96FB2" w:rsidP="00872FF1">
            <w:pPr>
              <w:bidi w:val="0"/>
              <w:spacing w:after="0" w:line="240" w:lineRule="auto"/>
              <w:rPr>
                <w:rFonts w:ascii="Times New Roman" w:hAnsi="Times New Roman" w:cs="Times New Roman"/>
                <w:b/>
              </w:rPr>
            </w:pPr>
            <w:r w:rsidRPr="00C96FB2">
              <w:rPr>
                <w:rFonts w:ascii="Times New Roman" w:hAnsi="Times New Roman" w:cs="Times New Roman"/>
                <w:b/>
              </w:rPr>
              <w:t>+2 subjekty ovplyvnené čiastočne</w:t>
            </w:r>
          </w:p>
          <w:p w:rsidR="00872FF1" w:rsidRPr="00C96FB2" w:rsidP="00872FF1">
            <w:pPr>
              <w:bidi w:val="0"/>
              <w:spacing w:after="0" w:line="240" w:lineRule="auto"/>
              <w:rPr>
                <w:rFonts w:ascii="Times New Roman" w:hAnsi="Times New Roman" w:cs="Times New Roman"/>
              </w:rPr>
            </w:pPr>
            <w:r w:rsidRPr="00C96FB2">
              <w:rPr>
                <w:rFonts w:ascii="Times New Roman" w:hAnsi="Times New Roman" w:cs="Times New Roman"/>
                <w:b/>
              </w:rPr>
              <w:t xml:space="preserve">VUJE, a.s. </w:t>
            </w:r>
            <w:r w:rsidRPr="00C96FB2">
              <w:rPr>
                <w:rFonts w:ascii="Times New Roman" w:hAnsi="Times New Roman" w:cs="Times New Roman"/>
              </w:rPr>
              <w:t>- pri vyraďovaní</w:t>
            </w:r>
          </w:p>
          <w:p w:rsidR="00872FF1" w:rsidRPr="00C96FB2" w:rsidP="00872FF1">
            <w:pPr>
              <w:bidi w:val="0"/>
              <w:spacing w:after="0" w:line="240" w:lineRule="auto"/>
              <w:rPr>
                <w:rFonts w:ascii="Times New Roman" w:hAnsi="Times New Roman" w:cs="Times New Roman"/>
              </w:rPr>
            </w:pPr>
            <w:r w:rsidRPr="00C96FB2">
              <w:rPr>
                <w:rFonts w:ascii="Times New Roman" w:hAnsi="Times New Roman" w:cs="Times New Roman"/>
                <w:b/>
              </w:rPr>
              <w:t>JESS, a.s.</w:t>
            </w:r>
            <w:r w:rsidRPr="00C96FB2">
              <w:rPr>
                <w:rFonts w:ascii="Times New Roman" w:hAnsi="Times New Roman" w:cs="Times New Roman"/>
              </w:rPr>
              <w:t xml:space="preserve"> - pri budúcej výstavbe jadrových zariadení</w:t>
            </w:r>
          </w:p>
          <w:p w:rsidR="00872FF1" w:rsidRPr="00C96FB2" w:rsidP="00872FF1">
            <w:pPr>
              <w:bidi w:val="0"/>
              <w:spacing w:after="0" w:line="240" w:lineRule="auto"/>
              <w:ind w:left="720"/>
              <w:rPr>
                <w:rFonts w:ascii="Times New Roman" w:hAnsi="Times New Roman" w:cs="Times New Roman"/>
                <w:sz w:val="20"/>
                <w:szCs w:val="20"/>
              </w:rPr>
            </w:pP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872FF1" w:rsidRPr="00C96FB2" w:rsidP="00872FF1">
            <w:pPr>
              <w:bidi w:val="0"/>
              <w:spacing w:after="0" w:line="240" w:lineRule="auto"/>
              <w:rPr>
                <w:rFonts w:ascii="Times New Roman" w:hAnsi="Times New Roman" w:cs="Times New Roman"/>
              </w:rPr>
            </w:pPr>
          </w:p>
          <w:p w:rsidR="00872FF1" w:rsidRPr="00C96FB2" w:rsidP="00872FF1">
            <w:pPr>
              <w:bidi w:val="0"/>
              <w:spacing w:after="0" w:line="240" w:lineRule="auto"/>
              <w:rPr>
                <w:rFonts w:ascii="Times New Roman" w:hAnsi="Times New Roman" w:cs="Times New Roman"/>
              </w:rPr>
            </w:pPr>
            <w:r w:rsidRPr="00C96FB2">
              <w:rPr>
                <w:rFonts w:ascii="Times New Roman" w:hAnsi="Times New Roman" w:cs="Times New Roman"/>
                <w:b/>
              </w:rPr>
              <w:t>3.2</w:t>
            </w:r>
            <w:r w:rsidRPr="00C96FB2">
              <w:rPr>
                <w:rFonts w:ascii="Times New Roman" w:hAnsi="Times New Roman" w:cs="Times New Roman"/>
              </w:rPr>
              <w:t>. Aký je predpokladaný charakter a rozsah nákladov a prínosov?</w:t>
            </w:r>
          </w:p>
          <w:p w:rsidR="00872FF1" w:rsidRPr="00C96FB2" w:rsidP="00872FF1">
            <w:pPr>
              <w:bidi w:val="0"/>
              <w:spacing w:after="0" w:line="240" w:lineRule="auto"/>
              <w:rPr>
                <w:rFonts w:ascii="Times New Roman" w:hAnsi="Times New Roman" w:cs="Times New Roman"/>
              </w:rPr>
            </w:pPr>
          </w:p>
        </w:tc>
        <w:tc>
          <w:tcPr>
            <w:tcW w:w="5040" w:type="dxa"/>
            <w:tcBorders>
              <w:top w:val="nil"/>
              <w:left w:val="nil"/>
              <w:bottom w:val="single" w:sz="4" w:space="0" w:color="auto"/>
              <w:right w:val="single" w:sz="8" w:space="0" w:color="auto"/>
            </w:tcBorders>
            <w:noWrap/>
            <w:textDirection w:val="lrTb"/>
            <w:vAlign w:val="center"/>
          </w:tcPr>
          <w:p w:rsidR="00872FF1" w:rsidRPr="00C96FB2" w:rsidP="00872FF1">
            <w:pPr>
              <w:bidi w:val="0"/>
              <w:spacing w:after="0" w:line="240" w:lineRule="auto"/>
              <w:rPr>
                <w:rFonts w:ascii="Times New Roman" w:hAnsi="Times New Roman" w:cs="Times New Roman"/>
              </w:rPr>
            </w:pPr>
            <w:r w:rsidRPr="00C96FB2">
              <w:rPr>
                <w:rFonts w:ascii="Times New Roman" w:hAnsi="Times New Roman" w:cs="Times New Roman"/>
              </w:rPr>
              <w:t>Návrhom zákona sa nezmenia povinnosti ovplyvnených podnikateľských subjektov. Dôjde  ním však k precizovaniu právnej úpravy  požiadaviek na jadrovú bezpečnosť, nezakladajú sa ním nové povinnosti. Spôsob, akým držitelia povolenia implementujú tieto požiadavky je na nich. Z tohto dôvodu nie je možné ani približne predkladateľom vyčísliť náklady a prínosy.</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872FF1" w:rsidRPr="00C96FB2" w:rsidP="00872FF1">
            <w:pPr>
              <w:bidi w:val="0"/>
              <w:spacing w:after="0" w:line="240" w:lineRule="auto"/>
              <w:rPr>
                <w:rFonts w:ascii="Times New Roman" w:hAnsi="Times New Roman" w:cs="Times New Roman"/>
              </w:rPr>
            </w:pPr>
          </w:p>
          <w:p w:rsidR="00872FF1" w:rsidRPr="00C96FB2" w:rsidP="00872FF1">
            <w:pPr>
              <w:bidi w:val="0"/>
              <w:spacing w:after="0" w:line="240" w:lineRule="auto"/>
              <w:rPr>
                <w:rFonts w:ascii="Times New Roman" w:hAnsi="Times New Roman" w:cs="Times New Roman"/>
              </w:rPr>
            </w:pPr>
            <w:r w:rsidRPr="00C96FB2">
              <w:rPr>
                <w:rFonts w:ascii="Times New Roman" w:hAnsi="Times New Roman" w:cs="Times New Roman"/>
                <w:b/>
              </w:rPr>
              <w:t>3.3</w:t>
            </w:r>
            <w:r w:rsidRPr="00C96FB2">
              <w:rPr>
                <w:rFonts w:ascii="Times New Roman" w:hAnsi="Times New Roman" w:cs="Times New Roman"/>
              </w:rPr>
              <w:t>. Aká je predpokladaná výška administratívnych nákladov, ktoré podniky vynaložia v súvislosti s implementáciou návrhu?</w:t>
            </w:r>
          </w:p>
          <w:p w:rsidR="00872FF1" w:rsidRPr="00C96FB2" w:rsidP="00872FF1">
            <w:pPr>
              <w:bidi w:val="0"/>
              <w:spacing w:after="0" w:line="240" w:lineRule="auto"/>
              <w:ind w:left="360" w:hanging="360"/>
              <w:rPr>
                <w:rFonts w:ascii="Times New Roman" w:hAnsi="Times New Roman" w:cs="Times New Roman"/>
              </w:rPr>
            </w:pPr>
          </w:p>
        </w:tc>
        <w:tc>
          <w:tcPr>
            <w:tcW w:w="5040" w:type="dxa"/>
            <w:tcBorders>
              <w:top w:val="nil"/>
              <w:left w:val="nil"/>
              <w:bottom w:val="single" w:sz="4" w:space="0" w:color="auto"/>
              <w:right w:val="single" w:sz="8" w:space="0" w:color="auto"/>
            </w:tcBorders>
            <w:noWrap/>
            <w:textDirection w:val="lrTb"/>
            <w:vAlign w:val="center"/>
          </w:tcPr>
          <w:p w:rsidR="00872FF1" w:rsidRPr="00C96FB2" w:rsidP="00872FF1">
            <w:pPr>
              <w:bidi w:val="0"/>
              <w:spacing w:after="0" w:line="240" w:lineRule="auto"/>
              <w:rPr>
                <w:rFonts w:ascii="Times New Roman" w:hAnsi="Times New Roman" w:cs="Times New Roman"/>
              </w:rPr>
            </w:pPr>
            <w:r w:rsidRPr="00C96FB2">
              <w:rPr>
                <w:rFonts w:ascii="Times New Roman" w:hAnsi="Times New Roman" w:cs="Times New Roman"/>
              </w:rPr>
              <w:t>Podniky nevynaložia žiadne nové administratívne náklady. Pokiaľ ide o výšku príspevkov na výkon štátneho dozoru, tieto boli už zavedené zákonom č. 94/2007 Z. z. a novelizované zákonom č. 120/2010 Z. z. a v predkladanom zákone sa nemenia.</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872FF1" w:rsidRPr="00C96FB2" w:rsidP="00872FF1">
            <w:pPr>
              <w:bidi w:val="0"/>
              <w:spacing w:after="0" w:line="240" w:lineRule="auto"/>
              <w:rPr>
                <w:rFonts w:ascii="Times New Roman" w:hAnsi="Times New Roman" w:cs="Times New Roman"/>
              </w:rPr>
            </w:pPr>
          </w:p>
          <w:p w:rsidR="00872FF1" w:rsidRPr="00C96FB2" w:rsidP="00872FF1">
            <w:pPr>
              <w:bidi w:val="0"/>
              <w:spacing w:after="0" w:line="240" w:lineRule="auto"/>
              <w:rPr>
                <w:rFonts w:ascii="Times New Roman" w:hAnsi="Times New Roman" w:cs="Times New Roman"/>
              </w:rPr>
            </w:pPr>
            <w:r w:rsidRPr="00C96FB2">
              <w:rPr>
                <w:rFonts w:ascii="Times New Roman" w:hAnsi="Times New Roman" w:cs="Times New Roman"/>
                <w:b/>
              </w:rPr>
              <w:t>3.4</w:t>
            </w:r>
            <w:r w:rsidRPr="00C96FB2">
              <w:rPr>
                <w:rFonts w:ascii="Times New Roman" w:hAnsi="Times New Roman" w:cs="Times New Roman"/>
              </w:rPr>
              <w:t>. Aké sú dôsledky pripravovaného návrhu pre fungovanie podnikateľských subjektov na slovenskom trhu (ako sa zmenia operácie na trhu?)</w:t>
            </w:r>
          </w:p>
          <w:p w:rsidR="00872FF1" w:rsidRPr="00C96FB2" w:rsidP="00872FF1">
            <w:pPr>
              <w:bidi w:val="0"/>
              <w:spacing w:after="0" w:line="240" w:lineRule="auto"/>
              <w:ind w:left="360"/>
              <w:rPr>
                <w:rFonts w:ascii="Times New Roman" w:hAnsi="Times New Roman" w:cs="Times New Roman"/>
              </w:rPr>
            </w:pPr>
          </w:p>
        </w:tc>
        <w:tc>
          <w:tcPr>
            <w:tcW w:w="5040" w:type="dxa"/>
            <w:tcBorders>
              <w:top w:val="nil"/>
              <w:left w:val="nil"/>
              <w:bottom w:val="single" w:sz="4" w:space="0" w:color="auto"/>
              <w:right w:val="single" w:sz="8" w:space="0" w:color="auto"/>
            </w:tcBorders>
            <w:noWrap/>
            <w:textDirection w:val="lrTb"/>
            <w:vAlign w:val="center"/>
          </w:tcPr>
          <w:p w:rsidR="00872FF1" w:rsidRPr="00C96FB2" w:rsidP="00872FF1">
            <w:pPr>
              <w:bidi w:val="0"/>
              <w:spacing w:after="0" w:line="240" w:lineRule="auto"/>
              <w:rPr>
                <w:rFonts w:ascii="Times New Roman" w:hAnsi="Times New Roman" w:cs="Times New Roman"/>
              </w:rPr>
            </w:pPr>
            <w:r w:rsidRPr="00C96FB2">
              <w:rPr>
                <w:rFonts w:ascii="Times New Roman" w:hAnsi="Times New Roman" w:cs="Times New Roman"/>
              </w:rPr>
              <w:t xml:space="preserve">Z charakteru návrhu a z jeho dosahu na veľmi obmedzený počet subjektov nedôjde k žiadnym vplyvom na operácie na trhu. Je možné predpokladať zvýšenú akceptovateľnosť jadrovej energetiky vo verejnosti. </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872FF1" w:rsidRPr="00C96FB2" w:rsidP="00872FF1">
            <w:pPr>
              <w:bidi w:val="0"/>
              <w:spacing w:after="0" w:line="240" w:lineRule="auto"/>
              <w:rPr>
                <w:rFonts w:ascii="Times New Roman" w:hAnsi="Times New Roman" w:cs="Times New Roman"/>
              </w:rPr>
            </w:pPr>
          </w:p>
          <w:p w:rsidR="00872FF1" w:rsidRPr="00C96FB2" w:rsidP="00872FF1">
            <w:pPr>
              <w:bidi w:val="0"/>
              <w:spacing w:after="0" w:line="240" w:lineRule="auto"/>
              <w:rPr>
                <w:rFonts w:ascii="Times New Roman" w:hAnsi="Times New Roman" w:cs="Times New Roman"/>
              </w:rPr>
            </w:pPr>
            <w:r w:rsidRPr="00C96FB2">
              <w:rPr>
                <w:rFonts w:ascii="Times New Roman" w:hAnsi="Times New Roman" w:cs="Times New Roman"/>
                <w:b/>
              </w:rPr>
              <w:t>3.5</w:t>
            </w:r>
            <w:r w:rsidRPr="00C96FB2">
              <w:rPr>
                <w:rFonts w:ascii="Times New Roman" w:hAnsi="Times New Roman" w:cs="Times New Roman"/>
              </w:rPr>
              <w:t>. Aké sú predpokladané spoločensko – ekonomické dôsledky pripravovaných regulácií?</w:t>
            </w:r>
          </w:p>
          <w:p w:rsidR="00872FF1" w:rsidRPr="00C96FB2" w:rsidP="00872FF1">
            <w:pPr>
              <w:bidi w:val="0"/>
              <w:spacing w:after="0" w:line="240" w:lineRule="auto"/>
              <w:rPr>
                <w:rFonts w:ascii="Times New Roman" w:hAnsi="Times New Roman" w:cs="Times New Roman"/>
              </w:rPr>
            </w:pPr>
          </w:p>
        </w:tc>
        <w:tc>
          <w:tcPr>
            <w:tcW w:w="5040" w:type="dxa"/>
            <w:tcBorders>
              <w:top w:val="nil"/>
              <w:left w:val="nil"/>
              <w:bottom w:val="single" w:sz="4" w:space="0" w:color="auto"/>
              <w:right w:val="single" w:sz="8" w:space="0" w:color="auto"/>
            </w:tcBorders>
            <w:noWrap/>
            <w:textDirection w:val="lrTb"/>
            <w:vAlign w:val="center"/>
          </w:tcPr>
          <w:p w:rsidR="00872FF1" w:rsidRPr="00C96FB2" w:rsidP="00872FF1">
            <w:pPr>
              <w:bidi w:val="0"/>
              <w:spacing w:after="0" w:line="240" w:lineRule="auto"/>
              <w:rPr>
                <w:rFonts w:ascii="Times New Roman" w:hAnsi="Times New Roman" w:cs="Times New Roman"/>
              </w:rPr>
            </w:pPr>
            <w:r w:rsidRPr="00C96FB2">
              <w:rPr>
                <w:rFonts w:ascii="Times New Roman" w:hAnsi="Times New Roman" w:cs="Times New Roman"/>
              </w:rPr>
              <w:t xml:space="preserve">Dôsledky prijatia predkladaného zákona nie je možné vyčísliť z dôvodu, že prijatím zákona dôjde len k úprave ustanovení vo vzťahu k jadrovej bezpečnosti, ktorá sa zvýši, čo bude mať pozitívny vplyv na spoločnosť v miere vyššej akceptovateľnosti jadrovej energetiky zvýšením dozorných aktivít a povinností vo vzťahu k jadrovej bezpečnosti.  </w:t>
            </w:r>
          </w:p>
        </w:tc>
      </w:tr>
    </w:tbl>
    <w:p w:rsidR="00872FF1" w:rsidRPr="00C96FB2" w:rsidP="00872FF1">
      <w:pPr>
        <w:bidi w:val="0"/>
        <w:spacing w:after="0" w:line="240" w:lineRule="auto"/>
        <w:rPr>
          <w:rFonts w:ascii="Times New Roman" w:hAnsi="Times New Roman" w:cs="Times New Roman"/>
        </w:rPr>
      </w:pPr>
      <w:bookmarkStart w:id="1" w:name="_Toc26167451"/>
      <w:bookmarkEnd w:id="1"/>
    </w:p>
    <w:p w:rsidR="00872FF1" w:rsidRPr="00C96FB2" w:rsidP="00872FF1">
      <w:pPr>
        <w:bidi w:val="0"/>
        <w:spacing w:after="0" w:line="240" w:lineRule="auto"/>
        <w:rPr>
          <w:rFonts w:ascii="Times New Roman" w:hAnsi="Times New Roman" w:cs="Times New Roman"/>
        </w:rPr>
        <w:sectPr w:rsidSect="00C707DB">
          <w:headerReference w:type="default" r:id="rId8"/>
          <w:pgSz w:w="11906" w:h="16838" w:code="9"/>
          <w:pgMar w:top="1440" w:right="1440" w:bottom="1440" w:left="1440" w:header="709" w:footer="709" w:gutter="0"/>
          <w:lnNumType w:distance="0"/>
          <w:cols w:space="708"/>
          <w:bidi w:val="0"/>
        </w:sectPr>
      </w:pPr>
    </w:p>
    <w:p w:rsidR="00872FF1" w:rsidRPr="00C96FB2" w:rsidP="00825420">
      <w:pPr>
        <w:bidi w:val="0"/>
        <w:spacing w:after="0" w:line="240" w:lineRule="auto"/>
        <w:rPr>
          <w:rFonts w:ascii="Times New Roman" w:hAnsi="Times New Roman" w:cs="Times New Roman"/>
          <w:b/>
          <w:sz w:val="28"/>
          <w:szCs w:val="28"/>
        </w:rPr>
      </w:pPr>
      <w:r w:rsidRPr="00C96FB2">
        <w:rPr>
          <w:rFonts w:ascii="Times New Roman" w:hAnsi="Times New Roman" w:cs="Times New Roman"/>
          <w:b/>
          <w:sz w:val="28"/>
          <w:szCs w:val="28"/>
        </w:rPr>
        <w:t>Sociálne vplyvy -  vplyvy na hospodárenie obyvateľstva, sociálnu exklúziu, rovnosť príležitostí a rodovú rovnosť  a na zamestnanosť</w:t>
      </w:r>
    </w:p>
    <w:p w:rsidR="00872FF1" w:rsidRPr="00C96FB2" w:rsidP="00825420">
      <w:pPr>
        <w:bidi w:val="0"/>
        <w:spacing w:after="0" w:line="240" w:lineRule="auto"/>
        <w:rPr>
          <w:rFonts w:ascii="Times New Roman" w:hAnsi="Times New Roman" w:cs="Times New Roman"/>
          <w:b/>
          <w:bCs/>
        </w:rPr>
      </w:pPr>
    </w:p>
    <w:p w:rsidR="00872FF1" w:rsidRPr="00C96FB2" w:rsidP="00825420">
      <w:pPr>
        <w:bidi w:val="0"/>
        <w:spacing w:after="0" w:line="240" w:lineRule="auto"/>
        <w:rPr>
          <w:rFonts w:ascii="Times New Roman" w:hAnsi="Times New Roman" w:cs="Times New Roman"/>
          <w:b/>
          <w:bCs/>
        </w:rPr>
      </w:pP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872FF1" w:rsidRPr="00C96FB2" w:rsidP="00825420">
            <w:pPr>
              <w:bidi w:val="0"/>
              <w:spacing w:after="0" w:line="240" w:lineRule="auto"/>
              <w:jc w:val="center"/>
              <w:rPr>
                <w:rFonts w:ascii="Times New Roman" w:hAnsi="Times New Roman" w:cs="Times New Roman"/>
                <w:b/>
                <w:bCs/>
                <w:color w:val="FFFFFF"/>
              </w:rPr>
            </w:pPr>
            <w:r w:rsidRPr="00C96FB2">
              <w:rPr>
                <w:rFonts w:ascii="Times New Roman" w:hAnsi="Times New Roman" w:cs="Times New Roman"/>
                <w:b/>
                <w:bCs/>
                <w:color w:val="FFFFFF"/>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872FF1" w:rsidRPr="00C96FB2" w:rsidP="00825420">
            <w:pPr>
              <w:bidi w:val="0"/>
              <w:spacing w:after="0" w:line="240" w:lineRule="auto"/>
              <w:rPr>
                <w:rFonts w:ascii="Times New Roman" w:hAnsi="Times New Roman" w:cs="Times New Roman"/>
              </w:rPr>
            </w:pPr>
            <w:r w:rsidRPr="00C96FB2">
              <w:rPr>
                <w:rFonts w:ascii="Times New Roman" w:hAnsi="Times New Roman" w:cs="Times New Roman"/>
                <w:b/>
              </w:rPr>
              <w:t>4.1.</w:t>
            </w:r>
            <w:r w:rsidRPr="00C96FB2">
              <w:rPr>
                <w:rFonts w:ascii="Times New Roman" w:hAnsi="Times New Roman" w:cs="Times New Roman"/>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tcPr>
          <w:p w:rsidR="00872FF1" w:rsidRPr="00C96FB2" w:rsidP="00825420">
            <w:pPr>
              <w:bidi w:val="0"/>
              <w:spacing w:after="0" w:line="240" w:lineRule="auto"/>
              <w:rPr>
                <w:rFonts w:ascii="Times New Roman" w:hAnsi="Times New Roman" w:cs="Times New Roman"/>
              </w:rPr>
            </w:pPr>
            <w:r w:rsidRPr="00C96FB2">
              <w:rPr>
                <w:rFonts w:ascii="Times New Roman" w:hAnsi="Times New Roman" w:cs="Times New Roman"/>
              </w:rPr>
              <w:t> žiadny</w:t>
            </w:r>
          </w:p>
        </w:tc>
      </w:tr>
      <w:tr>
        <w:tblPrEx>
          <w:tblW w:w="9015" w:type="dxa"/>
          <w:jc w:val="center"/>
          <w:tblCellMar>
            <w:left w:w="70" w:type="dxa"/>
            <w:right w:w="70" w:type="dxa"/>
          </w:tblCellMar>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tcPr>
          <w:p w:rsidR="00872FF1" w:rsidRPr="00C96FB2" w:rsidP="00AD2429">
            <w:pPr>
              <w:bidi w:val="0"/>
              <w:spacing w:after="0" w:line="240" w:lineRule="auto"/>
              <w:ind w:firstLine="480" w:firstLineChars="200"/>
              <w:rPr>
                <w:rFonts w:ascii="Times New Roman" w:hAnsi="Times New Roman" w:cs="Times New Roman"/>
              </w:rPr>
            </w:pPr>
            <w:r w:rsidRPr="00C96FB2">
              <w:rPr>
                <w:rFonts w:ascii="Times New Roman" w:hAnsi="Times New Roman" w:cs="Times New Roman"/>
              </w:rPr>
              <w:t xml:space="preserve">Kvantifikujte: </w:t>
            </w:r>
          </w:p>
        </w:tc>
        <w:tc>
          <w:tcPr>
            <w:tcW w:w="4140" w:type="dxa"/>
            <w:vMerge w:val="restart"/>
            <w:tcBorders>
              <w:top w:val="none" w:sz="0" w:space="0" w:color="auto"/>
              <w:left w:val="nil"/>
              <w:bottom w:val="single" w:sz="4" w:space="0" w:color="auto"/>
              <w:right w:val="single" w:sz="4" w:space="0" w:color="auto"/>
            </w:tcBorders>
            <w:textDirection w:val="lrTb"/>
            <w:vAlign w:val="top"/>
          </w:tcPr>
          <w:p w:rsidR="00872FF1" w:rsidRPr="00C96FB2" w:rsidP="00825420">
            <w:pPr>
              <w:bidi w:val="0"/>
              <w:spacing w:after="0" w:line="240" w:lineRule="auto"/>
              <w:rPr>
                <w:rFonts w:ascii="Times New Roman" w:hAnsi="Times New Roman" w:cs="Times New Roman"/>
              </w:rPr>
            </w:pPr>
            <w:r w:rsidRPr="00C96FB2">
              <w:rPr>
                <w:rFonts w:ascii="Times New Roman" w:hAnsi="Times New Roman" w:cs="Times New Roman"/>
              </w:rPr>
              <w:t>žiadny</w:t>
            </w:r>
          </w:p>
        </w:tc>
      </w:tr>
      <w:tr>
        <w:tblPrEx>
          <w:tblW w:w="9015" w:type="dxa"/>
          <w:jc w:val="center"/>
          <w:tblCellMar>
            <w:left w:w="70" w:type="dxa"/>
            <w:right w:w="70" w:type="dxa"/>
          </w:tblCellMar>
        </w:tblPrEx>
        <w:trPr>
          <w:cantSplit/>
          <w:trHeight w:val="549"/>
          <w:jc w:val="center"/>
        </w:trPr>
        <w:tc>
          <w:tcPr>
            <w:tcW w:w="4875" w:type="dxa"/>
            <w:tcBorders>
              <w:top w:val="nil"/>
              <w:left w:val="single" w:sz="4" w:space="0" w:color="auto"/>
              <w:bottom w:val="nil"/>
              <w:right w:val="single" w:sz="4" w:space="0" w:color="auto"/>
            </w:tcBorders>
            <w:textDirection w:val="lrTb"/>
            <w:vAlign w:val="center"/>
          </w:tcPr>
          <w:p w:rsidR="00872FF1" w:rsidRPr="00C96FB2" w:rsidP="00AD2429">
            <w:pPr>
              <w:bidi w:val="0"/>
              <w:spacing w:after="0" w:line="240" w:lineRule="auto"/>
              <w:ind w:firstLine="720" w:firstLineChars="300"/>
              <w:rPr>
                <w:rFonts w:ascii="Times New Roman" w:hAnsi="Times New Roman" w:cs="Times New Roman"/>
              </w:rPr>
            </w:pPr>
            <w:r w:rsidRPr="00C96FB2">
              <w:rPr>
                <w:rFonts w:ascii="Times New Roman" w:hAnsi="Times New Roman" w:cs="Times New Roman"/>
              </w:rPr>
              <w:t>- Rast alebo pokles príjmov/výdavkov            na priemerného obyvateľa</w:t>
            </w:r>
          </w:p>
        </w:tc>
        <w:tc>
          <w:tcPr>
            <w:tcW w:w="4140" w:type="dxa"/>
            <w:vMerge/>
            <w:tcBorders>
              <w:top w:val="nil"/>
              <w:left w:val="nil"/>
              <w:bottom w:val="single" w:sz="4" w:space="0" w:color="auto"/>
              <w:right w:val="single" w:sz="4" w:space="0" w:color="auto"/>
            </w:tcBorders>
            <w:textDirection w:val="lrTb"/>
            <w:vAlign w:val="center"/>
          </w:tcPr>
          <w:p w:rsidR="00872FF1" w:rsidRPr="00C96FB2" w:rsidP="00825420">
            <w:pPr>
              <w:bidi w:val="0"/>
              <w:spacing w:after="0" w:line="240" w:lineRule="auto"/>
              <w:rPr>
                <w:rFonts w:ascii="Times New Roman" w:hAnsi="Times New Roman" w:cs="Times New Roman"/>
              </w:rPr>
            </w:pPr>
          </w:p>
        </w:tc>
      </w:tr>
      <w:tr>
        <w:tblPrEx>
          <w:tblW w:w="9015" w:type="dxa"/>
          <w:jc w:val="center"/>
          <w:tblCellMar>
            <w:left w:w="70" w:type="dxa"/>
            <w:right w:w="70" w:type="dxa"/>
          </w:tblCellMar>
        </w:tblPrEx>
        <w:trPr>
          <w:cantSplit/>
          <w:trHeight w:val="870"/>
          <w:jc w:val="center"/>
        </w:trPr>
        <w:tc>
          <w:tcPr>
            <w:tcW w:w="4875" w:type="dxa"/>
            <w:tcBorders>
              <w:top w:val="nil"/>
              <w:left w:val="single" w:sz="4" w:space="0" w:color="auto"/>
              <w:bottom w:val="nil"/>
              <w:right w:val="single" w:sz="4" w:space="0" w:color="auto"/>
            </w:tcBorders>
            <w:textDirection w:val="lrTb"/>
            <w:vAlign w:val="center"/>
          </w:tcPr>
          <w:p w:rsidR="00872FF1" w:rsidRPr="00C96FB2" w:rsidP="00AD2429">
            <w:pPr>
              <w:bidi w:val="0"/>
              <w:spacing w:after="0" w:line="240" w:lineRule="auto"/>
              <w:ind w:firstLine="720" w:firstLineChars="300"/>
              <w:rPr>
                <w:rFonts w:ascii="Times New Roman" w:hAnsi="Times New Roman" w:cs="Times New Roman"/>
              </w:rPr>
            </w:pPr>
            <w:r w:rsidRPr="00C96FB2">
              <w:rPr>
                <w:rFonts w:ascii="Times New Roman" w:hAnsi="Times New Roman" w:cs="Times New Roman"/>
              </w:rPr>
              <w:t>- Rast alebo pokles príjmov/výdavkov                  za jednotlivé ovplyvnené  skupiny domácností</w:t>
            </w:r>
          </w:p>
          <w:p w:rsidR="00872FF1" w:rsidRPr="00C96FB2" w:rsidP="00AD2429">
            <w:pPr>
              <w:bidi w:val="0"/>
              <w:spacing w:after="0" w:line="240" w:lineRule="auto"/>
              <w:ind w:firstLine="720" w:firstLineChars="300"/>
              <w:rPr>
                <w:rFonts w:ascii="Times New Roman" w:hAnsi="Times New Roman" w:cs="Times New Roman"/>
              </w:rPr>
            </w:pPr>
            <w:r w:rsidRPr="00C96FB2">
              <w:rPr>
                <w:rFonts w:ascii="Times New Roman" w:hAnsi="Times New Roman" w:cs="Times New Roman"/>
              </w:rPr>
              <w:t>- Celkový počet obyvateľstva/domácností ovplyvnených predkladaným materiálom</w:t>
            </w:r>
          </w:p>
        </w:tc>
        <w:tc>
          <w:tcPr>
            <w:tcW w:w="4140" w:type="dxa"/>
            <w:vMerge/>
            <w:tcBorders>
              <w:top w:val="nil"/>
              <w:left w:val="nil"/>
              <w:bottom w:val="single" w:sz="4" w:space="0" w:color="auto"/>
              <w:right w:val="single" w:sz="4" w:space="0" w:color="auto"/>
            </w:tcBorders>
            <w:textDirection w:val="lrTb"/>
            <w:vAlign w:val="center"/>
          </w:tcPr>
          <w:p w:rsidR="00872FF1" w:rsidRPr="00C96FB2" w:rsidP="00825420">
            <w:pPr>
              <w:bidi w:val="0"/>
              <w:spacing w:after="0" w:line="240" w:lineRule="auto"/>
              <w:rPr>
                <w:rFonts w:ascii="Times New Roman" w:hAnsi="Times New Roman" w:cs="Times New Roman"/>
              </w:rPr>
            </w:pPr>
          </w:p>
        </w:tc>
      </w:tr>
      <w:tr>
        <w:tblPrEx>
          <w:tblW w:w="9015" w:type="dxa"/>
          <w:jc w:val="center"/>
          <w:tblCellMar>
            <w:left w:w="70" w:type="dxa"/>
            <w:right w:w="70" w:type="dxa"/>
          </w:tblCellMar>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872FF1" w:rsidRPr="00C96FB2" w:rsidP="00AD2429">
            <w:pPr>
              <w:bidi w:val="0"/>
              <w:spacing w:after="0" w:line="240" w:lineRule="auto"/>
              <w:ind w:firstLine="720" w:firstLineChars="300"/>
              <w:rPr>
                <w:rFonts w:ascii="Times New Roman" w:hAnsi="Times New Roman" w:cs="Times New Roman"/>
              </w:rPr>
            </w:pPr>
          </w:p>
        </w:tc>
        <w:tc>
          <w:tcPr>
            <w:tcW w:w="4140" w:type="dxa"/>
            <w:vMerge/>
            <w:tcBorders>
              <w:top w:val="nil"/>
              <w:left w:val="nil"/>
              <w:bottom w:val="single" w:sz="4" w:space="0" w:color="auto"/>
              <w:right w:val="single" w:sz="4" w:space="0" w:color="auto"/>
            </w:tcBorders>
            <w:textDirection w:val="lrTb"/>
            <w:vAlign w:val="center"/>
          </w:tcPr>
          <w:p w:rsidR="00872FF1" w:rsidRPr="00C96FB2" w:rsidP="00825420">
            <w:pPr>
              <w:bidi w:val="0"/>
              <w:spacing w:after="0" w:line="240" w:lineRule="auto"/>
              <w:rPr>
                <w:rFonts w:ascii="Times New Roman" w:hAnsi="Times New Roman" w:cs="Times New Roman"/>
              </w:rPr>
            </w:pPr>
          </w:p>
        </w:tc>
      </w:tr>
      <w:tr>
        <w:tblPrEx>
          <w:tblW w:w="9015"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872FF1" w:rsidRPr="00C96FB2" w:rsidP="00825420">
            <w:pPr>
              <w:bidi w:val="0"/>
              <w:spacing w:after="0" w:line="240" w:lineRule="auto"/>
              <w:rPr>
                <w:rFonts w:ascii="Times New Roman" w:hAnsi="Times New Roman" w:cs="Times New Roman"/>
              </w:rPr>
            </w:pPr>
            <w:r w:rsidRPr="00C96FB2">
              <w:rPr>
                <w:rFonts w:ascii="Times New Roman" w:hAnsi="Times New Roman" w:cs="Times New Roman"/>
                <w:b/>
              </w:rPr>
              <w:t>4.2.</w:t>
            </w:r>
            <w:r w:rsidRPr="00C96FB2">
              <w:rPr>
                <w:rFonts w:ascii="Times New Roman" w:hAnsi="Times New Roman" w:cs="Times New Roman"/>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tcPr>
          <w:p w:rsidR="00872FF1" w:rsidRPr="00C96FB2" w:rsidP="00825420">
            <w:pPr>
              <w:bidi w:val="0"/>
              <w:spacing w:after="0" w:line="240" w:lineRule="auto"/>
              <w:rPr>
                <w:rFonts w:ascii="Times New Roman" w:hAnsi="Times New Roman" w:cs="Times New Roman"/>
              </w:rPr>
            </w:pPr>
            <w:r w:rsidRPr="00C96FB2">
              <w:rPr>
                <w:rFonts w:ascii="Times New Roman" w:hAnsi="Times New Roman" w:cs="Times New Roman"/>
              </w:rPr>
              <w:t>žiadny</w:t>
            </w:r>
          </w:p>
        </w:tc>
      </w:tr>
      <w:tr>
        <w:tblPrEx>
          <w:tblW w:w="9015"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872FF1" w:rsidRPr="00C96FB2" w:rsidP="00825420">
            <w:pPr>
              <w:bidi w:val="0"/>
              <w:spacing w:after="0" w:line="240" w:lineRule="auto"/>
              <w:rPr>
                <w:rFonts w:ascii="Times New Roman" w:hAnsi="Times New Roman" w:cs="Times New Roman"/>
              </w:rPr>
            </w:pPr>
          </w:p>
          <w:p w:rsidR="00872FF1" w:rsidRPr="00C96FB2" w:rsidP="00825420">
            <w:pPr>
              <w:bidi w:val="0"/>
              <w:spacing w:after="0" w:line="240" w:lineRule="auto"/>
              <w:rPr>
                <w:rFonts w:ascii="Times New Roman" w:hAnsi="Times New Roman" w:cs="Times New Roman"/>
              </w:rPr>
            </w:pPr>
            <w:r w:rsidRPr="00C96FB2">
              <w:rPr>
                <w:rFonts w:ascii="Times New Roman" w:hAnsi="Times New Roman" w:cs="Times New Roman"/>
                <w:b/>
              </w:rPr>
              <w:t>4.3.</w:t>
            </w:r>
            <w:r w:rsidRPr="00C96FB2">
              <w:rPr>
                <w:rFonts w:ascii="Times New Roman" w:hAnsi="Times New Roman" w:cs="Times New Roman"/>
              </w:rPr>
              <w:t>Zhodnoťte vplyv na rovnosť príležitostí:</w:t>
            </w:r>
          </w:p>
          <w:p w:rsidR="00872FF1" w:rsidRPr="00C96FB2" w:rsidP="00825420">
            <w:pPr>
              <w:bidi w:val="0"/>
              <w:spacing w:after="0" w:line="240" w:lineRule="auto"/>
              <w:rPr>
                <w:rFonts w:ascii="Times New Roman" w:hAnsi="Times New Roman" w:cs="Times New Roman"/>
              </w:rPr>
            </w:pPr>
          </w:p>
          <w:p w:rsidR="00872FF1" w:rsidRPr="00C96FB2" w:rsidP="00825420">
            <w:pPr>
              <w:bidi w:val="0"/>
              <w:spacing w:after="0" w:line="240" w:lineRule="auto"/>
              <w:rPr>
                <w:rFonts w:ascii="Times New Roman" w:hAnsi="Times New Roman" w:cs="Times New Roman"/>
              </w:rPr>
            </w:pPr>
            <w:r w:rsidRPr="00C96FB2">
              <w:rPr>
                <w:rFonts w:ascii="Times New Roman" w:hAnsi="Times New Roman" w:cs="Times New Roman"/>
              </w:rPr>
              <w:t>Zhodnoťte vplyv na rodovú rovnosť.</w:t>
            </w:r>
          </w:p>
          <w:p w:rsidR="00872FF1" w:rsidRPr="00C96FB2" w:rsidP="00825420">
            <w:pPr>
              <w:bidi w:val="0"/>
              <w:spacing w:after="0" w:line="240" w:lineRule="auto"/>
              <w:rPr>
                <w:rFonts w:ascii="Times New Roman" w:hAnsi="Times New Roman" w:cs="Times New Roman"/>
              </w:rPr>
            </w:pPr>
          </w:p>
        </w:tc>
        <w:tc>
          <w:tcPr>
            <w:tcW w:w="4140" w:type="dxa"/>
            <w:tcBorders>
              <w:top w:val="nil"/>
              <w:left w:val="nil"/>
              <w:bottom w:val="single" w:sz="4" w:space="0" w:color="auto"/>
              <w:right w:val="single" w:sz="4" w:space="0" w:color="auto"/>
            </w:tcBorders>
            <w:textDirection w:val="lrTb"/>
            <w:vAlign w:val="top"/>
          </w:tcPr>
          <w:p w:rsidR="00872FF1" w:rsidRPr="00C96FB2" w:rsidP="00825420">
            <w:pPr>
              <w:bidi w:val="0"/>
              <w:spacing w:after="0" w:line="240" w:lineRule="auto"/>
              <w:rPr>
                <w:rFonts w:ascii="Times New Roman" w:hAnsi="Times New Roman" w:cs="Times New Roman"/>
              </w:rPr>
            </w:pPr>
            <w:r w:rsidRPr="00C96FB2">
              <w:rPr>
                <w:rFonts w:ascii="Times New Roman" w:hAnsi="Times New Roman" w:cs="Times New Roman"/>
              </w:rPr>
              <w:t> žiadny</w:t>
            </w:r>
          </w:p>
        </w:tc>
      </w:tr>
      <w:tr>
        <w:tblPrEx>
          <w:tblW w:w="9015" w:type="dxa"/>
          <w:jc w:val="center"/>
          <w:tblCellMar>
            <w:left w:w="70" w:type="dxa"/>
            <w:right w:w="70" w:type="dxa"/>
          </w:tblCellMar>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872FF1" w:rsidRPr="00C96FB2" w:rsidP="00825420">
            <w:pPr>
              <w:bidi w:val="0"/>
              <w:spacing w:after="0" w:line="240" w:lineRule="auto"/>
              <w:rPr>
                <w:rFonts w:ascii="Times New Roman" w:hAnsi="Times New Roman" w:cs="Times New Roman"/>
              </w:rPr>
            </w:pPr>
            <w:r w:rsidRPr="00C96FB2">
              <w:rPr>
                <w:rFonts w:ascii="Times New Roman" w:hAnsi="Times New Roman" w:cs="Times New Roman"/>
                <w:b/>
              </w:rPr>
              <w:t xml:space="preserve">4.4. </w:t>
            </w:r>
            <w:r w:rsidRPr="00C96FB2">
              <w:rPr>
                <w:rFonts w:ascii="Times New Roman" w:hAnsi="Times New Roman" w:cs="Times New Roman"/>
              </w:rPr>
              <w:t>Zhodnoťte vplyvy na zamestnanosť.</w:t>
            </w:r>
          </w:p>
          <w:p w:rsidR="00872FF1" w:rsidRPr="00C96FB2" w:rsidP="00825420">
            <w:pPr>
              <w:bidi w:val="0"/>
              <w:spacing w:after="0" w:line="240" w:lineRule="auto"/>
              <w:rPr>
                <w:rFonts w:ascii="Times New Roman" w:hAnsi="Times New Roman" w:cs="Times New Roman"/>
                <w:b/>
              </w:rPr>
            </w:pPr>
          </w:p>
          <w:p w:rsidR="00872FF1" w:rsidRPr="00C96FB2" w:rsidP="00825420">
            <w:pPr>
              <w:bidi w:val="0"/>
              <w:spacing w:after="0" w:line="240" w:lineRule="auto"/>
              <w:rPr>
                <w:rFonts w:ascii="Times New Roman" w:hAnsi="Times New Roman" w:cs="Times New Roman"/>
                <w:bCs/>
              </w:rPr>
            </w:pPr>
            <w:r w:rsidRPr="00C96FB2">
              <w:rPr>
                <w:rFonts w:ascii="Times New Roman" w:hAnsi="Times New Roman" w:cs="Times New Roman"/>
                <w:bCs/>
              </w:rPr>
              <w:t>Aké sú  vplyvy na zamestnanosť ?</w:t>
            </w:r>
          </w:p>
          <w:p w:rsidR="00872FF1" w:rsidRPr="00C96FB2" w:rsidP="00825420">
            <w:pPr>
              <w:bidi w:val="0"/>
              <w:spacing w:after="0" w:line="240" w:lineRule="auto"/>
              <w:rPr>
                <w:rFonts w:ascii="Times New Roman" w:hAnsi="Times New Roman" w:cs="Times New Roman"/>
              </w:rPr>
            </w:pPr>
            <w:r w:rsidRPr="00C96FB2">
              <w:rPr>
                <w:rFonts w:ascii="Times New Roman" w:hAnsi="Times New Roman" w:cs="Times New Roman"/>
                <w:bCs/>
              </w:rPr>
              <w:t>Ktoré skupiny zamestnancov budú ohrozené schválením predkladaného materiálu ?</w:t>
            </w:r>
          </w:p>
          <w:p w:rsidR="00872FF1" w:rsidRPr="00C96FB2" w:rsidP="00825420">
            <w:pPr>
              <w:bidi w:val="0"/>
              <w:spacing w:after="0" w:line="240" w:lineRule="auto"/>
              <w:rPr>
                <w:rFonts w:ascii="Times New Roman" w:hAnsi="Times New Roman" w:cs="Times New Roman"/>
                <w:bCs/>
              </w:rPr>
            </w:pPr>
            <w:r w:rsidRPr="00C96FB2">
              <w:rPr>
                <w:rFonts w:ascii="Times New Roman" w:hAnsi="Times New Roman" w:cs="Times New Roman"/>
                <w:bCs/>
              </w:rPr>
              <w:t>Hrozí v prípade schválenia predkladaného materiálu hromadné prepúšťanie ?</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872FF1" w:rsidRPr="00C96FB2" w:rsidP="00825420">
            <w:pPr>
              <w:bidi w:val="0"/>
              <w:spacing w:after="0" w:line="240" w:lineRule="auto"/>
              <w:rPr>
                <w:rFonts w:ascii="Times New Roman" w:hAnsi="Times New Roman" w:cs="Times New Roman"/>
              </w:rPr>
            </w:pPr>
            <w:r w:rsidRPr="00C96FB2">
              <w:rPr>
                <w:rFonts w:ascii="Times New Roman" w:hAnsi="Times New Roman" w:cs="Times New Roman"/>
              </w:rPr>
              <w:t> </w:t>
            </w:r>
          </w:p>
          <w:p w:rsidR="00872FF1" w:rsidRPr="00C96FB2" w:rsidP="00825420">
            <w:pPr>
              <w:bidi w:val="0"/>
              <w:spacing w:after="0" w:line="240" w:lineRule="auto"/>
              <w:rPr>
                <w:rFonts w:ascii="Times New Roman" w:hAnsi="Times New Roman" w:cs="Times New Roman"/>
              </w:rPr>
            </w:pPr>
            <w:r w:rsidRPr="00C96FB2">
              <w:rPr>
                <w:rFonts w:ascii="Times New Roman" w:hAnsi="Times New Roman" w:cs="Times New Roman"/>
              </w:rPr>
              <w:t>žiadny</w:t>
            </w:r>
          </w:p>
          <w:p w:rsidR="00872FF1" w:rsidRPr="00C96FB2" w:rsidP="00825420">
            <w:pPr>
              <w:bidi w:val="0"/>
              <w:spacing w:after="0" w:line="240" w:lineRule="auto"/>
              <w:rPr>
                <w:rFonts w:ascii="Times New Roman" w:hAnsi="Times New Roman" w:cs="Times New Roman"/>
              </w:rPr>
            </w:pPr>
          </w:p>
          <w:p w:rsidR="00872FF1" w:rsidRPr="00C96FB2" w:rsidP="00825420">
            <w:pPr>
              <w:bidi w:val="0"/>
              <w:spacing w:after="0" w:line="240" w:lineRule="auto"/>
              <w:rPr>
                <w:rFonts w:ascii="Times New Roman" w:hAnsi="Times New Roman" w:cs="Times New Roman"/>
              </w:rPr>
            </w:pPr>
          </w:p>
          <w:p w:rsidR="00872FF1" w:rsidRPr="00C96FB2" w:rsidP="00825420">
            <w:pPr>
              <w:bidi w:val="0"/>
              <w:spacing w:after="0" w:line="240" w:lineRule="auto"/>
              <w:rPr>
                <w:rFonts w:ascii="Times New Roman" w:hAnsi="Times New Roman" w:cs="Times New Roman"/>
              </w:rPr>
            </w:pPr>
          </w:p>
          <w:p w:rsidR="00872FF1" w:rsidRPr="00C96FB2" w:rsidP="00825420">
            <w:pPr>
              <w:bidi w:val="0"/>
              <w:spacing w:after="0" w:line="240" w:lineRule="auto"/>
              <w:rPr>
                <w:rFonts w:ascii="Times New Roman" w:hAnsi="Times New Roman" w:cs="Times New Roman"/>
              </w:rPr>
            </w:pPr>
          </w:p>
          <w:p w:rsidR="00872FF1" w:rsidRPr="00C96FB2" w:rsidP="00825420">
            <w:pPr>
              <w:bidi w:val="0"/>
              <w:spacing w:after="0" w:line="240" w:lineRule="auto"/>
              <w:rPr>
                <w:rFonts w:ascii="Times New Roman" w:hAnsi="Times New Roman" w:cs="Times New Roman"/>
              </w:rPr>
            </w:pPr>
          </w:p>
        </w:tc>
      </w:tr>
    </w:tbl>
    <w:p w:rsidR="00872FF1" w:rsidRPr="00C96FB2" w:rsidP="00825420">
      <w:pPr>
        <w:pStyle w:val="BodyText"/>
        <w:tabs>
          <w:tab w:val="num" w:pos="1080"/>
        </w:tabs>
        <w:bidi w:val="0"/>
        <w:jc w:val="both"/>
        <w:rPr>
          <w:rFonts w:ascii="Times New Roman" w:hAnsi="Times New Roman"/>
          <w:b w:val="0"/>
          <w:bCs/>
        </w:rPr>
      </w:pPr>
    </w:p>
    <w:p w:rsidR="00825420" w:rsidRPr="00C96FB2" w:rsidP="00825420">
      <w:pPr>
        <w:pStyle w:val="BodyText"/>
        <w:tabs>
          <w:tab w:val="num" w:pos="1080"/>
        </w:tabs>
        <w:bidi w:val="0"/>
        <w:jc w:val="both"/>
        <w:rPr>
          <w:rFonts w:ascii="Times New Roman" w:hAnsi="Times New Roman"/>
          <w:b w:val="0"/>
          <w:bCs/>
        </w:rPr>
        <w:sectPr w:rsidSect="00C707DB">
          <w:headerReference w:type="default" r:id="rId9"/>
          <w:footerReference w:type="even" r:id="rId10"/>
          <w:footerReference w:type="default" r:id="rId11"/>
          <w:headerReference w:type="first" r:id="rId12"/>
          <w:footerReference w:type="first" r:id="rId13"/>
          <w:pgSz w:w="11906" w:h="16838" w:code="9"/>
          <w:pgMar w:top="1417" w:right="1417" w:bottom="1417" w:left="1417" w:header="708" w:footer="708" w:gutter="0"/>
          <w:lnNumType w:distance="0"/>
          <w:cols w:space="708"/>
          <w:noEndnote w:val="0"/>
          <w:bidi w:val="0"/>
          <w:docGrid w:linePitch="360"/>
        </w:sectPr>
      </w:pPr>
    </w:p>
    <w:p w:rsidR="00825420" w:rsidRPr="00C96FB2" w:rsidP="00825420">
      <w:pPr>
        <w:bidi w:val="0"/>
        <w:spacing w:after="0" w:line="240" w:lineRule="auto"/>
        <w:jc w:val="center"/>
        <w:rPr>
          <w:rFonts w:ascii="Times New Roman" w:hAnsi="Times New Roman" w:cs="Times New Roman"/>
          <w:b/>
          <w:sz w:val="28"/>
          <w:szCs w:val="28"/>
        </w:rPr>
      </w:pPr>
      <w:r w:rsidRPr="00C96FB2">
        <w:rPr>
          <w:rFonts w:ascii="Times New Roman" w:hAnsi="Times New Roman" w:cs="Times New Roman"/>
          <w:b/>
          <w:bCs/>
          <w:sz w:val="28"/>
          <w:szCs w:val="28"/>
        </w:rPr>
        <w:t>V</w:t>
      </w:r>
      <w:r w:rsidRPr="00C96FB2">
        <w:rPr>
          <w:rFonts w:ascii="Times New Roman" w:hAnsi="Times New Roman" w:cs="Times New Roman"/>
          <w:b/>
          <w:sz w:val="28"/>
          <w:szCs w:val="28"/>
        </w:rPr>
        <w:t>plyvy na životné prostredie</w:t>
      </w:r>
    </w:p>
    <w:p w:rsidR="00825420" w:rsidRPr="00C96FB2" w:rsidP="00825420">
      <w:pPr>
        <w:bidi w:val="0"/>
        <w:spacing w:after="0" w:line="240" w:lineRule="auto"/>
        <w:rPr>
          <w:rFonts w:ascii="Times New Roman" w:hAnsi="Times New Roman" w:cs="Times New Roman"/>
          <w:b/>
        </w:rPr>
      </w:pPr>
    </w:p>
    <w:tbl>
      <w:tblPr>
        <w:tblStyle w:val="TableNormal"/>
        <w:tblW w:w="8835" w:type="dxa"/>
        <w:tblInd w:w="55" w:type="dxa"/>
        <w:tblCellMar>
          <w:top w:w="28" w:type="dxa"/>
          <w:left w:w="70" w:type="dxa"/>
          <w:bottom w:w="28" w:type="dxa"/>
          <w:right w:w="70" w:type="dxa"/>
        </w:tblCellMar>
      </w:tblPr>
      <w:tblGrid>
        <w:gridCol w:w="4335"/>
        <w:gridCol w:w="4500"/>
      </w:tblGrid>
      <w:tr>
        <w:tblPrEx>
          <w:tblW w:w="8835" w:type="dxa"/>
          <w:tblInd w:w="55" w:type="dxa"/>
          <w:tblCellMar>
            <w:top w:w="28" w:type="dxa"/>
            <w:left w:w="70" w:type="dxa"/>
            <w:bottom w:w="28" w:type="dxa"/>
            <w:right w:w="70" w:type="dxa"/>
          </w:tblCellMar>
        </w:tblPrEx>
        <w:trPr>
          <w:trHeight w:val="600"/>
        </w:trPr>
        <w:tc>
          <w:tcPr>
            <w:tcW w:w="883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825420" w:rsidRPr="00C96FB2" w:rsidP="00825420">
            <w:pPr>
              <w:bidi w:val="0"/>
              <w:spacing w:after="0" w:line="240" w:lineRule="auto"/>
              <w:jc w:val="center"/>
              <w:rPr>
                <w:rFonts w:ascii="Times New Roman" w:hAnsi="Times New Roman" w:cs="Times New Roman"/>
                <w:b/>
                <w:bCs/>
                <w:color w:val="FFFFFF"/>
              </w:rPr>
            </w:pPr>
            <w:r w:rsidRPr="00C96FB2">
              <w:rPr>
                <w:rFonts w:ascii="Times New Roman" w:hAnsi="Times New Roman" w:cs="Times New Roman"/>
                <w:b/>
                <w:bCs/>
                <w:color w:val="FFFFFF"/>
              </w:rPr>
              <w:t>Životné prostredie</w:t>
            </w:r>
          </w:p>
        </w:tc>
      </w:tr>
      <w:tr>
        <w:tblPrEx>
          <w:tblW w:w="8835" w:type="dxa"/>
          <w:tblInd w:w="55" w:type="dxa"/>
          <w:tblCellMar>
            <w:top w:w="28" w:type="dxa"/>
            <w:left w:w="70" w:type="dxa"/>
            <w:bottom w:w="28" w:type="dxa"/>
            <w:right w:w="70" w:type="dxa"/>
          </w:tblCellMar>
        </w:tblPrEx>
        <w:trPr>
          <w:trHeight w:val="600"/>
        </w:trPr>
        <w:tc>
          <w:tcPr>
            <w:tcW w:w="4335" w:type="dxa"/>
            <w:tcBorders>
              <w:top w:val="nil"/>
              <w:left w:val="single" w:sz="8" w:space="0" w:color="auto"/>
              <w:bottom w:val="single" w:sz="4" w:space="0" w:color="auto"/>
              <w:right w:val="single" w:sz="4" w:space="0" w:color="auto"/>
            </w:tcBorders>
            <w:textDirection w:val="lrTb"/>
            <w:vAlign w:val="top"/>
          </w:tcPr>
          <w:p w:rsidR="00825420" w:rsidRPr="00C96FB2" w:rsidP="00825420">
            <w:pPr>
              <w:bidi w:val="0"/>
              <w:spacing w:after="0" w:line="240" w:lineRule="auto"/>
              <w:rPr>
                <w:rFonts w:ascii="Times New Roman" w:hAnsi="Times New Roman" w:cs="Times New Roman"/>
                <w:b/>
              </w:rPr>
            </w:pPr>
          </w:p>
          <w:p w:rsidR="00825420" w:rsidRPr="00C96FB2" w:rsidP="00825420">
            <w:pPr>
              <w:bidi w:val="0"/>
              <w:spacing w:after="0" w:line="240" w:lineRule="auto"/>
              <w:rPr>
                <w:rFonts w:ascii="Times New Roman" w:hAnsi="Times New Roman" w:cs="Times New Roman"/>
              </w:rPr>
            </w:pPr>
            <w:r w:rsidRPr="00C96FB2">
              <w:rPr>
                <w:rFonts w:ascii="Times New Roman" w:hAnsi="Times New Roman" w:cs="Times New Roman"/>
                <w:b/>
              </w:rPr>
              <w:t>5.1.</w:t>
            </w:r>
            <w:r w:rsidRPr="00C96FB2">
              <w:rPr>
                <w:rFonts w:ascii="Times New Roman" w:hAnsi="Times New Roman" w:cs="Times New Roman"/>
              </w:rPr>
              <w:t xml:space="preserve">  Ktoré zložky životného prostredia (najmä ovzdušie, voda, horniny, pôda, organizmy) budú návrhom ovplyvnené a aký bude ich vplyv (pozitívny alebo negatívny)?</w:t>
            </w:r>
          </w:p>
          <w:p w:rsidR="00825420" w:rsidRPr="00C96FB2" w:rsidP="00825420">
            <w:pPr>
              <w:bidi w:val="0"/>
              <w:spacing w:after="0" w:line="240" w:lineRule="auto"/>
              <w:rPr>
                <w:rFonts w:ascii="Times New Roman" w:hAnsi="Times New Roman" w:cs="Times New Roman"/>
              </w:rPr>
            </w:pPr>
          </w:p>
        </w:tc>
        <w:tc>
          <w:tcPr>
            <w:tcW w:w="4500" w:type="dxa"/>
            <w:tcBorders>
              <w:top w:val="nil"/>
              <w:left w:val="nil"/>
              <w:bottom w:val="single" w:sz="4" w:space="0" w:color="auto"/>
              <w:right w:val="single" w:sz="8" w:space="0" w:color="auto"/>
            </w:tcBorders>
            <w:textDirection w:val="lrTb"/>
            <w:vAlign w:val="top"/>
          </w:tcPr>
          <w:p w:rsidR="00825420" w:rsidRPr="00C96FB2" w:rsidP="00825420">
            <w:pPr>
              <w:bidi w:val="0"/>
              <w:spacing w:after="0" w:line="240" w:lineRule="auto"/>
              <w:rPr>
                <w:rFonts w:ascii="Times New Roman" w:hAnsi="Times New Roman" w:cs="Times New Roman"/>
              </w:rPr>
            </w:pPr>
            <w:r w:rsidRPr="00C96FB2">
              <w:rPr>
                <w:rFonts w:ascii="Times New Roman" w:hAnsi="Times New Roman" w:cs="Times New Roman"/>
              </w:rPr>
              <w:t> žiadne</w:t>
            </w:r>
          </w:p>
        </w:tc>
      </w:tr>
      <w:tr>
        <w:tblPrEx>
          <w:tblW w:w="8835" w:type="dxa"/>
          <w:tblInd w:w="55" w:type="dxa"/>
          <w:tblCellMar>
            <w:top w:w="28" w:type="dxa"/>
            <w:left w:w="70" w:type="dxa"/>
            <w:bottom w:w="28" w:type="dxa"/>
            <w:right w:w="70" w:type="dxa"/>
          </w:tblCellMar>
        </w:tblPrEx>
        <w:trPr>
          <w:trHeight w:val="1020"/>
        </w:trPr>
        <w:tc>
          <w:tcPr>
            <w:tcW w:w="4335" w:type="dxa"/>
            <w:tcBorders>
              <w:top w:val="nil"/>
              <w:left w:val="single" w:sz="8" w:space="0" w:color="auto"/>
              <w:bottom w:val="single" w:sz="4" w:space="0" w:color="auto"/>
              <w:right w:val="single" w:sz="4" w:space="0" w:color="auto"/>
            </w:tcBorders>
            <w:textDirection w:val="lrTb"/>
            <w:vAlign w:val="top"/>
          </w:tcPr>
          <w:p w:rsidR="00825420" w:rsidRPr="00C96FB2" w:rsidP="00825420">
            <w:pPr>
              <w:bidi w:val="0"/>
              <w:spacing w:after="0" w:line="240" w:lineRule="auto"/>
              <w:rPr>
                <w:rFonts w:ascii="Times New Roman" w:hAnsi="Times New Roman" w:cs="Times New Roman"/>
                <w:b/>
              </w:rPr>
            </w:pPr>
          </w:p>
          <w:p w:rsidR="00825420" w:rsidRPr="00C96FB2" w:rsidP="00825420">
            <w:pPr>
              <w:bidi w:val="0"/>
              <w:spacing w:after="0" w:line="240" w:lineRule="auto"/>
              <w:rPr>
                <w:rFonts w:ascii="Times New Roman" w:hAnsi="Times New Roman" w:cs="Times New Roman"/>
              </w:rPr>
            </w:pPr>
            <w:r w:rsidRPr="00C96FB2">
              <w:rPr>
                <w:rFonts w:ascii="Times New Roman" w:hAnsi="Times New Roman" w:cs="Times New Roman"/>
                <w:b/>
              </w:rPr>
              <w:t xml:space="preserve">5.2. </w:t>
            </w:r>
            <w:r w:rsidRPr="00C96FB2">
              <w:rPr>
                <w:rFonts w:ascii="Times New Roman" w:hAnsi="Times New Roman" w:cs="Times New Roman"/>
              </w:rPr>
              <w:t>Bude mať navrhovaný materiál vplyv na chránené územia a ak áno aký?</w:t>
            </w:r>
          </w:p>
        </w:tc>
        <w:tc>
          <w:tcPr>
            <w:tcW w:w="4500" w:type="dxa"/>
            <w:tcBorders>
              <w:top w:val="nil"/>
              <w:left w:val="nil"/>
              <w:bottom w:val="single" w:sz="4" w:space="0" w:color="auto"/>
              <w:right w:val="single" w:sz="8" w:space="0" w:color="auto"/>
            </w:tcBorders>
            <w:textDirection w:val="lrTb"/>
            <w:vAlign w:val="top"/>
          </w:tcPr>
          <w:p w:rsidR="00825420" w:rsidRPr="00C96FB2" w:rsidP="00825420">
            <w:pPr>
              <w:bidi w:val="0"/>
              <w:spacing w:after="0" w:line="240" w:lineRule="auto"/>
              <w:rPr>
                <w:rFonts w:ascii="Times New Roman" w:hAnsi="Times New Roman" w:cs="Times New Roman"/>
              </w:rPr>
            </w:pPr>
            <w:r w:rsidRPr="00C96FB2">
              <w:rPr>
                <w:rFonts w:ascii="Times New Roman" w:hAnsi="Times New Roman" w:cs="Times New Roman"/>
              </w:rPr>
              <w:t>nie</w:t>
            </w:r>
          </w:p>
        </w:tc>
      </w:tr>
      <w:tr>
        <w:tblPrEx>
          <w:tblW w:w="8835" w:type="dxa"/>
          <w:tblInd w:w="55" w:type="dxa"/>
          <w:tblCellMar>
            <w:top w:w="28" w:type="dxa"/>
            <w:left w:w="70" w:type="dxa"/>
            <w:bottom w:w="28" w:type="dxa"/>
            <w:right w:w="70" w:type="dxa"/>
          </w:tblCellMar>
        </w:tblPrEx>
        <w:trPr>
          <w:trHeight w:val="600"/>
        </w:trPr>
        <w:tc>
          <w:tcPr>
            <w:tcW w:w="4335" w:type="dxa"/>
            <w:tcBorders>
              <w:top w:val="nil"/>
              <w:left w:val="single" w:sz="8" w:space="0" w:color="auto"/>
              <w:bottom w:val="nil"/>
              <w:right w:val="single" w:sz="4" w:space="0" w:color="auto"/>
            </w:tcBorders>
            <w:textDirection w:val="lrTb"/>
            <w:vAlign w:val="top"/>
          </w:tcPr>
          <w:p w:rsidR="00825420" w:rsidRPr="00C96FB2" w:rsidP="00825420">
            <w:pPr>
              <w:bidi w:val="0"/>
              <w:spacing w:after="0" w:line="240" w:lineRule="auto"/>
              <w:rPr>
                <w:rFonts w:ascii="Times New Roman" w:hAnsi="Times New Roman" w:cs="Times New Roman"/>
                <w:b/>
              </w:rPr>
            </w:pPr>
          </w:p>
          <w:p w:rsidR="00825420" w:rsidRPr="00C96FB2" w:rsidP="00825420">
            <w:pPr>
              <w:bidi w:val="0"/>
              <w:spacing w:after="0" w:line="240" w:lineRule="auto"/>
              <w:rPr>
                <w:rFonts w:ascii="Times New Roman" w:hAnsi="Times New Roman" w:cs="Times New Roman"/>
              </w:rPr>
            </w:pPr>
            <w:r w:rsidRPr="00C96FB2">
              <w:rPr>
                <w:rFonts w:ascii="Times New Roman" w:hAnsi="Times New Roman" w:cs="Times New Roman"/>
                <w:b/>
              </w:rPr>
              <w:t>5.3.</w:t>
            </w:r>
            <w:r w:rsidRPr="00C96FB2">
              <w:rPr>
                <w:rFonts w:ascii="Times New Roman" w:hAnsi="Times New Roman" w:cs="Times New Roman"/>
              </w:rPr>
              <w:t xml:space="preserve"> Bude mať návrh vplyv na životné prostredie presahujúce štátne hranice?</w:t>
            </w:r>
          </w:p>
          <w:p w:rsidR="00825420" w:rsidRPr="00C96FB2" w:rsidP="00825420">
            <w:pPr>
              <w:bidi w:val="0"/>
              <w:spacing w:after="0" w:line="240" w:lineRule="auto"/>
              <w:rPr>
                <w:rFonts w:ascii="Times New Roman" w:hAnsi="Times New Roman" w:cs="Times New Roman"/>
              </w:rPr>
            </w:pPr>
          </w:p>
        </w:tc>
        <w:tc>
          <w:tcPr>
            <w:tcW w:w="4500" w:type="dxa"/>
            <w:tcBorders>
              <w:top w:val="nil"/>
              <w:left w:val="nil"/>
              <w:bottom w:val="nil"/>
              <w:right w:val="single" w:sz="8" w:space="0" w:color="auto"/>
            </w:tcBorders>
            <w:noWrap/>
            <w:textDirection w:val="lrTb"/>
            <w:vAlign w:val="top"/>
          </w:tcPr>
          <w:p w:rsidR="00825420" w:rsidRPr="00C96FB2" w:rsidP="00825420">
            <w:pPr>
              <w:bidi w:val="0"/>
              <w:spacing w:after="0" w:line="240" w:lineRule="auto"/>
              <w:rPr>
                <w:rFonts w:ascii="Times New Roman" w:hAnsi="Times New Roman" w:cs="Times New Roman"/>
              </w:rPr>
            </w:pPr>
            <w:r w:rsidRPr="00C96FB2">
              <w:rPr>
                <w:rFonts w:ascii="Times New Roman" w:hAnsi="Times New Roman" w:cs="Times New Roman"/>
              </w:rPr>
              <w:t> nie</w:t>
            </w:r>
          </w:p>
        </w:tc>
      </w:tr>
      <w:tr>
        <w:tblPrEx>
          <w:tblW w:w="8835" w:type="dxa"/>
          <w:tblInd w:w="55" w:type="dxa"/>
          <w:tblCellMar>
            <w:top w:w="28" w:type="dxa"/>
            <w:left w:w="70" w:type="dxa"/>
            <w:bottom w:w="28" w:type="dxa"/>
            <w:right w:w="70" w:type="dxa"/>
          </w:tblCellMar>
        </w:tblPrEx>
        <w:trPr>
          <w:trHeight w:val="52"/>
        </w:trPr>
        <w:tc>
          <w:tcPr>
            <w:tcW w:w="4335" w:type="dxa"/>
            <w:tcBorders>
              <w:top w:val="nil"/>
              <w:left w:val="single" w:sz="8" w:space="0" w:color="auto"/>
              <w:bottom w:val="single" w:sz="4" w:space="0" w:color="auto"/>
              <w:right w:val="single" w:sz="4" w:space="0" w:color="auto"/>
            </w:tcBorders>
            <w:textDirection w:val="lrTb"/>
            <w:vAlign w:val="top"/>
          </w:tcPr>
          <w:p w:rsidR="00825420" w:rsidRPr="00C96FB2" w:rsidP="00825420">
            <w:pPr>
              <w:bidi w:val="0"/>
              <w:spacing w:after="0" w:line="240" w:lineRule="auto"/>
              <w:rPr>
                <w:rFonts w:ascii="Times New Roman" w:hAnsi="Times New Roman" w:cs="Times New Roman"/>
              </w:rPr>
            </w:pPr>
          </w:p>
        </w:tc>
        <w:tc>
          <w:tcPr>
            <w:tcW w:w="4500" w:type="dxa"/>
            <w:tcBorders>
              <w:top w:val="nil"/>
              <w:left w:val="nil"/>
              <w:bottom w:val="single" w:sz="4" w:space="0" w:color="auto"/>
              <w:right w:val="single" w:sz="8" w:space="0" w:color="auto"/>
            </w:tcBorders>
            <w:noWrap/>
            <w:textDirection w:val="lrTb"/>
            <w:vAlign w:val="top"/>
          </w:tcPr>
          <w:p w:rsidR="00825420" w:rsidRPr="00C96FB2" w:rsidP="00825420">
            <w:pPr>
              <w:bidi w:val="0"/>
              <w:spacing w:after="0" w:line="240" w:lineRule="auto"/>
              <w:rPr>
                <w:rFonts w:ascii="Times New Roman" w:hAnsi="Times New Roman" w:cs="Times New Roman"/>
              </w:rPr>
            </w:pPr>
          </w:p>
        </w:tc>
      </w:tr>
    </w:tbl>
    <w:p w:rsidR="00825420" w:rsidRPr="00C96FB2" w:rsidP="00825420">
      <w:pPr>
        <w:bidi w:val="0"/>
        <w:spacing w:after="0" w:line="240" w:lineRule="auto"/>
        <w:rPr>
          <w:rFonts w:ascii="Times New Roman" w:hAnsi="Times New Roman" w:cs="Times New Roman"/>
        </w:rPr>
      </w:pPr>
    </w:p>
    <w:p w:rsidR="00825420" w:rsidRPr="00C96FB2" w:rsidP="00825420">
      <w:pPr>
        <w:pStyle w:val="BodyText"/>
        <w:tabs>
          <w:tab w:val="num" w:pos="1080"/>
        </w:tabs>
        <w:bidi w:val="0"/>
        <w:jc w:val="both"/>
        <w:rPr>
          <w:rFonts w:ascii="Times New Roman" w:hAnsi="Times New Roman"/>
          <w:b w:val="0"/>
          <w:bCs/>
        </w:rPr>
        <w:sectPr w:rsidSect="00C707DB">
          <w:headerReference w:type="default" r:id="rId14"/>
          <w:footerReference w:type="even" r:id="rId15"/>
          <w:headerReference w:type="first" r:id="rId16"/>
          <w:footerReference w:type="first" r:id="rId17"/>
          <w:pgSz w:w="11906" w:h="16838" w:code="9"/>
          <w:pgMar w:top="1417" w:right="1417" w:bottom="1417" w:left="1417" w:header="708" w:footer="708" w:gutter="0"/>
          <w:lnNumType w:distance="0"/>
          <w:cols w:space="708"/>
          <w:noEndnote w:val="0"/>
          <w:bidi w:val="0"/>
          <w:docGrid w:linePitch="360"/>
        </w:sectPr>
      </w:pPr>
    </w:p>
    <w:p w:rsidR="0094402A" w:rsidRPr="00C96FB2" w:rsidP="0094402A">
      <w:pPr>
        <w:pStyle w:val="BodyText"/>
        <w:bidi w:val="0"/>
        <w:jc w:val="center"/>
        <w:rPr>
          <w:rFonts w:ascii="Times New Roman" w:hAnsi="Times New Roman"/>
          <w:bCs/>
          <w:sz w:val="28"/>
          <w:szCs w:val="28"/>
        </w:rPr>
      </w:pPr>
      <w:r w:rsidRPr="00C96FB2">
        <w:rPr>
          <w:rFonts w:ascii="Times New Roman" w:hAnsi="Times New Roman"/>
          <w:bCs/>
          <w:sz w:val="28"/>
          <w:szCs w:val="28"/>
        </w:rPr>
        <w:t>Vplyvy</w:t>
      </w:r>
      <w:bookmarkStart w:id="2" w:name="_GoBack"/>
      <w:bookmarkEnd w:id="2"/>
      <w:r w:rsidRPr="00C96FB2">
        <w:rPr>
          <w:rFonts w:ascii="Times New Roman" w:hAnsi="Times New Roman"/>
          <w:bCs/>
          <w:sz w:val="28"/>
          <w:szCs w:val="28"/>
        </w:rPr>
        <w:t xml:space="preserve"> na informatizáciu spoločnosti</w:t>
      </w:r>
    </w:p>
    <w:p w:rsidR="0094402A" w:rsidRPr="00C96FB2" w:rsidP="0094402A">
      <w:pPr>
        <w:pStyle w:val="BodyText"/>
        <w:bidi w:val="0"/>
        <w:jc w:val="both"/>
        <w:rPr>
          <w:rFonts w:ascii="Times New Roman" w:hAnsi="Times New Roman"/>
          <w:bCs/>
          <w:sz w:val="28"/>
          <w:szCs w:val="28"/>
        </w:rPr>
      </w:pP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3780"/>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94402A" w:rsidRPr="00C96FB2" w:rsidP="0094402A">
            <w:pPr>
              <w:bidi w:val="0"/>
              <w:spacing w:after="0" w:line="240" w:lineRule="auto"/>
              <w:rPr>
                <w:rFonts w:ascii="Times New Roman" w:hAnsi="Times New Roman" w:cs="Times New Roman"/>
                <w:b/>
              </w:rPr>
            </w:pPr>
            <w:r w:rsidRPr="00C96FB2">
              <w:rPr>
                <w:rFonts w:ascii="Times New Roman" w:hAnsi="Times New Roman" w:cs="Times New Roman"/>
                <w:b/>
                <w:sz w:val="22"/>
              </w:rPr>
              <w:t>Budovanie základných pilierov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94402A" w:rsidRPr="00C96FB2" w:rsidP="0094402A">
            <w:pPr>
              <w:bidi w:val="0"/>
              <w:spacing w:after="0" w:line="240" w:lineRule="auto"/>
              <w:rPr>
                <w:rFonts w:ascii="Times New Roman" w:hAnsi="Times New Roman" w:cs="Times New Roman"/>
                <w:b/>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94402A" w:rsidRPr="00C96FB2" w:rsidP="0094402A">
            <w:pPr>
              <w:bidi w:val="0"/>
              <w:spacing w:after="0" w:line="240" w:lineRule="auto"/>
              <w:rPr>
                <w:rFonts w:ascii="Times New Roman" w:hAnsi="Times New Roman" w:cs="Times New Roman"/>
                <w:b/>
              </w:rPr>
            </w:pPr>
            <w:r w:rsidRPr="00C96FB2">
              <w:rPr>
                <w:rFonts w:ascii="Times New Roman" w:hAnsi="Times New Roman" w:cs="Times New Roman"/>
                <w:b/>
                <w:sz w:val="22"/>
              </w:rPr>
              <w:t>Obsah</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94402A" w:rsidRPr="00C96FB2" w:rsidP="0094402A">
            <w:pPr>
              <w:bidi w:val="0"/>
              <w:spacing w:after="0" w:line="240" w:lineRule="auto"/>
              <w:rPr>
                <w:rFonts w:ascii="Times New Roman" w:hAnsi="Times New Roman" w:cs="Times New Roman"/>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4402A" w:rsidRPr="00C96FB2" w:rsidP="0094402A">
            <w:pPr>
              <w:bidi w:val="0"/>
              <w:spacing w:after="0" w:line="240" w:lineRule="auto"/>
              <w:rPr>
                <w:rFonts w:ascii="Times New Roman" w:hAnsi="Times New Roman" w:cs="Times New Roman"/>
              </w:rPr>
            </w:pPr>
            <w:r w:rsidRPr="00C96FB2">
              <w:rPr>
                <w:rFonts w:ascii="Times New Roman" w:hAnsi="Times New Roman" w:cs="Times New Roman"/>
                <w:b/>
                <w:sz w:val="22"/>
              </w:rPr>
              <w:t>6.1.</w:t>
            </w:r>
            <w:r w:rsidRPr="00C96FB2">
              <w:rPr>
                <w:rFonts w:ascii="Times New Roman" w:hAnsi="Times New Roman" w:cs="Times New Roman"/>
                <w:sz w:val="22"/>
              </w:rPr>
              <w:t xml:space="preserve"> Rozširujú alebo inovujú  sa existujúce alebo vytvárajú sa či zavádzajú  sa nové elektronické služby?</w:t>
            </w:r>
          </w:p>
          <w:p w:rsidR="0094402A" w:rsidRPr="00C96FB2" w:rsidP="0094402A">
            <w:pPr>
              <w:bidi w:val="0"/>
              <w:spacing w:after="0" w:line="240" w:lineRule="auto"/>
              <w:rPr>
                <w:rFonts w:ascii="Times New Roman" w:hAnsi="Times New Roman" w:cs="Times New Roman"/>
                <w:sz w:val="20"/>
                <w:szCs w:val="20"/>
              </w:rPr>
            </w:pPr>
            <w:r w:rsidRPr="00C96FB2">
              <w:rPr>
                <w:rFonts w:ascii="Times New Roman" w:hAnsi="Times New Roman" w:cs="Times New Roman"/>
                <w:i/>
                <w:iCs/>
                <w:sz w:val="20"/>
                <w:szCs w:val="20"/>
              </w:rPr>
              <w:t>(Popíšte ich funkciu a úroveň poskytovania.)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94402A" w:rsidRPr="00C96FB2" w:rsidP="0094402A">
            <w:pPr>
              <w:bidi w:val="0"/>
              <w:spacing w:after="0" w:line="240" w:lineRule="auto"/>
              <w:rPr>
                <w:rFonts w:ascii="Times New Roman" w:hAnsi="Times New Roman" w:cs="Times New Roman"/>
                <w:iCs/>
              </w:rPr>
            </w:pPr>
            <w:r w:rsidRPr="00C96FB2">
              <w:rPr>
                <w:rFonts w:ascii="Times New Roman" w:hAnsi="Times New Roman" w:cs="Times New Roman"/>
                <w:iCs/>
                <w:sz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4402A" w:rsidRPr="00C96FB2" w:rsidP="0094402A">
            <w:pPr>
              <w:bidi w:val="0"/>
              <w:spacing w:after="0" w:line="240" w:lineRule="auto"/>
              <w:rPr>
                <w:rFonts w:ascii="Times New Roman" w:hAnsi="Times New Roman" w:cs="Times New Roman"/>
              </w:rPr>
            </w:pPr>
            <w:r w:rsidRPr="00C96FB2">
              <w:rPr>
                <w:rFonts w:ascii="Times New Roman" w:hAnsi="Times New Roman" w:cs="Times New Roman"/>
                <w:b/>
                <w:sz w:val="22"/>
              </w:rPr>
              <w:t>6.2.</w:t>
            </w:r>
            <w:r w:rsidRPr="00C96FB2">
              <w:rPr>
                <w:rFonts w:ascii="Times New Roman" w:hAnsi="Times New Roman" w:cs="Times New Roman"/>
                <w:sz w:val="22"/>
              </w:rPr>
              <w:t xml:space="preserve"> Vytvárajú sa podmienky pre sémantickú interoperabilitu?</w:t>
            </w:r>
          </w:p>
          <w:p w:rsidR="0094402A" w:rsidRPr="00C96FB2" w:rsidP="0094402A">
            <w:pPr>
              <w:bidi w:val="0"/>
              <w:spacing w:after="0" w:line="240" w:lineRule="auto"/>
              <w:rPr>
                <w:rFonts w:ascii="Times New Roman" w:hAnsi="Times New Roman" w:cs="Times New Roman"/>
                <w:sz w:val="20"/>
                <w:szCs w:val="20"/>
              </w:rPr>
            </w:pPr>
            <w:r w:rsidRPr="00C96FB2">
              <w:rPr>
                <w:rFonts w:ascii="Times New Roman" w:hAnsi="Times New Roman" w:cs="Times New Roman"/>
                <w:i/>
                <w:iCs/>
                <w:sz w:val="20"/>
                <w:szCs w:val="20"/>
              </w:rPr>
              <w:t>(Popíšte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94402A" w:rsidRPr="00C96FB2" w:rsidP="0094402A">
            <w:pPr>
              <w:bidi w:val="0"/>
              <w:spacing w:after="0" w:line="240" w:lineRule="auto"/>
              <w:rPr>
                <w:rFonts w:ascii="Times New Roman" w:hAnsi="Times New Roman" w:cs="Times New Roman"/>
                <w:iCs/>
              </w:rPr>
            </w:pPr>
            <w:r w:rsidRPr="00C96FB2">
              <w:rPr>
                <w:rFonts w:ascii="Times New Roman" w:hAnsi="Times New Roman" w:cs="Times New Roman"/>
                <w:iCs/>
                <w:sz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94402A" w:rsidRPr="00C96FB2" w:rsidP="0094402A">
            <w:pPr>
              <w:bidi w:val="0"/>
              <w:spacing w:after="0" w:line="240" w:lineRule="auto"/>
              <w:rPr>
                <w:rFonts w:ascii="Times New Roman" w:hAnsi="Times New Roman" w:cs="Times New Roman"/>
                <w:b/>
                <w:color w:val="FFFFFF"/>
              </w:rPr>
            </w:pPr>
            <w:r w:rsidRPr="00C96FB2">
              <w:rPr>
                <w:rFonts w:ascii="Times New Roman" w:hAnsi="Times New Roman" w:cs="Times New Roman"/>
                <w:b/>
                <w:sz w:val="22"/>
              </w:rPr>
              <w:t>Ľudia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94402A" w:rsidRPr="00C96FB2" w:rsidP="0094402A">
            <w:pPr>
              <w:bidi w:val="0"/>
              <w:spacing w:after="0" w:line="240" w:lineRule="auto"/>
              <w:rPr>
                <w:rFonts w:ascii="Times New Roman" w:hAnsi="Times New Roman" w:cs="Times New Roman"/>
                <w:b/>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4402A" w:rsidRPr="00C96FB2" w:rsidP="0094402A">
            <w:pPr>
              <w:bidi w:val="0"/>
              <w:spacing w:after="0" w:line="240" w:lineRule="auto"/>
              <w:rPr>
                <w:rFonts w:ascii="Times New Roman" w:hAnsi="Times New Roman" w:cs="Times New Roman"/>
              </w:rPr>
            </w:pPr>
            <w:r w:rsidRPr="00C96FB2">
              <w:rPr>
                <w:rFonts w:ascii="Times New Roman" w:hAnsi="Times New Roman" w:cs="Times New Roman"/>
                <w:b/>
                <w:sz w:val="22"/>
              </w:rPr>
              <w:t>6.3.</w:t>
            </w:r>
            <w:r w:rsidRPr="00C96FB2">
              <w:rPr>
                <w:rFonts w:ascii="Times New Roman" w:hAnsi="Times New Roman" w:cs="Times New Roman"/>
                <w:sz w:val="22"/>
              </w:rPr>
              <w:t xml:space="preserve"> Zabezpečuje sa vzdelávanie v oblasti počítačovej gramotnosti a rozširovanie vedomostí o IKT?</w:t>
            </w:r>
          </w:p>
          <w:p w:rsidR="0094402A" w:rsidRPr="00C96FB2" w:rsidP="0094402A">
            <w:pPr>
              <w:bidi w:val="0"/>
              <w:spacing w:after="0" w:line="240" w:lineRule="auto"/>
              <w:rPr>
                <w:rFonts w:ascii="Times New Roman" w:hAnsi="Times New Roman" w:cs="Times New Roman"/>
                <w:sz w:val="20"/>
                <w:szCs w:val="20"/>
              </w:rPr>
            </w:pPr>
            <w:r w:rsidRPr="00C96FB2">
              <w:rPr>
                <w:rFonts w:ascii="Times New Roman" w:hAnsi="Times New Roman" w:cs="Times New Roman"/>
                <w:i/>
                <w:iCs/>
                <w:sz w:val="20"/>
                <w:szCs w:val="20"/>
              </w:rPr>
              <w:t>(Uveďte spôsob, napr. projekty, školenia.)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94402A" w:rsidRPr="00C96FB2" w:rsidP="0094402A">
            <w:pPr>
              <w:bidi w:val="0"/>
              <w:spacing w:after="0" w:line="240" w:lineRule="auto"/>
              <w:rPr>
                <w:rFonts w:ascii="Times New Roman" w:hAnsi="Times New Roman" w:cs="Times New Roman"/>
                <w:iCs/>
              </w:rPr>
            </w:pPr>
            <w:r w:rsidRPr="00C96FB2">
              <w:rPr>
                <w:rFonts w:ascii="Times New Roman" w:hAnsi="Times New Roman" w:cs="Times New Roman"/>
                <w:iCs/>
                <w:sz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4402A" w:rsidRPr="00C96FB2" w:rsidP="0094402A">
            <w:pPr>
              <w:bidi w:val="0"/>
              <w:spacing w:after="0" w:line="240" w:lineRule="auto"/>
              <w:rPr>
                <w:rFonts w:ascii="Times New Roman" w:hAnsi="Times New Roman" w:cs="Times New Roman"/>
              </w:rPr>
            </w:pPr>
            <w:r w:rsidRPr="00C96FB2">
              <w:rPr>
                <w:rFonts w:ascii="Times New Roman" w:hAnsi="Times New Roman" w:cs="Times New Roman"/>
                <w:b/>
                <w:sz w:val="22"/>
              </w:rPr>
              <w:t>6.4.</w:t>
            </w:r>
            <w:r w:rsidRPr="00C96FB2">
              <w:rPr>
                <w:rFonts w:ascii="Times New Roman" w:hAnsi="Times New Roman" w:cs="Times New Roman"/>
                <w:sz w:val="22"/>
              </w:rPr>
              <w:t xml:space="preserve"> Zabezpečuje sa rozvoj elektronického vzdelávania?</w:t>
            </w:r>
          </w:p>
          <w:p w:rsidR="0094402A" w:rsidRPr="00C96FB2" w:rsidP="0094402A">
            <w:pPr>
              <w:bidi w:val="0"/>
              <w:spacing w:after="0" w:line="240" w:lineRule="auto"/>
              <w:rPr>
                <w:rFonts w:ascii="Times New Roman" w:hAnsi="Times New Roman" w:cs="Times New Roman"/>
                <w:color w:val="FFFFFF"/>
                <w:sz w:val="20"/>
                <w:szCs w:val="20"/>
              </w:rPr>
            </w:pPr>
            <w:r w:rsidRPr="00C96FB2">
              <w:rPr>
                <w:rFonts w:ascii="Times New Roman" w:hAnsi="Times New Roman" w:cs="Times New Roman"/>
                <w:i/>
                <w:iCs/>
                <w:sz w:val="20"/>
                <w:szCs w:val="20"/>
              </w:rPr>
              <w:t>(Uveďte typ a spôsob zabezpečenia vzdelávacích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94402A" w:rsidRPr="00C96FB2" w:rsidP="0094402A">
            <w:pPr>
              <w:bidi w:val="0"/>
              <w:spacing w:after="0" w:line="240" w:lineRule="auto"/>
              <w:rPr>
                <w:rFonts w:ascii="Times New Roman" w:hAnsi="Times New Roman" w:cs="Times New Roman"/>
                <w:iCs/>
              </w:rPr>
            </w:pPr>
            <w:r w:rsidRPr="00C96FB2">
              <w:rPr>
                <w:rFonts w:ascii="Times New Roman" w:hAnsi="Times New Roman" w:cs="Times New Roman"/>
                <w:iCs/>
                <w:sz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4402A" w:rsidRPr="00C96FB2" w:rsidP="0094402A">
            <w:pPr>
              <w:bidi w:val="0"/>
              <w:spacing w:after="0" w:line="240" w:lineRule="auto"/>
              <w:rPr>
                <w:rFonts w:ascii="Times New Roman" w:hAnsi="Times New Roman" w:cs="Times New Roman"/>
              </w:rPr>
            </w:pPr>
            <w:r w:rsidRPr="00C96FB2">
              <w:rPr>
                <w:rFonts w:ascii="Times New Roman" w:hAnsi="Times New Roman" w:cs="Times New Roman"/>
                <w:b/>
                <w:sz w:val="22"/>
              </w:rPr>
              <w:t>6.5.</w:t>
            </w:r>
            <w:r w:rsidRPr="00C96FB2">
              <w:rPr>
                <w:rFonts w:ascii="Times New Roman" w:hAnsi="Times New Roman" w:cs="Times New Roman"/>
                <w:sz w:val="22"/>
              </w:rPr>
              <w:t xml:space="preserve"> Zabezpečuje sa podporná a propagačná aktivita zameraná na zvyšovanie povedomia o informatizácii a IKT?</w:t>
            </w:r>
          </w:p>
          <w:p w:rsidR="0094402A" w:rsidRPr="00C96FB2" w:rsidP="0094402A">
            <w:pPr>
              <w:bidi w:val="0"/>
              <w:spacing w:after="0" w:line="240" w:lineRule="auto"/>
              <w:rPr>
                <w:rFonts w:ascii="Times New Roman" w:hAnsi="Times New Roman" w:cs="Times New Roman"/>
                <w:color w:val="FFFFFF"/>
                <w:sz w:val="20"/>
                <w:szCs w:val="20"/>
              </w:rPr>
            </w:pPr>
            <w:r w:rsidRPr="00C96FB2">
              <w:rPr>
                <w:rFonts w:ascii="Times New Roman" w:hAnsi="Times New Roman" w:cs="Times New Roman"/>
                <w:i/>
                <w:iCs/>
                <w:sz w:val="20"/>
                <w:szCs w:val="20"/>
              </w:rPr>
              <w:t>(Uveďte typ a spôsob zabezpečenia propagačných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94402A" w:rsidRPr="00C96FB2" w:rsidP="0094402A">
            <w:pPr>
              <w:bidi w:val="0"/>
              <w:spacing w:after="0" w:line="240" w:lineRule="auto"/>
              <w:rPr>
                <w:rFonts w:ascii="Times New Roman" w:hAnsi="Times New Roman" w:cs="Times New Roman"/>
                <w:iCs/>
              </w:rPr>
            </w:pPr>
            <w:r w:rsidRPr="00C96FB2">
              <w:rPr>
                <w:rFonts w:ascii="Times New Roman" w:hAnsi="Times New Roman" w:cs="Times New Roman"/>
                <w:iCs/>
                <w:sz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4402A" w:rsidRPr="00C96FB2" w:rsidP="0094402A">
            <w:pPr>
              <w:bidi w:val="0"/>
              <w:spacing w:after="0" w:line="240" w:lineRule="auto"/>
              <w:rPr>
                <w:rFonts w:ascii="Times New Roman" w:hAnsi="Times New Roman" w:cs="Times New Roman"/>
              </w:rPr>
            </w:pPr>
            <w:r w:rsidRPr="00C96FB2">
              <w:rPr>
                <w:rFonts w:ascii="Times New Roman" w:hAnsi="Times New Roman" w:cs="Times New Roman"/>
                <w:b/>
                <w:sz w:val="22"/>
              </w:rPr>
              <w:t>6.6.</w:t>
            </w:r>
            <w:r w:rsidRPr="00C96FB2">
              <w:rPr>
                <w:rFonts w:ascii="Times New Roman" w:hAnsi="Times New Roman" w:cs="Times New Roman"/>
                <w:sz w:val="22"/>
              </w:rPr>
              <w:t xml:space="preserve"> Zabezpečuje/zohľadňuje/zlepšuje sa prístup znevýhodnených osôb k službám informačnej spoločnosti?</w:t>
            </w:r>
          </w:p>
          <w:p w:rsidR="0094402A" w:rsidRPr="00C96FB2" w:rsidP="0094402A">
            <w:pPr>
              <w:bidi w:val="0"/>
              <w:spacing w:after="0" w:line="240" w:lineRule="auto"/>
              <w:rPr>
                <w:rFonts w:ascii="Times New Roman" w:hAnsi="Times New Roman" w:cs="Times New Roman"/>
                <w:sz w:val="20"/>
                <w:szCs w:val="20"/>
              </w:rPr>
            </w:pPr>
            <w:r w:rsidRPr="00C96FB2">
              <w:rPr>
                <w:rFonts w:ascii="Times New Roman" w:hAnsi="Times New Roman" w:cs="Times New Roman"/>
                <w:i/>
                <w:iCs/>
                <w:sz w:val="20"/>
                <w:szCs w:val="20"/>
              </w:rPr>
              <w:t>(Uveďte spôsob sprístupnenia digitálneho prostredia.)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94402A" w:rsidRPr="00C96FB2" w:rsidP="0094402A">
            <w:pPr>
              <w:bidi w:val="0"/>
              <w:spacing w:after="0" w:line="240" w:lineRule="auto"/>
              <w:rPr>
                <w:rFonts w:ascii="Times New Roman" w:hAnsi="Times New Roman" w:cs="Times New Roman"/>
                <w:iCs/>
              </w:rPr>
            </w:pPr>
            <w:r w:rsidRPr="00C96FB2">
              <w:rPr>
                <w:rFonts w:ascii="Times New Roman" w:hAnsi="Times New Roman" w:cs="Times New Roman"/>
                <w:iCs/>
                <w:sz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94402A" w:rsidRPr="00C96FB2" w:rsidP="0094402A">
            <w:pPr>
              <w:bidi w:val="0"/>
              <w:spacing w:after="0" w:line="240" w:lineRule="auto"/>
              <w:rPr>
                <w:rFonts w:ascii="Times New Roman" w:hAnsi="Times New Roman" w:cs="Times New Roman"/>
                <w:b/>
              </w:rPr>
            </w:pPr>
            <w:r w:rsidRPr="00C96FB2">
              <w:rPr>
                <w:rFonts w:ascii="Times New Roman" w:hAnsi="Times New Roman" w:cs="Times New Roman"/>
                <w:b/>
                <w:sz w:val="22"/>
              </w:rPr>
              <w:t>Infraštruktúra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94402A" w:rsidRPr="00C96FB2" w:rsidP="0094402A">
            <w:pPr>
              <w:bidi w:val="0"/>
              <w:spacing w:after="0" w:line="240" w:lineRule="auto"/>
              <w:rPr>
                <w:rFonts w:ascii="Times New Roman" w:hAnsi="Times New Roman" w:cs="Times New Roman"/>
                <w:b/>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4402A" w:rsidRPr="00C96FB2" w:rsidP="0094402A">
            <w:pPr>
              <w:bidi w:val="0"/>
              <w:spacing w:after="0" w:line="240" w:lineRule="auto"/>
              <w:rPr>
                <w:rFonts w:ascii="Times New Roman" w:hAnsi="Times New Roman" w:cs="Times New Roman"/>
              </w:rPr>
            </w:pPr>
            <w:r w:rsidRPr="00C96FB2">
              <w:rPr>
                <w:rFonts w:ascii="Times New Roman" w:hAnsi="Times New Roman" w:cs="Times New Roman"/>
                <w:b/>
                <w:sz w:val="22"/>
              </w:rPr>
              <w:t>6.7.</w:t>
            </w:r>
            <w:r w:rsidRPr="00C96FB2">
              <w:rPr>
                <w:rFonts w:ascii="Times New Roman" w:hAnsi="Times New Roman" w:cs="Times New Roman"/>
                <w:sz w:val="22"/>
              </w:rPr>
              <w:t xml:space="preserve"> Rozširuje, inovuje, vytvára alebo zavádza sa nový informačný systém?</w:t>
            </w:r>
          </w:p>
          <w:p w:rsidR="0094402A" w:rsidRPr="00C96FB2" w:rsidP="0094402A">
            <w:pPr>
              <w:bidi w:val="0"/>
              <w:spacing w:after="0" w:line="240" w:lineRule="auto"/>
              <w:rPr>
                <w:rFonts w:ascii="Times New Roman" w:hAnsi="Times New Roman" w:cs="Times New Roman"/>
                <w:sz w:val="20"/>
                <w:szCs w:val="20"/>
              </w:rPr>
            </w:pPr>
            <w:r w:rsidRPr="00C96FB2">
              <w:rPr>
                <w:rFonts w:ascii="Times New Roman" w:hAnsi="Times New Roman" w:cs="Times New Roman"/>
                <w:i/>
                <w:iCs/>
                <w:sz w:val="20"/>
                <w:szCs w:val="20"/>
              </w:rPr>
              <w:t>(Uveďte jeho funkciu.)</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94402A" w:rsidRPr="00C96FB2" w:rsidP="0094402A">
            <w:pPr>
              <w:bidi w:val="0"/>
              <w:spacing w:after="0" w:line="240" w:lineRule="auto"/>
              <w:rPr>
                <w:rFonts w:ascii="Times New Roman" w:hAnsi="Times New Roman" w:cs="Times New Roman"/>
                <w:iCs/>
              </w:rPr>
            </w:pPr>
            <w:r w:rsidRPr="00C96FB2">
              <w:rPr>
                <w:rFonts w:ascii="Times New Roman" w:hAnsi="Times New Roman" w:cs="Times New Roman"/>
                <w:iCs/>
                <w:sz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4402A" w:rsidRPr="00C96FB2" w:rsidP="0094402A">
            <w:pPr>
              <w:bidi w:val="0"/>
              <w:spacing w:after="0" w:line="240" w:lineRule="auto"/>
              <w:rPr>
                <w:rFonts w:ascii="Times New Roman" w:hAnsi="Times New Roman" w:cs="Times New Roman"/>
              </w:rPr>
            </w:pPr>
            <w:r w:rsidRPr="00C96FB2">
              <w:rPr>
                <w:rFonts w:ascii="Times New Roman" w:hAnsi="Times New Roman" w:cs="Times New Roman"/>
                <w:b/>
                <w:sz w:val="22"/>
              </w:rPr>
              <w:t>6.8.</w:t>
            </w:r>
            <w:r w:rsidRPr="00C96FB2">
              <w:rPr>
                <w:rFonts w:ascii="Times New Roman" w:hAnsi="Times New Roman" w:cs="Times New Roman"/>
                <w:sz w:val="22"/>
              </w:rPr>
              <w:t xml:space="preserve"> Rozširuje sa prístupnosť k internetu?</w:t>
            </w:r>
          </w:p>
          <w:p w:rsidR="0094402A" w:rsidRPr="00C96FB2" w:rsidP="0094402A">
            <w:pPr>
              <w:bidi w:val="0"/>
              <w:spacing w:after="0" w:line="240" w:lineRule="auto"/>
              <w:rPr>
                <w:rFonts w:ascii="Times New Roman" w:hAnsi="Times New Roman" w:cs="Times New Roman"/>
                <w:sz w:val="20"/>
                <w:szCs w:val="20"/>
              </w:rPr>
            </w:pPr>
            <w:r w:rsidRPr="00C96FB2">
              <w:rPr>
                <w:rFonts w:ascii="Times New Roman" w:hAnsi="Times New Roman" w:cs="Times New Roman"/>
                <w:i/>
                <w:iCs/>
                <w:sz w:val="20"/>
                <w:szCs w:val="20"/>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94402A" w:rsidRPr="00C96FB2" w:rsidP="0094402A">
            <w:pPr>
              <w:bidi w:val="0"/>
              <w:spacing w:after="0" w:line="240" w:lineRule="auto"/>
              <w:rPr>
                <w:rFonts w:ascii="Times New Roman" w:hAnsi="Times New Roman" w:cs="Times New Roman"/>
                <w:iCs/>
              </w:rPr>
            </w:pPr>
            <w:r w:rsidRPr="00C96FB2">
              <w:rPr>
                <w:rFonts w:ascii="Times New Roman" w:hAnsi="Times New Roman" w:cs="Times New Roman"/>
                <w:iCs/>
                <w:sz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4402A" w:rsidRPr="00C96FB2" w:rsidP="0094402A">
            <w:pPr>
              <w:bidi w:val="0"/>
              <w:spacing w:after="0" w:line="240" w:lineRule="auto"/>
              <w:rPr>
                <w:rFonts w:ascii="Times New Roman" w:hAnsi="Times New Roman" w:cs="Times New Roman"/>
              </w:rPr>
            </w:pPr>
            <w:r w:rsidRPr="00C96FB2">
              <w:rPr>
                <w:rFonts w:ascii="Times New Roman" w:hAnsi="Times New Roman" w:cs="Times New Roman"/>
                <w:b/>
                <w:sz w:val="22"/>
              </w:rPr>
              <w:t>6.9.</w:t>
            </w:r>
            <w:r w:rsidRPr="00C96FB2">
              <w:rPr>
                <w:rFonts w:ascii="Times New Roman" w:hAnsi="Times New Roman" w:cs="Times New Roman"/>
                <w:sz w:val="22"/>
              </w:rPr>
              <w:t xml:space="preserve"> Rozširuje sa prístupnosť k elektronickým službám?</w:t>
            </w:r>
          </w:p>
          <w:p w:rsidR="0094402A" w:rsidRPr="00C96FB2" w:rsidP="0094402A">
            <w:pPr>
              <w:bidi w:val="0"/>
              <w:spacing w:after="0" w:line="240" w:lineRule="auto"/>
              <w:rPr>
                <w:rFonts w:ascii="Times New Roman" w:hAnsi="Times New Roman" w:cs="Times New Roman"/>
                <w:sz w:val="20"/>
                <w:szCs w:val="20"/>
              </w:rPr>
            </w:pPr>
            <w:r w:rsidRPr="00C96FB2">
              <w:rPr>
                <w:rFonts w:ascii="Times New Roman" w:hAnsi="Times New Roman" w:cs="Times New Roman"/>
                <w:i/>
                <w:iCs/>
                <w:sz w:val="20"/>
                <w:szCs w:val="20"/>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94402A" w:rsidRPr="00C96FB2" w:rsidP="0094402A">
            <w:pPr>
              <w:bidi w:val="0"/>
              <w:spacing w:after="0" w:line="240" w:lineRule="auto"/>
              <w:rPr>
                <w:rFonts w:ascii="Times New Roman" w:hAnsi="Times New Roman" w:cs="Times New Roman"/>
                <w:iCs/>
              </w:rPr>
            </w:pPr>
            <w:r w:rsidRPr="00C96FB2">
              <w:rPr>
                <w:rFonts w:ascii="Times New Roman" w:hAnsi="Times New Roman" w:cs="Times New Roman"/>
                <w:iCs/>
                <w:sz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4402A" w:rsidRPr="00C96FB2" w:rsidP="0094402A">
            <w:pPr>
              <w:bidi w:val="0"/>
              <w:spacing w:after="0" w:line="240" w:lineRule="auto"/>
              <w:rPr>
                <w:rFonts w:ascii="Times New Roman" w:hAnsi="Times New Roman" w:cs="Times New Roman"/>
              </w:rPr>
            </w:pPr>
            <w:r w:rsidRPr="00C96FB2">
              <w:rPr>
                <w:rFonts w:ascii="Times New Roman" w:hAnsi="Times New Roman" w:cs="Times New Roman"/>
                <w:b/>
                <w:sz w:val="22"/>
              </w:rPr>
              <w:t>6.10.</w:t>
            </w:r>
            <w:r w:rsidRPr="00C96FB2">
              <w:rPr>
                <w:rFonts w:ascii="Times New Roman" w:hAnsi="Times New Roman" w:cs="Times New Roman"/>
                <w:sz w:val="22"/>
              </w:rPr>
              <w:t xml:space="preserve"> Zabezpečuje sa technická interoperabilita?</w:t>
            </w:r>
          </w:p>
          <w:p w:rsidR="0094402A" w:rsidRPr="00C96FB2" w:rsidP="0094402A">
            <w:pPr>
              <w:bidi w:val="0"/>
              <w:spacing w:after="0" w:line="240" w:lineRule="auto"/>
              <w:rPr>
                <w:rFonts w:ascii="Times New Roman" w:hAnsi="Times New Roman" w:cs="Times New Roman"/>
                <w:sz w:val="20"/>
                <w:szCs w:val="20"/>
              </w:rPr>
            </w:pPr>
            <w:r w:rsidRPr="00C96FB2">
              <w:rPr>
                <w:rFonts w:ascii="Times New Roman" w:hAnsi="Times New Roman" w:cs="Times New Roman"/>
                <w:i/>
                <w:iCs/>
                <w:sz w:val="20"/>
                <w:szCs w:val="20"/>
              </w:rPr>
              <w:t>(Uveďte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94402A" w:rsidRPr="00C96FB2" w:rsidP="0094402A">
            <w:pPr>
              <w:bidi w:val="0"/>
              <w:spacing w:after="0" w:line="240" w:lineRule="auto"/>
              <w:rPr>
                <w:rFonts w:ascii="Times New Roman" w:hAnsi="Times New Roman" w:cs="Times New Roman"/>
                <w:iCs/>
              </w:rPr>
            </w:pPr>
            <w:r w:rsidRPr="00C96FB2">
              <w:rPr>
                <w:rFonts w:ascii="Times New Roman" w:hAnsi="Times New Roman" w:cs="Times New Roman"/>
                <w:iCs/>
                <w:sz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4402A" w:rsidRPr="00C96FB2" w:rsidP="0094402A">
            <w:pPr>
              <w:bidi w:val="0"/>
              <w:spacing w:after="0" w:line="240" w:lineRule="auto"/>
              <w:rPr>
                <w:rFonts w:ascii="Times New Roman" w:hAnsi="Times New Roman" w:cs="Times New Roman"/>
              </w:rPr>
            </w:pPr>
            <w:r w:rsidRPr="00C96FB2">
              <w:rPr>
                <w:rFonts w:ascii="Times New Roman" w:hAnsi="Times New Roman" w:cs="Times New Roman"/>
                <w:b/>
                <w:sz w:val="22"/>
              </w:rPr>
              <w:t>6.11.</w:t>
            </w:r>
            <w:r w:rsidRPr="00C96FB2">
              <w:rPr>
                <w:rFonts w:ascii="Times New Roman" w:hAnsi="Times New Roman" w:cs="Times New Roman"/>
                <w:sz w:val="22"/>
              </w:rPr>
              <w:t xml:space="preserve"> Zvyšuje sa bezpečnosť IT?</w:t>
            </w:r>
          </w:p>
          <w:p w:rsidR="0094402A" w:rsidRPr="00C96FB2" w:rsidP="0094402A">
            <w:pPr>
              <w:bidi w:val="0"/>
              <w:spacing w:after="0" w:line="240" w:lineRule="auto"/>
              <w:rPr>
                <w:rFonts w:ascii="Times New Roman" w:hAnsi="Times New Roman" w:cs="Times New Roman"/>
                <w:sz w:val="20"/>
                <w:szCs w:val="20"/>
              </w:rPr>
            </w:pPr>
            <w:r w:rsidRPr="00C96FB2">
              <w:rPr>
                <w:rFonts w:ascii="Times New Roman" w:hAnsi="Times New Roman" w:cs="Times New Roman"/>
                <w:sz w:val="20"/>
                <w:szCs w:val="20"/>
              </w:rPr>
              <w:t>(</w:t>
            </w:r>
            <w:r w:rsidRPr="00C96FB2">
              <w:rPr>
                <w:rFonts w:ascii="Times New Roman" w:hAnsi="Times New Roman" w:cs="Times New Roman"/>
                <w:i/>
                <w:iCs/>
                <w:sz w:val="20"/>
                <w:szCs w:val="20"/>
              </w:rPr>
              <w:t>Uveďte spôsob zvýšenia bezpečnosti a ochrany IT.)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94402A" w:rsidRPr="00C96FB2" w:rsidP="0094402A">
            <w:pPr>
              <w:bidi w:val="0"/>
              <w:spacing w:after="0" w:line="240" w:lineRule="auto"/>
              <w:rPr>
                <w:rFonts w:ascii="Times New Roman" w:hAnsi="Times New Roman" w:cs="Times New Roman"/>
                <w:iCs/>
              </w:rPr>
            </w:pPr>
            <w:r w:rsidRPr="00C96FB2">
              <w:rPr>
                <w:rFonts w:ascii="Times New Roman" w:hAnsi="Times New Roman" w:cs="Times New Roman"/>
                <w:iCs/>
                <w:sz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4402A" w:rsidRPr="00C96FB2" w:rsidP="0094402A">
            <w:pPr>
              <w:bidi w:val="0"/>
              <w:spacing w:after="0" w:line="240" w:lineRule="auto"/>
              <w:rPr>
                <w:rFonts w:ascii="Times New Roman" w:hAnsi="Times New Roman" w:cs="Times New Roman"/>
              </w:rPr>
            </w:pPr>
            <w:r w:rsidRPr="00C96FB2">
              <w:rPr>
                <w:rFonts w:ascii="Times New Roman" w:hAnsi="Times New Roman" w:cs="Times New Roman"/>
                <w:b/>
                <w:sz w:val="22"/>
              </w:rPr>
              <w:t>6.12.</w:t>
            </w:r>
            <w:r w:rsidRPr="00C96FB2">
              <w:rPr>
                <w:rFonts w:ascii="Times New Roman" w:hAnsi="Times New Roman" w:cs="Times New Roman"/>
                <w:sz w:val="22"/>
              </w:rPr>
              <w:t xml:space="preserve"> Rozširuje sa technická infraštruktúra?</w:t>
            </w:r>
          </w:p>
          <w:p w:rsidR="0094402A" w:rsidRPr="00C96FB2" w:rsidP="0094402A">
            <w:pPr>
              <w:bidi w:val="0"/>
              <w:spacing w:after="0" w:line="240" w:lineRule="auto"/>
              <w:rPr>
                <w:rFonts w:ascii="Times New Roman" w:hAnsi="Times New Roman" w:cs="Times New Roman"/>
                <w:sz w:val="20"/>
                <w:szCs w:val="20"/>
              </w:rPr>
            </w:pPr>
            <w:r w:rsidRPr="00C96FB2">
              <w:rPr>
                <w:rFonts w:ascii="Times New Roman" w:hAnsi="Times New Roman" w:cs="Times New Roman"/>
                <w:sz w:val="20"/>
                <w:szCs w:val="20"/>
              </w:rPr>
              <w:t>(</w:t>
            </w:r>
            <w:r w:rsidRPr="00C96FB2">
              <w:rPr>
                <w:rFonts w:ascii="Times New Roman" w:hAnsi="Times New Roman" w:cs="Times New Roman"/>
                <w:i/>
                <w:iCs/>
                <w:sz w:val="20"/>
                <w:szCs w:val="20"/>
              </w:rPr>
              <w:t>Uveďte stručný popis zavádzanej infraštruktúry.)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94402A" w:rsidRPr="00C96FB2" w:rsidP="0094402A">
            <w:pPr>
              <w:bidi w:val="0"/>
              <w:spacing w:after="0" w:line="240" w:lineRule="auto"/>
              <w:rPr>
                <w:rFonts w:ascii="Times New Roman" w:hAnsi="Times New Roman" w:cs="Times New Roman"/>
                <w:iCs/>
              </w:rPr>
            </w:pPr>
            <w:r w:rsidRPr="00C96FB2">
              <w:rPr>
                <w:rFonts w:ascii="Times New Roman" w:hAnsi="Times New Roman" w:cs="Times New Roman"/>
                <w:iCs/>
                <w:sz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94402A" w:rsidRPr="00C96FB2" w:rsidP="0094402A">
            <w:pPr>
              <w:bidi w:val="0"/>
              <w:spacing w:after="0" w:line="240" w:lineRule="auto"/>
              <w:rPr>
                <w:rFonts w:ascii="Times New Roman" w:hAnsi="Times New Roman" w:cs="Times New Roman"/>
                <w:b/>
              </w:rPr>
            </w:pPr>
            <w:r w:rsidRPr="00C96FB2">
              <w:rPr>
                <w:rFonts w:ascii="Times New Roman" w:hAnsi="Times New Roman" w:cs="Times New Roman"/>
                <w:b/>
                <w:sz w:val="22"/>
              </w:rPr>
              <w:t>Riadenie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94402A" w:rsidRPr="00C96FB2" w:rsidP="0094402A">
            <w:pPr>
              <w:bidi w:val="0"/>
              <w:spacing w:after="0" w:line="240" w:lineRule="auto"/>
              <w:jc w:val="center"/>
              <w:rPr>
                <w:rFonts w:ascii="Times New Roman" w:hAnsi="Times New Roman" w:cs="Times New Roman"/>
                <w:b/>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4402A" w:rsidRPr="00C96FB2" w:rsidP="0094402A">
            <w:pPr>
              <w:bidi w:val="0"/>
              <w:spacing w:after="0" w:line="240" w:lineRule="auto"/>
              <w:rPr>
                <w:rFonts w:ascii="Times New Roman" w:hAnsi="Times New Roman" w:cs="Times New Roman"/>
              </w:rPr>
            </w:pPr>
            <w:r w:rsidRPr="00C96FB2">
              <w:rPr>
                <w:rFonts w:ascii="Times New Roman" w:hAnsi="Times New Roman" w:cs="Times New Roman"/>
                <w:b/>
                <w:sz w:val="22"/>
              </w:rPr>
              <w:t>6.13.</w:t>
            </w:r>
            <w:r w:rsidRPr="00C96FB2">
              <w:rPr>
                <w:rFonts w:ascii="Times New Roman" w:hAnsi="Times New Roman" w:cs="Times New Roman"/>
                <w:sz w:val="22"/>
              </w:rPr>
              <w:t xml:space="preserve"> Predpokladajú sa zmeny v riadení procesu informatizácie?</w:t>
            </w:r>
          </w:p>
          <w:p w:rsidR="0094402A" w:rsidRPr="00C96FB2" w:rsidP="0094402A">
            <w:pPr>
              <w:bidi w:val="0"/>
              <w:spacing w:after="0" w:line="240" w:lineRule="auto"/>
              <w:rPr>
                <w:rFonts w:ascii="Times New Roman" w:hAnsi="Times New Roman" w:cs="Times New Roman"/>
                <w:sz w:val="20"/>
                <w:szCs w:val="20"/>
              </w:rPr>
            </w:pPr>
            <w:r w:rsidRPr="00C96FB2">
              <w:rPr>
                <w:rFonts w:ascii="Times New Roman" w:hAnsi="Times New Roman" w:cs="Times New Roman"/>
                <w:i/>
                <w:iCs/>
                <w:sz w:val="20"/>
                <w:szCs w:val="20"/>
              </w:rPr>
              <w:t>(Uveďte popis zmien.)</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94402A" w:rsidRPr="00C96FB2" w:rsidP="0094402A">
            <w:pPr>
              <w:bidi w:val="0"/>
              <w:spacing w:after="0" w:line="240" w:lineRule="auto"/>
              <w:rPr>
                <w:rFonts w:ascii="Times New Roman" w:hAnsi="Times New Roman" w:cs="Times New Roman"/>
                <w:iCs/>
              </w:rPr>
            </w:pPr>
            <w:r w:rsidRPr="00C96FB2">
              <w:rPr>
                <w:rFonts w:ascii="Times New Roman" w:hAnsi="Times New Roman" w:cs="Times New Roman"/>
                <w:iCs/>
                <w:sz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94402A" w:rsidRPr="00C96FB2" w:rsidP="0094402A">
            <w:pPr>
              <w:bidi w:val="0"/>
              <w:spacing w:after="0" w:line="240" w:lineRule="auto"/>
              <w:rPr>
                <w:rFonts w:ascii="Times New Roman" w:hAnsi="Times New Roman" w:cs="Times New Roman"/>
                <w:b/>
              </w:rPr>
            </w:pPr>
            <w:r w:rsidRPr="00C96FB2">
              <w:rPr>
                <w:rFonts w:ascii="Times New Roman" w:hAnsi="Times New Roman" w:cs="Times New Roman"/>
                <w:b/>
                <w:sz w:val="22"/>
              </w:rPr>
              <w:t>Financovanie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94402A" w:rsidRPr="00C96FB2" w:rsidP="0094402A">
            <w:pPr>
              <w:bidi w:val="0"/>
              <w:spacing w:after="0" w:line="240" w:lineRule="auto"/>
              <w:rPr>
                <w:rFonts w:ascii="Times New Roman" w:hAnsi="Times New Roman" w:cs="Times New Roman"/>
                <w:b/>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4402A" w:rsidRPr="00C96FB2" w:rsidP="0094402A">
            <w:pPr>
              <w:bidi w:val="0"/>
              <w:spacing w:after="0" w:line="240" w:lineRule="auto"/>
              <w:rPr>
                <w:rFonts w:ascii="Times New Roman" w:hAnsi="Times New Roman" w:cs="Times New Roman"/>
              </w:rPr>
            </w:pPr>
            <w:r w:rsidRPr="00C96FB2">
              <w:rPr>
                <w:rFonts w:ascii="Times New Roman" w:hAnsi="Times New Roman" w:cs="Times New Roman"/>
                <w:b/>
                <w:sz w:val="22"/>
              </w:rPr>
              <w:t>6.14.</w:t>
            </w:r>
            <w:r w:rsidRPr="00C96FB2">
              <w:rPr>
                <w:rFonts w:ascii="Times New Roman" w:hAnsi="Times New Roman" w:cs="Times New Roman"/>
                <w:sz w:val="22"/>
              </w:rPr>
              <w:t xml:space="preserve"> Vyžaduje si proces informatizácie  finančné investície?</w:t>
            </w:r>
          </w:p>
          <w:p w:rsidR="0094402A" w:rsidRPr="00C96FB2" w:rsidP="0094402A">
            <w:pPr>
              <w:bidi w:val="0"/>
              <w:spacing w:after="0" w:line="240" w:lineRule="auto"/>
              <w:rPr>
                <w:rFonts w:ascii="Times New Roman" w:hAnsi="Times New Roman" w:cs="Times New Roman"/>
                <w:sz w:val="20"/>
                <w:szCs w:val="20"/>
              </w:rPr>
            </w:pPr>
            <w:r w:rsidRPr="00C96FB2">
              <w:rPr>
                <w:rFonts w:ascii="Times New Roman" w:hAnsi="Times New Roman" w:cs="Times New Roman"/>
                <w:i/>
                <w:iCs/>
                <w:sz w:val="20"/>
                <w:szCs w:val="20"/>
              </w:rPr>
              <w:t>(Popíšte príslušnú úroveň financovania.)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94402A" w:rsidRPr="00C96FB2" w:rsidP="0094402A">
            <w:pPr>
              <w:bidi w:val="0"/>
              <w:spacing w:after="0" w:line="240" w:lineRule="auto"/>
              <w:rPr>
                <w:rFonts w:ascii="Times New Roman" w:hAnsi="Times New Roman" w:cs="Times New Roman"/>
                <w:iCs/>
              </w:rPr>
            </w:pPr>
            <w:r w:rsidRPr="00C96FB2">
              <w:rPr>
                <w:rFonts w:ascii="Times New Roman" w:hAnsi="Times New Roman" w:cs="Times New Roman"/>
                <w:iCs/>
                <w:sz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94402A" w:rsidRPr="00C96FB2" w:rsidP="0094402A">
            <w:pPr>
              <w:bidi w:val="0"/>
              <w:spacing w:after="0" w:line="240" w:lineRule="auto"/>
              <w:rPr>
                <w:rFonts w:ascii="Times New Roman" w:hAnsi="Times New Roman" w:cs="Times New Roman"/>
                <w:b/>
              </w:rPr>
            </w:pPr>
            <w:r w:rsidRPr="00C96FB2">
              <w:rPr>
                <w:rFonts w:ascii="Times New Roman" w:hAnsi="Times New Roman" w:cs="Times New Roman"/>
                <w:b/>
                <w:sz w:val="22"/>
              </w:rPr>
              <w:t>Legislatívne prostredie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94402A" w:rsidRPr="00C96FB2" w:rsidP="0094402A">
            <w:pPr>
              <w:bidi w:val="0"/>
              <w:spacing w:after="0" w:line="240" w:lineRule="auto"/>
              <w:rPr>
                <w:rFonts w:ascii="Times New Roman" w:hAnsi="Times New Roman" w:cs="Times New Roman"/>
                <w:b/>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4402A" w:rsidRPr="00C96FB2" w:rsidP="0094402A">
            <w:pPr>
              <w:bidi w:val="0"/>
              <w:spacing w:after="0" w:line="240" w:lineRule="auto"/>
              <w:rPr>
                <w:rFonts w:ascii="Times New Roman" w:hAnsi="Times New Roman" w:cs="Times New Roman"/>
              </w:rPr>
            </w:pPr>
            <w:r w:rsidRPr="00C96FB2">
              <w:rPr>
                <w:rFonts w:ascii="Times New Roman" w:hAnsi="Times New Roman" w:cs="Times New Roman"/>
                <w:b/>
                <w:sz w:val="22"/>
              </w:rPr>
              <w:t>6.15.</w:t>
            </w:r>
            <w:r w:rsidRPr="00C96FB2">
              <w:rPr>
                <w:rFonts w:ascii="Times New Roman" w:hAnsi="Times New Roman" w:cs="Times New Roman"/>
                <w:sz w:val="22"/>
              </w:rPr>
              <w:t xml:space="preserve"> Predpokladá nelegislatívny materiál potrebu úpravy legislatívneho prostredia  procesu informatizácie?</w:t>
            </w:r>
          </w:p>
          <w:p w:rsidR="0094402A" w:rsidRPr="00C96FB2" w:rsidP="0094402A">
            <w:pPr>
              <w:bidi w:val="0"/>
              <w:spacing w:after="0" w:line="240" w:lineRule="auto"/>
              <w:rPr>
                <w:rFonts w:ascii="Times New Roman" w:hAnsi="Times New Roman" w:cs="Times New Roman"/>
                <w:sz w:val="20"/>
                <w:szCs w:val="20"/>
              </w:rPr>
            </w:pPr>
            <w:r w:rsidRPr="00C96FB2">
              <w:rPr>
                <w:rFonts w:ascii="Times New Roman" w:hAnsi="Times New Roman" w:cs="Times New Roman"/>
                <w:i/>
                <w:iCs/>
                <w:sz w:val="20"/>
                <w:szCs w:val="20"/>
              </w:rPr>
              <w:t>(Stručne popíšte navrhované legislatívne zmeny.)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94402A" w:rsidRPr="00C96FB2" w:rsidP="0094402A">
            <w:pPr>
              <w:bidi w:val="0"/>
              <w:spacing w:after="0" w:line="240" w:lineRule="auto"/>
              <w:rPr>
                <w:rFonts w:ascii="Times New Roman" w:hAnsi="Times New Roman" w:cs="Times New Roman"/>
                <w:i/>
                <w:iCs/>
              </w:rPr>
            </w:pPr>
          </w:p>
        </w:tc>
      </w:tr>
    </w:tbl>
    <w:p w:rsidR="00872FF1" w:rsidRPr="00C96FB2" w:rsidP="0094402A">
      <w:pPr>
        <w:bidi w:val="0"/>
        <w:spacing w:after="0" w:line="240" w:lineRule="auto"/>
        <w:rPr>
          <w:rFonts w:ascii="Times New Roman" w:hAnsi="Times New Roman" w:cs="Times New Roman"/>
          <w:b/>
          <w:bCs/>
        </w:rPr>
      </w:pPr>
    </w:p>
    <w:p w:rsidR="00AD2429" w:rsidRPr="00C96FB2" w:rsidP="0094402A">
      <w:pPr>
        <w:bidi w:val="0"/>
        <w:spacing w:after="0" w:line="240" w:lineRule="auto"/>
        <w:rPr>
          <w:rFonts w:ascii="Times New Roman" w:hAnsi="Times New Roman" w:cs="Times New Roman"/>
          <w:b/>
          <w:bCs/>
        </w:rPr>
        <w:sectPr w:rsidSect="00C707DB">
          <w:headerReference w:type="default" r:id="rId18"/>
          <w:footerReference w:type="even" r:id="rId19"/>
          <w:headerReference w:type="first" r:id="rId20"/>
          <w:pgSz w:w="11906" w:h="16838" w:code="9"/>
          <w:pgMar w:top="1417" w:right="1417" w:bottom="993" w:left="1417" w:header="708" w:footer="708" w:gutter="0"/>
          <w:lnNumType w:distance="0"/>
          <w:cols w:space="708"/>
          <w:noEndnote w:val="0"/>
          <w:bidi w:val="0"/>
          <w:docGrid w:linePitch="360"/>
        </w:sectPr>
      </w:pPr>
    </w:p>
    <w:p w:rsidR="00805D10" w:rsidRPr="00C96FB2" w:rsidP="00805D10">
      <w:pPr>
        <w:pStyle w:val="Title"/>
        <w:bidi w:val="0"/>
        <w:rPr>
          <w:rFonts w:ascii="Times New Roman" w:hAnsi="Times New Roman"/>
        </w:rPr>
      </w:pPr>
      <w:r w:rsidRPr="00C96FB2">
        <w:rPr>
          <w:rFonts w:ascii="Times New Roman" w:hAnsi="Times New Roman"/>
        </w:rPr>
        <w:t>Doložka zlučiteľnosti</w:t>
      </w:r>
    </w:p>
    <w:p w:rsidR="00805D10" w:rsidRPr="00C96FB2" w:rsidP="00805D10">
      <w:pPr>
        <w:pStyle w:val="Title"/>
        <w:bidi w:val="0"/>
        <w:rPr>
          <w:rFonts w:ascii="Times New Roman" w:hAnsi="Times New Roman"/>
        </w:rPr>
      </w:pPr>
    </w:p>
    <w:p w:rsidR="00805D10" w:rsidRPr="00C96FB2" w:rsidP="00805D10">
      <w:pPr>
        <w:bidi w:val="0"/>
        <w:rPr>
          <w:rFonts w:ascii="Times New Roman" w:hAnsi="Times New Roman" w:cs="Times New Roman"/>
          <w:b/>
          <w:bCs/>
        </w:rPr>
      </w:pPr>
      <w:r w:rsidRPr="00C96FB2">
        <w:rPr>
          <w:rFonts w:ascii="Times New Roman" w:hAnsi="Times New Roman" w:cs="Times New Roman"/>
          <w:b/>
          <w:bCs/>
        </w:rPr>
        <w:t>návrhu zákona, ktorým sa mení a dopĺňa zákon č. 541/2004 Z. z. o mierovom využívaní jadrovej energie (atómový zákon) a o zmene a doplnení niektorých zákonov v znení neskorších predpisov s právom Európskej únie</w:t>
      </w:r>
    </w:p>
    <w:p w:rsidR="00805D10" w:rsidRPr="00C96FB2" w:rsidP="00805D10">
      <w:pPr>
        <w:bidi w:val="0"/>
        <w:rPr>
          <w:rFonts w:ascii="Times New Roman" w:hAnsi="Times New Roman" w:cs="Times New Roman"/>
        </w:rPr>
      </w:pPr>
    </w:p>
    <w:p w:rsidR="00805D10" w:rsidRPr="00C96FB2" w:rsidP="00805D10">
      <w:pPr>
        <w:bidi w:val="0"/>
        <w:rPr>
          <w:rFonts w:ascii="Times New Roman" w:hAnsi="Times New Roman" w:cs="Times New Roman"/>
        </w:rPr>
      </w:pPr>
      <w:r w:rsidRPr="00C96FB2">
        <w:rPr>
          <w:rFonts w:ascii="Times New Roman" w:hAnsi="Times New Roman" w:cs="Times New Roman"/>
          <w:b/>
          <w:bCs/>
        </w:rPr>
        <w:t>1.</w:t>
      </w:r>
      <w:r w:rsidRPr="00C96FB2">
        <w:rPr>
          <w:rFonts w:ascii="Times New Roman" w:hAnsi="Times New Roman" w:cs="Times New Roman"/>
        </w:rPr>
        <w:t xml:space="preserve"> </w:t>
      </w:r>
      <w:r w:rsidRPr="00C96FB2">
        <w:rPr>
          <w:rFonts w:ascii="Times New Roman" w:hAnsi="Times New Roman" w:cs="Times New Roman"/>
          <w:b/>
          <w:bCs/>
        </w:rPr>
        <w:t>Predkladateľ právneho predpisu:</w:t>
      </w:r>
      <w:r w:rsidRPr="00C96FB2">
        <w:rPr>
          <w:rFonts w:ascii="Times New Roman" w:hAnsi="Times New Roman" w:cs="Times New Roman"/>
        </w:rPr>
        <w:t xml:space="preserve"> </w:t>
      </w:r>
    </w:p>
    <w:p w:rsidR="00805D10" w:rsidRPr="00C96FB2" w:rsidP="00805D10">
      <w:pPr>
        <w:bidi w:val="0"/>
        <w:rPr>
          <w:rFonts w:ascii="Times New Roman" w:hAnsi="Times New Roman" w:cs="Times New Roman"/>
        </w:rPr>
      </w:pPr>
      <w:r w:rsidRPr="00C96FB2">
        <w:rPr>
          <w:rFonts w:ascii="Times New Roman" w:hAnsi="Times New Roman" w:cs="Times New Roman"/>
        </w:rPr>
        <w:t>Vláda Slovenskej republiky</w:t>
      </w:r>
    </w:p>
    <w:p w:rsidR="00805D10" w:rsidRPr="00C96FB2" w:rsidP="00805D10">
      <w:pPr>
        <w:bidi w:val="0"/>
        <w:rPr>
          <w:rFonts w:ascii="Times New Roman" w:hAnsi="Times New Roman" w:cs="Times New Roman"/>
        </w:rPr>
      </w:pPr>
      <w:r w:rsidRPr="00C96FB2">
        <w:rPr>
          <w:rFonts w:ascii="Times New Roman" w:hAnsi="Times New Roman" w:cs="Times New Roman"/>
          <w:b/>
          <w:bCs/>
        </w:rPr>
        <w:t>2. Názov návrhu právneho predpisu:</w:t>
      </w:r>
      <w:r w:rsidRPr="00C96FB2">
        <w:rPr>
          <w:rFonts w:ascii="Times New Roman" w:hAnsi="Times New Roman" w:cs="Times New Roman"/>
        </w:rPr>
        <w:t xml:space="preserve"> </w:t>
      </w:r>
    </w:p>
    <w:p w:rsidR="00805D10" w:rsidRPr="00C96FB2" w:rsidP="00805D10">
      <w:pPr>
        <w:bidi w:val="0"/>
        <w:rPr>
          <w:rFonts w:ascii="Times New Roman" w:hAnsi="Times New Roman" w:cs="Times New Roman"/>
        </w:rPr>
      </w:pPr>
      <w:r w:rsidRPr="00C96FB2">
        <w:rPr>
          <w:rFonts w:ascii="Times New Roman" w:hAnsi="Times New Roman" w:cs="Times New Roman"/>
        </w:rPr>
        <w:t xml:space="preserve">Zákon, ktorým sa mení a dopĺňa zákon č. 541/2004 Z. z. o mierovom využívaní jadrovej energie (atómový zákon) a o zmene a doplnení niektorých zákonov v znení neskorších predpisov </w:t>
      </w:r>
    </w:p>
    <w:p w:rsidR="00805D10" w:rsidRPr="00C96FB2" w:rsidP="00805D10">
      <w:pPr>
        <w:bidi w:val="0"/>
        <w:rPr>
          <w:rFonts w:ascii="Times New Roman" w:hAnsi="Times New Roman" w:cs="Times New Roman"/>
          <w:b/>
          <w:bCs/>
        </w:rPr>
      </w:pPr>
      <w:r w:rsidRPr="00C96FB2">
        <w:rPr>
          <w:rFonts w:ascii="Times New Roman" w:hAnsi="Times New Roman" w:cs="Times New Roman"/>
          <w:b/>
          <w:bCs/>
        </w:rPr>
        <w:t>3. Problematika návrhu právneho predpisu:</w:t>
      </w:r>
    </w:p>
    <w:p w:rsidR="00805D10" w:rsidRPr="00C96FB2" w:rsidP="00805D10">
      <w:pPr>
        <w:numPr>
          <w:numId w:val="42"/>
        </w:numPr>
        <w:bidi w:val="0"/>
        <w:spacing w:after="0" w:line="240" w:lineRule="auto"/>
        <w:ind w:left="641" w:hanging="357"/>
        <w:rPr>
          <w:rFonts w:ascii="Times New Roman" w:hAnsi="Times New Roman" w:cs="Times New Roman"/>
        </w:rPr>
      </w:pPr>
      <w:r w:rsidRPr="00C96FB2">
        <w:rPr>
          <w:rFonts w:ascii="Times New Roman" w:hAnsi="Times New Roman" w:cs="Times New Roman"/>
        </w:rPr>
        <w:t xml:space="preserve">je upravená v práve Európskej únie </w:t>
      </w:r>
    </w:p>
    <w:p w:rsidR="00805D10" w:rsidRPr="00C96FB2" w:rsidP="00805D10">
      <w:pPr>
        <w:bidi w:val="0"/>
        <w:rPr>
          <w:rFonts w:ascii="Times New Roman" w:hAnsi="Times New Roman" w:cs="Times New Roman"/>
        </w:rPr>
      </w:pPr>
    </w:p>
    <w:p w:rsidR="00805D10" w:rsidRPr="00C96FB2" w:rsidP="00805D10">
      <w:pPr>
        <w:bidi w:val="0"/>
        <w:rPr>
          <w:rFonts w:ascii="Times New Roman" w:hAnsi="Times New Roman" w:cs="Times New Roman"/>
          <w:i/>
        </w:rPr>
      </w:pPr>
      <w:r w:rsidRPr="00C96FB2">
        <w:rPr>
          <w:rFonts w:ascii="Times New Roman" w:hAnsi="Times New Roman" w:cs="Times New Roman"/>
        </w:rPr>
        <w:tab/>
      </w:r>
      <w:r w:rsidRPr="00C96FB2">
        <w:rPr>
          <w:rFonts w:ascii="Times New Roman" w:hAnsi="Times New Roman" w:cs="Times New Roman"/>
          <w:i/>
        </w:rPr>
        <w:t xml:space="preserve">- primárnom: </w:t>
      </w:r>
    </w:p>
    <w:p w:rsidR="00805D10" w:rsidRPr="00C96FB2" w:rsidP="00805D10">
      <w:pPr>
        <w:pStyle w:val="BodyText2"/>
        <w:bidi w:val="0"/>
        <w:ind w:left="1491"/>
        <w:rPr>
          <w:rFonts w:ascii="Times New Roman" w:hAnsi="Times New Roman"/>
        </w:rPr>
      </w:pPr>
      <w:r w:rsidRPr="00C96FB2">
        <w:rPr>
          <w:rFonts w:ascii="Times New Roman" w:hAnsi="Times New Roman"/>
        </w:rPr>
        <w:t xml:space="preserve">rámcovo v článkoch 31 a 32 Zmluvy o založení Európskeho spoločenstva pre atómovú energiu, na ktoré sa referuje v preambule nižšie uvedenej smernice </w:t>
      </w:r>
    </w:p>
    <w:p w:rsidR="00805D10" w:rsidRPr="00C96FB2" w:rsidP="00805D10">
      <w:pPr>
        <w:bidi w:val="0"/>
        <w:ind w:left="705"/>
        <w:rPr>
          <w:rFonts w:ascii="Times New Roman" w:hAnsi="Times New Roman" w:cs="Times New Roman"/>
        </w:rPr>
      </w:pPr>
      <w:r w:rsidRPr="00C96FB2">
        <w:rPr>
          <w:rFonts w:ascii="Times New Roman" w:hAnsi="Times New Roman" w:cs="Times New Roman"/>
          <w:i/>
        </w:rPr>
        <w:t xml:space="preserve">- sekundárnom </w:t>
      </w:r>
      <w:r w:rsidRPr="00C96FB2">
        <w:rPr>
          <w:rFonts w:ascii="Times New Roman" w:hAnsi="Times New Roman" w:cs="Times New Roman"/>
        </w:rPr>
        <w:t xml:space="preserve">(prijatom po nadobudnutí platnosti Lisabonskej zmluvy, ktorou sa mení a dopĺňa Zmluva o Európskom spoločenstve a Zmluva o Európskej únii – po 30. novembri 2009): </w:t>
      </w:r>
    </w:p>
    <w:p w:rsidR="00805D10" w:rsidRPr="00C96FB2" w:rsidP="00805D10">
      <w:pPr>
        <w:bidi w:val="0"/>
        <w:ind w:left="708" w:firstLine="708"/>
        <w:rPr>
          <w:rFonts w:ascii="Times New Roman" w:hAnsi="Times New Roman" w:cs="Times New Roman"/>
        </w:rPr>
      </w:pPr>
      <w:r w:rsidRPr="00C96FB2">
        <w:rPr>
          <w:rFonts w:ascii="Times New Roman" w:hAnsi="Times New Roman" w:cs="Times New Roman"/>
        </w:rPr>
        <w:t>1. legislatívne akty – nie</w:t>
      </w:r>
    </w:p>
    <w:p w:rsidR="00805D10" w:rsidRPr="00C96FB2" w:rsidP="00805D10">
      <w:pPr>
        <w:bidi w:val="0"/>
        <w:ind w:left="708" w:firstLine="708"/>
        <w:rPr>
          <w:rFonts w:ascii="Times New Roman" w:hAnsi="Times New Roman" w:cs="Times New Roman"/>
        </w:rPr>
      </w:pPr>
      <w:r w:rsidRPr="00C96FB2">
        <w:rPr>
          <w:rFonts w:ascii="Times New Roman" w:hAnsi="Times New Roman" w:cs="Times New Roman"/>
        </w:rPr>
        <w:t>2. nelegislatívne akty – nie</w:t>
      </w:r>
    </w:p>
    <w:p w:rsidR="00805D10" w:rsidRPr="00C96FB2" w:rsidP="00805D10">
      <w:pPr>
        <w:bidi w:val="0"/>
        <w:rPr>
          <w:rFonts w:ascii="Times New Roman" w:hAnsi="Times New Roman" w:cs="Times New Roman"/>
          <w:i/>
        </w:rPr>
      </w:pPr>
    </w:p>
    <w:p w:rsidR="00805D10" w:rsidRPr="00C96FB2" w:rsidP="00805D10">
      <w:pPr>
        <w:bidi w:val="0"/>
        <w:ind w:left="708"/>
        <w:rPr>
          <w:rFonts w:ascii="Times New Roman" w:hAnsi="Times New Roman" w:cs="Times New Roman"/>
          <w:i/>
        </w:rPr>
      </w:pPr>
      <w:r w:rsidRPr="00C96FB2">
        <w:rPr>
          <w:rFonts w:ascii="Times New Roman" w:hAnsi="Times New Roman" w:cs="Times New Roman"/>
          <w:i/>
        </w:rPr>
        <w:t xml:space="preserve">- sekundárnom (prijatom pred nadobudnutím platnosti Lisabonskej zmluvy, ktorou sa mení a dopĺňa Zmluva o Európskom spoločenstve a Zmluva o Európskej únii – do          30. novembra 2009): </w:t>
      </w:r>
    </w:p>
    <w:p w:rsidR="00805D10" w:rsidRPr="00C96FB2" w:rsidP="00805D10">
      <w:pPr>
        <w:pStyle w:val="BodyText2"/>
        <w:bidi w:val="0"/>
        <w:ind w:left="1491"/>
        <w:rPr>
          <w:rFonts w:ascii="Times New Roman" w:hAnsi="Times New Roman"/>
        </w:rPr>
      </w:pPr>
      <w:r w:rsidRPr="00C96FB2">
        <w:rPr>
          <w:rFonts w:ascii="Times New Roman" w:hAnsi="Times New Roman"/>
        </w:rPr>
        <w:t xml:space="preserve">Smernica Rady 2009/71/Euratom z 25. júna 2009, ktorou sa zriaďuje rámec Spoločenstva pre jadrovú bezpečnosť jadrových zariadení </w:t>
      </w:r>
    </w:p>
    <w:p w:rsidR="00805D10" w:rsidRPr="00C96FB2" w:rsidP="00805D10">
      <w:pPr>
        <w:pStyle w:val="BodyText2"/>
        <w:bidi w:val="0"/>
        <w:ind w:left="1491"/>
        <w:rPr>
          <w:rFonts w:ascii="Times New Roman" w:hAnsi="Times New Roman"/>
        </w:rPr>
      </w:pPr>
      <w:r w:rsidRPr="00C96FB2">
        <w:rPr>
          <w:rFonts w:ascii="Times New Roman" w:hAnsi="Times New Roman"/>
        </w:rPr>
        <w:t xml:space="preserve">(Ú. v. EÚ L 172, 2. 7. 2009) </w:t>
      </w:r>
    </w:p>
    <w:p w:rsidR="00805D10" w:rsidRPr="00C96FB2" w:rsidP="00805D10">
      <w:pPr>
        <w:bidi w:val="0"/>
        <w:rPr>
          <w:rFonts w:ascii="Times New Roman" w:hAnsi="Times New Roman" w:cs="Times New Roman"/>
        </w:rPr>
      </w:pPr>
    </w:p>
    <w:p w:rsidR="00805D10" w:rsidRPr="00C96FB2" w:rsidP="00805D10">
      <w:pPr>
        <w:bidi w:val="0"/>
        <w:rPr>
          <w:rFonts w:ascii="Times New Roman" w:hAnsi="Times New Roman" w:cs="Times New Roman"/>
        </w:rPr>
      </w:pPr>
    </w:p>
    <w:p w:rsidR="00805D10" w:rsidRPr="00C96FB2" w:rsidP="00805D10">
      <w:pPr>
        <w:numPr>
          <w:numId w:val="42"/>
        </w:numPr>
        <w:bidi w:val="0"/>
        <w:spacing w:after="0" w:line="240" w:lineRule="auto"/>
        <w:ind w:left="641" w:hanging="357"/>
        <w:rPr>
          <w:rFonts w:ascii="Times New Roman" w:hAnsi="Times New Roman" w:cs="Times New Roman"/>
        </w:rPr>
      </w:pPr>
      <w:r w:rsidRPr="00C96FB2">
        <w:rPr>
          <w:rFonts w:ascii="Times New Roman" w:hAnsi="Times New Roman" w:cs="Times New Roman"/>
        </w:rPr>
        <w:t>je obsiahnutá v judikatúre Súdneho dvora Európskej únie</w:t>
      </w:r>
    </w:p>
    <w:p w:rsidR="00805D10" w:rsidRPr="00C96FB2" w:rsidP="00805D10">
      <w:pPr>
        <w:bidi w:val="0"/>
        <w:spacing w:after="0" w:line="240" w:lineRule="auto"/>
        <w:ind w:left="1418"/>
        <w:rPr>
          <w:rFonts w:ascii="Times New Roman" w:hAnsi="Times New Roman" w:cs="Times New Roman"/>
        </w:rPr>
      </w:pPr>
      <w:r w:rsidRPr="00C96FB2">
        <w:rPr>
          <w:rFonts w:ascii="Times New Roman" w:hAnsi="Times New Roman" w:cs="Times New Roman"/>
        </w:rPr>
        <w:t xml:space="preserve">čiastočne súvisiacim Rozhodnutím Súdneho dvora Európskych spoločenstiev z 10. decembra 2002 vo veci C-29/99: Komisia Európskych spoločenstiev verzus Rada Európskej únie (Medzinárodné zmluvy – Dohovor o jadrovej bezpečnosti – Rozhodnutie o pristúpení – Kompatibilita so Zmluvou Euratom – Externé kompetencie Spoločenstva – Články 30 až 39 Zmluvy Euratom) (Zb. roz. ESD 2002, s. I-11221) </w:t>
      </w:r>
    </w:p>
    <w:p w:rsidR="00805D10" w:rsidRPr="00C96FB2" w:rsidP="00805D10">
      <w:pPr>
        <w:pStyle w:val="BodyText"/>
        <w:bidi w:val="0"/>
        <w:rPr>
          <w:rFonts w:ascii="Times New Roman" w:hAnsi="Times New Roman"/>
        </w:rPr>
      </w:pPr>
    </w:p>
    <w:p w:rsidR="00805D10" w:rsidRPr="00C96FB2" w:rsidP="00805D10">
      <w:pPr>
        <w:pStyle w:val="BodyText"/>
        <w:bidi w:val="0"/>
        <w:rPr>
          <w:rFonts w:ascii="Times New Roman" w:hAnsi="Times New Roman"/>
        </w:rPr>
      </w:pPr>
      <w:r w:rsidRPr="00C96FB2">
        <w:rPr>
          <w:rFonts w:ascii="Times New Roman" w:hAnsi="Times New Roman"/>
        </w:rPr>
        <w:t>4. Záväzky Slovenskej republiky vo vzťahu k Európskej únii:</w:t>
      </w:r>
    </w:p>
    <w:p w:rsidR="00805D10" w:rsidRPr="00C96FB2" w:rsidP="00805D10">
      <w:pPr>
        <w:bidi w:val="0"/>
        <w:rPr>
          <w:rFonts w:ascii="Times New Roman" w:hAnsi="Times New Roman" w:cs="Times New Roman"/>
          <w:highlight w:val="yellow"/>
        </w:rPr>
      </w:pPr>
    </w:p>
    <w:p w:rsidR="00805D10" w:rsidRPr="00C96FB2" w:rsidP="00805D10">
      <w:pPr>
        <w:numPr>
          <w:numId w:val="43"/>
        </w:numPr>
        <w:bidi w:val="0"/>
        <w:spacing w:after="0" w:line="240" w:lineRule="auto"/>
        <w:ind w:left="709" w:hanging="709"/>
        <w:rPr>
          <w:rFonts w:ascii="Times New Roman" w:hAnsi="Times New Roman" w:cs="Times New Roman"/>
        </w:rPr>
      </w:pPr>
      <w:r w:rsidRPr="00C96FB2">
        <w:rPr>
          <w:rFonts w:ascii="Times New Roman" w:hAnsi="Times New Roman" w:cs="Times New Roman"/>
        </w:rPr>
        <w:t>lehota na prebratie smernice alebo lehota na implementáciu nariadenia alebo rozhodnutia</w:t>
      </w:r>
    </w:p>
    <w:p w:rsidR="00805D10" w:rsidRPr="00C96FB2" w:rsidP="00805D10">
      <w:pPr>
        <w:bidi w:val="0"/>
        <w:ind w:left="709"/>
        <w:rPr>
          <w:rFonts w:ascii="Times New Roman" w:hAnsi="Times New Roman" w:cs="Times New Roman"/>
          <w:i/>
        </w:rPr>
      </w:pPr>
      <w:r w:rsidRPr="00C96FB2">
        <w:rPr>
          <w:rFonts w:ascii="Times New Roman" w:hAnsi="Times New Roman" w:cs="Times New Roman"/>
          <w:i/>
        </w:rPr>
        <w:t xml:space="preserve">V čl. 10 ods. 1 smernice Rady 2009/71/Euratom z 25. júna 2009, ktorou sa zriaďuje rámec Spoločenstva pre jadrovú bezpečnosť jadrových zariadení je uvedené, že členské štáty uvedú do účinnosti zákony, iné právne predpisy a správne opatrenia potrebné na dosiahnutie súladu s touto smernicou najneskôr </w:t>
      </w:r>
      <w:r w:rsidRPr="00C96FB2">
        <w:rPr>
          <w:rFonts w:ascii="Times New Roman" w:hAnsi="Times New Roman" w:cs="Times New Roman"/>
          <w:b/>
          <w:i/>
        </w:rPr>
        <w:t>do 22. júla 2011</w:t>
      </w:r>
      <w:r w:rsidRPr="00C96FB2">
        <w:rPr>
          <w:rFonts w:ascii="Times New Roman" w:hAnsi="Times New Roman" w:cs="Times New Roman"/>
          <w:i/>
        </w:rPr>
        <w:t>.</w:t>
      </w:r>
    </w:p>
    <w:p w:rsidR="00805D10" w:rsidRPr="00C96FB2" w:rsidP="00805D10">
      <w:pPr>
        <w:bidi w:val="0"/>
        <w:ind w:left="709"/>
        <w:rPr>
          <w:rFonts w:ascii="Times New Roman" w:hAnsi="Times New Roman" w:cs="Times New Roman"/>
          <w:i/>
        </w:rPr>
      </w:pPr>
    </w:p>
    <w:p w:rsidR="00805D10" w:rsidRPr="00C96FB2" w:rsidP="00805D10">
      <w:pPr>
        <w:pStyle w:val="ListParagraph"/>
        <w:numPr>
          <w:numId w:val="43"/>
        </w:numPr>
        <w:bidi w:val="0"/>
        <w:spacing w:after="0" w:line="240" w:lineRule="auto"/>
        <w:ind w:left="709" w:hanging="709"/>
        <w:rPr>
          <w:rFonts w:ascii="Times New Roman" w:hAnsi="Times New Roman" w:cs="Times New Roman"/>
        </w:rPr>
      </w:pPr>
      <w:r w:rsidRPr="00C96FB2">
        <w:rPr>
          <w:rFonts w:ascii="Times New Roman" w:hAnsi="Times New Roman" w:cs="Times New Roman"/>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805D10" w:rsidRPr="00C96FB2" w:rsidP="00805D10">
      <w:pPr>
        <w:pStyle w:val="ListParagraph"/>
        <w:bidi w:val="0"/>
        <w:ind w:left="709"/>
        <w:rPr>
          <w:rFonts w:ascii="Times New Roman" w:hAnsi="Times New Roman" w:cs="Times New Roman"/>
          <w:i/>
        </w:rPr>
      </w:pPr>
      <w:r w:rsidRPr="00C96FB2">
        <w:rPr>
          <w:rFonts w:ascii="Times New Roman" w:hAnsi="Times New Roman" w:cs="Times New Roman"/>
          <w:i/>
        </w:rPr>
        <w:t xml:space="preserve">Podľa uznesenia vlády SR č. 686/2009 z 30. 9. 2009 k návrhu na určenie gestorských ústredných orgánov štátnej správy zodpovedných za prebratie a aplikáciu smerníc a rámcových rozhodnutí bola lehota stanovená do </w:t>
      </w:r>
      <w:r w:rsidRPr="00C96FB2">
        <w:rPr>
          <w:rFonts w:ascii="Times New Roman" w:hAnsi="Times New Roman" w:cs="Times New Roman"/>
          <w:b/>
          <w:i/>
        </w:rPr>
        <w:t>15. apríla 2011</w:t>
      </w:r>
      <w:r w:rsidRPr="00C96FB2">
        <w:rPr>
          <w:rFonts w:ascii="Times New Roman" w:hAnsi="Times New Roman" w:cs="Times New Roman"/>
          <w:i/>
        </w:rPr>
        <w:t>.</w:t>
      </w:r>
    </w:p>
    <w:p w:rsidR="00805D10" w:rsidRPr="00C96FB2" w:rsidP="00805D10">
      <w:pPr>
        <w:bidi w:val="0"/>
        <w:rPr>
          <w:rFonts w:ascii="Times New Roman" w:hAnsi="Times New Roman" w:cs="Times New Roman"/>
        </w:rPr>
      </w:pPr>
    </w:p>
    <w:p w:rsidR="00805D10" w:rsidRPr="00C96FB2" w:rsidP="00805D10">
      <w:pPr>
        <w:pStyle w:val="ListParagraph"/>
        <w:numPr>
          <w:numId w:val="43"/>
        </w:numPr>
        <w:bidi w:val="0"/>
        <w:spacing w:after="0" w:line="240" w:lineRule="auto"/>
        <w:ind w:left="709" w:hanging="709"/>
        <w:rPr>
          <w:rFonts w:ascii="Times New Roman" w:hAnsi="Times New Roman" w:cs="Times New Roman"/>
        </w:rPr>
      </w:pPr>
      <w:r w:rsidRPr="00C96FB2">
        <w:rPr>
          <w:rFonts w:ascii="Times New Roman" w:hAnsi="Times New Roman" w:cs="Times New Roman"/>
        </w:rPr>
        <w:t>informácia o konaní začatom proti Slovenskej republike o porušení podľa čl. 258 až 260 Zmluvy o fungovaní Európskej únie</w:t>
      </w:r>
    </w:p>
    <w:p w:rsidR="00805D10" w:rsidRPr="00C96FB2" w:rsidP="00805D10">
      <w:pPr>
        <w:bidi w:val="0"/>
        <w:ind w:left="709"/>
        <w:rPr>
          <w:rFonts w:ascii="Times New Roman" w:hAnsi="Times New Roman" w:cs="Times New Roman"/>
          <w:i/>
        </w:rPr>
      </w:pPr>
      <w:r w:rsidRPr="00C96FB2">
        <w:rPr>
          <w:rFonts w:ascii="Times New Roman" w:hAnsi="Times New Roman" w:cs="Times New Roman"/>
          <w:i/>
        </w:rPr>
        <w:t>Objektívne neexistuje vedomosť o tom, že by v oblasti, ktorú upravuje táto smernica bolo začaté konanie proti Slovenskej republike o porušení Zmluvy o fungovaní Európskej únie podľa čl. 258 až 260 v platnom znení.</w:t>
      </w:r>
    </w:p>
    <w:p w:rsidR="00805D10" w:rsidRPr="00C96FB2" w:rsidP="00805D10">
      <w:pPr>
        <w:bidi w:val="0"/>
        <w:rPr>
          <w:rFonts w:ascii="Times New Roman" w:hAnsi="Times New Roman" w:cs="Times New Roman"/>
        </w:rPr>
      </w:pPr>
    </w:p>
    <w:p w:rsidR="00805D10" w:rsidRPr="00C96FB2" w:rsidP="00805D10">
      <w:pPr>
        <w:pStyle w:val="ListParagraph"/>
        <w:numPr>
          <w:numId w:val="43"/>
        </w:numPr>
        <w:bidi w:val="0"/>
        <w:spacing w:after="0" w:line="240" w:lineRule="auto"/>
        <w:ind w:left="709" w:hanging="709"/>
        <w:rPr>
          <w:rFonts w:ascii="Times New Roman" w:hAnsi="Times New Roman" w:cs="Times New Roman"/>
        </w:rPr>
      </w:pPr>
      <w:r w:rsidRPr="00C96FB2">
        <w:rPr>
          <w:rFonts w:ascii="Times New Roman" w:hAnsi="Times New Roman" w:cs="Times New Roman"/>
        </w:rPr>
        <w:t>informácia o právnych predpisoch, v ktorých sú preberané smernice už prebraté spolu s uvedením rozsahu tohto prebratia.</w:t>
      </w:r>
    </w:p>
    <w:p w:rsidR="00805D10" w:rsidRPr="00C96FB2" w:rsidP="00805D10">
      <w:pPr>
        <w:bidi w:val="0"/>
        <w:ind w:left="709"/>
        <w:rPr>
          <w:rFonts w:ascii="Times New Roman" w:hAnsi="Times New Roman" w:cs="Times New Roman"/>
          <w:i/>
        </w:rPr>
      </w:pPr>
      <w:r w:rsidRPr="00C96FB2">
        <w:rPr>
          <w:rFonts w:ascii="Times New Roman" w:hAnsi="Times New Roman" w:cs="Times New Roman"/>
          <w:i/>
        </w:rPr>
        <w:t xml:space="preserve">zákon č. </w:t>
      </w:r>
      <w:r w:rsidRPr="00C96FB2">
        <w:rPr>
          <w:rFonts w:ascii="Times New Roman" w:hAnsi="Times New Roman" w:cs="Times New Roman"/>
          <w:b/>
          <w:i/>
        </w:rPr>
        <w:t>541/2004 Z. z.</w:t>
      </w:r>
      <w:r w:rsidRPr="00C96FB2">
        <w:rPr>
          <w:rFonts w:ascii="Times New Roman" w:hAnsi="Times New Roman" w:cs="Times New Roman"/>
          <w:i/>
        </w:rPr>
        <w:t xml:space="preserve"> o mierovom využívaní jadrovej energie (atómový zákon) a o zmene a doplnení niektorých zákonov v znení neskorších predpisov podľa tabuľky zhody, zákon č. </w:t>
      </w:r>
      <w:r w:rsidRPr="00C96FB2">
        <w:rPr>
          <w:rFonts w:ascii="Times New Roman" w:hAnsi="Times New Roman" w:cs="Times New Roman"/>
          <w:b/>
          <w:i/>
        </w:rPr>
        <w:t>355/2007 Z. z.</w:t>
      </w:r>
      <w:r w:rsidRPr="00C96FB2">
        <w:rPr>
          <w:rFonts w:ascii="Times New Roman" w:hAnsi="Times New Roman" w:cs="Times New Roman"/>
          <w:i/>
        </w:rPr>
        <w:t xml:space="preserve"> o ochrane, podpore a rozvoji vereného zdravia a o zmene a doplnení niektorých zákonov v znení neskorších predpisov, nariadenie vlády SR č. </w:t>
      </w:r>
      <w:r w:rsidRPr="00C96FB2">
        <w:rPr>
          <w:rFonts w:ascii="Times New Roman" w:hAnsi="Times New Roman" w:cs="Times New Roman"/>
          <w:b/>
          <w:i/>
        </w:rPr>
        <w:t>345/2006 Z. z</w:t>
      </w:r>
      <w:r w:rsidRPr="00C96FB2">
        <w:rPr>
          <w:rFonts w:ascii="Times New Roman" w:hAnsi="Times New Roman" w:cs="Times New Roman"/>
          <w:i/>
        </w:rPr>
        <w:t xml:space="preserve">. </w:t>
      </w:r>
      <w:r w:rsidRPr="00C96FB2">
        <w:rPr>
          <w:rFonts w:ascii="Times New Roman" w:hAnsi="Times New Roman" w:cs="Times New Roman"/>
          <w:i/>
          <w:color w:val="000000"/>
        </w:rPr>
        <w:t xml:space="preserve">o základných bezpečnostných požiadavkách na ochranu zdravia pracovníkov a obyvateľov pred ionizujúcim žiarením, zákon č. </w:t>
      </w:r>
      <w:r w:rsidRPr="00C96FB2">
        <w:rPr>
          <w:rFonts w:ascii="Times New Roman" w:hAnsi="Times New Roman" w:cs="Times New Roman"/>
          <w:b/>
          <w:i/>
          <w:color w:val="000000"/>
        </w:rPr>
        <w:t>575/2001 Z. z</w:t>
      </w:r>
      <w:r w:rsidRPr="00C96FB2">
        <w:rPr>
          <w:rFonts w:ascii="Times New Roman" w:hAnsi="Times New Roman" w:cs="Times New Roman"/>
          <w:i/>
          <w:color w:val="000000"/>
        </w:rPr>
        <w:t>. o organizácii činnosti vlády a organizácii ústrednej štátnej správy v znení neskorších predpisov a niektoré ďalšie všeobecne záväzné právne predpisy podľa toho, ako sú uvedené pri jednotlivých článkoch smernice v tabuľke zhody.</w:t>
      </w:r>
    </w:p>
    <w:p w:rsidR="00805D10" w:rsidRPr="00C96FB2" w:rsidP="00805D10">
      <w:pPr>
        <w:bidi w:val="0"/>
        <w:rPr>
          <w:rFonts w:ascii="Times New Roman" w:hAnsi="Times New Roman" w:cs="Times New Roman"/>
          <w:highlight w:val="yellow"/>
        </w:rPr>
      </w:pPr>
    </w:p>
    <w:p w:rsidR="00805D10" w:rsidRPr="00C96FB2" w:rsidP="00805D10">
      <w:pPr>
        <w:pStyle w:val="BodyText"/>
        <w:bidi w:val="0"/>
        <w:rPr>
          <w:rFonts w:ascii="Times New Roman" w:hAnsi="Times New Roman"/>
        </w:rPr>
      </w:pPr>
      <w:r w:rsidRPr="00C96FB2">
        <w:rPr>
          <w:rFonts w:ascii="Times New Roman" w:hAnsi="Times New Roman"/>
        </w:rPr>
        <w:t>5. Stupeň zlučiteľnosti návrhu právneho predpisu alebo návrhu legislatívneho zámeru s právom Európskej únie:</w:t>
      </w:r>
    </w:p>
    <w:p w:rsidR="00805D10" w:rsidRPr="00C96FB2" w:rsidP="00805D10">
      <w:pPr>
        <w:bidi w:val="0"/>
        <w:ind w:left="284" w:hanging="57"/>
        <w:rPr>
          <w:rFonts w:ascii="Times New Roman" w:hAnsi="Times New Roman" w:cs="Times New Roman"/>
          <w:b/>
          <w:bCs/>
        </w:rPr>
      </w:pPr>
      <w:r w:rsidRPr="00C96FB2">
        <w:rPr>
          <w:rFonts w:ascii="Times New Roman" w:hAnsi="Times New Roman" w:cs="Times New Roman"/>
          <w:bCs/>
        </w:rPr>
        <w:t>úplný</w:t>
      </w:r>
    </w:p>
    <w:p w:rsidR="00805D10" w:rsidRPr="00C96FB2" w:rsidP="00805D10">
      <w:pPr>
        <w:bidi w:val="0"/>
        <w:rPr>
          <w:rFonts w:ascii="Times New Roman" w:hAnsi="Times New Roman" w:cs="Times New Roman"/>
          <w:b/>
          <w:bCs/>
        </w:rPr>
      </w:pPr>
      <w:r w:rsidRPr="00C96FB2">
        <w:rPr>
          <w:rFonts w:ascii="Times New Roman" w:hAnsi="Times New Roman" w:cs="Times New Roman"/>
          <w:b/>
          <w:bCs/>
        </w:rPr>
        <w:t>6. Gestor a spolupracujúce rezorty:</w:t>
      </w:r>
    </w:p>
    <w:p w:rsidR="00805D10" w:rsidRPr="00C96FB2" w:rsidP="00805D10">
      <w:pPr>
        <w:bidi w:val="0"/>
        <w:ind w:left="255"/>
        <w:rPr>
          <w:rFonts w:ascii="Times New Roman" w:hAnsi="Times New Roman" w:cs="Times New Roman"/>
        </w:rPr>
      </w:pPr>
      <w:r w:rsidRPr="00C96FB2">
        <w:rPr>
          <w:rFonts w:ascii="Times New Roman" w:hAnsi="Times New Roman" w:cs="Times New Roman"/>
        </w:rPr>
        <w:t>Úrad jadrového dozoru SR</w:t>
      </w:r>
    </w:p>
    <w:p w:rsidR="00805D10" w:rsidRPr="00C96FB2" w:rsidP="00805D10">
      <w:pPr>
        <w:bidi w:val="0"/>
        <w:ind w:left="255"/>
        <w:rPr>
          <w:rFonts w:ascii="Times New Roman" w:hAnsi="Times New Roman" w:cs="Times New Roman"/>
        </w:rPr>
      </w:pPr>
      <w:r w:rsidRPr="00C96FB2">
        <w:rPr>
          <w:rFonts w:ascii="Times New Roman" w:hAnsi="Times New Roman" w:cs="Times New Roman"/>
        </w:rPr>
        <w:t>Ministerstvo zdravotníctva SR</w:t>
      </w:r>
    </w:p>
    <w:p w:rsidR="00C25457">
      <w:pPr>
        <w:bidi w:val="0"/>
        <w:jc w:val="left"/>
        <w:rPr>
          <w:rFonts w:ascii="Times New Roman" w:hAnsi="Times New Roman" w:cs="Times New Roman"/>
          <w:b/>
        </w:rPr>
      </w:pPr>
    </w:p>
    <w:p w:rsidR="00981F42" w:rsidRPr="00C96FB2" w:rsidP="00AD2429">
      <w:pPr>
        <w:bidi w:val="0"/>
        <w:spacing w:after="0"/>
        <w:ind w:firstLine="708"/>
        <w:jc w:val="center"/>
        <w:rPr>
          <w:rFonts w:ascii="Times New Roman" w:hAnsi="Times New Roman" w:cs="Times New Roman"/>
          <w:b/>
        </w:rPr>
      </w:pPr>
    </w:p>
    <w:p w:rsidR="00BE0A52">
      <w:pPr>
        <w:bidi w:val="0"/>
        <w:jc w:val="left"/>
        <w:rPr>
          <w:rFonts w:ascii="Times New Roman" w:hAnsi="Times New Roman" w:cs="Times New Roman"/>
          <w:b/>
        </w:rPr>
      </w:pPr>
      <w:r>
        <w:rPr>
          <w:rFonts w:ascii="Times New Roman" w:hAnsi="Times New Roman" w:cs="Times New Roman"/>
          <w:b/>
        </w:rPr>
        <w:br w:type="page"/>
      </w:r>
    </w:p>
    <w:p w:rsidR="00981F42" w:rsidP="00AD2429">
      <w:pPr>
        <w:bidi w:val="0"/>
        <w:spacing w:after="0"/>
        <w:ind w:firstLine="708"/>
        <w:jc w:val="center"/>
        <w:rPr>
          <w:rFonts w:ascii="Times New Roman" w:hAnsi="Times New Roman" w:cs="Times New Roman"/>
          <w:b/>
        </w:rPr>
      </w:pPr>
    </w:p>
    <w:p w:rsidR="00A4739F" w:rsidP="00AD2429">
      <w:pPr>
        <w:bidi w:val="0"/>
        <w:spacing w:after="0"/>
        <w:ind w:firstLine="708"/>
        <w:jc w:val="center"/>
        <w:rPr>
          <w:rFonts w:ascii="Times New Roman" w:hAnsi="Times New Roman" w:cs="Times New Roman"/>
          <w:b/>
        </w:rPr>
      </w:pPr>
    </w:p>
    <w:p w:rsidR="00572F2C" w:rsidP="00AD2429">
      <w:pPr>
        <w:bidi w:val="0"/>
        <w:spacing w:after="0"/>
        <w:ind w:firstLine="708"/>
        <w:jc w:val="center"/>
        <w:rPr>
          <w:rFonts w:ascii="Times New Roman" w:hAnsi="Times New Roman" w:cs="Times New Roman"/>
          <w:b/>
        </w:rPr>
      </w:pPr>
    </w:p>
    <w:p w:rsidR="00572F2C" w:rsidRPr="00C96FB2" w:rsidP="00AD2429">
      <w:pPr>
        <w:bidi w:val="0"/>
        <w:spacing w:after="0"/>
        <w:ind w:firstLine="708"/>
        <w:jc w:val="center"/>
        <w:rPr>
          <w:rFonts w:ascii="Times New Roman" w:hAnsi="Times New Roman" w:cs="Times New Roman"/>
          <w:b/>
        </w:rPr>
      </w:pPr>
    </w:p>
    <w:p w:rsidR="00981F42" w:rsidRPr="00C96FB2" w:rsidP="00981F42">
      <w:pPr>
        <w:pStyle w:val="ListParagraph"/>
        <w:numPr>
          <w:numId w:val="40"/>
        </w:numPr>
        <w:bidi w:val="0"/>
        <w:spacing w:after="0"/>
        <w:ind w:left="0" w:firstLine="0"/>
        <w:contextualSpacing w:val="0"/>
        <w:rPr>
          <w:rFonts w:ascii="Times New Roman" w:hAnsi="Times New Roman" w:cs="Times New Roman"/>
          <w:b/>
          <w:u w:val="single"/>
        </w:rPr>
      </w:pPr>
      <w:r w:rsidRPr="00C96FB2">
        <w:rPr>
          <w:rFonts w:ascii="Times New Roman" w:hAnsi="Times New Roman" w:cs="Times New Roman"/>
          <w:b/>
          <w:u w:val="single"/>
        </w:rPr>
        <w:t>Osobitná časť</w:t>
      </w:r>
    </w:p>
    <w:p w:rsidR="00981F42" w:rsidP="00981F42">
      <w:pPr>
        <w:pStyle w:val="ListParagraph"/>
        <w:bidi w:val="0"/>
        <w:ind w:left="0"/>
        <w:rPr>
          <w:rFonts w:ascii="Times New Roman" w:hAnsi="Times New Roman" w:cs="Times New Roman"/>
          <w:b/>
        </w:rPr>
      </w:pPr>
    </w:p>
    <w:p w:rsidR="00E3134A" w:rsidRPr="00C96FB2" w:rsidP="00981F42">
      <w:pPr>
        <w:pStyle w:val="ListParagraph"/>
        <w:bidi w:val="0"/>
        <w:ind w:left="0"/>
        <w:rPr>
          <w:rFonts w:ascii="Times New Roman" w:hAnsi="Times New Roman" w:cs="Times New Roman"/>
          <w:b/>
        </w:rPr>
      </w:pPr>
    </w:p>
    <w:p w:rsidR="00981F42" w:rsidRPr="00C96FB2" w:rsidP="00981F42">
      <w:pPr>
        <w:pStyle w:val="ListParagraph"/>
        <w:bidi w:val="0"/>
        <w:ind w:left="0" w:firstLine="708"/>
        <w:rPr>
          <w:rFonts w:ascii="Times New Roman" w:hAnsi="Times New Roman" w:cs="Times New Roman"/>
          <w:b/>
        </w:rPr>
      </w:pPr>
      <w:r w:rsidRPr="00C96FB2">
        <w:rPr>
          <w:rFonts w:ascii="Times New Roman" w:hAnsi="Times New Roman" w:cs="Times New Roman"/>
          <w:b/>
        </w:rPr>
        <w:t>K článku I.</w:t>
      </w:r>
    </w:p>
    <w:p w:rsidR="00981F42" w:rsidP="00981F42">
      <w:pPr>
        <w:pStyle w:val="ListParagraph"/>
        <w:bidi w:val="0"/>
        <w:ind w:left="0"/>
        <w:rPr>
          <w:rFonts w:ascii="Times New Roman" w:hAnsi="Times New Roman" w:cs="Times New Roman"/>
          <w:b/>
        </w:rPr>
      </w:pPr>
    </w:p>
    <w:p w:rsidR="00E3134A" w:rsidRPr="00C96FB2" w:rsidP="00981F42">
      <w:pPr>
        <w:pStyle w:val="ListParagraph"/>
        <w:bidi w:val="0"/>
        <w:ind w:left="0"/>
        <w:rPr>
          <w:rFonts w:ascii="Times New Roman" w:hAnsi="Times New Roman" w:cs="Times New Roman"/>
          <w:b/>
        </w:rPr>
      </w:pPr>
    </w:p>
    <w:p w:rsidR="00981F42" w:rsidRPr="00C96FB2" w:rsidP="00BE0A52">
      <w:pPr>
        <w:pStyle w:val="ListParagraph"/>
        <w:bidi w:val="0"/>
        <w:ind w:left="0" w:firstLine="709"/>
        <w:rPr>
          <w:rFonts w:ascii="Times New Roman" w:hAnsi="Times New Roman" w:cs="Times New Roman"/>
          <w:b/>
        </w:rPr>
      </w:pPr>
      <w:r w:rsidRPr="00C96FB2">
        <w:rPr>
          <w:rFonts w:ascii="Times New Roman" w:hAnsi="Times New Roman" w:cs="Times New Roman"/>
          <w:b/>
        </w:rPr>
        <w:t>K bodu 1</w:t>
      </w:r>
    </w:p>
    <w:p w:rsidR="00981F42" w:rsidRPr="00C96FB2" w:rsidP="00981F42">
      <w:pPr>
        <w:pStyle w:val="ListParagraph"/>
        <w:bidi w:val="0"/>
        <w:ind w:left="0" w:firstLine="708"/>
        <w:rPr>
          <w:rFonts w:ascii="Times New Roman" w:hAnsi="Times New Roman" w:cs="Times New Roman"/>
          <w:b/>
        </w:rPr>
      </w:pPr>
    </w:p>
    <w:p w:rsidR="00981F42" w:rsidP="00981F42">
      <w:pPr>
        <w:pStyle w:val="ListParagraph"/>
        <w:bidi w:val="0"/>
        <w:ind w:left="0" w:firstLine="708"/>
        <w:rPr>
          <w:rFonts w:ascii="Times New Roman" w:hAnsi="Times New Roman" w:cs="Times New Roman"/>
        </w:rPr>
      </w:pPr>
      <w:r w:rsidRPr="00C96FB2">
        <w:rPr>
          <w:rFonts w:ascii="Times New Roman" w:hAnsi="Times New Roman" w:cs="Times New Roman"/>
        </w:rPr>
        <w:t>V záujme prehľadnosti sa opäť uvádza písmeno b) v § 1 odseku 1. Keďže došlo k zmene definície prepravy rádioaktívnych materiálov, došlo k jej spresneniu a odstránila sa  potreba vypisovať konkrétne, ktoré objekty budú prepravované, keďže držiteľ povolenia bude vykladať pojmy podľa § 2 zákona, ktoré tento zákon mení.</w:t>
      </w:r>
    </w:p>
    <w:p w:rsidR="00BE0A52" w:rsidRPr="008C75BE" w:rsidP="00981F42">
      <w:pPr>
        <w:pStyle w:val="ListParagraph"/>
        <w:bidi w:val="0"/>
        <w:ind w:left="0" w:firstLine="708"/>
        <w:rPr>
          <w:rFonts w:ascii="Times New Roman" w:hAnsi="Times New Roman" w:cs="Times New Roman"/>
          <w:b/>
        </w:rPr>
      </w:pPr>
    </w:p>
    <w:p w:rsidR="00981F42" w:rsidP="00981F42">
      <w:pPr>
        <w:pStyle w:val="ListParagraph"/>
        <w:bidi w:val="0"/>
        <w:ind w:left="0" w:firstLine="708"/>
        <w:rPr>
          <w:rFonts w:ascii="Times New Roman" w:hAnsi="Times New Roman" w:cs="Times New Roman"/>
          <w:b/>
        </w:rPr>
      </w:pPr>
      <w:r w:rsidRPr="00C96FB2">
        <w:rPr>
          <w:rFonts w:ascii="Times New Roman" w:hAnsi="Times New Roman" w:cs="Times New Roman"/>
          <w:b/>
        </w:rPr>
        <w:t>K bodom 2 a</w:t>
      </w:r>
      <w:r w:rsidR="008C75BE">
        <w:rPr>
          <w:rFonts w:ascii="Times New Roman" w:hAnsi="Times New Roman" w:cs="Times New Roman"/>
          <w:b/>
        </w:rPr>
        <w:t> </w:t>
      </w:r>
      <w:r w:rsidRPr="00C96FB2">
        <w:rPr>
          <w:rFonts w:ascii="Times New Roman" w:hAnsi="Times New Roman" w:cs="Times New Roman"/>
          <w:b/>
        </w:rPr>
        <w:t>3</w:t>
      </w:r>
    </w:p>
    <w:p w:rsidR="008C75BE" w:rsidRPr="00C96FB2" w:rsidP="00981F42">
      <w:pPr>
        <w:pStyle w:val="ListParagraph"/>
        <w:bidi w:val="0"/>
        <w:ind w:left="0" w:firstLine="708"/>
        <w:rPr>
          <w:rFonts w:ascii="Times New Roman" w:hAnsi="Times New Roman" w:cs="Times New Roman"/>
          <w:b/>
        </w:rPr>
      </w:pPr>
    </w:p>
    <w:p w:rsidR="00981F42" w:rsidP="008C75BE">
      <w:pPr>
        <w:pStyle w:val="ListParagraph"/>
        <w:bidi w:val="0"/>
        <w:ind w:left="0" w:firstLine="708"/>
        <w:rPr>
          <w:rFonts w:ascii="Times New Roman" w:hAnsi="Times New Roman" w:cs="Times New Roman"/>
        </w:rPr>
      </w:pPr>
      <w:r w:rsidRPr="00C96FB2">
        <w:rPr>
          <w:rFonts w:ascii="Times New Roman" w:hAnsi="Times New Roman" w:cs="Times New Roman"/>
        </w:rPr>
        <w:t>Rozširuje sa predmet úpravy zákona o schému, ktorou sa vytvoria podmienky na zaručenie čo možno najvyššieho stupňa jadrovej bezpečnosti. Úroveň jadrovej bezpečnosti je nutné udržiavať aj podporovaním radiačnej ochrany, ktorá je v rámci SR v kompetencii Úradu verejného zdravotníctva SR. Predmet zákona sa rozširuje aj o explicitnú povinnosť ÚJD SR prejednávať priestupky a iné správne delikty podľa tohto zákona a ukladať za ne sankcie podľa § 34 atómového zákona. Týmito ustanoveniami sa transponuje čl. 1 smernice 2009/71/Euratom.</w:t>
      </w:r>
    </w:p>
    <w:p w:rsidR="008C75BE" w:rsidRPr="008C75BE" w:rsidP="008C75BE">
      <w:pPr>
        <w:pStyle w:val="ListParagraph"/>
        <w:bidi w:val="0"/>
        <w:ind w:left="0" w:firstLine="708"/>
        <w:rPr>
          <w:rFonts w:ascii="Times New Roman" w:hAnsi="Times New Roman" w:cs="Times New Roman"/>
          <w:b/>
        </w:rPr>
      </w:pPr>
    </w:p>
    <w:p w:rsidR="00981F42" w:rsidP="008C75BE">
      <w:pPr>
        <w:pStyle w:val="ListParagraph"/>
        <w:bidi w:val="0"/>
        <w:ind w:left="0" w:firstLine="708"/>
        <w:rPr>
          <w:rFonts w:ascii="Times New Roman" w:hAnsi="Times New Roman" w:cs="Times New Roman"/>
          <w:b/>
        </w:rPr>
      </w:pPr>
      <w:r w:rsidR="008C75BE">
        <w:rPr>
          <w:rFonts w:ascii="Times New Roman" w:hAnsi="Times New Roman" w:cs="Times New Roman"/>
          <w:b/>
        </w:rPr>
        <w:t>K bodu  4</w:t>
      </w:r>
    </w:p>
    <w:p w:rsidR="008C75BE" w:rsidRPr="00C96FB2" w:rsidP="008C75BE">
      <w:pPr>
        <w:pStyle w:val="ListParagraph"/>
        <w:bidi w:val="0"/>
        <w:ind w:left="0" w:firstLine="708"/>
        <w:rPr>
          <w:rFonts w:ascii="Times New Roman" w:hAnsi="Times New Roman" w:cs="Times New Roman"/>
          <w:b/>
        </w:rPr>
      </w:pPr>
    </w:p>
    <w:p w:rsidR="00981F42" w:rsidP="008C75BE">
      <w:pPr>
        <w:pStyle w:val="ListParagraph"/>
        <w:bidi w:val="0"/>
        <w:ind w:left="0" w:firstLine="708"/>
        <w:rPr>
          <w:rFonts w:ascii="Times New Roman" w:hAnsi="Times New Roman" w:cs="Times New Roman"/>
        </w:rPr>
      </w:pPr>
      <w:r w:rsidRPr="00C96FB2">
        <w:rPr>
          <w:rFonts w:ascii="Times New Roman" w:hAnsi="Times New Roman" w:cs="Times New Roman"/>
        </w:rPr>
        <w:t>Návrh upravuje nové definície niektorých pojmov. Definícia jadrového zariadenia sa upravuje z dôvodu, aby toto ustanovenie pokrývalo všetky druhy civilných zariadení, ktoré zodpovedajú definícii smernice, ide dokonca nad jej rámec. Stanovuje sa, že definícia jadrového zariadenia podľa atómového zákona sa nepoužije pre potreby ustanovení o zodpovednosti za jadrovú škodu uvedenú v § 29 a § 30 atómového zákona. Pre potreby zodpovednosti za jadrové škody sa použije definícia jadrového zariadenia uvedená vo Viedenskom dohovore o občianskoprávnej zodpovednosti za škody spôsobené jadrovou udalosťou (oznámenie Ministerstva zahraničných vecí SR č. 70/1996 Z. z.). Definícia jadrovej bezpečnosti lepšie vystihuje predmet ochrany držiteľov povolení. Týmito ustanoveniami sa dosahuje úplná transpozícia čl. 3 smernice 2009/71/Euratom.</w:t>
      </w:r>
    </w:p>
    <w:p w:rsidR="008C75BE" w:rsidP="008C75BE">
      <w:pPr>
        <w:pStyle w:val="ListParagraph"/>
        <w:bidi w:val="0"/>
        <w:ind w:left="0" w:firstLine="708"/>
        <w:rPr>
          <w:rFonts w:ascii="Times New Roman" w:hAnsi="Times New Roman" w:cs="Times New Roman"/>
          <w:b/>
        </w:rPr>
      </w:pPr>
    </w:p>
    <w:p w:rsidR="00E3134A" w:rsidP="008C75BE">
      <w:pPr>
        <w:pStyle w:val="ListParagraph"/>
        <w:bidi w:val="0"/>
        <w:ind w:left="0" w:firstLine="708"/>
        <w:rPr>
          <w:rFonts w:ascii="Times New Roman" w:hAnsi="Times New Roman" w:cs="Times New Roman"/>
          <w:b/>
        </w:rPr>
      </w:pPr>
    </w:p>
    <w:p w:rsidR="00E3134A" w:rsidP="008C75BE">
      <w:pPr>
        <w:pStyle w:val="ListParagraph"/>
        <w:bidi w:val="0"/>
        <w:ind w:left="0" w:firstLine="708"/>
        <w:rPr>
          <w:rFonts w:ascii="Times New Roman" w:hAnsi="Times New Roman" w:cs="Times New Roman"/>
          <w:b/>
        </w:rPr>
      </w:pPr>
    </w:p>
    <w:p w:rsidR="00E3134A" w:rsidP="008C75BE">
      <w:pPr>
        <w:pStyle w:val="ListParagraph"/>
        <w:bidi w:val="0"/>
        <w:ind w:left="0" w:firstLine="708"/>
        <w:rPr>
          <w:rFonts w:ascii="Times New Roman" w:hAnsi="Times New Roman" w:cs="Times New Roman"/>
          <w:b/>
        </w:rPr>
      </w:pPr>
    </w:p>
    <w:p w:rsidR="00E3134A" w:rsidP="008C75BE">
      <w:pPr>
        <w:pStyle w:val="ListParagraph"/>
        <w:bidi w:val="0"/>
        <w:ind w:left="0" w:firstLine="708"/>
        <w:rPr>
          <w:rFonts w:ascii="Times New Roman" w:hAnsi="Times New Roman" w:cs="Times New Roman"/>
          <w:b/>
        </w:rPr>
      </w:pPr>
    </w:p>
    <w:p w:rsidR="00E3134A" w:rsidP="008C75BE">
      <w:pPr>
        <w:pStyle w:val="ListParagraph"/>
        <w:bidi w:val="0"/>
        <w:ind w:left="0" w:firstLine="708"/>
        <w:rPr>
          <w:rFonts w:ascii="Times New Roman" w:hAnsi="Times New Roman" w:cs="Times New Roman"/>
          <w:b/>
        </w:rPr>
      </w:pPr>
    </w:p>
    <w:p w:rsidR="00E3134A" w:rsidRPr="008C75BE" w:rsidP="008C75BE">
      <w:pPr>
        <w:pStyle w:val="ListParagraph"/>
        <w:bidi w:val="0"/>
        <w:ind w:left="0" w:firstLine="708"/>
        <w:rPr>
          <w:rFonts w:ascii="Times New Roman" w:hAnsi="Times New Roman" w:cs="Times New Roman"/>
          <w:b/>
        </w:rPr>
      </w:pPr>
    </w:p>
    <w:p w:rsidR="00981F42" w:rsidP="008C75BE">
      <w:pPr>
        <w:pStyle w:val="ListParagraph"/>
        <w:bidi w:val="0"/>
        <w:ind w:left="0" w:firstLine="708"/>
        <w:rPr>
          <w:rFonts w:ascii="Times New Roman" w:hAnsi="Times New Roman" w:cs="Times New Roman"/>
          <w:b/>
        </w:rPr>
      </w:pPr>
      <w:r w:rsidRPr="00C96FB2">
        <w:rPr>
          <w:rFonts w:ascii="Times New Roman" w:hAnsi="Times New Roman" w:cs="Times New Roman"/>
          <w:b/>
        </w:rPr>
        <w:t>K bodom 5, 6 a</w:t>
      </w:r>
      <w:r w:rsidR="008C75BE">
        <w:rPr>
          <w:rFonts w:ascii="Times New Roman" w:hAnsi="Times New Roman" w:cs="Times New Roman"/>
          <w:b/>
        </w:rPr>
        <w:t> </w:t>
      </w:r>
      <w:r w:rsidRPr="00C96FB2">
        <w:rPr>
          <w:rFonts w:ascii="Times New Roman" w:hAnsi="Times New Roman" w:cs="Times New Roman"/>
          <w:b/>
        </w:rPr>
        <w:t>8</w:t>
      </w:r>
    </w:p>
    <w:p w:rsidR="008C75BE" w:rsidRPr="00C96FB2" w:rsidP="008C75BE">
      <w:pPr>
        <w:pStyle w:val="ListParagraph"/>
        <w:bidi w:val="0"/>
        <w:ind w:left="0" w:firstLine="708"/>
        <w:rPr>
          <w:rFonts w:ascii="Times New Roman" w:hAnsi="Times New Roman" w:cs="Times New Roman"/>
          <w:b/>
        </w:rPr>
      </w:pPr>
    </w:p>
    <w:p w:rsidR="00981F42" w:rsidRPr="00C96FB2" w:rsidP="008C75BE">
      <w:pPr>
        <w:pStyle w:val="ListParagraph"/>
        <w:bidi w:val="0"/>
        <w:ind w:left="0" w:firstLine="708"/>
        <w:rPr>
          <w:rFonts w:ascii="Times New Roman" w:hAnsi="Times New Roman" w:cs="Times New Roman"/>
        </w:rPr>
      </w:pPr>
      <w:r w:rsidRPr="00C96FB2">
        <w:rPr>
          <w:rFonts w:ascii="Times New Roman" w:hAnsi="Times New Roman" w:cs="Times New Roman"/>
        </w:rPr>
        <w:t>Nutnosť precizovania definícií nakladania s rádioaktívnym odpadom, prepravy rádioaktívneho materiálu a ukladania rádioaktívneho odpadu alebo vyhoretého jadrového paliva vyplýva z potreby implementovať uznesenie vlády č. 610/2009 z 2. septembra 2009. Podľa tohto uznesenia, potreba vytvorenia postupu nakladania s inštitucionálnymi rádioaktívnymi odpadmi (IRAO) a zachytenými rádioaktívnymi materiálmi (ZRAM) v SR vyplýva z nutnosti  vyriešiť historické problémy, ktoré sa v danej oblasti vynorili po rozdelení ČSFR s tým, že existujúce úložisko Richard je na území Českej republiky. Uloženie rádioaktívnych odpadov v úložisku, kde je zabezpečená ich dlhodobá izolácia od životného prostredia ako aj ich kontrola je v súčasnej dobe jediný spôsob ich bezpečného zneškodnenia. Je potreba vytvoriť zariadenie, do ktorého budú všetky doteraz na iných miestach ukladané IRAO a ZRAM preskladané. Predpokladá sa, že takéto zariadenie bude nejadrového charakteru. Ďalšie IRAO/ZRAM budú preberané za účelom dlhodobého skladovania už výhradne do tohto zariadenia.</w:t>
      </w:r>
    </w:p>
    <w:p w:rsidR="00981F42" w:rsidP="008C75BE">
      <w:pPr>
        <w:pStyle w:val="ListParagraph"/>
        <w:bidi w:val="0"/>
        <w:ind w:left="0" w:firstLine="708"/>
        <w:rPr>
          <w:rFonts w:ascii="Times New Roman" w:hAnsi="Times New Roman" w:cs="Times New Roman"/>
        </w:rPr>
      </w:pPr>
      <w:r w:rsidRPr="00C96FB2">
        <w:rPr>
          <w:rFonts w:ascii="Times New Roman" w:hAnsi="Times New Roman" w:cs="Times New Roman"/>
        </w:rPr>
        <w:t>Novela vymedzuje, že podľa atómového zákona sa nebude postupovať pri nakladaní s inštitucionálnymi rádioaktívnymi odpadmi, opustenými žiaričmi, rádioaktívnymi odpadmi neznámeho pôvodu, nepoužívanými rádioaktívnymi odpadmi mimo jadrového zaradenia. V takýchto prípadoch sa postupuje podľa zákona č. 355/2007 Z. z. Preto zákon ukladá, aby všetky fázy nakladania s RAO smero</w:t>
      </w:r>
      <w:r w:rsidR="008C75BE">
        <w:rPr>
          <w:rFonts w:ascii="Times New Roman" w:hAnsi="Times New Roman" w:cs="Times New Roman"/>
        </w:rPr>
        <w:t>vali k ich bezpečnému uloženiu.</w:t>
      </w:r>
    </w:p>
    <w:p w:rsidR="008C75BE" w:rsidRPr="008C75BE" w:rsidP="008C75BE">
      <w:pPr>
        <w:pStyle w:val="ListParagraph"/>
        <w:bidi w:val="0"/>
        <w:ind w:left="0" w:firstLine="708"/>
        <w:rPr>
          <w:rFonts w:ascii="Times New Roman" w:hAnsi="Times New Roman" w:cs="Times New Roman"/>
          <w:b/>
        </w:rPr>
      </w:pPr>
    </w:p>
    <w:p w:rsidR="00981F42" w:rsidP="008C75BE">
      <w:pPr>
        <w:pStyle w:val="ListParagraph"/>
        <w:bidi w:val="0"/>
        <w:ind w:left="0" w:firstLine="708"/>
        <w:rPr>
          <w:rFonts w:ascii="Times New Roman" w:hAnsi="Times New Roman" w:cs="Times New Roman"/>
          <w:b/>
        </w:rPr>
      </w:pPr>
      <w:r w:rsidRPr="00C96FB2">
        <w:rPr>
          <w:rFonts w:ascii="Times New Roman" w:hAnsi="Times New Roman" w:cs="Times New Roman"/>
          <w:b/>
        </w:rPr>
        <w:t>K bodu 7</w:t>
      </w:r>
    </w:p>
    <w:p w:rsidR="008C75BE" w:rsidRPr="00C96FB2" w:rsidP="008C75BE">
      <w:pPr>
        <w:pStyle w:val="ListParagraph"/>
        <w:bidi w:val="0"/>
        <w:ind w:left="0" w:firstLine="708"/>
        <w:rPr>
          <w:rFonts w:ascii="Times New Roman" w:hAnsi="Times New Roman" w:cs="Times New Roman"/>
          <w:b/>
        </w:rPr>
      </w:pPr>
    </w:p>
    <w:p w:rsidR="00981F42" w:rsidP="008C75BE">
      <w:pPr>
        <w:pStyle w:val="ListParagraph"/>
        <w:bidi w:val="0"/>
        <w:ind w:left="0" w:firstLine="708"/>
        <w:rPr>
          <w:rFonts w:ascii="Times New Roman" w:hAnsi="Times New Roman" w:cs="Times New Roman"/>
        </w:rPr>
      </w:pPr>
      <w:r w:rsidRPr="00C96FB2">
        <w:rPr>
          <w:rFonts w:ascii="Times New Roman" w:hAnsi="Times New Roman" w:cs="Times New Roman"/>
        </w:rPr>
        <w:t>Zavádza sa nová definícia systému manažérstva kvality na účely celého zákona. Podrobnosti o systéme manažérstva kvality ustanovuje § 25, resp. vykonávacia vyhláška.</w:t>
      </w:r>
    </w:p>
    <w:p w:rsidR="008C75BE" w:rsidRPr="008C75BE" w:rsidP="008C75BE">
      <w:pPr>
        <w:pStyle w:val="ListParagraph"/>
        <w:bidi w:val="0"/>
        <w:ind w:left="0" w:firstLine="708"/>
        <w:rPr>
          <w:rFonts w:ascii="Times New Roman" w:hAnsi="Times New Roman" w:cs="Times New Roman"/>
          <w:b/>
        </w:rPr>
      </w:pPr>
    </w:p>
    <w:p w:rsidR="00981F42" w:rsidP="008C75BE">
      <w:pPr>
        <w:pStyle w:val="ListParagraph"/>
        <w:bidi w:val="0"/>
        <w:ind w:left="0" w:firstLine="708"/>
        <w:rPr>
          <w:rFonts w:ascii="Times New Roman" w:hAnsi="Times New Roman" w:cs="Times New Roman"/>
          <w:b/>
        </w:rPr>
      </w:pPr>
      <w:r w:rsidRPr="00C96FB2">
        <w:rPr>
          <w:rFonts w:ascii="Times New Roman" w:hAnsi="Times New Roman" w:cs="Times New Roman"/>
          <w:b/>
        </w:rPr>
        <w:t>K bodu 9</w:t>
      </w:r>
    </w:p>
    <w:p w:rsidR="008C75BE" w:rsidRPr="00C96FB2" w:rsidP="008C75BE">
      <w:pPr>
        <w:pStyle w:val="ListParagraph"/>
        <w:bidi w:val="0"/>
        <w:ind w:left="0" w:firstLine="708"/>
        <w:rPr>
          <w:rFonts w:ascii="Times New Roman" w:hAnsi="Times New Roman" w:cs="Times New Roman"/>
          <w:b/>
        </w:rPr>
      </w:pPr>
    </w:p>
    <w:p w:rsidR="00981F42" w:rsidP="008C75BE">
      <w:pPr>
        <w:pStyle w:val="ListParagraph"/>
        <w:bidi w:val="0"/>
        <w:ind w:left="0" w:firstLine="708"/>
        <w:rPr>
          <w:rFonts w:ascii="Times New Roman" w:hAnsi="Times New Roman" w:cs="Times New Roman"/>
        </w:rPr>
      </w:pPr>
      <w:r w:rsidRPr="00C96FB2">
        <w:rPr>
          <w:rFonts w:ascii="Times New Roman" w:hAnsi="Times New Roman" w:cs="Times New Roman"/>
        </w:rPr>
        <w:t>Jadrová energia sa v SR môže využívať len na mierové účely. Medzinárodné spoločenstvo ako aj EÚ považujú právnu úpravu jej využívania za veľmi dôležitú a SR ako členský štát EÚ musí postupovať v súlade s ňou. SR je signatárom viacerých medzinárodných zmlúv, ktoré upravujú problematiku mierového využívania jadrovej energie. Ide napr. o Zmluvu o nešírení jadrových zbraní, Zmluvu o zákaze umiestňovania jadrových zbraní a iných zbraní hromadného ničenia na dne morí, oceánov a v jeho podzemí, právne záväzné akty EÚ a iné. ÚJD SR musí postupovať aj v súlade s úlohami, ktoré mu uloží vláda svojimi uzneseniami. Na potrebu dosiahnutia súladu s národnými stratégiami upozorňuje aj priamo smernica. Národné stratégie v rôznych oblastiach sú spravidla schvaľované uzneseniami vlády. Konkrétne ide napr. o uznesenie č. 190/1994, uznesenie č. 328/2008 a uznesenie č. 610/2009.</w:t>
      </w:r>
    </w:p>
    <w:p w:rsidR="008C75BE" w:rsidP="008C75BE">
      <w:pPr>
        <w:pStyle w:val="ListParagraph"/>
        <w:bidi w:val="0"/>
        <w:ind w:left="0" w:firstLine="708"/>
        <w:rPr>
          <w:rFonts w:ascii="Times New Roman" w:hAnsi="Times New Roman" w:cs="Times New Roman"/>
        </w:rPr>
      </w:pPr>
    </w:p>
    <w:p w:rsidR="00E3134A" w:rsidP="008C75BE">
      <w:pPr>
        <w:pStyle w:val="ListParagraph"/>
        <w:bidi w:val="0"/>
        <w:ind w:left="0" w:firstLine="708"/>
        <w:rPr>
          <w:rFonts w:ascii="Times New Roman" w:hAnsi="Times New Roman" w:cs="Times New Roman"/>
        </w:rPr>
      </w:pPr>
    </w:p>
    <w:p w:rsidR="00E3134A" w:rsidP="008C75BE">
      <w:pPr>
        <w:pStyle w:val="ListParagraph"/>
        <w:bidi w:val="0"/>
        <w:ind w:left="0" w:firstLine="708"/>
        <w:rPr>
          <w:rFonts w:ascii="Times New Roman" w:hAnsi="Times New Roman" w:cs="Times New Roman"/>
        </w:rPr>
      </w:pPr>
    </w:p>
    <w:p w:rsidR="00E3134A" w:rsidRPr="00C96FB2" w:rsidP="008C75BE">
      <w:pPr>
        <w:pStyle w:val="ListParagraph"/>
        <w:bidi w:val="0"/>
        <w:ind w:left="0" w:firstLine="708"/>
        <w:rPr>
          <w:rFonts w:ascii="Times New Roman" w:hAnsi="Times New Roman" w:cs="Times New Roman"/>
        </w:rPr>
      </w:pPr>
    </w:p>
    <w:p w:rsidR="00E3134A" w:rsidP="008C75BE">
      <w:pPr>
        <w:pStyle w:val="ListParagraph"/>
        <w:bidi w:val="0"/>
        <w:ind w:left="0" w:firstLine="708"/>
        <w:rPr>
          <w:rFonts w:ascii="Times New Roman" w:hAnsi="Times New Roman" w:cs="Times New Roman"/>
          <w:b/>
        </w:rPr>
      </w:pPr>
    </w:p>
    <w:p w:rsidR="00981F42" w:rsidP="008C75BE">
      <w:pPr>
        <w:pStyle w:val="ListParagraph"/>
        <w:bidi w:val="0"/>
        <w:ind w:left="0" w:firstLine="708"/>
        <w:rPr>
          <w:rFonts w:ascii="Times New Roman" w:hAnsi="Times New Roman" w:cs="Times New Roman"/>
          <w:b/>
        </w:rPr>
      </w:pPr>
      <w:r w:rsidRPr="00C96FB2">
        <w:rPr>
          <w:rFonts w:ascii="Times New Roman" w:hAnsi="Times New Roman" w:cs="Times New Roman"/>
          <w:b/>
        </w:rPr>
        <w:t>K bodu 10</w:t>
      </w:r>
    </w:p>
    <w:p w:rsidR="008C75BE" w:rsidRPr="00C96FB2" w:rsidP="008C75BE">
      <w:pPr>
        <w:pStyle w:val="ListParagraph"/>
        <w:bidi w:val="0"/>
        <w:ind w:left="0" w:firstLine="708"/>
        <w:rPr>
          <w:rFonts w:ascii="Times New Roman" w:hAnsi="Times New Roman" w:cs="Times New Roman"/>
          <w:b/>
        </w:rPr>
      </w:pPr>
    </w:p>
    <w:p w:rsidR="00981F42" w:rsidP="008C75BE">
      <w:pPr>
        <w:pStyle w:val="ListParagraph"/>
        <w:bidi w:val="0"/>
        <w:ind w:left="0" w:firstLine="708"/>
        <w:rPr>
          <w:rFonts w:ascii="Times New Roman" w:hAnsi="Times New Roman" w:cs="Times New Roman"/>
        </w:rPr>
      </w:pPr>
      <w:r w:rsidRPr="00C96FB2">
        <w:rPr>
          <w:rFonts w:ascii="Times New Roman" w:hAnsi="Times New Roman" w:cs="Times New Roman"/>
        </w:rPr>
        <w:t>Pri využívaní jadrovej energie má bezpečnosť najvyššiu prioritu. Priorizácia sa stanovuje s ohľadom na typ jadrového zariadenia, druh jadrových materiálov, činností, ktoré sa na jadrovom zariadení vykonávajú a iných aspektov. ÚJD SR vykonáva dozor nad jej dodržiavaním. Týmto ustanovením sa transponuje čl. 1 smernice 2009/71/Euratom.</w:t>
      </w:r>
    </w:p>
    <w:p w:rsidR="00E3134A" w:rsidP="008C75BE">
      <w:pPr>
        <w:pStyle w:val="ListParagraph"/>
        <w:bidi w:val="0"/>
        <w:ind w:left="0" w:firstLine="708"/>
        <w:rPr>
          <w:rFonts w:ascii="Times New Roman" w:hAnsi="Times New Roman" w:cs="Times New Roman"/>
          <w:b/>
        </w:rPr>
      </w:pPr>
    </w:p>
    <w:p w:rsidR="00981F42" w:rsidP="008C75BE">
      <w:pPr>
        <w:pStyle w:val="ListParagraph"/>
        <w:bidi w:val="0"/>
        <w:ind w:left="0" w:firstLine="708"/>
        <w:rPr>
          <w:rFonts w:ascii="Times New Roman" w:hAnsi="Times New Roman" w:cs="Times New Roman"/>
          <w:b/>
        </w:rPr>
      </w:pPr>
      <w:r w:rsidRPr="00C96FB2">
        <w:rPr>
          <w:rFonts w:ascii="Times New Roman" w:hAnsi="Times New Roman" w:cs="Times New Roman"/>
          <w:b/>
        </w:rPr>
        <w:t>K bodom 11 a</w:t>
      </w:r>
      <w:r w:rsidR="008C75BE">
        <w:rPr>
          <w:rFonts w:ascii="Times New Roman" w:hAnsi="Times New Roman" w:cs="Times New Roman"/>
          <w:b/>
        </w:rPr>
        <w:t> </w:t>
      </w:r>
      <w:r w:rsidRPr="00C96FB2">
        <w:rPr>
          <w:rFonts w:ascii="Times New Roman" w:hAnsi="Times New Roman" w:cs="Times New Roman"/>
          <w:b/>
        </w:rPr>
        <w:t>12</w:t>
      </w:r>
    </w:p>
    <w:p w:rsidR="008C75BE" w:rsidRPr="00C96FB2" w:rsidP="008C75BE">
      <w:pPr>
        <w:pStyle w:val="ListParagraph"/>
        <w:bidi w:val="0"/>
        <w:ind w:left="0" w:firstLine="708"/>
        <w:rPr>
          <w:rFonts w:ascii="Times New Roman" w:hAnsi="Times New Roman" w:cs="Times New Roman"/>
          <w:b/>
        </w:rPr>
      </w:pPr>
    </w:p>
    <w:p w:rsidR="00981F42" w:rsidP="008C75BE">
      <w:pPr>
        <w:pStyle w:val="ListParagraph"/>
        <w:bidi w:val="0"/>
        <w:ind w:left="0" w:firstLine="708"/>
        <w:rPr>
          <w:rFonts w:ascii="Times New Roman" w:hAnsi="Times New Roman" w:cs="Times New Roman"/>
        </w:rPr>
      </w:pPr>
      <w:r w:rsidRPr="00C96FB2">
        <w:rPr>
          <w:rFonts w:ascii="Times New Roman" w:hAnsi="Times New Roman" w:cs="Times New Roman"/>
        </w:rPr>
        <w:t>SR plne rešpektuje právo všetkých občanov na prístup k informáciám v oblasti životného prostredia tak, ako jej to ukladá právna úprava obsiahnutá v zákone č. 211/2000 Z. z. akceptujúca medzinárodno - právne záväzky vyplývajúce z Aarhuského dohovoru, aj preto plní ÚJD SR povinnosti vyplývajúce mu z neho ako povinnej osobe. SR je jeho signatárom, a preto aj jej vnútroštátny poriadok musí byť v súlade s ním a s príslušnými smernicami EÚ, ktoré boli upravené v zmysle zásad tohto dohovoru. Samotný Aarhuský dohovor rešpektuje práva a individualitu jednotlivých signatárskych členských krajín a umožňuje odmietnuť poskytnutie informácie, ktorej zverejnenie by mohlo nepriaznivo ovplyvniť medzinárodné vzťahy, obranu štátu alebo bezpečnosť verejnosti. ÚJD SR si však uvedomuje, ktoré informácie sú natoľko dôležité, že z dôvodu bezpečnosti štátu, jeho obyvateľov ako aj obyvateľov susedných krajín ich nesprístupní tretím osobám. Túto dokumentáciu vymedzuje taxatívnym výpočtom preto, aby nemohlo dôjsť k jej svojvoľnému rozširovaniu a nesprávnemu výkladu. Aarhuský dohovor stanovuje povinnosť vykladať obmedzenia reštriktívnym spôsobom berúc do úvahy záujem verejnosti, ktorému zverejnenie slúži, a tiež berúc do úvahy, či požadované informácie súvisia s emisiami do životného prostredia. Takúto dokumentáciu novela označuje ako dokumentáciu obsahujúcu citlivé informácie. Ide o materiály, ktorých použitie by sa mohlo použiť na naplánovanie a vykonanie činností s cieľom spôsobiť narušenie alebo zničenie jadrového zariadenia. Všetky obmedzenia prístupu k informáciám v citlivej dokumentácií vychádzajú zo zásady, že neposkytnutie určitých informácii širokej verejnosti je z hľadiska jej samotnej ochrany a bezpečnosti vhodnejšie, ako jej široké sprístupňovanie. Všeobecné právo na informácie v tomto prípade ustupuje právu na bezpečnosť štátu, životné prostredie, majetok a pod. Limitovanie sprístupnenia informácii umožňuje aj priamo smernica v čl. 8. Okrem taxatívne vymedzenej dokumentácie, ÚJD SR disponuje aj dokumentáciou, ktorá podlieha  štandardnej ochrane utajovaných skutočností podľa zákona č. 215/2004 Z. z. v znení neskorších predpisov.</w:t>
      </w:r>
    </w:p>
    <w:p w:rsidR="00601D32" w:rsidRPr="00C96FB2" w:rsidP="008C75BE">
      <w:pPr>
        <w:pStyle w:val="ListParagraph"/>
        <w:bidi w:val="0"/>
        <w:ind w:left="0" w:firstLine="708"/>
        <w:rPr>
          <w:rFonts w:ascii="Times New Roman" w:hAnsi="Times New Roman" w:cs="Times New Roman"/>
        </w:rPr>
      </w:pPr>
    </w:p>
    <w:p w:rsidR="00981F42" w:rsidP="00601D32">
      <w:pPr>
        <w:pStyle w:val="ListParagraph"/>
        <w:bidi w:val="0"/>
        <w:ind w:left="0" w:firstLine="708"/>
        <w:rPr>
          <w:rFonts w:ascii="Times New Roman" w:hAnsi="Times New Roman" w:cs="Times New Roman"/>
          <w:b/>
        </w:rPr>
      </w:pPr>
      <w:r w:rsidRPr="00C96FB2">
        <w:rPr>
          <w:rFonts w:ascii="Times New Roman" w:hAnsi="Times New Roman" w:cs="Times New Roman"/>
          <w:b/>
        </w:rPr>
        <w:t>K bodu 13</w:t>
      </w:r>
    </w:p>
    <w:p w:rsidR="00601D32" w:rsidRPr="00C96FB2" w:rsidP="00601D32">
      <w:pPr>
        <w:pStyle w:val="ListParagraph"/>
        <w:bidi w:val="0"/>
        <w:ind w:left="0" w:firstLine="708"/>
        <w:rPr>
          <w:rFonts w:ascii="Times New Roman" w:hAnsi="Times New Roman" w:cs="Times New Roman"/>
          <w:b/>
        </w:rPr>
      </w:pPr>
    </w:p>
    <w:p w:rsidR="00981F42" w:rsidP="00601D32">
      <w:pPr>
        <w:pStyle w:val="ListParagraph"/>
        <w:bidi w:val="0"/>
        <w:ind w:left="0" w:firstLine="708"/>
        <w:rPr>
          <w:rFonts w:ascii="Times New Roman" w:hAnsi="Times New Roman" w:cs="Times New Roman"/>
        </w:rPr>
      </w:pPr>
      <w:r w:rsidRPr="00C96FB2">
        <w:rPr>
          <w:rFonts w:ascii="Times New Roman" w:hAnsi="Times New Roman" w:cs="Times New Roman"/>
        </w:rPr>
        <w:t>Týmto ustanovením sa rozširuje základná povinnosť ÚJD SR, aby pri výkone štátneho dozoru nad jadrovou bezpečnosťou jadrových zariadení boli všetky zainteresované subjekty, medzinárodné spoločenstvo a verejnosť uistené, že jadrová energia sa využíva spôsobom, prioritne akceptujúcim jadrovú bezpečnosť. Povinnosť dodržiavať túto zásadu patrí ÚJD SR, preto novela zavádza explicitne túto povinnosť do § 4, v ktorom sú stanovené základné povinnosti úradu.</w:t>
      </w:r>
    </w:p>
    <w:p w:rsidR="00601D32" w:rsidRPr="00C96FB2" w:rsidP="00601D32">
      <w:pPr>
        <w:pStyle w:val="ListParagraph"/>
        <w:bidi w:val="0"/>
        <w:ind w:left="0" w:firstLine="708"/>
        <w:rPr>
          <w:rFonts w:ascii="Times New Roman" w:hAnsi="Times New Roman" w:cs="Times New Roman"/>
        </w:rPr>
      </w:pPr>
    </w:p>
    <w:p w:rsidR="00981F42" w:rsidP="00601D32">
      <w:pPr>
        <w:pStyle w:val="ListParagraph"/>
        <w:bidi w:val="0"/>
        <w:ind w:left="0" w:firstLine="708"/>
        <w:rPr>
          <w:rFonts w:ascii="Times New Roman" w:hAnsi="Times New Roman" w:cs="Times New Roman"/>
          <w:b/>
        </w:rPr>
      </w:pPr>
      <w:r w:rsidRPr="00C96FB2">
        <w:rPr>
          <w:rFonts w:ascii="Times New Roman" w:hAnsi="Times New Roman" w:cs="Times New Roman"/>
          <w:b/>
        </w:rPr>
        <w:t>K bodu 14</w:t>
      </w:r>
    </w:p>
    <w:p w:rsidR="00601D32" w:rsidRPr="00C96FB2" w:rsidP="00601D32">
      <w:pPr>
        <w:pStyle w:val="ListParagraph"/>
        <w:bidi w:val="0"/>
        <w:ind w:left="0" w:firstLine="708"/>
        <w:rPr>
          <w:rFonts w:ascii="Times New Roman" w:hAnsi="Times New Roman" w:cs="Times New Roman"/>
          <w:b/>
        </w:rPr>
      </w:pPr>
    </w:p>
    <w:p w:rsidR="00981F42" w:rsidRPr="00C96FB2" w:rsidP="00601D32">
      <w:pPr>
        <w:pStyle w:val="ListParagraph"/>
        <w:bidi w:val="0"/>
        <w:ind w:left="0" w:firstLine="708"/>
        <w:rPr>
          <w:rFonts w:ascii="Times New Roman" w:hAnsi="Times New Roman" w:cs="Times New Roman"/>
        </w:rPr>
      </w:pPr>
      <w:r w:rsidRPr="00C96FB2">
        <w:rPr>
          <w:rFonts w:ascii="Times New Roman" w:hAnsi="Times New Roman" w:cs="Times New Roman"/>
        </w:rPr>
        <w:t xml:space="preserve">Konštituujú sa ďalšie povinnosti ÚJD SR. Ide o povinnosť samohodnotiť stav jadrovej bezpečnosti a výkon celého jadrového dozoru spolu s inými rezortnými orgánmi, ktoré viac alebo menej svojimi kompetenciami upravujú určité bezpečnostné aspekty jadrových zariadení a zároveň jeden krát za desať rokov pozvať medzinárodnú misiu na posúdenie plnenia povinností vyplývajúcich z transponovanej smernice. Takouto misiou by mala pravdepodobne v budúcnosti byť misia IRRS (Integrated Regulatory Review Service), ktorá pôsobí pri MAAE, resp. iný druh misie založenej v spolupráci MAAE a EÚ. Misia bude po prvýkrát za týmto účelom pozvaná do SR v roku 2021. </w:t>
      </w:r>
    </w:p>
    <w:p w:rsidR="00981F42" w:rsidRPr="00C96FB2" w:rsidP="00601D32">
      <w:pPr>
        <w:pStyle w:val="ListParagraph"/>
        <w:bidi w:val="0"/>
        <w:ind w:left="0" w:firstLine="708"/>
        <w:rPr>
          <w:rFonts w:ascii="Times New Roman" w:hAnsi="Times New Roman" w:cs="Times New Roman"/>
        </w:rPr>
      </w:pPr>
      <w:r w:rsidRPr="00C96FB2">
        <w:rPr>
          <w:rFonts w:ascii="Times New Roman" w:hAnsi="Times New Roman" w:cs="Times New Roman"/>
        </w:rPr>
        <w:t>Stanovuje sa povinnosť predkladať správy o vykonávaní Smernice 2009/71/Euratom v pravidelných intervaloch, a to jedenkrát za tri roky. Správu vypracuje ÚJD SR v spolupráci s  orgánmi podľa predošlého odseku tak, ako to bolo doteraz pri spracovávaní Národnej správy v zmysle Dohovoru o jadrovej bezpečnosti a predloží ju na posúdenie Európskej komisii. Obsahom správy má byť spôsob, akým sa smernica vykonáva, ako orgány v SR spolupracujú pri jej aplikácii a či sú s jej aplikáciou praktické problémy. Obsahom správy môžu byť aj iné informácie súvisiace so smernicou. Takáto správa sa po prvýkrát predloží najneskôr do 22. júla 2014. Týmito ustanoveniami sa transponuje čl. 9 ods. 1 a 3 smernice 2009/71/Euratom. ÚJD SR je ďalej povinný udržiavať dostatočné finančné, personálne a technické požiadavky na jadrovú bezpečnosť.</w:t>
      </w:r>
    </w:p>
    <w:p w:rsidR="00981F42" w:rsidP="00601D32">
      <w:pPr>
        <w:pStyle w:val="ListParagraph"/>
        <w:bidi w:val="0"/>
        <w:ind w:left="0" w:firstLine="708"/>
        <w:rPr>
          <w:rFonts w:ascii="Times New Roman" w:hAnsi="Times New Roman" w:cs="Times New Roman"/>
        </w:rPr>
      </w:pPr>
      <w:r w:rsidRPr="00C96FB2">
        <w:rPr>
          <w:rFonts w:ascii="Times New Roman" w:hAnsi="Times New Roman" w:cs="Times New Roman"/>
        </w:rPr>
        <w:t xml:space="preserve"> Dôležitou a novou zásadou, ktorá vychádza zo smernice 2009/71/Euratom, je povinnosť udržiavať a pokiaľ je to možné zdokonaľovať jadrovú bezpečnosť na základe výsledkov získaných z analýz bezpečnosti tak, aby jadrová bezpečnosť stála na prvom mieste. Týmto ustanovením sa transponuje čl. 4 ods. 2 smernice 2009/71/Euratom.</w:t>
      </w:r>
    </w:p>
    <w:p w:rsidR="00601D32" w:rsidRPr="00C96FB2" w:rsidP="00601D32">
      <w:pPr>
        <w:pStyle w:val="ListParagraph"/>
        <w:bidi w:val="0"/>
        <w:ind w:left="0" w:firstLine="708"/>
        <w:rPr>
          <w:rFonts w:ascii="Times New Roman" w:hAnsi="Times New Roman" w:cs="Times New Roman"/>
        </w:rPr>
      </w:pPr>
    </w:p>
    <w:p w:rsidR="00981F42" w:rsidP="00601D32">
      <w:pPr>
        <w:pStyle w:val="ListParagraph"/>
        <w:bidi w:val="0"/>
        <w:ind w:left="0" w:firstLine="708"/>
        <w:rPr>
          <w:rFonts w:ascii="Times New Roman" w:hAnsi="Times New Roman" w:cs="Times New Roman"/>
          <w:b/>
        </w:rPr>
      </w:pPr>
      <w:r w:rsidRPr="00C96FB2">
        <w:rPr>
          <w:rFonts w:ascii="Times New Roman" w:hAnsi="Times New Roman" w:cs="Times New Roman"/>
          <w:b/>
        </w:rPr>
        <w:t>K bodom 15, 19, 20, 22, 32, 49 až 52 a</w:t>
      </w:r>
      <w:r w:rsidR="00601D32">
        <w:rPr>
          <w:rFonts w:ascii="Times New Roman" w:hAnsi="Times New Roman" w:cs="Times New Roman"/>
          <w:b/>
        </w:rPr>
        <w:t> </w:t>
      </w:r>
      <w:r w:rsidRPr="00C96FB2">
        <w:rPr>
          <w:rFonts w:ascii="Times New Roman" w:hAnsi="Times New Roman" w:cs="Times New Roman"/>
          <w:b/>
        </w:rPr>
        <w:t>54</w:t>
      </w:r>
    </w:p>
    <w:p w:rsidR="00601D32" w:rsidRPr="00C96FB2" w:rsidP="00601D32">
      <w:pPr>
        <w:pStyle w:val="ListParagraph"/>
        <w:bidi w:val="0"/>
        <w:ind w:left="0" w:firstLine="708"/>
        <w:rPr>
          <w:rFonts w:ascii="Times New Roman" w:hAnsi="Times New Roman" w:cs="Times New Roman"/>
          <w:b/>
        </w:rPr>
      </w:pPr>
    </w:p>
    <w:p w:rsidR="00981F42" w:rsidP="00601D32">
      <w:pPr>
        <w:pStyle w:val="ListParagraph"/>
        <w:bidi w:val="0"/>
        <w:ind w:left="0" w:firstLine="708"/>
        <w:rPr>
          <w:rFonts w:ascii="Times New Roman" w:hAnsi="Times New Roman" w:cs="Times New Roman"/>
        </w:rPr>
      </w:pPr>
      <w:r w:rsidRPr="00C96FB2">
        <w:rPr>
          <w:rFonts w:ascii="Times New Roman" w:hAnsi="Times New Roman" w:cs="Times New Roman"/>
        </w:rPr>
        <w:t>Predmetné novelizačné body reflektujú potrebu zmeny termínu „systém kvality“ na systém manažérstva kvality, ktorý sa týmto zákonom zavádza. Systém manažérstva kvality je presnejšie vymedzený v § 25, resp. v novom bode v § 2 a podrobne bude rozpracovaný vo vyhláške o systéme manažérstva kvality. Ide o legislatívno – technickú zmenu.</w:t>
      </w:r>
    </w:p>
    <w:p w:rsidR="00601D32" w:rsidRPr="00C96FB2" w:rsidP="00601D32">
      <w:pPr>
        <w:pStyle w:val="ListParagraph"/>
        <w:bidi w:val="0"/>
        <w:ind w:left="0" w:firstLine="708"/>
        <w:rPr>
          <w:rFonts w:ascii="Times New Roman" w:hAnsi="Times New Roman" w:cs="Times New Roman"/>
        </w:rPr>
      </w:pPr>
    </w:p>
    <w:p w:rsidR="00981F42" w:rsidP="00601D32">
      <w:pPr>
        <w:pStyle w:val="ListParagraph"/>
        <w:bidi w:val="0"/>
        <w:ind w:left="0" w:firstLine="708"/>
        <w:rPr>
          <w:rFonts w:ascii="Times New Roman" w:hAnsi="Times New Roman" w:cs="Times New Roman"/>
          <w:b/>
        </w:rPr>
      </w:pPr>
      <w:r w:rsidRPr="00C96FB2">
        <w:rPr>
          <w:rFonts w:ascii="Times New Roman" w:hAnsi="Times New Roman" w:cs="Times New Roman"/>
          <w:b/>
        </w:rPr>
        <w:t xml:space="preserve">K bodom 16 až 18, 26, 27 </w:t>
      </w:r>
    </w:p>
    <w:p w:rsidR="00601D32" w:rsidRPr="00C96FB2" w:rsidP="00601D32">
      <w:pPr>
        <w:pStyle w:val="ListParagraph"/>
        <w:bidi w:val="0"/>
        <w:ind w:left="0" w:firstLine="708"/>
        <w:rPr>
          <w:rFonts w:ascii="Times New Roman" w:hAnsi="Times New Roman" w:cs="Times New Roman"/>
          <w:b/>
        </w:rPr>
      </w:pPr>
    </w:p>
    <w:p w:rsidR="00981F42" w:rsidP="00601D32">
      <w:pPr>
        <w:pStyle w:val="ListParagraph"/>
        <w:bidi w:val="0"/>
        <w:ind w:left="0" w:firstLine="708"/>
        <w:rPr>
          <w:rFonts w:ascii="Times New Roman" w:hAnsi="Times New Roman" w:cs="Times New Roman"/>
        </w:rPr>
      </w:pPr>
      <w:r w:rsidRPr="00C96FB2">
        <w:rPr>
          <w:rFonts w:ascii="Times New Roman" w:hAnsi="Times New Roman" w:cs="Times New Roman"/>
        </w:rPr>
        <w:t>Predmetné novelizačné body reflektujú legislatívno – technickú zmenu, ku ktorej dochádza z dôvodu zmeny v § 2, kde sa zavádza nový pojem – systém manažérstva kvality - a preto je treba prečíslovať ostatné ustanovenia v § 2, a to v celom texte zákona.</w:t>
      </w:r>
    </w:p>
    <w:p w:rsidR="00601D32" w:rsidP="00601D32">
      <w:pPr>
        <w:pStyle w:val="ListParagraph"/>
        <w:bidi w:val="0"/>
        <w:ind w:left="0" w:firstLine="708"/>
        <w:rPr>
          <w:rFonts w:ascii="Times New Roman" w:hAnsi="Times New Roman" w:cs="Times New Roman"/>
        </w:rPr>
      </w:pPr>
    </w:p>
    <w:p w:rsidR="00E3134A" w:rsidP="00601D32">
      <w:pPr>
        <w:pStyle w:val="ListParagraph"/>
        <w:bidi w:val="0"/>
        <w:ind w:left="0" w:firstLine="708"/>
        <w:rPr>
          <w:rFonts w:ascii="Times New Roman" w:hAnsi="Times New Roman" w:cs="Times New Roman"/>
        </w:rPr>
      </w:pPr>
    </w:p>
    <w:p w:rsidR="00E3134A" w:rsidP="00601D32">
      <w:pPr>
        <w:pStyle w:val="ListParagraph"/>
        <w:bidi w:val="0"/>
        <w:ind w:left="0" w:firstLine="708"/>
        <w:rPr>
          <w:rFonts w:ascii="Times New Roman" w:hAnsi="Times New Roman" w:cs="Times New Roman"/>
        </w:rPr>
      </w:pPr>
    </w:p>
    <w:p w:rsidR="00E3134A" w:rsidP="00601D32">
      <w:pPr>
        <w:pStyle w:val="ListParagraph"/>
        <w:bidi w:val="0"/>
        <w:ind w:left="0" w:firstLine="708"/>
        <w:rPr>
          <w:rFonts w:ascii="Times New Roman" w:hAnsi="Times New Roman" w:cs="Times New Roman"/>
        </w:rPr>
      </w:pPr>
    </w:p>
    <w:p w:rsidR="00E3134A" w:rsidP="00601D32">
      <w:pPr>
        <w:pStyle w:val="ListParagraph"/>
        <w:bidi w:val="0"/>
        <w:ind w:left="0" w:firstLine="708"/>
        <w:rPr>
          <w:rFonts w:ascii="Times New Roman" w:hAnsi="Times New Roman" w:cs="Times New Roman"/>
        </w:rPr>
      </w:pPr>
    </w:p>
    <w:p w:rsidR="00E3134A" w:rsidRPr="00C96FB2" w:rsidP="00601D32">
      <w:pPr>
        <w:pStyle w:val="ListParagraph"/>
        <w:bidi w:val="0"/>
        <w:ind w:left="0" w:firstLine="708"/>
        <w:rPr>
          <w:rFonts w:ascii="Times New Roman" w:hAnsi="Times New Roman" w:cs="Times New Roman"/>
        </w:rPr>
      </w:pPr>
    </w:p>
    <w:p w:rsidR="00E3134A" w:rsidP="00601D32">
      <w:pPr>
        <w:pStyle w:val="ListParagraph"/>
        <w:bidi w:val="0"/>
        <w:ind w:left="0" w:firstLine="708"/>
        <w:rPr>
          <w:rFonts w:ascii="Times New Roman" w:hAnsi="Times New Roman" w:cs="Times New Roman"/>
          <w:b/>
        </w:rPr>
      </w:pPr>
    </w:p>
    <w:p w:rsidR="00981F42" w:rsidP="00601D32">
      <w:pPr>
        <w:pStyle w:val="ListParagraph"/>
        <w:bidi w:val="0"/>
        <w:ind w:left="0" w:firstLine="708"/>
        <w:rPr>
          <w:rFonts w:ascii="Times New Roman" w:hAnsi="Times New Roman" w:cs="Times New Roman"/>
          <w:b/>
        </w:rPr>
      </w:pPr>
      <w:r w:rsidRPr="00C96FB2">
        <w:rPr>
          <w:rFonts w:ascii="Times New Roman" w:hAnsi="Times New Roman" w:cs="Times New Roman"/>
          <w:b/>
        </w:rPr>
        <w:t>K bodu 21</w:t>
      </w:r>
    </w:p>
    <w:p w:rsidR="00601D32" w:rsidRPr="00C96FB2" w:rsidP="00601D32">
      <w:pPr>
        <w:pStyle w:val="ListParagraph"/>
        <w:bidi w:val="0"/>
        <w:ind w:left="0" w:firstLine="708"/>
        <w:rPr>
          <w:rFonts w:ascii="Times New Roman" w:hAnsi="Times New Roman" w:cs="Times New Roman"/>
          <w:b/>
        </w:rPr>
      </w:pPr>
    </w:p>
    <w:p w:rsidR="00981F42" w:rsidP="00601D32">
      <w:pPr>
        <w:pStyle w:val="ListParagraph"/>
        <w:bidi w:val="0"/>
        <w:ind w:left="0" w:firstLine="708"/>
        <w:rPr>
          <w:rFonts w:ascii="Times New Roman" w:hAnsi="Times New Roman" w:cs="Times New Roman"/>
        </w:rPr>
      </w:pPr>
      <w:r w:rsidRPr="00C96FB2">
        <w:rPr>
          <w:rFonts w:ascii="Times New Roman" w:hAnsi="Times New Roman" w:cs="Times New Roman"/>
        </w:rPr>
        <w:t>Súčasná poznámka pod čiarou č. 9 odkazovala na nariadenie 1334/2000 zo dňa 22. mája 2000. Toto nariadenie bolo zrušené a nahradené nariadením č. 428/2009 z 5. mája 2009, preto je potrebné aj poznámky pod čiarou dať do súladu s platnou právnou úpravou, ktorá sa týmto novelizačným bodom mení.</w:t>
      </w:r>
    </w:p>
    <w:p w:rsidR="00601D32" w:rsidRPr="00C96FB2" w:rsidP="00601D32">
      <w:pPr>
        <w:pStyle w:val="ListParagraph"/>
        <w:bidi w:val="0"/>
        <w:ind w:left="0" w:firstLine="708"/>
        <w:rPr>
          <w:rFonts w:ascii="Times New Roman" w:hAnsi="Times New Roman" w:cs="Times New Roman"/>
        </w:rPr>
      </w:pPr>
    </w:p>
    <w:p w:rsidR="00981F42" w:rsidP="00601D32">
      <w:pPr>
        <w:pStyle w:val="ListParagraph"/>
        <w:bidi w:val="0"/>
        <w:ind w:left="0" w:firstLine="708"/>
        <w:rPr>
          <w:rFonts w:ascii="Times New Roman" w:hAnsi="Times New Roman" w:cs="Times New Roman"/>
          <w:b/>
        </w:rPr>
      </w:pPr>
      <w:r w:rsidRPr="00C96FB2">
        <w:rPr>
          <w:rFonts w:ascii="Times New Roman" w:hAnsi="Times New Roman" w:cs="Times New Roman"/>
          <w:b/>
        </w:rPr>
        <w:t>K bodu 23</w:t>
      </w:r>
    </w:p>
    <w:p w:rsidR="00601D32" w:rsidRPr="00C96FB2" w:rsidP="00601D32">
      <w:pPr>
        <w:pStyle w:val="ListParagraph"/>
        <w:bidi w:val="0"/>
        <w:ind w:left="0" w:firstLine="708"/>
        <w:rPr>
          <w:rFonts w:ascii="Times New Roman" w:hAnsi="Times New Roman" w:cs="Times New Roman"/>
          <w:b/>
        </w:rPr>
      </w:pPr>
    </w:p>
    <w:p w:rsidR="00981F42" w:rsidP="00601D32">
      <w:pPr>
        <w:pStyle w:val="ListParagraph"/>
        <w:bidi w:val="0"/>
        <w:ind w:left="0" w:firstLine="708"/>
        <w:rPr>
          <w:rFonts w:ascii="Times New Roman" w:hAnsi="Times New Roman" w:cs="Times New Roman"/>
        </w:rPr>
      </w:pPr>
      <w:r w:rsidRPr="00C96FB2">
        <w:rPr>
          <w:rFonts w:ascii="Times New Roman" w:hAnsi="Times New Roman" w:cs="Times New Roman"/>
        </w:rPr>
        <w:t>Ide o legislatívno technickú zmenu, ku ktorej dochádza v § 8 z dôvodu prečíslovania ustanovení</w:t>
      </w:r>
      <w:r w:rsidR="00601D32">
        <w:rPr>
          <w:rFonts w:ascii="Times New Roman" w:hAnsi="Times New Roman" w:cs="Times New Roman"/>
        </w:rPr>
        <w:t xml:space="preserve"> v § 23 o jadrovej bezpečnosti.</w:t>
      </w:r>
    </w:p>
    <w:p w:rsidR="00601D32" w:rsidP="00601D32">
      <w:pPr>
        <w:pStyle w:val="ListParagraph"/>
        <w:bidi w:val="0"/>
        <w:ind w:left="0" w:firstLine="708"/>
        <w:rPr>
          <w:rFonts w:ascii="Times New Roman" w:hAnsi="Times New Roman" w:cs="Times New Roman"/>
        </w:rPr>
      </w:pPr>
    </w:p>
    <w:p w:rsidR="00E3134A" w:rsidP="00601D32">
      <w:pPr>
        <w:pStyle w:val="ListParagraph"/>
        <w:bidi w:val="0"/>
        <w:ind w:left="0" w:firstLine="708"/>
        <w:rPr>
          <w:rFonts w:ascii="Times New Roman" w:hAnsi="Times New Roman" w:cs="Times New Roman"/>
          <w:b/>
        </w:rPr>
      </w:pPr>
    </w:p>
    <w:p w:rsidR="00981F42" w:rsidP="00601D32">
      <w:pPr>
        <w:pStyle w:val="ListParagraph"/>
        <w:bidi w:val="0"/>
        <w:ind w:left="0" w:firstLine="708"/>
        <w:rPr>
          <w:rFonts w:ascii="Times New Roman" w:hAnsi="Times New Roman" w:cs="Times New Roman"/>
          <w:b/>
        </w:rPr>
      </w:pPr>
      <w:r w:rsidRPr="00C96FB2">
        <w:rPr>
          <w:rFonts w:ascii="Times New Roman" w:hAnsi="Times New Roman" w:cs="Times New Roman"/>
          <w:b/>
        </w:rPr>
        <w:t>K bodu 24</w:t>
      </w:r>
    </w:p>
    <w:p w:rsidR="00601D32" w:rsidRPr="00C96FB2" w:rsidP="00601D32">
      <w:pPr>
        <w:pStyle w:val="ListParagraph"/>
        <w:bidi w:val="0"/>
        <w:ind w:left="0" w:firstLine="708"/>
        <w:rPr>
          <w:rFonts w:ascii="Times New Roman" w:hAnsi="Times New Roman" w:cs="Times New Roman"/>
          <w:b/>
        </w:rPr>
      </w:pPr>
    </w:p>
    <w:p w:rsidR="00981F42" w:rsidP="00601D32">
      <w:pPr>
        <w:pStyle w:val="ListParagraph"/>
        <w:bidi w:val="0"/>
        <w:ind w:left="0" w:firstLine="708"/>
        <w:rPr>
          <w:rFonts w:ascii="Times New Roman" w:hAnsi="Times New Roman" w:cs="Times New Roman"/>
        </w:rPr>
      </w:pPr>
      <w:r w:rsidRPr="00C96FB2">
        <w:rPr>
          <w:rFonts w:ascii="Times New Roman" w:hAnsi="Times New Roman" w:cs="Times New Roman"/>
        </w:rPr>
        <w:t>Rozširuje sa povinnosť držiteľa povolenia dodržiavať požiadavky ustanovené atómovým zákonom. Držiteľ povolenia je povinný dodržiavať aj požiadavky stanovené vykonávacím právnymi predpismi vydanými na jeho základe. Je tiež povinný informovať ÚJD SR o všetkých skutočnostiach, ktoré mu atómový zákon ukladá ako povinnosť.</w:t>
      </w:r>
    </w:p>
    <w:p w:rsidR="00484608" w:rsidRPr="00C96FB2" w:rsidP="00601D32">
      <w:pPr>
        <w:pStyle w:val="ListParagraph"/>
        <w:bidi w:val="0"/>
        <w:ind w:left="0" w:firstLine="708"/>
        <w:rPr>
          <w:rFonts w:ascii="Times New Roman" w:hAnsi="Times New Roman" w:cs="Times New Roman"/>
        </w:rPr>
      </w:pPr>
    </w:p>
    <w:p w:rsidR="00981F42" w:rsidRPr="00C96FB2" w:rsidP="00484608">
      <w:pPr>
        <w:pStyle w:val="ListParagraph"/>
        <w:bidi w:val="0"/>
        <w:ind w:left="0" w:firstLine="708"/>
        <w:rPr>
          <w:rFonts w:ascii="Times New Roman" w:hAnsi="Times New Roman" w:cs="Times New Roman"/>
          <w:b/>
        </w:rPr>
      </w:pPr>
      <w:r w:rsidRPr="00C96FB2">
        <w:rPr>
          <w:rFonts w:ascii="Times New Roman" w:hAnsi="Times New Roman" w:cs="Times New Roman"/>
          <w:b/>
        </w:rPr>
        <w:t>K bodu 25</w:t>
      </w:r>
    </w:p>
    <w:p w:rsidR="00981F42" w:rsidRPr="00C96FB2" w:rsidP="00484608">
      <w:pPr>
        <w:pStyle w:val="ListParagraph"/>
        <w:bidi w:val="0"/>
        <w:ind w:left="0" w:firstLine="708"/>
        <w:rPr>
          <w:rFonts w:ascii="Times New Roman" w:hAnsi="Times New Roman" w:cs="Times New Roman"/>
          <w:b/>
        </w:rPr>
      </w:pPr>
    </w:p>
    <w:p w:rsidR="00981F42" w:rsidP="00601D32">
      <w:pPr>
        <w:pStyle w:val="ListParagraph"/>
        <w:bidi w:val="0"/>
        <w:ind w:left="0" w:firstLine="708"/>
        <w:rPr>
          <w:rFonts w:ascii="Times New Roman" w:hAnsi="Times New Roman" w:cs="Times New Roman"/>
        </w:rPr>
      </w:pPr>
      <w:r w:rsidRPr="00C96FB2">
        <w:rPr>
          <w:rFonts w:ascii="Times New Roman" w:hAnsi="Times New Roman" w:cs="Times New Roman"/>
        </w:rPr>
        <w:t>Zužujú sa povinnosti držiteľa povolenia o povinnosť uhrádzať ÚJD SR náklady spojené s overovaním osobitnej odbornej spôsobilosti , ktoré ÚJD SR znáša. Náklady bude od účinnosti novely znášať ÚJD SR. Uvedené ustanovenie je potrebné zrušiť aj s ohľadom na zavedenie príspevkov na výkon štátneho dozoru novelami atómového zákona, a to zákonom č. 94/2007 Z. z. a zákonom č. 120/2010 Z. z. Odstraňuje sa ním určitá duplicita s povinnosťami zavedenými predošlými zákonmi. V číselnom vyjadrení ide o čiastku cca 8 000,-EUR ročne.</w:t>
      </w:r>
    </w:p>
    <w:p w:rsidR="00484608" w:rsidRPr="00C96FB2" w:rsidP="00601D32">
      <w:pPr>
        <w:pStyle w:val="ListParagraph"/>
        <w:bidi w:val="0"/>
        <w:ind w:left="0" w:firstLine="708"/>
        <w:rPr>
          <w:rFonts w:ascii="Times New Roman" w:hAnsi="Times New Roman" w:cs="Times New Roman"/>
        </w:rPr>
      </w:pPr>
    </w:p>
    <w:p w:rsidR="00981F42" w:rsidP="00484608">
      <w:pPr>
        <w:pStyle w:val="ListParagraph"/>
        <w:bidi w:val="0"/>
        <w:ind w:left="0" w:firstLine="708"/>
        <w:rPr>
          <w:rFonts w:ascii="Times New Roman" w:hAnsi="Times New Roman" w:cs="Times New Roman"/>
          <w:b/>
        </w:rPr>
      </w:pPr>
      <w:r w:rsidRPr="00C96FB2">
        <w:rPr>
          <w:rFonts w:ascii="Times New Roman" w:hAnsi="Times New Roman" w:cs="Times New Roman"/>
          <w:b/>
        </w:rPr>
        <w:t>K bodu 28</w:t>
      </w:r>
    </w:p>
    <w:p w:rsidR="00484608" w:rsidRPr="00C96FB2" w:rsidP="00484608">
      <w:pPr>
        <w:pStyle w:val="ListParagraph"/>
        <w:bidi w:val="0"/>
        <w:ind w:left="0" w:firstLine="708"/>
        <w:rPr>
          <w:rFonts w:ascii="Times New Roman" w:hAnsi="Times New Roman" w:cs="Times New Roman"/>
          <w:b/>
        </w:rPr>
      </w:pPr>
    </w:p>
    <w:p w:rsidR="00981F42" w:rsidP="00484608">
      <w:pPr>
        <w:pStyle w:val="ListParagraph"/>
        <w:bidi w:val="0"/>
        <w:ind w:left="0" w:firstLine="708"/>
        <w:rPr>
          <w:rFonts w:ascii="Times New Roman" w:hAnsi="Times New Roman" w:cs="Times New Roman"/>
        </w:rPr>
      </w:pPr>
      <w:r w:rsidRPr="00C96FB2">
        <w:rPr>
          <w:rFonts w:ascii="Times New Roman" w:hAnsi="Times New Roman" w:cs="Times New Roman"/>
        </w:rPr>
        <w:t xml:space="preserve">Precizuje sa súčasná povinnosť držiteľa povolenia informovať verejnosť o hodnotení stavu jadrovej bezpečnosti. Verejnosť musí mať informácie o stave jadrových zariadení nachádzajúcich sa v ich blízkosti a potrebuje byť ubezpečená, že jadrovej bezpečnosti je kladená najvyššia priorita. Držiteľ povolenia musí v pravidelných intervaloch, a to jedenkrát za rok so stanoveným presným termínom o nej oboznámiť verejnosť. Spôsob informovania sa ponecháva na držiteľovi povolenia s podmienkou, že takáto informácia musí byť verejnosti všeobecne prístupná. Môže ísť napríklad o informovanie prostredníctvom internetu na svojej webovej stránke, alebo prostredníctvom tlače. Európska komisia vyžaduje minimálny obsah tejto správy, a to všeobecnú informáciu o stave jadrových zariadení. Týmto ustanovením sa transponuje </w:t>
      </w:r>
      <w:r w:rsidR="00484608">
        <w:rPr>
          <w:rFonts w:ascii="Times New Roman" w:hAnsi="Times New Roman" w:cs="Times New Roman"/>
        </w:rPr>
        <w:t>čl. 8 smernice 2009/71/Euratom.</w:t>
      </w:r>
    </w:p>
    <w:p w:rsidR="00484608" w:rsidRPr="00C96FB2" w:rsidP="00484608">
      <w:pPr>
        <w:pStyle w:val="ListParagraph"/>
        <w:bidi w:val="0"/>
        <w:ind w:left="0" w:firstLine="708"/>
        <w:rPr>
          <w:rFonts w:ascii="Times New Roman" w:hAnsi="Times New Roman" w:cs="Times New Roman"/>
        </w:rPr>
      </w:pPr>
    </w:p>
    <w:p w:rsidR="00E3134A" w:rsidP="00484608">
      <w:pPr>
        <w:pStyle w:val="ListParagraph"/>
        <w:bidi w:val="0"/>
        <w:ind w:left="0" w:firstLine="708"/>
        <w:rPr>
          <w:rFonts w:ascii="Times New Roman" w:hAnsi="Times New Roman" w:cs="Times New Roman"/>
          <w:b/>
        </w:rPr>
      </w:pPr>
    </w:p>
    <w:p w:rsidR="00981F42" w:rsidP="00484608">
      <w:pPr>
        <w:pStyle w:val="ListParagraph"/>
        <w:bidi w:val="0"/>
        <w:ind w:left="0" w:firstLine="708"/>
        <w:rPr>
          <w:rFonts w:ascii="Times New Roman" w:hAnsi="Times New Roman" w:cs="Times New Roman"/>
          <w:b/>
        </w:rPr>
      </w:pPr>
      <w:r w:rsidRPr="00C96FB2">
        <w:rPr>
          <w:rFonts w:ascii="Times New Roman" w:hAnsi="Times New Roman" w:cs="Times New Roman"/>
          <w:b/>
        </w:rPr>
        <w:t>K bodu 29</w:t>
      </w:r>
    </w:p>
    <w:p w:rsidR="00484608" w:rsidRPr="00C96FB2" w:rsidP="00484608">
      <w:pPr>
        <w:pStyle w:val="ListParagraph"/>
        <w:bidi w:val="0"/>
        <w:ind w:left="0" w:firstLine="708"/>
        <w:rPr>
          <w:rFonts w:ascii="Times New Roman" w:hAnsi="Times New Roman" w:cs="Times New Roman"/>
          <w:b/>
        </w:rPr>
      </w:pPr>
    </w:p>
    <w:p w:rsidR="00981F42" w:rsidP="00484608">
      <w:pPr>
        <w:pStyle w:val="ListParagraph"/>
        <w:bidi w:val="0"/>
        <w:ind w:left="0" w:firstLine="708"/>
        <w:rPr>
          <w:rFonts w:ascii="Times New Roman" w:hAnsi="Times New Roman" w:cs="Times New Roman"/>
        </w:rPr>
      </w:pPr>
      <w:r w:rsidRPr="00C96FB2">
        <w:rPr>
          <w:rFonts w:ascii="Times New Roman" w:hAnsi="Times New Roman" w:cs="Times New Roman"/>
        </w:rPr>
        <w:t>Držiteľ povolenia pravidelne musí analyzovať prevádzkové skúsenosti, medzinárodné bezpečnostné štandardy a aplikovať nové poznatky, vedomosti a skúsenosti s cieľom zlepšovať a trvalo zvyšovať úroveň stavu jadrových zariadení. Pred tým, ako držiteľ povolenia urobí rozhodnutie, ktoré by mohlo mať vplyv na stav jadrovej bezpečnosti, musí ho prekonzultovať s vlastnými, ale aj externými odborníkmi na danú problematiku, aby si bol istý, že všetko, čo bude robiť, bude v súlade s požiadavkami jadrovej bezpečnosti. Uvedený spôsob má za cieľ zabezpečiť nezávislé posúdenie dopadu rozhodnutia na celú spoločnosť. Z hľadiska ústavnosti ukladania povinností je nevyhnutné precizovať všeobecné povinnosti držiteľa povolenia priamo v zákone. Je taktiež potrebné precizovať úpravu plnenia požiadaviek a plnenia oznamovacích a informačných povinností voči úradu. Vo väčšine prípadov v tomto bode ide o implementáciu požiadaviek WENRY.</w:t>
      </w:r>
    </w:p>
    <w:p w:rsidR="00E3134A" w:rsidP="00484608">
      <w:pPr>
        <w:pStyle w:val="ListParagraph"/>
        <w:bidi w:val="0"/>
        <w:ind w:left="0" w:firstLine="708"/>
        <w:rPr>
          <w:rFonts w:ascii="Times New Roman" w:hAnsi="Times New Roman" w:cs="Times New Roman"/>
          <w:b/>
        </w:rPr>
      </w:pPr>
    </w:p>
    <w:p w:rsidR="00981F42" w:rsidP="00484608">
      <w:pPr>
        <w:pStyle w:val="ListParagraph"/>
        <w:bidi w:val="0"/>
        <w:ind w:left="0" w:firstLine="708"/>
        <w:rPr>
          <w:rFonts w:ascii="Times New Roman" w:hAnsi="Times New Roman" w:cs="Times New Roman"/>
          <w:b/>
        </w:rPr>
      </w:pPr>
      <w:r w:rsidRPr="00C96FB2">
        <w:rPr>
          <w:rFonts w:ascii="Times New Roman" w:hAnsi="Times New Roman" w:cs="Times New Roman"/>
          <w:b/>
        </w:rPr>
        <w:t>K bodu 30</w:t>
      </w:r>
    </w:p>
    <w:p w:rsidR="00484608" w:rsidRPr="00C96FB2" w:rsidP="00484608">
      <w:pPr>
        <w:pStyle w:val="ListParagraph"/>
        <w:bidi w:val="0"/>
        <w:ind w:left="0" w:firstLine="708"/>
        <w:rPr>
          <w:rFonts w:ascii="Times New Roman" w:hAnsi="Times New Roman" w:cs="Times New Roman"/>
          <w:b/>
        </w:rPr>
      </w:pPr>
    </w:p>
    <w:p w:rsidR="00981F42" w:rsidP="00484608">
      <w:pPr>
        <w:pStyle w:val="ListParagraph"/>
        <w:bidi w:val="0"/>
        <w:ind w:left="0" w:firstLine="708"/>
        <w:rPr>
          <w:rFonts w:ascii="Times New Roman" w:hAnsi="Times New Roman" w:cs="Times New Roman"/>
        </w:rPr>
      </w:pPr>
      <w:r w:rsidRPr="00C96FB2">
        <w:rPr>
          <w:rFonts w:ascii="Times New Roman" w:hAnsi="Times New Roman" w:cs="Times New Roman"/>
        </w:rPr>
        <w:t xml:space="preserve">V zmysle zákona č. 416/2004 Z. z. o Úradnom vestníku Európskej únie sa všetky právne akty v ňom publikované stávajú priamo účinnými aj na území SR. V súvislosti s uverejnením Zmluvy o založení Európskeho spoločenstva pre atómovú energiu v Úradnom vestníku sa táto stala súčasťou právneho poriadku všetkých členských štátov EÚ a túto skutočnosť je potrebné reflektovať aj v atómovom zákone uverejnením úplného odkazu naň. </w:t>
      </w:r>
    </w:p>
    <w:p w:rsidR="00E3134A" w:rsidP="00484608">
      <w:pPr>
        <w:pStyle w:val="ListParagraph"/>
        <w:bidi w:val="0"/>
        <w:ind w:left="0" w:firstLine="708"/>
        <w:rPr>
          <w:rFonts w:ascii="Times New Roman" w:hAnsi="Times New Roman" w:cs="Times New Roman"/>
          <w:b/>
        </w:rPr>
      </w:pPr>
    </w:p>
    <w:p w:rsidR="00981F42" w:rsidRPr="00C96FB2" w:rsidP="00484608">
      <w:pPr>
        <w:pStyle w:val="ListParagraph"/>
        <w:bidi w:val="0"/>
        <w:ind w:left="0" w:firstLine="708"/>
        <w:rPr>
          <w:rFonts w:ascii="Times New Roman" w:hAnsi="Times New Roman" w:cs="Times New Roman"/>
          <w:b/>
        </w:rPr>
      </w:pPr>
      <w:r w:rsidRPr="00C96FB2">
        <w:rPr>
          <w:rFonts w:ascii="Times New Roman" w:hAnsi="Times New Roman" w:cs="Times New Roman"/>
          <w:b/>
        </w:rPr>
        <w:t>K bodu 31</w:t>
      </w:r>
    </w:p>
    <w:p w:rsidR="00981F42" w:rsidRPr="00C96FB2" w:rsidP="00484608">
      <w:pPr>
        <w:pStyle w:val="ListParagraph"/>
        <w:bidi w:val="0"/>
        <w:ind w:left="0" w:firstLine="708"/>
        <w:rPr>
          <w:rFonts w:ascii="Times New Roman" w:hAnsi="Times New Roman" w:cs="Times New Roman"/>
        </w:rPr>
      </w:pPr>
    </w:p>
    <w:p w:rsidR="00981F42" w:rsidRPr="00484608" w:rsidP="00484608">
      <w:pPr>
        <w:pStyle w:val="ListParagraph"/>
        <w:bidi w:val="0"/>
        <w:ind w:left="0" w:firstLine="708"/>
        <w:rPr>
          <w:rFonts w:ascii="Times New Roman" w:hAnsi="Times New Roman" w:cs="Times New Roman"/>
        </w:rPr>
      </w:pPr>
      <w:r w:rsidRPr="00484608">
        <w:rPr>
          <w:rFonts w:ascii="Times New Roman" w:hAnsi="Times New Roman" w:cs="Times New Roman"/>
        </w:rPr>
        <w:t xml:space="preserve">Nanovo sa definuje ustanovenie atómového zákona o vyraďovaní a s ním súvisiacich postupoch. Stanovujú sa podmienky vyňatia jadrového zariadenia z pôsobnosti atómového zákona, a to na neobmedzené využitie alebo obmedzené využitie. Ak úroveň rádioaktívnej kontaminácie jadrového zariadenia, spravidla sa jedná o územie alebo stavebné objekty, nebude prevyšovať úrovne na uvádzanie rádioaktívnych látok do životného prostredia v súlade s nariadením vlády SR č. 345/2006 Z. z. o základných bezpečnostných požiadavkách na ochranu zdravia pracovníkov a obyvateľov pred ionizujúcim žiarením, je možné vyňať jadrové zariadenie z pôsobnosti tohto zákona na neobmedzené využitie. Zákon však umožňuje vyňať jadrové zariadenie aj na obmedzené využitie. V tom prípade však musia byť splnené príslušné inštitucionálne opatrenia obsahujúce podmienky potenciálneho využitia objektov a územia, ktoré sú predmetom vyňatia. Pod inštitucionálnymi opatreniami sa myslí kontrola miesta bývalého výskytu rádioaktívneho odpadu dozorným orgánom. Takáto kontrola môže mať formu aktívnu alebo formu pasívnu. Aktívnou kontrolou je pozorovanie miesta, monitoring, pasívnou napríklad umožnenie používania miesta na obmedzené účely. Cieľom kontroly je zabezpečenie ochrany života ľudí a životného prostredia. Tieto opatrenia musia byť vymáhateľné a musí byť stanovený dozorný orgán zodpovedný za ich dodržiavanie. V podmienkach SR je v zmysle zákona č. 355/2007 Z. z. týmto orgánom Úrad verejného zdravotníctva SR. Rozsah obmedzeného využitia územia alebo objektov, vrátane určenia kritérií a podmienok ich využitia, sa určuje na základe bezpečnostných rozborov vplyvu potenciálneho využitia uvoľneného územia alebo objektov na životné a pracovné prostredie. V praxi sa môžu vyskytnúť prípady takéhoto využitia uvoľneného územia alebo objektov pre jadrové alebo iné priemyselné účely. Zákon taktiež umožňuje vyňať iba časť územia alebo časť objektovej sústavy „bývalého“ jadrového zariadenia z pôsobnosti tohto zákona. V prípade, ak ohraničená časť územia alebo časť objektovej sústavy dosiahne stav umožňujúci ich následné vyňatie z pôsobnosti zákona, je možné tieto vyňať aj v priebehu ľubovoľnej etapy vyraďovania, teda nemusí to byť nevyhnutne po ukončení záverečnej etapy vyraďovania celého jadrového zariadenia. Držiteľ povolenia má za povinnosť informovať dozorný orgán o všetkých činnostiach a s tým súvisiacich opatreniach týkajúcich sa vyraďovania. Návrh zákona ráta s  možnosťou, že pôvodný držiteľ povolenia na prevádzku sa stane držiteľom povolenia na etapu vyraďovania alebo, čo bude z ekonomických dôvodov častejšie, vyraďovanie bude realizovať iný nezávislý subjekt od pôvodného držiteľa povolenia na prevádzku. Pri vyraďovaní je nevyhnutné disponovať údajmi, ktoré sa získali a uchovali už počas prevádzky, a preto sa ukladajú povinnosti už držiteľovi povolenia na prevádzku, aby vytvoril a udržal personálny a informačný základ pre vyraďovanie už počas prevádzky, aby on sám alebo iná osoba na tomto základe mohla pokračovať plynulo vo vyraďovaní. </w:t>
      </w:r>
    </w:p>
    <w:p w:rsidR="00C92A1F" w:rsidRPr="00C96FB2" w:rsidP="00484608">
      <w:pPr>
        <w:pStyle w:val="ListParagraph"/>
        <w:bidi w:val="0"/>
        <w:ind w:left="0" w:firstLine="708"/>
        <w:rPr>
          <w:rFonts w:ascii="Times New Roman" w:hAnsi="Times New Roman" w:cs="Times New Roman"/>
        </w:rPr>
      </w:pPr>
    </w:p>
    <w:p w:rsidR="00981F42" w:rsidP="00484608">
      <w:pPr>
        <w:pStyle w:val="ListParagraph"/>
        <w:bidi w:val="0"/>
        <w:ind w:left="0" w:firstLine="708"/>
        <w:rPr>
          <w:rFonts w:ascii="Times New Roman" w:hAnsi="Times New Roman" w:cs="Times New Roman"/>
          <w:b/>
        </w:rPr>
      </w:pPr>
      <w:r w:rsidRPr="00C96FB2">
        <w:rPr>
          <w:rFonts w:ascii="Times New Roman" w:hAnsi="Times New Roman" w:cs="Times New Roman"/>
          <w:b/>
        </w:rPr>
        <w:t>K bodu 33</w:t>
      </w:r>
    </w:p>
    <w:p w:rsidR="00484608" w:rsidRPr="00C96FB2" w:rsidP="00484608">
      <w:pPr>
        <w:pStyle w:val="ListParagraph"/>
        <w:bidi w:val="0"/>
        <w:ind w:left="0" w:firstLine="708"/>
        <w:rPr>
          <w:rFonts w:ascii="Times New Roman" w:hAnsi="Times New Roman" w:cs="Times New Roman"/>
          <w:b/>
        </w:rPr>
      </w:pPr>
    </w:p>
    <w:p w:rsidR="00981F42" w:rsidRPr="00C96FB2" w:rsidP="00981F42">
      <w:pPr>
        <w:bidi w:val="0"/>
        <w:ind w:firstLine="708"/>
        <w:rPr>
          <w:rFonts w:ascii="Times New Roman" w:hAnsi="Times New Roman" w:cs="Times New Roman"/>
        </w:rPr>
      </w:pPr>
      <w:r w:rsidRPr="00C96FB2">
        <w:rPr>
          <w:rFonts w:ascii="Times New Roman" w:hAnsi="Times New Roman" w:cs="Times New Roman"/>
        </w:rPr>
        <w:t xml:space="preserve">Novela upravuje ustanovenie o jadrovej bezpečnosti, jedno z ťažiskových ustanovení atómového zákona. Celé ustanovenie § 23 predstavuje základné povinnosti držiteľa povolenia v záujme toho, aby pri všetkých činnostiach jadrová bezpečnosť mala prioritu pred všetkými ostatnými aspektmi vykonávaných činností. Ustanovenie zakotvuje zodpovednosť za dodržiavanie jadrovej bezpečnosti všeobecne pre každého držiteľa povolenia, to znamená, že každý kto sa zúčastňuje na činnostiach vyžadujúcich príslušné povolenie podľa tohto zákona, je zároveň zodpovedný za uplatňovanie a dodržiavanie požiadaviek na jadrovú bezpečnosť v rozsahu celej svojej činnosti a v celom rozsahu povolenia alebo súhlasu. Pochopiteľne obsah a rozsah týchto zodpovedností je závislý od rozsahu povolenia a typu jadrového zariadenia, preto sú tieto povinnosti odstupňované. Túto zodpovednosť nie je možné delegovať na iný subjekt žiadnym právnym aktom. Návrh zákona tiež zavádza nový pojem - kultúra bezpečnosti, ktorý je už dlhšie zaužívaným pojmom na pôde MAAE, operuje s ním aj vyššie spomenutá transponovaná smernica, zatiaľ čo v doteraz účinnom atómovom zákone absentoval. </w:t>
      </w:r>
    </w:p>
    <w:p w:rsidR="00981F42" w:rsidRPr="00C96FB2" w:rsidP="00981F42">
      <w:pPr>
        <w:autoSpaceDE w:val="0"/>
        <w:autoSpaceDN w:val="0"/>
        <w:bidi w:val="0"/>
        <w:adjustRightInd w:val="0"/>
        <w:ind w:firstLine="708"/>
        <w:rPr>
          <w:rFonts w:ascii="Times New Roman" w:hAnsi="Times New Roman" w:cs="Times New Roman"/>
        </w:rPr>
      </w:pPr>
      <w:r w:rsidRPr="00C96FB2">
        <w:rPr>
          <w:rFonts w:ascii="Times New Roman" w:hAnsi="Times New Roman" w:cs="Times New Roman"/>
        </w:rPr>
        <w:t>Nakoľko smernica v čl. 6 ods. 5 ustanovuje, že členské štáty zabezpečia, aby sa v uplatňovanom vnútroštátnom rámci vyžadovalo, aby držitelia licencie zabezpečili náležité finančné zdroje a ľudské zdroje na plnenie svojich povinností v súvislosti s jadrovou bezpečnosťou jadrového zariadenia, držiteľ povolenia je povinný zabezpečiť tieto zdroje, a to predovšetkým finančné, dostatočnosť ktorých preukazuje inšpektorom ÚJD SR, ktorý od držiteľa povolenia v rámci inšpekčnej činnosti môžu požadovať aj dôkazy o plnení týchto povinností. Z hľadiska ústavnosti nie je možné túto povinnosť splniť inak, ako ustanovením takejto povinnosti v zákone ako zákonnú povinnosť pre držiteľa povolenia. Samotný text smernice používa pojmy so značnou dávkou nepresnosti, ale je to dané tým, že "náležité" finančné a ľudské zdroje sú variabilné v závislosti od stupňa vývoja v danom štáte, úrovne jadrového priemyslu, výskumu a rozsahu jadrových aktivít. V právnej teórii aj praxi je relatívne bežné používanie vágnejších, neurčitejších pojmov (napr. dobré mravy, obchodné zvyklosti), čo môže evokovať aj slovné spojenie náležitosť zdrojov. Takéto pojmy sa však ustália praxou a v prípade preukazovania zdrojov bude ÚJD SR hodnotiť, či stav  jadrovej bezpečnosti je v súlade s transponovanou smernicou 2009/71/Euratom a požiadavkami Komisie.</w:t>
      </w:r>
    </w:p>
    <w:p w:rsidR="00981F42" w:rsidRPr="00C96FB2" w:rsidP="00981F42">
      <w:pPr>
        <w:autoSpaceDE w:val="0"/>
        <w:autoSpaceDN w:val="0"/>
        <w:bidi w:val="0"/>
        <w:adjustRightInd w:val="0"/>
        <w:ind w:firstLine="708"/>
        <w:rPr>
          <w:rFonts w:ascii="Times New Roman" w:hAnsi="Times New Roman" w:cs="Times New Roman"/>
        </w:rPr>
      </w:pPr>
      <w:r w:rsidRPr="00C96FB2">
        <w:rPr>
          <w:rFonts w:ascii="Times New Roman" w:hAnsi="Times New Roman" w:cs="Times New Roman"/>
        </w:rPr>
        <w:t xml:space="preserve">Vzhľadom na to, že pri dozorovaní jadrovej bezpečnosti ide o dozorovanie mnohých faktorov, aspektov a prvkov bezpečnosti, či už jednotlivo alebo vo vzájomných vzťahoch, ktoré sa ovplyvňujú ako je stručne možné povedať „technika - ľudia – organizácia“ a to všetko vo vzájomných súvislostiach. Z tohto dôvodu je nevyhnutné mať prehľad o všetkých vynaložených prostriedkoch, pri ktorých nie je ani tak nutné poznať konkrétne nominálne hodnoty, ako skôr pomery ku všetkým nákladom a trendy vynaložených nákladov na viaceré prvky bezpečnosti za dlhšie obdobie. Na základe takýchto údajov vo vzťahu k celkovej kultúre bezpečnosti možno vydedukovať vzťah držiteľa povolenia ku kultúre bezpečnosti a prístup k požiadavke na priorizáciu bezpečnostných aspektov pred všetkými ostatnými aspektmi svojej činnosti.    </w:t>
      </w:r>
    </w:p>
    <w:p w:rsidR="00981F42" w:rsidRPr="00C96FB2" w:rsidP="00981F42">
      <w:pPr>
        <w:pStyle w:val="BodyText2"/>
        <w:bidi w:val="0"/>
        <w:spacing w:line="276" w:lineRule="auto"/>
        <w:ind w:firstLine="708"/>
        <w:jc w:val="both"/>
        <w:rPr>
          <w:rFonts w:ascii="Times New Roman" w:hAnsi="Times New Roman"/>
        </w:rPr>
      </w:pPr>
      <w:r w:rsidRPr="00C96FB2">
        <w:rPr>
          <w:rFonts w:ascii="Times New Roman" w:hAnsi="Times New Roman"/>
        </w:rPr>
        <w:t xml:space="preserve">Osobitne sa dôraz kladie na povinnosť celkovej pripravenosti držiteľa povolenia na danú činnosť, povinnosť zaoberať sa komplexným a systematickým hodnotením stavu jadrovej bezpečnosti počas celej doby vykonávania svojej činnosti, povinnosť prevádzkovateľa vydať a aktuálne dopĺňať príslušnú prevádzkovú dokumentáciu, postup prevádzkovateľa pri uskutočňovaní zmien na jadrovom zariadení. V prípade realizácie zmien na jadrovom zariadení musí držiteľ povolenia vykonať svojimi zamestnancami alebo externými osobami analýzu, či realizovaná zmena nebude mať negatívny vplyv na jadrovú bezpečnosť. Počet zmien má byť minimálny. Stanovuje sa povinnosť vyhodnocovať v pravidelných intervaloch jadrovú bezpečnosť. Konkrétne požiadavky na jadrovú bezpečnosť jadrových zariadení v jednotlivých etapách ich existencie sú stanovené vykonávacím predpisom. Týmto ustanovením sa transponuje čl. 1, čl. 3 ods. 2 , čl. 3 ods. 5, čl. 4 ods. 1, čl. 4 ods. 2, čl. 5 ods. 3, čl. 6 ods.1, čl. 6 ods. 2 a čl. 6 ods. 5 smernice 2009/71/Euratom. Navrhované ustanovenie vo viacerých bodoch implementuje aj referenčné úrovne WENRA, ktoré vzhľadom na ústavnosť ukladania povinností, musia byť predmetom zákonnej úpravy a nepostačí len úprava vo vyhláškach ÚJD SR. </w:t>
      </w:r>
    </w:p>
    <w:p w:rsidR="00981F42" w:rsidRPr="00C96FB2" w:rsidP="00484608">
      <w:pPr>
        <w:pStyle w:val="ListParagraph"/>
        <w:bidi w:val="0"/>
        <w:ind w:left="0" w:firstLine="708"/>
        <w:rPr>
          <w:rFonts w:ascii="Times New Roman" w:hAnsi="Times New Roman" w:cs="Times New Roman"/>
          <w:b/>
        </w:rPr>
      </w:pPr>
    </w:p>
    <w:p w:rsidR="00981F42" w:rsidRPr="00C96FB2" w:rsidP="00484608">
      <w:pPr>
        <w:pStyle w:val="ListParagraph"/>
        <w:bidi w:val="0"/>
        <w:ind w:left="0" w:firstLine="708"/>
        <w:rPr>
          <w:rFonts w:ascii="Times New Roman" w:hAnsi="Times New Roman" w:cs="Times New Roman"/>
          <w:b/>
        </w:rPr>
      </w:pPr>
      <w:r w:rsidRPr="00C96FB2">
        <w:rPr>
          <w:rFonts w:ascii="Times New Roman" w:hAnsi="Times New Roman" w:cs="Times New Roman"/>
          <w:b/>
        </w:rPr>
        <w:t>K bodu 34</w:t>
      </w:r>
    </w:p>
    <w:p w:rsidR="00981F42" w:rsidRPr="00C96FB2" w:rsidP="00484608">
      <w:pPr>
        <w:pStyle w:val="ListParagraph"/>
        <w:bidi w:val="0"/>
        <w:ind w:left="0" w:firstLine="708"/>
        <w:rPr>
          <w:rFonts w:ascii="Times New Roman" w:hAnsi="Times New Roman"/>
          <w:b/>
        </w:rPr>
      </w:pPr>
    </w:p>
    <w:p w:rsidR="00981F42" w:rsidRPr="00484608" w:rsidP="00484608">
      <w:pPr>
        <w:pStyle w:val="BodyText2"/>
        <w:bidi w:val="0"/>
        <w:spacing w:line="276" w:lineRule="auto"/>
        <w:ind w:firstLine="708"/>
        <w:jc w:val="both"/>
        <w:rPr>
          <w:rFonts w:ascii="Times New Roman" w:hAnsi="Times New Roman"/>
        </w:rPr>
      </w:pPr>
      <w:r w:rsidRPr="00484608">
        <w:rPr>
          <w:rFonts w:ascii="Times New Roman" w:hAnsi="Times New Roman"/>
        </w:rPr>
        <w:t>V oblasti využívania jadrovej energie je úlohou štátu vyžadovať zabezpečovanie kvality vo všetkých činnostiach ako základný predpoklad zníženia potenciálneho rizika na akceptovateľnú úroveň.</w:t>
      </w:r>
    </w:p>
    <w:p w:rsidR="00981F42" w:rsidRPr="00484608" w:rsidP="00484608">
      <w:pPr>
        <w:pStyle w:val="BodyText2"/>
        <w:bidi w:val="0"/>
        <w:spacing w:line="276" w:lineRule="auto"/>
        <w:ind w:firstLine="708"/>
        <w:jc w:val="both"/>
        <w:rPr>
          <w:rFonts w:ascii="Times New Roman" w:hAnsi="Times New Roman"/>
        </w:rPr>
      </w:pPr>
      <w:r w:rsidRPr="00484608">
        <w:rPr>
          <w:rFonts w:ascii="Times New Roman" w:hAnsi="Times New Roman"/>
        </w:rPr>
        <w:tab/>
        <w:t>Vzhľadom na priamy vzťah medzi jadrovou bezpečnosťou a kvalitou musí byť za dosiahnutie určenej kvality zodpovedný žiadateľ o udelenie povolenia, ako aj držiteľ povolenia, ktorý má celkovú zodpovednosť za jadrovú bezpečnosť. Na to si držiteľ povolenia musí vytvoriť systém manažérstva kvality, zameraný tiež na overovanie zabezpečovania kvality subjektov dodávateľských služieb, zameranie overovania personálneho a technického vybavenia dodávateľa, ako aj organizačné zabezpečovanie kvality jeho dodávok. Zásady systému manažérstva kvality sú v súlade s medzinárodnou praxou a rešpektujú záväzky SR vyplývajúce z článku 13 Dohovoru o jadrovej bezpečnosti sú vytvárané podľa odporúčaní vydávaných Medzinárodnou agentúrou pre atómovú energiu a technických noriem (STN ISO radu 9000). Aj keď odporúčania nie sú právne záväzné, plnenie v nich uvedených požiadaviek je zárukou dodržania vysokého štandardu kvality zariadení používaných v jadrovej energetike. Pre ľahšiu aplikáciu požiadaviek jadrovej bezpečnosti obdobné odporúčania vydávajú aj dozorné orgány krajín s vyspelou jadrovou energetikou a vo forme bezpečnostných návodov taktiež ÚJD SR.</w:t>
      </w:r>
    </w:p>
    <w:p w:rsidR="00981F42" w:rsidRPr="00C96FB2" w:rsidP="00484608">
      <w:pPr>
        <w:pStyle w:val="BodyText2"/>
        <w:bidi w:val="0"/>
        <w:spacing w:line="276" w:lineRule="auto"/>
        <w:ind w:firstLine="708"/>
        <w:jc w:val="both"/>
        <w:rPr>
          <w:rFonts w:ascii="Times New Roman" w:hAnsi="Times New Roman"/>
        </w:rPr>
      </w:pPr>
      <w:r w:rsidRPr="00C96FB2">
        <w:rPr>
          <w:rFonts w:ascii="Times New Roman" w:hAnsi="Times New Roman"/>
        </w:rPr>
        <w:tab/>
        <w:t>V oblasti zabezpečovania kvality ÚJD SR vykonáva štátnu správu pri schvaľovaní systémov manažérstva kvality a požiadaviek na kvalitu a dozor pri ich kontrole u držiteľa povolenia.</w:t>
      </w:r>
    </w:p>
    <w:p w:rsidR="00981F42" w:rsidP="00484608">
      <w:pPr>
        <w:pStyle w:val="BodyText2"/>
        <w:bidi w:val="0"/>
        <w:spacing w:line="276" w:lineRule="auto"/>
        <w:ind w:firstLine="708"/>
        <w:jc w:val="both"/>
        <w:rPr>
          <w:rFonts w:ascii="Times New Roman" w:hAnsi="Times New Roman"/>
        </w:rPr>
      </w:pPr>
      <w:r w:rsidRPr="00C96FB2">
        <w:rPr>
          <w:rFonts w:ascii="Times New Roman" w:hAnsi="Times New Roman"/>
        </w:rPr>
        <w:t>Týmto ustanovením sa transponuje čl. 6 ods. 4 smernice 2009/71/Euratom.</w:t>
      </w:r>
    </w:p>
    <w:p w:rsidR="00C92A1F" w:rsidRPr="00C96FB2" w:rsidP="00484608">
      <w:pPr>
        <w:pStyle w:val="ListParagraph"/>
        <w:bidi w:val="0"/>
        <w:ind w:left="0" w:firstLine="708"/>
        <w:rPr>
          <w:rFonts w:ascii="Times New Roman" w:hAnsi="Times New Roman" w:cs="Times New Roman"/>
        </w:rPr>
      </w:pPr>
    </w:p>
    <w:p w:rsidR="00981F42" w:rsidP="00484608">
      <w:pPr>
        <w:pStyle w:val="ListParagraph"/>
        <w:bidi w:val="0"/>
        <w:ind w:left="0" w:firstLine="708"/>
        <w:rPr>
          <w:rFonts w:ascii="Times New Roman" w:hAnsi="Times New Roman" w:cs="Times New Roman"/>
          <w:b/>
        </w:rPr>
      </w:pPr>
      <w:r w:rsidRPr="00C96FB2">
        <w:rPr>
          <w:rFonts w:ascii="Times New Roman" w:hAnsi="Times New Roman" w:cs="Times New Roman"/>
          <w:b/>
        </w:rPr>
        <w:t>K bodu 35</w:t>
      </w:r>
    </w:p>
    <w:p w:rsidR="00484608" w:rsidRPr="00484608" w:rsidP="00484608">
      <w:pPr>
        <w:pStyle w:val="ListParagraph"/>
        <w:bidi w:val="0"/>
        <w:ind w:left="0" w:firstLine="708"/>
        <w:rPr>
          <w:rFonts w:ascii="Times New Roman" w:hAnsi="Times New Roman"/>
          <w:b/>
        </w:rPr>
      </w:pPr>
    </w:p>
    <w:p w:rsidR="00981F42" w:rsidRPr="00C96FB2" w:rsidP="00484608">
      <w:pPr>
        <w:pStyle w:val="BodyText2"/>
        <w:bidi w:val="0"/>
        <w:spacing w:line="276" w:lineRule="auto"/>
        <w:ind w:firstLine="708"/>
        <w:jc w:val="both"/>
        <w:rPr>
          <w:rFonts w:ascii="Times New Roman" w:hAnsi="Times New Roman"/>
        </w:rPr>
      </w:pPr>
      <w:r w:rsidRPr="00C96FB2">
        <w:rPr>
          <w:rFonts w:ascii="Times New Roman" w:hAnsi="Times New Roman"/>
        </w:rPr>
        <w:t>V prípade, že vznikne prevádzková udalosť na niektorom jadrovom zariadení, držiteľ povolenia má povinnosť ju s vynaložením všetkého úsilia odstrániť v čo najkratšom čase. Keď k nej dôjde, jeho činnosti po jej odstránení smerujú k tomu, aby  zabezpečil jadrové zariadenie tak, aby k takejto prevádzkovej udalosti už viac nedošlo a prijať opatrenia proti jej opakovaniu. Týmto ustanovením sa realizuje povinnosť spätnej väzby z prevádzkových udalostí. Obdobne to platí aj na udalosť pri preprave rádioaktívnych materiálov.</w:t>
      </w:r>
    </w:p>
    <w:p w:rsidR="00981F42" w:rsidRPr="00C96FB2" w:rsidP="009D4ACC">
      <w:pPr>
        <w:pStyle w:val="ListParagraph"/>
        <w:bidi w:val="0"/>
        <w:ind w:left="0" w:firstLine="708"/>
        <w:rPr>
          <w:rFonts w:ascii="Times New Roman" w:hAnsi="Times New Roman" w:cs="Times New Roman"/>
        </w:rPr>
      </w:pPr>
    </w:p>
    <w:p w:rsidR="00981F42" w:rsidP="009D4ACC">
      <w:pPr>
        <w:pStyle w:val="ListParagraph"/>
        <w:bidi w:val="0"/>
        <w:ind w:left="0" w:firstLine="708"/>
        <w:rPr>
          <w:rFonts w:ascii="Times New Roman" w:hAnsi="Times New Roman" w:cs="Times New Roman"/>
          <w:b/>
        </w:rPr>
      </w:pPr>
      <w:r w:rsidRPr="00C96FB2">
        <w:rPr>
          <w:rFonts w:ascii="Times New Roman" w:hAnsi="Times New Roman" w:cs="Times New Roman"/>
          <w:b/>
        </w:rPr>
        <w:t>K bodu 36</w:t>
      </w:r>
    </w:p>
    <w:p w:rsidR="009D4ACC" w:rsidRPr="00C96FB2" w:rsidP="009D4ACC">
      <w:pPr>
        <w:pStyle w:val="ListParagraph"/>
        <w:bidi w:val="0"/>
        <w:ind w:left="0" w:firstLine="708"/>
        <w:rPr>
          <w:rFonts w:ascii="Times New Roman" w:hAnsi="Times New Roman" w:cs="Times New Roman"/>
          <w:b/>
        </w:rPr>
      </w:pPr>
    </w:p>
    <w:p w:rsidR="00981F42" w:rsidP="009D4ACC">
      <w:pPr>
        <w:pStyle w:val="BodyText2"/>
        <w:bidi w:val="0"/>
        <w:spacing w:line="276" w:lineRule="auto"/>
        <w:ind w:firstLine="708"/>
        <w:jc w:val="both"/>
        <w:rPr>
          <w:rFonts w:ascii="Times New Roman" w:hAnsi="Times New Roman"/>
        </w:rPr>
      </w:pPr>
      <w:r w:rsidRPr="00C96FB2">
        <w:rPr>
          <w:rFonts w:ascii="Times New Roman" w:hAnsi="Times New Roman"/>
        </w:rPr>
        <w:tab/>
        <w:t xml:space="preserve">Novelou sa vkladá nové ustanovenie, ktoré určuje, čo všetko musí byť obsahom havarijných plánov. Havarijné plány musia zohľadniť všetky možné nehody a havárie, ku ktorým môže dôjsť pri využívaní jadrovej energie, ako aj možné spôsoby ich zdolávania. Súčasťou havarijných plánov je aj určenie osôb, ktoré sú zodpovedné za rozhodovanie v prípade vzniku jadrovej udalosti a osôb, ktoré sa na ňom zúčastnia. Ide o implementovanie referenčnej úrovne WENRA v oblasti havarijnej pripravenosti. Právnickými osobami alebo orgánmi zodpovednými pri prekonávaní alebo zmierňovaní následkov nehôd alebo havárii sú napr. orgány požiarnej ochrany, civilná ochrana atď. </w:t>
      </w:r>
    </w:p>
    <w:p w:rsidR="009D4ACC" w:rsidRPr="00C96FB2" w:rsidP="009D4ACC">
      <w:pPr>
        <w:pStyle w:val="ListParagraph"/>
        <w:bidi w:val="0"/>
        <w:ind w:left="0" w:firstLine="708"/>
        <w:rPr>
          <w:rFonts w:ascii="Times New Roman" w:hAnsi="Times New Roman" w:cs="Times New Roman"/>
        </w:rPr>
      </w:pPr>
    </w:p>
    <w:p w:rsidR="00981F42" w:rsidP="009D4ACC">
      <w:pPr>
        <w:pStyle w:val="ListParagraph"/>
        <w:bidi w:val="0"/>
        <w:ind w:left="0" w:firstLine="708"/>
        <w:rPr>
          <w:rFonts w:ascii="Times New Roman" w:hAnsi="Times New Roman" w:cs="Times New Roman"/>
          <w:b/>
        </w:rPr>
      </w:pPr>
      <w:r w:rsidRPr="00C96FB2">
        <w:rPr>
          <w:rFonts w:ascii="Times New Roman" w:hAnsi="Times New Roman" w:cs="Times New Roman"/>
          <w:b/>
        </w:rPr>
        <w:t xml:space="preserve">K bodom 37 a 38 </w:t>
      </w:r>
    </w:p>
    <w:p w:rsidR="009D4ACC" w:rsidRPr="00C96FB2" w:rsidP="009D4ACC">
      <w:pPr>
        <w:pStyle w:val="ListParagraph"/>
        <w:bidi w:val="0"/>
        <w:ind w:left="0" w:firstLine="708"/>
        <w:rPr>
          <w:rFonts w:ascii="Times New Roman" w:hAnsi="Times New Roman" w:cs="Times New Roman"/>
          <w:b/>
        </w:rPr>
      </w:pPr>
    </w:p>
    <w:p w:rsidR="00981F42" w:rsidP="009D4ACC">
      <w:pPr>
        <w:pStyle w:val="BodyText2"/>
        <w:bidi w:val="0"/>
        <w:spacing w:line="276" w:lineRule="auto"/>
        <w:ind w:firstLine="708"/>
        <w:jc w:val="both"/>
        <w:rPr>
          <w:rFonts w:ascii="Times New Roman" w:hAnsi="Times New Roman"/>
        </w:rPr>
      </w:pPr>
      <w:r w:rsidRPr="00C96FB2">
        <w:rPr>
          <w:rFonts w:ascii="Times New Roman" w:hAnsi="Times New Roman"/>
        </w:rPr>
        <w:t>Z dôvodu vloženia nového odseku do § 28 dochádza k prečíslovaniu ostatných ustanovení v § 28. Túto zmenu je treba reflektovať aj v iných častiach zákona, aby boli vnútorné odkazy v zákone presné. Ide o legislatívno – technickú zmenu.</w:t>
      </w:r>
    </w:p>
    <w:p w:rsidR="009D4ACC" w:rsidP="009D4ACC">
      <w:pPr>
        <w:pStyle w:val="ListParagraph"/>
        <w:bidi w:val="0"/>
        <w:ind w:left="0" w:firstLine="708"/>
        <w:rPr>
          <w:rFonts w:ascii="Times New Roman" w:hAnsi="Times New Roman" w:cs="Times New Roman"/>
        </w:rPr>
      </w:pPr>
    </w:p>
    <w:p w:rsidR="00E3134A" w:rsidP="009D4ACC">
      <w:pPr>
        <w:pStyle w:val="ListParagraph"/>
        <w:bidi w:val="0"/>
        <w:ind w:left="0" w:firstLine="708"/>
        <w:rPr>
          <w:rFonts w:ascii="Times New Roman" w:hAnsi="Times New Roman" w:cs="Times New Roman"/>
        </w:rPr>
      </w:pPr>
    </w:p>
    <w:p w:rsidR="00E3134A" w:rsidRPr="00C96FB2" w:rsidP="009D4ACC">
      <w:pPr>
        <w:pStyle w:val="ListParagraph"/>
        <w:bidi w:val="0"/>
        <w:ind w:left="0" w:firstLine="708"/>
        <w:rPr>
          <w:rFonts w:ascii="Times New Roman" w:hAnsi="Times New Roman" w:cs="Times New Roman"/>
        </w:rPr>
      </w:pPr>
    </w:p>
    <w:p w:rsidR="00981F42" w:rsidP="009D4ACC">
      <w:pPr>
        <w:pStyle w:val="ListParagraph"/>
        <w:bidi w:val="0"/>
        <w:ind w:left="0" w:firstLine="708"/>
        <w:rPr>
          <w:rFonts w:ascii="Times New Roman" w:hAnsi="Times New Roman" w:cs="Times New Roman"/>
          <w:b/>
        </w:rPr>
      </w:pPr>
      <w:r w:rsidRPr="00C96FB2">
        <w:rPr>
          <w:rFonts w:ascii="Times New Roman" w:hAnsi="Times New Roman" w:cs="Times New Roman"/>
          <w:b/>
        </w:rPr>
        <w:t>K bodu 39</w:t>
      </w:r>
    </w:p>
    <w:p w:rsidR="009D4ACC" w:rsidRPr="00C96FB2" w:rsidP="009D4ACC">
      <w:pPr>
        <w:pStyle w:val="ListParagraph"/>
        <w:bidi w:val="0"/>
        <w:ind w:left="0" w:firstLine="708"/>
        <w:rPr>
          <w:rFonts w:ascii="Times New Roman" w:hAnsi="Times New Roman" w:cs="Times New Roman"/>
          <w:b/>
        </w:rPr>
      </w:pPr>
    </w:p>
    <w:p w:rsidR="00981F42" w:rsidP="009D4ACC">
      <w:pPr>
        <w:pStyle w:val="BodyText2"/>
        <w:bidi w:val="0"/>
        <w:spacing w:line="276" w:lineRule="auto"/>
        <w:ind w:firstLine="708"/>
        <w:jc w:val="both"/>
        <w:rPr>
          <w:rFonts w:ascii="Times New Roman" w:hAnsi="Times New Roman"/>
        </w:rPr>
      </w:pPr>
      <w:r w:rsidRPr="00C96FB2">
        <w:rPr>
          <w:rFonts w:ascii="Times New Roman" w:hAnsi="Times New Roman"/>
        </w:rPr>
        <w:t>V záujme väčšej prehľadnosti schvaľovania jednotlivých havarijných plánov sa jednotlivé orgány, ktoré ich schvaľujú vkladajú do jedného ustanovenia, ktoré sa tým novelizuje. K zmenám na strane schvaľujúcich orgánov sa nepristupuje. Čo sa týka havarijných dopravných poriadkov, žiadateľ o povolenie je povinný predložiť ho na posúdenie aj Ministerstvu vnútra SR. Tým, že sa Ministerstvu vnútra SR zavedie možnosť vyjadriť sa, vytvorí sa predpoklad, že v oblastiach, ktoré majú v pôsobnosti, budú premietnuté všetky nevyhnutné požiadavky na prepravu, súvisiace s preventívnymi bezpečnostnými požiadavkami, ako aj požiadavkami na reakciu na prípadný vznik mimoriadnej udalosti pri preprave. Preprava rádioaktívnych materiálov prebieha v režime utajenia podľa zákona č. 215/2004 Z. z. v znení neskorších predpisov. Osobitne je vyzdvihnutá záväznosť týmito havarijnými plánmi ako aj oblasť</w:t>
      </w:r>
      <w:r w:rsidR="009D4ACC">
        <w:rPr>
          <w:rFonts w:ascii="Times New Roman" w:hAnsi="Times New Roman"/>
        </w:rPr>
        <w:t>ami ohrozenia pre všetky osoby.</w:t>
      </w:r>
    </w:p>
    <w:p w:rsidR="009D4ACC" w:rsidP="009D4ACC">
      <w:pPr>
        <w:pStyle w:val="ListParagraph"/>
        <w:bidi w:val="0"/>
        <w:ind w:left="0" w:firstLine="708"/>
        <w:rPr>
          <w:rFonts w:ascii="Times New Roman" w:hAnsi="Times New Roman" w:cs="Times New Roman"/>
        </w:rPr>
      </w:pPr>
    </w:p>
    <w:p w:rsidR="00C92A1F" w:rsidP="009D4ACC">
      <w:pPr>
        <w:pStyle w:val="ListParagraph"/>
        <w:bidi w:val="0"/>
        <w:ind w:left="0" w:firstLine="708"/>
        <w:rPr>
          <w:rFonts w:ascii="Times New Roman" w:hAnsi="Times New Roman" w:cs="Times New Roman"/>
        </w:rPr>
      </w:pPr>
    </w:p>
    <w:p w:rsidR="00981F42" w:rsidP="009D4ACC">
      <w:pPr>
        <w:pStyle w:val="ListParagraph"/>
        <w:bidi w:val="0"/>
        <w:ind w:left="0" w:firstLine="708"/>
        <w:rPr>
          <w:rFonts w:ascii="Times New Roman" w:hAnsi="Times New Roman" w:cs="Times New Roman"/>
          <w:b/>
        </w:rPr>
      </w:pPr>
      <w:r w:rsidRPr="00C96FB2">
        <w:rPr>
          <w:rFonts w:ascii="Times New Roman" w:hAnsi="Times New Roman" w:cs="Times New Roman"/>
          <w:b/>
        </w:rPr>
        <w:t>K bodu 40</w:t>
      </w:r>
    </w:p>
    <w:p w:rsidR="009D4ACC" w:rsidRPr="00C96FB2" w:rsidP="009D4ACC">
      <w:pPr>
        <w:pStyle w:val="ListParagraph"/>
        <w:bidi w:val="0"/>
        <w:ind w:left="0" w:firstLine="708"/>
        <w:rPr>
          <w:rFonts w:ascii="Times New Roman" w:hAnsi="Times New Roman" w:cs="Times New Roman"/>
          <w:b/>
        </w:rPr>
      </w:pPr>
    </w:p>
    <w:p w:rsidR="00981F42" w:rsidP="009D4ACC">
      <w:pPr>
        <w:pStyle w:val="BodyText2"/>
        <w:bidi w:val="0"/>
        <w:spacing w:line="276" w:lineRule="auto"/>
        <w:ind w:firstLine="708"/>
        <w:jc w:val="both"/>
        <w:rPr>
          <w:rFonts w:ascii="Times New Roman" w:hAnsi="Times New Roman"/>
        </w:rPr>
      </w:pPr>
      <w:r w:rsidRPr="00C96FB2">
        <w:rPr>
          <w:rFonts w:ascii="Times New Roman" w:hAnsi="Times New Roman"/>
        </w:rPr>
        <w:t>Ustanovením sa dopĺňa rozsah okruhov inšpekcie inšpektormi jadrovej bezpečnosti. Inšpektori nadobudnú oprávnenie vyžadovať okrem iného aj preukázanie splnenia povinnosti dostatočných finančných a ľudských zdrojov vynaložených zo strany držiteľa povolenia. Toto ustanovenie dopĺňa povinnosť z § 23.</w:t>
      </w:r>
    </w:p>
    <w:p w:rsidR="009D4ACC" w:rsidRPr="00C96FB2" w:rsidP="009D4ACC">
      <w:pPr>
        <w:pStyle w:val="ListParagraph"/>
        <w:bidi w:val="0"/>
        <w:ind w:left="0" w:firstLine="708"/>
        <w:rPr>
          <w:rFonts w:ascii="Times New Roman" w:hAnsi="Times New Roman" w:cs="Times New Roman"/>
        </w:rPr>
      </w:pPr>
    </w:p>
    <w:p w:rsidR="00981F42" w:rsidP="009D4ACC">
      <w:pPr>
        <w:pStyle w:val="ListParagraph"/>
        <w:bidi w:val="0"/>
        <w:ind w:left="0" w:firstLine="708"/>
        <w:rPr>
          <w:rFonts w:ascii="Times New Roman" w:hAnsi="Times New Roman" w:cs="Times New Roman"/>
          <w:b/>
        </w:rPr>
      </w:pPr>
      <w:r w:rsidRPr="00C96FB2">
        <w:rPr>
          <w:rFonts w:ascii="Times New Roman" w:hAnsi="Times New Roman" w:cs="Times New Roman"/>
          <w:b/>
        </w:rPr>
        <w:t>K bodu 41</w:t>
      </w:r>
    </w:p>
    <w:p w:rsidR="009D4ACC" w:rsidRPr="00C96FB2" w:rsidP="009D4ACC">
      <w:pPr>
        <w:pStyle w:val="ListParagraph"/>
        <w:bidi w:val="0"/>
        <w:ind w:left="0" w:firstLine="708"/>
        <w:rPr>
          <w:rFonts w:ascii="Times New Roman" w:hAnsi="Times New Roman" w:cs="Times New Roman"/>
          <w:b/>
        </w:rPr>
      </w:pPr>
    </w:p>
    <w:p w:rsidR="00981F42" w:rsidP="009D4ACC">
      <w:pPr>
        <w:pStyle w:val="BodyText2"/>
        <w:bidi w:val="0"/>
        <w:spacing w:line="276" w:lineRule="auto"/>
        <w:ind w:firstLine="708"/>
        <w:jc w:val="both"/>
        <w:rPr>
          <w:rFonts w:ascii="Times New Roman" w:hAnsi="Times New Roman"/>
        </w:rPr>
      </w:pPr>
      <w:r w:rsidRPr="00C96FB2">
        <w:rPr>
          <w:rFonts w:ascii="Times New Roman" w:hAnsi="Times New Roman"/>
        </w:rPr>
        <w:t>Mení sa nadpis nad paragrafom obsahujúcim ustanovenia o priestupkoch a iných správnych deliktoch z dôvodu terminologickej jednotnosti s § 1 ods. 1 písm. j) .</w:t>
      </w:r>
    </w:p>
    <w:p w:rsidR="009D4ACC" w:rsidRPr="00C96FB2" w:rsidP="009D4ACC">
      <w:pPr>
        <w:pStyle w:val="ListParagraph"/>
        <w:bidi w:val="0"/>
        <w:ind w:left="0" w:firstLine="708"/>
        <w:rPr>
          <w:rFonts w:ascii="Times New Roman" w:hAnsi="Times New Roman" w:cs="Times New Roman"/>
        </w:rPr>
      </w:pPr>
    </w:p>
    <w:p w:rsidR="00981F42" w:rsidP="009D4ACC">
      <w:pPr>
        <w:pStyle w:val="ListParagraph"/>
        <w:bidi w:val="0"/>
        <w:ind w:left="0" w:firstLine="708"/>
        <w:rPr>
          <w:rFonts w:ascii="Times New Roman" w:hAnsi="Times New Roman" w:cs="Times New Roman"/>
          <w:b/>
        </w:rPr>
      </w:pPr>
      <w:r w:rsidRPr="00C96FB2">
        <w:rPr>
          <w:rFonts w:ascii="Times New Roman" w:hAnsi="Times New Roman" w:cs="Times New Roman"/>
          <w:b/>
        </w:rPr>
        <w:t>K bodom 42 až 45</w:t>
      </w:r>
    </w:p>
    <w:p w:rsidR="009D4ACC" w:rsidRPr="00C96FB2" w:rsidP="009D4ACC">
      <w:pPr>
        <w:pStyle w:val="ListParagraph"/>
        <w:bidi w:val="0"/>
        <w:ind w:left="0" w:firstLine="708"/>
        <w:rPr>
          <w:rFonts w:ascii="Times New Roman" w:hAnsi="Times New Roman" w:cs="Times New Roman"/>
          <w:b/>
        </w:rPr>
      </w:pPr>
    </w:p>
    <w:p w:rsidR="00981F42" w:rsidP="009D4ACC">
      <w:pPr>
        <w:pStyle w:val="BodyText2"/>
        <w:bidi w:val="0"/>
        <w:spacing w:line="276" w:lineRule="auto"/>
        <w:ind w:firstLine="708"/>
        <w:jc w:val="both"/>
        <w:rPr>
          <w:rFonts w:ascii="Times New Roman" w:hAnsi="Times New Roman"/>
        </w:rPr>
      </w:pPr>
      <w:r w:rsidRPr="00C96FB2">
        <w:rPr>
          <w:rFonts w:ascii="Times New Roman" w:hAnsi="Times New Roman"/>
        </w:rPr>
        <w:t>Z dôvodu vloženia nového ustanovenia do § 2 dochádza k prečíslovaniu ostatných ustanovení v celom texte zákona. Ide o legislatívno – technickú zmenu.</w:t>
      </w:r>
    </w:p>
    <w:p w:rsidR="009D4ACC" w:rsidRPr="00C96FB2" w:rsidP="009D4ACC">
      <w:pPr>
        <w:pStyle w:val="ListParagraph"/>
        <w:bidi w:val="0"/>
        <w:ind w:left="0" w:firstLine="708"/>
        <w:rPr>
          <w:rFonts w:ascii="Times New Roman" w:hAnsi="Times New Roman" w:cs="Times New Roman"/>
        </w:rPr>
      </w:pPr>
    </w:p>
    <w:p w:rsidR="00981F42" w:rsidP="009D4ACC">
      <w:pPr>
        <w:pStyle w:val="ListParagraph"/>
        <w:bidi w:val="0"/>
        <w:ind w:left="0" w:firstLine="708"/>
        <w:rPr>
          <w:rFonts w:ascii="Times New Roman" w:hAnsi="Times New Roman" w:cs="Times New Roman"/>
          <w:b/>
        </w:rPr>
      </w:pPr>
      <w:r w:rsidRPr="00C96FB2">
        <w:rPr>
          <w:rFonts w:ascii="Times New Roman" w:hAnsi="Times New Roman" w:cs="Times New Roman"/>
          <w:b/>
        </w:rPr>
        <w:t>K bodu 46</w:t>
      </w:r>
    </w:p>
    <w:p w:rsidR="009D4ACC" w:rsidRPr="00C96FB2" w:rsidP="009D4ACC">
      <w:pPr>
        <w:pStyle w:val="ListParagraph"/>
        <w:bidi w:val="0"/>
        <w:ind w:left="0" w:firstLine="708"/>
        <w:rPr>
          <w:rFonts w:ascii="Times New Roman" w:hAnsi="Times New Roman" w:cs="Times New Roman"/>
          <w:b/>
        </w:rPr>
      </w:pPr>
    </w:p>
    <w:p w:rsidR="00981F42" w:rsidP="009D4ACC">
      <w:pPr>
        <w:pStyle w:val="BodyText2"/>
        <w:bidi w:val="0"/>
        <w:spacing w:line="276" w:lineRule="auto"/>
        <w:ind w:firstLine="708"/>
        <w:jc w:val="both"/>
        <w:rPr>
          <w:rFonts w:ascii="Times New Roman" w:hAnsi="Times New Roman"/>
        </w:rPr>
      </w:pPr>
      <w:r w:rsidRPr="00C96FB2">
        <w:rPr>
          <w:rFonts w:ascii="Times New Roman" w:hAnsi="Times New Roman"/>
        </w:rPr>
        <w:t>Slovenskej republike ako členskému štátu Európskej únie vyplýva povinnosť dodržiavať jej právne záväzné akty. V prípade smerníc je potrebná ich transpozícia, v prípade predkladaného zákona ide o transpozíciu smernice 2009/71/Euratom</w:t>
      </w:r>
      <w:r w:rsidR="009D4ACC">
        <w:rPr>
          <w:rFonts w:ascii="Times New Roman" w:hAnsi="Times New Roman"/>
        </w:rPr>
        <w:t>.</w:t>
      </w:r>
    </w:p>
    <w:p w:rsidR="009D4ACC" w:rsidP="009D4ACC">
      <w:pPr>
        <w:pStyle w:val="ListParagraph"/>
        <w:bidi w:val="0"/>
        <w:ind w:left="0" w:firstLine="708"/>
        <w:rPr>
          <w:rFonts w:ascii="Times New Roman" w:hAnsi="Times New Roman" w:cs="Times New Roman"/>
        </w:rPr>
      </w:pPr>
    </w:p>
    <w:p w:rsidR="00E3134A" w:rsidP="009D4ACC">
      <w:pPr>
        <w:pStyle w:val="ListParagraph"/>
        <w:bidi w:val="0"/>
        <w:ind w:left="0" w:firstLine="708"/>
        <w:rPr>
          <w:rFonts w:ascii="Times New Roman" w:hAnsi="Times New Roman" w:cs="Times New Roman"/>
        </w:rPr>
      </w:pPr>
    </w:p>
    <w:p w:rsidR="00E3134A" w:rsidP="009D4ACC">
      <w:pPr>
        <w:pStyle w:val="ListParagraph"/>
        <w:bidi w:val="0"/>
        <w:ind w:left="0" w:firstLine="708"/>
        <w:rPr>
          <w:rFonts w:ascii="Times New Roman" w:hAnsi="Times New Roman" w:cs="Times New Roman"/>
        </w:rPr>
      </w:pPr>
    </w:p>
    <w:p w:rsidR="00E3134A" w:rsidRPr="00C96FB2" w:rsidP="009D4ACC">
      <w:pPr>
        <w:pStyle w:val="ListParagraph"/>
        <w:bidi w:val="0"/>
        <w:ind w:left="0" w:firstLine="708"/>
        <w:rPr>
          <w:rFonts w:ascii="Times New Roman" w:hAnsi="Times New Roman" w:cs="Times New Roman"/>
        </w:rPr>
      </w:pPr>
    </w:p>
    <w:p w:rsidR="00981F42" w:rsidP="009D4ACC">
      <w:pPr>
        <w:pStyle w:val="ListParagraph"/>
        <w:bidi w:val="0"/>
        <w:ind w:left="0" w:firstLine="708"/>
        <w:rPr>
          <w:rFonts w:ascii="Times New Roman" w:hAnsi="Times New Roman" w:cs="Times New Roman"/>
          <w:b/>
        </w:rPr>
      </w:pPr>
      <w:r w:rsidRPr="00C96FB2">
        <w:rPr>
          <w:rFonts w:ascii="Times New Roman" w:hAnsi="Times New Roman" w:cs="Times New Roman"/>
          <w:b/>
        </w:rPr>
        <w:t>K bodu 47</w:t>
      </w:r>
    </w:p>
    <w:p w:rsidR="009D4ACC" w:rsidRPr="00C96FB2" w:rsidP="009D4ACC">
      <w:pPr>
        <w:pStyle w:val="ListParagraph"/>
        <w:bidi w:val="0"/>
        <w:ind w:left="0" w:firstLine="708"/>
        <w:rPr>
          <w:rFonts w:ascii="Times New Roman" w:hAnsi="Times New Roman" w:cs="Times New Roman"/>
          <w:b/>
        </w:rPr>
      </w:pPr>
    </w:p>
    <w:p w:rsidR="00981F42" w:rsidP="009D4ACC">
      <w:pPr>
        <w:pStyle w:val="BodyText2"/>
        <w:bidi w:val="0"/>
        <w:spacing w:line="276" w:lineRule="auto"/>
        <w:ind w:firstLine="708"/>
        <w:jc w:val="both"/>
        <w:rPr>
          <w:rFonts w:ascii="Times New Roman" w:hAnsi="Times New Roman"/>
        </w:rPr>
      </w:pPr>
      <w:r w:rsidRPr="00C96FB2">
        <w:rPr>
          <w:rFonts w:ascii="Times New Roman" w:hAnsi="Times New Roman"/>
        </w:rPr>
        <w:tab/>
        <w:t>Navrhované ustanovenie § 37bb je prechodným ustanovením vo vzťahu k dokumentácii systému kvality, ktorá bola vydaná a schválená pred účinnosťou tohto zákona. Nakoľko v návrhu novelizácie zákona sú navrhnuté zmeny v dokumentácii systému manažérstva kvality, predtým v systéme kvality, je nevyhnutné sa vyrovnať s doterajšou dokumentáciou a jej platnosťou. Takisto požiadavky na kvalitu jadrových zariadení schválené pred účinnosťou tohto zákona sa považujú za schválené v</w:t>
      </w:r>
      <w:r w:rsidR="009D4ACC">
        <w:rPr>
          <w:rFonts w:ascii="Times New Roman" w:hAnsi="Times New Roman"/>
        </w:rPr>
        <w:t> súlade s predkladaným zákonom.</w:t>
      </w:r>
    </w:p>
    <w:p w:rsidR="009D4ACC" w:rsidRPr="00C96FB2" w:rsidP="009D4ACC">
      <w:pPr>
        <w:pStyle w:val="ListParagraph"/>
        <w:bidi w:val="0"/>
        <w:ind w:left="0" w:firstLine="708"/>
        <w:rPr>
          <w:rFonts w:ascii="Times New Roman" w:hAnsi="Times New Roman" w:cs="Times New Roman"/>
        </w:rPr>
      </w:pPr>
    </w:p>
    <w:p w:rsidR="00981F42" w:rsidP="009D4ACC">
      <w:pPr>
        <w:pStyle w:val="ListParagraph"/>
        <w:bidi w:val="0"/>
        <w:ind w:left="0" w:firstLine="708"/>
        <w:rPr>
          <w:rFonts w:ascii="Times New Roman" w:hAnsi="Times New Roman" w:cs="Times New Roman"/>
          <w:b/>
        </w:rPr>
      </w:pPr>
      <w:r w:rsidRPr="00C96FB2">
        <w:rPr>
          <w:rFonts w:ascii="Times New Roman" w:hAnsi="Times New Roman" w:cs="Times New Roman"/>
          <w:b/>
        </w:rPr>
        <w:t>K bodu 48</w:t>
      </w:r>
    </w:p>
    <w:p w:rsidR="009D4ACC" w:rsidRPr="00C96FB2" w:rsidP="009D4ACC">
      <w:pPr>
        <w:pStyle w:val="ListParagraph"/>
        <w:bidi w:val="0"/>
        <w:ind w:left="0" w:firstLine="708"/>
        <w:rPr>
          <w:rFonts w:ascii="Times New Roman" w:hAnsi="Times New Roman" w:cs="Times New Roman"/>
          <w:b/>
        </w:rPr>
      </w:pPr>
    </w:p>
    <w:p w:rsidR="00981F42" w:rsidP="009D4ACC">
      <w:pPr>
        <w:pStyle w:val="BodyText2"/>
        <w:bidi w:val="0"/>
        <w:spacing w:line="276" w:lineRule="auto"/>
        <w:ind w:firstLine="708"/>
        <w:jc w:val="both"/>
        <w:rPr>
          <w:rFonts w:ascii="Times New Roman" w:hAnsi="Times New Roman"/>
        </w:rPr>
      </w:pPr>
      <w:r w:rsidRPr="00C96FB2">
        <w:rPr>
          <w:rFonts w:ascii="Times New Roman" w:hAnsi="Times New Roman"/>
        </w:rPr>
        <w:t>V súlade s čl. 5 ods. 2 Legislatívnych pravidiel Slovenskej republiky sa uvádza pri právnych predpisoch, ktoré sú aj technickým predpisom odkaz na smernicu Európskej únie o poskytovaní informácií v oblasti technických noriem a predpisov.</w:t>
      </w:r>
    </w:p>
    <w:p w:rsidR="00C92A1F" w:rsidRPr="00C96FB2" w:rsidP="009D4ACC">
      <w:pPr>
        <w:pStyle w:val="ListParagraph"/>
        <w:bidi w:val="0"/>
        <w:ind w:left="0" w:firstLine="708"/>
        <w:rPr>
          <w:rFonts w:ascii="Times New Roman" w:hAnsi="Times New Roman" w:cs="Times New Roman"/>
        </w:rPr>
      </w:pPr>
    </w:p>
    <w:p w:rsidR="00981F42" w:rsidP="009D4ACC">
      <w:pPr>
        <w:pStyle w:val="ListParagraph"/>
        <w:bidi w:val="0"/>
        <w:ind w:left="0" w:firstLine="708"/>
        <w:rPr>
          <w:rFonts w:ascii="Times New Roman" w:hAnsi="Times New Roman" w:cs="Times New Roman"/>
          <w:b/>
        </w:rPr>
      </w:pPr>
      <w:r w:rsidRPr="00C96FB2">
        <w:rPr>
          <w:rFonts w:ascii="Times New Roman" w:hAnsi="Times New Roman" w:cs="Times New Roman"/>
          <w:b/>
        </w:rPr>
        <w:t>K bodu 53</w:t>
      </w:r>
    </w:p>
    <w:p w:rsidR="009D4ACC" w:rsidRPr="009D4ACC" w:rsidP="009D4ACC">
      <w:pPr>
        <w:pStyle w:val="ListParagraph"/>
        <w:bidi w:val="0"/>
        <w:ind w:left="0" w:firstLine="708"/>
        <w:rPr>
          <w:rFonts w:ascii="Times New Roman" w:hAnsi="Times New Roman" w:cs="Times New Roman"/>
        </w:rPr>
      </w:pPr>
    </w:p>
    <w:p w:rsidR="00981F42" w:rsidP="009D4ACC">
      <w:pPr>
        <w:pStyle w:val="BodyText2"/>
        <w:bidi w:val="0"/>
        <w:spacing w:line="276" w:lineRule="auto"/>
        <w:ind w:firstLine="708"/>
        <w:jc w:val="both"/>
        <w:rPr>
          <w:rFonts w:ascii="Times New Roman" w:hAnsi="Times New Roman"/>
        </w:rPr>
      </w:pPr>
      <w:r w:rsidRPr="00C96FB2">
        <w:rPr>
          <w:rFonts w:ascii="Times New Roman" w:hAnsi="Times New Roman"/>
        </w:rPr>
        <w:t>V prílohe č. 1 bod F atómového zákona sa ustanovuje, aká dokumentácia je potrebná k žiadosti o vyňatie jadrového zariadenia z pôsobnosti atómového zákona. Žiadateľ má povinnosť predložiť uvedenú dokumentáciu na udelenie súhlasu od Ú</w:t>
      </w:r>
      <w:r w:rsidR="009D4ACC">
        <w:rPr>
          <w:rFonts w:ascii="Times New Roman" w:hAnsi="Times New Roman"/>
        </w:rPr>
        <w:t>JD SR podľa § 4 písm. f) bod 3.</w:t>
      </w:r>
    </w:p>
    <w:p w:rsidR="009D4ACC" w:rsidP="009D4ACC">
      <w:pPr>
        <w:pStyle w:val="ListParagraph"/>
        <w:bidi w:val="0"/>
        <w:ind w:left="0" w:firstLine="708"/>
        <w:rPr>
          <w:rFonts w:ascii="Times New Roman" w:hAnsi="Times New Roman" w:cs="Times New Roman"/>
        </w:rPr>
      </w:pPr>
    </w:p>
    <w:p w:rsidR="00981F42" w:rsidP="009D4ACC">
      <w:pPr>
        <w:pStyle w:val="ListParagraph"/>
        <w:bidi w:val="0"/>
        <w:ind w:left="0" w:firstLine="708"/>
        <w:rPr>
          <w:rFonts w:ascii="Times New Roman" w:hAnsi="Times New Roman" w:cs="Times New Roman"/>
          <w:b/>
        </w:rPr>
      </w:pPr>
      <w:r w:rsidRPr="00C96FB2">
        <w:rPr>
          <w:rFonts w:ascii="Times New Roman" w:hAnsi="Times New Roman" w:cs="Times New Roman"/>
          <w:b/>
        </w:rPr>
        <w:t>K bodu 55</w:t>
      </w:r>
    </w:p>
    <w:p w:rsidR="003B6912" w:rsidRPr="00C96FB2" w:rsidP="009D4ACC">
      <w:pPr>
        <w:pStyle w:val="ListParagraph"/>
        <w:bidi w:val="0"/>
        <w:ind w:left="0" w:firstLine="708"/>
        <w:rPr>
          <w:rFonts w:ascii="Times New Roman" w:hAnsi="Times New Roman" w:cs="Times New Roman"/>
          <w:b/>
        </w:rPr>
      </w:pPr>
    </w:p>
    <w:p w:rsidR="00981F42" w:rsidP="003B6912">
      <w:pPr>
        <w:pStyle w:val="BodyText2"/>
        <w:bidi w:val="0"/>
        <w:spacing w:line="276" w:lineRule="auto"/>
        <w:ind w:firstLine="708"/>
        <w:jc w:val="both"/>
        <w:rPr>
          <w:rFonts w:ascii="Times New Roman" w:hAnsi="Times New Roman"/>
        </w:rPr>
      </w:pPr>
      <w:r w:rsidRPr="00C96FB2">
        <w:rPr>
          <w:rFonts w:ascii="Times New Roman" w:hAnsi="Times New Roman"/>
        </w:rPr>
        <w:t>V súvislosti s pristúpením Slovenskej republiky k Zmluve o fungovaní Európskej únie sa bude používať len pojem „Európska únia“, nie „Európske spoločenstvo“. Táto zmena je premietnutá aj do nadpisu prílohy č. 4.</w:t>
      </w:r>
    </w:p>
    <w:p w:rsidR="003B6912" w:rsidRPr="00C96FB2" w:rsidP="003B6912">
      <w:pPr>
        <w:pStyle w:val="ListParagraph"/>
        <w:bidi w:val="0"/>
        <w:ind w:left="0" w:firstLine="708"/>
        <w:rPr>
          <w:rFonts w:ascii="Times New Roman" w:hAnsi="Times New Roman" w:cs="Times New Roman"/>
        </w:rPr>
      </w:pPr>
    </w:p>
    <w:p w:rsidR="00981F42" w:rsidP="003B6912">
      <w:pPr>
        <w:pStyle w:val="ListParagraph"/>
        <w:bidi w:val="0"/>
        <w:ind w:left="0" w:firstLine="708"/>
        <w:rPr>
          <w:rFonts w:ascii="Times New Roman" w:hAnsi="Times New Roman" w:cs="Times New Roman"/>
          <w:b/>
        </w:rPr>
      </w:pPr>
      <w:r w:rsidRPr="00C96FB2">
        <w:rPr>
          <w:rFonts w:ascii="Times New Roman" w:hAnsi="Times New Roman" w:cs="Times New Roman"/>
          <w:b/>
        </w:rPr>
        <w:t>K bodu 56</w:t>
      </w:r>
    </w:p>
    <w:p w:rsidR="003B6912" w:rsidRPr="00C96FB2" w:rsidP="003B6912">
      <w:pPr>
        <w:pStyle w:val="ListParagraph"/>
        <w:bidi w:val="0"/>
        <w:ind w:left="0" w:firstLine="708"/>
        <w:rPr>
          <w:rFonts w:ascii="Times New Roman" w:hAnsi="Times New Roman" w:cs="Times New Roman"/>
          <w:b/>
        </w:rPr>
      </w:pPr>
    </w:p>
    <w:p w:rsidR="00981F42" w:rsidRPr="00C96FB2" w:rsidP="003B6912">
      <w:pPr>
        <w:pStyle w:val="BodyText2"/>
        <w:bidi w:val="0"/>
        <w:spacing w:line="276" w:lineRule="auto"/>
        <w:ind w:firstLine="708"/>
        <w:jc w:val="both"/>
        <w:rPr>
          <w:rFonts w:ascii="Times New Roman" w:hAnsi="Times New Roman"/>
        </w:rPr>
      </w:pPr>
      <w:r w:rsidRPr="00C96FB2">
        <w:rPr>
          <w:rFonts w:ascii="Times New Roman" w:hAnsi="Times New Roman"/>
        </w:rPr>
        <w:t xml:space="preserve">Novelou atómového zákona sa dopĺňa transpozičná príloha atómového zákona o smernicu rady 2009/71/Euratom. Celkovo budú po prijatí predkladanej novely transponované do atómového zákona štyri smernice. </w:t>
      </w:r>
    </w:p>
    <w:p w:rsidR="00E3134A">
      <w:pPr>
        <w:bidi w:val="0"/>
        <w:jc w:val="left"/>
        <w:rPr>
          <w:rFonts w:ascii="Times New Roman" w:hAnsi="Times New Roman" w:cs="Times New Roman"/>
        </w:rPr>
      </w:pPr>
    </w:p>
    <w:p w:rsidR="00981F42" w:rsidP="003B6912">
      <w:pPr>
        <w:pStyle w:val="ListParagraph"/>
        <w:bidi w:val="0"/>
        <w:ind w:left="0" w:firstLine="708"/>
        <w:rPr>
          <w:rFonts w:ascii="Times New Roman" w:hAnsi="Times New Roman" w:cs="Times New Roman"/>
        </w:rPr>
      </w:pPr>
    </w:p>
    <w:p w:rsidR="00E3134A" w:rsidP="003B6912">
      <w:pPr>
        <w:pStyle w:val="ListParagraph"/>
        <w:bidi w:val="0"/>
        <w:ind w:left="0" w:firstLine="708"/>
        <w:rPr>
          <w:rFonts w:ascii="Times New Roman" w:hAnsi="Times New Roman" w:cs="Times New Roman"/>
        </w:rPr>
      </w:pPr>
    </w:p>
    <w:p w:rsidR="00E3134A" w:rsidP="003B6912">
      <w:pPr>
        <w:pStyle w:val="ListParagraph"/>
        <w:bidi w:val="0"/>
        <w:ind w:left="0" w:firstLine="708"/>
        <w:rPr>
          <w:rFonts w:ascii="Times New Roman" w:hAnsi="Times New Roman" w:cs="Times New Roman"/>
        </w:rPr>
      </w:pPr>
    </w:p>
    <w:p w:rsidR="00E3134A" w:rsidRPr="00C96FB2" w:rsidP="003B6912">
      <w:pPr>
        <w:pStyle w:val="ListParagraph"/>
        <w:bidi w:val="0"/>
        <w:ind w:left="0" w:firstLine="708"/>
        <w:rPr>
          <w:rFonts w:ascii="Times New Roman" w:hAnsi="Times New Roman" w:cs="Times New Roman"/>
        </w:rPr>
      </w:pPr>
    </w:p>
    <w:p w:rsidR="00981F42" w:rsidRPr="00C96FB2" w:rsidP="00981F42">
      <w:pPr>
        <w:bidi w:val="0"/>
        <w:ind w:firstLine="708"/>
        <w:rPr>
          <w:rFonts w:ascii="Times New Roman" w:hAnsi="Times New Roman" w:cs="Times New Roman"/>
          <w:b/>
        </w:rPr>
      </w:pPr>
      <w:r w:rsidRPr="00C96FB2">
        <w:rPr>
          <w:rFonts w:ascii="Times New Roman" w:hAnsi="Times New Roman" w:cs="Times New Roman"/>
          <w:b/>
        </w:rPr>
        <w:t>K čl. II</w:t>
      </w:r>
    </w:p>
    <w:p w:rsidR="00981F42" w:rsidRPr="00C96FB2" w:rsidP="00981F42">
      <w:pPr>
        <w:bidi w:val="0"/>
        <w:ind w:firstLine="708"/>
        <w:rPr>
          <w:rFonts w:ascii="Times New Roman" w:hAnsi="Times New Roman" w:cs="Times New Roman"/>
          <w:b/>
        </w:rPr>
      </w:pPr>
    </w:p>
    <w:p w:rsidR="00981F42" w:rsidRPr="00C96FB2" w:rsidP="003B6912">
      <w:pPr>
        <w:pStyle w:val="BodyText2"/>
        <w:bidi w:val="0"/>
        <w:spacing w:line="276" w:lineRule="auto"/>
        <w:ind w:firstLine="708"/>
        <w:jc w:val="both"/>
        <w:rPr>
          <w:rFonts w:ascii="Times New Roman" w:hAnsi="Times New Roman"/>
        </w:rPr>
      </w:pPr>
      <w:r w:rsidRPr="00C96FB2">
        <w:rPr>
          <w:rFonts w:ascii="Times New Roman" w:hAnsi="Times New Roman"/>
        </w:rPr>
        <w:t xml:space="preserve">Vzhľadom na dodržanie transpozičného termínu a termínu na splnenie si oznamovacej povinnosti </w:t>
      </w:r>
      <w:r w:rsidR="00C25457">
        <w:rPr>
          <w:rFonts w:ascii="Times New Roman" w:hAnsi="Times New Roman"/>
        </w:rPr>
        <w:t>vo vzťahu k</w:t>
      </w:r>
      <w:r w:rsidRPr="00C96FB2">
        <w:rPr>
          <w:rFonts w:ascii="Times New Roman" w:hAnsi="Times New Roman"/>
        </w:rPr>
        <w:t xml:space="preserve"> smernic</w:t>
      </w:r>
      <w:r w:rsidR="00C25457">
        <w:rPr>
          <w:rFonts w:ascii="Times New Roman" w:hAnsi="Times New Roman"/>
        </w:rPr>
        <w:t>i</w:t>
      </w:r>
      <w:r w:rsidRPr="00C96FB2">
        <w:rPr>
          <w:rFonts w:ascii="Times New Roman" w:hAnsi="Times New Roman"/>
        </w:rPr>
        <w:t xml:space="preserve"> Rady 2009/71/Euratom sa navrhuje účinnosť zákona od 1. októbra 2011. </w:t>
      </w:r>
    </w:p>
    <w:p w:rsidR="00981F42" w:rsidP="00981F42">
      <w:pPr>
        <w:bidi w:val="0"/>
        <w:ind w:firstLine="708"/>
        <w:rPr>
          <w:rFonts w:ascii="Times New Roman" w:hAnsi="Times New Roman" w:cs="Times New Roman"/>
        </w:rPr>
      </w:pPr>
    </w:p>
    <w:p w:rsidR="00C25457" w:rsidP="00981F42">
      <w:pPr>
        <w:bidi w:val="0"/>
        <w:ind w:firstLine="708"/>
        <w:rPr>
          <w:rFonts w:ascii="Times New Roman" w:hAnsi="Times New Roman" w:cs="Times New Roman"/>
        </w:rPr>
      </w:pPr>
    </w:p>
    <w:p w:rsidR="00C25457" w:rsidRPr="00C96FB2" w:rsidP="00981F42">
      <w:pPr>
        <w:bidi w:val="0"/>
        <w:ind w:firstLine="708"/>
        <w:rPr>
          <w:rFonts w:ascii="Times New Roman" w:hAnsi="Times New Roman" w:cs="Times New Roman"/>
        </w:rPr>
      </w:pPr>
    </w:p>
    <w:p w:rsidR="00AD2429" w:rsidRPr="00C96FB2" w:rsidP="00AD2429">
      <w:pPr>
        <w:bidi w:val="0"/>
        <w:spacing w:after="0"/>
        <w:ind w:firstLine="708"/>
        <w:jc w:val="center"/>
        <w:rPr>
          <w:rFonts w:ascii="Times New Roman" w:hAnsi="Times New Roman" w:cs="Times New Roman"/>
          <w:b/>
        </w:rPr>
      </w:pPr>
      <w:r w:rsidRPr="00C96FB2">
        <w:rPr>
          <w:rFonts w:ascii="Times New Roman" w:hAnsi="Times New Roman" w:cs="Times New Roman"/>
          <w:b/>
        </w:rPr>
        <w:t>Iveta Radičová</w:t>
      </w:r>
      <w:r w:rsidR="00F6389A">
        <w:rPr>
          <w:rFonts w:ascii="Times New Roman" w:hAnsi="Times New Roman" w:cs="Times New Roman"/>
          <w:b/>
        </w:rPr>
        <w:t>, v. r.</w:t>
      </w:r>
    </w:p>
    <w:p w:rsidR="00AD2429" w:rsidRPr="00C96FB2" w:rsidP="00AD2429">
      <w:pPr>
        <w:bidi w:val="0"/>
        <w:spacing w:after="0"/>
        <w:ind w:firstLine="708"/>
        <w:jc w:val="center"/>
        <w:rPr>
          <w:rFonts w:ascii="Times New Roman" w:hAnsi="Times New Roman" w:cs="Times New Roman"/>
        </w:rPr>
      </w:pPr>
      <w:r w:rsidRPr="00C96FB2">
        <w:rPr>
          <w:rFonts w:ascii="Times New Roman" w:hAnsi="Times New Roman" w:cs="Times New Roman"/>
        </w:rPr>
        <w:t>Predsedníčka vlády</w:t>
      </w:r>
    </w:p>
    <w:p w:rsidR="00AD2429" w:rsidRPr="00C96FB2" w:rsidP="00AD2429">
      <w:pPr>
        <w:bidi w:val="0"/>
        <w:spacing w:after="0"/>
        <w:ind w:firstLine="708"/>
        <w:jc w:val="center"/>
        <w:rPr>
          <w:rFonts w:ascii="Times New Roman" w:hAnsi="Times New Roman" w:cs="Times New Roman"/>
        </w:rPr>
      </w:pPr>
      <w:r w:rsidRPr="00C96FB2">
        <w:rPr>
          <w:rFonts w:ascii="Times New Roman" w:hAnsi="Times New Roman" w:cs="Times New Roman"/>
        </w:rPr>
        <w:t>Slovenskej republiky</w:t>
      </w:r>
    </w:p>
    <w:p w:rsidR="00AD2429" w:rsidRPr="00C96FB2" w:rsidP="00AD2429">
      <w:pPr>
        <w:bidi w:val="0"/>
        <w:spacing w:after="0"/>
        <w:ind w:firstLine="708"/>
        <w:jc w:val="center"/>
        <w:rPr>
          <w:rFonts w:ascii="Times New Roman" w:hAnsi="Times New Roman" w:cs="Times New Roman"/>
        </w:rPr>
      </w:pPr>
    </w:p>
    <w:p w:rsidR="00AD2429" w:rsidP="00AD2429">
      <w:pPr>
        <w:bidi w:val="0"/>
        <w:spacing w:after="0"/>
        <w:ind w:firstLine="708"/>
        <w:jc w:val="center"/>
        <w:rPr>
          <w:rFonts w:ascii="Times New Roman" w:hAnsi="Times New Roman" w:cs="Times New Roman"/>
        </w:rPr>
      </w:pPr>
    </w:p>
    <w:p w:rsidR="00C25457" w:rsidP="00AD2429">
      <w:pPr>
        <w:bidi w:val="0"/>
        <w:spacing w:after="0"/>
        <w:ind w:firstLine="708"/>
        <w:jc w:val="center"/>
        <w:rPr>
          <w:rFonts w:ascii="Times New Roman" w:hAnsi="Times New Roman" w:cs="Times New Roman"/>
        </w:rPr>
      </w:pPr>
    </w:p>
    <w:p w:rsidR="00C25457" w:rsidP="00AD2429">
      <w:pPr>
        <w:bidi w:val="0"/>
        <w:spacing w:after="0"/>
        <w:ind w:firstLine="708"/>
        <w:jc w:val="center"/>
        <w:rPr>
          <w:rFonts w:ascii="Times New Roman" w:hAnsi="Times New Roman" w:cs="Times New Roman"/>
        </w:rPr>
      </w:pPr>
    </w:p>
    <w:p w:rsidR="00C25457" w:rsidP="00AD2429">
      <w:pPr>
        <w:bidi w:val="0"/>
        <w:spacing w:after="0"/>
        <w:ind w:firstLine="708"/>
        <w:jc w:val="center"/>
        <w:rPr>
          <w:rFonts w:ascii="Times New Roman" w:hAnsi="Times New Roman" w:cs="Times New Roman"/>
        </w:rPr>
      </w:pPr>
    </w:p>
    <w:p w:rsidR="00C25457" w:rsidRPr="00C96FB2" w:rsidP="00AD2429">
      <w:pPr>
        <w:bidi w:val="0"/>
        <w:spacing w:after="0"/>
        <w:ind w:firstLine="708"/>
        <w:jc w:val="center"/>
        <w:rPr>
          <w:rFonts w:ascii="Times New Roman" w:hAnsi="Times New Roman" w:cs="Times New Roman"/>
        </w:rPr>
      </w:pPr>
    </w:p>
    <w:p w:rsidR="00AD2429" w:rsidRPr="00C96FB2" w:rsidP="00AD2429">
      <w:pPr>
        <w:bidi w:val="0"/>
        <w:spacing w:after="0"/>
        <w:ind w:firstLine="708"/>
        <w:jc w:val="center"/>
        <w:rPr>
          <w:rFonts w:ascii="Times New Roman" w:hAnsi="Times New Roman" w:cs="Times New Roman"/>
        </w:rPr>
      </w:pPr>
    </w:p>
    <w:p w:rsidR="00AD2429" w:rsidRPr="00C96FB2" w:rsidP="00AD2429">
      <w:pPr>
        <w:bidi w:val="0"/>
        <w:spacing w:after="0"/>
        <w:ind w:firstLine="708"/>
        <w:jc w:val="center"/>
        <w:rPr>
          <w:rFonts w:ascii="Times New Roman" w:hAnsi="Times New Roman" w:cs="Times New Roman"/>
          <w:b/>
        </w:rPr>
      </w:pPr>
      <w:r w:rsidRPr="00C96FB2">
        <w:rPr>
          <w:rFonts w:ascii="Times New Roman" w:hAnsi="Times New Roman" w:cs="Times New Roman"/>
          <w:b/>
        </w:rPr>
        <w:t>Marta Žiaková</w:t>
      </w:r>
      <w:r w:rsidR="00F6389A">
        <w:rPr>
          <w:rFonts w:ascii="Times New Roman" w:hAnsi="Times New Roman" w:cs="Times New Roman"/>
          <w:b/>
        </w:rPr>
        <w:t>, v. r.</w:t>
      </w:r>
    </w:p>
    <w:p w:rsidR="00AD2429" w:rsidRPr="00C96FB2" w:rsidP="00AD2429">
      <w:pPr>
        <w:bidi w:val="0"/>
        <w:spacing w:after="0"/>
        <w:ind w:firstLine="708"/>
        <w:jc w:val="center"/>
        <w:rPr>
          <w:rFonts w:ascii="Times New Roman" w:hAnsi="Times New Roman" w:cs="Times New Roman"/>
        </w:rPr>
      </w:pPr>
      <w:r w:rsidRPr="00C96FB2">
        <w:rPr>
          <w:rFonts w:ascii="Times New Roman" w:hAnsi="Times New Roman" w:cs="Times New Roman"/>
        </w:rPr>
        <w:t>Predsedníčka</w:t>
      </w:r>
    </w:p>
    <w:p w:rsidR="00AD2429" w:rsidRPr="00C96FB2" w:rsidP="00AD2429">
      <w:pPr>
        <w:bidi w:val="0"/>
        <w:spacing w:after="0"/>
        <w:ind w:firstLine="708"/>
        <w:jc w:val="center"/>
        <w:rPr>
          <w:rFonts w:ascii="Times New Roman" w:hAnsi="Times New Roman" w:cs="Times New Roman"/>
        </w:rPr>
      </w:pPr>
      <w:r w:rsidRPr="00C96FB2">
        <w:rPr>
          <w:rFonts w:ascii="Times New Roman" w:hAnsi="Times New Roman" w:cs="Times New Roman"/>
        </w:rPr>
        <w:t>Úradu jadrového dozoru</w:t>
      </w:r>
    </w:p>
    <w:p w:rsidR="00AD2429" w:rsidRPr="00C96FB2" w:rsidP="00AD2429">
      <w:pPr>
        <w:bidi w:val="0"/>
        <w:spacing w:after="0"/>
        <w:ind w:firstLine="708"/>
        <w:jc w:val="center"/>
        <w:rPr>
          <w:rFonts w:ascii="Times New Roman" w:hAnsi="Times New Roman" w:cs="Times New Roman"/>
        </w:rPr>
      </w:pPr>
      <w:r w:rsidRPr="00C96FB2">
        <w:rPr>
          <w:rFonts w:ascii="Times New Roman" w:hAnsi="Times New Roman" w:cs="Times New Roman"/>
        </w:rPr>
        <w:t>Slovenskej republiky</w:t>
      </w:r>
    </w:p>
    <w:p w:rsidR="00AD2429" w:rsidP="00AD2429">
      <w:pPr>
        <w:bidi w:val="0"/>
        <w:spacing w:after="0"/>
        <w:jc w:val="center"/>
        <w:rPr>
          <w:rFonts w:ascii="Times New Roman" w:hAnsi="Times New Roman" w:cs="Times New Roman"/>
        </w:rPr>
      </w:pPr>
    </w:p>
    <w:p w:rsidR="00C25457" w:rsidP="00AD2429">
      <w:pPr>
        <w:bidi w:val="0"/>
        <w:spacing w:after="0"/>
        <w:jc w:val="center"/>
        <w:rPr>
          <w:rFonts w:ascii="Times New Roman" w:hAnsi="Times New Roman" w:cs="Times New Roman"/>
        </w:rPr>
      </w:pPr>
    </w:p>
    <w:p w:rsidR="00C25457" w:rsidRPr="00C96FB2" w:rsidP="00AD2429">
      <w:pPr>
        <w:bidi w:val="0"/>
        <w:spacing w:after="0"/>
        <w:jc w:val="center"/>
        <w:rPr>
          <w:rFonts w:ascii="Times New Roman" w:hAnsi="Times New Roman" w:cs="Times New Roman"/>
        </w:rPr>
      </w:pPr>
    </w:p>
    <w:p w:rsidR="00AD2429" w:rsidP="00AD2429">
      <w:pPr>
        <w:bidi w:val="0"/>
        <w:spacing w:after="0"/>
        <w:rPr>
          <w:rFonts w:ascii="Times New Roman" w:hAnsi="Times New Roman" w:cs="Times New Roman"/>
          <w:b/>
          <w:bCs/>
        </w:rPr>
      </w:pPr>
    </w:p>
    <w:p w:rsidR="009A6A96" w:rsidRPr="00AD61F0" w:rsidP="00AD2429">
      <w:pPr>
        <w:bidi w:val="0"/>
        <w:spacing w:after="0"/>
        <w:rPr>
          <w:rFonts w:ascii="Times New Roman" w:hAnsi="Times New Roman" w:cs="Times New Roman"/>
          <w:bCs/>
        </w:rPr>
      </w:pPr>
      <w:r w:rsidRPr="00AD61F0">
        <w:rPr>
          <w:rFonts w:ascii="Times New Roman" w:hAnsi="Times New Roman" w:cs="Times New Roman"/>
          <w:bCs/>
        </w:rPr>
        <w:t xml:space="preserve">V Bratislave </w:t>
      </w:r>
      <w:r w:rsidRPr="00AD61F0" w:rsidR="00AA4D26">
        <w:rPr>
          <w:rFonts w:ascii="Times New Roman" w:hAnsi="Times New Roman" w:cs="Times New Roman"/>
          <w:bCs/>
        </w:rPr>
        <w:t>1</w:t>
      </w:r>
      <w:r w:rsidRPr="00AD61F0" w:rsidR="00C25457">
        <w:rPr>
          <w:rFonts w:ascii="Times New Roman" w:hAnsi="Times New Roman" w:cs="Times New Roman"/>
          <w:bCs/>
        </w:rPr>
        <w:t>1</w:t>
      </w:r>
      <w:r w:rsidRPr="00AD61F0" w:rsidR="006B34FA">
        <w:rPr>
          <w:rFonts w:ascii="Times New Roman" w:hAnsi="Times New Roman" w:cs="Times New Roman"/>
          <w:bCs/>
        </w:rPr>
        <w:t>.</w:t>
      </w:r>
      <w:r w:rsidRPr="00AD61F0" w:rsidR="00C25457">
        <w:rPr>
          <w:rFonts w:ascii="Times New Roman" w:hAnsi="Times New Roman" w:cs="Times New Roman"/>
          <w:bCs/>
        </w:rPr>
        <w:t xml:space="preserve"> mája</w:t>
      </w:r>
      <w:r w:rsidRPr="00AD61F0" w:rsidR="006B34FA">
        <w:rPr>
          <w:rFonts w:ascii="Times New Roman" w:hAnsi="Times New Roman" w:cs="Times New Roman"/>
          <w:bCs/>
        </w:rPr>
        <w:t xml:space="preserve"> 2011</w:t>
      </w:r>
    </w:p>
    <w:sectPr w:rsidSect="00C707DB">
      <w:headerReference w:type="default" r:id="rId21"/>
      <w:pgSz w:w="11906" w:h="16838" w:code="9"/>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447" w:rsidP="00C707DB">
    <w:pPr>
      <w:pStyle w:val="Footer"/>
      <w:bidi w:val="0"/>
      <w:jc w:val="center"/>
    </w:pPr>
    <w:r w:rsidRPr="000E3447">
      <w:rPr>
        <w:rFonts w:ascii="Times New Roman" w:hAnsi="Times New Roman" w:cs="Times New Roman"/>
      </w:rPr>
      <w:fldChar w:fldCharType="begin"/>
    </w:r>
    <w:r w:rsidRPr="000E3447">
      <w:rPr>
        <w:rFonts w:ascii="Times New Roman" w:hAnsi="Times New Roman" w:cs="Times New Roman"/>
      </w:rPr>
      <w:instrText xml:space="preserve"> PAGE   \* MERGEFORMAT </w:instrText>
    </w:r>
    <w:r w:rsidRPr="000E3447">
      <w:rPr>
        <w:rFonts w:ascii="Times New Roman" w:hAnsi="Times New Roman" w:cs="Times New Roman"/>
      </w:rPr>
      <w:fldChar w:fldCharType="separate"/>
    </w:r>
    <w:r w:rsidR="00E3134A">
      <w:rPr>
        <w:rFonts w:ascii="Times New Roman" w:hAnsi="Times New Roman" w:cs="Times New Roman"/>
        <w:noProof/>
      </w:rPr>
      <w:t>11</w:t>
    </w:r>
    <w:r w:rsidRPr="000E3447">
      <w:rPr>
        <w:rFonts w:ascii="Times New Roman" w:hAnsi="Times New Roman" w:cs="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447">
    <w:pPr>
      <w:pStyle w:val="Footer"/>
      <w:bidi w:val="0"/>
      <w:jc w:val="center"/>
    </w:pPr>
    <w:r>
      <w:fldChar w:fldCharType="begin"/>
    </w:r>
    <w:r>
      <w:instrText xml:space="preserve"> PAGE   \* MERGEFORMAT </w:instrText>
    </w:r>
    <w:r>
      <w:fldChar w:fldCharType="separate"/>
    </w:r>
    <w:r>
      <w:rPr>
        <w:noProof/>
      </w:rPr>
      <w:t>0</w:t>
    </w:r>
    <w:r>
      <w:fldChar w:fldCharType="end"/>
    </w:r>
  </w:p>
  <w:p w:rsidR="000E3447">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429">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2429">
    <w:pPr>
      <w:pStyle w:val="Footer"/>
      <w:bidi w:val="0"/>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429" w:rsidRPr="00C707DB" w:rsidP="00C707DB">
    <w:pPr>
      <w:pStyle w:val="Footer"/>
      <w:bidi w:val="0"/>
      <w:ind w:right="360"/>
      <w:jc w:val="center"/>
      <w:rPr>
        <w:rFonts w:ascii="Times New Roman" w:hAnsi="Times New Roman" w:cs="Times New Roman"/>
      </w:rPr>
    </w:pPr>
    <w:r w:rsidRPr="00C707DB" w:rsidR="00C707DB">
      <w:rPr>
        <w:rFonts w:ascii="Times New Roman" w:hAnsi="Times New Roman" w:cs="Times New Roman"/>
      </w:rPr>
      <w:fldChar w:fldCharType="begin"/>
    </w:r>
    <w:r w:rsidRPr="00C707DB" w:rsidR="00C707DB">
      <w:rPr>
        <w:rFonts w:ascii="Times New Roman" w:hAnsi="Times New Roman" w:cs="Times New Roman"/>
      </w:rPr>
      <w:instrText xml:space="preserve"> PAGE   \* MERGEFORMAT </w:instrText>
    </w:r>
    <w:r w:rsidRPr="00C707DB" w:rsidR="00C707DB">
      <w:rPr>
        <w:rFonts w:ascii="Times New Roman" w:hAnsi="Times New Roman" w:cs="Times New Roman"/>
      </w:rPr>
      <w:fldChar w:fldCharType="separate"/>
    </w:r>
    <w:r w:rsidR="00A4739F">
      <w:rPr>
        <w:rFonts w:ascii="Times New Roman" w:hAnsi="Times New Roman" w:cs="Times New Roman"/>
        <w:noProof/>
      </w:rPr>
      <w:t>29</w:t>
    </w:r>
    <w:r w:rsidRPr="00C707DB" w:rsidR="00C707DB">
      <w:rPr>
        <w:rFonts w:ascii="Times New Roman" w:hAnsi="Times New Roman" w:cs="Times New Roman"/>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447">
    <w:pPr>
      <w:pStyle w:val="Footer"/>
      <w:bidi w:val="0"/>
      <w:jc w:val="center"/>
    </w:pPr>
  </w:p>
  <w:p w:rsidR="000E3447">
    <w:pPr>
      <w:pStyle w:val="Footer"/>
      <w:bidi w:val="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429">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2429">
    <w:pPr>
      <w:pStyle w:val="Footer"/>
      <w:bidi w:val="0"/>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429" w:rsidRPr="00825420" w:rsidP="00825420">
    <w:pPr>
      <w:pStyle w:val="Footer"/>
      <w:bidi w:val="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429">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2429">
    <w:pPr>
      <w:pStyle w:val="Footer"/>
      <w:bidi w:val="0"/>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429" w:rsidRPr="00696F88" w:rsidP="008E4CD2">
    <w:pPr>
      <w:pStyle w:val="Header"/>
      <w:bidi w:val="0"/>
      <w:jc w:val="right"/>
      <w:rPr>
        <w:rFonts w:ascii="Times New Roman" w:hAnsi="Times New Roman"/>
      </w:rPr>
    </w:pPr>
    <w:r w:rsidRPr="00696F88">
      <w:rPr>
        <w:rFonts w:ascii="Times New Roman" w:hAnsi="Times New Roman"/>
      </w:rPr>
      <w:t>Príloha č.1</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429" w:rsidRPr="00AD2429" w:rsidP="00AD2429">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429" w:rsidRPr="008D6A6A" w:rsidP="008E4CD2">
    <w:pPr>
      <w:pStyle w:val="Header"/>
      <w:bidi w:val="0"/>
      <w:jc w:val="right"/>
      <w:rPr>
        <w:rFonts w:ascii="Times New Roman" w:hAnsi="Times New Roman"/>
      </w:rPr>
    </w:pPr>
    <w:r w:rsidRPr="008D6A6A">
      <w:rPr>
        <w:rFonts w:ascii="Times New Roman" w:hAnsi="Times New Roman"/>
      </w:rPr>
      <w:t>Príloha č.2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429" w:rsidRPr="008D6A6A" w:rsidP="008E4CD2">
    <w:pPr>
      <w:pStyle w:val="Header"/>
      <w:bidi w:val="0"/>
      <w:jc w:val="right"/>
      <w:rPr>
        <w:rFonts w:ascii="Times New Roman" w:hAnsi="Times New Roman"/>
      </w:rPr>
    </w:pPr>
    <w:r w:rsidRPr="008D6A6A">
      <w:rPr>
        <w:rFonts w:ascii="Times New Roman" w:hAnsi="Times New Roman"/>
      </w:rPr>
      <w:t>Príloha č.3</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429" w:rsidRPr="000E7653">
    <w:pPr>
      <w:pStyle w:val="Header"/>
      <w:bidi w:val="0"/>
      <w:jc w:val="right"/>
      <w:rPr>
        <w:rFonts w:ascii="Times New Roman" w:hAnsi="Times New Roman"/>
      </w:rPr>
    </w:pPr>
    <w:r w:rsidRPr="000E7653">
      <w:rPr>
        <w:rFonts w:ascii="Times New Roman" w:hAnsi="Times New Roman"/>
      </w:rPr>
      <w:t>Príloha č.4</w:t>
    </w:r>
  </w:p>
  <w:p w:rsidR="00AD2429">
    <w:pPr>
      <w:pStyle w:val="Header"/>
      <w:bidi w:val="0"/>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429" w:rsidRPr="008D6A6A">
    <w:pPr>
      <w:pStyle w:val="Header"/>
      <w:bidi w:val="0"/>
      <w:jc w:val="right"/>
      <w:rPr>
        <w:rFonts w:ascii="Times New Roman" w:hAnsi="Times New Roman"/>
      </w:rPr>
    </w:pPr>
    <w:r w:rsidRPr="008D6A6A">
      <w:rPr>
        <w:rFonts w:ascii="Times New Roman" w:hAnsi="Times New Roman"/>
      </w:rPr>
      <w:t>Príloha č.4</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429" w:rsidRPr="00572F2C">
    <w:pPr>
      <w:pStyle w:val="Header"/>
      <w:bidi w:val="0"/>
      <w:jc w:val="right"/>
      <w:rPr>
        <w:rFonts w:ascii="Times New Roman" w:hAnsi="Times New Roman"/>
      </w:rPr>
    </w:pPr>
    <w:r w:rsidRPr="00572F2C">
      <w:rPr>
        <w:rFonts w:ascii="Times New Roman" w:hAnsi="Times New Roman"/>
      </w:rPr>
      <w:t>Príloha č. 5</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429" w:rsidRPr="008D6A6A">
    <w:pPr>
      <w:pStyle w:val="Header"/>
      <w:bidi w:val="0"/>
      <w:jc w:val="right"/>
      <w:rPr>
        <w:rFonts w:ascii="Times New Roman" w:hAnsi="Times New Roman"/>
      </w:rPr>
    </w:pPr>
    <w:r w:rsidRPr="008D6A6A">
      <w:rPr>
        <w:rFonts w:ascii="Times New Roman" w:hAnsi="Times New Roman"/>
      </w:rPr>
      <w:t>Príloha č.5</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429" w:rsidRPr="008D6A6A" w:rsidP="0094402A">
    <w:pPr>
      <w:pStyle w:val="Header"/>
      <w:bidi w:val="0"/>
      <w:jc w:val="right"/>
      <w:rPr>
        <w:rFonts w:ascii="Times New Roman" w:hAnsi="Times New Roman"/>
      </w:rPr>
    </w:pPr>
    <w:r w:rsidRPr="008D6A6A">
      <w:rPr>
        <w:rFonts w:ascii="Times New Roman" w:hAnsi="Times New Roman"/>
      </w:rPr>
      <w:t>Príloha č.6</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429">
    <w:pPr>
      <w:pStyle w:val="Header"/>
      <w:bidi w:val="0"/>
      <w:jc w:val="right"/>
    </w:pPr>
    <w:r>
      <w:t>Príloha č.6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401BFC"/>
    <w:lvl w:ilvl="0">
      <w:start w:val="1"/>
      <w:numFmt w:val="decimal"/>
      <w:lvlText w:val="%1."/>
      <w:lvlJc w:val="left"/>
      <w:pPr>
        <w:tabs>
          <w:tab w:val="num" w:pos="1492"/>
        </w:tabs>
        <w:ind w:left="1492" w:hanging="360"/>
      </w:pPr>
      <w:rPr>
        <w:rFonts w:cs="Times New Roman"/>
        <w:rtl w:val="0"/>
        <w:cs w:val="0"/>
      </w:rPr>
    </w:lvl>
  </w:abstractNum>
  <w:abstractNum w:abstractNumId="1">
    <w:nsid w:val="FFFFFF7D"/>
    <w:multiLevelType w:val="singleLevel"/>
    <w:tmpl w:val="335EF816"/>
    <w:lvl w:ilvl="0">
      <w:start w:val="1"/>
      <w:numFmt w:val="decimal"/>
      <w:lvlText w:val="%1."/>
      <w:lvlJc w:val="left"/>
      <w:pPr>
        <w:tabs>
          <w:tab w:val="num" w:pos="1209"/>
        </w:tabs>
        <w:ind w:left="1209" w:hanging="360"/>
      </w:pPr>
      <w:rPr>
        <w:rFonts w:cs="Times New Roman"/>
        <w:rtl w:val="0"/>
        <w:cs w:val="0"/>
      </w:rPr>
    </w:lvl>
  </w:abstractNum>
  <w:abstractNum w:abstractNumId="2">
    <w:nsid w:val="FFFFFF7E"/>
    <w:multiLevelType w:val="singleLevel"/>
    <w:tmpl w:val="90580CD8"/>
    <w:lvl w:ilvl="0">
      <w:start w:val="1"/>
      <w:numFmt w:val="decimal"/>
      <w:lvlText w:val="%1."/>
      <w:lvlJc w:val="left"/>
      <w:pPr>
        <w:tabs>
          <w:tab w:val="num" w:pos="926"/>
        </w:tabs>
        <w:ind w:left="926" w:hanging="360"/>
      </w:pPr>
      <w:rPr>
        <w:rFonts w:cs="Times New Roman"/>
        <w:rtl w:val="0"/>
        <w:cs w:val="0"/>
      </w:rPr>
    </w:lvl>
  </w:abstractNum>
  <w:abstractNum w:abstractNumId="3">
    <w:nsid w:val="FFFFFF7F"/>
    <w:multiLevelType w:val="singleLevel"/>
    <w:tmpl w:val="E6A25120"/>
    <w:lvl w:ilvl="0">
      <w:start w:val="1"/>
      <w:numFmt w:val="decimal"/>
      <w:lvlText w:val="2.%1."/>
      <w:lvlJc w:val="left"/>
      <w:pPr>
        <w:tabs>
          <w:tab w:val="num" w:pos="643"/>
        </w:tabs>
        <w:ind w:left="643" w:hanging="360"/>
      </w:pPr>
      <w:rPr>
        <w:rFonts w:cs="Times New Roman" w:hint="default"/>
        <w:rtl w:val="0"/>
        <w:cs w:val="0"/>
      </w:rPr>
    </w:lvl>
  </w:abstractNum>
  <w:abstractNum w:abstractNumId="4">
    <w:nsid w:val="FFFFFF80"/>
    <w:multiLevelType w:val="singleLevel"/>
    <w:tmpl w:val="FF2AB36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586BEE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214E3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3662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1B8423E"/>
    <w:lvl w:ilvl="0">
      <w:start w:val="1"/>
      <w:numFmt w:val="decimal"/>
      <w:lvlText w:val="A.%1."/>
      <w:lvlJc w:val="left"/>
      <w:pPr>
        <w:tabs>
          <w:tab w:val="num" w:pos="360"/>
        </w:tabs>
        <w:ind w:left="360" w:hanging="360"/>
      </w:pPr>
      <w:rPr>
        <w:rFonts w:cs="Times New Roman" w:hint="default"/>
        <w:rtl w:val="0"/>
        <w:cs w:val="0"/>
      </w:rPr>
    </w:lvl>
  </w:abstractNum>
  <w:abstractNum w:abstractNumId="9">
    <w:nsid w:val="FFFFFF89"/>
    <w:multiLevelType w:val="singleLevel"/>
    <w:tmpl w:val="873A315C"/>
    <w:lvl w:ilvl="0">
      <w:start w:val="1"/>
      <w:numFmt w:val="bullet"/>
      <w:lvlText w:val=""/>
      <w:lvlJc w:val="left"/>
      <w:pPr>
        <w:tabs>
          <w:tab w:val="num" w:pos="360"/>
        </w:tabs>
        <w:ind w:left="360" w:hanging="360"/>
      </w:pPr>
      <w:rPr>
        <w:rFonts w:ascii="Symbol" w:hAnsi="Symbol" w:hint="default"/>
      </w:rPr>
    </w:lvl>
  </w:abstractNum>
  <w:abstractNum w:abstractNumId="10">
    <w:nsid w:val="187877B9"/>
    <w:multiLevelType w:val="hybridMultilevel"/>
    <w:tmpl w:val="00B430DA"/>
    <w:lvl w:ilvl="0">
      <w:start w:val="0"/>
      <w:numFmt w:val="bullet"/>
      <w:lvlText w:val="–"/>
      <w:lvlJc w:val="left"/>
      <w:pPr>
        <w:ind w:left="795" w:hanging="435"/>
      </w:pPr>
      <w:rPr>
        <w:rFonts w:ascii="Times New Roman" w:eastAsia="Times New Roman" w:hAnsi="Times New Roman" w:hint="default"/>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70A775E"/>
    <w:multiLevelType w:val="hybridMultilevel"/>
    <w:tmpl w:val="68C49188"/>
    <w:lvl w:ilvl="0">
      <w:start w:val="1"/>
      <w:numFmt w:val="lowerLetter"/>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2">
    <w:nsid w:val="2EF1103E"/>
    <w:multiLevelType w:val="hybridMultilevel"/>
    <w:tmpl w:val="75B03BC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nsid w:val="2F2C5B4B"/>
    <w:multiLevelType w:val="hybridMultilevel"/>
    <w:tmpl w:val="A0D818DE"/>
    <w:lvl w:ilvl="0">
      <w:start w:val="1"/>
      <w:numFmt w:val="lowerLetter"/>
      <w:lvlText w:val="%1)"/>
      <w:lvlJc w:val="left"/>
      <w:pPr>
        <w:ind w:left="1776" w:hanging="360"/>
      </w:pPr>
      <w:rPr>
        <w:rFonts w:cs="Times New Roman" w:hint="default"/>
        <w:b/>
        <w:rtl w:val="0"/>
        <w:cs w:val="0"/>
      </w:rPr>
    </w:lvl>
    <w:lvl w:ilvl="1">
      <w:start w:val="1"/>
      <w:numFmt w:val="bullet"/>
      <w:lvlText w:val="o"/>
      <w:lvlJc w:val="left"/>
      <w:pPr>
        <w:ind w:left="2496" w:hanging="360"/>
      </w:pPr>
      <w:rPr>
        <w:rFonts w:ascii="Courier New" w:hAnsi="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hint="default"/>
      </w:rPr>
    </w:lvl>
    <w:lvl w:ilvl="8">
      <w:start w:val="1"/>
      <w:numFmt w:val="bullet"/>
      <w:lvlText w:val=""/>
      <w:lvlJc w:val="left"/>
      <w:pPr>
        <w:ind w:left="7536" w:hanging="360"/>
      </w:pPr>
      <w:rPr>
        <w:rFonts w:ascii="Wingdings" w:hAnsi="Wingdings" w:hint="default"/>
      </w:rPr>
    </w:lvl>
  </w:abstractNum>
  <w:abstractNum w:abstractNumId="14">
    <w:nsid w:val="465B4B5D"/>
    <w:multiLevelType w:val="hybridMultilevel"/>
    <w:tmpl w:val="A0D818DE"/>
    <w:lvl w:ilvl="0">
      <w:start w:val="1"/>
      <w:numFmt w:val="lowerLetter"/>
      <w:lvlText w:val="%1)"/>
      <w:lvlJc w:val="left"/>
      <w:pPr>
        <w:ind w:left="1776" w:hanging="360"/>
      </w:pPr>
      <w:rPr>
        <w:rFonts w:cs="Times New Roman" w:hint="default"/>
        <w:b/>
        <w:rtl w:val="0"/>
        <w:cs w:val="0"/>
      </w:rPr>
    </w:lvl>
    <w:lvl w:ilvl="1">
      <w:start w:val="1"/>
      <w:numFmt w:val="bullet"/>
      <w:lvlText w:val="o"/>
      <w:lvlJc w:val="left"/>
      <w:pPr>
        <w:ind w:left="2496" w:hanging="360"/>
      </w:pPr>
      <w:rPr>
        <w:rFonts w:ascii="Courier New" w:hAnsi="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hint="default"/>
      </w:rPr>
    </w:lvl>
    <w:lvl w:ilvl="8">
      <w:start w:val="1"/>
      <w:numFmt w:val="bullet"/>
      <w:lvlText w:val=""/>
      <w:lvlJc w:val="left"/>
      <w:pPr>
        <w:ind w:left="7536" w:hanging="360"/>
      </w:pPr>
      <w:rPr>
        <w:rFonts w:ascii="Wingdings" w:hAnsi="Wingdings" w:hint="default"/>
      </w:rPr>
    </w:lvl>
  </w:abstractNum>
  <w:abstractNum w:abstractNumId="15">
    <w:nsid w:val="5075518D"/>
    <w:multiLevelType w:val="hybridMultilevel"/>
    <w:tmpl w:val="C50A89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4977619"/>
    <w:multiLevelType w:val="hybridMultilevel"/>
    <w:tmpl w:val="FFD8B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BA04721"/>
    <w:multiLevelType w:val="hybridMultilevel"/>
    <w:tmpl w:val="ED74356A"/>
    <w:lvl w:ilvl="0">
      <w:start w:val="1"/>
      <w:numFmt w:val="decimal"/>
      <w:lvlText w:val="%1."/>
      <w:lvlJc w:val="left"/>
      <w:pPr>
        <w:ind w:left="390" w:hanging="39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8">
    <w:nsid w:val="63520243"/>
    <w:multiLevelType w:val="hybridMultilevel"/>
    <w:tmpl w:val="AA10B410"/>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7CA81764"/>
    <w:multiLevelType w:val="hybridMultilevel"/>
    <w:tmpl w:val="7ACA1020"/>
    <w:lvl w:ilvl="0">
      <w:start w:val="1"/>
      <w:numFmt w:val="bullet"/>
      <w:lvlText w:val="-"/>
      <w:lvlJc w:val="left"/>
      <w:pPr>
        <w:ind w:left="870" w:hanging="51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8"/>
  </w:num>
  <w:num w:numId="4">
    <w:abstractNumId w:val="3"/>
  </w:num>
  <w:num w:numId="5">
    <w:abstractNumId w:val="8"/>
  </w:num>
  <w:num w:numId="6">
    <w:abstractNumId w:val="3"/>
  </w:num>
  <w:num w:numId="7">
    <w:abstractNumId w:val="8"/>
  </w:num>
  <w:num w:numId="8">
    <w:abstractNumId w:val="3"/>
  </w:num>
  <w:num w:numId="9">
    <w:abstractNumId w:val="8"/>
  </w:num>
  <w:num w:numId="10">
    <w:abstractNumId w:val="3"/>
  </w:num>
  <w:num w:numId="11">
    <w:abstractNumId w:val="8"/>
  </w:num>
  <w:num w:numId="12">
    <w:abstractNumId w:val="3"/>
  </w:num>
  <w:num w:numId="13">
    <w:abstractNumId w:val="8"/>
  </w:num>
  <w:num w:numId="14">
    <w:abstractNumId w:val="3"/>
  </w:num>
  <w:num w:numId="15">
    <w:abstractNumId w:val="8"/>
  </w:num>
  <w:num w:numId="16">
    <w:abstractNumId w:val="3"/>
  </w:num>
  <w:num w:numId="17">
    <w:abstractNumId w:val="8"/>
  </w:num>
  <w:num w:numId="18">
    <w:abstractNumId w:val="3"/>
  </w:num>
  <w:num w:numId="19">
    <w:abstractNumId w:val="8"/>
  </w:num>
  <w:num w:numId="20">
    <w:abstractNumId w:val="3"/>
  </w:num>
  <w:num w:numId="21">
    <w:abstractNumId w:val="8"/>
  </w:num>
  <w:num w:numId="22">
    <w:abstractNumId w:val="3"/>
  </w:num>
  <w:num w:numId="23">
    <w:abstractNumId w:val="8"/>
  </w:num>
  <w:num w:numId="24">
    <w:abstractNumId w:val="3"/>
  </w:num>
  <w:num w:numId="25">
    <w:abstractNumId w:val="8"/>
  </w:num>
  <w:num w:numId="26">
    <w:abstractNumId w:val="3"/>
  </w:num>
  <w:num w:numId="27">
    <w:abstractNumId w:val="2"/>
  </w:num>
  <w:num w:numId="28">
    <w:abstractNumId w:val="1"/>
  </w:num>
  <w:num w:numId="29">
    <w:abstractNumId w:val="0"/>
  </w:num>
  <w:num w:numId="30">
    <w:abstractNumId w:val="9"/>
  </w:num>
  <w:num w:numId="31">
    <w:abstractNumId w:val="7"/>
  </w:num>
  <w:num w:numId="32">
    <w:abstractNumId w:val="6"/>
  </w:num>
  <w:num w:numId="33">
    <w:abstractNumId w:val="5"/>
  </w:num>
  <w:num w:numId="34">
    <w:abstractNumId w:val="4"/>
  </w:num>
  <w:num w:numId="35">
    <w:abstractNumId w:val="17"/>
  </w:num>
  <w:num w:numId="36">
    <w:abstractNumId w:val="15"/>
  </w:num>
  <w:num w:numId="37">
    <w:abstractNumId w:val="19"/>
  </w:num>
  <w:num w:numId="38">
    <w:abstractNumId w:val="3"/>
  </w:num>
  <w:num w:numId="39">
    <w:abstractNumId w:val="16"/>
  </w:num>
  <w:num w:numId="40">
    <w:abstractNumId w:val="18"/>
  </w:num>
  <w:num w:numId="41">
    <w:abstractNumId w:val="14"/>
  </w:num>
  <w:num w:numId="42">
    <w:abstractNumId w:val="11"/>
  </w:num>
  <w:num w:numId="43">
    <w:abstractNumId w:val="13"/>
  </w:num>
  <w:num w:numId="44">
    <w:abstractNumId w:val="12"/>
  </w:num>
  <w:num w:numId="4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4"/>
  <w:doNotTrackMoves/>
  <w:defaultTabStop w:val="567"/>
  <w:hyphenationZone w:val="425"/>
  <w:drawingGridHorizontalSpacing w:val="120"/>
  <w:displayHorizontalDrawingGridEvery w:val="2"/>
  <w:characterSpacingControl w:val="doNotCompress"/>
  <w:compat/>
  <w:rsids>
    <w:rsidRoot w:val="00BC1BDB"/>
    <w:rsid w:val="0005046C"/>
    <w:rsid w:val="00051245"/>
    <w:rsid w:val="0008541F"/>
    <w:rsid w:val="000C4039"/>
    <w:rsid w:val="000E1382"/>
    <w:rsid w:val="000E3447"/>
    <w:rsid w:val="000E7653"/>
    <w:rsid w:val="000F20FC"/>
    <w:rsid w:val="00123EF1"/>
    <w:rsid w:val="00132F41"/>
    <w:rsid w:val="00153ED2"/>
    <w:rsid w:val="001C0248"/>
    <w:rsid w:val="001D38D3"/>
    <w:rsid w:val="001E26EA"/>
    <w:rsid w:val="002076B4"/>
    <w:rsid w:val="002144FD"/>
    <w:rsid w:val="00242A1F"/>
    <w:rsid w:val="00280E00"/>
    <w:rsid w:val="002D0DF7"/>
    <w:rsid w:val="002D4016"/>
    <w:rsid w:val="003017DA"/>
    <w:rsid w:val="00336B57"/>
    <w:rsid w:val="00352400"/>
    <w:rsid w:val="00364D84"/>
    <w:rsid w:val="0036544E"/>
    <w:rsid w:val="003678D2"/>
    <w:rsid w:val="00384878"/>
    <w:rsid w:val="003B6912"/>
    <w:rsid w:val="003C6D61"/>
    <w:rsid w:val="004378A2"/>
    <w:rsid w:val="00446A73"/>
    <w:rsid w:val="004547A9"/>
    <w:rsid w:val="00472663"/>
    <w:rsid w:val="00484608"/>
    <w:rsid w:val="004A4644"/>
    <w:rsid w:val="004A4F77"/>
    <w:rsid w:val="004C17A3"/>
    <w:rsid w:val="0050679D"/>
    <w:rsid w:val="00526CE5"/>
    <w:rsid w:val="00557FDA"/>
    <w:rsid w:val="00563B89"/>
    <w:rsid w:val="005653A2"/>
    <w:rsid w:val="00572F2C"/>
    <w:rsid w:val="005908B1"/>
    <w:rsid w:val="00601D32"/>
    <w:rsid w:val="006216E8"/>
    <w:rsid w:val="00676F8A"/>
    <w:rsid w:val="006843EA"/>
    <w:rsid w:val="00696F88"/>
    <w:rsid w:val="006B34FA"/>
    <w:rsid w:val="006E4E54"/>
    <w:rsid w:val="00753EC1"/>
    <w:rsid w:val="00761857"/>
    <w:rsid w:val="00762D4B"/>
    <w:rsid w:val="00784449"/>
    <w:rsid w:val="007B71FA"/>
    <w:rsid w:val="007E7F9D"/>
    <w:rsid w:val="00805D10"/>
    <w:rsid w:val="008225C1"/>
    <w:rsid w:val="00825420"/>
    <w:rsid w:val="00831324"/>
    <w:rsid w:val="008500C2"/>
    <w:rsid w:val="00861490"/>
    <w:rsid w:val="008661F4"/>
    <w:rsid w:val="00872FF1"/>
    <w:rsid w:val="008A022A"/>
    <w:rsid w:val="008C75BE"/>
    <w:rsid w:val="008D2334"/>
    <w:rsid w:val="008D55F3"/>
    <w:rsid w:val="008D6A6A"/>
    <w:rsid w:val="008E4CD2"/>
    <w:rsid w:val="008E7D1C"/>
    <w:rsid w:val="009016CC"/>
    <w:rsid w:val="00903A34"/>
    <w:rsid w:val="009068E7"/>
    <w:rsid w:val="00915AFF"/>
    <w:rsid w:val="0094402A"/>
    <w:rsid w:val="00981F42"/>
    <w:rsid w:val="0099677B"/>
    <w:rsid w:val="0099740C"/>
    <w:rsid w:val="009A6A96"/>
    <w:rsid w:val="009D37D0"/>
    <w:rsid w:val="009D38EB"/>
    <w:rsid w:val="009D4ACC"/>
    <w:rsid w:val="009F5F51"/>
    <w:rsid w:val="00A13D23"/>
    <w:rsid w:val="00A13E68"/>
    <w:rsid w:val="00A14661"/>
    <w:rsid w:val="00A3116A"/>
    <w:rsid w:val="00A44EF6"/>
    <w:rsid w:val="00A4739F"/>
    <w:rsid w:val="00A53329"/>
    <w:rsid w:val="00AA4D26"/>
    <w:rsid w:val="00AD2429"/>
    <w:rsid w:val="00AD61F0"/>
    <w:rsid w:val="00B329B0"/>
    <w:rsid w:val="00B5302A"/>
    <w:rsid w:val="00B564AB"/>
    <w:rsid w:val="00BC1BDB"/>
    <w:rsid w:val="00BE0A52"/>
    <w:rsid w:val="00BE4863"/>
    <w:rsid w:val="00BF3621"/>
    <w:rsid w:val="00BF3B1A"/>
    <w:rsid w:val="00BF42CB"/>
    <w:rsid w:val="00C03972"/>
    <w:rsid w:val="00C25457"/>
    <w:rsid w:val="00C326FE"/>
    <w:rsid w:val="00C46CAF"/>
    <w:rsid w:val="00C55B48"/>
    <w:rsid w:val="00C707DB"/>
    <w:rsid w:val="00C87979"/>
    <w:rsid w:val="00C92A1F"/>
    <w:rsid w:val="00C96FB2"/>
    <w:rsid w:val="00CA4DE1"/>
    <w:rsid w:val="00CF3CE4"/>
    <w:rsid w:val="00CF773F"/>
    <w:rsid w:val="00CF7DAE"/>
    <w:rsid w:val="00D1422B"/>
    <w:rsid w:val="00D17383"/>
    <w:rsid w:val="00D22DF5"/>
    <w:rsid w:val="00D75CE0"/>
    <w:rsid w:val="00D85885"/>
    <w:rsid w:val="00E3134A"/>
    <w:rsid w:val="00E331C7"/>
    <w:rsid w:val="00E462F1"/>
    <w:rsid w:val="00EC7903"/>
    <w:rsid w:val="00EF7051"/>
    <w:rsid w:val="00F31952"/>
    <w:rsid w:val="00F47385"/>
    <w:rsid w:val="00F6389A"/>
    <w:rsid w:val="00FA081D"/>
  </w:rsids>
  <m:mathPr>
    <m:mathFont m:val="Cambria Math"/>
    <m:smallFrac/>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663"/>
    <w:pPr>
      <w:framePr w:wrap="auto"/>
      <w:widowControl/>
      <w:autoSpaceDE/>
      <w:autoSpaceDN/>
      <w:adjustRightInd/>
      <w:spacing w:after="200" w:line="276" w:lineRule="auto"/>
      <w:ind w:left="0" w:right="0"/>
      <w:jc w:val="both"/>
      <w:textAlignment w:val="auto"/>
    </w:pPr>
    <w:rPr>
      <w:rFonts w:asciiTheme="minorHAnsi" w:hAnsiTheme="minorHAnsi" w:cstheme="minorBidi"/>
      <w:sz w:val="24"/>
      <w:szCs w:val="22"/>
      <w:rtl w:val="0"/>
      <w:cs w:val="0"/>
      <w:lang w:val="sk-SK" w:eastAsia="en-US" w:bidi="ar-SA"/>
    </w:rPr>
  </w:style>
  <w:style w:type="paragraph" w:styleId="Heading1">
    <w:name w:val="heading 1"/>
    <w:basedOn w:val="Normal"/>
    <w:next w:val="Normal"/>
    <w:link w:val="Nadpis1Char"/>
    <w:uiPriority w:val="9"/>
    <w:qFormat/>
    <w:rsid w:val="003C6D61"/>
    <w:pPr>
      <w:keepNext/>
      <w:widowControl w:val="0"/>
      <w:adjustRightInd w:val="0"/>
      <w:spacing w:before="240" w:after="60"/>
      <w:jc w:val="left"/>
      <w:outlineLvl w:val="0"/>
    </w:pPr>
    <w:rPr>
      <w:rFonts w:ascii="Arial"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3C6D61"/>
    <w:rPr>
      <w:rFonts w:ascii="Arial" w:hAnsi="Arial" w:cs="Arial"/>
      <w:b/>
      <w:bCs/>
      <w:kern w:val="32"/>
      <w:sz w:val="32"/>
      <w:szCs w:val="32"/>
      <w:rtl w:val="0"/>
      <w:cs w:val="0"/>
      <w:lang w:val="en-US" w:eastAsia="x-none"/>
    </w:rPr>
  </w:style>
  <w:style w:type="paragraph" w:styleId="Header">
    <w:name w:val="header"/>
    <w:basedOn w:val="Normal"/>
    <w:link w:val="HlavikaChar"/>
    <w:uiPriority w:val="99"/>
    <w:rsid w:val="008E4CD2"/>
    <w:pPr>
      <w:tabs>
        <w:tab w:val="center" w:pos="4536"/>
        <w:tab w:val="right" w:pos="9072"/>
      </w:tabs>
      <w:spacing w:after="0" w:line="240" w:lineRule="auto"/>
      <w:jc w:val="left"/>
    </w:pPr>
    <w:rPr>
      <w:rFonts w:cs="Times New Roman"/>
      <w:szCs w:val="24"/>
      <w:lang w:eastAsia="sk-SK"/>
    </w:rPr>
  </w:style>
  <w:style w:type="character" w:customStyle="1" w:styleId="HlavikaChar">
    <w:name w:val="Hlavička Char"/>
    <w:basedOn w:val="DefaultParagraphFont"/>
    <w:link w:val="Header"/>
    <w:uiPriority w:val="99"/>
    <w:locked/>
    <w:rsid w:val="008E4CD2"/>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8E4CD2"/>
    <w:pPr>
      <w:tabs>
        <w:tab w:val="center" w:pos="4536"/>
        <w:tab w:val="right" w:pos="9072"/>
      </w:tabs>
      <w:spacing w:after="0" w:line="240" w:lineRule="auto"/>
      <w:jc w:val="both"/>
    </w:pPr>
  </w:style>
  <w:style w:type="character" w:customStyle="1" w:styleId="PtaChar">
    <w:name w:val="Päta Char"/>
    <w:basedOn w:val="DefaultParagraphFont"/>
    <w:link w:val="Footer"/>
    <w:uiPriority w:val="99"/>
    <w:locked/>
    <w:rsid w:val="008E4CD2"/>
    <w:rPr>
      <w:rFonts w:ascii="Times New Roman" w:hAnsi="Times New Roman" w:cs="Times New Roman"/>
      <w:sz w:val="24"/>
      <w:rtl w:val="0"/>
      <w:cs w:val="0"/>
    </w:rPr>
  </w:style>
  <w:style w:type="paragraph" w:styleId="ListNumber">
    <w:name w:val="List Number"/>
    <w:basedOn w:val="Normal"/>
    <w:uiPriority w:val="99"/>
    <w:unhideWhenUsed/>
    <w:rsid w:val="00861490"/>
    <w:pPr>
      <w:numPr>
        <w:numId w:val="3"/>
      </w:numPr>
      <w:tabs>
        <w:tab w:val="left" w:pos="567"/>
      </w:tabs>
      <w:spacing w:after="240"/>
      <w:ind w:left="567" w:hanging="567"/>
      <w:contextualSpacing/>
      <w:jc w:val="both"/>
    </w:pPr>
    <w:rPr>
      <w:b/>
    </w:rPr>
  </w:style>
  <w:style w:type="paragraph" w:styleId="ListParagraph">
    <w:name w:val="List Paragraph"/>
    <w:basedOn w:val="Normal"/>
    <w:uiPriority w:val="34"/>
    <w:qFormat/>
    <w:rsid w:val="00472663"/>
    <w:pPr>
      <w:ind w:left="720"/>
      <w:contextualSpacing/>
      <w:jc w:val="both"/>
    </w:pPr>
  </w:style>
  <w:style w:type="paragraph" w:styleId="ListNumber2">
    <w:name w:val="List Number 2"/>
    <w:basedOn w:val="Normal"/>
    <w:uiPriority w:val="99"/>
    <w:unhideWhenUsed/>
    <w:rsid w:val="00861490"/>
    <w:pPr>
      <w:numPr>
        <w:numId w:val="4"/>
      </w:numPr>
      <w:tabs>
        <w:tab w:val="left" w:pos="567"/>
        <w:tab w:val="num" w:pos="643"/>
      </w:tabs>
      <w:ind w:left="567" w:hanging="567"/>
      <w:contextualSpacing/>
      <w:jc w:val="both"/>
    </w:pPr>
    <w:rPr>
      <w:b/>
    </w:rPr>
  </w:style>
  <w:style w:type="paragraph" w:styleId="BodyText">
    <w:name w:val="Body Text"/>
    <w:basedOn w:val="Normal"/>
    <w:link w:val="ZkladntextChar"/>
    <w:uiPriority w:val="99"/>
    <w:rsid w:val="00C87979"/>
    <w:pPr>
      <w:spacing w:after="0" w:line="240" w:lineRule="auto"/>
      <w:jc w:val="left"/>
    </w:pPr>
    <w:rPr>
      <w:rFonts w:cs="Times New Roman"/>
      <w:b/>
      <w:szCs w:val="20"/>
      <w:lang w:eastAsia="sk-SK"/>
    </w:rPr>
  </w:style>
  <w:style w:type="character" w:customStyle="1" w:styleId="ZkladntextChar">
    <w:name w:val="Základný text Char"/>
    <w:basedOn w:val="DefaultParagraphFont"/>
    <w:link w:val="BodyText"/>
    <w:uiPriority w:val="99"/>
    <w:locked/>
    <w:rsid w:val="00C87979"/>
    <w:rPr>
      <w:rFonts w:ascii="Times New Roman" w:hAnsi="Times New Roman" w:cs="Times New Roman"/>
      <w:b/>
      <w:sz w:val="20"/>
      <w:szCs w:val="20"/>
      <w:rtl w:val="0"/>
      <w:cs w:val="0"/>
      <w:lang w:val="x-none" w:eastAsia="sk-SK"/>
    </w:rPr>
  </w:style>
  <w:style w:type="paragraph" w:styleId="BodyText2">
    <w:name w:val="Body Text 2"/>
    <w:basedOn w:val="Normal"/>
    <w:link w:val="Zkladntext2Char"/>
    <w:uiPriority w:val="99"/>
    <w:rsid w:val="00C87979"/>
    <w:pPr>
      <w:spacing w:after="0" w:line="240" w:lineRule="auto"/>
      <w:jc w:val="left"/>
    </w:pPr>
    <w:rPr>
      <w:rFonts w:cs="Times New Roman"/>
      <w:szCs w:val="20"/>
      <w:lang w:eastAsia="sk-SK"/>
    </w:rPr>
  </w:style>
  <w:style w:type="character" w:customStyle="1" w:styleId="Zkladntext2Char">
    <w:name w:val="Základný text 2 Char"/>
    <w:basedOn w:val="DefaultParagraphFont"/>
    <w:link w:val="BodyText2"/>
    <w:uiPriority w:val="99"/>
    <w:locked/>
    <w:rsid w:val="00C87979"/>
    <w:rPr>
      <w:rFonts w:ascii="Times New Roman" w:hAnsi="Times New Roman" w:cs="Times New Roman"/>
      <w:sz w:val="20"/>
      <w:szCs w:val="20"/>
      <w:rtl w:val="0"/>
      <w:cs w:val="0"/>
      <w:lang w:val="x-none" w:eastAsia="sk-SK"/>
    </w:rPr>
  </w:style>
  <w:style w:type="character" w:styleId="PageNumber">
    <w:name w:val="page number"/>
    <w:basedOn w:val="DefaultParagraphFont"/>
    <w:uiPriority w:val="99"/>
    <w:semiHidden/>
    <w:rsid w:val="00872FF1"/>
    <w:rPr>
      <w:rFonts w:cs="Times New Roman"/>
      <w:rtl w:val="0"/>
      <w:cs w:val="0"/>
    </w:rPr>
  </w:style>
  <w:style w:type="paragraph" w:customStyle="1" w:styleId="CM4">
    <w:name w:val="CM4"/>
    <w:basedOn w:val="Normal"/>
    <w:next w:val="Normal"/>
    <w:uiPriority w:val="99"/>
    <w:rsid w:val="00AD2429"/>
    <w:pPr>
      <w:autoSpaceDE w:val="0"/>
      <w:autoSpaceDN w:val="0"/>
      <w:adjustRightInd w:val="0"/>
      <w:spacing w:after="0" w:line="240" w:lineRule="auto"/>
      <w:jc w:val="left"/>
    </w:pPr>
    <w:rPr>
      <w:rFonts w:ascii="EUAlbertina" w:hAnsi="EUAlbertina" w:cs="Times New Roman"/>
      <w:szCs w:val="24"/>
      <w:lang w:eastAsia="sk-SK"/>
    </w:rPr>
  </w:style>
  <w:style w:type="paragraph" w:customStyle="1" w:styleId="Nzovvyhlky">
    <w:name w:val="Názov vyhlášky"/>
    <w:basedOn w:val="Normal"/>
    <w:rsid w:val="00AD2429"/>
    <w:pPr>
      <w:spacing w:after="0" w:afterLines="100" w:line="240" w:lineRule="auto"/>
      <w:jc w:val="center"/>
    </w:pPr>
    <w:rPr>
      <w:rFonts w:cs="Times New Roman"/>
      <w:b/>
      <w:szCs w:val="24"/>
      <w:lang w:val="cs-CZ" w:eastAsia="cs-CZ"/>
    </w:rPr>
  </w:style>
  <w:style w:type="paragraph" w:styleId="PlainText">
    <w:name w:val="Plain Text"/>
    <w:basedOn w:val="Normal"/>
    <w:link w:val="ObyajntextChar"/>
    <w:uiPriority w:val="99"/>
    <w:rsid w:val="00AD2429"/>
    <w:pPr>
      <w:autoSpaceDE w:val="0"/>
      <w:autoSpaceDN w:val="0"/>
      <w:spacing w:after="0" w:line="240" w:lineRule="auto"/>
      <w:jc w:val="left"/>
    </w:pPr>
    <w:rPr>
      <w:rFonts w:ascii="Courier New" w:hAnsi="Courier New" w:cs="Courier New"/>
      <w:sz w:val="20"/>
      <w:szCs w:val="20"/>
      <w:lang w:eastAsia="sk-SK"/>
    </w:rPr>
  </w:style>
  <w:style w:type="character" w:customStyle="1" w:styleId="ObyajntextChar">
    <w:name w:val="Obyčajný text Char"/>
    <w:basedOn w:val="DefaultParagraphFont"/>
    <w:link w:val="PlainText"/>
    <w:uiPriority w:val="99"/>
    <w:locked/>
    <w:rsid w:val="00AD2429"/>
    <w:rPr>
      <w:rFonts w:ascii="Courier New" w:hAnsi="Courier New" w:cs="Courier New"/>
      <w:sz w:val="20"/>
      <w:szCs w:val="20"/>
      <w:rtl w:val="0"/>
      <w:cs w:val="0"/>
      <w:lang w:val="x-none" w:eastAsia="sk-SK"/>
    </w:rPr>
  </w:style>
  <w:style w:type="paragraph" w:styleId="Title">
    <w:name w:val="Title"/>
    <w:basedOn w:val="Normal"/>
    <w:link w:val="NzovChar"/>
    <w:uiPriority w:val="99"/>
    <w:qFormat/>
    <w:rsid w:val="00805D10"/>
    <w:pPr>
      <w:spacing w:after="0" w:line="240" w:lineRule="auto"/>
      <w:jc w:val="center"/>
    </w:pPr>
    <w:rPr>
      <w:rFonts w:ascii="Calibri" w:hAnsi="Calibri" w:cs="Times New Roman"/>
      <w:b/>
      <w:bCs/>
      <w:szCs w:val="24"/>
      <w:lang w:eastAsia="sk-SK"/>
    </w:rPr>
  </w:style>
  <w:style w:type="character" w:customStyle="1" w:styleId="NzovChar">
    <w:name w:val="Názov Char"/>
    <w:basedOn w:val="DefaultParagraphFont"/>
    <w:link w:val="Title"/>
    <w:uiPriority w:val="99"/>
    <w:locked/>
    <w:rsid w:val="00805D10"/>
    <w:rPr>
      <w:rFonts w:ascii="Calibri" w:hAnsi="Calibri" w:cs="Times New Roman"/>
      <w:b/>
      <w:bCs/>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header" Target="header10.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72</TotalTime>
  <Pages>29</Pages>
  <Words>8307</Words>
  <Characters>49920</Characters>
  <Application>Microsoft Office Word</Application>
  <DocSecurity>0</DocSecurity>
  <Lines>0</Lines>
  <Paragraphs>0</Paragraphs>
  <ScaleCrop>false</ScaleCrop>
  <Company/>
  <LinksUpToDate>false</LinksUpToDate>
  <CharactersWithSpaces>58111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Rybár</dc:creator>
  <cp:lastModifiedBy>Stela</cp:lastModifiedBy>
  <cp:revision>6</cp:revision>
  <cp:lastPrinted>2011-05-13T11:15:00Z</cp:lastPrinted>
  <dcterms:created xsi:type="dcterms:W3CDTF">2011-05-13T10:02:00Z</dcterms:created>
  <dcterms:modified xsi:type="dcterms:W3CDTF">2011-05-13T11:15:00Z</dcterms:modified>
</cp:coreProperties>
</file>