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51A5">
      <w:pPr>
        <w:pStyle w:val="Heading1"/>
        <w:spacing w:before="0"/>
      </w:pPr>
      <w:r>
        <w:t>PREDSEDA NÁRODNEJ RADY SLOVENSKEJ REPUBLIKY</w:t>
      </w:r>
    </w:p>
    <w:p w:rsidR="007351A5">
      <w:pPr>
        <w:pStyle w:val="Protokoln"/>
        <w:rPr>
          <w:rFonts w:cs="Times New Roman"/>
        </w:rPr>
      </w:pPr>
      <w:r>
        <w:rPr>
          <w:rFonts w:cs="Times New Roman"/>
        </w:rPr>
        <w:t xml:space="preserve">Číslo: </w:t>
      </w:r>
      <w:r w:rsidR="00E03578">
        <w:rPr>
          <w:rFonts w:cs="Times New Roman"/>
        </w:rPr>
        <w:t>CRD-</w:t>
      </w:r>
      <w:r w:rsidR="00651D8C">
        <w:rPr>
          <w:rFonts w:cs="Times New Roman"/>
        </w:rPr>
        <w:t>1745</w:t>
      </w:r>
      <w:r>
        <w:rPr>
          <w:rFonts w:cs="Times New Roman"/>
        </w:rPr>
        <w:t>/20</w:t>
      </w:r>
      <w:r w:rsidR="007448FA">
        <w:rPr>
          <w:rFonts w:cs="Times New Roman"/>
        </w:rPr>
        <w:t>11</w:t>
      </w:r>
    </w:p>
    <w:p w:rsidR="007351A5">
      <w:pPr>
        <w:jc w:val="center"/>
        <w:rPr>
          <w:rFonts w:ascii="Times New Roman" w:hAnsi="Times New Roman" w:cs="Times New Roman"/>
          <w:b/>
          <w:spacing w:val="20"/>
          <w:sz w:val="28"/>
        </w:rPr>
      </w:pPr>
      <w:r>
        <w:rPr>
          <w:rFonts w:ascii="Arial" w:hAnsi="Arial" w:cs="Arial"/>
          <w:b/>
          <w:spacing w:val="20"/>
          <w:sz w:val="28"/>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9pt;height:65.34pt" filled="f" fillcolor="window" stroked="f">
            <v:imagedata r:id="rId4" o:title="ZNAK"/>
          </v:shape>
        </w:pict>
      </w:r>
    </w:p>
    <w:p w:rsidR="007351A5">
      <w:pPr>
        <w:pStyle w:val="rozhodnutia"/>
        <w:rPr>
          <w:rFonts w:cs="Times New Roman"/>
        </w:rPr>
      </w:pPr>
      <w:r w:rsidR="00F63A59">
        <w:rPr>
          <w:rFonts w:cs="Times New Roman"/>
        </w:rPr>
        <w:t>359</w:t>
      </w:r>
    </w:p>
    <w:p w:rsidR="007351A5">
      <w:pPr>
        <w:pStyle w:val="Heading1"/>
      </w:pPr>
      <w:r>
        <w:t>ROZHODNUTIE</w:t>
      </w:r>
    </w:p>
    <w:p w:rsidR="007351A5">
      <w:pPr>
        <w:pStyle w:val="Heading1"/>
      </w:pPr>
      <w:r>
        <w:t>PREDSEDU NÁRODNEJ RADY SLOVENSKEJ REPUBLIKY</w:t>
      </w:r>
    </w:p>
    <w:p w:rsidR="007351A5">
      <w:pPr>
        <w:rPr>
          <w:rFonts w:ascii="Arial" w:hAnsi="Arial" w:cs="Arial"/>
        </w:rPr>
      </w:pPr>
    </w:p>
    <w:p w:rsidR="007351A5" w:rsidRPr="003F77CC">
      <w:pPr>
        <w:jc w:val="center"/>
        <w:rPr>
          <w:rFonts w:ascii="Arial" w:hAnsi="Arial" w:cs="Arial"/>
          <w:sz w:val="20"/>
          <w:szCs w:val="20"/>
        </w:rPr>
      </w:pPr>
      <w:r w:rsidRPr="003F77CC">
        <w:rPr>
          <w:rFonts w:ascii="Arial" w:hAnsi="Arial" w:cs="Arial"/>
          <w:sz w:val="20"/>
          <w:szCs w:val="20"/>
        </w:rPr>
        <w:t>z</w:t>
      </w:r>
      <w:r w:rsidRPr="003F77CC" w:rsidR="00F46EEF">
        <w:rPr>
          <w:rFonts w:ascii="Arial" w:hAnsi="Arial" w:cs="Arial"/>
          <w:sz w:val="20"/>
          <w:szCs w:val="20"/>
        </w:rPr>
        <w:t xml:space="preserve"> </w:t>
      </w:r>
      <w:r w:rsidRPr="003F77CC" w:rsidR="00651D8C">
        <w:rPr>
          <w:rFonts w:ascii="Arial" w:hAnsi="Arial" w:cs="Arial"/>
          <w:sz w:val="20"/>
          <w:szCs w:val="20"/>
        </w:rPr>
        <w:t>29</w:t>
      </w:r>
      <w:r w:rsidRPr="003F77CC" w:rsidR="00DA0846">
        <w:rPr>
          <w:rFonts w:ascii="Arial" w:hAnsi="Arial" w:cs="Arial"/>
          <w:sz w:val="20"/>
          <w:szCs w:val="20"/>
        </w:rPr>
        <w:t>.</w:t>
      </w:r>
      <w:r w:rsidRPr="003F77CC" w:rsidR="00651D8C">
        <w:rPr>
          <w:rFonts w:ascii="Arial" w:hAnsi="Arial" w:cs="Arial"/>
          <w:sz w:val="20"/>
          <w:szCs w:val="20"/>
        </w:rPr>
        <w:t xml:space="preserve"> apríla</w:t>
      </w:r>
      <w:r w:rsidRPr="003F77CC">
        <w:rPr>
          <w:rFonts w:ascii="Arial" w:hAnsi="Arial" w:cs="Arial"/>
          <w:sz w:val="20"/>
          <w:szCs w:val="20"/>
        </w:rPr>
        <w:t xml:space="preserve"> 20</w:t>
      </w:r>
      <w:r w:rsidRPr="003F77CC" w:rsidR="00294C93">
        <w:rPr>
          <w:rFonts w:ascii="Arial" w:hAnsi="Arial" w:cs="Arial"/>
          <w:sz w:val="20"/>
          <w:szCs w:val="20"/>
        </w:rPr>
        <w:t>1</w:t>
      </w:r>
      <w:r w:rsidRPr="003F77CC" w:rsidR="007448FA">
        <w:rPr>
          <w:rFonts w:ascii="Arial" w:hAnsi="Arial" w:cs="Arial"/>
          <w:sz w:val="20"/>
          <w:szCs w:val="20"/>
        </w:rPr>
        <w:t>1</w:t>
      </w:r>
    </w:p>
    <w:p w:rsidR="007351A5" w:rsidRPr="003F77CC">
      <w:pPr>
        <w:rPr>
          <w:rFonts w:ascii="Arial" w:hAnsi="Arial" w:cs="Arial"/>
          <w:sz w:val="20"/>
          <w:szCs w:val="20"/>
        </w:rPr>
      </w:pPr>
    </w:p>
    <w:p w:rsidR="007351A5" w:rsidRPr="003F77CC">
      <w:pPr>
        <w:pStyle w:val="BodyText"/>
        <w:tabs>
          <w:tab w:val="clear" w:pos="1080"/>
        </w:tabs>
        <w:adjustRightInd/>
        <w:rPr>
          <w:rFonts w:cs="Arial"/>
          <w:sz w:val="20"/>
          <w:lang w:val="sk-SK"/>
        </w:rPr>
      </w:pPr>
      <w:r w:rsidRPr="003F77CC">
        <w:rPr>
          <w:rFonts w:cs="Arial"/>
          <w:sz w:val="20"/>
          <w:lang w:val="sk-SK"/>
        </w:rPr>
        <w:t xml:space="preserve">o návrhu pridelenia návrhu </w:t>
      </w:r>
      <w:r w:rsidRPr="003F77CC" w:rsidR="00651D8C">
        <w:rPr>
          <w:rFonts w:cs="Arial"/>
          <w:sz w:val="20"/>
          <w:lang w:val="sk-SK"/>
        </w:rPr>
        <w:t xml:space="preserve">ústavného </w:t>
      </w:r>
      <w:r w:rsidRPr="003F77CC">
        <w:rPr>
          <w:rFonts w:cs="Arial"/>
          <w:sz w:val="20"/>
          <w:lang w:val="sk-SK"/>
        </w:rPr>
        <w:t xml:space="preserve">zákona, podaného </w:t>
      </w:r>
      <w:r w:rsidRPr="003F77CC" w:rsidR="00DA0846">
        <w:rPr>
          <w:rFonts w:cs="Arial"/>
          <w:sz w:val="20"/>
          <w:lang w:val="sk-SK"/>
        </w:rPr>
        <w:t>poslanc</w:t>
      </w:r>
      <w:r w:rsidRPr="003F77CC" w:rsidR="00651D8C">
        <w:rPr>
          <w:rFonts w:cs="Arial"/>
          <w:sz w:val="20"/>
          <w:lang w:val="sk-SK"/>
        </w:rPr>
        <w:t>ami</w:t>
      </w:r>
      <w:r w:rsidRPr="003F77CC">
        <w:rPr>
          <w:rFonts w:cs="Arial"/>
          <w:sz w:val="20"/>
          <w:lang w:val="sk-SK"/>
        </w:rPr>
        <w:t xml:space="preserve"> Národnej rady Slovenskej republiky na prerok</w:t>
      </w:r>
      <w:r w:rsidRPr="003F77CC">
        <w:rPr>
          <w:rFonts w:cs="Arial"/>
          <w:sz w:val="20"/>
          <w:lang w:val="sk-SK"/>
        </w:rPr>
        <w:t>ovanie výborom Národnej rady Slovenskej republiky</w:t>
      </w:r>
    </w:p>
    <w:p w:rsidR="007351A5" w:rsidRPr="003F77CC">
      <w:pPr>
        <w:jc w:val="both"/>
        <w:rPr>
          <w:rFonts w:ascii="Arial" w:hAnsi="Arial" w:cs="Arial"/>
          <w:noProof/>
          <w:sz w:val="20"/>
          <w:szCs w:val="20"/>
        </w:rPr>
      </w:pPr>
    </w:p>
    <w:p w:rsidR="007351A5" w:rsidRPr="003F77CC">
      <w:pPr>
        <w:jc w:val="both"/>
        <w:rPr>
          <w:rFonts w:ascii="Arial" w:hAnsi="Arial" w:cs="Arial"/>
          <w:noProof/>
          <w:sz w:val="20"/>
          <w:szCs w:val="20"/>
        </w:rPr>
      </w:pPr>
    </w:p>
    <w:p w:rsidR="007351A5" w:rsidRPr="003F77CC">
      <w:pPr>
        <w:jc w:val="both"/>
        <w:rPr>
          <w:rFonts w:ascii="Arial" w:hAnsi="Arial" w:cs="Arial"/>
          <w:noProof/>
          <w:sz w:val="20"/>
          <w:szCs w:val="20"/>
        </w:rPr>
      </w:pPr>
    </w:p>
    <w:p w:rsidR="007351A5" w:rsidRPr="003F77CC">
      <w:pPr>
        <w:jc w:val="both"/>
        <w:rPr>
          <w:rFonts w:ascii="Arial" w:hAnsi="Arial" w:cs="Arial"/>
          <w:b/>
          <w:noProof/>
          <w:sz w:val="22"/>
          <w:szCs w:val="22"/>
        </w:rPr>
      </w:pPr>
      <w:r w:rsidRPr="003F77CC">
        <w:rPr>
          <w:rFonts w:ascii="Arial" w:hAnsi="Arial" w:cs="Arial"/>
          <w:noProof/>
          <w:sz w:val="22"/>
          <w:szCs w:val="22"/>
        </w:rPr>
        <w:tab/>
      </w:r>
      <w:r w:rsidRPr="003F77CC" w:rsidR="005F3F76">
        <w:rPr>
          <w:rFonts w:ascii="Arial" w:hAnsi="Arial" w:cs="Arial"/>
          <w:b/>
          <w:noProof/>
          <w:sz w:val="22"/>
          <w:szCs w:val="22"/>
        </w:rPr>
        <w:t>N</w:t>
      </w:r>
      <w:r w:rsidRPr="003F77CC">
        <w:rPr>
          <w:rFonts w:ascii="Arial" w:hAnsi="Arial" w:cs="Arial"/>
          <w:b/>
          <w:noProof/>
          <w:sz w:val="22"/>
          <w:szCs w:val="22"/>
        </w:rPr>
        <w:t xml:space="preserve"> a v r h u j e m</w:t>
      </w:r>
    </w:p>
    <w:p w:rsidR="007351A5" w:rsidRPr="003F77CC">
      <w:pPr>
        <w:jc w:val="both"/>
        <w:rPr>
          <w:rFonts w:ascii="Arial" w:hAnsi="Arial" w:cs="Arial"/>
          <w:b/>
          <w:sz w:val="20"/>
          <w:szCs w:val="20"/>
        </w:rPr>
      </w:pPr>
    </w:p>
    <w:p w:rsidR="007351A5" w:rsidRPr="003F77CC" w:rsidP="005F3F76">
      <w:pPr>
        <w:jc w:val="both"/>
        <w:rPr>
          <w:rFonts w:ascii="Arial" w:hAnsi="Arial" w:cs="Arial"/>
          <w:sz w:val="20"/>
          <w:szCs w:val="20"/>
        </w:rPr>
      </w:pPr>
      <w:r w:rsidRPr="003F77CC">
        <w:rPr>
          <w:rFonts w:ascii="Arial" w:hAnsi="Arial" w:cs="Arial"/>
          <w:sz w:val="20"/>
          <w:szCs w:val="20"/>
        </w:rPr>
        <w:tab/>
        <w:t>Národnej rade Slovenskej republiky</w:t>
      </w:r>
    </w:p>
    <w:p w:rsidR="007351A5" w:rsidRPr="003F77CC">
      <w:pPr>
        <w:jc w:val="both"/>
        <w:rPr>
          <w:rFonts w:ascii="Arial" w:hAnsi="Arial" w:cs="Arial"/>
          <w:sz w:val="20"/>
          <w:szCs w:val="20"/>
        </w:rPr>
      </w:pPr>
    </w:p>
    <w:p w:rsidR="007351A5" w:rsidRPr="003F77CC" w:rsidP="005F3F76">
      <w:pPr>
        <w:jc w:val="both"/>
        <w:rPr>
          <w:rFonts w:ascii="Arial" w:hAnsi="Arial" w:cs="Arial"/>
          <w:sz w:val="22"/>
          <w:szCs w:val="22"/>
        </w:rPr>
      </w:pPr>
      <w:r w:rsidRPr="003F77CC">
        <w:rPr>
          <w:rFonts w:ascii="Arial" w:hAnsi="Arial" w:cs="Arial"/>
          <w:sz w:val="22"/>
          <w:szCs w:val="22"/>
        </w:rPr>
        <w:tab/>
      </w:r>
      <w:r w:rsidRPr="003F77CC" w:rsidR="005F3F76">
        <w:rPr>
          <w:rFonts w:ascii="Arial" w:hAnsi="Arial" w:cs="Arial"/>
          <w:b/>
          <w:sz w:val="22"/>
          <w:szCs w:val="22"/>
        </w:rPr>
        <w:t>A</w:t>
      </w:r>
      <w:r w:rsidRPr="003F77CC">
        <w:rPr>
          <w:rFonts w:ascii="Arial" w:hAnsi="Arial" w:cs="Arial"/>
          <w:b/>
          <w:sz w:val="22"/>
          <w:szCs w:val="22"/>
        </w:rPr>
        <w:t>. p r i d e l i ť</w:t>
      </w:r>
    </w:p>
    <w:p w:rsidR="007351A5" w:rsidRPr="003F77CC">
      <w:pPr>
        <w:jc w:val="both"/>
        <w:rPr>
          <w:rFonts w:ascii="Arial" w:hAnsi="Arial" w:cs="Arial"/>
          <w:sz w:val="20"/>
          <w:szCs w:val="20"/>
        </w:rPr>
      </w:pPr>
    </w:p>
    <w:p w:rsidR="007351A5" w:rsidRPr="003F77CC" w:rsidP="005F3F76">
      <w:pPr>
        <w:pStyle w:val="BodyText2"/>
        <w:tabs>
          <w:tab w:val="left" w:pos="1080"/>
          <w:tab w:val="clear" w:pos="1440"/>
        </w:tabs>
        <w:rPr>
          <w:rFonts w:cs="Arial"/>
          <w:sz w:val="20"/>
        </w:rPr>
      </w:pPr>
      <w:r w:rsidRPr="003F77CC">
        <w:rPr>
          <w:rFonts w:cs="Arial"/>
          <w:sz w:val="20"/>
        </w:rPr>
        <w:tab/>
        <w:t xml:space="preserve">návrh </w:t>
      </w:r>
      <w:r w:rsidRPr="003F77CC" w:rsidR="00DA0846">
        <w:rPr>
          <w:rFonts w:cs="Arial"/>
          <w:sz w:val="20"/>
        </w:rPr>
        <w:t>poslancov</w:t>
      </w:r>
      <w:r w:rsidRPr="003F77CC">
        <w:rPr>
          <w:rFonts w:cs="Arial"/>
          <w:sz w:val="20"/>
        </w:rPr>
        <w:t xml:space="preserve"> Národnej rady Slovenskej republiky </w:t>
      </w:r>
      <w:r w:rsidRPr="003F77CC" w:rsidR="00651D8C">
        <w:rPr>
          <w:rFonts w:cs="Arial"/>
          <w:sz w:val="20"/>
        </w:rPr>
        <w:t xml:space="preserve">Igora MATOVIČA, Eriky JURINOVEJ, Martina FECKA a Jozefa VISKUPIČA </w:t>
      </w:r>
      <w:r w:rsidRPr="003F77CC">
        <w:rPr>
          <w:rFonts w:cs="Arial"/>
          <w:sz w:val="20"/>
        </w:rPr>
        <w:t>na vyda</w:t>
      </w:r>
      <w:r w:rsidRPr="003F77CC">
        <w:rPr>
          <w:rFonts w:cs="Arial"/>
          <w:sz w:val="20"/>
        </w:rPr>
        <w:t xml:space="preserve">nie </w:t>
      </w:r>
      <w:r w:rsidRPr="003F77CC" w:rsidR="00651D8C">
        <w:rPr>
          <w:rFonts w:cs="Arial"/>
          <w:sz w:val="20"/>
        </w:rPr>
        <w:t xml:space="preserve">ústavného </w:t>
      </w:r>
      <w:r w:rsidRPr="003F77CC">
        <w:rPr>
          <w:rFonts w:cs="Arial"/>
          <w:sz w:val="20"/>
        </w:rPr>
        <w:t>zákona</w:t>
      </w:r>
      <w:r w:rsidRPr="003F77CC" w:rsidR="00651D8C">
        <w:rPr>
          <w:rFonts w:cs="Arial"/>
          <w:sz w:val="20"/>
        </w:rPr>
        <w:t xml:space="preserve">, ktorým sa mení Ústava Slovenskej republiky č. 460/1992 Zb. v znení neskorších predpisov </w:t>
      </w:r>
      <w:r w:rsidRPr="003F77CC" w:rsidR="008B1A45">
        <w:rPr>
          <w:rFonts w:cs="Arial"/>
          <w:sz w:val="20"/>
        </w:rPr>
        <w:t xml:space="preserve">(tlač </w:t>
      </w:r>
      <w:r w:rsidRPr="003F77CC" w:rsidR="00651D8C">
        <w:rPr>
          <w:rFonts w:cs="Arial"/>
          <w:sz w:val="20"/>
        </w:rPr>
        <w:t>367</w:t>
      </w:r>
      <w:r w:rsidRPr="003F77CC" w:rsidR="00F91B80">
        <w:rPr>
          <w:rFonts w:cs="Arial"/>
          <w:sz w:val="20"/>
        </w:rPr>
        <w:t xml:space="preserve">), doručený </w:t>
      </w:r>
      <w:r w:rsidR="003F77CC">
        <w:rPr>
          <w:rFonts w:cs="Arial"/>
          <w:sz w:val="20"/>
        </w:rPr>
        <w:br/>
      </w:r>
      <w:r w:rsidRPr="003F77CC" w:rsidR="00651D8C">
        <w:rPr>
          <w:rFonts w:cs="Arial"/>
          <w:sz w:val="20"/>
        </w:rPr>
        <w:t>29</w:t>
      </w:r>
      <w:r w:rsidRPr="003F77CC" w:rsidR="00F91B80">
        <w:rPr>
          <w:rFonts w:cs="Arial"/>
          <w:sz w:val="20"/>
        </w:rPr>
        <w:t>.</w:t>
      </w:r>
      <w:r w:rsidRPr="003F77CC" w:rsidR="00651D8C">
        <w:rPr>
          <w:rFonts w:cs="Arial"/>
          <w:sz w:val="20"/>
        </w:rPr>
        <w:t xml:space="preserve"> apríla</w:t>
      </w:r>
      <w:r w:rsidRPr="003F77CC" w:rsidR="00F91B80">
        <w:rPr>
          <w:rFonts w:cs="Arial"/>
          <w:sz w:val="20"/>
        </w:rPr>
        <w:t xml:space="preserve"> 20</w:t>
      </w:r>
      <w:r w:rsidRPr="003F77CC" w:rsidR="00294C93">
        <w:rPr>
          <w:rFonts w:cs="Arial"/>
          <w:sz w:val="20"/>
        </w:rPr>
        <w:t>1</w:t>
      </w:r>
      <w:r w:rsidRPr="003F77CC" w:rsidR="000E308C">
        <w:rPr>
          <w:rFonts w:cs="Arial"/>
          <w:sz w:val="20"/>
        </w:rPr>
        <w:t>1</w:t>
      </w:r>
    </w:p>
    <w:p w:rsidR="007351A5" w:rsidRPr="003F77CC">
      <w:pPr>
        <w:pStyle w:val="BodyText2"/>
        <w:rPr>
          <w:rFonts w:cs="Arial"/>
          <w:sz w:val="20"/>
        </w:rPr>
      </w:pPr>
    </w:p>
    <w:p w:rsidR="008B1A45" w:rsidRPr="003F77CC" w:rsidP="005F3F76">
      <w:pPr>
        <w:tabs>
          <w:tab w:val="left" w:pos="1080"/>
        </w:tabs>
        <w:jc w:val="both"/>
        <w:rPr>
          <w:rFonts w:ascii="Arial" w:hAnsi="Arial" w:cs="Arial"/>
          <w:sz w:val="20"/>
          <w:szCs w:val="20"/>
          <w:u w:val="single"/>
        </w:rPr>
      </w:pPr>
      <w:r w:rsidRPr="003F77CC">
        <w:rPr>
          <w:rFonts w:ascii="Arial" w:hAnsi="Arial" w:cs="Arial"/>
          <w:sz w:val="20"/>
          <w:szCs w:val="20"/>
        </w:rPr>
        <w:tab/>
      </w:r>
      <w:r w:rsidRPr="003F77CC">
        <w:rPr>
          <w:rFonts w:ascii="Arial" w:hAnsi="Arial" w:cs="Arial"/>
          <w:sz w:val="20"/>
          <w:szCs w:val="20"/>
          <w:u w:val="single"/>
        </w:rPr>
        <w:t>na prerokovanie</w:t>
      </w:r>
    </w:p>
    <w:p w:rsidR="00CF1C07" w:rsidRPr="003F77CC" w:rsidP="005F3F76">
      <w:pPr>
        <w:tabs>
          <w:tab w:val="left" w:pos="1080"/>
        </w:tabs>
        <w:jc w:val="both"/>
        <w:rPr>
          <w:rFonts w:ascii="Arial" w:hAnsi="Arial" w:cs="Arial"/>
          <w:sz w:val="20"/>
          <w:szCs w:val="20"/>
        </w:rPr>
      </w:pPr>
    </w:p>
    <w:p w:rsidR="00CF1C07" w:rsidRPr="003F77CC" w:rsidP="00CF1C07">
      <w:pPr>
        <w:tabs>
          <w:tab w:val="left" w:pos="1080"/>
        </w:tabs>
        <w:jc w:val="both"/>
        <w:rPr>
          <w:rFonts w:ascii="Arial" w:hAnsi="Arial" w:cs="Arial"/>
          <w:sz w:val="20"/>
          <w:szCs w:val="20"/>
        </w:rPr>
      </w:pPr>
      <w:r w:rsidRPr="003F77CC">
        <w:rPr>
          <w:rFonts w:ascii="Arial" w:hAnsi="Arial" w:cs="Arial"/>
          <w:sz w:val="20"/>
          <w:szCs w:val="20"/>
        </w:rPr>
        <w:tab/>
      </w:r>
      <w:r w:rsidRPr="003F77CC">
        <w:rPr>
          <w:rFonts w:ascii="Arial" w:hAnsi="Arial" w:cs="Arial"/>
          <w:b/>
          <w:sz w:val="20"/>
          <w:szCs w:val="20"/>
        </w:rPr>
        <w:t>všetkým výborom Národnej rady Slovenskej republiky</w:t>
      </w:r>
    </w:p>
    <w:p w:rsidR="00CF1C07" w:rsidRPr="003F77CC" w:rsidP="00CF1C07">
      <w:pPr>
        <w:tabs>
          <w:tab w:val="left" w:pos="1080"/>
        </w:tabs>
        <w:ind w:left="1080"/>
        <w:jc w:val="both"/>
        <w:rPr>
          <w:rFonts w:ascii="Arial" w:hAnsi="Arial" w:cs="Arial"/>
          <w:sz w:val="20"/>
          <w:szCs w:val="20"/>
        </w:rPr>
      </w:pPr>
      <w:r w:rsidRPr="003F77CC">
        <w:rPr>
          <w:rFonts w:ascii="Arial" w:hAnsi="Arial" w:cs="Arial"/>
          <w:sz w:val="20"/>
          <w:szCs w:val="20"/>
        </w:rPr>
        <w:t>(okrem Mandátového a imunitného výbor</w:t>
      </w:r>
      <w:r w:rsidRPr="003F77CC">
        <w:rPr>
          <w:rFonts w:ascii="Arial" w:hAnsi="Arial" w:cs="Arial"/>
          <w:sz w:val="20"/>
          <w:szCs w:val="20"/>
        </w:rPr>
        <w:t>u Národnej rady Slovenskej republiky, Výboru Národnej rady Slovenskej republiky pre nezlučiteľnosť funkcií, Výboru Národnej rady Slovenskej repu</w:t>
      </w:r>
      <w:r w:rsidRPr="003F77CC">
        <w:rPr>
          <w:rFonts w:ascii="Arial" w:hAnsi="Arial" w:cs="Arial"/>
          <w:sz w:val="20"/>
          <w:szCs w:val="20"/>
        </w:rPr>
        <w:t>bliky pre európske záležitosti, Osobitného kontrolného výboru Národnej rady Slovenskej republiky na kontrolu činnosti Národného bezpečnostného úradu, Osobitného kontrolného výboru Národnej rady Slovenskej republiky na kontrolu činnosti Slovenskej informačnej služby, Osobitného kontrolného výboru Národnej rady Slovenskej republiky na kontrolu činnosti Vojenského spravodajstva a Výboru Národnej rady Slovenskej republiky na preskúmavanie rozhodnutí Národného bezpečnostného úradu);</w:t>
      </w:r>
    </w:p>
    <w:p w:rsidR="005F3F76" w:rsidRPr="003F77CC">
      <w:pPr>
        <w:tabs>
          <w:tab w:val="left" w:pos="1080"/>
        </w:tabs>
        <w:jc w:val="both"/>
        <w:rPr>
          <w:rFonts w:ascii="Arial" w:hAnsi="Arial" w:cs="Arial"/>
          <w:sz w:val="20"/>
          <w:szCs w:val="20"/>
        </w:rPr>
      </w:pPr>
    </w:p>
    <w:p w:rsidR="007351A5" w:rsidRPr="003F77CC" w:rsidP="005F3F76">
      <w:pPr>
        <w:tabs>
          <w:tab w:val="left" w:pos="-1800"/>
        </w:tabs>
        <w:jc w:val="both"/>
        <w:rPr>
          <w:rFonts w:ascii="Arial" w:hAnsi="Arial" w:cs="Arial"/>
          <w:b/>
          <w:sz w:val="22"/>
          <w:szCs w:val="22"/>
        </w:rPr>
      </w:pPr>
      <w:r w:rsidRPr="003F77CC" w:rsidR="005F3F76">
        <w:rPr>
          <w:rFonts w:ascii="Arial" w:hAnsi="Arial" w:cs="Arial"/>
          <w:b/>
          <w:sz w:val="22"/>
          <w:szCs w:val="22"/>
        </w:rPr>
        <w:tab/>
        <w:t>B</w:t>
      </w:r>
      <w:r w:rsidRPr="003F77CC">
        <w:rPr>
          <w:rFonts w:ascii="Arial" w:hAnsi="Arial" w:cs="Arial"/>
          <w:b/>
          <w:sz w:val="22"/>
          <w:szCs w:val="22"/>
        </w:rPr>
        <w:t>. u r č i ť</w:t>
      </w:r>
    </w:p>
    <w:p w:rsidR="007351A5" w:rsidRPr="003F77CC">
      <w:pPr>
        <w:jc w:val="both"/>
        <w:rPr>
          <w:rFonts w:ascii="Arial" w:hAnsi="Arial" w:cs="Arial"/>
          <w:b/>
          <w:sz w:val="20"/>
          <w:szCs w:val="20"/>
        </w:rPr>
      </w:pPr>
    </w:p>
    <w:p w:rsidR="007351A5" w:rsidRPr="003F77CC" w:rsidP="00370627">
      <w:pPr>
        <w:tabs>
          <w:tab w:val="left" w:pos="-1980"/>
          <w:tab w:val="left" w:pos="1080"/>
        </w:tabs>
        <w:jc w:val="both"/>
        <w:rPr>
          <w:rFonts w:ascii="Arial" w:hAnsi="Arial" w:cs="Arial"/>
          <w:sz w:val="20"/>
          <w:szCs w:val="20"/>
        </w:rPr>
      </w:pPr>
      <w:r w:rsidRPr="003F77CC" w:rsidR="00370627">
        <w:rPr>
          <w:rFonts w:ascii="Arial" w:hAnsi="Arial" w:cs="Arial"/>
          <w:sz w:val="20"/>
          <w:szCs w:val="20"/>
        </w:rPr>
        <w:tab/>
      </w:r>
      <w:r w:rsidRPr="003F77CC">
        <w:rPr>
          <w:rFonts w:ascii="Arial" w:hAnsi="Arial" w:cs="Arial"/>
          <w:sz w:val="20"/>
          <w:szCs w:val="20"/>
        </w:rPr>
        <w:t xml:space="preserve">a) k návrhu </w:t>
      </w:r>
      <w:r w:rsidR="003F77CC">
        <w:rPr>
          <w:rFonts w:ascii="Arial" w:hAnsi="Arial" w:cs="Arial"/>
          <w:sz w:val="20"/>
          <w:szCs w:val="20"/>
        </w:rPr>
        <w:t xml:space="preserve">ústavného </w:t>
      </w:r>
      <w:r w:rsidRPr="003F77CC">
        <w:rPr>
          <w:rFonts w:ascii="Arial" w:hAnsi="Arial" w:cs="Arial"/>
          <w:sz w:val="20"/>
          <w:szCs w:val="20"/>
        </w:rPr>
        <w:t xml:space="preserve">zákona ako gestorský </w:t>
      </w:r>
      <w:r w:rsidRPr="003F77CC" w:rsidR="00CF1C07">
        <w:rPr>
          <w:rFonts w:ascii="Arial" w:hAnsi="Arial" w:cs="Arial"/>
          <w:sz w:val="20"/>
          <w:szCs w:val="20"/>
        </w:rPr>
        <w:t>Ústavnoprávny v</w:t>
      </w:r>
      <w:r w:rsidRPr="003F77CC">
        <w:rPr>
          <w:rFonts w:ascii="Arial" w:hAnsi="Arial" w:cs="Arial"/>
          <w:sz w:val="20"/>
          <w:szCs w:val="20"/>
        </w:rPr>
        <w:t>ýbor Národnej rady Slovenskej republiky,</w:t>
      </w:r>
    </w:p>
    <w:p w:rsidR="007351A5" w:rsidRPr="003F77CC">
      <w:pPr>
        <w:jc w:val="both"/>
        <w:rPr>
          <w:rFonts w:ascii="Arial" w:hAnsi="Arial" w:cs="Arial"/>
          <w:sz w:val="20"/>
          <w:szCs w:val="20"/>
        </w:rPr>
      </w:pPr>
    </w:p>
    <w:p w:rsidR="007351A5" w:rsidRPr="003F77CC" w:rsidP="00370627">
      <w:pPr>
        <w:tabs>
          <w:tab w:val="left" w:pos="-1620"/>
          <w:tab w:val="left" w:pos="1080"/>
        </w:tabs>
        <w:jc w:val="both"/>
        <w:rPr>
          <w:rFonts w:ascii="Arial" w:hAnsi="Arial" w:cs="Arial"/>
          <w:sz w:val="20"/>
          <w:szCs w:val="20"/>
        </w:rPr>
      </w:pPr>
      <w:r w:rsidRPr="003F77CC">
        <w:rPr>
          <w:rFonts w:ascii="Arial" w:hAnsi="Arial" w:cs="Arial"/>
          <w:sz w:val="20"/>
          <w:szCs w:val="20"/>
        </w:rPr>
        <w:tab/>
        <w:t xml:space="preserve">b) lehotu na prerokovanie návrhu </w:t>
      </w:r>
      <w:r w:rsidR="003F77CC">
        <w:rPr>
          <w:rFonts w:ascii="Arial" w:hAnsi="Arial" w:cs="Arial"/>
          <w:sz w:val="20"/>
          <w:szCs w:val="20"/>
        </w:rPr>
        <w:t xml:space="preserve">ústavného </w:t>
      </w:r>
      <w:r w:rsidRPr="003F77CC">
        <w:rPr>
          <w:rFonts w:ascii="Arial" w:hAnsi="Arial" w:cs="Arial"/>
          <w:sz w:val="20"/>
          <w:szCs w:val="20"/>
        </w:rPr>
        <w:t xml:space="preserve">zákona v druhom čítaní vo výboroch </w:t>
      </w:r>
      <w:r w:rsidRPr="003F77CC" w:rsidR="00BE56B2">
        <w:rPr>
          <w:rFonts w:ascii="Arial" w:hAnsi="Arial" w:cs="Arial"/>
          <w:sz w:val="20"/>
          <w:szCs w:val="20"/>
        </w:rPr>
        <w:br/>
      </w:r>
      <w:r w:rsidRPr="003F77CC" w:rsidR="008B1A45">
        <w:rPr>
          <w:rFonts w:ascii="Arial" w:hAnsi="Arial" w:cs="Arial"/>
          <w:b/>
          <w:sz w:val="20"/>
          <w:szCs w:val="20"/>
          <w:u w:val="single"/>
        </w:rPr>
        <w:t xml:space="preserve">do </w:t>
      </w:r>
      <w:r w:rsidR="003F77CC">
        <w:rPr>
          <w:rFonts w:ascii="Arial" w:hAnsi="Arial" w:cs="Arial"/>
          <w:b/>
          <w:sz w:val="20"/>
          <w:szCs w:val="20"/>
          <w:u w:val="single"/>
        </w:rPr>
        <w:t>30 dní</w:t>
      </w:r>
      <w:r w:rsidRPr="003F77CC" w:rsidR="0054739D">
        <w:rPr>
          <w:rFonts w:ascii="Arial" w:hAnsi="Arial" w:cs="Arial"/>
          <w:b/>
          <w:sz w:val="20"/>
          <w:szCs w:val="20"/>
        </w:rPr>
        <w:t xml:space="preserve"> </w:t>
      </w:r>
      <w:r w:rsidRPr="003F77CC">
        <w:rPr>
          <w:rFonts w:ascii="Arial" w:hAnsi="Arial" w:cs="Arial"/>
          <w:sz w:val="20"/>
          <w:szCs w:val="20"/>
        </w:rPr>
        <w:t xml:space="preserve">a v gestorskom výbore </w:t>
      </w:r>
      <w:r w:rsidRPr="003F77CC" w:rsidR="008B1A45">
        <w:rPr>
          <w:rFonts w:ascii="Arial" w:hAnsi="Arial" w:cs="Arial"/>
          <w:b/>
          <w:sz w:val="20"/>
          <w:szCs w:val="20"/>
          <w:u w:val="single"/>
        </w:rPr>
        <w:t xml:space="preserve">do </w:t>
      </w:r>
      <w:r w:rsidR="003F77CC">
        <w:rPr>
          <w:rFonts w:ascii="Arial" w:hAnsi="Arial" w:cs="Arial"/>
          <w:b/>
          <w:sz w:val="20"/>
          <w:szCs w:val="20"/>
          <w:u w:val="single"/>
        </w:rPr>
        <w:t>32 dní</w:t>
      </w:r>
      <w:r w:rsidR="003F77CC">
        <w:rPr>
          <w:rFonts w:ascii="Arial" w:hAnsi="Arial" w:cs="Arial"/>
          <w:sz w:val="20"/>
          <w:szCs w:val="20"/>
        </w:rPr>
        <w:t xml:space="preserve"> od prerokovania návrhu zákona v Národnej rade Slovenskej republiky v prvom čítaní</w:t>
      </w:r>
      <w:r w:rsidRPr="003F77CC">
        <w:rPr>
          <w:rFonts w:ascii="Arial" w:hAnsi="Arial" w:cs="Arial"/>
          <w:sz w:val="20"/>
          <w:szCs w:val="20"/>
        </w:rPr>
        <w:t>.</w:t>
      </w:r>
    </w:p>
    <w:p w:rsidR="007351A5" w:rsidRPr="003F77CC">
      <w:pPr>
        <w:jc w:val="both"/>
        <w:rPr>
          <w:rFonts w:ascii="Arial" w:hAnsi="Arial" w:cs="Arial"/>
          <w:sz w:val="20"/>
          <w:szCs w:val="20"/>
        </w:rPr>
      </w:pPr>
    </w:p>
    <w:p w:rsidR="007351A5" w:rsidRPr="003F77CC">
      <w:pPr>
        <w:pStyle w:val="Protokoln"/>
        <w:spacing w:before="0"/>
        <w:rPr>
          <w:rFonts w:cs="Arial"/>
          <w:spacing w:val="0"/>
          <w:sz w:val="20"/>
        </w:rPr>
      </w:pPr>
    </w:p>
    <w:p w:rsidR="007351A5" w:rsidRPr="003F77CC" w:rsidP="00E66789">
      <w:pPr>
        <w:pStyle w:val="Protokoln"/>
        <w:spacing w:before="0"/>
        <w:jc w:val="center"/>
        <w:rPr>
          <w:rFonts w:cs="Arial"/>
          <w:spacing w:val="0"/>
          <w:sz w:val="20"/>
        </w:rPr>
      </w:pPr>
      <w:r w:rsidRPr="003F77CC" w:rsidR="00E03578">
        <w:rPr>
          <w:rFonts w:cs="Arial"/>
          <w:spacing w:val="0"/>
          <w:sz w:val="20"/>
        </w:rPr>
        <w:t>Richard   S u l í k</w:t>
      </w:r>
      <w:r w:rsidRPr="003F77CC">
        <w:rPr>
          <w:rFonts w:cs="Arial"/>
          <w:spacing w:val="0"/>
          <w:sz w:val="20"/>
        </w:rPr>
        <w:t xml:space="preserve">   v. r.</w:t>
      </w:r>
    </w:p>
    <w:p w:rsidR="00E66789" w:rsidRPr="003F77CC" w:rsidP="00E66789">
      <w:pPr>
        <w:pStyle w:val="Protokoln"/>
        <w:spacing w:before="0"/>
        <w:jc w:val="both"/>
        <w:rPr>
          <w:rFonts w:cs="Arial"/>
          <w:spacing w:val="0"/>
          <w:sz w:val="20"/>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6"/>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E308C"/>
    <w:rsid w:val="00294C93"/>
    <w:rsid w:val="00370627"/>
    <w:rsid w:val="003F77CC"/>
    <w:rsid w:val="0054739D"/>
    <w:rsid w:val="005F3F76"/>
    <w:rsid w:val="00651D8C"/>
    <w:rsid w:val="007351A5"/>
    <w:rsid w:val="007448FA"/>
    <w:rsid w:val="008B1A45"/>
    <w:rsid w:val="00BE56B2"/>
    <w:rsid w:val="00CF1C07"/>
    <w:rsid w:val="00DA0846"/>
    <w:rsid w:val="00E03578"/>
    <w:rsid w:val="00E66789"/>
    <w:rsid w:val="00F46EEF"/>
    <w:rsid w:val="00F63A59"/>
    <w:rsid w:val="00F91B8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spacing w:before="120"/>
      <w:jc w:val="center"/>
      <w:outlineLvl w:val="0"/>
    </w:pPr>
    <w:rPr>
      <w:rFonts w:ascii="Arial" w:hAnsi="Arial" w:cs="Arial"/>
      <w:spacing w:val="8"/>
      <w:kern w:val="32"/>
      <w:sz w:val="32"/>
      <w:szCs w:val="32"/>
    </w:rPr>
  </w:style>
  <w:style w:type="character" w:default="1" w:styleId="DefaultParagraphFont">
    <w:name w:val="Default Paragraph Font"/>
    <w:semiHidden/>
  </w:style>
  <w:style w:type="paragraph" w:styleId="BodyText">
    <w:name w:val="Body Text"/>
    <w:basedOn w:val="Normal"/>
    <w:pPr>
      <w:tabs>
        <w:tab w:val="left" w:pos="1080"/>
      </w:tabs>
      <w:autoSpaceDE/>
      <w:autoSpaceDN/>
      <w:jc w:val="both"/>
    </w:pPr>
    <w:rPr>
      <w:rFonts w:ascii="Arial" w:hAnsi="Arial"/>
      <w:szCs w:val="20"/>
      <w:lang w:val="cs-CZ"/>
    </w:rPr>
  </w:style>
  <w:style w:type="paragraph" w:styleId="BodyText2">
    <w:name w:val="Body Text 2"/>
    <w:basedOn w:val="Normal"/>
    <w:pPr>
      <w:tabs>
        <w:tab w:val="left" w:pos="1440"/>
      </w:tabs>
      <w:jc w:val="both"/>
    </w:pPr>
    <w:rPr>
      <w:rFonts w:ascii="Arial" w:hAnsi="Arial"/>
      <w:noProof/>
      <w:sz w:val="22"/>
      <w:szCs w:val="20"/>
    </w:rPr>
  </w:style>
  <w:style w:type="paragraph" w:customStyle="1" w:styleId="Protokoln">
    <w:name w:val="Protokolné č."/>
    <w:basedOn w:val="Normal"/>
    <w:pPr>
      <w:spacing w:before="360"/>
      <w:jc w:val="left"/>
    </w:pPr>
    <w:rPr>
      <w:rFonts w:ascii="Arial" w:hAnsi="Arial"/>
      <w:spacing w:val="20"/>
      <w:szCs w:val="20"/>
    </w:rPr>
  </w:style>
  <w:style w:type="paragraph" w:customStyle="1" w:styleId="rozhodnutia">
    <w:name w:val="Č.rozhodnutia"/>
    <w:basedOn w:val="Normal"/>
    <w:pPr>
      <w:spacing w:before="240" w:after="120"/>
      <w:jc w:val="center"/>
      <w:outlineLvl w:val="0"/>
    </w:pPr>
    <w:rPr>
      <w:rFonts w:ascii="Arial" w:hAnsi="Arial"/>
      <w:b/>
      <w:kern w:val="28"/>
      <w:sz w:val="4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TotalTime>
  <Pages>1</Pages>
  <Words>260</Words>
  <Characters>1488</Characters>
  <Application>Microsoft Office Word</Application>
  <DocSecurity>0</DocSecurity>
  <Lines>0</Lines>
  <Paragraphs>0</Paragraphs>
  <ScaleCrop>false</ScaleCrop>
  <Company>Kancelária NR SR</Company>
  <LinksUpToDate>false</LinksUpToDate>
  <CharactersWithSpaces>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kkkk</dc:title>
  <dc:creator>cechveva</dc:creator>
  <cp:lastModifiedBy>CechvEva</cp:lastModifiedBy>
  <cp:revision>5</cp:revision>
  <dcterms:created xsi:type="dcterms:W3CDTF">2011-05-02T13:47:00Z</dcterms:created>
  <dcterms:modified xsi:type="dcterms:W3CDTF">2011-05-02T13:52:00Z</dcterms:modified>
</cp:coreProperties>
</file>