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104" w:rsidRPr="004A5E1F" w:rsidP="004A5E1F">
      <w:pPr>
        <w:pStyle w:val="Title"/>
        <w:tabs>
          <w:tab w:val="left" w:pos="1200"/>
          <w:tab w:val="center" w:pos="4402"/>
        </w:tabs>
        <w:bidi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NÁRODNÁ RADA SLOVENSKEJ REPUBLIKY</w:t>
      </w:r>
    </w:p>
    <w:p w:rsidR="006C3104" w:rsidRPr="004A5E1F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 w:rsidR="006B3FA6">
        <w:rPr>
          <w:rFonts w:ascii="Calibri" w:hAnsi="Calibri" w:cs="Times New Roman"/>
          <w:sz w:val="22"/>
          <w:szCs w:val="22"/>
        </w:rPr>
        <w:t>V</w:t>
      </w:r>
      <w:r w:rsidRPr="004A5E1F">
        <w:rPr>
          <w:rFonts w:ascii="Calibri" w:hAnsi="Calibri" w:cs="Times New Roman"/>
          <w:sz w:val="22"/>
          <w:szCs w:val="22"/>
        </w:rPr>
        <w:t>. volebné obdobie</w:t>
      </w:r>
    </w:p>
    <w:p w:rsidR="006B3FA6" w:rsidRPr="004A5E1F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__________________________________________________________</w:t>
      </w:r>
    </w:p>
    <w:p w:rsidR="006B3FA6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6B3FA6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6C3104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 w:rsidR="006B3FA6">
        <w:rPr>
          <w:rFonts w:ascii="Calibri" w:hAnsi="Calibri" w:cs="Times New Roman"/>
          <w:b/>
          <w:bCs/>
          <w:sz w:val="22"/>
          <w:szCs w:val="22"/>
        </w:rPr>
        <w:t>NÁVRH</w:t>
      </w:r>
    </w:p>
    <w:p w:rsidR="006B3FA6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106B7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>
        <w:rPr>
          <w:rFonts w:ascii="Calibri" w:hAnsi="Calibri" w:cs="Times New Roman"/>
          <w:b/>
          <w:bCs/>
          <w:sz w:val="22"/>
          <w:szCs w:val="22"/>
        </w:rPr>
        <w:t>Z á k o n</w:t>
      </w:r>
    </w:p>
    <w:p w:rsidR="00E106B7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E106B7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 w:rsidR="006C3104">
        <w:rPr>
          <w:rFonts w:ascii="Calibri" w:hAnsi="Calibri" w:cs="Times New Roman"/>
          <w:b/>
          <w:bCs/>
          <w:sz w:val="22"/>
          <w:szCs w:val="22"/>
        </w:rPr>
        <w:t xml:space="preserve">z  </w:t>
      </w:r>
      <w:r w:rsidRPr="004A5E1F" w:rsidR="006C3104">
        <w:rPr>
          <w:rFonts w:ascii="Calibri" w:hAnsi="Calibri" w:cs="Times New Roman"/>
          <w:sz w:val="22"/>
          <w:szCs w:val="22"/>
        </w:rPr>
        <w:t>........................</w:t>
      </w:r>
      <w:r w:rsidRPr="004A5E1F">
        <w:rPr>
          <w:rFonts w:ascii="Calibri" w:hAnsi="Calibri" w:cs="Times New Roman"/>
          <w:sz w:val="22"/>
          <w:szCs w:val="22"/>
        </w:rPr>
        <w:t>,</w:t>
      </w:r>
      <w:r w:rsidRPr="004A5E1F" w:rsidR="006B3FA6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6C3104" w:rsidRPr="004A5E1F" w:rsidP="004A5E1F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6C3104" w:rsidRPr="004A5E1F" w:rsidP="004A5E1F">
      <w:pPr>
        <w:pStyle w:val="BodyText2"/>
        <w:bidi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ktorým sa mení a dopĺňa </w:t>
      </w:r>
      <w:r w:rsidRPr="004A5E1F" w:rsidR="00A632FE">
        <w:rPr>
          <w:rFonts w:ascii="Calibri" w:hAnsi="Calibri"/>
          <w:sz w:val="22"/>
          <w:szCs w:val="22"/>
        </w:rPr>
        <w:t>zákon č. 171/2005 Z. z. o hazardných hrách a o zmene a doplnení niektorých zákonov v znení neskorších predpisov</w:t>
      </w:r>
      <w:r w:rsidRPr="004A5E1F" w:rsidR="009865D9">
        <w:rPr>
          <w:rFonts w:ascii="Calibri" w:hAnsi="Calibri"/>
          <w:sz w:val="22"/>
          <w:szCs w:val="22"/>
        </w:rPr>
        <w:t xml:space="preserve"> a o doplnení zákona Slovenskej národnej rady č. 369/1990 Zb. o obecnom zriadení v znení neskorších predpisov</w:t>
      </w:r>
    </w:p>
    <w:p w:rsidR="006B3FA6" w:rsidRPr="004A5E1F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6B3FA6" w:rsidRPr="00DC0172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6C3104" w:rsidRPr="00DC0172" w:rsidP="004A5E1F">
      <w:pPr>
        <w:bidi w:val="0"/>
        <w:rPr>
          <w:rFonts w:ascii="Calibri" w:hAnsi="Calibri" w:cs="Times New Roman"/>
          <w:sz w:val="22"/>
          <w:szCs w:val="22"/>
        </w:rPr>
      </w:pPr>
      <w:r w:rsidRPr="00DC0172">
        <w:rPr>
          <w:rFonts w:ascii="Calibri" w:hAnsi="Calibri" w:cs="Times New Roman"/>
          <w:sz w:val="22"/>
          <w:szCs w:val="22"/>
        </w:rPr>
        <w:t>Národná rada Slovenskej republiky sa uzniesla na tomto zákone:</w:t>
      </w:r>
    </w:p>
    <w:p w:rsidR="006C3104" w:rsidRPr="00DC0172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</w:p>
    <w:p w:rsidR="006C3104" w:rsidRPr="00DC0172" w:rsidP="004A5E1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  <w:r w:rsidRPr="00DC0172">
        <w:rPr>
          <w:rFonts w:ascii="Calibri" w:hAnsi="Calibri"/>
          <w:sz w:val="22"/>
          <w:szCs w:val="22"/>
        </w:rPr>
        <w:t>Čl. I</w:t>
      </w:r>
    </w:p>
    <w:p w:rsidR="004E2B07" w:rsidRPr="00DC0172" w:rsidP="004E2B07">
      <w:pPr>
        <w:bidi w:val="0"/>
        <w:jc w:val="both"/>
        <w:rPr>
          <w:rFonts w:ascii="Calibri" w:hAnsi="Calibri"/>
          <w:sz w:val="22"/>
          <w:szCs w:val="22"/>
        </w:rPr>
      </w:pPr>
    </w:p>
    <w:p w:rsidR="004E2B07" w:rsidRPr="00DC0172" w:rsidP="004E2B07">
      <w:pPr>
        <w:bidi w:val="0"/>
        <w:jc w:val="both"/>
        <w:rPr>
          <w:rFonts w:ascii="Calibri" w:hAnsi="Calibri"/>
          <w:sz w:val="22"/>
          <w:szCs w:val="22"/>
        </w:rPr>
      </w:pPr>
      <w:r w:rsidRPr="00DC0172">
        <w:rPr>
          <w:rFonts w:ascii="Calibri" w:hAnsi="Calibri"/>
          <w:sz w:val="22"/>
          <w:szCs w:val="22"/>
        </w:rPr>
        <w:t>Zákon č. 171/2005 Z. z. o hazardných hrách a o zmene a doplnení niektorých zákonov v znení zákona č. 659/2007 Z. z., zákona č. 70/2008 Z. z., zákona č. 478/2009 Z. z., zákona č. 479/2009 Z. z., zákona č. 84/2010 Z. z., zákona č. 374/2010 Z. z. a zákona č. 514/2010 Z. z. sa mení a dopĺňa takto:</w:t>
      </w:r>
    </w:p>
    <w:p w:rsidR="004E2B07" w:rsidRPr="00DC0172" w:rsidP="004E2B07">
      <w:pPr>
        <w:bidi w:val="0"/>
        <w:jc w:val="both"/>
        <w:rPr>
          <w:rFonts w:ascii="Calibri" w:hAnsi="Calibri"/>
          <w:sz w:val="22"/>
          <w:szCs w:val="22"/>
        </w:rPr>
      </w:pPr>
    </w:p>
    <w:p w:rsidR="008E781C" w:rsidRPr="00DC0172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6022F2" w:rsidRPr="00DC0172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DC0172">
        <w:rPr>
          <w:rFonts w:ascii="Calibri" w:hAnsi="Calibri" w:cs="Times New Roman"/>
          <w:b/>
          <w:sz w:val="22"/>
          <w:szCs w:val="22"/>
        </w:rPr>
        <w:t>1.</w:t>
      </w:r>
      <w:r w:rsidRPr="00DC0172">
        <w:rPr>
          <w:rFonts w:ascii="Calibri" w:hAnsi="Calibri" w:cs="Times New Roman"/>
          <w:sz w:val="22"/>
          <w:szCs w:val="22"/>
        </w:rPr>
        <w:t xml:space="preserve"> </w:t>
      </w:r>
      <w:r w:rsidRPr="00DC0172" w:rsidR="009B42A8">
        <w:rPr>
          <w:rFonts w:ascii="Calibri" w:hAnsi="Calibri" w:cs="Times New Roman"/>
          <w:sz w:val="22"/>
          <w:szCs w:val="22"/>
        </w:rPr>
        <w:t xml:space="preserve">V </w:t>
      </w:r>
      <w:r w:rsidRPr="00DC0172" w:rsidR="00E03356">
        <w:rPr>
          <w:rFonts w:ascii="Calibri" w:hAnsi="Calibri" w:cs="Times New Roman"/>
          <w:sz w:val="22"/>
          <w:szCs w:val="22"/>
        </w:rPr>
        <w:t>§</w:t>
      </w:r>
      <w:r w:rsidRPr="00DC0172" w:rsidR="00352B50">
        <w:rPr>
          <w:rFonts w:ascii="Calibri" w:hAnsi="Calibri" w:cs="Times New Roman"/>
          <w:sz w:val="22"/>
          <w:szCs w:val="22"/>
        </w:rPr>
        <w:t xml:space="preserve"> </w:t>
      </w:r>
      <w:r w:rsidRPr="00DC0172" w:rsidR="00E03356">
        <w:rPr>
          <w:rFonts w:ascii="Calibri" w:hAnsi="Calibri" w:cs="Times New Roman"/>
          <w:sz w:val="22"/>
          <w:szCs w:val="22"/>
        </w:rPr>
        <w:t>2 písm</w:t>
      </w:r>
      <w:r w:rsidRPr="00DC0172" w:rsidR="009B42A8">
        <w:rPr>
          <w:rFonts w:ascii="Calibri" w:hAnsi="Calibri" w:cs="Times New Roman"/>
          <w:sz w:val="22"/>
          <w:szCs w:val="22"/>
        </w:rPr>
        <w:t>. o) sa slová „byť umiestnená v oddelených priestoroch“ nahrádzajú slovami „</w:t>
      </w:r>
      <w:r w:rsidRPr="00DC0172">
        <w:rPr>
          <w:rFonts w:ascii="Calibri" w:hAnsi="Calibri" w:cs="Times New Roman"/>
          <w:sz w:val="22"/>
          <w:szCs w:val="22"/>
        </w:rPr>
        <w:t>mať samostatný vchod</w:t>
      </w:r>
      <w:r w:rsidRPr="00DC0172" w:rsidR="008B4F0A">
        <w:rPr>
          <w:rFonts w:ascii="Calibri" w:hAnsi="Calibri" w:cs="Times New Roman"/>
          <w:sz w:val="22"/>
          <w:szCs w:val="22"/>
        </w:rPr>
        <w:t>,</w:t>
      </w:r>
      <w:r w:rsidRPr="00DC0172">
        <w:rPr>
          <w:rFonts w:ascii="Calibri" w:hAnsi="Calibri" w:cs="Times New Roman"/>
          <w:sz w:val="22"/>
          <w:szCs w:val="22"/>
        </w:rPr>
        <w:t xml:space="preserve"> samostatn</w:t>
      </w:r>
      <w:r w:rsidRPr="00DC0172" w:rsidR="008B4F0A">
        <w:rPr>
          <w:rFonts w:ascii="Calibri" w:hAnsi="Calibri" w:cs="Times New Roman"/>
          <w:sz w:val="22"/>
          <w:szCs w:val="22"/>
        </w:rPr>
        <w:t>é</w:t>
      </w:r>
      <w:r w:rsidRPr="00DC0172">
        <w:rPr>
          <w:rFonts w:ascii="Calibri" w:hAnsi="Calibri" w:cs="Times New Roman"/>
          <w:sz w:val="22"/>
          <w:szCs w:val="22"/>
        </w:rPr>
        <w:t xml:space="preserve"> </w:t>
      </w:r>
      <w:r w:rsidRPr="00DC0172" w:rsidR="008B4F0A">
        <w:rPr>
          <w:rFonts w:ascii="Calibri" w:hAnsi="Calibri" w:cs="Times New Roman"/>
          <w:sz w:val="22"/>
          <w:szCs w:val="22"/>
        </w:rPr>
        <w:t xml:space="preserve">prevádzkové </w:t>
      </w:r>
      <w:r w:rsidRPr="00DC0172">
        <w:rPr>
          <w:rFonts w:ascii="Calibri" w:hAnsi="Calibri" w:cs="Times New Roman"/>
          <w:sz w:val="22"/>
          <w:szCs w:val="22"/>
        </w:rPr>
        <w:t>hodin</w:t>
      </w:r>
      <w:r w:rsidRPr="00DC0172" w:rsidR="008B4F0A">
        <w:rPr>
          <w:rFonts w:ascii="Calibri" w:hAnsi="Calibri" w:cs="Times New Roman"/>
          <w:sz w:val="22"/>
          <w:szCs w:val="22"/>
        </w:rPr>
        <w:t>y</w:t>
      </w:r>
      <w:r w:rsidRPr="00DC0172">
        <w:rPr>
          <w:rFonts w:ascii="Calibri" w:hAnsi="Calibri" w:cs="Times New Roman"/>
          <w:sz w:val="22"/>
          <w:szCs w:val="22"/>
        </w:rPr>
        <w:t xml:space="preserve"> a musí byť nepriechodne oddelená od inej prevádzky</w:t>
      </w:r>
      <w:r w:rsidRPr="00DC0172" w:rsidR="009B42A8">
        <w:rPr>
          <w:rFonts w:ascii="Calibri" w:hAnsi="Calibri" w:cs="Times New Roman"/>
          <w:sz w:val="22"/>
          <w:szCs w:val="22"/>
        </w:rPr>
        <w:t>“.</w:t>
      </w:r>
    </w:p>
    <w:p w:rsidR="007346E5" w:rsidRPr="00DC0172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9B42A8" w:rsidRPr="00DC0172" w:rsidP="00352B50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2</w:t>
      </w:r>
      <w:r w:rsidRPr="00DC0172" w:rsidR="00CA315F">
        <w:rPr>
          <w:rFonts w:ascii="Calibri" w:hAnsi="Calibri" w:cs="Times New Roman"/>
          <w:b/>
          <w:sz w:val="22"/>
          <w:szCs w:val="22"/>
        </w:rPr>
        <w:t>.</w:t>
      </w:r>
      <w:r w:rsidRPr="00DC0172" w:rsidR="00CA315F">
        <w:rPr>
          <w:rFonts w:ascii="Calibri" w:hAnsi="Calibri" w:cs="Times New Roman"/>
          <w:sz w:val="22"/>
          <w:szCs w:val="22"/>
        </w:rPr>
        <w:t xml:space="preserve"> </w:t>
      </w:r>
      <w:r w:rsidRPr="00DC0172">
        <w:rPr>
          <w:rFonts w:ascii="Calibri" w:hAnsi="Calibri" w:cs="Times New Roman"/>
          <w:sz w:val="22"/>
          <w:szCs w:val="22"/>
        </w:rPr>
        <w:t xml:space="preserve">V </w:t>
      </w:r>
      <w:r w:rsidRPr="00DC0172" w:rsidR="00E03356">
        <w:rPr>
          <w:rFonts w:ascii="Calibri" w:hAnsi="Calibri" w:cs="Times New Roman"/>
          <w:sz w:val="22"/>
          <w:szCs w:val="22"/>
        </w:rPr>
        <w:t>§</w:t>
      </w:r>
      <w:r w:rsidRPr="00DC0172" w:rsidR="00352B50">
        <w:rPr>
          <w:rFonts w:ascii="Calibri" w:hAnsi="Calibri" w:cs="Times New Roman"/>
          <w:sz w:val="22"/>
          <w:szCs w:val="22"/>
        </w:rPr>
        <w:t xml:space="preserve"> </w:t>
      </w:r>
      <w:r w:rsidRPr="00DC0172" w:rsidR="00E03356">
        <w:rPr>
          <w:rFonts w:ascii="Calibri" w:hAnsi="Calibri" w:cs="Times New Roman"/>
          <w:sz w:val="22"/>
          <w:szCs w:val="22"/>
        </w:rPr>
        <w:t>2</w:t>
      </w:r>
      <w:r w:rsidRPr="00DC0172" w:rsidR="007346E5">
        <w:rPr>
          <w:rFonts w:ascii="Calibri" w:hAnsi="Calibri" w:cs="Times New Roman"/>
          <w:sz w:val="22"/>
          <w:szCs w:val="22"/>
        </w:rPr>
        <w:t>1</w:t>
      </w:r>
      <w:r w:rsidRPr="00DC0172" w:rsidR="00E03356">
        <w:rPr>
          <w:rFonts w:ascii="Calibri" w:hAnsi="Calibri" w:cs="Times New Roman"/>
          <w:sz w:val="22"/>
          <w:szCs w:val="22"/>
        </w:rPr>
        <w:t xml:space="preserve"> </w:t>
      </w:r>
      <w:r w:rsidRPr="00DC0172" w:rsidR="007346E5">
        <w:rPr>
          <w:rFonts w:ascii="Calibri" w:hAnsi="Calibri" w:cs="Times New Roman"/>
          <w:sz w:val="22"/>
          <w:szCs w:val="22"/>
        </w:rPr>
        <w:t xml:space="preserve">sa </w:t>
      </w:r>
      <w:r w:rsidRPr="00DC0172" w:rsidR="004930BF">
        <w:rPr>
          <w:rFonts w:ascii="Calibri" w:hAnsi="Calibri" w:cs="Times New Roman"/>
          <w:sz w:val="22"/>
          <w:szCs w:val="22"/>
        </w:rPr>
        <w:t>ods</w:t>
      </w:r>
      <w:r w:rsidRPr="00DC0172" w:rsidR="007346E5">
        <w:rPr>
          <w:rFonts w:ascii="Calibri" w:hAnsi="Calibri" w:cs="Times New Roman"/>
          <w:sz w:val="22"/>
          <w:szCs w:val="22"/>
        </w:rPr>
        <w:t>ek</w:t>
      </w:r>
      <w:r w:rsidRPr="00DC0172">
        <w:rPr>
          <w:rFonts w:ascii="Calibri" w:hAnsi="Calibri" w:cs="Times New Roman"/>
          <w:sz w:val="22"/>
          <w:szCs w:val="22"/>
        </w:rPr>
        <w:t xml:space="preserve"> </w:t>
      </w:r>
      <w:r w:rsidRPr="00DC0172" w:rsidR="007346E5">
        <w:rPr>
          <w:rFonts w:ascii="Calibri" w:hAnsi="Calibri" w:cs="Times New Roman"/>
          <w:sz w:val="22"/>
          <w:szCs w:val="22"/>
        </w:rPr>
        <w:t>7</w:t>
      </w:r>
      <w:r w:rsidRPr="00DC0172" w:rsidR="004930BF">
        <w:rPr>
          <w:rFonts w:ascii="Calibri" w:hAnsi="Calibri" w:cs="Times New Roman"/>
          <w:sz w:val="22"/>
          <w:szCs w:val="22"/>
        </w:rPr>
        <w:t xml:space="preserve"> </w:t>
      </w:r>
      <w:r w:rsidRPr="00DC0172">
        <w:rPr>
          <w:rFonts w:ascii="Calibri" w:hAnsi="Calibri" w:cs="Times New Roman"/>
          <w:sz w:val="22"/>
          <w:szCs w:val="22"/>
        </w:rPr>
        <w:t>dopĺňa písmenom</w:t>
      </w:r>
      <w:r w:rsidRPr="00DC0172" w:rsidR="007346E5">
        <w:rPr>
          <w:rFonts w:ascii="Calibri" w:hAnsi="Calibri" w:cs="Times New Roman"/>
          <w:sz w:val="22"/>
          <w:szCs w:val="22"/>
        </w:rPr>
        <w:t xml:space="preserve"> d)</w:t>
      </w:r>
      <w:r w:rsidRPr="00DC0172">
        <w:rPr>
          <w:rFonts w:ascii="Calibri" w:hAnsi="Calibri" w:cs="Times New Roman"/>
          <w:sz w:val="22"/>
          <w:szCs w:val="22"/>
        </w:rPr>
        <w:t>, ktoré znie:</w:t>
      </w:r>
    </w:p>
    <w:p w:rsidR="000C6945" w:rsidRPr="004A5E1F" w:rsidP="004A5E1F">
      <w:pPr>
        <w:bidi w:val="0"/>
        <w:rPr>
          <w:rFonts w:ascii="Calibri" w:hAnsi="Calibri" w:cs="Times New Roman"/>
          <w:sz w:val="22"/>
          <w:szCs w:val="22"/>
        </w:rPr>
      </w:pPr>
      <w:r w:rsidRPr="00DC0172" w:rsidR="009B42A8">
        <w:rPr>
          <w:rFonts w:ascii="Calibri" w:hAnsi="Calibri" w:cs="Times New Roman"/>
          <w:sz w:val="22"/>
          <w:szCs w:val="22"/>
        </w:rPr>
        <w:t>„</w:t>
      </w:r>
      <w:r w:rsidRPr="00DC0172" w:rsidR="007346E5">
        <w:rPr>
          <w:rFonts w:ascii="Calibri" w:hAnsi="Calibri" w:cs="Times New Roman"/>
          <w:sz w:val="22"/>
          <w:szCs w:val="22"/>
        </w:rPr>
        <w:t>d</w:t>
      </w:r>
      <w:r w:rsidRPr="00DC0172" w:rsidR="009B42A8">
        <w:rPr>
          <w:rFonts w:ascii="Calibri" w:hAnsi="Calibri" w:cs="Times New Roman"/>
          <w:sz w:val="22"/>
          <w:szCs w:val="22"/>
        </w:rPr>
        <w:t xml:space="preserve">) </w:t>
      </w:r>
      <w:r w:rsidRPr="00DC0172" w:rsidR="009865D9">
        <w:rPr>
          <w:rFonts w:ascii="Calibri" w:hAnsi="Calibri" w:cs="Times New Roman"/>
          <w:sz w:val="22"/>
          <w:szCs w:val="22"/>
        </w:rPr>
        <w:t xml:space="preserve">platný </w:t>
      </w:r>
      <w:r w:rsidRPr="00DC0172" w:rsidR="004930BF">
        <w:rPr>
          <w:rFonts w:ascii="Calibri" w:hAnsi="Calibri" w:cs="Times New Roman"/>
          <w:sz w:val="22"/>
          <w:szCs w:val="22"/>
        </w:rPr>
        <w:t xml:space="preserve">súhlas </w:t>
      </w:r>
      <w:r w:rsidRPr="00DC0172">
        <w:rPr>
          <w:rFonts w:ascii="Calibri" w:hAnsi="Calibri" w:cs="Times New Roman"/>
          <w:sz w:val="22"/>
          <w:szCs w:val="22"/>
        </w:rPr>
        <w:t xml:space="preserve">obecného zastupiteľstva alebo </w:t>
      </w:r>
      <w:r w:rsidRPr="00DC0172" w:rsidR="004930BF">
        <w:rPr>
          <w:rFonts w:ascii="Calibri" w:hAnsi="Calibri" w:cs="Times New Roman"/>
          <w:sz w:val="22"/>
          <w:szCs w:val="22"/>
        </w:rPr>
        <w:t>miestneho zastupiteľstva s</w:t>
      </w:r>
      <w:r w:rsidRPr="00DC0172">
        <w:rPr>
          <w:rFonts w:ascii="Calibri" w:hAnsi="Calibri" w:cs="Times New Roman"/>
          <w:sz w:val="22"/>
          <w:szCs w:val="22"/>
        </w:rPr>
        <w:t>o zriadením</w:t>
      </w:r>
      <w:r w:rsidRPr="00DC0172" w:rsidR="004930BF">
        <w:rPr>
          <w:rFonts w:ascii="Calibri" w:hAnsi="Calibri" w:cs="Times New Roman"/>
          <w:sz w:val="22"/>
          <w:szCs w:val="22"/>
        </w:rPr>
        <w:t xml:space="preserve"> herne v obci</w:t>
      </w:r>
      <w:r w:rsidRPr="004A5E1F" w:rsidR="004930BF">
        <w:rPr>
          <w:rFonts w:ascii="Calibri" w:hAnsi="Calibri" w:cs="Times New Roman"/>
          <w:sz w:val="22"/>
          <w:szCs w:val="22"/>
        </w:rPr>
        <w:t xml:space="preserve"> alebo</w:t>
      </w:r>
      <w:r w:rsidRPr="004A5E1F">
        <w:rPr>
          <w:rFonts w:ascii="Calibri" w:hAnsi="Calibri" w:cs="Times New Roman"/>
          <w:sz w:val="22"/>
          <w:szCs w:val="22"/>
        </w:rPr>
        <w:t xml:space="preserve"> v</w:t>
      </w:r>
      <w:r w:rsidRPr="004A5E1F" w:rsidR="004930BF">
        <w:rPr>
          <w:rFonts w:ascii="Calibri" w:hAnsi="Calibri" w:cs="Times New Roman"/>
          <w:sz w:val="22"/>
          <w:szCs w:val="22"/>
        </w:rPr>
        <w:t xml:space="preserve"> mestskej časti</w:t>
      </w:r>
      <w:r w:rsidRPr="004A5E1F">
        <w:rPr>
          <w:rFonts w:ascii="Calibri" w:hAnsi="Calibri" w:cs="Times New Roman"/>
          <w:sz w:val="22"/>
          <w:szCs w:val="22"/>
        </w:rPr>
        <w:t>.</w:t>
      </w:r>
      <w:r w:rsidRPr="004A5E1F" w:rsidR="009B42A8">
        <w:rPr>
          <w:rFonts w:ascii="Calibri" w:hAnsi="Calibri" w:cs="Times New Roman"/>
          <w:sz w:val="22"/>
          <w:szCs w:val="22"/>
          <w:vertAlign w:val="superscript"/>
        </w:rPr>
        <w:t>11d)</w:t>
      </w:r>
      <w:r w:rsidR="00AC708B">
        <w:rPr>
          <w:rFonts w:ascii="Calibri" w:hAnsi="Calibri" w:cs="Times New Roman"/>
          <w:sz w:val="22"/>
          <w:szCs w:val="22"/>
        </w:rPr>
        <w:t>.“</w:t>
      </w:r>
      <w:r w:rsidRPr="004A5E1F">
        <w:rPr>
          <w:rStyle w:val="FootnoteReference"/>
          <w:rFonts w:ascii="Calibri" w:hAnsi="Calibri"/>
          <w:sz w:val="22"/>
          <w:szCs w:val="22"/>
        </w:rPr>
        <w:t xml:space="preserve"> </w:t>
      </w:r>
    </w:p>
    <w:p w:rsidR="004930BF" w:rsidRPr="004A5E1F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9B42A8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Poznámka pod čiarou k odkazu 11d znie:</w:t>
      </w:r>
    </w:p>
    <w:p w:rsidR="009B42A8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„11d) § </w:t>
      </w:r>
      <w:r w:rsidRPr="004A5E1F" w:rsidR="009865D9">
        <w:rPr>
          <w:rFonts w:ascii="Calibri" w:hAnsi="Calibri" w:cs="Times New Roman"/>
          <w:sz w:val="22"/>
          <w:szCs w:val="22"/>
        </w:rPr>
        <w:t xml:space="preserve">11 ods. 4 písm. q) </w:t>
      </w:r>
      <w:r w:rsidRPr="004A5E1F">
        <w:rPr>
          <w:rFonts w:ascii="Calibri" w:hAnsi="Calibri" w:cs="Times New Roman"/>
          <w:sz w:val="22"/>
          <w:szCs w:val="22"/>
        </w:rPr>
        <w:t xml:space="preserve"> zákona Slovenskej národnej rady č. 369/1990 Zb. o obecnom zriadení v znení </w:t>
      </w:r>
      <w:r w:rsidR="00352B50">
        <w:rPr>
          <w:rFonts w:ascii="Calibri" w:hAnsi="Calibri" w:cs="Times New Roman"/>
          <w:sz w:val="22"/>
          <w:szCs w:val="22"/>
        </w:rPr>
        <w:t>zákona č..../2011 Z.z.</w:t>
      </w:r>
      <w:r w:rsidRPr="004A5E1F">
        <w:rPr>
          <w:rFonts w:ascii="Calibri" w:hAnsi="Calibri" w:cs="Times New Roman"/>
          <w:sz w:val="22"/>
          <w:szCs w:val="22"/>
        </w:rPr>
        <w:t>“.</w:t>
      </w:r>
    </w:p>
    <w:p w:rsidR="004930BF" w:rsidRPr="004A5E1F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CA315F" w:rsidRPr="004A5E1F" w:rsidP="004A5E1F">
      <w:pPr>
        <w:bidi w:val="0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3</w:t>
      </w:r>
      <w:r w:rsidRPr="004A5E1F" w:rsidR="002E563E">
        <w:rPr>
          <w:rFonts w:ascii="Calibri" w:hAnsi="Calibri" w:cs="Times New Roman"/>
          <w:b/>
          <w:sz w:val="22"/>
          <w:szCs w:val="22"/>
        </w:rPr>
        <w:t>.</w:t>
      </w:r>
      <w:r w:rsidRPr="004A5E1F" w:rsidR="002E563E">
        <w:rPr>
          <w:rFonts w:ascii="Calibri" w:hAnsi="Calibri" w:cs="Times New Roman"/>
          <w:sz w:val="22"/>
          <w:szCs w:val="22"/>
        </w:rPr>
        <w:t xml:space="preserve"> </w:t>
      </w:r>
      <w:r w:rsidRPr="004A5E1F" w:rsidR="000C6945">
        <w:rPr>
          <w:rFonts w:ascii="Calibri" w:hAnsi="Calibri" w:cs="Times New Roman"/>
          <w:sz w:val="22"/>
          <w:szCs w:val="22"/>
        </w:rPr>
        <w:t xml:space="preserve">V </w:t>
      </w:r>
      <w:r w:rsidRPr="004A5E1F">
        <w:rPr>
          <w:rFonts w:ascii="Calibri" w:hAnsi="Calibri" w:cs="Times New Roman"/>
          <w:sz w:val="22"/>
          <w:szCs w:val="22"/>
        </w:rPr>
        <w:t>§</w:t>
      </w:r>
      <w:r w:rsidR="00352B50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35 ods</w:t>
      </w:r>
      <w:r w:rsidRPr="004A5E1F" w:rsidR="009B42A8">
        <w:rPr>
          <w:rFonts w:ascii="Calibri" w:hAnsi="Calibri" w:cs="Times New Roman"/>
          <w:sz w:val="22"/>
          <w:szCs w:val="22"/>
        </w:rPr>
        <w:t>.</w:t>
      </w:r>
      <w:r w:rsidRPr="004A5E1F">
        <w:rPr>
          <w:rFonts w:ascii="Calibri" w:hAnsi="Calibri" w:cs="Times New Roman"/>
          <w:sz w:val="22"/>
          <w:szCs w:val="22"/>
        </w:rPr>
        <w:t xml:space="preserve"> </w:t>
      </w:r>
      <w:r w:rsidRPr="004A5E1F" w:rsidR="004930BF">
        <w:rPr>
          <w:rFonts w:ascii="Calibri" w:hAnsi="Calibri" w:cs="Times New Roman"/>
          <w:sz w:val="22"/>
          <w:szCs w:val="22"/>
        </w:rPr>
        <w:t>9</w:t>
      </w:r>
      <w:r w:rsidRPr="004A5E1F" w:rsidR="000C6945">
        <w:rPr>
          <w:rFonts w:ascii="Calibri" w:hAnsi="Calibri" w:cs="Times New Roman"/>
          <w:sz w:val="22"/>
          <w:szCs w:val="22"/>
        </w:rPr>
        <w:t xml:space="preserve">  sa za slovo </w:t>
      </w:r>
      <w:r w:rsidRPr="004A5E1F" w:rsidR="009B42A8">
        <w:rPr>
          <w:rFonts w:ascii="Calibri" w:hAnsi="Calibri" w:cs="Times New Roman"/>
          <w:sz w:val="22"/>
          <w:szCs w:val="22"/>
        </w:rPr>
        <w:t>„</w:t>
      </w:r>
      <w:r w:rsidRPr="004A5E1F" w:rsidR="000C6945">
        <w:rPr>
          <w:rFonts w:ascii="Calibri" w:hAnsi="Calibri" w:cs="Times New Roman"/>
          <w:sz w:val="22"/>
          <w:szCs w:val="22"/>
        </w:rPr>
        <w:t>umiestnený</w:t>
      </w:r>
      <w:r w:rsidRPr="004A5E1F" w:rsidR="009B42A8">
        <w:rPr>
          <w:rFonts w:ascii="Calibri" w:hAnsi="Calibri" w:cs="Times New Roman"/>
          <w:sz w:val="22"/>
          <w:szCs w:val="22"/>
        </w:rPr>
        <w:t xml:space="preserve">“ vkladajú slová </w:t>
      </w:r>
      <w:r w:rsidRPr="004A5E1F" w:rsidR="000C6945">
        <w:rPr>
          <w:rFonts w:ascii="Calibri" w:hAnsi="Calibri" w:cs="Times New Roman"/>
          <w:sz w:val="22"/>
          <w:szCs w:val="22"/>
        </w:rPr>
        <w:t>„na viditeľnom mieste“.</w:t>
      </w:r>
    </w:p>
    <w:p w:rsidR="009B42A8" w:rsidRPr="004A5E1F" w:rsidP="004A5E1F">
      <w:pPr>
        <w:bidi w:val="0"/>
        <w:rPr>
          <w:rFonts w:ascii="Calibri" w:hAnsi="Calibri" w:cs="Times New Roman"/>
          <w:b/>
          <w:sz w:val="22"/>
          <w:szCs w:val="22"/>
        </w:rPr>
      </w:pPr>
    </w:p>
    <w:p w:rsidR="00F27363" w:rsidRPr="004A5E1F" w:rsidP="004A5E1F">
      <w:pPr>
        <w:bidi w:val="0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4</w:t>
      </w:r>
      <w:r w:rsidRPr="00E95E9A" w:rsidR="00B063D2">
        <w:rPr>
          <w:rFonts w:ascii="Calibri" w:hAnsi="Calibri" w:cs="Times New Roman"/>
          <w:b/>
          <w:sz w:val="22"/>
          <w:szCs w:val="22"/>
        </w:rPr>
        <w:t>.</w:t>
      </w:r>
      <w:r w:rsidRPr="004A5E1F" w:rsidR="00B063D2">
        <w:rPr>
          <w:rFonts w:ascii="Calibri" w:hAnsi="Calibri" w:cs="Times New Roman"/>
          <w:sz w:val="22"/>
          <w:szCs w:val="22"/>
        </w:rPr>
        <w:t xml:space="preserve">  </w:t>
      </w:r>
      <w:r w:rsidRPr="004A5E1F" w:rsidR="00891F0E">
        <w:rPr>
          <w:rFonts w:ascii="Calibri" w:hAnsi="Calibri" w:cs="Times New Roman"/>
          <w:sz w:val="22"/>
          <w:szCs w:val="22"/>
        </w:rPr>
        <w:t>§ 38 znie</w:t>
      </w:r>
      <w:r w:rsidRPr="004A5E1F" w:rsidR="00B063D2">
        <w:rPr>
          <w:rFonts w:ascii="Calibri" w:hAnsi="Calibri" w:cs="Times New Roman"/>
          <w:sz w:val="22"/>
          <w:szCs w:val="22"/>
        </w:rPr>
        <w:t>:</w:t>
      </w:r>
    </w:p>
    <w:p w:rsidR="00891F0E" w:rsidRPr="004A5E1F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 w:rsidR="00B063D2">
        <w:rPr>
          <w:rFonts w:ascii="Calibri" w:hAnsi="Calibri" w:cs="Times New Roman"/>
          <w:sz w:val="22"/>
          <w:szCs w:val="22"/>
        </w:rPr>
        <w:t>„</w:t>
      </w:r>
      <w:r w:rsidRPr="004A5E1F">
        <w:rPr>
          <w:rFonts w:ascii="Calibri" w:hAnsi="Calibri" w:cs="Times New Roman"/>
          <w:sz w:val="22"/>
          <w:szCs w:val="22"/>
        </w:rPr>
        <w:t>§</w:t>
      </w:r>
      <w:r w:rsidR="00AC708B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38</w:t>
      </w:r>
    </w:p>
    <w:p w:rsidR="00891F0E" w:rsidRPr="004A5E1F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</w:p>
    <w:p w:rsidR="00B063D2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4E2B07">
        <w:rPr>
          <w:rFonts w:ascii="Calibri" w:hAnsi="Calibri" w:cs="Times New Roman"/>
          <w:sz w:val="22"/>
          <w:szCs w:val="22"/>
        </w:rPr>
        <w:t xml:space="preserve"> </w:t>
      </w:r>
      <w:r w:rsidRPr="004A5E1F" w:rsidR="00B47186">
        <w:rPr>
          <w:rFonts w:ascii="Calibri" w:hAnsi="Calibri" w:cs="Times New Roman"/>
          <w:sz w:val="22"/>
          <w:szCs w:val="22"/>
        </w:rPr>
        <w:t>(</w:t>
      </w:r>
      <w:r w:rsidR="00352B50">
        <w:rPr>
          <w:rFonts w:ascii="Calibri" w:hAnsi="Calibri" w:cs="Times New Roman"/>
          <w:sz w:val="22"/>
          <w:szCs w:val="22"/>
        </w:rPr>
        <w:t>1</w:t>
      </w:r>
      <w:r w:rsidRPr="004A5E1F">
        <w:rPr>
          <w:rFonts w:ascii="Calibri" w:hAnsi="Calibri" w:cs="Times New Roman"/>
          <w:sz w:val="22"/>
          <w:szCs w:val="22"/>
        </w:rPr>
        <w:t xml:space="preserve">) </w:t>
      </w:r>
      <w:r w:rsidRPr="004A5E1F" w:rsidR="008A33EF">
        <w:rPr>
          <w:rFonts w:ascii="Calibri" w:hAnsi="Calibri" w:cs="Times New Roman"/>
          <w:sz w:val="22"/>
          <w:szCs w:val="22"/>
        </w:rPr>
        <w:t>Ak sa hazardná hra prevádzkuje v herni, prevádzkovateľ hazardnej hry musí vyhotoviť prevádzkové pravidlá herne, ktoré obsahujú najmä</w:t>
      </w:r>
    </w:p>
    <w:p w:rsidR="00B063D2" w:rsidRPr="004A5E1F" w:rsidP="004A5E1F">
      <w:pPr>
        <w:bidi w:val="0"/>
        <w:ind w:left="708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a) </w:t>
      </w:r>
      <w:r w:rsidRPr="004A5E1F" w:rsidR="00936B53">
        <w:rPr>
          <w:rFonts w:ascii="Calibri" w:hAnsi="Calibri" w:cs="Times New Roman"/>
          <w:sz w:val="22"/>
          <w:szCs w:val="22"/>
        </w:rPr>
        <w:t>prevádzkov</w:t>
      </w:r>
      <w:r w:rsidR="00161B19">
        <w:rPr>
          <w:rFonts w:ascii="Calibri" w:hAnsi="Calibri" w:cs="Times New Roman"/>
          <w:sz w:val="22"/>
          <w:szCs w:val="22"/>
        </w:rPr>
        <w:t>ý</w:t>
      </w:r>
      <w:r w:rsidRPr="004A5E1F" w:rsidR="00936B53">
        <w:rPr>
          <w:rFonts w:ascii="Calibri" w:hAnsi="Calibri" w:cs="Times New Roman"/>
          <w:sz w:val="22"/>
          <w:szCs w:val="22"/>
        </w:rPr>
        <w:t xml:space="preserve"> </w:t>
      </w:r>
      <w:r w:rsidR="00161B19">
        <w:rPr>
          <w:rFonts w:ascii="Calibri" w:hAnsi="Calibri" w:cs="Times New Roman"/>
          <w:sz w:val="22"/>
          <w:szCs w:val="22"/>
        </w:rPr>
        <w:t>čas</w:t>
      </w:r>
      <w:r w:rsidRPr="004A5E1F">
        <w:rPr>
          <w:rFonts w:ascii="Calibri" w:hAnsi="Calibri" w:cs="Times New Roman"/>
          <w:sz w:val="22"/>
          <w:szCs w:val="22"/>
        </w:rPr>
        <w:t xml:space="preserve"> herne,</w:t>
      </w:r>
    </w:p>
    <w:p w:rsidR="00B063D2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 </w:t>
        <w:tab/>
        <w:t>b) práva a povinnosti hráčov,</w:t>
      </w:r>
    </w:p>
    <w:p w:rsidR="00B063D2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 </w:t>
        <w:tab/>
        <w:t>c) práva a povinnosti stáleho dozoru herne,</w:t>
      </w:r>
    </w:p>
    <w:p w:rsidR="00AC3906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B063D2">
        <w:rPr>
          <w:rFonts w:ascii="Calibri" w:hAnsi="Calibri" w:cs="Times New Roman"/>
          <w:sz w:val="22"/>
          <w:szCs w:val="22"/>
        </w:rPr>
        <w:t xml:space="preserve"> </w:t>
        <w:tab/>
        <w:t>d)</w:t>
      </w:r>
      <w:r w:rsidRPr="004A5E1F" w:rsidR="006B3FA6">
        <w:rPr>
          <w:rFonts w:ascii="Calibri" w:hAnsi="Calibri" w:cs="Times New Roman"/>
          <w:sz w:val="22"/>
          <w:szCs w:val="22"/>
        </w:rPr>
        <w:t xml:space="preserve"> označenie stáleho dozoru herne</w:t>
      </w:r>
      <w:r w:rsidR="00352B50">
        <w:rPr>
          <w:rFonts w:ascii="Calibri" w:hAnsi="Calibri" w:cs="Times New Roman"/>
          <w:sz w:val="22"/>
          <w:szCs w:val="22"/>
        </w:rPr>
        <w:t>.</w:t>
      </w:r>
    </w:p>
    <w:p w:rsidR="00AC3906" w:rsidRPr="004A5E1F" w:rsidP="004A5E1F">
      <w:pPr>
        <w:widowControl w:val="0"/>
        <w:autoSpaceDE w:val="0"/>
        <w:autoSpaceDN w:val="0"/>
        <w:bidi w:val="0"/>
        <w:adjustRightInd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(</w:t>
      </w:r>
      <w:r w:rsidR="00352B50">
        <w:rPr>
          <w:rFonts w:ascii="Calibri" w:hAnsi="Calibri" w:cs="Times New Roman"/>
          <w:sz w:val="22"/>
          <w:szCs w:val="22"/>
        </w:rPr>
        <w:t>2</w:t>
      </w:r>
      <w:r w:rsidRPr="004A5E1F">
        <w:rPr>
          <w:rFonts w:ascii="Calibri" w:hAnsi="Calibri" w:cs="Times New Roman"/>
          <w:sz w:val="22"/>
          <w:szCs w:val="22"/>
        </w:rPr>
        <w:t>) Prevádzkovateľ hazardnej hry musí prevádzkové pravidlá herne umiestniť na viditeľnom mieste v herni.</w:t>
      </w:r>
    </w:p>
    <w:p w:rsidR="00AC3906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(</w:t>
      </w:r>
      <w:r w:rsidR="00352B50">
        <w:rPr>
          <w:rFonts w:ascii="Calibri" w:hAnsi="Calibri" w:cs="Times New Roman"/>
          <w:sz w:val="22"/>
          <w:szCs w:val="22"/>
        </w:rPr>
        <w:t>3</w:t>
      </w:r>
      <w:r w:rsidRPr="004A5E1F">
        <w:rPr>
          <w:rFonts w:ascii="Calibri" w:hAnsi="Calibri" w:cs="Times New Roman"/>
          <w:sz w:val="22"/>
          <w:szCs w:val="22"/>
        </w:rPr>
        <w:t xml:space="preserve">) </w:t>
      </w:r>
      <w:r w:rsidRPr="004A5E1F" w:rsidR="008A33EF">
        <w:rPr>
          <w:rFonts w:ascii="Calibri" w:hAnsi="Calibri" w:cs="Times New Roman"/>
          <w:sz w:val="22"/>
          <w:szCs w:val="22"/>
        </w:rPr>
        <w:t>A</w:t>
      </w:r>
      <w:r w:rsidRPr="004A5E1F">
        <w:rPr>
          <w:rFonts w:ascii="Calibri" w:hAnsi="Calibri" w:cs="Times New Roman"/>
          <w:sz w:val="22"/>
          <w:szCs w:val="22"/>
        </w:rPr>
        <w:t xml:space="preserve">k o to písomne požiada osoba, ktorej bola diagnostikovaná </w:t>
      </w:r>
      <w:r w:rsidRPr="004A5E1F" w:rsidR="008A33EF">
        <w:rPr>
          <w:rFonts w:ascii="Calibri" w:hAnsi="Calibri" w:cs="Times New Roman"/>
          <w:sz w:val="22"/>
          <w:szCs w:val="22"/>
        </w:rPr>
        <w:t>choroba patologického hráčstva</w:t>
      </w:r>
      <w:r w:rsidRPr="004A5E1F" w:rsidR="008A33EF">
        <w:rPr>
          <w:rFonts w:ascii="Calibri" w:hAnsi="Calibri" w:cs="Times New Roman"/>
          <w:sz w:val="22"/>
          <w:szCs w:val="22"/>
          <w:vertAlign w:val="superscript"/>
        </w:rPr>
        <w:t>18c)</w:t>
      </w:r>
      <w:r w:rsidRPr="004A5E1F" w:rsidR="008A33EF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alebo jej blízka osoba</w:t>
      </w:r>
      <w:r w:rsidRPr="004A5E1F" w:rsidR="00443E75">
        <w:rPr>
          <w:rStyle w:val="FootnoteReference"/>
          <w:rFonts w:ascii="Calibri" w:hAnsi="Calibri"/>
          <w:sz w:val="22"/>
          <w:szCs w:val="22"/>
        </w:rPr>
        <w:t>18d)</w:t>
      </w:r>
      <w:r w:rsidRPr="004A5E1F" w:rsidR="008A33EF">
        <w:rPr>
          <w:rFonts w:ascii="Calibri" w:hAnsi="Calibri" w:cs="Times New Roman"/>
          <w:sz w:val="22"/>
          <w:szCs w:val="22"/>
        </w:rPr>
        <w:t xml:space="preserve">, </w:t>
      </w:r>
      <w:r w:rsidRPr="004A5E1F">
        <w:rPr>
          <w:rFonts w:ascii="Calibri" w:hAnsi="Calibri" w:cs="Times New Roman"/>
          <w:sz w:val="22"/>
          <w:szCs w:val="22"/>
        </w:rPr>
        <w:t>prevádzkovateľ herne je povinný odmietnuť takejto osobe prístup do herne.</w:t>
      </w:r>
      <w:r w:rsidRPr="004A5E1F" w:rsidR="00443E75">
        <w:rPr>
          <w:rFonts w:ascii="Calibri" w:hAnsi="Calibri" w:cs="Times New Roman"/>
          <w:sz w:val="22"/>
          <w:szCs w:val="22"/>
        </w:rPr>
        <w:t>“.</w:t>
      </w:r>
    </w:p>
    <w:p w:rsidR="00B063D2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443E75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Poznámky pod čiarou k odkazom 18c a 18d znejú:</w:t>
      </w:r>
    </w:p>
    <w:p w:rsidR="00443E75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„18c) Kód F63.0 prílohy č. 1 k zákonu č. 576/2004 Z. z. o zdravotnej starostlivosti, službách súvisiacich s poskytovaním zdravotnej starostlivosti a o zmene a doplnení niektorých zákonov v znení neskorších predpisov.</w:t>
      </w:r>
    </w:p>
    <w:p w:rsidR="00443E75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18d) § 116 a 117 Občianskeho zákonníka.“.</w:t>
      </w:r>
    </w:p>
    <w:p w:rsidR="00B063D2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A1716E" w:rsidRPr="004A5E1F" w:rsidP="004A5E1F">
      <w:pPr>
        <w:bidi w:val="0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5</w:t>
      </w:r>
      <w:r w:rsidRPr="004A5E1F" w:rsidR="00027981">
        <w:rPr>
          <w:rFonts w:ascii="Calibri" w:hAnsi="Calibri" w:cs="Times New Roman"/>
          <w:b/>
          <w:sz w:val="22"/>
          <w:szCs w:val="22"/>
        </w:rPr>
        <w:t>.</w:t>
      </w:r>
      <w:r w:rsidR="007346E5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 w:rsidR="00AC3906">
        <w:rPr>
          <w:rFonts w:ascii="Calibri" w:hAnsi="Calibri" w:cs="Times New Roman"/>
          <w:sz w:val="22"/>
          <w:szCs w:val="22"/>
        </w:rPr>
        <w:t>V</w:t>
      </w:r>
      <w:r w:rsidRPr="004A5E1F" w:rsidR="00AC3906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§</w:t>
      </w:r>
      <w:r w:rsidRPr="004A5E1F" w:rsidR="00443E75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 xml:space="preserve">48 </w:t>
      </w:r>
      <w:r w:rsidRPr="004A5E1F" w:rsidR="00AC3906">
        <w:rPr>
          <w:rFonts w:ascii="Calibri" w:hAnsi="Calibri" w:cs="Times New Roman"/>
          <w:sz w:val="22"/>
          <w:szCs w:val="22"/>
        </w:rPr>
        <w:t xml:space="preserve">ods. 1 písm. e) sa </w:t>
      </w:r>
      <w:r w:rsidRPr="004A5E1F" w:rsidR="00820644">
        <w:rPr>
          <w:rFonts w:ascii="Calibri" w:hAnsi="Calibri" w:cs="Times New Roman"/>
          <w:sz w:val="22"/>
          <w:szCs w:val="22"/>
        </w:rPr>
        <w:t>slov</w:t>
      </w:r>
      <w:r w:rsidR="00AC708B">
        <w:rPr>
          <w:rFonts w:ascii="Calibri" w:hAnsi="Calibri" w:cs="Times New Roman"/>
          <w:sz w:val="22"/>
          <w:szCs w:val="22"/>
        </w:rPr>
        <w:t>á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 </w:t>
      </w:r>
      <w:r w:rsidRPr="004A5E1F" w:rsidR="00443E75">
        <w:rPr>
          <w:rFonts w:ascii="Calibri" w:hAnsi="Calibri" w:cs="Times New Roman"/>
          <w:sz w:val="22"/>
          <w:szCs w:val="22"/>
        </w:rPr>
        <w:t>„</w:t>
      </w:r>
      <w:r w:rsidRPr="004A5E1F" w:rsidR="00AC3906">
        <w:rPr>
          <w:rFonts w:ascii="Calibri" w:hAnsi="Calibri" w:cs="Times New Roman"/>
          <w:sz w:val="22"/>
          <w:szCs w:val="22"/>
        </w:rPr>
        <w:t>tri</w:t>
      </w:r>
      <w:r w:rsidR="00AC708B">
        <w:rPr>
          <w:rFonts w:ascii="Calibri" w:hAnsi="Calibri" w:cs="Times New Roman"/>
          <w:sz w:val="22"/>
          <w:szCs w:val="22"/>
        </w:rPr>
        <w:t xml:space="preserve"> sekundy </w:t>
      </w:r>
      <w:r w:rsidRPr="004A5E1F" w:rsidR="00443E75">
        <w:rPr>
          <w:rFonts w:ascii="Calibri" w:hAnsi="Calibri" w:cs="Times New Roman"/>
          <w:sz w:val="22"/>
          <w:szCs w:val="22"/>
        </w:rPr>
        <w:t>“</w:t>
      </w:r>
      <w:r w:rsidRPr="004A5E1F" w:rsidR="00AC3906">
        <w:rPr>
          <w:rFonts w:ascii="Calibri" w:hAnsi="Calibri" w:cs="Times New Roman"/>
          <w:sz w:val="22"/>
          <w:szCs w:val="22"/>
        </w:rPr>
        <w:t xml:space="preserve"> </w:t>
      </w:r>
      <w:r w:rsidRPr="004A5E1F" w:rsidR="00820644">
        <w:rPr>
          <w:rFonts w:ascii="Calibri" w:hAnsi="Calibri" w:cs="Times New Roman"/>
          <w:sz w:val="22"/>
          <w:szCs w:val="22"/>
        </w:rPr>
        <w:t>nahrádza</w:t>
      </w:r>
      <w:r w:rsidR="00AC708B">
        <w:rPr>
          <w:rFonts w:ascii="Calibri" w:hAnsi="Calibri" w:cs="Times New Roman"/>
          <w:sz w:val="22"/>
          <w:szCs w:val="22"/>
        </w:rPr>
        <w:t>jú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 slov</w:t>
      </w:r>
      <w:r w:rsidR="00AC708B">
        <w:rPr>
          <w:rFonts w:ascii="Calibri" w:hAnsi="Calibri" w:cs="Times New Roman"/>
          <w:sz w:val="22"/>
          <w:szCs w:val="22"/>
        </w:rPr>
        <w:t>ami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 </w:t>
      </w:r>
      <w:r w:rsidRPr="004A5E1F" w:rsidR="00443E75">
        <w:rPr>
          <w:rFonts w:ascii="Calibri" w:hAnsi="Calibri" w:cs="Times New Roman"/>
          <w:sz w:val="22"/>
          <w:szCs w:val="22"/>
        </w:rPr>
        <w:t>„</w:t>
      </w:r>
      <w:r w:rsidRPr="004A5E1F" w:rsidR="00AC3906">
        <w:rPr>
          <w:rFonts w:ascii="Calibri" w:hAnsi="Calibri" w:cs="Times New Roman"/>
          <w:sz w:val="22"/>
          <w:szCs w:val="22"/>
        </w:rPr>
        <w:t>štyri</w:t>
      </w:r>
      <w:r w:rsidR="00AC708B">
        <w:rPr>
          <w:rFonts w:ascii="Calibri" w:hAnsi="Calibri" w:cs="Times New Roman"/>
          <w:sz w:val="22"/>
          <w:szCs w:val="22"/>
        </w:rPr>
        <w:t xml:space="preserve"> sekundy;</w:t>
      </w:r>
      <w:r w:rsidRPr="00AC708B" w:rsidR="00AC708B">
        <w:rPr>
          <w:rFonts w:ascii="Calibri" w:hAnsi="Calibri" w:cs="Times New Roman"/>
          <w:sz w:val="22"/>
          <w:szCs w:val="22"/>
        </w:rPr>
        <w:t xml:space="preserve"> </w:t>
      </w:r>
      <w:r w:rsidR="00AC708B">
        <w:rPr>
          <w:rFonts w:ascii="Calibri" w:hAnsi="Calibri" w:cs="Times New Roman"/>
          <w:sz w:val="22"/>
          <w:szCs w:val="22"/>
        </w:rPr>
        <w:t xml:space="preserve">to neplatí pre výherné prístroje </w:t>
      </w:r>
      <w:r w:rsidR="00BA08C4">
        <w:rPr>
          <w:rFonts w:ascii="Calibri" w:hAnsi="Calibri" w:cs="Times New Roman"/>
          <w:sz w:val="22"/>
          <w:szCs w:val="22"/>
        </w:rPr>
        <w:t xml:space="preserve">prevádzkované </w:t>
      </w:r>
      <w:r w:rsidR="00AC708B">
        <w:rPr>
          <w:rFonts w:ascii="Calibri" w:hAnsi="Calibri" w:cs="Times New Roman"/>
          <w:sz w:val="22"/>
          <w:szCs w:val="22"/>
        </w:rPr>
        <w:t>v kasíne</w:t>
      </w:r>
      <w:r w:rsidRPr="004A5E1F" w:rsidR="00443E75">
        <w:rPr>
          <w:rFonts w:ascii="Calibri" w:hAnsi="Calibri" w:cs="Times New Roman"/>
          <w:sz w:val="22"/>
          <w:szCs w:val="22"/>
        </w:rPr>
        <w:t>“</w:t>
      </w:r>
      <w:r w:rsidRPr="004A5E1F" w:rsidR="00AC3906">
        <w:rPr>
          <w:rFonts w:ascii="Calibri" w:hAnsi="Calibri" w:cs="Times New Roman"/>
          <w:sz w:val="22"/>
          <w:szCs w:val="22"/>
        </w:rPr>
        <w:t>.</w:t>
      </w:r>
    </w:p>
    <w:p w:rsidR="00A1716E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820644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6</w:t>
      </w:r>
      <w:r w:rsidRPr="004A5E1F" w:rsidR="00AC3906">
        <w:rPr>
          <w:rFonts w:ascii="Calibri" w:hAnsi="Calibri" w:cs="Times New Roman"/>
          <w:b/>
          <w:sz w:val="22"/>
          <w:szCs w:val="22"/>
        </w:rPr>
        <w:t>.</w:t>
      </w:r>
      <w:r w:rsidRPr="004A5E1F" w:rsidR="00AC3906">
        <w:rPr>
          <w:rFonts w:ascii="Calibri" w:hAnsi="Calibri" w:cs="Times New Roman"/>
          <w:sz w:val="22"/>
          <w:szCs w:val="22"/>
        </w:rPr>
        <w:t xml:space="preserve"> V § 48 </w:t>
      </w:r>
      <w:r w:rsidR="00352B50">
        <w:rPr>
          <w:rFonts w:ascii="Calibri" w:hAnsi="Calibri" w:cs="Times New Roman"/>
          <w:sz w:val="22"/>
          <w:szCs w:val="22"/>
        </w:rPr>
        <w:t xml:space="preserve">sa </w:t>
      </w:r>
      <w:r w:rsidRPr="004A5E1F" w:rsidR="00AC3906">
        <w:rPr>
          <w:rFonts w:ascii="Calibri" w:hAnsi="Calibri" w:cs="Times New Roman"/>
          <w:sz w:val="22"/>
          <w:szCs w:val="22"/>
        </w:rPr>
        <w:t>ods</w:t>
      </w:r>
      <w:r w:rsidR="00352B50">
        <w:rPr>
          <w:rFonts w:ascii="Calibri" w:hAnsi="Calibri" w:cs="Times New Roman"/>
          <w:sz w:val="22"/>
          <w:szCs w:val="22"/>
        </w:rPr>
        <w:t>ek</w:t>
      </w:r>
      <w:r w:rsidRPr="004A5E1F" w:rsidR="00AC3906">
        <w:rPr>
          <w:rFonts w:ascii="Calibri" w:hAnsi="Calibri" w:cs="Times New Roman"/>
          <w:sz w:val="22"/>
          <w:szCs w:val="22"/>
        </w:rPr>
        <w:t xml:space="preserve"> 1 </w:t>
      </w:r>
      <w:r w:rsidRPr="004A5E1F">
        <w:rPr>
          <w:rFonts w:ascii="Calibri" w:hAnsi="Calibri" w:cs="Times New Roman"/>
          <w:sz w:val="22"/>
          <w:szCs w:val="22"/>
        </w:rPr>
        <w:t>dopĺňa písmeno</w:t>
      </w:r>
      <w:r w:rsidR="00352B50">
        <w:rPr>
          <w:rFonts w:ascii="Calibri" w:hAnsi="Calibri" w:cs="Times New Roman"/>
          <w:sz w:val="22"/>
          <w:szCs w:val="22"/>
        </w:rPr>
        <w:t>m</w:t>
      </w:r>
      <w:r w:rsidRPr="004A5E1F">
        <w:rPr>
          <w:rFonts w:ascii="Calibri" w:hAnsi="Calibri" w:cs="Times New Roman"/>
          <w:sz w:val="22"/>
          <w:szCs w:val="22"/>
        </w:rPr>
        <w:t xml:space="preserve"> h), ktoré znie:</w:t>
      </w:r>
    </w:p>
    <w:p w:rsidR="00A1716E" w:rsidRPr="00267CA6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820644">
        <w:rPr>
          <w:rFonts w:ascii="Calibri" w:hAnsi="Calibri" w:cs="Times New Roman"/>
          <w:sz w:val="22"/>
          <w:szCs w:val="22"/>
        </w:rPr>
        <w:t xml:space="preserve">„h) </w:t>
      </w:r>
      <w:r w:rsidRPr="00267CA6">
        <w:rPr>
          <w:rFonts w:ascii="Calibri" w:hAnsi="Calibri" w:cs="Times New Roman"/>
          <w:sz w:val="22"/>
          <w:szCs w:val="22"/>
        </w:rPr>
        <w:t>čas, ktorý uplynie od vyplatenia výhry do zač</w:t>
      </w:r>
      <w:r w:rsidRPr="00267CA6" w:rsidR="004930BF">
        <w:rPr>
          <w:rFonts w:ascii="Calibri" w:hAnsi="Calibri" w:cs="Times New Roman"/>
          <w:sz w:val="22"/>
          <w:szCs w:val="22"/>
        </w:rPr>
        <w:t>atia ďalšej hazardnej hry musí byť najmenej 15 sekúnd</w:t>
      </w:r>
      <w:r w:rsidR="00AC708B">
        <w:rPr>
          <w:rFonts w:ascii="Calibri" w:hAnsi="Calibri" w:cs="Times New Roman"/>
          <w:sz w:val="22"/>
          <w:szCs w:val="22"/>
        </w:rPr>
        <w:t xml:space="preserve">, to neplatí pre výherné prístroje </w:t>
      </w:r>
      <w:r w:rsidR="00BA08C4">
        <w:rPr>
          <w:rFonts w:ascii="Calibri" w:hAnsi="Calibri" w:cs="Times New Roman"/>
          <w:sz w:val="22"/>
          <w:szCs w:val="22"/>
        </w:rPr>
        <w:t xml:space="preserve">prevádzkované </w:t>
      </w:r>
      <w:r w:rsidR="00AC708B">
        <w:rPr>
          <w:rFonts w:ascii="Calibri" w:hAnsi="Calibri" w:cs="Times New Roman"/>
          <w:sz w:val="22"/>
          <w:szCs w:val="22"/>
        </w:rPr>
        <w:t>v kasíne</w:t>
      </w:r>
      <w:r w:rsidRPr="00267CA6" w:rsidR="00AC3906">
        <w:rPr>
          <w:rFonts w:ascii="Calibri" w:hAnsi="Calibri" w:cs="Times New Roman"/>
          <w:sz w:val="22"/>
          <w:szCs w:val="22"/>
        </w:rPr>
        <w:t>.</w:t>
      </w:r>
      <w:r w:rsidRPr="00267CA6" w:rsidR="00820644">
        <w:rPr>
          <w:rFonts w:ascii="Calibri" w:hAnsi="Calibri" w:cs="Times New Roman"/>
          <w:sz w:val="22"/>
          <w:szCs w:val="22"/>
        </w:rPr>
        <w:t>“.</w:t>
      </w:r>
      <w:r w:rsidRPr="00267CA6" w:rsidR="00AC3906">
        <w:rPr>
          <w:rFonts w:ascii="Calibri" w:hAnsi="Calibri" w:cs="Times New Roman"/>
          <w:sz w:val="22"/>
          <w:szCs w:val="22"/>
        </w:rPr>
        <w:t xml:space="preserve"> </w:t>
      </w:r>
    </w:p>
    <w:p w:rsidR="00A1716E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027981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7</w:t>
      </w:r>
      <w:r w:rsidRPr="004A5E1F" w:rsidR="00A1716E">
        <w:rPr>
          <w:rFonts w:ascii="Calibri" w:hAnsi="Calibri" w:cs="Times New Roman"/>
          <w:b/>
          <w:sz w:val="22"/>
          <w:szCs w:val="22"/>
        </w:rPr>
        <w:t>.</w:t>
      </w:r>
      <w:r w:rsidRPr="004A5E1F" w:rsidR="00820644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§ 49 znie:</w:t>
      </w:r>
    </w:p>
    <w:p w:rsidR="00027981" w:rsidRPr="004A5E1F" w:rsidP="004A5E1F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„§ 49</w:t>
      </w:r>
    </w:p>
    <w:p w:rsidR="00027981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820644">
        <w:rPr>
          <w:rFonts w:ascii="Calibri" w:hAnsi="Calibri" w:cs="Times New Roman"/>
          <w:sz w:val="22"/>
          <w:szCs w:val="22"/>
        </w:rPr>
        <w:t xml:space="preserve">(1) </w:t>
      </w:r>
      <w:r w:rsidRPr="004A5E1F">
        <w:rPr>
          <w:rFonts w:ascii="Calibri" w:hAnsi="Calibri" w:cs="Times New Roman"/>
          <w:sz w:val="22"/>
          <w:szCs w:val="22"/>
        </w:rPr>
        <w:t>Výherný prístroj</w:t>
      </w:r>
      <w:r w:rsidR="007346E5">
        <w:rPr>
          <w:rFonts w:ascii="Calibri" w:hAnsi="Calibri" w:cs="Times New Roman"/>
          <w:sz w:val="22"/>
          <w:szCs w:val="22"/>
        </w:rPr>
        <w:t>,</w:t>
      </w:r>
      <w:r w:rsidRPr="004A5E1F">
        <w:rPr>
          <w:rFonts w:ascii="Calibri" w:hAnsi="Calibri" w:cs="Times New Roman"/>
          <w:sz w:val="22"/>
          <w:szCs w:val="22"/>
        </w:rPr>
        <w:t xml:space="preserve"> </w:t>
      </w:r>
      <w:r w:rsidR="007346E5">
        <w:rPr>
          <w:rFonts w:ascii="Calibri" w:hAnsi="Calibri" w:cs="Times New Roman"/>
          <w:sz w:val="22"/>
          <w:szCs w:val="22"/>
        </w:rPr>
        <w:t xml:space="preserve">technické zariadenie obsluhované priamo hráčmi </w:t>
      </w:r>
      <w:r w:rsidR="00E86E3B">
        <w:rPr>
          <w:rFonts w:ascii="Calibri" w:hAnsi="Calibri" w:cs="Times New Roman"/>
          <w:sz w:val="22"/>
          <w:szCs w:val="22"/>
        </w:rPr>
        <w:t> </w:t>
      </w:r>
      <w:r w:rsidR="007346E5">
        <w:rPr>
          <w:rFonts w:ascii="Calibri" w:hAnsi="Calibri" w:cs="Times New Roman"/>
          <w:sz w:val="22"/>
          <w:szCs w:val="22"/>
        </w:rPr>
        <w:t xml:space="preserve">a </w:t>
      </w:r>
      <w:r w:rsidR="00E86E3B">
        <w:rPr>
          <w:rFonts w:ascii="Calibri" w:hAnsi="Calibri" w:cs="Times New Roman"/>
          <w:sz w:val="22"/>
          <w:szCs w:val="22"/>
        </w:rPr>
        <w:t xml:space="preserve">videohru </w:t>
      </w:r>
      <w:r w:rsidRPr="004A5E1F">
        <w:rPr>
          <w:rFonts w:ascii="Calibri" w:hAnsi="Calibri" w:cs="Times New Roman"/>
          <w:sz w:val="22"/>
          <w:szCs w:val="22"/>
        </w:rPr>
        <w:t>možn</w:t>
      </w:r>
      <w:r w:rsidRPr="004A5E1F" w:rsidR="00820644">
        <w:rPr>
          <w:rFonts w:ascii="Calibri" w:hAnsi="Calibri" w:cs="Times New Roman"/>
          <w:sz w:val="22"/>
          <w:szCs w:val="22"/>
        </w:rPr>
        <w:t>o</w:t>
      </w:r>
      <w:r w:rsidRPr="004A5E1F">
        <w:rPr>
          <w:rFonts w:ascii="Calibri" w:hAnsi="Calibri" w:cs="Times New Roman"/>
          <w:sz w:val="22"/>
          <w:szCs w:val="22"/>
        </w:rPr>
        <w:t xml:space="preserve"> prevádzkovať iba v herni.</w:t>
      </w:r>
    </w:p>
    <w:p w:rsidR="00027981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820644">
        <w:rPr>
          <w:rFonts w:ascii="Calibri" w:hAnsi="Calibri" w:cs="Times New Roman"/>
          <w:sz w:val="22"/>
          <w:szCs w:val="22"/>
        </w:rPr>
        <w:t xml:space="preserve">(2) </w:t>
      </w:r>
      <w:r w:rsidRPr="004A5E1F">
        <w:rPr>
          <w:rFonts w:ascii="Calibri" w:hAnsi="Calibri" w:cs="Times New Roman"/>
          <w:sz w:val="22"/>
          <w:szCs w:val="22"/>
        </w:rPr>
        <w:t xml:space="preserve">V herni, </w:t>
      </w:r>
      <w:r w:rsidR="00E95E9A">
        <w:rPr>
          <w:rFonts w:ascii="Calibri" w:hAnsi="Calibri" w:cs="Times New Roman"/>
          <w:sz w:val="22"/>
          <w:szCs w:val="22"/>
        </w:rPr>
        <w:t xml:space="preserve">ktorá </w:t>
      </w:r>
      <w:r w:rsidRPr="004A5E1F">
        <w:rPr>
          <w:rFonts w:ascii="Calibri" w:hAnsi="Calibri" w:cs="Times New Roman"/>
          <w:sz w:val="22"/>
          <w:szCs w:val="22"/>
        </w:rPr>
        <w:t xml:space="preserve">nie je kasínom, je zakázané 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fajčiť </w:t>
      </w:r>
      <w:r w:rsidRPr="004A5E1F" w:rsidR="00A1716E">
        <w:rPr>
          <w:rFonts w:ascii="Calibri" w:hAnsi="Calibri" w:cs="Times New Roman"/>
          <w:sz w:val="22"/>
          <w:szCs w:val="22"/>
        </w:rPr>
        <w:t>a</w:t>
      </w:r>
      <w:r w:rsidRPr="004A5E1F" w:rsidR="00820644">
        <w:rPr>
          <w:rFonts w:ascii="Calibri" w:hAnsi="Calibri" w:cs="Times New Roman"/>
          <w:sz w:val="22"/>
          <w:szCs w:val="22"/>
        </w:rPr>
        <w:t> </w:t>
      </w:r>
      <w:r w:rsidR="00E86E3B">
        <w:rPr>
          <w:rFonts w:ascii="Calibri" w:hAnsi="Calibri" w:cs="Times New Roman"/>
          <w:sz w:val="22"/>
          <w:szCs w:val="22"/>
        </w:rPr>
        <w:t>požívať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alkoholick</w:t>
      </w:r>
      <w:r w:rsidRPr="004A5E1F" w:rsidR="00820644">
        <w:rPr>
          <w:rFonts w:ascii="Calibri" w:hAnsi="Calibri" w:cs="Times New Roman"/>
          <w:sz w:val="22"/>
          <w:szCs w:val="22"/>
        </w:rPr>
        <w:t>é</w:t>
      </w:r>
      <w:r w:rsidRPr="004A5E1F">
        <w:rPr>
          <w:rFonts w:ascii="Calibri" w:hAnsi="Calibri" w:cs="Times New Roman"/>
          <w:sz w:val="22"/>
          <w:szCs w:val="22"/>
        </w:rPr>
        <w:t xml:space="preserve"> nápoj</w:t>
      </w:r>
      <w:r w:rsidRPr="004A5E1F" w:rsidR="00820644">
        <w:rPr>
          <w:rFonts w:ascii="Calibri" w:hAnsi="Calibri" w:cs="Times New Roman"/>
          <w:sz w:val="22"/>
          <w:szCs w:val="22"/>
        </w:rPr>
        <w:t>e</w:t>
      </w:r>
      <w:r w:rsidRPr="004A5E1F">
        <w:rPr>
          <w:rFonts w:ascii="Calibri" w:hAnsi="Calibri" w:cs="Times New Roman"/>
          <w:sz w:val="22"/>
          <w:szCs w:val="22"/>
        </w:rPr>
        <w:t>.“</w:t>
      </w:r>
      <w:r w:rsidRPr="004A5E1F" w:rsidR="00820644">
        <w:rPr>
          <w:rFonts w:ascii="Calibri" w:hAnsi="Calibri" w:cs="Times New Roman"/>
          <w:sz w:val="22"/>
          <w:szCs w:val="22"/>
        </w:rPr>
        <w:t>.</w:t>
      </w:r>
    </w:p>
    <w:p w:rsidR="00B17666" w:rsidRPr="004A5E1F" w:rsidP="004A5E1F">
      <w:pPr>
        <w:bidi w:val="0"/>
        <w:ind w:left="360"/>
        <w:jc w:val="both"/>
        <w:rPr>
          <w:rFonts w:ascii="Calibri" w:hAnsi="Calibri" w:cs="Times New Roman"/>
          <w:sz w:val="22"/>
          <w:szCs w:val="22"/>
        </w:rPr>
      </w:pPr>
    </w:p>
    <w:p w:rsidR="00B17666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205509">
        <w:rPr>
          <w:rFonts w:ascii="Calibri" w:hAnsi="Calibri" w:cs="Times New Roman"/>
          <w:b/>
          <w:sz w:val="22"/>
          <w:szCs w:val="22"/>
        </w:rPr>
        <w:t>8</w:t>
      </w:r>
      <w:r w:rsidRPr="004A5E1F">
        <w:rPr>
          <w:rFonts w:ascii="Calibri" w:hAnsi="Calibri" w:cs="Times New Roman"/>
          <w:b/>
          <w:sz w:val="22"/>
          <w:szCs w:val="22"/>
        </w:rPr>
        <w:t>.</w:t>
      </w:r>
      <w:r w:rsidRPr="004A5E1F">
        <w:rPr>
          <w:rFonts w:ascii="Calibri" w:hAnsi="Calibri" w:cs="Times New Roman"/>
          <w:sz w:val="22"/>
          <w:szCs w:val="22"/>
        </w:rPr>
        <w:t xml:space="preserve"> </w:t>
      </w:r>
      <w:r w:rsidRPr="004A5E1F" w:rsidR="00820644">
        <w:rPr>
          <w:rFonts w:ascii="Calibri" w:hAnsi="Calibri" w:cs="Times New Roman"/>
          <w:sz w:val="22"/>
          <w:szCs w:val="22"/>
        </w:rPr>
        <w:t xml:space="preserve">Za </w:t>
      </w:r>
      <w:r w:rsidRPr="004A5E1F">
        <w:rPr>
          <w:rFonts w:ascii="Calibri" w:hAnsi="Calibri" w:cs="Times New Roman"/>
          <w:sz w:val="22"/>
          <w:szCs w:val="22"/>
        </w:rPr>
        <w:t>§ 58</w:t>
      </w:r>
      <w:r w:rsidRPr="004A5E1F" w:rsidR="00820644">
        <w:rPr>
          <w:rFonts w:ascii="Calibri" w:hAnsi="Calibri" w:cs="Times New Roman"/>
          <w:sz w:val="22"/>
          <w:szCs w:val="22"/>
        </w:rPr>
        <w:t>e sa vkladá § 58f, ktorý vrátane nadpisu znie:</w:t>
      </w:r>
    </w:p>
    <w:p w:rsidR="00B17666" w:rsidP="004A5E1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„§ 58</w:t>
      </w:r>
      <w:r w:rsidR="00352B50">
        <w:rPr>
          <w:rFonts w:ascii="Calibri" w:hAnsi="Calibri" w:cs="Times New Roman"/>
          <w:sz w:val="22"/>
          <w:szCs w:val="22"/>
        </w:rPr>
        <w:t>f</w:t>
      </w:r>
    </w:p>
    <w:p w:rsidR="00325DD9" w:rsidRPr="004A5E1F" w:rsidP="004A5E1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</w:p>
    <w:p w:rsidR="00B17666" w:rsidRPr="004A5E1F" w:rsidP="004A5E1F">
      <w:pPr>
        <w:bidi w:val="0"/>
        <w:ind w:left="36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Prechodné ustanovenia k ú</w:t>
      </w:r>
      <w:r w:rsidRPr="004A5E1F" w:rsidR="0059454D">
        <w:rPr>
          <w:rFonts w:ascii="Calibri" w:hAnsi="Calibri" w:cs="Times New Roman"/>
          <w:sz w:val="22"/>
          <w:szCs w:val="22"/>
        </w:rPr>
        <w:t>pravám účinným od 1. septembra 2011</w:t>
      </w:r>
    </w:p>
    <w:p w:rsidR="00936B53" w:rsidRPr="004A5E1F" w:rsidP="004A5E1F">
      <w:pPr>
        <w:bidi w:val="0"/>
        <w:jc w:val="both"/>
        <w:rPr>
          <w:rFonts w:ascii="Calibri" w:hAnsi="Calibri" w:cs="Times New Roman"/>
          <w:color w:val="FF0000"/>
          <w:sz w:val="22"/>
          <w:szCs w:val="22"/>
        </w:rPr>
      </w:pPr>
      <w:r w:rsidRPr="004A5E1F" w:rsidR="00055EA0">
        <w:rPr>
          <w:rFonts w:ascii="Calibri" w:hAnsi="Calibri" w:cs="Times New Roman"/>
          <w:sz w:val="22"/>
          <w:szCs w:val="22"/>
        </w:rPr>
        <w:t xml:space="preserve">(1) </w:t>
      </w:r>
      <w:r w:rsidRPr="00BA08C4" w:rsidR="00055EA0">
        <w:rPr>
          <w:rFonts w:ascii="Calibri" w:hAnsi="Calibri" w:cs="Times New Roman"/>
          <w:sz w:val="22"/>
          <w:szCs w:val="22"/>
        </w:rPr>
        <w:t>Prevádzkovate</w:t>
      </w:r>
      <w:r w:rsidR="0000501A">
        <w:rPr>
          <w:rFonts w:ascii="Calibri" w:hAnsi="Calibri" w:cs="Times New Roman"/>
          <w:sz w:val="22"/>
          <w:szCs w:val="22"/>
        </w:rPr>
        <w:t xml:space="preserve">lia </w:t>
      </w:r>
      <w:r w:rsidRPr="00BA08C4" w:rsidR="00820644">
        <w:rPr>
          <w:rFonts w:ascii="Calibri" w:hAnsi="Calibri" w:cs="Times New Roman"/>
          <w:sz w:val="22"/>
          <w:szCs w:val="22"/>
        </w:rPr>
        <w:t>hazardn</w:t>
      </w:r>
      <w:r w:rsidR="0000501A">
        <w:rPr>
          <w:rFonts w:ascii="Calibri" w:hAnsi="Calibri" w:cs="Times New Roman"/>
          <w:sz w:val="22"/>
          <w:szCs w:val="22"/>
        </w:rPr>
        <w:t>ých</w:t>
      </w:r>
      <w:r w:rsidRPr="00BA08C4" w:rsidR="00820644">
        <w:rPr>
          <w:rFonts w:ascii="Calibri" w:hAnsi="Calibri" w:cs="Times New Roman"/>
          <w:sz w:val="22"/>
          <w:szCs w:val="22"/>
        </w:rPr>
        <w:t xml:space="preserve"> h</w:t>
      </w:r>
      <w:r w:rsidR="0000501A">
        <w:rPr>
          <w:rFonts w:ascii="Calibri" w:hAnsi="Calibri" w:cs="Times New Roman"/>
          <w:sz w:val="22"/>
          <w:szCs w:val="22"/>
        </w:rPr>
        <w:t xml:space="preserve">ier prevádzkovaných </w:t>
      </w:r>
      <w:r w:rsidRPr="00BA08C4" w:rsidR="008B0BB8">
        <w:rPr>
          <w:rFonts w:ascii="Calibri" w:hAnsi="Calibri" w:cs="Times New Roman"/>
          <w:sz w:val="22"/>
          <w:szCs w:val="22"/>
        </w:rPr>
        <w:t xml:space="preserve">prostredníctvom </w:t>
      </w:r>
      <w:r w:rsidR="008B0BB8">
        <w:rPr>
          <w:rFonts w:ascii="Calibri" w:hAnsi="Calibri" w:cs="Times New Roman"/>
          <w:sz w:val="22"/>
          <w:szCs w:val="22"/>
        </w:rPr>
        <w:t>v</w:t>
      </w:r>
      <w:r w:rsidRPr="004A5E1F" w:rsidR="008B0BB8">
        <w:rPr>
          <w:rFonts w:ascii="Calibri" w:hAnsi="Calibri" w:cs="Times New Roman"/>
          <w:sz w:val="22"/>
          <w:szCs w:val="22"/>
        </w:rPr>
        <w:t>ýherný</w:t>
      </w:r>
      <w:r w:rsidR="008B0BB8">
        <w:rPr>
          <w:rFonts w:ascii="Calibri" w:hAnsi="Calibri" w:cs="Times New Roman"/>
          <w:sz w:val="22"/>
          <w:szCs w:val="22"/>
        </w:rPr>
        <w:t xml:space="preserve">ch </w:t>
      </w:r>
      <w:r w:rsidRPr="004A5E1F" w:rsidR="008B0BB8">
        <w:rPr>
          <w:rFonts w:ascii="Calibri" w:hAnsi="Calibri" w:cs="Times New Roman"/>
          <w:sz w:val="22"/>
          <w:szCs w:val="22"/>
        </w:rPr>
        <w:t>prístroj</w:t>
      </w:r>
      <w:r w:rsidR="008B0BB8">
        <w:rPr>
          <w:rFonts w:ascii="Calibri" w:hAnsi="Calibri" w:cs="Times New Roman"/>
          <w:sz w:val="22"/>
          <w:szCs w:val="22"/>
        </w:rPr>
        <w:t>ov,</w:t>
      </w:r>
      <w:r w:rsidRPr="004A5E1F" w:rsidR="008B0BB8">
        <w:rPr>
          <w:rFonts w:ascii="Calibri" w:hAnsi="Calibri" w:cs="Times New Roman"/>
          <w:sz w:val="22"/>
          <w:szCs w:val="22"/>
        </w:rPr>
        <w:t xml:space="preserve"> </w:t>
      </w:r>
      <w:r w:rsidR="0000501A">
        <w:rPr>
          <w:rFonts w:ascii="Calibri" w:hAnsi="Calibri" w:cs="Times New Roman"/>
          <w:sz w:val="22"/>
          <w:szCs w:val="22"/>
        </w:rPr>
        <w:t xml:space="preserve">prostredníctvom </w:t>
      </w:r>
      <w:r w:rsidR="008B0BB8">
        <w:rPr>
          <w:rFonts w:ascii="Calibri" w:hAnsi="Calibri" w:cs="Times New Roman"/>
          <w:sz w:val="22"/>
          <w:szCs w:val="22"/>
        </w:rPr>
        <w:t>technických zariadení obsluhovan</w:t>
      </w:r>
      <w:r w:rsidR="00275DF0">
        <w:rPr>
          <w:rFonts w:ascii="Calibri" w:hAnsi="Calibri" w:cs="Times New Roman"/>
          <w:sz w:val="22"/>
          <w:szCs w:val="22"/>
        </w:rPr>
        <w:t>ých</w:t>
      </w:r>
      <w:r w:rsidR="008B0BB8">
        <w:rPr>
          <w:rFonts w:ascii="Calibri" w:hAnsi="Calibri" w:cs="Times New Roman"/>
          <w:sz w:val="22"/>
          <w:szCs w:val="22"/>
        </w:rPr>
        <w:t xml:space="preserve"> priamo hráčmi  a</w:t>
      </w:r>
      <w:r w:rsidR="0000501A">
        <w:rPr>
          <w:rFonts w:ascii="Calibri" w:hAnsi="Calibri" w:cs="Times New Roman"/>
          <w:sz w:val="22"/>
          <w:szCs w:val="22"/>
        </w:rPr>
        <w:t xml:space="preserve"> prevádzkovatelia </w:t>
      </w:r>
      <w:r w:rsidR="008B0BB8">
        <w:rPr>
          <w:rFonts w:ascii="Calibri" w:hAnsi="Calibri" w:cs="Times New Roman"/>
          <w:sz w:val="22"/>
          <w:szCs w:val="22"/>
        </w:rPr>
        <w:t>videoh</w:t>
      </w:r>
      <w:r w:rsidR="00275DF0">
        <w:rPr>
          <w:rFonts w:ascii="Calibri" w:hAnsi="Calibri" w:cs="Times New Roman"/>
          <w:sz w:val="22"/>
          <w:szCs w:val="22"/>
        </w:rPr>
        <w:t xml:space="preserve">ier </w:t>
      </w:r>
      <w:r w:rsidR="0000501A">
        <w:rPr>
          <w:rFonts w:ascii="Calibri" w:hAnsi="Calibri" w:cs="Times New Roman"/>
          <w:sz w:val="22"/>
          <w:szCs w:val="22"/>
        </w:rPr>
        <w:t>sú</w:t>
      </w:r>
      <w:r w:rsidR="00347B16">
        <w:rPr>
          <w:rFonts w:ascii="Calibri" w:hAnsi="Calibri" w:cs="Times New Roman"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>povinn</w:t>
      </w:r>
      <w:r w:rsidR="0000501A">
        <w:rPr>
          <w:rFonts w:ascii="Calibri" w:hAnsi="Calibri" w:cs="Times New Roman"/>
          <w:sz w:val="22"/>
          <w:szCs w:val="22"/>
        </w:rPr>
        <w:t>í</w:t>
      </w:r>
      <w:r w:rsidRPr="004A5E1F">
        <w:rPr>
          <w:rFonts w:ascii="Calibri" w:hAnsi="Calibri" w:cs="Times New Roman"/>
          <w:sz w:val="22"/>
          <w:szCs w:val="22"/>
        </w:rPr>
        <w:t xml:space="preserve"> do 31. marca 2012 zabezpečiť, aby herňa mal</w:t>
      </w:r>
      <w:r w:rsidR="00B11189">
        <w:rPr>
          <w:rFonts w:ascii="Calibri" w:hAnsi="Calibri" w:cs="Times New Roman"/>
          <w:sz w:val="22"/>
          <w:szCs w:val="22"/>
        </w:rPr>
        <w:t>a samostatný vchod, samostatné prevádzkové hodiny a bola nepriechodne oddelená od inej prevádzky.</w:t>
      </w:r>
    </w:p>
    <w:p w:rsidR="00E86E3B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9F1691">
        <w:rPr>
          <w:rFonts w:ascii="Calibri" w:hAnsi="Calibri" w:cs="Times New Roman"/>
          <w:sz w:val="22"/>
          <w:szCs w:val="22"/>
        </w:rPr>
        <w:t>(</w:t>
      </w:r>
      <w:r>
        <w:rPr>
          <w:rFonts w:ascii="Calibri" w:hAnsi="Calibri" w:cs="Times New Roman"/>
          <w:sz w:val="22"/>
          <w:szCs w:val="22"/>
        </w:rPr>
        <w:t>2</w:t>
      </w:r>
      <w:r w:rsidR="009F1691">
        <w:rPr>
          <w:rFonts w:ascii="Calibri" w:hAnsi="Calibri" w:cs="Times New Roman"/>
          <w:sz w:val="22"/>
          <w:szCs w:val="22"/>
        </w:rPr>
        <w:t xml:space="preserve">) </w:t>
      </w:r>
      <w:r w:rsidRPr="004A5E1F" w:rsidR="00842052">
        <w:rPr>
          <w:rFonts w:ascii="Calibri" w:hAnsi="Calibri" w:cs="Times New Roman"/>
          <w:sz w:val="22"/>
          <w:szCs w:val="22"/>
        </w:rPr>
        <w:t>Na umiestnenie výhern</w:t>
      </w:r>
      <w:r w:rsidR="0000501A">
        <w:rPr>
          <w:rFonts w:ascii="Calibri" w:hAnsi="Calibri" w:cs="Times New Roman"/>
          <w:sz w:val="22"/>
          <w:szCs w:val="22"/>
        </w:rPr>
        <w:t>ých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 prístroj</w:t>
      </w:r>
      <w:r w:rsidR="0000501A">
        <w:rPr>
          <w:rFonts w:ascii="Calibri" w:hAnsi="Calibri" w:cs="Times New Roman"/>
          <w:sz w:val="22"/>
          <w:szCs w:val="22"/>
        </w:rPr>
        <w:t>ov</w:t>
      </w:r>
      <w:r w:rsidRPr="004A5E1F" w:rsidR="00842052">
        <w:rPr>
          <w:rFonts w:ascii="Calibri" w:hAnsi="Calibri" w:cs="Times New Roman"/>
          <w:sz w:val="22"/>
          <w:szCs w:val="22"/>
        </w:rPr>
        <w:t>,</w:t>
      </w:r>
      <w:r w:rsidRPr="00205509" w:rsidR="00205509">
        <w:rPr>
          <w:rFonts w:ascii="Calibri" w:hAnsi="Calibri" w:cs="Times New Roman"/>
          <w:sz w:val="22"/>
          <w:szCs w:val="22"/>
        </w:rPr>
        <w:t xml:space="preserve"> </w:t>
      </w:r>
      <w:r w:rsidR="00205509">
        <w:rPr>
          <w:rFonts w:ascii="Calibri" w:hAnsi="Calibri" w:cs="Times New Roman"/>
          <w:sz w:val="22"/>
          <w:szCs w:val="22"/>
        </w:rPr>
        <w:t>technick</w:t>
      </w:r>
      <w:r w:rsidR="0000501A">
        <w:rPr>
          <w:rFonts w:ascii="Calibri" w:hAnsi="Calibri" w:cs="Times New Roman"/>
          <w:sz w:val="22"/>
          <w:szCs w:val="22"/>
        </w:rPr>
        <w:t>ých</w:t>
      </w:r>
      <w:r w:rsidR="00205509">
        <w:rPr>
          <w:rFonts w:ascii="Calibri" w:hAnsi="Calibri" w:cs="Times New Roman"/>
          <w:sz w:val="22"/>
          <w:szCs w:val="22"/>
        </w:rPr>
        <w:t xml:space="preserve"> zariaden</w:t>
      </w:r>
      <w:r w:rsidR="0000501A">
        <w:rPr>
          <w:rFonts w:ascii="Calibri" w:hAnsi="Calibri" w:cs="Times New Roman"/>
          <w:sz w:val="22"/>
          <w:szCs w:val="22"/>
        </w:rPr>
        <w:t>í</w:t>
      </w:r>
      <w:r w:rsidR="00205509">
        <w:rPr>
          <w:rFonts w:ascii="Calibri" w:hAnsi="Calibri" w:cs="Times New Roman"/>
          <w:sz w:val="22"/>
          <w:szCs w:val="22"/>
        </w:rPr>
        <w:t xml:space="preserve"> obsluhovan</w:t>
      </w:r>
      <w:r w:rsidR="0000501A">
        <w:rPr>
          <w:rFonts w:ascii="Calibri" w:hAnsi="Calibri" w:cs="Times New Roman"/>
          <w:sz w:val="22"/>
          <w:szCs w:val="22"/>
        </w:rPr>
        <w:t>ých</w:t>
      </w:r>
      <w:r w:rsidR="00205509">
        <w:rPr>
          <w:rFonts w:ascii="Calibri" w:hAnsi="Calibri" w:cs="Times New Roman"/>
          <w:sz w:val="22"/>
          <w:szCs w:val="22"/>
        </w:rPr>
        <w:t xml:space="preserve"> priamo hráčm</w:t>
      </w:r>
      <w:r w:rsidR="0000501A">
        <w:rPr>
          <w:rFonts w:ascii="Calibri" w:hAnsi="Calibri" w:cs="Times New Roman"/>
          <w:sz w:val="22"/>
          <w:szCs w:val="22"/>
        </w:rPr>
        <w:t>i</w:t>
      </w:r>
      <w:r w:rsidR="00205509">
        <w:rPr>
          <w:rFonts w:ascii="Calibri" w:hAnsi="Calibri" w:cs="Times New Roman"/>
          <w:sz w:val="22"/>
          <w:szCs w:val="22"/>
        </w:rPr>
        <w:t xml:space="preserve"> a </w:t>
      </w:r>
      <w:r w:rsidR="0000501A">
        <w:rPr>
          <w:rFonts w:ascii="Calibri" w:hAnsi="Calibri" w:cs="Times New Roman"/>
          <w:sz w:val="22"/>
          <w:szCs w:val="22"/>
        </w:rPr>
        <w:t>videohier</w:t>
      </w:r>
      <w:r w:rsidR="00205509">
        <w:rPr>
          <w:rFonts w:ascii="Calibri" w:hAnsi="Calibri" w:cs="Times New Roman"/>
          <w:sz w:val="22"/>
          <w:szCs w:val="22"/>
        </w:rPr>
        <w:t>,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 na ktor</w:t>
      </w:r>
      <w:r w:rsidR="0000501A">
        <w:rPr>
          <w:rFonts w:ascii="Calibri" w:hAnsi="Calibri" w:cs="Times New Roman"/>
          <w:sz w:val="22"/>
          <w:szCs w:val="22"/>
        </w:rPr>
        <w:t>ých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 </w:t>
      </w:r>
      <w:r w:rsidR="0000501A">
        <w:rPr>
          <w:rFonts w:ascii="Calibri" w:hAnsi="Calibri" w:cs="Times New Roman"/>
          <w:sz w:val="22"/>
          <w:szCs w:val="22"/>
        </w:rPr>
        <w:t xml:space="preserve">prevádzkovanie </w:t>
      </w:r>
      <w:r w:rsidRPr="004A5E1F" w:rsidR="00842052">
        <w:rPr>
          <w:rFonts w:ascii="Calibri" w:hAnsi="Calibri" w:cs="Times New Roman"/>
          <w:sz w:val="22"/>
          <w:szCs w:val="22"/>
        </w:rPr>
        <w:t>bol</w:t>
      </w:r>
      <w:r w:rsidRPr="004A5E1F" w:rsidR="006C3104">
        <w:rPr>
          <w:rFonts w:ascii="Calibri" w:hAnsi="Calibri" w:cs="Times New Roman"/>
          <w:sz w:val="22"/>
          <w:szCs w:val="22"/>
        </w:rPr>
        <w:t xml:space="preserve">a </w:t>
      </w:r>
      <w:r w:rsidR="00352B50">
        <w:rPr>
          <w:rFonts w:ascii="Calibri" w:hAnsi="Calibri" w:cs="Times New Roman"/>
          <w:sz w:val="22"/>
          <w:szCs w:val="22"/>
        </w:rPr>
        <w:t>udelená individuálna</w:t>
      </w:r>
      <w:r w:rsidRPr="004A5E1F" w:rsidR="006C3104">
        <w:rPr>
          <w:rFonts w:ascii="Calibri" w:hAnsi="Calibri" w:cs="Times New Roman"/>
          <w:sz w:val="22"/>
          <w:szCs w:val="22"/>
        </w:rPr>
        <w:t xml:space="preserve"> licencia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 </w:t>
      </w:r>
      <w:r w:rsidRPr="004A5E1F" w:rsidR="00936B53">
        <w:rPr>
          <w:rFonts w:ascii="Calibri" w:hAnsi="Calibri" w:cs="Times New Roman"/>
          <w:sz w:val="22"/>
          <w:szCs w:val="22"/>
        </w:rPr>
        <w:t>podľa predpisov účinných do 31. augusta 2011</w:t>
      </w:r>
      <w:r w:rsidR="0000501A">
        <w:rPr>
          <w:rFonts w:ascii="Calibri" w:hAnsi="Calibri" w:cs="Times New Roman"/>
          <w:sz w:val="22"/>
          <w:szCs w:val="22"/>
        </w:rPr>
        <w:t xml:space="preserve"> a ktoré boli umiestnené do 31. augusta 2011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, sa </w:t>
      </w:r>
      <w:r w:rsidRPr="004A5E1F" w:rsidR="00F16668">
        <w:rPr>
          <w:rFonts w:ascii="Calibri" w:hAnsi="Calibri" w:cs="Times New Roman"/>
          <w:sz w:val="22"/>
          <w:szCs w:val="22"/>
        </w:rPr>
        <w:t xml:space="preserve">počas doby, na ktorú bola </w:t>
      </w:r>
      <w:r w:rsidR="0000501A">
        <w:rPr>
          <w:rFonts w:ascii="Calibri" w:hAnsi="Calibri" w:cs="Times New Roman"/>
          <w:sz w:val="22"/>
          <w:szCs w:val="22"/>
        </w:rPr>
        <w:t xml:space="preserve">udelená </w:t>
      </w:r>
      <w:r w:rsidR="00352B50">
        <w:rPr>
          <w:rFonts w:ascii="Calibri" w:hAnsi="Calibri" w:cs="Times New Roman"/>
          <w:sz w:val="22"/>
          <w:szCs w:val="22"/>
        </w:rPr>
        <w:t xml:space="preserve">individuálna </w:t>
      </w:r>
      <w:r w:rsidRPr="004A5E1F" w:rsidR="00F16668">
        <w:rPr>
          <w:rFonts w:ascii="Calibri" w:hAnsi="Calibri" w:cs="Times New Roman"/>
          <w:sz w:val="22"/>
          <w:szCs w:val="22"/>
        </w:rPr>
        <w:t xml:space="preserve">licencia, </w:t>
      </w:r>
      <w:r w:rsidRPr="004A5E1F" w:rsidR="0000501A">
        <w:rPr>
          <w:rFonts w:ascii="Calibri" w:hAnsi="Calibri" w:cs="Times New Roman"/>
          <w:sz w:val="22"/>
          <w:szCs w:val="22"/>
        </w:rPr>
        <w:t xml:space="preserve">nevzťahujú </w:t>
      </w:r>
      <w:r w:rsidRPr="004A5E1F" w:rsidR="00842052">
        <w:rPr>
          <w:rFonts w:ascii="Calibri" w:hAnsi="Calibri" w:cs="Times New Roman"/>
          <w:sz w:val="22"/>
          <w:szCs w:val="22"/>
        </w:rPr>
        <w:t>obmedzenia</w:t>
      </w:r>
      <w:r w:rsidR="009F1691">
        <w:rPr>
          <w:rFonts w:ascii="Calibri" w:hAnsi="Calibri" w:cs="Times New Roman"/>
          <w:sz w:val="22"/>
          <w:szCs w:val="22"/>
        </w:rPr>
        <w:t xml:space="preserve"> podľa</w:t>
      </w:r>
      <w:r w:rsidR="00AC708B">
        <w:rPr>
          <w:rFonts w:ascii="Calibri" w:hAnsi="Calibri" w:cs="Times New Roman"/>
          <w:sz w:val="22"/>
          <w:szCs w:val="22"/>
        </w:rPr>
        <w:t xml:space="preserve"> </w:t>
      </w:r>
      <w:r w:rsidRPr="004A5E1F" w:rsidR="00842052">
        <w:rPr>
          <w:rFonts w:ascii="Calibri" w:hAnsi="Calibri" w:cs="Times New Roman"/>
          <w:sz w:val="22"/>
          <w:szCs w:val="22"/>
        </w:rPr>
        <w:t>§</w:t>
      </w:r>
      <w:r w:rsidRPr="004A5E1F" w:rsidR="00936B53">
        <w:rPr>
          <w:rFonts w:ascii="Calibri" w:hAnsi="Calibri" w:cs="Times New Roman"/>
          <w:sz w:val="22"/>
          <w:szCs w:val="22"/>
        </w:rPr>
        <w:t xml:space="preserve"> </w:t>
      </w:r>
      <w:r w:rsidRPr="004A5E1F" w:rsidR="00842052">
        <w:rPr>
          <w:rFonts w:ascii="Calibri" w:hAnsi="Calibri" w:cs="Times New Roman"/>
          <w:sz w:val="22"/>
          <w:szCs w:val="22"/>
        </w:rPr>
        <w:t xml:space="preserve">49 </w:t>
      </w:r>
      <w:r w:rsidR="00161B19">
        <w:rPr>
          <w:rFonts w:ascii="Calibri" w:hAnsi="Calibri" w:cs="Times New Roman"/>
          <w:sz w:val="22"/>
          <w:szCs w:val="22"/>
        </w:rPr>
        <w:t>v znení účinnom od 1. septembra 2011</w:t>
      </w:r>
      <w:r w:rsidRPr="004A5E1F" w:rsidR="00842052">
        <w:rPr>
          <w:rFonts w:ascii="Calibri" w:hAnsi="Calibri" w:cs="Times New Roman"/>
          <w:sz w:val="22"/>
          <w:szCs w:val="22"/>
        </w:rPr>
        <w:t>.</w:t>
      </w:r>
    </w:p>
    <w:p w:rsidR="00325DD9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E86E3B">
        <w:rPr>
          <w:rFonts w:ascii="Calibri" w:hAnsi="Calibri" w:cs="Times New Roman"/>
          <w:sz w:val="22"/>
          <w:szCs w:val="22"/>
        </w:rPr>
        <w:t xml:space="preserve">(3) </w:t>
      </w:r>
      <w:r w:rsidR="002E3398">
        <w:rPr>
          <w:rFonts w:ascii="Calibri" w:hAnsi="Calibri" w:cs="Times New Roman"/>
          <w:sz w:val="22"/>
          <w:szCs w:val="22"/>
        </w:rPr>
        <w:t xml:space="preserve">Prevádzkovatelia hazardných hier prevádzkovaných prostredníctvom výherných prístrojov, s výnimkou výherných prístrojov prevádzkovaných v kasíne, ktorým bolo vydané osvedčenie o výherných prístrojoch podľa </w:t>
      </w:r>
      <w:r w:rsidRPr="004A5E1F" w:rsidR="002E3398">
        <w:rPr>
          <w:rFonts w:ascii="Calibri" w:hAnsi="Calibri" w:cs="Times New Roman"/>
          <w:sz w:val="22"/>
          <w:szCs w:val="22"/>
        </w:rPr>
        <w:t>§</w:t>
      </w:r>
      <w:r w:rsidR="002E3398">
        <w:rPr>
          <w:rFonts w:ascii="Calibri" w:hAnsi="Calibri" w:cs="Times New Roman"/>
          <w:sz w:val="22"/>
          <w:szCs w:val="22"/>
        </w:rPr>
        <w:t xml:space="preserve"> 32 na dobu dlhšiu, než do 31. augusta 2012, sú povinní požiadať o odborné posúdenie výherných prístrojov a najneskôr do 31. augusta 2012 predložiť obci nové osvedčenie o výherných prístrojoch, inak im individuálna licencia zanikne 1. septembra 2012.</w:t>
      </w:r>
    </w:p>
    <w:p w:rsidR="00AE74CA" w:rsidRPr="00AE74CA" w:rsidP="00AE74CA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2E3398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(</w:t>
      </w:r>
      <w:r w:rsidR="002E3398">
        <w:rPr>
          <w:rFonts w:ascii="Calibri" w:hAnsi="Calibri" w:cs="Times New Roman"/>
          <w:sz w:val="22"/>
          <w:szCs w:val="22"/>
        </w:rPr>
        <w:t>4</w:t>
      </w:r>
      <w:r>
        <w:rPr>
          <w:rFonts w:ascii="Calibri" w:hAnsi="Calibri" w:cs="Times New Roman"/>
          <w:sz w:val="22"/>
          <w:szCs w:val="22"/>
        </w:rPr>
        <w:t xml:space="preserve">) </w:t>
      </w:r>
      <w:r w:rsidRPr="00AE74CA">
        <w:rPr>
          <w:rFonts w:ascii="Calibri" w:hAnsi="Calibri" w:cs="Times New Roman"/>
          <w:sz w:val="22"/>
          <w:szCs w:val="22"/>
        </w:rPr>
        <w:t xml:space="preserve">Konania o udelení </w:t>
      </w:r>
      <w:r>
        <w:rPr>
          <w:rFonts w:ascii="Calibri" w:hAnsi="Calibri" w:cs="Times New Roman"/>
          <w:sz w:val="22"/>
          <w:szCs w:val="22"/>
        </w:rPr>
        <w:t xml:space="preserve">alebo zmene </w:t>
      </w:r>
      <w:r w:rsidRPr="00AE74CA">
        <w:rPr>
          <w:rFonts w:ascii="Calibri" w:hAnsi="Calibri" w:cs="Times New Roman"/>
          <w:sz w:val="22"/>
          <w:szCs w:val="22"/>
        </w:rPr>
        <w:t xml:space="preserve">individuálnej licencie, ktoré sa začali a právoplatne neskončili pred </w:t>
      </w:r>
      <w:r>
        <w:rPr>
          <w:rFonts w:ascii="Calibri" w:hAnsi="Calibri" w:cs="Times New Roman"/>
          <w:sz w:val="22"/>
          <w:szCs w:val="22"/>
        </w:rPr>
        <w:t>1. septembrom 2011</w:t>
      </w:r>
      <w:r w:rsidRPr="00AE74CA">
        <w:rPr>
          <w:rFonts w:ascii="Calibri" w:hAnsi="Calibri" w:cs="Times New Roman"/>
          <w:sz w:val="22"/>
          <w:szCs w:val="22"/>
        </w:rPr>
        <w:t xml:space="preserve">, sa dokončia podľa predpisov účinných do 31. </w:t>
      </w:r>
      <w:r>
        <w:rPr>
          <w:rFonts w:ascii="Calibri" w:hAnsi="Calibri" w:cs="Times New Roman"/>
          <w:sz w:val="22"/>
          <w:szCs w:val="22"/>
        </w:rPr>
        <w:t xml:space="preserve">augusta </w:t>
      </w:r>
      <w:r w:rsidRPr="00AE74CA">
        <w:rPr>
          <w:rFonts w:ascii="Calibri" w:hAnsi="Calibri" w:cs="Times New Roman"/>
          <w:sz w:val="22"/>
          <w:szCs w:val="22"/>
        </w:rPr>
        <w:t>20</w:t>
      </w:r>
      <w:r>
        <w:rPr>
          <w:rFonts w:ascii="Calibri" w:hAnsi="Calibri" w:cs="Times New Roman"/>
          <w:sz w:val="22"/>
          <w:szCs w:val="22"/>
        </w:rPr>
        <w:t>11</w:t>
      </w:r>
      <w:r w:rsidRPr="00AE74CA">
        <w:rPr>
          <w:rFonts w:ascii="Calibri" w:hAnsi="Calibri" w:cs="Times New Roman"/>
          <w:sz w:val="22"/>
          <w:szCs w:val="22"/>
        </w:rPr>
        <w:t>.</w:t>
      </w:r>
      <w:r>
        <w:rPr>
          <w:rFonts w:ascii="Calibri" w:hAnsi="Calibri" w:cs="Times New Roman"/>
          <w:sz w:val="22"/>
          <w:szCs w:val="22"/>
        </w:rPr>
        <w:t>“.</w:t>
      </w:r>
      <w:r w:rsidRPr="00AE74CA">
        <w:rPr>
          <w:rFonts w:ascii="Calibri" w:hAnsi="Calibri" w:cs="Times New Roman"/>
          <w:sz w:val="22"/>
          <w:szCs w:val="22"/>
        </w:rPr>
        <w:t xml:space="preserve"> </w:t>
      </w:r>
    </w:p>
    <w:p w:rsidR="00AE74CA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027981" w:rsidRPr="004A5E1F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F16668" w:rsidRPr="004A5E1F" w:rsidP="004A5E1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Čl. II</w:t>
      </w:r>
    </w:p>
    <w:p w:rsidR="00027981" w:rsidRPr="004A5E1F" w:rsidP="004A5E1F">
      <w:pPr>
        <w:bidi w:val="0"/>
        <w:rPr>
          <w:rFonts w:ascii="Calibri" w:hAnsi="Calibri" w:cs="Times New Roman"/>
          <w:sz w:val="22"/>
          <w:szCs w:val="22"/>
        </w:rPr>
      </w:pPr>
    </w:p>
    <w:p w:rsidR="00F16668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 w:rsidR="009865D9">
        <w:rPr>
          <w:rFonts w:ascii="Calibri" w:hAnsi="Calibri" w:cs="Times New Roman"/>
          <w:sz w:val="22"/>
          <w:szCs w:val="22"/>
        </w:rPr>
        <w:t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Z.z., zákona Národnej rady Slovenskej republiky č. 252/1994 Z.z., zákona Národnej rady Slovenskej republiky č. 287/1994 Z.z., zákona č. 229/1997 Z.z., zákona č. 225/1998 Z.z., zákona č. 233/1998 Z.z., nálezu Ústavného súdu Slovenskej republiky č. 185/1999 Z.z., zákona č. 389/1999 Z.z., zákona č. 6/2001 Z.z., zákona č. 453/2001 Z.z., zákona č. 205/2002 Z.z., zákona č. 515/2003 Z.z., zákona č. 369/2004 Z.z., zákona č. 535/2004 Z.z., zákona č. 583/2004 Z.z., zákona č. 615/2004 Z.z., zákona č. 757/2004 Z.z., zákona č. 171/2005 Z.z., zákona č. 628/2005 Z.z., zákona č. 267/2006 Z.z., uznesenia Ústavného súdu Slovenskej republiky č. 616/2006 Z.z., zákona č. 330/2007 Z.z., zákona č. 334/2007 Z.z., zákona č. 335/2007 Z.z., nálezu Ústavného súdu Slovenskej republiky č. 205/2008 Z.z., zákona č. 384/2008 Z.z., zákona č. 445/2008 Z.z., nálezu Ústavného súdu Slovenskej republiky č. 511/2009 Z.z. a zákona č. 102/2010 Z.z. sa dopĺňa takto:</w:t>
      </w:r>
      <w:r w:rsidRPr="004A5E1F" w:rsidR="009865D9">
        <w:rPr>
          <w:rFonts w:ascii="Calibri" w:hAnsi="Calibri" w:cs="Times New Roman"/>
          <w:sz w:val="22"/>
          <w:szCs w:val="22"/>
        </w:rPr>
        <w:t xml:space="preserve"> </w:t>
      </w:r>
    </w:p>
    <w:p w:rsidR="009865D9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9865D9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V § 11 </w:t>
      </w:r>
      <w:r w:rsidR="00161B19">
        <w:rPr>
          <w:rFonts w:ascii="Calibri" w:hAnsi="Calibri" w:cs="Times New Roman"/>
          <w:sz w:val="22"/>
          <w:szCs w:val="22"/>
        </w:rPr>
        <w:t xml:space="preserve">sa </w:t>
      </w:r>
      <w:r w:rsidRPr="004A5E1F">
        <w:rPr>
          <w:rFonts w:ascii="Calibri" w:hAnsi="Calibri" w:cs="Times New Roman"/>
          <w:sz w:val="22"/>
          <w:szCs w:val="22"/>
        </w:rPr>
        <w:t>ods</w:t>
      </w:r>
      <w:r w:rsidR="00161B19">
        <w:rPr>
          <w:rFonts w:ascii="Calibri" w:hAnsi="Calibri" w:cs="Times New Roman"/>
          <w:sz w:val="22"/>
          <w:szCs w:val="22"/>
        </w:rPr>
        <w:t xml:space="preserve">ek </w:t>
      </w:r>
      <w:r w:rsidRPr="004A5E1F">
        <w:rPr>
          <w:rFonts w:ascii="Calibri" w:hAnsi="Calibri" w:cs="Times New Roman"/>
          <w:sz w:val="22"/>
          <w:szCs w:val="22"/>
        </w:rPr>
        <w:t xml:space="preserve"> 4 dopĺňa písmeno</w:t>
      </w:r>
      <w:r w:rsidR="00161B19">
        <w:rPr>
          <w:rFonts w:ascii="Calibri" w:hAnsi="Calibri" w:cs="Times New Roman"/>
          <w:sz w:val="22"/>
          <w:szCs w:val="22"/>
        </w:rPr>
        <w:t>m</w:t>
      </w:r>
      <w:r w:rsidRPr="004A5E1F">
        <w:rPr>
          <w:rFonts w:ascii="Calibri" w:hAnsi="Calibri" w:cs="Times New Roman"/>
          <w:sz w:val="22"/>
          <w:szCs w:val="22"/>
        </w:rPr>
        <w:t xml:space="preserve"> q), ktoré znie:</w:t>
      </w:r>
    </w:p>
    <w:p w:rsidR="009865D9" w:rsidRPr="004A5E1F" w:rsidP="004A5E1F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„q) </w:t>
      </w:r>
      <w:r w:rsidR="00161B19">
        <w:rPr>
          <w:rFonts w:ascii="Calibri" w:hAnsi="Calibri" w:cs="Times New Roman"/>
          <w:sz w:val="22"/>
          <w:szCs w:val="22"/>
        </w:rPr>
        <w:t xml:space="preserve">ustanoviť </w:t>
      </w:r>
      <w:r w:rsidRPr="004A5E1F">
        <w:rPr>
          <w:rFonts w:ascii="Calibri" w:hAnsi="Calibri" w:cs="Times New Roman"/>
          <w:sz w:val="22"/>
          <w:szCs w:val="22"/>
        </w:rPr>
        <w:t xml:space="preserve">nariadením, s platnosťou na dva roky odo dňa </w:t>
      </w:r>
      <w:r w:rsidR="00161B19">
        <w:rPr>
          <w:rFonts w:ascii="Calibri" w:hAnsi="Calibri" w:cs="Times New Roman"/>
          <w:sz w:val="22"/>
          <w:szCs w:val="22"/>
        </w:rPr>
        <w:t xml:space="preserve">jeho </w:t>
      </w:r>
      <w:r w:rsidRPr="004A5E1F">
        <w:rPr>
          <w:rFonts w:ascii="Calibri" w:hAnsi="Calibri" w:cs="Times New Roman"/>
          <w:sz w:val="22"/>
          <w:szCs w:val="22"/>
        </w:rPr>
        <w:t xml:space="preserve">vydania, súhlas so zriadením herne v obci alebo v mestskej časti.“. </w:t>
      </w:r>
    </w:p>
    <w:p w:rsidR="009865D9" w:rsidRPr="004A5E1F" w:rsidP="004A5E1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</w:p>
    <w:p w:rsidR="00027981" w:rsidRPr="004A5E1F" w:rsidP="004A5E1F">
      <w:pPr>
        <w:pStyle w:val="Heading1"/>
        <w:bidi w:val="0"/>
        <w:spacing w:line="240" w:lineRule="auto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Čl. II</w:t>
      </w:r>
      <w:r w:rsidRPr="004A5E1F" w:rsidR="00F16668">
        <w:rPr>
          <w:rFonts w:ascii="Calibri" w:hAnsi="Calibri"/>
          <w:sz w:val="22"/>
          <w:szCs w:val="22"/>
        </w:rPr>
        <w:t>I</w:t>
      </w:r>
    </w:p>
    <w:p w:rsidR="00027981" w:rsidRPr="004A5E1F" w:rsidP="004A5E1F">
      <w:pPr>
        <w:bidi w:val="0"/>
        <w:rPr>
          <w:rFonts w:ascii="Calibri" w:hAnsi="Calibri" w:cs="Times New Roman"/>
          <w:color w:val="FF0000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Tento zákon </w:t>
      </w:r>
      <w:r w:rsidRPr="00267CA6">
        <w:rPr>
          <w:rFonts w:ascii="Calibri" w:hAnsi="Calibri" w:cs="Times New Roman"/>
          <w:sz w:val="22"/>
          <w:szCs w:val="22"/>
        </w:rPr>
        <w:t>nadobúda účinnosť 1.</w:t>
      </w:r>
      <w:r w:rsidR="00AE74CA">
        <w:rPr>
          <w:rFonts w:ascii="Calibri" w:hAnsi="Calibri" w:cs="Times New Roman"/>
          <w:sz w:val="22"/>
          <w:szCs w:val="22"/>
        </w:rPr>
        <w:t xml:space="preserve"> </w:t>
      </w:r>
      <w:r w:rsidRPr="00267CA6" w:rsidR="00A1716E">
        <w:rPr>
          <w:rFonts w:ascii="Calibri" w:hAnsi="Calibri" w:cs="Times New Roman"/>
          <w:sz w:val="22"/>
          <w:szCs w:val="22"/>
        </w:rPr>
        <w:t>septembra</w:t>
      </w:r>
      <w:r w:rsidRPr="00267CA6">
        <w:rPr>
          <w:rFonts w:ascii="Calibri" w:hAnsi="Calibri" w:cs="Times New Roman"/>
          <w:sz w:val="22"/>
          <w:szCs w:val="22"/>
        </w:rPr>
        <w:t xml:space="preserve"> 20</w:t>
      </w:r>
      <w:r w:rsidRPr="00267CA6" w:rsidR="00A1716E">
        <w:rPr>
          <w:rFonts w:ascii="Calibri" w:hAnsi="Calibri" w:cs="Times New Roman"/>
          <w:sz w:val="22"/>
          <w:szCs w:val="22"/>
        </w:rPr>
        <w:t>11</w:t>
      </w:r>
      <w:r w:rsidR="00161B19">
        <w:rPr>
          <w:rFonts w:ascii="Calibri" w:hAnsi="Calibri" w:cs="Times New Roman"/>
          <w:sz w:val="22"/>
          <w:szCs w:val="22"/>
        </w:rPr>
        <w:t>.</w:t>
      </w:r>
    </w:p>
    <w:p w:rsidR="00E00F4C" w:rsidRPr="004A5E1F" w:rsidP="004A5E1F">
      <w:pPr>
        <w:pStyle w:val="BodyText"/>
        <w:bidi w:val="0"/>
        <w:spacing w:after="0"/>
        <w:jc w:val="center"/>
        <w:outlineLvl w:val="0"/>
        <w:rPr>
          <w:rFonts w:ascii="Calibri" w:hAnsi="Calibri"/>
          <w:sz w:val="22"/>
          <w:szCs w:val="22"/>
        </w:rPr>
      </w:pP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76850A8"/>
    <w:multiLevelType w:val="hybridMultilevel"/>
    <w:tmpl w:val="2E028AF8"/>
    <w:lvl w:ilvl="0">
      <w:start w:val="1"/>
      <w:numFmt w:val="lowerLetter"/>
      <w:lvlText w:val="%1)"/>
      <w:lvlJc w:val="left"/>
      <w:pPr>
        <w:tabs>
          <w:tab w:val="num" w:pos="-177"/>
        </w:tabs>
        <w:ind w:left="521" w:hanging="341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43"/>
        </w:tabs>
        <w:ind w:left="5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263"/>
        </w:tabs>
        <w:ind w:left="12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983"/>
        </w:tabs>
        <w:ind w:left="19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703"/>
        </w:tabs>
        <w:ind w:left="27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423"/>
        </w:tabs>
        <w:ind w:left="34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143"/>
        </w:tabs>
        <w:ind w:left="41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863"/>
        </w:tabs>
        <w:ind w:left="48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583"/>
        </w:tabs>
        <w:ind w:left="5583" w:hanging="180"/>
      </w:pPr>
      <w:rPr>
        <w:rFonts w:cs="Times New Roman"/>
        <w:rtl w:val="0"/>
        <w:cs w:val="0"/>
      </w:rPr>
    </w:lvl>
  </w:abstractNum>
  <w:abstractNum w:abstractNumId="2">
    <w:nsid w:val="1C895EC5"/>
    <w:multiLevelType w:val="multilevel"/>
    <w:tmpl w:val="F6C6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7F6D33"/>
    <w:multiLevelType w:val="hybridMultilevel"/>
    <w:tmpl w:val="F6C6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27A0174"/>
    <w:multiLevelType w:val="hybridMultilevel"/>
    <w:tmpl w:val="0E285FEE"/>
    <w:lvl w:ilvl="0">
      <w:start w:val="2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7DBE345D"/>
    <w:multiLevelType w:val="hybridMultilevel"/>
    <w:tmpl w:val="1012D4CA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356C1B"/>
    <w:multiLevelType w:val="hybridMultilevel"/>
    <w:tmpl w:val="C75A6BE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isplayBackgroundShape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91F0E"/>
    <w:rsid w:val="000039D2"/>
    <w:rsid w:val="0000501A"/>
    <w:rsid w:val="00007C22"/>
    <w:rsid w:val="00015C69"/>
    <w:rsid w:val="00027981"/>
    <w:rsid w:val="00031FF5"/>
    <w:rsid w:val="00055EA0"/>
    <w:rsid w:val="00066F11"/>
    <w:rsid w:val="00072BAD"/>
    <w:rsid w:val="00075A46"/>
    <w:rsid w:val="00083EA4"/>
    <w:rsid w:val="000A68C0"/>
    <w:rsid w:val="000C6945"/>
    <w:rsid w:val="000C7A13"/>
    <w:rsid w:val="00100777"/>
    <w:rsid w:val="001048A9"/>
    <w:rsid w:val="0013222A"/>
    <w:rsid w:val="00140F5A"/>
    <w:rsid w:val="00161B19"/>
    <w:rsid w:val="00183C0F"/>
    <w:rsid w:val="00184127"/>
    <w:rsid w:val="001B099D"/>
    <w:rsid w:val="001B0B1C"/>
    <w:rsid w:val="001D54F7"/>
    <w:rsid w:val="001D5A7A"/>
    <w:rsid w:val="001D7AE9"/>
    <w:rsid w:val="00205509"/>
    <w:rsid w:val="002103A3"/>
    <w:rsid w:val="002117A5"/>
    <w:rsid w:val="00217B46"/>
    <w:rsid w:val="002308CE"/>
    <w:rsid w:val="00232322"/>
    <w:rsid w:val="0024076C"/>
    <w:rsid w:val="0025054C"/>
    <w:rsid w:val="00256F97"/>
    <w:rsid w:val="00267CA6"/>
    <w:rsid w:val="00275DF0"/>
    <w:rsid w:val="00292590"/>
    <w:rsid w:val="002966FA"/>
    <w:rsid w:val="0029769A"/>
    <w:rsid w:val="002B47CF"/>
    <w:rsid w:val="002B572E"/>
    <w:rsid w:val="002D74C0"/>
    <w:rsid w:val="002E3398"/>
    <w:rsid w:val="002E563E"/>
    <w:rsid w:val="003031D2"/>
    <w:rsid w:val="00325DD9"/>
    <w:rsid w:val="003339EA"/>
    <w:rsid w:val="00341E6E"/>
    <w:rsid w:val="00342F7D"/>
    <w:rsid w:val="00347B16"/>
    <w:rsid w:val="00352B50"/>
    <w:rsid w:val="003539D6"/>
    <w:rsid w:val="00371E73"/>
    <w:rsid w:val="00374BF9"/>
    <w:rsid w:val="00392C15"/>
    <w:rsid w:val="003A097D"/>
    <w:rsid w:val="003A43CF"/>
    <w:rsid w:val="003C5665"/>
    <w:rsid w:val="003D7810"/>
    <w:rsid w:val="003F3EAD"/>
    <w:rsid w:val="003F7EF0"/>
    <w:rsid w:val="00427EEA"/>
    <w:rsid w:val="00443E75"/>
    <w:rsid w:val="004649F1"/>
    <w:rsid w:val="00466975"/>
    <w:rsid w:val="00490077"/>
    <w:rsid w:val="004930BF"/>
    <w:rsid w:val="004A5E1F"/>
    <w:rsid w:val="004B407F"/>
    <w:rsid w:val="004E2B07"/>
    <w:rsid w:val="0051772F"/>
    <w:rsid w:val="00522F66"/>
    <w:rsid w:val="00534CDC"/>
    <w:rsid w:val="00554344"/>
    <w:rsid w:val="00554CA4"/>
    <w:rsid w:val="00582921"/>
    <w:rsid w:val="0058354D"/>
    <w:rsid w:val="0059454D"/>
    <w:rsid w:val="005D6A7C"/>
    <w:rsid w:val="006022F2"/>
    <w:rsid w:val="00613BE0"/>
    <w:rsid w:val="00627BF7"/>
    <w:rsid w:val="00663C04"/>
    <w:rsid w:val="0066756D"/>
    <w:rsid w:val="00685A97"/>
    <w:rsid w:val="006B3FA6"/>
    <w:rsid w:val="006C3104"/>
    <w:rsid w:val="006D2204"/>
    <w:rsid w:val="006F0749"/>
    <w:rsid w:val="00720441"/>
    <w:rsid w:val="0072547B"/>
    <w:rsid w:val="007346E5"/>
    <w:rsid w:val="007721A3"/>
    <w:rsid w:val="007743ED"/>
    <w:rsid w:val="00786F51"/>
    <w:rsid w:val="007A2F28"/>
    <w:rsid w:val="007B61CB"/>
    <w:rsid w:val="007E2C2E"/>
    <w:rsid w:val="007F4DD5"/>
    <w:rsid w:val="00820644"/>
    <w:rsid w:val="0082141C"/>
    <w:rsid w:val="00841BBC"/>
    <w:rsid w:val="00842052"/>
    <w:rsid w:val="008768A8"/>
    <w:rsid w:val="00891F0E"/>
    <w:rsid w:val="00892C93"/>
    <w:rsid w:val="008942E7"/>
    <w:rsid w:val="008A33EF"/>
    <w:rsid w:val="008B0BB8"/>
    <w:rsid w:val="008B39B7"/>
    <w:rsid w:val="008B4F0A"/>
    <w:rsid w:val="008E781C"/>
    <w:rsid w:val="008F5323"/>
    <w:rsid w:val="0090292D"/>
    <w:rsid w:val="00916FBF"/>
    <w:rsid w:val="00936B53"/>
    <w:rsid w:val="0094496F"/>
    <w:rsid w:val="009675AB"/>
    <w:rsid w:val="00967A95"/>
    <w:rsid w:val="009865D9"/>
    <w:rsid w:val="00990C6D"/>
    <w:rsid w:val="0099592F"/>
    <w:rsid w:val="009B3C65"/>
    <w:rsid w:val="009B42A8"/>
    <w:rsid w:val="009B4C66"/>
    <w:rsid w:val="009B5F86"/>
    <w:rsid w:val="009D5D80"/>
    <w:rsid w:val="009E056C"/>
    <w:rsid w:val="009F1691"/>
    <w:rsid w:val="00A16163"/>
    <w:rsid w:val="00A1716E"/>
    <w:rsid w:val="00A57C69"/>
    <w:rsid w:val="00A632FE"/>
    <w:rsid w:val="00A73340"/>
    <w:rsid w:val="00A817FB"/>
    <w:rsid w:val="00A8510C"/>
    <w:rsid w:val="00A94FA8"/>
    <w:rsid w:val="00AA4274"/>
    <w:rsid w:val="00AC3906"/>
    <w:rsid w:val="00AC708B"/>
    <w:rsid w:val="00AE0C9A"/>
    <w:rsid w:val="00AE74CA"/>
    <w:rsid w:val="00B05B95"/>
    <w:rsid w:val="00B063D2"/>
    <w:rsid w:val="00B11189"/>
    <w:rsid w:val="00B17666"/>
    <w:rsid w:val="00B26B0B"/>
    <w:rsid w:val="00B47186"/>
    <w:rsid w:val="00B51B4A"/>
    <w:rsid w:val="00B75E4F"/>
    <w:rsid w:val="00B81E51"/>
    <w:rsid w:val="00B90A6C"/>
    <w:rsid w:val="00BA08C4"/>
    <w:rsid w:val="00BF11AA"/>
    <w:rsid w:val="00C165DC"/>
    <w:rsid w:val="00C321E7"/>
    <w:rsid w:val="00C41929"/>
    <w:rsid w:val="00C61FA7"/>
    <w:rsid w:val="00C8413B"/>
    <w:rsid w:val="00C911BB"/>
    <w:rsid w:val="00C91F61"/>
    <w:rsid w:val="00C93FE8"/>
    <w:rsid w:val="00C97706"/>
    <w:rsid w:val="00CA315F"/>
    <w:rsid w:val="00CC6CC3"/>
    <w:rsid w:val="00D008F2"/>
    <w:rsid w:val="00D1459C"/>
    <w:rsid w:val="00D475BF"/>
    <w:rsid w:val="00D8340C"/>
    <w:rsid w:val="00DB385D"/>
    <w:rsid w:val="00DC0172"/>
    <w:rsid w:val="00DC28A3"/>
    <w:rsid w:val="00DD105E"/>
    <w:rsid w:val="00DF1379"/>
    <w:rsid w:val="00E00C04"/>
    <w:rsid w:val="00E00F4C"/>
    <w:rsid w:val="00E022BC"/>
    <w:rsid w:val="00E03356"/>
    <w:rsid w:val="00E106B7"/>
    <w:rsid w:val="00E16BFB"/>
    <w:rsid w:val="00E20CB5"/>
    <w:rsid w:val="00E31395"/>
    <w:rsid w:val="00E429C1"/>
    <w:rsid w:val="00E86E3B"/>
    <w:rsid w:val="00E95E9A"/>
    <w:rsid w:val="00EA5100"/>
    <w:rsid w:val="00EE46D6"/>
    <w:rsid w:val="00F16668"/>
    <w:rsid w:val="00F1767F"/>
    <w:rsid w:val="00F27363"/>
    <w:rsid w:val="00F5008C"/>
    <w:rsid w:val="00F65F0C"/>
    <w:rsid w:val="00F66DE1"/>
    <w:rsid w:val="00FA10AE"/>
    <w:rsid w:val="00FB15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981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Zkladntext">
    <w:name w:val="Základní text"/>
    <w:rsid w:val="008E781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rsid w:val="006C3104"/>
    <w:pPr>
      <w:spacing w:after="120"/>
      <w:jc w:val="left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6C3104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C3104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6C310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E00F4C"/>
    <w:pPr>
      <w:spacing w:after="120" w:line="480" w:lineRule="auto"/>
      <w:ind w:left="283"/>
      <w:jc w:val="left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rsid w:val="00E00F4C"/>
    <w:pPr>
      <w:spacing w:after="120"/>
      <w:jc w:val="left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Helvetic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E00F4C"/>
    <w:pPr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Helvetica"/>
      <w:sz w:val="16"/>
      <w:szCs w:val="16"/>
      <w:rtl w:val="0"/>
      <w:cs w:val="0"/>
    </w:rPr>
  </w:style>
  <w:style w:type="paragraph" w:customStyle="1" w:styleId="tlNadpisbodov11pt">
    <w:name w:val="Štýl Nadpis bodov + 11 pt"/>
    <w:basedOn w:val="Normal"/>
    <w:rsid w:val="00E00F4C"/>
    <w:pPr>
      <w:tabs>
        <w:tab w:val="num" w:pos="360"/>
      </w:tabs>
      <w:spacing w:after="120"/>
      <w:jc w:val="both"/>
    </w:pPr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0C6945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C6945"/>
    <w:rPr>
      <w:rFonts w:cs="Helvetica"/>
      <w:rtl w:val="0"/>
      <w:cs w:val="0"/>
    </w:rPr>
  </w:style>
  <w:style w:type="character" w:styleId="FootnoteReference">
    <w:name w:val="footnote reference"/>
    <w:basedOn w:val="DefaultParagraphFont"/>
    <w:uiPriority w:val="99"/>
    <w:rsid w:val="000C6945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rsid w:val="00E106B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6B7"/>
    <w:rPr>
      <w:rFonts w:cs="Helvetica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E106B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06B7"/>
    <w:rPr>
      <w:rFonts w:cs="Helvetica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9865D9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customStyle="1" w:styleId="apple-converted-space">
    <w:name w:val="apple-converted-space"/>
    <w:basedOn w:val="DefaultParagraphFont"/>
    <w:rsid w:val="0029769A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A510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EA510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5100"/>
    <w:rPr>
      <w:rFonts w:cs="Helvetica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510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A5100"/>
    <w:rPr>
      <w:b/>
      <w:bCs/>
    </w:rPr>
  </w:style>
  <w:style w:type="paragraph" w:styleId="ListParagraph">
    <w:name w:val="List Paragraph"/>
    <w:basedOn w:val="Normal"/>
    <w:uiPriority w:val="34"/>
    <w:qFormat/>
    <w:rsid w:val="00AE74CA"/>
    <w:pPr>
      <w:suppressAutoHyphens/>
      <w:spacing w:after="200" w:line="276" w:lineRule="auto"/>
      <w:ind w:left="708"/>
      <w:jc w:val="left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8926-8CAB-4A48-AAED-A46186D8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905</Words>
  <Characters>5160</Characters>
  <Application>Microsoft Office Word</Application>
  <DocSecurity>0</DocSecurity>
  <Lines>0</Lines>
  <Paragraphs>0</Paragraphs>
  <ScaleCrop>false</ScaleCrop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2011-04-29T17:11:00Z</dcterms:created>
  <dcterms:modified xsi:type="dcterms:W3CDTF">2011-04-29T17:11:00Z</dcterms:modified>
</cp:coreProperties>
</file>