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F2590" w:rsidP="009B42F2">
      <w:pPr>
        <w:bidi w:val="0"/>
        <w:jc w:val="both"/>
        <w:rPr>
          <w:rFonts w:ascii="Times New Roman" w:hAnsi="Times New Roman"/>
        </w:rPr>
      </w:pPr>
      <w:r w:rsidRPr="00F32768">
        <w:rPr>
          <w:rFonts w:ascii="Times New Roman" w:hAnsi="Times New Roman"/>
          <w:b/>
          <w:bCs/>
        </w:rPr>
        <w:t>Dôvodová správa</w:t>
      </w:r>
    </w:p>
    <w:p w:rsidR="00AF2590" w:rsidP="009B42F2">
      <w:pPr>
        <w:bidi w:val="0"/>
        <w:jc w:val="both"/>
        <w:rPr>
          <w:rFonts w:ascii="Times New Roman" w:hAnsi="Times New Roman"/>
          <w:b/>
          <w:bCs/>
        </w:rPr>
      </w:pPr>
    </w:p>
    <w:p w:rsidR="00AF2590" w:rsidP="009B42F2">
      <w:pPr>
        <w:numPr>
          <w:numId w:val="5"/>
        </w:numPr>
        <w:bidi w:val="0"/>
        <w:jc w:val="both"/>
        <w:rPr>
          <w:rFonts w:ascii="Times New Roman" w:hAnsi="Times New Roman"/>
          <w:b/>
          <w:bCs/>
        </w:rPr>
      </w:pPr>
      <w:r w:rsidRPr="00F32768">
        <w:rPr>
          <w:rFonts w:ascii="Times New Roman" w:hAnsi="Times New Roman"/>
          <w:b/>
          <w:bCs/>
        </w:rPr>
        <w:t>Všeobecná časť</w:t>
      </w:r>
    </w:p>
    <w:p w:rsidR="00AF2590" w:rsidP="007F4614">
      <w:pPr>
        <w:bidi w:val="0"/>
        <w:jc w:val="both"/>
        <w:rPr>
          <w:rFonts w:ascii="Times New Roman" w:hAnsi="Times New Roman"/>
          <w:b/>
          <w:bCs/>
        </w:rPr>
      </w:pPr>
    </w:p>
    <w:p w:rsidR="00AF2590" w:rsidP="0034284A">
      <w:pPr>
        <w:bidi w:val="0"/>
        <w:ind w:firstLine="708"/>
        <w:jc w:val="both"/>
        <w:rPr>
          <w:rFonts w:ascii="Times New Roman" w:hAnsi="Times New Roman"/>
        </w:rPr>
      </w:pPr>
      <w:r>
        <w:rPr>
          <w:rFonts w:ascii="Times New Roman" w:hAnsi="Times New Roman"/>
          <w:bCs/>
        </w:rPr>
        <w:t>Návrh zákona, ktorým sa mení a dopĺňa zákon č. 528/2008 Z. z. o pomoci a podpore poskytovanej z fondov Európskej únie v znení neskorších predpisov vychádza z </w:t>
      </w:r>
      <w:r w:rsidRPr="00106F31" w:rsidR="00106F31">
        <w:rPr>
          <w:rFonts w:ascii="Times New Roman" w:hAnsi="Times New Roman"/>
          <w:bCs/>
          <w:i/>
        </w:rPr>
        <w:t>Programového vyhlásenia vlády Slovenskej republiky</w:t>
      </w:r>
      <w:r>
        <w:rPr>
          <w:rFonts w:ascii="Times New Roman" w:hAnsi="Times New Roman"/>
          <w:bCs/>
        </w:rPr>
        <w:t>, v ktorom sa vláda Slovenskej republiky (ďalej len „vláda SR“) zaviazala presadzovať maximálnu transparentnosť v rámci činnosti verejných orgánov a inštitúcií, aby princíp „čo nie je tajné, je verejné“, s ktorým bol s účinnosťou od začiatku roka 2001 prijímaný zákon č. 211/2000 Z. z. o slobodnom prístupe k informáciám, bol reálne napĺňaný a dodržiavaný. Vláda SR ďalej konštatovala, že vo vše</w:t>
      </w:r>
      <w:r w:rsidR="00A867B3">
        <w:rPr>
          <w:rFonts w:ascii="Times New Roman" w:hAnsi="Times New Roman"/>
          <w:bCs/>
        </w:rPr>
        <w:t xml:space="preserve">tkých sektoroch verejnej správy je </w:t>
      </w:r>
      <w:r>
        <w:rPr>
          <w:rFonts w:ascii="Times New Roman" w:hAnsi="Times New Roman"/>
          <w:bCs/>
        </w:rPr>
        <w:t>priestor</w:t>
      </w:r>
      <w:r w:rsidR="00A867B3">
        <w:rPr>
          <w:rFonts w:ascii="Times New Roman" w:hAnsi="Times New Roman"/>
          <w:bCs/>
        </w:rPr>
        <w:t xml:space="preserve">om pre </w:t>
      </w:r>
      <w:r>
        <w:rPr>
          <w:rFonts w:ascii="Times New Roman" w:hAnsi="Times New Roman"/>
          <w:bCs/>
        </w:rPr>
        <w:t>korupciu</w:t>
      </w:r>
      <w:r w:rsidR="00A867B3">
        <w:rPr>
          <w:rFonts w:ascii="Times New Roman" w:hAnsi="Times New Roman"/>
          <w:bCs/>
        </w:rPr>
        <w:t xml:space="preserve"> akékoľvek nakladanie</w:t>
      </w:r>
      <w:r>
        <w:rPr>
          <w:rFonts w:ascii="Times New Roman" w:hAnsi="Times New Roman"/>
          <w:bCs/>
        </w:rPr>
        <w:t xml:space="preserve"> s majetkom štátu, verejných inštitúcií a samosprávnych celkov, v súvislosti so štátnymi </w:t>
      </w:r>
      <w:r>
        <w:rPr>
          <w:rFonts w:ascii="Times New Roman" w:hAnsi="Times New Roman"/>
        </w:rPr>
        <w:t>dotáciami. Ide najmä o účelové dotácie, resp. poskytovanie zdrojov z fondov Európskej únie (ďalej len „EÚ“)  a proces verejného obstarávania. Je zrejmé, že v súvislosti s poskytovaním dotácií z fondov EÚ sú finančné prostriedky mnohokrát vyššie ako „bežné“ subvencie. A práve tento aspekt má klásť vysoké nároky na prísnosť a transparentnosť navrhovanej právnej úpravy.</w:t>
      </w:r>
    </w:p>
    <w:p w:rsidR="00AF2590" w:rsidP="00D117BD">
      <w:pPr>
        <w:bidi w:val="0"/>
        <w:jc w:val="both"/>
        <w:rPr>
          <w:rFonts w:ascii="Times New Roman" w:hAnsi="Times New Roman"/>
        </w:rPr>
      </w:pPr>
    </w:p>
    <w:p w:rsidR="00AF2590" w:rsidP="0034284A">
      <w:pPr>
        <w:bidi w:val="0"/>
        <w:ind w:firstLine="708"/>
        <w:contextualSpacing/>
        <w:jc w:val="both"/>
        <w:rPr>
          <w:rFonts w:ascii="Times New Roman" w:hAnsi="Times New Roman"/>
        </w:rPr>
      </w:pPr>
      <w:r>
        <w:rPr>
          <w:rFonts w:ascii="Times New Roman" w:hAnsi="Times New Roman"/>
        </w:rPr>
        <w:t xml:space="preserve">Vláda SR </w:t>
      </w:r>
      <w:r w:rsidR="00EC4089">
        <w:rPr>
          <w:rFonts w:ascii="Times New Roman" w:hAnsi="Times New Roman"/>
        </w:rPr>
        <w:t xml:space="preserve">si stanovila </w:t>
      </w:r>
      <w:r>
        <w:rPr>
          <w:rFonts w:ascii="Times New Roman" w:hAnsi="Times New Roman"/>
        </w:rPr>
        <w:t>za cieľ aktívne znižovať korupciu na vyššie zmienených úsekoch verejnej správy prostredníctvom nástrojov, ktorými sú okrem iného najmä vopred známe pravidlá, obmedzenie subjektívneho rozhodovania či zverejňovanie informácií. V zmysle týchto záväzkov sa preto v navrhovanej právnej úprave rozširuje okruh jasných pravidiel</w:t>
      </w:r>
      <w:r w:rsidR="00EC4089">
        <w:rPr>
          <w:rFonts w:ascii="Times New Roman" w:hAnsi="Times New Roman"/>
        </w:rPr>
        <w:t>, konkrétne v</w:t>
      </w:r>
      <w:r>
        <w:rPr>
          <w:rFonts w:ascii="Times New Roman" w:hAnsi="Times New Roman"/>
        </w:rPr>
        <w:t xml:space="preserve">  bodoch 2 a 3, 7 až 10 a v bode 12 sa demonštratívnym výpočtom spresňujú osoby, o ktorých nezaujatosti je možné mať pochybnosť. Body 6 a 11  sa zaoberajú obmedzením subjektívneho rozhodovania, ktoré sa dosiahne zriadením výberovej komisie. Výberová komisia ako nezávislý orgán posudzuje splnenie výberových kritérií žiadateľmi.  Zverejňovanie informácií sa rozšíri tým, že na webovom sídle sa zverejnia údaje o subjektoch, ktorým bola pomoc schválená, spolu s výškou schválenej pomoci a zložením výberovej komisie, ktorá žiadosti posudzovala. Rovnako sa aj neúspešní uchádzači dozvedia dôvod, pre ktorý im žiadosť nebola schválená alebo zloženie výberovej komisie, ktorá ich žiadosti posudzovala. Návrh zákona sa snaží dosiahnuť cieľ, ktorý je v jednej hodnotovej línii s programovým vyhlásením vlády SR, ktoré uvádza: „</w:t>
      </w:r>
      <w:r w:rsidRPr="0056575C">
        <w:rPr>
          <w:rFonts w:ascii="Times New Roman" w:hAnsi="Times New Roman"/>
          <w:i/>
        </w:rPr>
        <w:t>Vláda SR tiež presadí, aby všetky nenárokovateľné dotácie a príspevky poskytnuté z verejných zdrojov boli zverejnené na internete, a zavedie súťažný princíp do procesu ich poskytovania.</w:t>
      </w:r>
      <w:r>
        <w:rPr>
          <w:rFonts w:ascii="Times New Roman" w:hAnsi="Times New Roman"/>
          <w:i/>
        </w:rPr>
        <w:t>“</w:t>
      </w:r>
    </w:p>
    <w:p w:rsidR="00AF2590" w:rsidP="0034284A">
      <w:pPr>
        <w:bidi w:val="0"/>
        <w:ind w:firstLine="708"/>
        <w:jc w:val="both"/>
        <w:rPr>
          <w:rFonts w:ascii="Times New Roman" w:hAnsi="Times New Roman"/>
        </w:rPr>
      </w:pPr>
    </w:p>
    <w:p w:rsidR="00AF2590" w:rsidP="0034284A">
      <w:pPr>
        <w:bidi w:val="0"/>
        <w:ind w:firstLine="708"/>
        <w:jc w:val="both"/>
        <w:rPr>
          <w:rFonts w:ascii="Times New Roman" w:hAnsi="Times New Roman"/>
        </w:rPr>
      </w:pPr>
      <w:r>
        <w:rPr>
          <w:rFonts w:ascii="Times New Roman" w:hAnsi="Times New Roman"/>
        </w:rPr>
        <w:t>Cieľom poslaneckého návrhu je vytvoriť podmienky pre transparentné poskytovanie pomoci, v zmysle ktorého sa navrhuje zverejňovanie čo najširšieho okruhu informácií generovaných v procese poskytovania podpory. Súčasne sa zavádza mechanizmus vyhodnocovania žiadostí o poskytnutie pomoci, a to na to určenou komisiou, ktorá pôsobí ako nezávislý poradný orgán. Nakoniec sa konkretizujú osoby, o kt</w:t>
      </w:r>
      <w:r w:rsidR="003E2BA4">
        <w:rPr>
          <w:rFonts w:ascii="Times New Roman" w:hAnsi="Times New Roman"/>
        </w:rPr>
        <w:t xml:space="preserve">orých nezaujatosti je možné mať </w:t>
      </w:r>
      <w:r>
        <w:rPr>
          <w:rFonts w:ascii="Times New Roman" w:hAnsi="Times New Roman"/>
        </w:rPr>
        <w:t>pochybnosť spolu s taxatívnym vymenovaním osôb, na ktoré sa tieto ustanovenia nevzťahujú.</w:t>
      </w:r>
    </w:p>
    <w:p w:rsidR="00AF2590" w:rsidP="00D117BD">
      <w:pPr>
        <w:bidi w:val="0"/>
        <w:jc w:val="both"/>
        <w:rPr>
          <w:rFonts w:ascii="Times New Roman" w:hAnsi="Times New Roman"/>
        </w:rPr>
      </w:pPr>
    </w:p>
    <w:p w:rsidR="00EC4089" w:rsidP="00EC4089">
      <w:pPr>
        <w:bidi w:val="0"/>
        <w:ind w:firstLine="708"/>
        <w:jc w:val="both"/>
        <w:rPr>
          <w:rFonts w:ascii="Times New Roman" w:hAnsi="Times New Roman"/>
        </w:rPr>
      </w:pPr>
      <w:r w:rsidR="00AF2590">
        <w:rPr>
          <w:rFonts w:ascii="Times New Roman" w:hAnsi="Times New Roman"/>
        </w:rPr>
        <w:t>Predložený návrh zákona nebude mať dopad na štátny rozpočet, rozpočty obcí a vyšších územných celkov a nemá negatívny vplyv na životné prostredie,</w:t>
      </w:r>
      <w:r w:rsidR="00A867B3">
        <w:rPr>
          <w:rFonts w:ascii="Times New Roman" w:hAnsi="Times New Roman"/>
        </w:rPr>
        <w:t xml:space="preserve"> </w:t>
      </w:r>
      <w:r w:rsidR="00AF2590">
        <w:rPr>
          <w:rFonts w:ascii="Times New Roman" w:hAnsi="Times New Roman"/>
        </w:rPr>
        <w:t xml:space="preserve">na zamestnanosť, podnikateľské prostredie a informatizáciu spoločnosti. Predložený návrh zákona, </w:t>
      </w:r>
      <w:r w:rsidR="00AF2590">
        <w:rPr>
          <w:rFonts w:ascii="Times New Roman" w:hAnsi="Times New Roman"/>
          <w:bCs/>
        </w:rPr>
        <w:t>ktorým sa mení a dopĺňa zákon č. 528/2008 Z. z. o pomoci a podpore poskytovanej z fondov Európskej únie v znení neskorších predpisov</w:t>
      </w:r>
      <w:r w:rsidR="00AF2590">
        <w:rPr>
          <w:rFonts w:ascii="Times New Roman" w:hAnsi="Times New Roman"/>
        </w:rPr>
        <w:t xml:space="preserve"> je v súlade s  Ústavou Slovenskej republiky, s medzinárodnými zmluvami, ktorými je Slovenská republika viazaná a jej zákonmi.</w:t>
      </w:r>
    </w:p>
    <w:p w:rsidR="00AF2590" w:rsidRPr="00C36283" w:rsidP="00EC4089">
      <w:pPr>
        <w:bidi w:val="0"/>
        <w:jc w:val="center"/>
        <w:rPr>
          <w:rFonts w:ascii="Times New Roman" w:hAnsi="Times New Roman"/>
          <w:b/>
        </w:rPr>
      </w:pPr>
      <w:r w:rsidRPr="00C36283">
        <w:rPr>
          <w:rFonts w:ascii="Times New Roman" w:hAnsi="Times New Roman"/>
          <w:b/>
        </w:rPr>
        <w:t>DOLOŽKA ZLUČITEĽNOSTI</w:t>
      </w:r>
    </w:p>
    <w:p w:rsidR="00AF2590" w:rsidP="00EC4089">
      <w:pPr>
        <w:widowControl w:val="0"/>
        <w:bidi w:val="0"/>
        <w:spacing w:after="120"/>
        <w:jc w:val="center"/>
        <w:rPr>
          <w:rFonts w:ascii="Times New Roman" w:hAnsi="Times New Roman"/>
        </w:rPr>
      </w:pPr>
      <w:r w:rsidRPr="00C36283">
        <w:rPr>
          <w:rFonts w:ascii="Times New Roman" w:hAnsi="Times New Roman"/>
          <w:b/>
          <w:bCs/>
        </w:rPr>
        <w:t>návrhu zákona s právom Európskej únie</w:t>
      </w:r>
    </w:p>
    <w:p w:rsidR="00AF2590" w:rsidRPr="00C36283" w:rsidP="00184589">
      <w:pPr>
        <w:widowControl w:val="0"/>
        <w:bidi w:val="0"/>
        <w:spacing w:before="120"/>
        <w:rPr>
          <w:rFonts w:ascii="Times New Roman" w:hAnsi="Times New Roman"/>
        </w:rPr>
      </w:pPr>
    </w:p>
    <w:p w:rsidR="00AF2590" w:rsidRPr="00184589" w:rsidP="00184589">
      <w:pPr>
        <w:widowControl w:val="0"/>
        <w:bidi w:val="0"/>
        <w:ind w:left="340" w:hanging="340"/>
        <w:jc w:val="both"/>
        <w:rPr>
          <w:rFonts w:ascii="Times New Roman" w:hAnsi="Times New Roman"/>
        </w:rPr>
      </w:pPr>
      <w:r w:rsidRPr="00C36283">
        <w:rPr>
          <w:rFonts w:ascii="Times New Roman" w:hAnsi="Times New Roman"/>
        </w:rPr>
        <w:t>1.</w:t>
        <w:tab/>
      </w:r>
      <w:r w:rsidRPr="00C36283">
        <w:rPr>
          <w:rFonts w:ascii="Times New Roman" w:hAnsi="Times New Roman"/>
          <w:b/>
        </w:rPr>
        <w:t>Navrhovateľ zákona:</w:t>
      </w:r>
      <w:r>
        <w:rPr>
          <w:rFonts w:ascii="Times New Roman" w:hAnsi="Times New Roman"/>
          <w:b/>
        </w:rPr>
        <w:t xml:space="preserve"> </w:t>
      </w:r>
      <w:r>
        <w:rPr>
          <w:rFonts w:ascii="Times New Roman" w:hAnsi="Times New Roman"/>
        </w:rPr>
        <w:t>poslanci NR SR</w:t>
      </w:r>
    </w:p>
    <w:p w:rsidR="00AF2590" w:rsidRPr="00C36283" w:rsidP="00184589">
      <w:pPr>
        <w:widowControl w:val="0"/>
        <w:bidi w:val="0"/>
        <w:jc w:val="both"/>
        <w:rPr>
          <w:rFonts w:ascii="Times New Roman" w:hAnsi="Times New Roman"/>
        </w:rPr>
      </w:pPr>
    </w:p>
    <w:p w:rsidR="00AF2590" w:rsidRPr="00C36283" w:rsidP="00184589">
      <w:pPr>
        <w:bidi w:val="0"/>
        <w:jc w:val="both"/>
        <w:rPr>
          <w:rFonts w:ascii="Times New Roman" w:hAnsi="Times New Roman"/>
        </w:rPr>
      </w:pPr>
      <w:r>
        <w:rPr>
          <w:rFonts w:ascii="Times New Roman" w:hAnsi="Times New Roman"/>
        </w:rPr>
        <w:t xml:space="preserve">2.  </w:t>
      </w:r>
      <w:r w:rsidRPr="00C36283">
        <w:rPr>
          <w:rFonts w:ascii="Times New Roman" w:hAnsi="Times New Roman"/>
          <w:b/>
        </w:rPr>
        <w:t>Názov návrhu zákona:</w:t>
      </w:r>
      <w:r>
        <w:rPr>
          <w:rFonts w:ascii="Times New Roman" w:hAnsi="Times New Roman"/>
          <w:b/>
        </w:rPr>
        <w:t xml:space="preserve"> </w:t>
      </w:r>
      <w:r>
        <w:rPr>
          <w:rFonts w:ascii="Times New Roman" w:hAnsi="Times New Roman"/>
        </w:rPr>
        <w:t>N</w:t>
      </w:r>
      <w:r w:rsidRPr="00B1727B">
        <w:rPr>
          <w:rFonts w:ascii="Times New Roman" w:hAnsi="Times New Roman"/>
        </w:rPr>
        <w:t xml:space="preserve">ávrh zákona, </w:t>
      </w:r>
      <w:r w:rsidRPr="001564F9">
        <w:rPr>
          <w:rFonts w:ascii="Times New Roman" w:hAnsi="Times New Roman"/>
        </w:rPr>
        <w:t xml:space="preserve">ktorým sa mení a dopĺňa zákon č. 528/2008 Z. z. o pomoci a podpore poskytovanej </w:t>
      </w:r>
      <w:r>
        <w:rPr>
          <w:rFonts w:ascii="Times New Roman" w:hAnsi="Times New Roman"/>
        </w:rPr>
        <w:t>z fondov Európskej únie</w:t>
      </w:r>
      <w:r w:rsidRPr="001564F9">
        <w:rPr>
          <w:rFonts w:ascii="Times New Roman" w:hAnsi="Times New Roman"/>
        </w:rPr>
        <w:t xml:space="preserve"> v znení neskorších predpisov</w:t>
      </w:r>
      <w:r>
        <w:rPr>
          <w:rFonts w:ascii="Times New Roman" w:hAnsi="Times New Roman"/>
        </w:rPr>
        <w:t>.</w:t>
      </w:r>
    </w:p>
    <w:p w:rsidR="00AF2590" w:rsidRPr="00C36283" w:rsidP="00184589">
      <w:pPr>
        <w:widowControl w:val="0"/>
        <w:bidi w:val="0"/>
        <w:jc w:val="both"/>
        <w:rPr>
          <w:rFonts w:ascii="Times New Roman" w:hAnsi="Times New Roman"/>
        </w:rPr>
      </w:pPr>
    </w:p>
    <w:p w:rsidR="00AF2590" w:rsidP="00184589">
      <w:pPr>
        <w:widowControl w:val="0"/>
        <w:bidi w:val="0"/>
        <w:ind w:left="340" w:hanging="340"/>
        <w:jc w:val="both"/>
        <w:rPr>
          <w:rFonts w:ascii="Times New Roman" w:hAnsi="Times New Roman"/>
          <w:b/>
        </w:rPr>
      </w:pPr>
      <w:r w:rsidRPr="00C36283">
        <w:rPr>
          <w:rFonts w:ascii="Times New Roman" w:hAnsi="Times New Roman"/>
        </w:rPr>
        <w:t>3.</w:t>
        <w:tab/>
      </w:r>
      <w:r>
        <w:rPr>
          <w:rFonts w:ascii="Times New Roman" w:hAnsi="Times New Roman"/>
          <w:b/>
        </w:rPr>
        <w:t>Predmet návrhu zákona:</w:t>
      </w:r>
    </w:p>
    <w:p w:rsidR="00AF2590" w:rsidP="00184589">
      <w:pPr>
        <w:widowControl w:val="0"/>
        <w:bidi w:val="0"/>
        <w:ind w:left="340" w:hanging="340"/>
        <w:jc w:val="both"/>
        <w:rPr>
          <w:rFonts w:ascii="Times New Roman" w:hAnsi="Times New Roman"/>
          <w:b/>
        </w:rPr>
      </w:pPr>
    </w:p>
    <w:p w:rsidR="00AF2590" w:rsidP="00BE464F">
      <w:pPr>
        <w:widowControl w:val="0"/>
        <w:bidi w:val="0"/>
        <w:ind w:left="340" w:hanging="340"/>
        <w:jc w:val="both"/>
        <w:rPr>
          <w:rFonts w:ascii="Times New Roman" w:hAnsi="Times New Roman"/>
        </w:rPr>
      </w:pPr>
      <w:r w:rsidRPr="00184589">
        <w:rPr>
          <w:rFonts w:ascii="Times New Roman" w:hAnsi="Times New Roman"/>
        </w:rPr>
        <w:t>a) je upravený v</w:t>
      </w:r>
      <w:r>
        <w:rPr>
          <w:rFonts w:ascii="Times New Roman" w:hAnsi="Times New Roman"/>
        </w:rPr>
        <w:t> primárnom práve</w:t>
      </w:r>
      <w:r w:rsidRPr="00184589">
        <w:rPr>
          <w:rFonts w:ascii="Times New Roman" w:hAnsi="Times New Roman"/>
        </w:rPr>
        <w:t xml:space="preserve"> Európskej únie:</w:t>
      </w:r>
      <w:r>
        <w:rPr>
          <w:rFonts w:ascii="Times New Roman" w:hAnsi="Times New Roman"/>
        </w:rPr>
        <w:t xml:space="preserve"> Zmluva o fungovaní Európskej únie, najmä čl. 174 až 178.</w:t>
      </w:r>
    </w:p>
    <w:p w:rsidR="00AF2590" w:rsidRPr="00C36283" w:rsidP="00184589">
      <w:pPr>
        <w:pStyle w:val="BodyTextIndent3"/>
        <w:widowControl w:val="0"/>
        <w:bidi w:val="0"/>
        <w:spacing w:after="0"/>
        <w:ind w:left="680" w:hanging="340"/>
        <w:jc w:val="both"/>
        <w:rPr>
          <w:rFonts w:ascii="Times New Roman" w:hAnsi="Times New Roman"/>
          <w:sz w:val="24"/>
          <w:szCs w:val="24"/>
        </w:rPr>
      </w:pPr>
    </w:p>
    <w:p w:rsidR="00AF2590" w:rsidP="00184589">
      <w:pPr>
        <w:pStyle w:val="NormalWeb"/>
        <w:bidi w:val="0"/>
        <w:spacing w:before="0" w:beforeAutospacing="0" w:after="0" w:afterAutospacing="0"/>
        <w:jc w:val="both"/>
        <w:rPr>
          <w:rFonts w:ascii="Times New Roman" w:hAnsi="Times New Roman"/>
        </w:rPr>
      </w:pPr>
      <w:r>
        <w:rPr>
          <w:rFonts w:ascii="Times New Roman" w:hAnsi="Times New Roman"/>
        </w:rPr>
        <w:t xml:space="preserve">b) je upravený v sekundárnom práve Európskej únie: </w:t>
      </w:r>
    </w:p>
    <w:p w:rsidR="00AF2590" w:rsidP="00184589">
      <w:pPr>
        <w:pStyle w:val="NormalWeb"/>
        <w:bidi w:val="0"/>
        <w:spacing w:before="0" w:beforeAutospacing="0" w:after="0" w:afterAutospacing="0"/>
        <w:ind w:left="680" w:hanging="340"/>
        <w:jc w:val="both"/>
        <w:rPr>
          <w:rFonts w:ascii="Times New Roman" w:hAnsi="Times New Roman"/>
        </w:rPr>
      </w:pPr>
    </w:p>
    <w:p w:rsidR="00AF2590" w:rsidRPr="00184589" w:rsidP="00184589">
      <w:pPr>
        <w:pStyle w:val="NormalWeb"/>
        <w:bidi w:val="0"/>
        <w:spacing w:before="0" w:beforeAutospacing="0" w:after="0" w:afterAutospacing="0"/>
        <w:ind w:left="680" w:firstLine="28"/>
        <w:jc w:val="both"/>
        <w:rPr>
          <w:rFonts w:ascii="Times New Roman" w:hAnsi="Times New Roman"/>
        </w:rPr>
      </w:pPr>
      <w:r w:rsidRPr="00184589">
        <w:rPr>
          <w:rFonts w:ascii="Times New Roman" w:hAnsi="Times New Roman"/>
        </w:rPr>
        <w:t>1. Nariadenie Rady (ES) č. 1083/2006 z 11. júla 2006</w:t>
      </w:r>
      <w:r w:rsidR="003D5428">
        <w:rPr>
          <w:rFonts w:ascii="Times New Roman" w:hAnsi="Times New Roman"/>
        </w:rPr>
        <w:t xml:space="preserve">, </w:t>
      </w:r>
      <w:r w:rsidRPr="00184589">
        <w:rPr>
          <w:rFonts w:ascii="Times New Roman" w:hAnsi="Times New Roman"/>
        </w:rPr>
        <w:t>ktorým sa ustanovujú všeobecné ustanovenia o Európskom fonde regionálneho rozvoja, Európskom sociálnom fonde a Kohéznom fonde a ktorým sa zrušuje nariadenie (ES) č. 1260/1999 v znení</w:t>
      </w:r>
      <w:r w:rsidR="003D5428">
        <w:rPr>
          <w:rFonts w:ascii="Times New Roman" w:hAnsi="Times New Roman"/>
        </w:rPr>
        <w:t xml:space="preserve"> nariadenia č. 539/2010,</w:t>
      </w:r>
    </w:p>
    <w:p w:rsidR="00AF2590" w:rsidRPr="00184589" w:rsidP="00184589">
      <w:pPr>
        <w:pStyle w:val="NormalWeb"/>
        <w:bidi w:val="0"/>
        <w:spacing w:before="0" w:beforeAutospacing="0" w:after="0" w:afterAutospacing="0"/>
        <w:ind w:left="1080" w:hanging="360"/>
        <w:jc w:val="both"/>
        <w:rPr>
          <w:rFonts w:ascii="Times New Roman" w:hAnsi="Times New Roman"/>
        </w:rPr>
      </w:pPr>
      <w:r w:rsidRPr="00184589">
        <w:rPr>
          <w:rFonts w:ascii="Times New Roman" w:hAnsi="Times New Roman"/>
        </w:rPr>
        <w:t>2.</w:t>
        <w:tab/>
        <w:t xml:space="preserve">Nariadenie Európskeho parlamentu a Rady (ES) č. 1080/2006 z 5. júla 2006 o Európskom fonde regionálneho rozvoja, </w:t>
      </w:r>
      <w:r w:rsidR="003D5428">
        <w:rPr>
          <w:rFonts w:ascii="Times New Roman" w:hAnsi="Times New Roman"/>
        </w:rPr>
        <w:t xml:space="preserve">a </w:t>
      </w:r>
      <w:r w:rsidRPr="00184589">
        <w:rPr>
          <w:rFonts w:ascii="Times New Roman" w:hAnsi="Times New Roman"/>
        </w:rPr>
        <w:t xml:space="preserve">ktorým sa zrušuje nariadenie (ES) č. 1783/1999 </w:t>
      </w:r>
      <w:r w:rsidR="003D5428">
        <w:rPr>
          <w:rFonts w:ascii="Times New Roman" w:hAnsi="Times New Roman"/>
        </w:rPr>
        <w:t>v </w:t>
      </w:r>
      <w:r w:rsidRPr="00184589">
        <w:rPr>
          <w:rFonts w:ascii="Times New Roman" w:hAnsi="Times New Roman"/>
        </w:rPr>
        <w:t>znení</w:t>
      </w:r>
      <w:r w:rsidR="003D5428">
        <w:rPr>
          <w:rFonts w:ascii="Times New Roman" w:hAnsi="Times New Roman"/>
        </w:rPr>
        <w:t xml:space="preserve"> nariadenia č. 397/2009</w:t>
      </w:r>
      <w:r w:rsidRPr="00184589">
        <w:rPr>
          <w:rFonts w:ascii="Times New Roman" w:hAnsi="Times New Roman"/>
        </w:rPr>
        <w:t>,</w:t>
      </w:r>
    </w:p>
    <w:p w:rsidR="00AF2590" w:rsidRPr="00184589" w:rsidP="00184589">
      <w:pPr>
        <w:pStyle w:val="NormalWeb"/>
        <w:bidi w:val="0"/>
        <w:spacing w:before="0" w:beforeAutospacing="0" w:after="0" w:afterAutospacing="0"/>
        <w:ind w:left="1080" w:hanging="360"/>
        <w:jc w:val="both"/>
        <w:rPr>
          <w:rFonts w:ascii="Times New Roman" w:hAnsi="Times New Roman"/>
        </w:rPr>
      </w:pPr>
      <w:r w:rsidRPr="00184589">
        <w:rPr>
          <w:rFonts w:ascii="Times New Roman" w:hAnsi="Times New Roman"/>
        </w:rPr>
        <w:t>3.</w:t>
        <w:tab/>
        <w:t>Nariadenie Európskeho parlamentu a Rady (ES) č. 1081/2006 z 5. júla 2006 o Európskom sociálnom fonde, ktorým sa zrušuje nariadenie (ES) č. 1784/1999 v znení</w:t>
      </w:r>
      <w:r w:rsidR="001B4534">
        <w:rPr>
          <w:rFonts w:ascii="Times New Roman" w:hAnsi="Times New Roman"/>
        </w:rPr>
        <w:t xml:space="preserve"> nariadenia č. 369/2009,</w:t>
      </w:r>
    </w:p>
    <w:p w:rsidR="00AF2590" w:rsidRPr="00184589" w:rsidP="00184589">
      <w:pPr>
        <w:pStyle w:val="NormalWeb"/>
        <w:bidi w:val="0"/>
        <w:spacing w:before="0" w:beforeAutospacing="0" w:after="0" w:afterAutospacing="0"/>
        <w:ind w:left="1080" w:hanging="360"/>
        <w:jc w:val="both"/>
        <w:rPr>
          <w:rFonts w:ascii="Times New Roman" w:hAnsi="Times New Roman"/>
        </w:rPr>
      </w:pPr>
      <w:r w:rsidR="00A867B3">
        <w:rPr>
          <w:rFonts w:ascii="Times New Roman" w:hAnsi="Times New Roman"/>
        </w:rPr>
        <w:t>4.   </w:t>
      </w:r>
      <w:r w:rsidRPr="00184589">
        <w:rPr>
          <w:rFonts w:ascii="Times New Roman" w:hAnsi="Times New Roman"/>
        </w:rPr>
        <w:t>Nariadenie Európskeho parlamentu a Rady (ES) č. 1084/2006 z 11. júla 2006, ktorým sa zriaďuje Kohézny fond a ktorým sa zrušu</w:t>
      </w:r>
      <w:r w:rsidR="00A867B3">
        <w:rPr>
          <w:rFonts w:ascii="Times New Roman" w:hAnsi="Times New Roman"/>
        </w:rPr>
        <w:t>je nariadenie (ES) č. 1164/1994</w:t>
      </w:r>
      <w:r w:rsidR="001D7EF7">
        <w:rPr>
          <w:rFonts w:ascii="Times New Roman" w:hAnsi="Times New Roman"/>
        </w:rPr>
        <w:t>,</w:t>
      </w:r>
    </w:p>
    <w:p w:rsidR="00AF2590" w:rsidRPr="00184589" w:rsidP="00184589">
      <w:pPr>
        <w:pStyle w:val="NormalWeb"/>
        <w:bidi w:val="0"/>
        <w:spacing w:before="0" w:beforeAutospacing="0" w:after="0" w:afterAutospacing="0"/>
        <w:ind w:left="1080" w:hanging="360"/>
        <w:jc w:val="both"/>
        <w:rPr>
          <w:rFonts w:ascii="Times New Roman" w:hAnsi="Times New Roman"/>
        </w:rPr>
      </w:pPr>
      <w:r w:rsidR="00A867B3">
        <w:rPr>
          <w:rFonts w:ascii="Times New Roman" w:hAnsi="Times New Roman"/>
        </w:rPr>
        <w:t>5.   </w:t>
      </w:r>
      <w:r w:rsidRPr="00184589">
        <w:rPr>
          <w:rFonts w:ascii="Times New Roman" w:hAnsi="Times New Roman"/>
        </w:rPr>
        <w:t>Nariadenie Rady (ES) č. 1198/2006 z 27. júla 2006 o Európsk</w:t>
      </w:r>
      <w:r w:rsidR="00A867B3">
        <w:rPr>
          <w:rFonts w:ascii="Times New Roman" w:hAnsi="Times New Roman"/>
        </w:rPr>
        <w:t>om fonde pre rybné hospodárstvo</w:t>
      </w:r>
      <w:r w:rsidR="001D7EF7">
        <w:rPr>
          <w:rFonts w:ascii="Times New Roman" w:hAnsi="Times New Roman"/>
        </w:rPr>
        <w:t>,</w:t>
      </w:r>
    </w:p>
    <w:p w:rsidR="00AF2590" w:rsidRPr="00184589" w:rsidP="00184589">
      <w:pPr>
        <w:pStyle w:val="NormalWeb"/>
        <w:bidi w:val="0"/>
        <w:spacing w:before="0" w:beforeAutospacing="0" w:after="0" w:afterAutospacing="0"/>
        <w:ind w:left="1080" w:hanging="360"/>
        <w:jc w:val="both"/>
        <w:rPr>
          <w:rFonts w:ascii="Times New Roman" w:hAnsi="Times New Roman"/>
        </w:rPr>
      </w:pPr>
      <w:r w:rsidRPr="00184589">
        <w:rPr>
          <w:rFonts w:ascii="Times New Roman" w:hAnsi="Times New Roman"/>
        </w:rPr>
        <w:t>6.   </w:t>
      </w:r>
      <w:r w:rsidR="00A867B3">
        <w:rPr>
          <w:rFonts w:ascii="Times New Roman" w:hAnsi="Times New Roman"/>
        </w:rPr>
        <w:t>N</w:t>
      </w:r>
      <w:r w:rsidRPr="00184589">
        <w:rPr>
          <w:rFonts w:ascii="Times New Roman" w:hAnsi="Times New Roman"/>
        </w:rPr>
        <w:t>ariadenie Rady (ES) č. 1290/2005 z 21. júna 2005 o financovaní Spoločnej poľnohospodárskej politiky (Ú. v. EÚ L 209, 11.8.2005) v  znení</w:t>
      </w:r>
      <w:r w:rsidR="00250958">
        <w:rPr>
          <w:rFonts w:ascii="Times New Roman" w:hAnsi="Times New Roman"/>
        </w:rPr>
        <w:t xml:space="preserve"> nariadenia č. 473/2009</w:t>
      </w:r>
      <w:r w:rsidRPr="00184589">
        <w:rPr>
          <w:rFonts w:ascii="Times New Roman" w:hAnsi="Times New Roman"/>
        </w:rPr>
        <w:t>,</w:t>
      </w:r>
    </w:p>
    <w:p w:rsidR="00AF2590" w:rsidRPr="00184589" w:rsidP="00184589">
      <w:pPr>
        <w:pStyle w:val="NormalWeb"/>
        <w:bidi w:val="0"/>
        <w:spacing w:before="0" w:beforeAutospacing="0" w:after="0" w:afterAutospacing="0"/>
        <w:ind w:left="1080" w:hanging="360"/>
        <w:jc w:val="both"/>
        <w:rPr>
          <w:rFonts w:ascii="Times New Roman" w:hAnsi="Times New Roman"/>
        </w:rPr>
      </w:pPr>
      <w:r w:rsidRPr="00184589">
        <w:rPr>
          <w:rFonts w:ascii="Times New Roman" w:hAnsi="Times New Roman"/>
        </w:rPr>
        <w:t>7.   Nariadenie Komisie  (ES) č. 1828/2006 z  8. decembra 2006 , ktorým sa stanovujú vykonávacie pravidlá nariadenia Rady (ES) č. 1083/2006, ktorým sa ustanovujú všeobecné ustanovenia o Európskom fonde regionálneho rozvoja, Európskom sociálnom fonde a Kohéznom fonde a nariadenia Európskeho parlamentu a Rady (ES) č. 1080/2006 o Európskom fonde regionálneho rozvoja v  znení</w:t>
      </w:r>
      <w:r w:rsidR="00250958">
        <w:rPr>
          <w:rFonts w:ascii="Times New Roman" w:hAnsi="Times New Roman"/>
        </w:rPr>
        <w:t xml:space="preserve"> nariadenia č. 832/2010</w:t>
      </w:r>
      <w:r w:rsidRPr="00184589">
        <w:rPr>
          <w:rFonts w:ascii="Times New Roman" w:hAnsi="Times New Roman"/>
        </w:rPr>
        <w:t>,</w:t>
      </w:r>
    </w:p>
    <w:p w:rsidR="00AF2590" w:rsidRPr="00184589" w:rsidP="00184589">
      <w:pPr>
        <w:pStyle w:val="NormalWeb"/>
        <w:bidi w:val="0"/>
        <w:spacing w:before="0" w:beforeAutospacing="0" w:after="0" w:afterAutospacing="0"/>
        <w:ind w:left="1080" w:hanging="360"/>
        <w:jc w:val="both"/>
        <w:rPr>
          <w:rFonts w:ascii="Times New Roman" w:hAnsi="Times New Roman"/>
        </w:rPr>
      </w:pPr>
      <w:r w:rsidRPr="00184589">
        <w:rPr>
          <w:rFonts w:ascii="Times New Roman" w:hAnsi="Times New Roman"/>
        </w:rPr>
        <w:t>8.   </w:t>
      </w:r>
      <w:r w:rsidR="00A867B3">
        <w:rPr>
          <w:rFonts w:ascii="Times New Roman" w:hAnsi="Times New Roman"/>
        </w:rPr>
        <w:t>N</w:t>
      </w:r>
      <w:r w:rsidRPr="00184589">
        <w:rPr>
          <w:rFonts w:ascii="Times New Roman" w:hAnsi="Times New Roman"/>
        </w:rPr>
        <w:t>ariadenie Rady (ES) č. 1698/2005 z 20. septembra 2005 o podpore rozvoja vidieka prostredníctvom Európskeho poľnohospodárskeho fondu pre rozvoj vidieka (EPFRV) v  znení</w:t>
      </w:r>
      <w:r w:rsidR="00250958">
        <w:rPr>
          <w:rFonts w:ascii="Times New Roman" w:hAnsi="Times New Roman"/>
        </w:rPr>
        <w:t xml:space="preserve"> nariadenia č. 473/2009</w:t>
      </w:r>
      <w:r w:rsidRPr="00184589">
        <w:rPr>
          <w:rFonts w:ascii="Times New Roman" w:hAnsi="Times New Roman"/>
        </w:rPr>
        <w:t>,</w:t>
      </w:r>
    </w:p>
    <w:p w:rsidR="00AF2590" w:rsidRPr="00184589" w:rsidP="00184589">
      <w:pPr>
        <w:pStyle w:val="NormalWeb"/>
        <w:bidi w:val="0"/>
        <w:spacing w:before="0" w:beforeAutospacing="0" w:after="0" w:afterAutospacing="0"/>
        <w:ind w:left="1080" w:hanging="360"/>
        <w:jc w:val="both"/>
        <w:rPr>
          <w:rFonts w:ascii="Times New Roman" w:hAnsi="Times New Roman"/>
        </w:rPr>
      </w:pPr>
      <w:r w:rsidRPr="00184589">
        <w:rPr>
          <w:rFonts w:ascii="Times New Roman" w:hAnsi="Times New Roman"/>
        </w:rPr>
        <w:t>9.   Nariadenie Rady (ES) č. 1974/2006 z 15. decembra 2006, ktorým sa ustanovujú podrobné pravidlá vykonávania nariadenia Rady (ES)</w:t>
      </w:r>
      <w:r w:rsidR="00250958">
        <w:rPr>
          <w:rFonts w:ascii="Times New Roman" w:hAnsi="Times New Roman"/>
        </w:rPr>
        <w:t xml:space="preserve"> </w:t>
      </w:r>
      <w:r w:rsidRPr="00184589">
        <w:rPr>
          <w:rFonts w:ascii="Times New Roman" w:hAnsi="Times New Roman"/>
        </w:rPr>
        <w:t xml:space="preserve">č. 1698/2005 o podpore rozvoja vidieka prostredníctvom Európskeho poľnohospodárskeho fondu pre rozvoj vidieka (EPFRV) </w:t>
      </w:r>
      <w:r>
        <w:rPr>
          <w:rFonts w:ascii="Times New Roman" w:hAnsi="Times New Roman"/>
        </w:rPr>
        <w:t>v znení</w:t>
      </w:r>
      <w:r w:rsidR="00250958">
        <w:rPr>
          <w:rFonts w:ascii="Times New Roman" w:hAnsi="Times New Roman"/>
        </w:rPr>
        <w:t xml:space="preserve"> nariadenia č. 108/2010</w:t>
      </w:r>
      <w:r>
        <w:rPr>
          <w:rFonts w:ascii="Times New Roman" w:hAnsi="Times New Roman"/>
        </w:rPr>
        <w:t>.</w:t>
      </w:r>
    </w:p>
    <w:p w:rsidR="00AF2590" w:rsidRPr="00C36283" w:rsidP="00184589">
      <w:pPr>
        <w:widowControl w:val="0"/>
        <w:bidi w:val="0"/>
        <w:ind w:left="680" w:hanging="340"/>
        <w:jc w:val="both"/>
        <w:rPr>
          <w:rFonts w:ascii="Times New Roman" w:hAnsi="Times New Roman"/>
        </w:rPr>
      </w:pPr>
    </w:p>
    <w:p w:rsidR="00AF2590" w:rsidP="00184589">
      <w:pPr>
        <w:widowControl w:val="0"/>
        <w:bidi w:val="0"/>
        <w:ind w:left="680" w:hanging="340"/>
        <w:jc w:val="both"/>
        <w:rPr>
          <w:rFonts w:ascii="Times New Roman" w:hAnsi="Times New Roman"/>
        </w:rPr>
      </w:pPr>
      <w:r w:rsidRPr="00C36283">
        <w:rPr>
          <w:rFonts w:ascii="Times New Roman" w:hAnsi="Times New Roman"/>
        </w:rPr>
        <w:t>c)</w:t>
        <w:tab/>
      </w:r>
      <w:r>
        <w:rPr>
          <w:rFonts w:ascii="Times New Roman" w:hAnsi="Times New Roman"/>
        </w:rPr>
        <w:t xml:space="preserve">nie je upravený </w:t>
      </w:r>
      <w:r w:rsidRPr="00C36283">
        <w:rPr>
          <w:rFonts w:ascii="Times New Roman" w:hAnsi="Times New Roman"/>
        </w:rPr>
        <w:t>v judikatú</w:t>
      </w:r>
      <w:r>
        <w:rPr>
          <w:rFonts w:ascii="Times New Roman" w:hAnsi="Times New Roman"/>
        </w:rPr>
        <w:t>re Súdneho dvora Európskej únie.</w:t>
      </w:r>
    </w:p>
    <w:p w:rsidR="00AF2590" w:rsidRPr="00C36283" w:rsidP="00184589">
      <w:pPr>
        <w:widowControl w:val="0"/>
        <w:bidi w:val="0"/>
        <w:ind w:left="680" w:hanging="340"/>
        <w:jc w:val="both"/>
        <w:rPr>
          <w:rFonts w:ascii="Times New Roman" w:hAnsi="Times New Roman"/>
        </w:rPr>
      </w:pPr>
    </w:p>
    <w:p w:rsidR="00AF2590" w:rsidRPr="00C36283" w:rsidP="00184589">
      <w:pPr>
        <w:widowControl w:val="0"/>
        <w:bidi w:val="0"/>
        <w:ind w:left="794" w:hanging="397"/>
        <w:jc w:val="both"/>
        <w:rPr>
          <w:rFonts w:ascii="Times New Roman" w:hAnsi="Times New Roman"/>
        </w:rPr>
      </w:pPr>
    </w:p>
    <w:p w:rsidR="00AF2590" w:rsidP="00184589">
      <w:pPr>
        <w:widowControl w:val="0"/>
        <w:bidi w:val="0"/>
        <w:ind w:left="340" w:hanging="340"/>
        <w:jc w:val="both"/>
        <w:rPr>
          <w:rFonts w:ascii="Times New Roman" w:hAnsi="Times New Roman"/>
          <w:b/>
        </w:rPr>
      </w:pPr>
      <w:r w:rsidRPr="00C36283">
        <w:rPr>
          <w:rFonts w:ascii="Times New Roman" w:hAnsi="Times New Roman"/>
        </w:rPr>
        <w:t>4.</w:t>
        <w:tab/>
      </w:r>
      <w:r w:rsidRPr="00C36283">
        <w:rPr>
          <w:rFonts w:ascii="Times New Roman" w:hAnsi="Times New Roman"/>
          <w:b/>
        </w:rPr>
        <w:t>Záväzky Slovenskej republiky vo vzťahu k Európskej únii:</w:t>
      </w:r>
    </w:p>
    <w:p w:rsidR="00AF2590" w:rsidRPr="00C36283" w:rsidP="00184589">
      <w:pPr>
        <w:widowControl w:val="0"/>
        <w:bidi w:val="0"/>
        <w:ind w:left="340" w:hanging="340"/>
        <w:jc w:val="both"/>
        <w:rPr>
          <w:rFonts w:ascii="Times New Roman" w:hAnsi="Times New Roman"/>
        </w:rPr>
      </w:pPr>
    </w:p>
    <w:p w:rsidR="00AF2590" w:rsidP="00184589">
      <w:pPr>
        <w:widowControl w:val="0"/>
        <w:bidi w:val="0"/>
        <w:ind w:left="680" w:hanging="340"/>
        <w:jc w:val="both"/>
        <w:rPr>
          <w:rFonts w:ascii="Times New Roman" w:hAnsi="Times New Roman"/>
        </w:rPr>
      </w:pPr>
      <w:r>
        <w:rPr>
          <w:rFonts w:ascii="Times New Roman" w:hAnsi="Times New Roman"/>
        </w:rPr>
        <w:t>a)</w:t>
        <w:tab/>
      </w:r>
      <w:r w:rsidRPr="00C36283">
        <w:rPr>
          <w:rFonts w:ascii="Times New Roman" w:hAnsi="Times New Roman"/>
        </w:rPr>
        <w:t>leh</w:t>
      </w:r>
      <w:r>
        <w:rPr>
          <w:rFonts w:ascii="Times New Roman" w:hAnsi="Times New Roman"/>
        </w:rPr>
        <w:t>ota</w:t>
      </w:r>
      <w:r w:rsidRPr="00C36283">
        <w:rPr>
          <w:rFonts w:ascii="Times New Roman" w:hAnsi="Times New Roman"/>
        </w:rPr>
        <w:t xml:space="preserve"> na prebranie príslušného právneh</w:t>
      </w:r>
      <w:r>
        <w:rPr>
          <w:rFonts w:ascii="Times New Roman" w:hAnsi="Times New Roman"/>
        </w:rPr>
        <w:t>o aktu Európskej únie, príp. osobitná</w:t>
      </w:r>
      <w:r w:rsidRPr="00C36283">
        <w:rPr>
          <w:rFonts w:ascii="Times New Roman" w:hAnsi="Times New Roman"/>
        </w:rPr>
        <w:t xml:space="preserve"> l</w:t>
      </w:r>
      <w:r>
        <w:rPr>
          <w:rFonts w:ascii="Times New Roman" w:hAnsi="Times New Roman"/>
        </w:rPr>
        <w:t>ehota účinnosti jeho ustanovení</w:t>
      </w:r>
    </w:p>
    <w:p w:rsidR="00AF2590" w:rsidP="00184589">
      <w:pPr>
        <w:widowControl w:val="0"/>
        <w:bidi w:val="0"/>
        <w:ind w:left="680" w:hanging="340"/>
        <w:jc w:val="both"/>
        <w:rPr>
          <w:rFonts w:ascii="Times New Roman" w:hAnsi="Times New Roman"/>
        </w:rPr>
      </w:pPr>
    </w:p>
    <w:p w:rsidR="00AF2590" w:rsidP="00184589">
      <w:pPr>
        <w:widowControl w:val="0"/>
        <w:bidi w:val="0"/>
        <w:ind w:left="680" w:hanging="340"/>
        <w:jc w:val="both"/>
        <w:rPr>
          <w:rFonts w:ascii="Times New Roman" w:hAnsi="Times New Roman"/>
        </w:rPr>
      </w:pPr>
      <w:r>
        <w:rPr>
          <w:rFonts w:ascii="Times New Roman" w:hAnsi="Times New Roman"/>
        </w:rPr>
        <w:t>bezpredmetné</w:t>
      </w:r>
    </w:p>
    <w:p w:rsidR="00AF2590" w:rsidRPr="00C36283" w:rsidP="00184589">
      <w:pPr>
        <w:widowControl w:val="0"/>
        <w:bidi w:val="0"/>
        <w:ind w:left="680" w:hanging="340"/>
        <w:jc w:val="both"/>
        <w:rPr>
          <w:rFonts w:ascii="Times New Roman" w:hAnsi="Times New Roman"/>
        </w:rPr>
      </w:pPr>
    </w:p>
    <w:p w:rsidR="00AF2590" w:rsidP="00184589">
      <w:pPr>
        <w:widowControl w:val="0"/>
        <w:bidi w:val="0"/>
        <w:ind w:left="680" w:hanging="340"/>
        <w:jc w:val="both"/>
        <w:rPr>
          <w:rFonts w:ascii="Times New Roman" w:hAnsi="Times New Roman"/>
        </w:rPr>
      </w:pPr>
      <w:r w:rsidRPr="00C36283">
        <w:rPr>
          <w:rFonts w:ascii="Times New Roman" w:hAnsi="Times New Roman"/>
        </w:rPr>
        <w:t>b)</w:t>
        <w:tab/>
      </w:r>
      <w:r>
        <w:rPr>
          <w:rFonts w:ascii="Times New Roman" w:hAnsi="Times New Roman"/>
        </w:rPr>
        <w:t>informácia</w:t>
      </w:r>
      <w:r w:rsidRPr="00C36283">
        <w:rPr>
          <w:rFonts w:ascii="Times New Roman" w:hAnsi="Times New Roman"/>
        </w:rPr>
        <w:t xml:space="preserve"> o začatí postupu Európskej komisie alebo o konaní Súdneho dvora Európskej únie proti Slovenskej republike podľa čl. 258 a 260 Zmluvy o fungovaní Európskej únie v jej platnom znení, spolu s uvedením konkrétnych vytýkaných nedostatkov a poži</w:t>
      </w:r>
      <w:r>
        <w:rPr>
          <w:rFonts w:ascii="Times New Roman" w:hAnsi="Times New Roman"/>
        </w:rPr>
        <w:t>adaviek na zabezpečenie nápravy</w:t>
      </w:r>
    </w:p>
    <w:p w:rsidR="00AF2590" w:rsidP="00184589">
      <w:pPr>
        <w:widowControl w:val="0"/>
        <w:bidi w:val="0"/>
        <w:ind w:left="680" w:hanging="340"/>
        <w:jc w:val="both"/>
        <w:rPr>
          <w:rFonts w:ascii="Times New Roman" w:hAnsi="Times New Roman"/>
        </w:rPr>
      </w:pPr>
    </w:p>
    <w:p w:rsidR="00AF2590" w:rsidP="00184589">
      <w:pPr>
        <w:widowControl w:val="0"/>
        <w:bidi w:val="0"/>
        <w:ind w:left="680" w:hanging="340"/>
        <w:jc w:val="both"/>
        <w:rPr>
          <w:rFonts w:ascii="Times New Roman" w:hAnsi="Times New Roman"/>
        </w:rPr>
      </w:pPr>
      <w:r>
        <w:rPr>
          <w:rFonts w:ascii="Times New Roman" w:hAnsi="Times New Roman"/>
        </w:rPr>
        <w:t>bezpredmetné</w:t>
      </w:r>
    </w:p>
    <w:p w:rsidR="00AF2590" w:rsidRPr="00C36283" w:rsidP="00184589">
      <w:pPr>
        <w:widowControl w:val="0"/>
        <w:bidi w:val="0"/>
        <w:ind w:left="680" w:hanging="340"/>
        <w:jc w:val="both"/>
        <w:rPr>
          <w:rFonts w:ascii="Times New Roman" w:hAnsi="Times New Roman"/>
        </w:rPr>
      </w:pPr>
    </w:p>
    <w:p w:rsidR="00AF2590" w:rsidP="00184589">
      <w:pPr>
        <w:widowControl w:val="0"/>
        <w:bidi w:val="0"/>
        <w:ind w:left="680" w:hanging="340"/>
        <w:jc w:val="both"/>
        <w:rPr>
          <w:rFonts w:ascii="Times New Roman" w:hAnsi="Times New Roman"/>
        </w:rPr>
      </w:pPr>
      <w:r w:rsidRPr="00C36283">
        <w:rPr>
          <w:rFonts w:ascii="Times New Roman" w:hAnsi="Times New Roman"/>
        </w:rPr>
        <w:t>c)</w:t>
      </w:r>
      <w:r>
        <w:rPr>
          <w:rFonts w:ascii="Times New Roman" w:hAnsi="Times New Roman"/>
        </w:rPr>
        <w:t xml:space="preserve">   informácia</w:t>
      </w:r>
      <w:r w:rsidRPr="00C36283">
        <w:rPr>
          <w:rFonts w:ascii="Times New Roman" w:hAnsi="Times New Roman"/>
        </w:rPr>
        <w:t xml:space="preserve"> o právnych predpisoch, v ktorých sú uvádzané právne akty Európskej únie už prebrané, spolu s uvedením rozsahu ich prebrania, príp.</w:t>
      </w:r>
      <w:r>
        <w:rPr>
          <w:rFonts w:ascii="Times New Roman" w:hAnsi="Times New Roman"/>
        </w:rPr>
        <w:t xml:space="preserve"> potreby prijatia ďalších úprav</w:t>
      </w:r>
    </w:p>
    <w:p w:rsidR="00AF2590" w:rsidP="00184589">
      <w:pPr>
        <w:widowControl w:val="0"/>
        <w:bidi w:val="0"/>
        <w:ind w:left="680" w:hanging="340"/>
        <w:jc w:val="both"/>
        <w:rPr>
          <w:rFonts w:ascii="Times New Roman" w:hAnsi="Times New Roman"/>
        </w:rPr>
      </w:pPr>
    </w:p>
    <w:p w:rsidR="00AF2590" w:rsidRPr="00C36283" w:rsidP="00184589">
      <w:pPr>
        <w:widowControl w:val="0"/>
        <w:bidi w:val="0"/>
        <w:ind w:left="680" w:hanging="340"/>
        <w:jc w:val="both"/>
        <w:rPr>
          <w:rFonts w:ascii="Times New Roman" w:hAnsi="Times New Roman"/>
        </w:rPr>
      </w:pPr>
      <w:r>
        <w:rPr>
          <w:rFonts w:ascii="Times New Roman" w:hAnsi="Times New Roman"/>
        </w:rPr>
        <w:t>bezpredmetné</w:t>
      </w:r>
    </w:p>
    <w:p w:rsidR="00AF2590" w:rsidRPr="00C36283" w:rsidP="00184589">
      <w:pPr>
        <w:widowControl w:val="0"/>
        <w:bidi w:val="0"/>
        <w:ind w:left="908" w:hanging="454"/>
        <w:jc w:val="both"/>
        <w:rPr>
          <w:rFonts w:ascii="Times New Roman" w:hAnsi="Times New Roman"/>
        </w:rPr>
      </w:pPr>
    </w:p>
    <w:p w:rsidR="00AF2590" w:rsidP="00184589">
      <w:pPr>
        <w:widowControl w:val="0"/>
        <w:bidi w:val="0"/>
        <w:ind w:left="340" w:hanging="340"/>
        <w:jc w:val="both"/>
        <w:rPr>
          <w:rFonts w:ascii="Times New Roman" w:hAnsi="Times New Roman"/>
          <w:b/>
        </w:rPr>
      </w:pPr>
      <w:r w:rsidRPr="00C36283">
        <w:rPr>
          <w:rFonts w:ascii="Times New Roman" w:hAnsi="Times New Roman"/>
        </w:rPr>
        <w:t>5.</w:t>
        <w:tab/>
      </w:r>
      <w:r w:rsidRPr="00C36283">
        <w:rPr>
          <w:rFonts w:ascii="Times New Roman" w:hAnsi="Times New Roman"/>
          <w:b/>
        </w:rPr>
        <w:t>Návrh zákona je zlučiteľný s právom Európskej únie:</w:t>
      </w:r>
    </w:p>
    <w:p w:rsidR="00AF2590" w:rsidRPr="00C36283" w:rsidP="00184589">
      <w:pPr>
        <w:widowControl w:val="0"/>
        <w:bidi w:val="0"/>
        <w:ind w:left="340" w:hanging="340"/>
        <w:jc w:val="both"/>
        <w:rPr>
          <w:rFonts w:ascii="Times New Roman" w:hAnsi="Times New Roman"/>
        </w:rPr>
      </w:pPr>
    </w:p>
    <w:p w:rsidR="00AF2590" w:rsidP="003E2BA4">
      <w:pPr>
        <w:widowControl w:val="0"/>
        <w:bidi w:val="0"/>
        <w:ind w:left="680" w:hanging="340"/>
        <w:jc w:val="both"/>
        <w:rPr>
          <w:rFonts w:ascii="Times New Roman" w:hAnsi="Times New Roman"/>
          <w:b/>
          <w:bCs/>
          <w:caps/>
          <w:spacing w:val="30"/>
        </w:rPr>
      </w:pPr>
      <w:r>
        <w:rPr>
          <w:rFonts w:ascii="Times New Roman" w:hAnsi="Times New Roman"/>
        </w:rPr>
        <w:t>Ú</w:t>
      </w:r>
      <w:r w:rsidRPr="00C36283">
        <w:rPr>
          <w:rFonts w:ascii="Times New Roman" w:hAnsi="Times New Roman"/>
        </w:rPr>
        <w:t>plne</w:t>
      </w:r>
      <w:r>
        <w:rPr>
          <w:rFonts w:ascii="Times New Roman" w:hAnsi="Times New Roman"/>
        </w:rPr>
        <w:t>.</w:t>
      </w:r>
      <w:r w:rsidRPr="00C36283">
        <w:rPr>
          <w:rFonts w:ascii="Times New Roman" w:hAnsi="Times New Roman"/>
        </w:rPr>
        <w:t xml:space="preserve"> </w:t>
      </w:r>
    </w:p>
    <w:p w:rsidR="00AF2590" w:rsidP="009B42F2">
      <w:pPr>
        <w:bidi w:val="0"/>
        <w:jc w:val="both"/>
        <w:rPr>
          <w:rFonts w:ascii="Times New Roman" w:hAnsi="Times New Roman"/>
          <w:b/>
          <w:bCs/>
          <w:caps/>
          <w:spacing w:val="30"/>
        </w:rPr>
      </w:pPr>
    </w:p>
    <w:p w:rsidR="00AF2590" w:rsidP="009B42F2">
      <w:pPr>
        <w:bidi w:val="0"/>
        <w:jc w:val="both"/>
        <w:rPr>
          <w:rFonts w:ascii="Times New Roman" w:hAnsi="Times New Roman"/>
          <w:b/>
          <w:bCs/>
          <w:caps/>
          <w:spacing w:val="30"/>
        </w:rPr>
      </w:pPr>
    </w:p>
    <w:p w:rsidR="00AF2590" w:rsidP="009B42F2">
      <w:pPr>
        <w:bidi w:val="0"/>
        <w:jc w:val="both"/>
        <w:rPr>
          <w:rFonts w:ascii="Times New Roman" w:hAnsi="Times New Roman"/>
          <w:b/>
          <w:bCs/>
          <w:caps/>
          <w:spacing w:val="30"/>
        </w:rPr>
      </w:pPr>
    </w:p>
    <w:p w:rsidR="00AF2590" w:rsidP="009B42F2">
      <w:pPr>
        <w:bidi w:val="0"/>
        <w:jc w:val="both"/>
        <w:rPr>
          <w:rFonts w:ascii="Times New Roman" w:hAnsi="Times New Roman"/>
          <w:b/>
          <w:bCs/>
          <w:caps/>
          <w:spacing w:val="30"/>
        </w:rPr>
      </w:pPr>
    </w:p>
    <w:p w:rsidR="00AF2590" w:rsidP="009B42F2">
      <w:pPr>
        <w:bidi w:val="0"/>
        <w:jc w:val="both"/>
        <w:rPr>
          <w:rFonts w:ascii="Times New Roman" w:hAnsi="Times New Roman"/>
          <w:b/>
          <w:bCs/>
          <w:caps/>
          <w:spacing w:val="30"/>
        </w:rPr>
      </w:pPr>
    </w:p>
    <w:p w:rsidR="00AF2590" w:rsidP="009B42F2">
      <w:pPr>
        <w:bidi w:val="0"/>
        <w:jc w:val="both"/>
        <w:rPr>
          <w:rFonts w:ascii="Times New Roman" w:hAnsi="Times New Roman"/>
          <w:b/>
          <w:bCs/>
          <w:caps/>
          <w:spacing w:val="30"/>
        </w:rPr>
      </w:pPr>
    </w:p>
    <w:p w:rsidR="00AF2590" w:rsidP="009B42F2">
      <w:pPr>
        <w:bidi w:val="0"/>
        <w:jc w:val="both"/>
        <w:rPr>
          <w:rFonts w:ascii="Times New Roman" w:hAnsi="Times New Roman"/>
          <w:b/>
          <w:bCs/>
          <w:caps/>
          <w:spacing w:val="30"/>
        </w:rPr>
      </w:pPr>
    </w:p>
    <w:p w:rsidR="00AF2590" w:rsidP="009B42F2">
      <w:pPr>
        <w:bidi w:val="0"/>
        <w:jc w:val="both"/>
        <w:rPr>
          <w:rFonts w:ascii="Times New Roman" w:hAnsi="Times New Roman"/>
          <w:b/>
          <w:bCs/>
          <w:caps/>
          <w:spacing w:val="30"/>
        </w:rPr>
      </w:pPr>
    </w:p>
    <w:p w:rsidR="00AF2590" w:rsidP="009B42F2">
      <w:pPr>
        <w:bidi w:val="0"/>
        <w:jc w:val="both"/>
        <w:rPr>
          <w:rFonts w:ascii="Times New Roman" w:hAnsi="Times New Roman"/>
          <w:b/>
          <w:bCs/>
          <w:caps/>
          <w:spacing w:val="30"/>
        </w:rPr>
      </w:pPr>
    </w:p>
    <w:p w:rsidR="00AF2590" w:rsidP="009B42F2">
      <w:pPr>
        <w:bidi w:val="0"/>
        <w:jc w:val="both"/>
        <w:rPr>
          <w:rFonts w:ascii="Times New Roman" w:hAnsi="Times New Roman"/>
          <w:b/>
          <w:bCs/>
          <w:caps/>
          <w:spacing w:val="30"/>
        </w:rPr>
      </w:pPr>
    </w:p>
    <w:p w:rsidR="00AF2590" w:rsidP="009B42F2">
      <w:pPr>
        <w:bidi w:val="0"/>
        <w:jc w:val="both"/>
        <w:rPr>
          <w:rFonts w:ascii="Times New Roman" w:hAnsi="Times New Roman"/>
          <w:b/>
          <w:bCs/>
          <w:caps/>
          <w:spacing w:val="30"/>
        </w:rPr>
      </w:pPr>
    </w:p>
    <w:p w:rsidR="00AF2590" w:rsidP="009B42F2">
      <w:pPr>
        <w:bidi w:val="0"/>
        <w:jc w:val="both"/>
        <w:rPr>
          <w:rFonts w:ascii="Times New Roman" w:hAnsi="Times New Roman"/>
          <w:b/>
          <w:bCs/>
          <w:caps/>
          <w:spacing w:val="30"/>
        </w:rPr>
      </w:pPr>
    </w:p>
    <w:p w:rsidR="00AF2590" w:rsidP="009B42F2">
      <w:pPr>
        <w:bidi w:val="0"/>
        <w:jc w:val="both"/>
        <w:rPr>
          <w:rFonts w:ascii="Times New Roman" w:hAnsi="Times New Roman"/>
          <w:b/>
          <w:bCs/>
          <w:caps/>
          <w:spacing w:val="30"/>
        </w:rPr>
      </w:pPr>
    </w:p>
    <w:p w:rsidR="00AF2590" w:rsidP="009B42F2">
      <w:pPr>
        <w:pStyle w:val="NormalWeb"/>
        <w:bidi w:val="0"/>
        <w:spacing w:before="0" w:beforeAutospacing="0" w:after="0" w:afterAutospacing="0"/>
        <w:jc w:val="both"/>
        <w:rPr>
          <w:rFonts w:ascii="Times New Roman" w:hAnsi="Times New Roman"/>
          <w:b/>
          <w:bCs/>
          <w:color w:val="000000"/>
          <w:sz w:val="28"/>
          <w:szCs w:val="28"/>
        </w:rPr>
      </w:pPr>
    </w:p>
    <w:p w:rsidR="00AF2590" w:rsidP="009B42F2">
      <w:pPr>
        <w:pStyle w:val="NormalWeb"/>
        <w:bidi w:val="0"/>
        <w:spacing w:before="0" w:beforeAutospacing="0" w:after="0" w:afterAutospacing="0"/>
        <w:jc w:val="both"/>
        <w:rPr>
          <w:rFonts w:ascii="Times New Roman" w:hAnsi="Times New Roman"/>
          <w:b/>
          <w:bCs/>
          <w:color w:val="000000"/>
          <w:sz w:val="28"/>
          <w:szCs w:val="28"/>
        </w:rPr>
      </w:pPr>
    </w:p>
    <w:p w:rsidR="00AF2590" w:rsidP="009B42F2">
      <w:pPr>
        <w:pStyle w:val="NormalWeb"/>
        <w:bidi w:val="0"/>
        <w:spacing w:before="0" w:beforeAutospacing="0" w:after="0" w:afterAutospacing="0"/>
        <w:jc w:val="both"/>
        <w:rPr>
          <w:rFonts w:ascii="Times New Roman" w:hAnsi="Times New Roman"/>
          <w:b/>
          <w:bCs/>
          <w:color w:val="000000"/>
          <w:sz w:val="28"/>
          <w:szCs w:val="28"/>
        </w:rPr>
      </w:pPr>
    </w:p>
    <w:p w:rsidR="00AF2590" w:rsidP="009B42F2">
      <w:pPr>
        <w:pStyle w:val="NormalWeb"/>
        <w:bidi w:val="0"/>
        <w:spacing w:before="0" w:beforeAutospacing="0" w:after="0" w:afterAutospacing="0"/>
        <w:jc w:val="both"/>
        <w:rPr>
          <w:rFonts w:ascii="Times New Roman" w:hAnsi="Times New Roman"/>
          <w:b/>
          <w:bCs/>
          <w:color w:val="000000"/>
          <w:sz w:val="28"/>
          <w:szCs w:val="28"/>
        </w:rPr>
      </w:pPr>
    </w:p>
    <w:p w:rsidR="00AF2590" w:rsidP="009B42F2">
      <w:pPr>
        <w:pStyle w:val="NormalWeb"/>
        <w:bidi w:val="0"/>
        <w:spacing w:before="0" w:beforeAutospacing="0" w:after="0" w:afterAutospacing="0"/>
        <w:jc w:val="both"/>
        <w:rPr>
          <w:rFonts w:ascii="Times New Roman" w:hAnsi="Times New Roman"/>
          <w:b/>
          <w:bCs/>
          <w:color w:val="000000"/>
          <w:sz w:val="28"/>
          <w:szCs w:val="28"/>
        </w:rPr>
      </w:pPr>
    </w:p>
    <w:p w:rsidR="00AF2590" w:rsidP="009B42F2">
      <w:pPr>
        <w:pStyle w:val="NormalWeb"/>
        <w:bidi w:val="0"/>
        <w:spacing w:before="0" w:beforeAutospacing="0" w:after="0" w:afterAutospacing="0"/>
        <w:jc w:val="both"/>
        <w:rPr>
          <w:rFonts w:ascii="Times New Roman" w:hAnsi="Times New Roman"/>
          <w:b/>
          <w:bCs/>
          <w:color w:val="000000"/>
          <w:sz w:val="28"/>
          <w:szCs w:val="28"/>
        </w:rPr>
      </w:pPr>
    </w:p>
    <w:p w:rsidR="00AF2590" w:rsidP="009B42F2">
      <w:pPr>
        <w:pStyle w:val="NormalWeb"/>
        <w:bidi w:val="0"/>
        <w:spacing w:before="0" w:beforeAutospacing="0" w:after="0" w:afterAutospacing="0"/>
        <w:jc w:val="both"/>
        <w:rPr>
          <w:rFonts w:ascii="Times New Roman" w:hAnsi="Times New Roman"/>
          <w:b/>
          <w:bCs/>
          <w:color w:val="000000"/>
          <w:sz w:val="28"/>
          <w:szCs w:val="28"/>
        </w:rPr>
      </w:pPr>
    </w:p>
    <w:p w:rsidR="00EC4089" w:rsidP="009B42F2">
      <w:pPr>
        <w:bidi w:val="0"/>
        <w:jc w:val="both"/>
        <w:rPr>
          <w:rFonts w:ascii="Times New Roman" w:hAnsi="Times New Roman"/>
          <w:b/>
          <w:bCs/>
          <w:caps/>
          <w:spacing w:val="30"/>
        </w:rPr>
      </w:pPr>
    </w:p>
    <w:p w:rsidR="00EC4089" w:rsidP="009B42F2">
      <w:pPr>
        <w:bidi w:val="0"/>
        <w:jc w:val="both"/>
        <w:rPr>
          <w:rFonts w:ascii="Times New Roman" w:hAnsi="Times New Roman"/>
          <w:b/>
          <w:bCs/>
          <w:caps/>
          <w:spacing w:val="30"/>
        </w:rPr>
      </w:pPr>
    </w:p>
    <w:p w:rsidR="00EC4089" w:rsidP="009B42F2">
      <w:pPr>
        <w:bidi w:val="0"/>
        <w:jc w:val="both"/>
        <w:rPr>
          <w:rFonts w:ascii="Times New Roman" w:hAnsi="Times New Roman"/>
          <w:b/>
          <w:bCs/>
          <w:caps/>
          <w:spacing w:val="30"/>
        </w:rPr>
      </w:pPr>
    </w:p>
    <w:p w:rsidR="00EC4089" w:rsidP="009B42F2">
      <w:pPr>
        <w:bidi w:val="0"/>
        <w:jc w:val="both"/>
        <w:rPr>
          <w:rFonts w:ascii="Times New Roman" w:hAnsi="Times New Roman"/>
          <w:b/>
          <w:bCs/>
          <w:caps/>
          <w:spacing w:val="30"/>
        </w:rPr>
      </w:pPr>
    </w:p>
    <w:p w:rsidR="00EC4089" w:rsidP="009B42F2">
      <w:pPr>
        <w:bidi w:val="0"/>
        <w:jc w:val="both"/>
        <w:rPr>
          <w:rFonts w:ascii="Times New Roman" w:hAnsi="Times New Roman"/>
          <w:b/>
          <w:bCs/>
          <w:caps/>
          <w:spacing w:val="30"/>
        </w:rPr>
      </w:pPr>
    </w:p>
    <w:p w:rsidR="00EC4089" w:rsidP="009B42F2">
      <w:pPr>
        <w:bidi w:val="0"/>
        <w:jc w:val="both"/>
        <w:rPr>
          <w:rFonts w:ascii="Times New Roman" w:hAnsi="Times New Roman"/>
          <w:b/>
          <w:bCs/>
          <w:caps/>
          <w:spacing w:val="30"/>
        </w:rPr>
      </w:pPr>
    </w:p>
    <w:p w:rsidR="00AF2590" w:rsidRPr="00B705D9" w:rsidP="009B42F2">
      <w:pPr>
        <w:bidi w:val="0"/>
        <w:jc w:val="both"/>
        <w:rPr>
          <w:rFonts w:ascii="Times New Roman" w:hAnsi="Times New Roman"/>
          <w:b/>
          <w:bCs/>
          <w:caps/>
          <w:spacing w:val="30"/>
        </w:rPr>
      </w:pPr>
      <w:r w:rsidRPr="00B705D9">
        <w:rPr>
          <w:rFonts w:ascii="Times New Roman" w:hAnsi="Times New Roman"/>
          <w:b/>
          <w:bCs/>
          <w:caps/>
          <w:spacing w:val="30"/>
        </w:rPr>
        <w:t>DOLOŽKA VYBRANÝCH VPLYVOV</w:t>
      </w:r>
    </w:p>
    <w:p w:rsidR="00AF2590" w:rsidP="009B42F2">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AF2590" w:rsidRPr="00F4260A" w:rsidP="009B42F2">
      <w:pPr>
        <w:bidi w:val="0"/>
        <w:jc w:val="both"/>
        <w:rPr>
          <w:rFonts w:ascii="Times New Roman" w:hAnsi="Times New Roman"/>
        </w:rPr>
      </w:pPr>
      <w:r>
        <w:rPr>
          <w:rFonts w:ascii="Times New Roman" w:hAnsi="Times New Roman"/>
          <w:b/>
          <w:bCs/>
          <w:color w:val="000000"/>
          <w:sz w:val="23"/>
          <w:szCs w:val="23"/>
        </w:rPr>
        <w:t xml:space="preserve">A.1. Názov materiálu: </w:t>
      </w:r>
      <w:r w:rsidRPr="00B1727B">
        <w:rPr>
          <w:rFonts w:ascii="Times New Roman" w:hAnsi="Times New Roman"/>
        </w:rPr>
        <w:t xml:space="preserve">návrh zákona, </w:t>
      </w:r>
      <w:r w:rsidRPr="001564F9">
        <w:rPr>
          <w:rFonts w:ascii="Times New Roman" w:hAnsi="Times New Roman"/>
        </w:rPr>
        <w:t xml:space="preserve">ktorým sa mení a dopĺňa zákon č. 528/2008 Z. z. o pomoci a podpore </w:t>
      </w:r>
      <w:r>
        <w:rPr>
          <w:rFonts w:ascii="Times New Roman" w:hAnsi="Times New Roman"/>
        </w:rPr>
        <w:t>poskytovanej z fondov Európskej</w:t>
      </w:r>
      <w:r w:rsidRPr="001564F9">
        <w:rPr>
          <w:rFonts w:ascii="Times New Roman" w:hAnsi="Times New Roman"/>
        </w:rPr>
        <w:t xml:space="preserve"> </w:t>
      </w:r>
      <w:r>
        <w:rPr>
          <w:rFonts w:ascii="Times New Roman" w:hAnsi="Times New Roman"/>
        </w:rPr>
        <w:t>únie</w:t>
      </w:r>
      <w:r w:rsidRPr="001564F9">
        <w:rPr>
          <w:rFonts w:ascii="Times New Roman" w:hAnsi="Times New Roman"/>
        </w:rPr>
        <w:t xml:space="preserve"> v znení neskorších predpisov</w:t>
      </w:r>
    </w:p>
    <w:p w:rsidR="00AF2590" w:rsidP="009B42F2">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 </w:t>
      </w:r>
    </w:p>
    <w:p w:rsidR="00AF2590" w:rsidP="009B42F2">
      <w:pPr>
        <w:pStyle w:val="NormalWeb"/>
        <w:bidi w:val="0"/>
        <w:spacing w:before="0" w:beforeAutospacing="0" w:after="0" w:afterAutospacing="0"/>
        <w:jc w:val="both"/>
        <w:rPr>
          <w:rFonts w:ascii="Times New Roman" w:hAnsi="Times New Roman"/>
          <w:b/>
          <w:bCs/>
          <w:color w:val="000000"/>
          <w:sz w:val="23"/>
          <w:szCs w:val="23"/>
        </w:rPr>
      </w:pPr>
      <w:r>
        <w:rPr>
          <w:rFonts w:ascii="Times New Roman" w:hAnsi="Times New Roman"/>
          <w:b/>
          <w:bCs/>
          <w:color w:val="000000"/>
          <w:sz w:val="23"/>
          <w:szCs w:val="23"/>
        </w:rPr>
        <w:t xml:space="preserve">A.2. Vplyvy: </w:t>
      </w:r>
    </w:p>
    <w:p w:rsidR="00FF5A29" w:rsidP="009B42F2">
      <w:pPr>
        <w:pStyle w:val="NormalWeb"/>
        <w:bidi w:val="0"/>
        <w:spacing w:before="0" w:beforeAutospacing="0" w:after="0" w:afterAutospacing="0"/>
        <w:jc w:val="both"/>
        <w:rPr>
          <w:rFonts w:ascii="Times New Roman" w:hAnsi="Times New Roman"/>
        </w:rPr>
      </w:pPr>
    </w:p>
    <w:tbl>
      <w:tblPr>
        <w:tblStyle w:val="TableNormal"/>
        <w:tblW w:w="0" w:type="auto"/>
        <w:tblCellMar>
          <w:left w:w="0" w:type="dxa"/>
          <w:right w:w="0" w:type="dxa"/>
        </w:tblCellMar>
      </w:tblPr>
      <w:tblGrid>
        <w:gridCol w:w="3535"/>
        <w:gridCol w:w="1433"/>
        <w:gridCol w:w="1440"/>
        <w:gridCol w:w="1440"/>
      </w:tblGrid>
      <w:tr>
        <w:tblPrEx>
          <w:tblW w:w="0" w:type="auto"/>
          <w:tblCellMar>
            <w:left w:w="0" w:type="dxa"/>
            <w:right w:w="0" w:type="dxa"/>
          </w:tblCellMar>
        </w:tblPrEx>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Pozitívne*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Žiadne*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Negatívne*</w:t>
            </w:r>
          </w:p>
        </w:tc>
      </w:tr>
      <w:tr>
        <w:tblPrEx>
          <w:tblW w:w="0" w:type="auto"/>
          <w:tblCellMar>
            <w:left w:w="0" w:type="dxa"/>
            <w:right w:w="0" w:type="dxa"/>
          </w:tblCellMar>
        </w:tblPrEx>
        <w:trPr>
          <w:trHeight w:val="772"/>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1. Vplyvy na rozpočet verejnej správy</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F2590" w:rsidRPr="003C6326" w:rsidP="000C1251">
            <w:pPr>
              <w:pStyle w:val="NormalWeb"/>
              <w:bidi w:val="0"/>
              <w:spacing w:before="0" w:beforeAutospacing="0" w:after="0" w:afterAutospacing="0"/>
              <w:jc w:val="both"/>
              <w:rPr>
                <w:rFonts w:ascii="Times New Roman" w:hAnsi="Times New Roman"/>
                <w:b/>
              </w:rPr>
            </w:pPr>
            <w:r w:rsidRPr="003C6326">
              <w:rPr>
                <w:rFonts w:ascii="Times New Roman" w:hAnsi="Times New Roman"/>
                <w:b/>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F2590" w:rsidP="000C1251">
            <w:pPr>
              <w:pStyle w:val="NormalWeb"/>
              <w:bidi w:val="0"/>
              <w:spacing w:before="0" w:beforeAutospacing="0" w:after="0" w:afterAutospacing="0"/>
              <w:jc w:val="both"/>
              <w:rPr>
                <w:rFonts w:ascii="Times New Roman" w:hAnsi="Times New Roman"/>
                <w:b/>
                <w:bCs/>
                <w:color w:val="000000"/>
                <w:sz w:val="23"/>
                <w:szCs w:val="23"/>
              </w:rPr>
            </w:pPr>
          </w:p>
          <w:p w:rsidR="00AF2590" w:rsidP="000C1251">
            <w:pPr>
              <w:pStyle w:val="NormalWeb"/>
              <w:bidi w:val="0"/>
              <w:spacing w:before="0" w:beforeAutospacing="0" w:after="0" w:afterAutospacing="0"/>
              <w:jc w:val="both"/>
              <w:rPr>
                <w:rFonts w:ascii="Times New Roman" w:hAnsi="Times New Roman"/>
              </w:rPr>
            </w:pPr>
          </w:p>
        </w:tc>
      </w:tr>
      <w:tr>
        <w:tblPrEx>
          <w:tblW w:w="0" w:type="auto"/>
          <w:tblCellMar>
            <w:left w:w="0" w:type="dxa"/>
            <w:right w:w="0" w:type="dxa"/>
          </w:tblCellMar>
        </w:tblPrEx>
        <w:trPr>
          <w:trHeight w:val="1068"/>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F2590" w:rsidP="00250958">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2. Vplyvy na podnikateľské prostredie – dochádza k zvýšeniu regulačného zaťaženia?</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1789"/>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3</w:t>
            </w:r>
            <w:r w:rsidR="00250958">
              <w:rPr>
                <w:rFonts w:ascii="Times New Roman" w:hAnsi="Times New Roman"/>
                <w:color w:val="000000"/>
                <w:sz w:val="23"/>
                <w:szCs w:val="23"/>
              </w:rPr>
              <w:t xml:space="preserve">. </w:t>
            </w:r>
            <w:r>
              <w:rPr>
                <w:rFonts w:ascii="Times New Roman" w:hAnsi="Times New Roman"/>
                <w:color w:val="000000"/>
                <w:sz w:val="23"/>
                <w:szCs w:val="23"/>
              </w:rPr>
              <w:t>Sociálne vplyvy</w:t>
            </w:r>
          </w:p>
          <w:p w:rsidR="00AF2590" w:rsidP="000C1251">
            <w:pPr>
              <w:pStyle w:val="NormalWeb"/>
              <w:bidi w:val="0"/>
              <w:spacing w:before="0" w:beforeAutospacing="0" w:after="0" w:afterAutospacing="0"/>
              <w:ind w:left="180" w:hanging="180"/>
              <w:jc w:val="both"/>
              <w:rPr>
                <w:rFonts w:ascii="Times New Roman" w:hAnsi="Times New Roman"/>
              </w:rPr>
            </w:pPr>
            <w:r>
              <w:rPr>
                <w:rFonts w:ascii="Times New Roman" w:hAnsi="Times New Roman"/>
                <w:color w:val="000000"/>
                <w:sz w:val="23"/>
                <w:szCs w:val="23"/>
              </w:rPr>
              <w:t>– vplyvy na hospodárenie    obyvateľstva,</w:t>
            </w:r>
          </w:p>
          <w:p w:rsidR="00AF2590" w:rsidP="000C1251">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 sociálnu exklúziu,</w:t>
            </w:r>
          </w:p>
          <w:p w:rsidR="00AF2590" w:rsidP="00250958">
            <w:pPr>
              <w:pStyle w:val="NormalWeb"/>
              <w:bidi w:val="0"/>
              <w:spacing w:before="0" w:beforeAutospacing="0" w:after="0" w:afterAutospacing="0"/>
              <w:ind w:left="180" w:hanging="180"/>
              <w:jc w:val="both"/>
              <w:rPr>
                <w:rFonts w:ascii="Times New Roman" w:hAnsi="Times New Roman"/>
              </w:rPr>
            </w:pPr>
            <w:r>
              <w:rPr>
                <w:rFonts w:ascii="Times New Roman" w:hAnsi="Times New Roman"/>
                <w:color w:val="000000"/>
                <w:sz w:val="23"/>
                <w:szCs w:val="23"/>
              </w:rPr>
              <w:t>– rovnosť príležitostí a rodovú rovnosť a vplyvy na zamestnanosť</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525"/>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4. Vplyvy na životné prostredie</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726"/>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5</w:t>
            </w:r>
            <w:r w:rsidR="00761D56">
              <w:rPr>
                <w:rFonts w:ascii="Times New Roman" w:hAnsi="Times New Roman"/>
                <w:color w:val="000000"/>
                <w:sz w:val="23"/>
                <w:szCs w:val="23"/>
              </w:rPr>
              <w:t xml:space="preserve">. </w:t>
            </w:r>
            <w:r>
              <w:rPr>
                <w:rFonts w:ascii="Times New Roman" w:hAnsi="Times New Roman"/>
                <w:color w:val="000000"/>
                <w:sz w:val="23"/>
                <w:szCs w:val="23"/>
              </w:rPr>
              <w:t>Vplyvy na informatizáciu spoločnosti</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F2590" w:rsidP="007F4614">
            <w:pPr>
              <w:pStyle w:val="NormalWeb"/>
              <w:bidi w:val="0"/>
              <w:spacing w:before="0" w:beforeAutospacing="0" w:after="0" w:afterAutospacing="0"/>
              <w:rPr>
                <w:rFonts w:ascii="Times New Roman" w:hAnsi="Times New Roman"/>
                <w:b/>
                <w:bCs/>
                <w:color w:val="000000"/>
                <w:sz w:val="23"/>
                <w:szCs w:val="23"/>
              </w:rPr>
            </w:pPr>
            <w:r>
              <w:rPr>
                <w:rFonts w:ascii="Times New Roman" w:hAnsi="Times New Roman"/>
                <w:b/>
                <w:bCs/>
                <w:color w:val="000000"/>
                <w:sz w:val="23"/>
                <w:szCs w:val="23"/>
              </w:rPr>
              <w:t> </w:t>
            </w:r>
          </w:p>
          <w:p w:rsidR="00AF2590" w:rsidP="007F4614">
            <w:pPr>
              <w:pStyle w:val="NormalWeb"/>
              <w:bidi w:val="0"/>
              <w:spacing w:before="0" w:beforeAutospacing="0" w:after="0" w:afterAutospacing="0"/>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AF2590" w:rsidRPr="003C6326" w:rsidP="000C1251">
            <w:pPr>
              <w:pStyle w:val="NormalWeb"/>
              <w:bidi w:val="0"/>
              <w:spacing w:before="0" w:beforeAutospacing="0" w:after="0" w:afterAutospacing="0"/>
              <w:jc w:val="both"/>
              <w:rPr>
                <w:rFonts w:ascii="Times New Roman" w:hAnsi="Times New Roman"/>
                <w:b/>
              </w:rPr>
            </w:pPr>
            <w:r w:rsidRPr="003C6326">
              <w:rPr>
                <w:rFonts w:ascii="Times New Roman" w:hAnsi="Times New Roman"/>
                <w:b/>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AF2590" w:rsidP="000C1251">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bl>
    <w:p w:rsidR="00AF2590" w:rsidP="009B42F2">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AF2590" w:rsidP="009B42F2">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AF2590" w:rsidP="009B42F2">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ml:space="preserve">A.3. Poznámky </w:t>
      </w:r>
    </w:p>
    <w:p w:rsidR="00AF2590" w:rsidP="009B42F2">
      <w:pPr>
        <w:pStyle w:val="NormalWeb"/>
        <w:bidi w:val="0"/>
        <w:spacing w:before="0" w:beforeAutospacing="0" w:after="0" w:afterAutospacing="0"/>
        <w:jc w:val="both"/>
        <w:rPr>
          <w:rFonts w:ascii="Times New Roman" w:hAnsi="Times New Roman"/>
        </w:rPr>
      </w:pPr>
      <w:r>
        <w:rPr>
          <w:rFonts w:ascii="Times New Roman" w:hAnsi="Times New Roman"/>
        </w:rPr>
        <w:t> </w:t>
      </w:r>
    </w:p>
    <w:p w:rsidR="00AF2590" w:rsidP="009B42F2">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ml:space="preserve">A.4. Alternatívne riešenia </w:t>
      </w:r>
    </w:p>
    <w:p w:rsidR="00AF2590" w:rsidP="009B42F2">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AF2590" w:rsidP="009B42F2">
      <w:pPr>
        <w:pStyle w:val="NormalWeb"/>
        <w:bidi w:val="0"/>
        <w:spacing w:before="0" w:beforeAutospacing="0" w:after="0" w:afterAutospacing="0"/>
        <w:jc w:val="both"/>
        <w:rPr>
          <w:rFonts w:ascii="Times New Roman" w:hAnsi="Times New Roman"/>
          <w:b/>
          <w:bCs/>
          <w:color w:val="000000"/>
          <w:sz w:val="23"/>
          <w:szCs w:val="23"/>
        </w:rPr>
      </w:pPr>
      <w:r>
        <w:rPr>
          <w:rFonts w:ascii="Times New Roman" w:hAnsi="Times New Roman"/>
          <w:b/>
          <w:bCs/>
          <w:color w:val="000000"/>
          <w:sz w:val="23"/>
          <w:szCs w:val="23"/>
        </w:rPr>
        <w:t>A.5. Stanovisko gestorov</w:t>
      </w:r>
    </w:p>
    <w:p w:rsidR="00AF2590" w:rsidP="009B42F2">
      <w:pPr>
        <w:bidi w:val="0"/>
        <w:jc w:val="both"/>
        <w:rPr>
          <w:rFonts w:ascii="Times New Roman" w:hAnsi="Times New Roman"/>
        </w:rPr>
      </w:pPr>
    </w:p>
    <w:p w:rsidR="00AF2590" w:rsidP="009B42F2">
      <w:pPr>
        <w:bidi w:val="0"/>
        <w:jc w:val="both"/>
        <w:rPr>
          <w:rFonts w:ascii="Times New Roman" w:hAnsi="Times New Roman"/>
        </w:rPr>
      </w:pPr>
    </w:p>
    <w:p w:rsidR="00AF2590" w:rsidP="009B42F2">
      <w:pPr>
        <w:bidi w:val="0"/>
        <w:jc w:val="both"/>
        <w:rPr>
          <w:rFonts w:ascii="Times New Roman" w:hAnsi="Times New Roman"/>
        </w:rPr>
      </w:pPr>
    </w:p>
    <w:p w:rsidR="00AF2590" w:rsidP="009B42F2">
      <w:pPr>
        <w:bidi w:val="0"/>
        <w:jc w:val="both"/>
        <w:rPr>
          <w:rFonts w:ascii="Times New Roman" w:hAnsi="Times New Roman"/>
        </w:rPr>
      </w:pPr>
    </w:p>
    <w:p w:rsidR="00AF2590" w:rsidP="009B42F2">
      <w:pPr>
        <w:bidi w:val="0"/>
        <w:jc w:val="both"/>
        <w:rPr>
          <w:rFonts w:ascii="Times New Roman" w:hAnsi="Times New Roman"/>
        </w:rPr>
      </w:pPr>
    </w:p>
    <w:p w:rsidR="00AF2590" w:rsidP="009B42F2">
      <w:pPr>
        <w:bidi w:val="0"/>
        <w:jc w:val="both"/>
        <w:rPr>
          <w:rFonts w:ascii="Times New Roman" w:hAnsi="Times New Roman"/>
        </w:rPr>
      </w:pPr>
    </w:p>
    <w:p w:rsidR="00AF2590" w:rsidP="009B42F2">
      <w:pPr>
        <w:bidi w:val="0"/>
        <w:jc w:val="both"/>
        <w:rPr>
          <w:rFonts w:ascii="Times New Roman" w:hAnsi="Times New Roman"/>
        </w:rPr>
      </w:pPr>
    </w:p>
    <w:p w:rsidR="00AF2590" w:rsidP="009B42F2">
      <w:pPr>
        <w:bidi w:val="0"/>
        <w:jc w:val="both"/>
        <w:rPr>
          <w:rFonts w:ascii="Times New Roman" w:hAnsi="Times New Roman"/>
          <w:b/>
          <w:bCs/>
        </w:rPr>
      </w:pPr>
    </w:p>
    <w:p w:rsidR="00AF2590" w:rsidP="009B42F2">
      <w:pPr>
        <w:bidi w:val="0"/>
        <w:jc w:val="both"/>
        <w:rPr>
          <w:rFonts w:ascii="Times New Roman" w:hAnsi="Times New Roman"/>
          <w:b/>
          <w:bCs/>
        </w:rPr>
      </w:pPr>
    </w:p>
    <w:p w:rsidR="00AF2590" w:rsidP="009B42F2">
      <w:pPr>
        <w:bidi w:val="0"/>
        <w:jc w:val="both"/>
        <w:rPr>
          <w:rFonts w:ascii="Times New Roman" w:hAnsi="Times New Roman"/>
          <w:b/>
          <w:bCs/>
        </w:rPr>
      </w:pPr>
    </w:p>
    <w:p w:rsidR="00AF2590" w:rsidP="009B42F2">
      <w:pPr>
        <w:bidi w:val="0"/>
        <w:jc w:val="both"/>
        <w:rPr>
          <w:rFonts w:ascii="Times New Roman" w:hAnsi="Times New Roman"/>
          <w:b/>
          <w:bCs/>
        </w:rPr>
      </w:pPr>
    </w:p>
    <w:p w:rsidR="00AF2590" w:rsidP="009B42F2">
      <w:pPr>
        <w:bidi w:val="0"/>
        <w:jc w:val="both"/>
        <w:rPr>
          <w:rFonts w:ascii="Times New Roman" w:hAnsi="Times New Roman"/>
          <w:b/>
          <w:bCs/>
        </w:rPr>
      </w:pPr>
    </w:p>
    <w:p w:rsidR="00AF2590" w:rsidP="009B42F2">
      <w:pPr>
        <w:bidi w:val="0"/>
        <w:jc w:val="both"/>
        <w:rPr>
          <w:rFonts w:ascii="Times New Roman" w:hAnsi="Times New Roman"/>
          <w:b/>
          <w:bCs/>
        </w:rPr>
      </w:pPr>
    </w:p>
    <w:p w:rsidR="00AF2590" w:rsidP="009B42F2">
      <w:pPr>
        <w:bidi w:val="0"/>
        <w:jc w:val="both"/>
        <w:rPr>
          <w:rFonts w:ascii="Times New Roman" w:hAnsi="Times New Roman"/>
          <w:b/>
          <w:bCs/>
        </w:rPr>
      </w:pPr>
    </w:p>
    <w:p w:rsidR="00AF2590" w:rsidP="009B42F2">
      <w:pPr>
        <w:bidi w:val="0"/>
        <w:jc w:val="both"/>
        <w:rPr>
          <w:rFonts w:ascii="Times New Roman" w:hAnsi="Times New Roman"/>
          <w:b/>
          <w:bCs/>
        </w:rPr>
      </w:pPr>
    </w:p>
    <w:p w:rsidR="00FF5A29" w:rsidP="009B42F2">
      <w:pPr>
        <w:bidi w:val="0"/>
        <w:jc w:val="both"/>
        <w:rPr>
          <w:rFonts w:ascii="Times New Roman" w:hAnsi="Times New Roman"/>
          <w:b/>
          <w:bCs/>
        </w:rPr>
      </w:pPr>
    </w:p>
    <w:p w:rsidR="007F0792" w:rsidP="009B42F2">
      <w:pPr>
        <w:bidi w:val="0"/>
        <w:jc w:val="both"/>
        <w:rPr>
          <w:rFonts w:ascii="Times New Roman" w:hAnsi="Times New Roman"/>
          <w:b/>
          <w:bCs/>
        </w:rPr>
      </w:pPr>
    </w:p>
    <w:p w:rsidR="00AF2590" w:rsidP="009B42F2">
      <w:pPr>
        <w:bidi w:val="0"/>
        <w:jc w:val="both"/>
        <w:rPr>
          <w:rFonts w:ascii="Times New Roman" w:hAnsi="Times New Roman"/>
          <w:b/>
          <w:bCs/>
        </w:rPr>
      </w:pPr>
      <w:r>
        <w:rPr>
          <w:rFonts w:ascii="Times New Roman" w:hAnsi="Times New Roman"/>
          <w:b/>
          <w:bCs/>
        </w:rPr>
        <w:t xml:space="preserve">B. </w:t>
      </w:r>
      <w:r w:rsidRPr="00F32768">
        <w:rPr>
          <w:rFonts w:ascii="Times New Roman" w:hAnsi="Times New Roman"/>
          <w:b/>
          <w:bCs/>
        </w:rPr>
        <w:t>Osobitná časť</w:t>
      </w:r>
      <w:r>
        <w:rPr>
          <w:rFonts w:ascii="Times New Roman" w:hAnsi="Times New Roman"/>
          <w:b/>
          <w:bCs/>
        </w:rPr>
        <w:t xml:space="preserve"> </w:t>
      </w:r>
    </w:p>
    <w:p w:rsidR="00AF2590" w:rsidP="009B42F2">
      <w:pPr>
        <w:bidi w:val="0"/>
        <w:jc w:val="both"/>
        <w:rPr>
          <w:rFonts w:ascii="Times New Roman" w:hAnsi="Times New Roman"/>
          <w:b/>
          <w:bCs/>
        </w:rPr>
      </w:pPr>
    </w:p>
    <w:p w:rsidR="00AF2590" w:rsidP="009B42F2">
      <w:pPr>
        <w:bidi w:val="0"/>
        <w:jc w:val="both"/>
        <w:rPr>
          <w:rFonts w:ascii="Times New Roman" w:hAnsi="Times New Roman"/>
          <w:b/>
          <w:bCs/>
        </w:rPr>
      </w:pPr>
      <w:r>
        <w:rPr>
          <w:rFonts w:ascii="Times New Roman" w:hAnsi="Times New Roman"/>
          <w:b/>
          <w:bCs/>
        </w:rPr>
        <w:t>K čl. I</w:t>
      </w:r>
    </w:p>
    <w:p w:rsidR="00AF2590" w:rsidP="009B42F2">
      <w:pPr>
        <w:bidi w:val="0"/>
        <w:jc w:val="both"/>
        <w:rPr>
          <w:rFonts w:ascii="Times New Roman" w:hAnsi="Times New Roman"/>
          <w:b/>
          <w:bCs/>
        </w:rPr>
      </w:pPr>
    </w:p>
    <w:p w:rsidR="00AF2590" w:rsidP="009B42F2">
      <w:pPr>
        <w:bidi w:val="0"/>
        <w:jc w:val="both"/>
        <w:rPr>
          <w:rFonts w:ascii="Times New Roman" w:hAnsi="Times New Roman"/>
          <w:b/>
          <w:bCs/>
        </w:rPr>
      </w:pPr>
      <w:r>
        <w:rPr>
          <w:rFonts w:ascii="Times New Roman" w:hAnsi="Times New Roman"/>
          <w:b/>
          <w:bCs/>
        </w:rPr>
        <w:t>K bodu 1</w:t>
      </w:r>
    </w:p>
    <w:p w:rsidR="00AF2590" w:rsidRPr="00DB2306" w:rsidP="009B42F2">
      <w:pPr>
        <w:bidi w:val="0"/>
        <w:jc w:val="both"/>
        <w:rPr>
          <w:rFonts w:ascii="Times New Roman" w:hAnsi="Times New Roman"/>
          <w:bCs/>
        </w:rPr>
      </w:pPr>
      <w:r>
        <w:rPr>
          <w:rFonts w:ascii="Times New Roman" w:hAnsi="Times New Roman"/>
          <w:bCs/>
        </w:rPr>
        <w:t xml:space="preserve">Označenie </w:t>
      </w:r>
      <w:r w:rsidR="003917CB">
        <w:rPr>
          <w:rFonts w:ascii="Times New Roman" w:hAnsi="Times New Roman"/>
          <w:bCs/>
        </w:rPr>
        <w:t>„</w:t>
      </w:r>
      <w:r w:rsidR="00761D56">
        <w:rPr>
          <w:rFonts w:ascii="Times New Roman" w:hAnsi="Times New Roman"/>
          <w:bCs/>
        </w:rPr>
        <w:t>webové sídlo“</w:t>
      </w:r>
      <w:r>
        <w:rPr>
          <w:rFonts w:ascii="Times New Roman" w:hAnsi="Times New Roman"/>
          <w:bCs/>
        </w:rPr>
        <w:t xml:space="preserve"> </w:t>
      </w:r>
      <w:r w:rsidRPr="00FF5A29">
        <w:rPr>
          <w:rFonts w:ascii="Times New Roman" w:hAnsi="Times New Roman"/>
          <w:bCs/>
        </w:rPr>
        <w:t xml:space="preserve">je z hľadiska aktuálnosti a potreby jednotného označenia doterajšieho pojmu </w:t>
      </w:r>
      <w:r w:rsidRPr="00FF5A29" w:rsidR="003917CB">
        <w:rPr>
          <w:rFonts w:ascii="Times New Roman" w:hAnsi="Times New Roman"/>
          <w:bCs/>
        </w:rPr>
        <w:t>„</w:t>
      </w:r>
      <w:r w:rsidRPr="00FF5A29" w:rsidR="00FF5A29">
        <w:rPr>
          <w:rFonts w:ascii="Times New Roman" w:hAnsi="Times New Roman"/>
          <w:bCs/>
        </w:rPr>
        <w:t>internetová stránka“</w:t>
      </w:r>
      <w:r w:rsidRPr="00FF5A29">
        <w:rPr>
          <w:rFonts w:ascii="Times New Roman" w:hAnsi="Times New Roman"/>
          <w:bCs/>
        </w:rPr>
        <w:t xml:space="preserve"> najvyhovujúcejším riešením</w:t>
      </w:r>
      <w:r>
        <w:rPr>
          <w:rFonts w:ascii="Times New Roman" w:hAnsi="Times New Roman"/>
          <w:bCs/>
        </w:rPr>
        <w:t xml:space="preserve">.   </w:t>
      </w:r>
    </w:p>
    <w:p w:rsidR="00AF2590" w:rsidP="009B42F2">
      <w:pPr>
        <w:bidi w:val="0"/>
        <w:jc w:val="both"/>
        <w:rPr>
          <w:rFonts w:ascii="Times New Roman" w:hAnsi="Times New Roman"/>
          <w:b/>
          <w:bCs/>
        </w:rPr>
      </w:pPr>
    </w:p>
    <w:p w:rsidR="00AF2590" w:rsidP="009B42F2">
      <w:pPr>
        <w:bidi w:val="0"/>
        <w:jc w:val="both"/>
        <w:rPr>
          <w:rFonts w:ascii="Times New Roman" w:hAnsi="Times New Roman"/>
          <w:b/>
          <w:bCs/>
        </w:rPr>
      </w:pPr>
      <w:r>
        <w:rPr>
          <w:rFonts w:ascii="Times New Roman" w:hAnsi="Times New Roman"/>
          <w:b/>
          <w:bCs/>
        </w:rPr>
        <w:t>K bodu 2</w:t>
      </w:r>
    </w:p>
    <w:p w:rsidR="00AF2590" w:rsidP="009B42F2">
      <w:pPr>
        <w:bidi w:val="0"/>
        <w:jc w:val="both"/>
        <w:rPr>
          <w:rFonts w:ascii="Times New Roman" w:hAnsi="Times New Roman"/>
        </w:rPr>
      </w:pPr>
      <w:r>
        <w:rPr>
          <w:rFonts w:ascii="Times New Roman" w:hAnsi="Times New Roman"/>
          <w:bCs/>
        </w:rPr>
        <w:t xml:space="preserve">Rozširuje sa okruh formálnych náležitostí výzvy o štyri nové </w:t>
      </w:r>
      <w:r w:rsidR="001A5AF5">
        <w:rPr>
          <w:rFonts w:ascii="Times New Roman" w:hAnsi="Times New Roman"/>
          <w:bCs/>
        </w:rPr>
        <w:t xml:space="preserve">požiadavky </w:t>
      </w:r>
      <w:r>
        <w:rPr>
          <w:rFonts w:ascii="Times New Roman" w:hAnsi="Times New Roman"/>
          <w:bCs/>
        </w:rPr>
        <w:t>v súlade s</w:t>
      </w:r>
      <w:r>
        <w:rPr>
          <w:rFonts w:ascii="Times New Roman" w:hAnsi="Times New Roman"/>
        </w:rPr>
        <w:t xml:space="preserve"> presadzovaním  maximálnej transparentnosti v činnosti </w:t>
      </w:r>
      <w:r w:rsidR="001A5AF5">
        <w:rPr>
          <w:rFonts w:ascii="Times New Roman" w:hAnsi="Times New Roman"/>
        </w:rPr>
        <w:t xml:space="preserve"> orgánov verejnej správy, v súvislosti s riadením a kontrolou prostriedkov poskytnutých z fondov EÚ.</w:t>
      </w:r>
    </w:p>
    <w:p w:rsidR="00761D56" w:rsidP="009B42F2">
      <w:pPr>
        <w:bidi w:val="0"/>
        <w:jc w:val="both"/>
        <w:rPr>
          <w:rFonts w:ascii="Times New Roman" w:hAnsi="Times New Roman"/>
        </w:rPr>
      </w:pPr>
    </w:p>
    <w:p w:rsidR="00AF2590" w:rsidP="009B42F2">
      <w:pPr>
        <w:bidi w:val="0"/>
        <w:jc w:val="both"/>
        <w:rPr>
          <w:rFonts w:ascii="Times New Roman" w:hAnsi="Times New Roman"/>
          <w:b/>
          <w:bCs/>
        </w:rPr>
      </w:pPr>
      <w:r>
        <w:rPr>
          <w:rFonts w:ascii="Times New Roman" w:hAnsi="Times New Roman"/>
          <w:b/>
          <w:bCs/>
        </w:rPr>
        <w:t>K bodu 3</w:t>
      </w:r>
    </w:p>
    <w:p w:rsidR="00AF2590" w:rsidRPr="00761D56" w:rsidP="009B42F2">
      <w:pPr>
        <w:bidi w:val="0"/>
        <w:jc w:val="both"/>
        <w:rPr>
          <w:rFonts w:ascii="Times New Roman" w:hAnsi="Times New Roman"/>
          <w:bCs/>
        </w:rPr>
      </w:pPr>
      <w:r w:rsidRPr="00761D56" w:rsidR="001A5AF5">
        <w:rPr>
          <w:rFonts w:ascii="Times New Roman" w:hAnsi="Times New Roman"/>
          <w:bCs/>
        </w:rPr>
        <w:t>Navrhovaná zmena reaguje na požiadavku upraviť postup riadiaceho orgánu v</w:t>
      </w:r>
      <w:r w:rsidR="00FF5A29">
        <w:rPr>
          <w:rFonts w:ascii="Times New Roman" w:hAnsi="Times New Roman"/>
          <w:bCs/>
        </w:rPr>
        <w:t> </w:t>
      </w:r>
      <w:r w:rsidRPr="00761D56" w:rsidR="001A5AF5">
        <w:rPr>
          <w:rFonts w:ascii="Times New Roman" w:hAnsi="Times New Roman"/>
          <w:bCs/>
        </w:rPr>
        <w:t>prípade</w:t>
      </w:r>
      <w:r w:rsidR="00FF5A29">
        <w:rPr>
          <w:rFonts w:ascii="Times New Roman" w:hAnsi="Times New Roman"/>
          <w:bCs/>
        </w:rPr>
        <w:t>,</w:t>
      </w:r>
      <w:r w:rsidRPr="00761D56" w:rsidR="001A5AF5">
        <w:rPr>
          <w:rFonts w:ascii="Times New Roman" w:hAnsi="Times New Roman"/>
          <w:bCs/>
        </w:rPr>
        <w:t xml:space="preserve"> ak po zverejnení výzvy dôjde k zmene formálnych náležitostí podľa § 13 ods. 1. Týmto </w:t>
      </w:r>
      <w:r w:rsidRPr="00761D56" w:rsidR="00A00122">
        <w:rPr>
          <w:rFonts w:ascii="Times New Roman" w:hAnsi="Times New Roman"/>
          <w:bCs/>
        </w:rPr>
        <w:t xml:space="preserve">spôsobom sa v zákone upevňuje princíp právnej istoty žiadateľa, ktorý môže po zverejnení </w:t>
      </w:r>
      <w:r w:rsidRPr="00761D56" w:rsidR="001A5AF5">
        <w:rPr>
          <w:rFonts w:ascii="Times New Roman" w:hAnsi="Times New Roman"/>
          <w:bCs/>
        </w:rPr>
        <w:t xml:space="preserve"> </w:t>
      </w:r>
      <w:r w:rsidRPr="00761D56" w:rsidR="00A00122">
        <w:rPr>
          <w:rFonts w:ascii="Times New Roman" w:hAnsi="Times New Roman"/>
          <w:bCs/>
        </w:rPr>
        <w:t>uvedenej informácie reagovať postupom, ktorý reflektuje jeho zámer uchádzať sa o pomoc a podporu poskytovanú z fondov EÚ.</w:t>
      </w:r>
    </w:p>
    <w:p w:rsidR="001A5AF5" w:rsidP="009B42F2">
      <w:pPr>
        <w:bidi w:val="0"/>
        <w:jc w:val="both"/>
        <w:rPr>
          <w:rFonts w:ascii="Times New Roman" w:hAnsi="Times New Roman"/>
          <w:b/>
          <w:bCs/>
        </w:rPr>
      </w:pPr>
    </w:p>
    <w:p w:rsidR="00AF2590" w:rsidP="009B42F2">
      <w:pPr>
        <w:bidi w:val="0"/>
        <w:jc w:val="both"/>
        <w:rPr>
          <w:rFonts w:ascii="Times New Roman" w:hAnsi="Times New Roman"/>
          <w:b/>
          <w:bCs/>
        </w:rPr>
      </w:pPr>
      <w:r>
        <w:rPr>
          <w:rFonts w:ascii="Times New Roman" w:hAnsi="Times New Roman"/>
          <w:b/>
          <w:bCs/>
        </w:rPr>
        <w:t>K bodu 4</w:t>
      </w:r>
      <w:r w:rsidR="00A00122">
        <w:rPr>
          <w:rFonts w:ascii="Times New Roman" w:hAnsi="Times New Roman"/>
          <w:b/>
          <w:bCs/>
        </w:rPr>
        <w:t xml:space="preserve"> a 5</w:t>
      </w:r>
    </w:p>
    <w:p w:rsidR="00AF2590" w:rsidRPr="00A00033" w:rsidP="009B42F2">
      <w:pPr>
        <w:bidi w:val="0"/>
        <w:jc w:val="both"/>
        <w:rPr>
          <w:rFonts w:ascii="Times New Roman" w:hAnsi="Times New Roman"/>
          <w:b/>
          <w:bCs/>
        </w:rPr>
      </w:pPr>
      <w:r>
        <w:rPr>
          <w:rFonts w:ascii="Times New Roman" w:hAnsi="Times New Roman"/>
          <w:bCs/>
        </w:rPr>
        <w:t xml:space="preserve">Zmena </w:t>
      </w:r>
      <w:r w:rsidR="00A00122">
        <w:rPr>
          <w:rFonts w:ascii="Times New Roman" w:hAnsi="Times New Roman"/>
          <w:bCs/>
        </w:rPr>
        <w:t xml:space="preserve">číslovania odsekov </w:t>
      </w:r>
      <w:r>
        <w:rPr>
          <w:rFonts w:ascii="Times New Roman" w:hAnsi="Times New Roman"/>
          <w:bCs/>
        </w:rPr>
        <w:t xml:space="preserve">súvisí s pridaním </w:t>
      </w:r>
      <w:r w:rsidR="00A00122">
        <w:rPr>
          <w:rFonts w:ascii="Times New Roman" w:hAnsi="Times New Roman"/>
          <w:bCs/>
        </w:rPr>
        <w:t xml:space="preserve">nového </w:t>
      </w:r>
      <w:r>
        <w:rPr>
          <w:rFonts w:ascii="Times New Roman" w:hAnsi="Times New Roman"/>
          <w:bCs/>
        </w:rPr>
        <w:t>odseku 10</w:t>
      </w:r>
      <w:r w:rsidR="00A00122">
        <w:rPr>
          <w:rFonts w:ascii="Times New Roman" w:hAnsi="Times New Roman"/>
          <w:bCs/>
        </w:rPr>
        <w:t>. I</w:t>
      </w:r>
      <w:r>
        <w:rPr>
          <w:rFonts w:ascii="Times New Roman" w:hAnsi="Times New Roman"/>
          <w:bCs/>
        </w:rPr>
        <w:t>de o</w:t>
      </w:r>
      <w:r w:rsidR="00761D56">
        <w:rPr>
          <w:rFonts w:ascii="Times New Roman" w:hAnsi="Times New Roman"/>
          <w:bCs/>
        </w:rPr>
        <w:t> legislatí</w:t>
      </w:r>
      <w:r w:rsidR="001A5AF5">
        <w:rPr>
          <w:rFonts w:ascii="Times New Roman" w:hAnsi="Times New Roman"/>
          <w:bCs/>
        </w:rPr>
        <w:t>vno</w:t>
      </w:r>
      <w:r w:rsidR="00761D56">
        <w:rPr>
          <w:rFonts w:ascii="Times New Roman" w:hAnsi="Times New Roman"/>
          <w:bCs/>
        </w:rPr>
        <w:t>-</w:t>
      </w:r>
      <w:r w:rsidR="001A5AF5">
        <w:rPr>
          <w:rFonts w:ascii="Times New Roman" w:hAnsi="Times New Roman"/>
          <w:bCs/>
        </w:rPr>
        <w:t xml:space="preserve">technickú </w:t>
      </w:r>
      <w:r>
        <w:rPr>
          <w:rFonts w:ascii="Times New Roman" w:hAnsi="Times New Roman"/>
          <w:bCs/>
        </w:rPr>
        <w:t>úpravu.</w:t>
      </w:r>
    </w:p>
    <w:p w:rsidR="00AF2590" w:rsidP="009B42F2">
      <w:pPr>
        <w:bidi w:val="0"/>
        <w:jc w:val="both"/>
        <w:rPr>
          <w:rFonts w:ascii="Times New Roman" w:hAnsi="Times New Roman"/>
          <w:b/>
          <w:bCs/>
        </w:rPr>
      </w:pPr>
    </w:p>
    <w:p w:rsidR="00AF2590" w:rsidP="009B42F2">
      <w:pPr>
        <w:bidi w:val="0"/>
        <w:jc w:val="both"/>
        <w:rPr>
          <w:rFonts w:ascii="Times New Roman" w:hAnsi="Times New Roman"/>
          <w:b/>
          <w:bCs/>
        </w:rPr>
      </w:pPr>
      <w:r>
        <w:rPr>
          <w:rFonts w:ascii="Times New Roman" w:hAnsi="Times New Roman"/>
          <w:b/>
          <w:bCs/>
        </w:rPr>
        <w:t>K bodu 6</w:t>
      </w:r>
    </w:p>
    <w:p w:rsidR="00AF2590" w:rsidRPr="00761D56" w:rsidP="009B42F2">
      <w:pPr>
        <w:bidi w:val="0"/>
        <w:jc w:val="both"/>
        <w:rPr>
          <w:rFonts w:ascii="Times New Roman" w:hAnsi="Times New Roman"/>
          <w:bCs/>
        </w:rPr>
      </w:pPr>
      <w:r w:rsidRPr="00761D56" w:rsidR="00920035">
        <w:rPr>
          <w:rFonts w:ascii="Times New Roman" w:hAnsi="Times New Roman"/>
          <w:bCs/>
        </w:rPr>
        <w:t>Signifikantnou zmenou návrhu je obligatórna povinnosť riadiaceho orgánu zriadiť výberovú komisiu. Zároveň dochádza k odstráneniu fakultatívnej možnosti kreácie výberovej komisie tak, ako to upravila súčasná právna úprava. Kogentnosť ustanovenia podčiarkuje nezávislosť a transparentnosť mechanizmu vyhodnocovania žiadosti o poskytnutie podpory.</w:t>
      </w:r>
    </w:p>
    <w:p w:rsidR="00920035" w:rsidP="009B42F2">
      <w:pPr>
        <w:bidi w:val="0"/>
        <w:jc w:val="both"/>
        <w:rPr>
          <w:rFonts w:ascii="Times New Roman" w:hAnsi="Times New Roman"/>
          <w:b/>
          <w:bCs/>
        </w:rPr>
      </w:pPr>
    </w:p>
    <w:p w:rsidR="00AF2590" w:rsidP="009B42F2">
      <w:pPr>
        <w:bidi w:val="0"/>
        <w:jc w:val="both"/>
        <w:rPr>
          <w:rFonts w:ascii="Times New Roman" w:hAnsi="Times New Roman"/>
          <w:b/>
          <w:bCs/>
        </w:rPr>
      </w:pPr>
      <w:r>
        <w:rPr>
          <w:rFonts w:ascii="Times New Roman" w:hAnsi="Times New Roman"/>
          <w:b/>
          <w:bCs/>
        </w:rPr>
        <w:t>K bod</w:t>
      </w:r>
      <w:r w:rsidR="00B91FBE">
        <w:rPr>
          <w:rFonts w:ascii="Times New Roman" w:hAnsi="Times New Roman"/>
          <w:b/>
          <w:bCs/>
        </w:rPr>
        <w:t>om</w:t>
      </w:r>
      <w:r>
        <w:rPr>
          <w:rFonts w:ascii="Times New Roman" w:hAnsi="Times New Roman"/>
          <w:b/>
          <w:bCs/>
        </w:rPr>
        <w:t xml:space="preserve"> 7</w:t>
      </w:r>
      <w:r w:rsidR="00B91FBE">
        <w:rPr>
          <w:rFonts w:ascii="Times New Roman" w:hAnsi="Times New Roman"/>
          <w:b/>
          <w:bCs/>
        </w:rPr>
        <w:t xml:space="preserve"> a 8</w:t>
      </w:r>
    </w:p>
    <w:p w:rsidR="00AF2590" w:rsidP="009B42F2">
      <w:pPr>
        <w:bidi w:val="0"/>
        <w:jc w:val="both"/>
        <w:rPr>
          <w:rFonts w:ascii="Times New Roman" w:hAnsi="Times New Roman"/>
          <w:b/>
          <w:bCs/>
        </w:rPr>
      </w:pPr>
      <w:r>
        <w:rPr>
          <w:rFonts w:ascii="Times New Roman" w:hAnsi="Times New Roman"/>
          <w:bCs/>
        </w:rPr>
        <w:t xml:space="preserve">Rozširuje sa okruh informácií, ktoré </w:t>
      </w:r>
      <w:r w:rsidR="00C45D50">
        <w:rPr>
          <w:rFonts w:ascii="Times New Roman" w:hAnsi="Times New Roman"/>
          <w:bCs/>
        </w:rPr>
        <w:t xml:space="preserve">zverejňuje </w:t>
      </w:r>
      <w:r>
        <w:rPr>
          <w:rFonts w:ascii="Times New Roman" w:hAnsi="Times New Roman"/>
          <w:bCs/>
        </w:rPr>
        <w:t>riadiaci orgán pri schválených žiadostiach</w:t>
      </w:r>
      <w:r w:rsidR="00B91FBE">
        <w:rPr>
          <w:rFonts w:ascii="Times New Roman" w:hAnsi="Times New Roman"/>
          <w:bCs/>
        </w:rPr>
        <w:t xml:space="preserve"> </w:t>
      </w:r>
      <w:r w:rsidRPr="00B91FBE" w:rsidR="00B91FBE">
        <w:rPr>
          <w:rFonts w:ascii="Times New Roman" w:hAnsi="Times New Roman"/>
          <w:bCs/>
        </w:rPr>
        <w:t xml:space="preserve"> </w:t>
      </w:r>
      <w:r w:rsidR="00B91FBE">
        <w:rPr>
          <w:rFonts w:ascii="Times New Roman" w:hAnsi="Times New Roman"/>
          <w:bCs/>
        </w:rPr>
        <w:t>Rovnako sa rozširuje okruh informácií, ktoré zverejňuje riadiaci orgán pri neschválených žiadostiach. Neúspešným uchádzačom sa umožňuje oboznámiť sa s dôvodmi pre ktoré bol ich projekt neúspešný, spolu s menami osôb, ktoré projekt hodnotili. Hlavný cieľ spočíva v zvýšení transparentnosti v procese hodnotenia projektu.</w:t>
      </w:r>
    </w:p>
    <w:p w:rsidR="00AF2590" w:rsidP="009B42F2">
      <w:pPr>
        <w:bidi w:val="0"/>
        <w:jc w:val="both"/>
        <w:rPr>
          <w:rFonts w:ascii="Times New Roman" w:hAnsi="Times New Roman"/>
          <w:b/>
          <w:bCs/>
        </w:rPr>
      </w:pPr>
    </w:p>
    <w:p w:rsidR="00AF2590" w:rsidP="009B42F2">
      <w:pPr>
        <w:bidi w:val="0"/>
        <w:jc w:val="both"/>
        <w:rPr>
          <w:rFonts w:ascii="Times New Roman" w:hAnsi="Times New Roman"/>
          <w:b/>
          <w:bCs/>
        </w:rPr>
      </w:pPr>
      <w:r>
        <w:rPr>
          <w:rFonts w:ascii="Times New Roman" w:hAnsi="Times New Roman"/>
          <w:b/>
          <w:bCs/>
        </w:rPr>
        <w:t>K bodu 9</w:t>
      </w:r>
    </w:p>
    <w:p w:rsidR="00AF2590" w:rsidP="009B42F2">
      <w:pPr>
        <w:bidi w:val="0"/>
        <w:jc w:val="both"/>
        <w:rPr>
          <w:rFonts w:ascii="Times New Roman" w:hAnsi="Times New Roman"/>
          <w:b/>
          <w:bCs/>
        </w:rPr>
      </w:pPr>
      <w:r>
        <w:rPr>
          <w:rFonts w:ascii="Times New Roman" w:hAnsi="Times New Roman"/>
          <w:bCs/>
        </w:rPr>
        <w:t xml:space="preserve">Rozširuje sa okruh formálnych náležitostí výzvy o štyri </w:t>
      </w:r>
      <w:r w:rsidR="00606FB3">
        <w:rPr>
          <w:rFonts w:ascii="Times New Roman" w:hAnsi="Times New Roman"/>
          <w:bCs/>
        </w:rPr>
        <w:t>nové požiadavky, ktoré plynule nadväzujú na ustanovenie § 13 ods. 2. Vi</w:t>
      </w:r>
      <w:r w:rsidR="00EC4089">
        <w:rPr>
          <w:rFonts w:ascii="Times New Roman" w:hAnsi="Times New Roman"/>
          <w:bCs/>
        </w:rPr>
        <w:t>ď</w:t>
      </w:r>
      <w:r w:rsidR="00606FB3">
        <w:rPr>
          <w:rFonts w:ascii="Times New Roman" w:hAnsi="Times New Roman"/>
          <w:bCs/>
        </w:rPr>
        <w:t xml:space="preserve"> odôvodnenie k bodu 2.</w:t>
      </w:r>
    </w:p>
    <w:p w:rsidR="00AF2590" w:rsidP="009B42F2">
      <w:pPr>
        <w:bidi w:val="0"/>
        <w:jc w:val="both"/>
        <w:rPr>
          <w:rFonts w:ascii="Times New Roman" w:hAnsi="Times New Roman"/>
          <w:b/>
          <w:bCs/>
        </w:rPr>
      </w:pPr>
    </w:p>
    <w:p w:rsidR="00AF2590" w:rsidP="009B42F2">
      <w:pPr>
        <w:bidi w:val="0"/>
        <w:jc w:val="both"/>
        <w:rPr>
          <w:rFonts w:ascii="Times New Roman" w:hAnsi="Times New Roman"/>
          <w:b/>
          <w:bCs/>
        </w:rPr>
      </w:pPr>
      <w:r>
        <w:rPr>
          <w:rFonts w:ascii="Times New Roman" w:hAnsi="Times New Roman"/>
          <w:b/>
          <w:bCs/>
        </w:rPr>
        <w:t>K bodu 10</w:t>
      </w:r>
    </w:p>
    <w:p w:rsidR="00AF2590" w:rsidP="009B42F2">
      <w:pPr>
        <w:bidi w:val="0"/>
        <w:jc w:val="both"/>
        <w:rPr>
          <w:rFonts w:ascii="Times New Roman" w:hAnsi="Times New Roman"/>
          <w:bCs/>
        </w:rPr>
      </w:pPr>
      <w:r>
        <w:rPr>
          <w:rFonts w:ascii="Times New Roman" w:hAnsi="Times New Roman"/>
          <w:bCs/>
        </w:rPr>
        <w:t>Dopĺňajú sa ustanovenia o podmienkach poskytnutia podpory určených vo výzve na predkladanie žiadostí.</w:t>
      </w:r>
    </w:p>
    <w:p w:rsidR="00AF2590" w:rsidP="009B42F2">
      <w:pPr>
        <w:bidi w:val="0"/>
        <w:jc w:val="both"/>
        <w:rPr>
          <w:rFonts w:ascii="Times New Roman" w:hAnsi="Times New Roman"/>
          <w:bCs/>
        </w:rPr>
      </w:pPr>
    </w:p>
    <w:p w:rsidR="00AF2590" w:rsidP="009B42F2">
      <w:pPr>
        <w:bidi w:val="0"/>
        <w:jc w:val="both"/>
        <w:rPr>
          <w:rFonts w:ascii="Times New Roman" w:hAnsi="Times New Roman"/>
          <w:b/>
          <w:bCs/>
        </w:rPr>
      </w:pPr>
      <w:r>
        <w:rPr>
          <w:rFonts w:ascii="Times New Roman" w:hAnsi="Times New Roman"/>
          <w:b/>
          <w:bCs/>
        </w:rPr>
        <w:t>K bodu 11</w:t>
      </w:r>
    </w:p>
    <w:p w:rsidR="001C6D97" w:rsidP="001C6D97">
      <w:pPr>
        <w:bidi w:val="0"/>
        <w:jc w:val="both"/>
        <w:rPr>
          <w:rFonts w:ascii="Times New Roman" w:hAnsi="Times New Roman"/>
          <w:b/>
          <w:bCs/>
        </w:rPr>
      </w:pPr>
      <w:r>
        <w:rPr>
          <w:rFonts w:ascii="Times New Roman" w:hAnsi="Times New Roman"/>
          <w:bCs/>
        </w:rPr>
        <w:t>Z</w:t>
      </w:r>
      <w:r w:rsidR="00AF2590">
        <w:rPr>
          <w:rFonts w:ascii="Times New Roman" w:hAnsi="Times New Roman"/>
          <w:bCs/>
        </w:rPr>
        <w:t xml:space="preserve">avádza </w:t>
      </w:r>
      <w:r>
        <w:rPr>
          <w:rFonts w:ascii="Times New Roman" w:hAnsi="Times New Roman"/>
          <w:bCs/>
        </w:rPr>
        <w:t xml:space="preserve">sa </w:t>
      </w:r>
      <w:r w:rsidR="00AF2590">
        <w:rPr>
          <w:rFonts w:ascii="Times New Roman" w:hAnsi="Times New Roman"/>
          <w:bCs/>
        </w:rPr>
        <w:t xml:space="preserve">mechanizmus vyhodnocovania žiadostí o poskytnutie podpory </w:t>
      </w:r>
      <w:r>
        <w:rPr>
          <w:rFonts w:ascii="Times New Roman" w:hAnsi="Times New Roman"/>
          <w:bCs/>
        </w:rPr>
        <w:t>komisiou</w:t>
      </w:r>
      <w:r w:rsidR="00EC4089">
        <w:rPr>
          <w:rFonts w:ascii="Times New Roman" w:hAnsi="Times New Roman"/>
          <w:bCs/>
        </w:rPr>
        <w:t xml:space="preserve">, ktorá pôsobí </w:t>
      </w:r>
      <w:r w:rsidRPr="00EC4089" w:rsidR="00AF2590">
        <w:rPr>
          <w:rFonts w:ascii="Times New Roman" w:hAnsi="Times New Roman"/>
          <w:bCs/>
        </w:rPr>
        <w:t xml:space="preserve">ako poradný orgán, </w:t>
      </w:r>
      <w:r w:rsidRPr="00EC4089">
        <w:rPr>
          <w:rFonts w:ascii="Times New Roman" w:hAnsi="Times New Roman"/>
          <w:bCs/>
        </w:rPr>
        <w:t xml:space="preserve">s cieľom </w:t>
      </w:r>
      <w:r w:rsidRPr="00EC4089" w:rsidR="00AF2590">
        <w:rPr>
          <w:rFonts w:ascii="Times New Roman" w:hAnsi="Times New Roman"/>
          <w:bCs/>
        </w:rPr>
        <w:t>stransparentniť</w:t>
      </w:r>
      <w:r w:rsidRPr="00EC4089">
        <w:rPr>
          <w:rFonts w:ascii="Times New Roman" w:hAnsi="Times New Roman"/>
          <w:bCs/>
        </w:rPr>
        <w:t xml:space="preserve"> proces </w:t>
      </w:r>
      <w:r w:rsidR="00FF5A29">
        <w:rPr>
          <w:rFonts w:ascii="Times New Roman" w:hAnsi="Times New Roman"/>
          <w:bCs/>
        </w:rPr>
        <w:t>vyhodnocovania žiadostí</w:t>
      </w:r>
      <w:r w:rsidRPr="00EC4089">
        <w:rPr>
          <w:rFonts w:ascii="Times New Roman" w:hAnsi="Times New Roman"/>
          <w:bCs/>
        </w:rPr>
        <w:t xml:space="preserve"> o poskytnutie podpory obdobne ako v bode 6.</w:t>
      </w:r>
    </w:p>
    <w:p w:rsidR="00AF2590" w:rsidRPr="00AB5D73" w:rsidP="009B42F2">
      <w:pPr>
        <w:bidi w:val="0"/>
        <w:jc w:val="both"/>
        <w:rPr>
          <w:rFonts w:ascii="Times New Roman" w:hAnsi="Times New Roman"/>
          <w:bCs/>
        </w:rPr>
      </w:pPr>
      <w:r>
        <w:rPr>
          <w:rFonts w:ascii="Times New Roman" w:hAnsi="Times New Roman"/>
          <w:bCs/>
        </w:rPr>
        <w:t xml:space="preserve"> </w:t>
      </w:r>
    </w:p>
    <w:p w:rsidR="00AF2590" w:rsidP="009B42F2">
      <w:pPr>
        <w:bidi w:val="0"/>
        <w:jc w:val="both"/>
        <w:rPr>
          <w:rFonts w:ascii="Times New Roman" w:hAnsi="Times New Roman"/>
          <w:b/>
          <w:bCs/>
        </w:rPr>
      </w:pPr>
    </w:p>
    <w:p w:rsidR="00AF2590" w:rsidP="009B42F2">
      <w:pPr>
        <w:bidi w:val="0"/>
        <w:jc w:val="both"/>
        <w:rPr>
          <w:rFonts w:ascii="Times New Roman" w:hAnsi="Times New Roman"/>
          <w:b/>
          <w:bCs/>
        </w:rPr>
      </w:pPr>
      <w:r>
        <w:rPr>
          <w:rFonts w:ascii="Times New Roman" w:hAnsi="Times New Roman"/>
          <w:b/>
          <w:bCs/>
        </w:rPr>
        <w:t>K bodu 12</w:t>
      </w:r>
    </w:p>
    <w:p w:rsidR="00AF2590" w:rsidP="009B42F2">
      <w:pPr>
        <w:bidi w:val="0"/>
        <w:jc w:val="both"/>
        <w:rPr>
          <w:rFonts w:ascii="Times New Roman" w:hAnsi="Times New Roman"/>
          <w:b/>
          <w:bCs/>
        </w:rPr>
      </w:pPr>
      <w:r>
        <w:rPr>
          <w:rFonts w:ascii="Times New Roman" w:hAnsi="Times New Roman"/>
          <w:bCs/>
        </w:rPr>
        <w:t xml:space="preserve">Demonštratívnym </w:t>
      </w:r>
      <w:r w:rsidR="001C6D97">
        <w:rPr>
          <w:rFonts w:ascii="Times New Roman" w:hAnsi="Times New Roman"/>
          <w:bCs/>
        </w:rPr>
        <w:t xml:space="preserve">výpočtom </w:t>
      </w:r>
      <w:r>
        <w:rPr>
          <w:rFonts w:ascii="Times New Roman" w:hAnsi="Times New Roman"/>
          <w:bCs/>
        </w:rPr>
        <w:t>sa spresňuj</w:t>
      </w:r>
      <w:r w:rsidR="001C6D97">
        <w:rPr>
          <w:rFonts w:ascii="Times New Roman" w:hAnsi="Times New Roman"/>
          <w:bCs/>
        </w:rPr>
        <w:t>e</w:t>
      </w:r>
      <w:r>
        <w:rPr>
          <w:rFonts w:ascii="Times New Roman" w:hAnsi="Times New Roman"/>
          <w:bCs/>
        </w:rPr>
        <w:t xml:space="preserve"> </w:t>
      </w:r>
      <w:r w:rsidR="001C6D97">
        <w:rPr>
          <w:rFonts w:ascii="Times New Roman" w:hAnsi="Times New Roman"/>
          <w:bCs/>
        </w:rPr>
        <w:t>okruh osôb</w:t>
      </w:r>
      <w:r>
        <w:rPr>
          <w:rFonts w:ascii="Times New Roman" w:hAnsi="Times New Roman"/>
          <w:bCs/>
        </w:rPr>
        <w:t>, o ktorých nezaujatosti je možné mať pochybnosť a</w:t>
      </w:r>
      <w:r w:rsidR="001C6D97">
        <w:rPr>
          <w:rFonts w:ascii="Times New Roman" w:hAnsi="Times New Roman"/>
          <w:bCs/>
        </w:rPr>
        <w:t xml:space="preserve"> zároveň sa </w:t>
      </w:r>
      <w:r>
        <w:rPr>
          <w:rFonts w:ascii="Times New Roman" w:hAnsi="Times New Roman"/>
          <w:bCs/>
        </w:rPr>
        <w:t xml:space="preserve">taxatívnym </w:t>
      </w:r>
      <w:r w:rsidR="001C6D97">
        <w:rPr>
          <w:rFonts w:ascii="Times New Roman" w:hAnsi="Times New Roman"/>
          <w:bCs/>
        </w:rPr>
        <w:t xml:space="preserve">spôsobom </w:t>
      </w:r>
      <w:r>
        <w:rPr>
          <w:rFonts w:ascii="Times New Roman" w:hAnsi="Times New Roman"/>
          <w:bCs/>
        </w:rPr>
        <w:t>uvádzajú osoby, na ktoré sa ustanovenia odseku 2 nevzťahujú.</w:t>
      </w:r>
    </w:p>
    <w:p w:rsidR="00AF2590" w:rsidP="009B42F2">
      <w:pPr>
        <w:bidi w:val="0"/>
        <w:jc w:val="both"/>
        <w:rPr>
          <w:rFonts w:ascii="Times New Roman" w:hAnsi="Times New Roman"/>
          <w:b/>
          <w:bCs/>
        </w:rPr>
      </w:pPr>
    </w:p>
    <w:p w:rsidR="00AF2590" w:rsidP="009B42F2">
      <w:pPr>
        <w:bidi w:val="0"/>
        <w:jc w:val="both"/>
        <w:rPr>
          <w:rFonts w:ascii="Times New Roman" w:hAnsi="Times New Roman"/>
          <w:b/>
          <w:bCs/>
        </w:rPr>
      </w:pPr>
      <w:r>
        <w:rPr>
          <w:rFonts w:ascii="Times New Roman" w:hAnsi="Times New Roman"/>
          <w:b/>
          <w:bCs/>
        </w:rPr>
        <w:t>K bodu 13</w:t>
      </w:r>
    </w:p>
    <w:p w:rsidR="00AF2590" w:rsidP="00F23FB6">
      <w:pPr>
        <w:bidi w:val="0"/>
        <w:jc w:val="both"/>
        <w:rPr>
          <w:rFonts w:ascii="Times New Roman" w:hAnsi="Times New Roman"/>
        </w:rPr>
      </w:pPr>
      <w:r>
        <w:rPr>
          <w:rFonts w:ascii="Times New Roman" w:hAnsi="Times New Roman"/>
        </w:rPr>
        <w:t xml:space="preserve">Vkladajú sa intertemporálne ustanovenia k úpravám účinným od 1. septembra 2011, ktoré súvisia s úpravami  zmenami vykonanými </w:t>
      </w:r>
      <w:r w:rsidR="001C6D97">
        <w:rPr>
          <w:rFonts w:ascii="Times New Roman" w:hAnsi="Times New Roman"/>
        </w:rPr>
        <w:t xml:space="preserve">počas účinnosti </w:t>
      </w:r>
      <w:r>
        <w:rPr>
          <w:rFonts w:ascii="Times New Roman" w:hAnsi="Times New Roman"/>
        </w:rPr>
        <w:t>zákona</w:t>
      </w:r>
      <w:r w:rsidR="001C6D97">
        <w:rPr>
          <w:rFonts w:ascii="Times New Roman" w:hAnsi="Times New Roman"/>
        </w:rPr>
        <w:t xml:space="preserve"> k 31. augustu </w:t>
      </w:r>
      <w:r w:rsidR="00B00AF3">
        <w:rPr>
          <w:rFonts w:ascii="Times New Roman" w:hAnsi="Times New Roman"/>
        </w:rPr>
        <w:t>2011, v záujme zachovania právnej kontinuity</w:t>
      </w:r>
      <w:r w:rsidR="00FF5A29">
        <w:rPr>
          <w:rFonts w:ascii="Times New Roman" w:hAnsi="Times New Roman"/>
        </w:rPr>
        <w:t>.</w:t>
      </w:r>
    </w:p>
    <w:p w:rsidR="00AF2590" w:rsidP="009B42F2">
      <w:pPr>
        <w:bidi w:val="0"/>
        <w:jc w:val="both"/>
        <w:rPr>
          <w:rFonts w:ascii="Times New Roman" w:hAnsi="Times New Roman"/>
        </w:rPr>
      </w:pPr>
    </w:p>
    <w:p w:rsidR="00AF2590" w:rsidRPr="00833495" w:rsidP="009B42F2">
      <w:pPr>
        <w:bidi w:val="0"/>
        <w:jc w:val="both"/>
        <w:rPr>
          <w:rFonts w:ascii="Times New Roman" w:hAnsi="Times New Roman"/>
          <w:b/>
          <w:bCs/>
        </w:rPr>
      </w:pPr>
      <w:r w:rsidRPr="00833495">
        <w:rPr>
          <w:rFonts w:ascii="Times New Roman" w:hAnsi="Times New Roman"/>
          <w:b/>
          <w:bCs/>
        </w:rPr>
        <w:t>K čl. I</w:t>
      </w:r>
      <w:r>
        <w:rPr>
          <w:rFonts w:ascii="Times New Roman" w:hAnsi="Times New Roman"/>
          <w:b/>
          <w:bCs/>
        </w:rPr>
        <w:t>I</w:t>
      </w:r>
    </w:p>
    <w:p w:rsidR="00AF2590" w:rsidP="009B42F2">
      <w:pPr>
        <w:bidi w:val="0"/>
        <w:jc w:val="both"/>
        <w:rPr>
          <w:rFonts w:ascii="Times New Roman" w:hAnsi="Times New Roman"/>
        </w:rPr>
      </w:pPr>
    </w:p>
    <w:p w:rsidR="00AF2590" w:rsidRPr="0020764C" w:rsidP="009B42F2">
      <w:pPr>
        <w:bidi w:val="0"/>
        <w:jc w:val="both"/>
        <w:rPr>
          <w:rFonts w:ascii="Times New Roman" w:hAnsi="Times New Roman"/>
        </w:rPr>
      </w:pPr>
      <w:r>
        <w:rPr>
          <w:rFonts w:ascii="Times New Roman" w:hAnsi="Times New Roman"/>
        </w:rPr>
        <w:t>Ustanovuje sa účinnosť zákona k 1. septembru 2011.</w:t>
      </w:r>
    </w:p>
    <w:p w:rsidR="00AF2590" w:rsidP="009B42F2">
      <w:pPr>
        <w:bidi w:val="0"/>
        <w:jc w:val="both"/>
        <w:rPr>
          <w:rFonts w:ascii="Times New Roman" w:hAnsi="Times New Roman"/>
        </w:rPr>
      </w:pPr>
    </w:p>
    <w:p w:rsidR="00AF2590" w:rsidP="009B42F2">
      <w:pPr>
        <w:bidi w:val="0"/>
        <w:jc w:val="both"/>
        <w:rPr>
          <w:rFonts w:ascii="Times New Roman" w:hAnsi="Times New Roman"/>
        </w:rPr>
      </w:pPr>
    </w:p>
    <w:p w:rsidR="00AF2590" w:rsidP="009B42F2">
      <w:pPr>
        <w:bidi w:val="0"/>
        <w:jc w:val="both"/>
        <w:rPr>
          <w:rFonts w:ascii="Times New Roman" w:hAnsi="Times New Roman"/>
        </w:rPr>
      </w:pPr>
    </w:p>
    <w:p w:rsidR="00AF2590" w:rsidP="009B42F2">
      <w:pPr>
        <w:bidi w:val="0"/>
        <w:jc w:val="both"/>
        <w:rPr>
          <w:rFonts w:ascii="Times New Roman" w:hAnsi="Times New Roman"/>
        </w:rPr>
      </w:pPr>
    </w:p>
    <w:p w:rsidR="00AF2590" w:rsidP="009B42F2">
      <w:pPr>
        <w:bidi w:val="0"/>
        <w:jc w:val="both"/>
        <w:rPr>
          <w:rFonts w:ascii="Times New Roman" w:hAnsi="Times New Roman"/>
        </w:rPr>
      </w:pPr>
    </w:p>
    <w:p w:rsidR="00AF2590" w:rsidP="009B42F2">
      <w:pPr>
        <w:pStyle w:val="NormalWeb"/>
        <w:bidi w:val="0"/>
        <w:spacing w:before="0" w:beforeAutospacing="0" w:after="0" w:afterAutospacing="0"/>
        <w:jc w:val="both"/>
        <w:rPr>
          <w:rFonts w:ascii="Times New Roman" w:hAnsi="Times New Roman"/>
          <w:b/>
          <w:bCs/>
          <w:color w:val="000000"/>
          <w:sz w:val="23"/>
          <w:szCs w:val="23"/>
        </w:rPr>
      </w:pPr>
    </w:p>
    <w:p w:rsidR="00AF2590" w:rsidP="009B42F2">
      <w:pPr>
        <w:pStyle w:val="NormalWeb"/>
        <w:bidi w:val="0"/>
        <w:spacing w:before="0" w:beforeAutospacing="0" w:after="0" w:afterAutospacing="0"/>
        <w:jc w:val="both"/>
        <w:rPr>
          <w:rFonts w:ascii="Times New Roman" w:hAnsi="Times New Roman"/>
          <w:b/>
          <w:bCs/>
          <w:color w:val="000000"/>
          <w:sz w:val="23"/>
          <w:szCs w:val="23"/>
        </w:rPr>
      </w:pPr>
    </w:p>
    <w:p w:rsidR="00AF2590" w:rsidP="009B42F2">
      <w:pPr>
        <w:pStyle w:val="NormalWeb"/>
        <w:bidi w:val="0"/>
        <w:spacing w:before="0" w:beforeAutospacing="0" w:after="0" w:afterAutospacing="0"/>
        <w:jc w:val="both"/>
        <w:rPr>
          <w:rFonts w:ascii="Times New Roman" w:hAnsi="Times New Roman"/>
          <w:b/>
          <w:bCs/>
          <w:color w:val="000000"/>
          <w:sz w:val="23"/>
          <w:szCs w:val="23"/>
        </w:rPr>
      </w:pPr>
    </w:p>
    <w:p w:rsidR="00AF2590" w:rsidP="009B42F2">
      <w:pPr>
        <w:pStyle w:val="NormalWeb"/>
        <w:bidi w:val="0"/>
        <w:spacing w:before="0" w:beforeAutospacing="0" w:after="0" w:afterAutospacing="0"/>
        <w:jc w:val="both"/>
        <w:rPr>
          <w:rFonts w:ascii="Times New Roman" w:hAnsi="Times New Roman"/>
          <w:b/>
          <w:bCs/>
          <w:color w:val="000000"/>
          <w:sz w:val="23"/>
          <w:szCs w:val="23"/>
        </w:rPr>
      </w:pPr>
    </w:p>
    <w:p w:rsidR="00AF2590" w:rsidP="009B42F2">
      <w:pPr>
        <w:pStyle w:val="NormalWeb"/>
        <w:bidi w:val="0"/>
        <w:spacing w:before="0" w:beforeAutospacing="0" w:after="0" w:afterAutospacing="0"/>
        <w:jc w:val="both"/>
        <w:rPr>
          <w:rFonts w:ascii="Times New Roman" w:hAnsi="Times New Roman"/>
          <w:b/>
          <w:bCs/>
          <w:color w:val="000000"/>
          <w:sz w:val="23"/>
          <w:szCs w:val="23"/>
        </w:rPr>
      </w:pPr>
    </w:p>
    <w:p w:rsidR="00AF2590" w:rsidRPr="00FB29FB" w:rsidP="00181BC7">
      <w:pPr>
        <w:bidi w:val="0"/>
        <w:ind w:firstLine="360"/>
        <w:jc w:val="both"/>
        <w:rPr>
          <w:rFonts w:ascii="Times New Roman" w:hAnsi="Times New Roman"/>
        </w:rPr>
      </w:pPr>
    </w:p>
    <w:sectPr w:rsidSect="00181BC7">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590" w:rsidP="00181BC7">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A7D1A">
      <w:rPr>
        <w:rStyle w:val="PageNumber"/>
        <w:rFonts w:ascii="Times New Roman" w:hAnsi="Times New Roman"/>
        <w:noProof/>
      </w:rPr>
      <w:t>6</w:t>
    </w:r>
    <w:r>
      <w:rPr>
        <w:rStyle w:val="PageNumber"/>
        <w:rFonts w:ascii="Times New Roman" w:hAnsi="Times New Roman"/>
      </w:rPr>
      <w:fldChar w:fldCharType="end"/>
    </w:r>
  </w:p>
  <w:p w:rsidR="00AF259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EF1"/>
    <w:multiLevelType w:val="hybridMultilevel"/>
    <w:tmpl w:val="CE8EBDD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95C38AD"/>
    <w:multiLevelType w:val="multilevel"/>
    <w:tmpl w:val="0002976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9C27D32"/>
    <w:multiLevelType w:val="hybridMultilevel"/>
    <w:tmpl w:val="ECFC3A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3D323A"/>
    <w:multiLevelType w:val="hybridMultilevel"/>
    <w:tmpl w:val="B7A85642"/>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1342B0A"/>
    <w:multiLevelType w:val="hybridMultilevel"/>
    <w:tmpl w:val="A66E46F2"/>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A567ABE"/>
    <w:multiLevelType w:val="hybridMultilevel"/>
    <w:tmpl w:val="B3E4CA78"/>
    <w:lvl w:ilvl="0">
      <w:start w:val="7"/>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C0C2C8B"/>
    <w:multiLevelType w:val="hybridMultilevel"/>
    <w:tmpl w:val="252EC37C"/>
    <w:lvl w:ilvl="0">
      <w:start w:val="1"/>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340"/>
        </w:tabs>
        <w:ind w:left="2340" w:hanging="360"/>
      </w:pPr>
      <w:rPr>
        <w:rFonts w:cs="Times New Roman" w:hint="default"/>
        <w:rtl w:val="0"/>
        <w:cs w:val="0"/>
      </w:rPr>
    </w:lvl>
    <w:lvl w:ilvl="3">
      <w:start w:val="2"/>
      <w:numFmt w:val="bullet"/>
      <w:lvlText w:val="-"/>
      <w:lvlJc w:val="left"/>
      <w:pPr>
        <w:tabs>
          <w:tab w:val="num" w:pos="2970"/>
        </w:tabs>
        <w:ind w:left="2970" w:hanging="450"/>
      </w:pPr>
      <w:rPr>
        <w:rFonts w:ascii="Times New Roman" w:eastAsia="Times New Roman" w:hAnsi="Times New Roman"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09D563D"/>
    <w:multiLevelType w:val="hybridMultilevel"/>
    <w:tmpl w:val="A0B0ED6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17946A1"/>
    <w:multiLevelType w:val="hybridMultilevel"/>
    <w:tmpl w:val="051E9A50"/>
    <w:lvl w:ilvl="0">
      <w:start w:val="1"/>
      <w:numFmt w:val="lowerLetter"/>
      <w:lvlText w:val="%1)"/>
      <w:lvlJc w:val="left"/>
      <w:pPr>
        <w:ind w:left="51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1BE3C6A"/>
    <w:multiLevelType w:val="hybridMultilevel"/>
    <w:tmpl w:val="AFC2502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A5B123A"/>
    <w:multiLevelType w:val="hybridMultilevel"/>
    <w:tmpl w:val="86CCBB7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55B224A"/>
    <w:multiLevelType w:val="hybridMultilevel"/>
    <w:tmpl w:val="8850D79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
    <w:nsid w:val="361513D8"/>
    <w:multiLevelType w:val="hybridMultilevel"/>
    <w:tmpl w:val="615681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6A92029"/>
    <w:multiLevelType w:val="hybridMultilevel"/>
    <w:tmpl w:val="0A640B2C"/>
    <w:lvl w:ilvl="0">
      <w:start w:val="3"/>
      <w:numFmt w:val="decimal"/>
      <w:lvlText w:val="%1."/>
      <w:lvlJc w:val="left"/>
      <w:pPr>
        <w:tabs>
          <w:tab w:val="num" w:pos="1140"/>
        </w:tabs>
        <w:ind w:left="11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39D26494"/>
    <w:multiLevelType w:val="hybridMultilevel"/>
    <w:tmpl w:val="0002976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D1A5B15"/>
    <w:multiLevelType w:val="hybridMultilevel"/>
    <w:tmpl w:val="9D66C6CA"/>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E7F4085"/>
    <w:multiLevelType w:val="hybridMultilevel"/>
    <w:tmpl w:val="8924A79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61E2E10"/>
    <w:multiLevelType w:val="hybridMultilevel"/>
    <w:tmpl w:val="A5424A8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6A62309"/>
    <w:multiLevelType w:val="hybridMultilevel"/>
    <w:tmpl w:val="B914C9E6"/>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D8A59B9"/>
    <w:multiLevelType w:val="hybridMultilevel"/>
    <w:tmpl w:val="AC364038"/>
    <w:lvl w:ilvl="0">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160"/>
        </w:tabs>
        <w:ind w:left="216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4">
      <w:start w:val="1"/>
      <w:numFmt w:val="decimal"/>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5">
      <w:start w:val="1"/>
      <w:numFmt w:val="decimal"/>
      <w:lvlText w:val="%6."/>
      <w:lvlJc w:val="left"/>
      <w:pPr>
        <w:tabs>
          <w:tab w:val="num" w:pos="4320"/>
        </w:tabs>
        <w:ind w:left="432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7">
      <w:start w:val="1"/>
      <w:numFmt w:val="decimal"/>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8">
      <w:start w:val="1"/>
      <w:numFmt w:val="decimal"/>
      <w:lvlText w:val="%9."/>
      <w:lvlJc w:val="left"/>
      <w:pPr>
        <w:tabs>
          <w:tab w:val="num" w:pos="6480"/>
        </w:tabs>
        <w:ind w:left="648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abstractNum>
  <w:abstractNum w:abstractNumId="20">
    <w:nsid w:val="5A455642"/>
    <w:multiLevelType w:val="hybridMultilevel"/>
    <w:tmpl w:val="DE40BA9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42939DD"/>
    <w:multiLevelType w:val="hybridMultilevel"/>
    <w:tmpl w:val="8730BE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70F67DC"/>
    <w:multiLevelType w:val="hybridMultilevel"/>
    <w:tmpl w:val="0B10C3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91F16AF"/>
    <w:multiLevelType w:val="hybridMultilevel"/>
    <w:tmpl w:val="A3FEE6C8"/>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B3E6FF8"/>
    <w:multiLevelType w:val="hybridMultilevel"/>
    <w:tmpl w:val="FA6E18B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76847615"/>
    <w:multiLevelType w:val="hybridMultilevel"/>
    <w:tmpl w:val="CF7A37CE"/>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4"/>
  </w:num>
  <w:num w:numId="2">
    <w:abstractNumId w:val="7"/>
  </w:num>
  <w:num w:numId="3">
    <w:abstractNumId w:val="25"/>
  </w:num>
  <w:num w:numId="4">
    <w:abstractNumId w:val="14"/>
  </w:num>
  <w:num w:numId="5">
    <w:abstractNumId w:val="15"/>
  </w:num>
  <w:num w:numId="6">
    <w:abstractNumId w:val="1"/>
  </w:num>
  <w:num w:numId="7">
    <w:abstractNumId w:val="20"/>
  </w:num>
  <w:num w:numId="8">
    <w:abstractNumId w:val="10"/>
  </w:num>
  <w:num w:numId="9">
    <w:abstractNumId w:val="22"/>
  </w:num>
  <w:num w:numId="10">
    <w:abstractNumId w:val="21"/>
  </w:num>
  <w:num w:numId="11">
    <w:abstractNumId w:val="9"/>
  </w:num>
  <w:num w:numId="12">
    <w:abstractNumId w:val="16"/>
  </w:num>
  <w:num w:numId="13">
    <w:abstractNumId w:val="0"/>
  </w:num>
  <w:num w:numId="14">
    <w:abstractNumId w:val="18"/>
  </w:num>
  <w:num w:numId="15">
    <w:abstractNumId w:val="13"/>
  </w:num>
  <w:num w:numId="16">
    <w:abstractNumId w:val="5"/>
  </w:num>
  <w:num w:numId="17">
    <w:abstractNumId w:val="24"/>
  </w:num>
  <w:num w:numId="18">
    <w:abstractNumId w:val="17"/>
  </w:num>
  <w:num w:numId="19">
    <w:abstractNumId w:val="2"/>
  </w:num>
  <w:num w:numId="20">
    <w:abstractNumId w:val="23"/>
  </w:num>
  <w:num w:numId="21">
    <w:abstractNumId w:val="8"/>
  </w:num>
  <w:num w:numId="22">
    <w:abstractNumId w:val="3"/>
  </w:num>
  <w:num w:numId="2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1"/>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oNotTrackMoves/>
  <w:defaultTabStop w:val="708"/>
  <w:hyphenationZone w:val="425"/>
  <w:doNotHyphenateCaps/>
  <w:noPunctuationKerning/>
  <w:characterSpacingControl w:val="doNotCompress"/>
  <w:doNotValidateAgainstSchema/>
  <w:doNotDemarcateInvalidXml/>
  <w:compat/>
  <w:rsids>
    <w:rsidRoot w:val="00181BC7"/>
    <w:rsid w:val="000238A4"/>
    <w:rsid w:val="00033C40"/>
    <w:rsid w:val="000536AC"/>
    <w:rsid w:val="000637A8"/>
    <w:rsid w:val="00064B44"/>
    <w:rsid w:val="000702CA"/>
    <w:rsid w:val="00081C3A"/>
    <w:rsid w:val="0008513C"/>
    <w:rsid w:val="000B62F8"/>
    <w:rsid w:val="000C0113"/>
    <w:rsid w:val="000C1251"/>
    <w:rsid w:val="000F21F5"/>
    <w:rsid w:val="000F7E93"/>
    <w:rsid w:val="00106F31"/>
    <w:rsid w:val="00111ECF"/>
    <w:rsid w:val="0015167B"/>
    <w:rsid w:val="001564F9"/>
    <w:rsid w:val="001637CA"/>
    <w:rsid w:val="0017495E"/>
    <w:rsid w:val="00181BC7"/>
    <w:rsid w:val="00184589"/>
    <w:rsid w:val="00184E80"/>
    <w:rsid w:val="001871E1"/>
    <w:rsid w:val="001A5AF5"/>
    <w:rsid w:val="001B4534"/>
    <w:rsid w:val="001B6509"/>
    <w:rsid w:val="001B6C0A"/>
    <w:rsid w:val="001C2FAA"/>
    <w:rsid w:val="001C38CC"/>
    <w:rsid w:val="001C6462"/>
    <w:rsid w:val="001C6D97"/>
    <w:rsid w:val="001D4269"/>
    <w:rsid w:val="001D7EF7"/>
    <w:rsid w:val="001E2162"/>
    <w:rsid w:val="001E366E"/>
    <w:rsid w:val="001E527A"/>
    <w:rsid w:val="0020764C"/>
    <w:rsid w:val="00225734"/>
    <w:rsid w:val="00227FBD"/>
    <w:rsid w:val="00231464"/>
    <w:rsid w:val="00231700"/>
    <w:rsid w:val="0023196C"/>
    <w:rsid w:val="00243DC2"/>
    <w:rsid w:val="00250958"/>
    <w:rsid w:val="002600A0"/>
    <w:rsid w:val="0027262F"/>
    <w:rsid w:val="002907BD"/>
    <w:rsid w:val="00293E22"/>
    <w:rsid w:val="002A0A5B"/>
    <w:rsid w:val="002A7B2E"/>
    <w:rsid w:val="002C5342"/>
    <w:rsid w:val="002D514B"/>
    <w:rsid w:val="002D7C6A"/>
    <w:rsid w:val="002F11DB"/>
    <w:rsid w:val="003422E0"/>
    <w:rsid w:val="0034284A"/>
    <w:rsid w:val="003465DC"/>
    <w:rsid w:val="003529B8"/>
    <w:rsid w:val="00370C70"/>
    <w:rsid w:val="00372DF5"/>
    <w:rsid w:val="00382B72"/>
    <w:rsid w:val="003868A8"/>
    <w:rsid w:val="003917CB"/>
    <w:rsid w:val="003A0A70"/>
    <w:rsid w:val="003C6326"/>
    <w:rsid w:val="003D0A18"/>
    <w:rsid w:val="003D5428"/>
    <w:rsid w:val="003E2BA4"/>
    <w:rsid w:val="003F3BD3"/>
    <w:rsid w:val="004126B6"/>
    <w:rsid w:val="004156D1"/>
    <w:rsid w:val="00416092"/>
    <w:rsid w:val="00441098"/>
    <w:rsid w:val="004410F8"/>
    <w:rsid w:val="00442C37"/>
    <w:rsid w:val="00447CF4"/>
    <w:rsid w:val="00450208"/>
    <w:rsid w:val="00451C96"/>
    <w:rsid w:val="00462D59"/>
    <w:rsid w:val="004662D1"/>
    <w:rsid w:val="00491F0E"/>
    <w:rsid w:val="00497994"/>
    <w:rsid w:val="004B4F9D"/>
    <w:rsid w:val="004C4567"/>
    <w:rsid w:val="004D1FA0"/>
    <w:rsid w:val="004D5A5D"/>
    <w:rsid w:val="004E6A17"/>
    <w:rsid w:val="0051389B"/>
    <w:rsid w:val="00517C15"/>
    <w:rsid w:val="00530E29"/>
    <w:rsid w:val="00531D13"/>
    <w:rsid w:val="00534417"/>
    <w:rsid w:val="005436A3"/>
    <w:rsid w:val="005535AA"/>
    <w:rsid w:val="00556D04"/>
    <w:rsid w:val="00560F6B"/>
    <w:rsid w:val="005613A1"/>
    <w:rsid w:val="0056575C"/>
    <w:rsid w:val="00570CDF"/>
    <w:rsid w:val="00585452"/>
    <w:rsid w:val="0058628A"/>
    <w:rsid w:val="005905D9"/>
    <w:rsid w:val="00590A5A"/>
    <w:rsid w:val="005A238E"/>
    <w:rsid w:val="005A3886"/>
    <w:rsid w:val="005B3B8E"/>
    <w:rsid w:val="005B63B1"/>
    <w:rsid w:val="005C6725"/>
    <w:rsid w:val="005D3C5E"/>
    <w:rsid w:val="005E36AD"/>
    <w:rsid w:val="005F4886"/>
    <w:rsid w:val="00606FB3"/>
    <w:rsid w:val="006126B1"/>
    <w:rsid w:val="00615856"/>
    <w:rsid w:val="0062189A"/>
    <w:rsid w:val="00631015"/>
    <w:rsid w:val="00641EB1"/>
    <w:rsid w:val="006422FE"/>
    <w:rsid w:val="00657D3B"/>
    <w:rsid w:val="00662171"/>
    <w:rsid w:val="006649BE"/>
    <w:rsid w:val="006668F4"/>
    <w:rsid w:val="00666AEA"/>
    <w:rsid w:val="00686953"/>
    <w:rsid w:val="00696D22"/>
    <w:rsid w:val="006A7D1A"/>
    <w:rsid w:val="006C3565"/>
    <w:rsid w:val="006D2450"/>
    <w:rsid w:val="006D6522"/>
    <w:rsid w:val="006E2708"/>
    <w:rsid w:val="006E38B6"/>
    <w:rsid w:val="006F668B"/>
    <w:rsid w:val="00705DA5"/>
    <w:rsid w:val="00712A72"/>
    <w:rsid w:val="007155EE"/>
    <w:rsid w:val="00742445"/>
    <w:rsid w:val="00746C56"/>
    <w:rsid w:val="00747BF9"/>
    <w:rsid w:val="00750F81"/>
    <w:rsid w:val="00761D56"/>
    <w:rsid w:val="0077199B"/>
    <w:rsid w:val="007777A0"/>
    <w:rsid w:val="007807DE"/>
    <w:rsid w:val="007C16B5"/>
    <w:rsid w:val="007C4345"/>
    <w:rsid w:val="007F0792"/>
    <w:rsid w:val="007F2085"/>
    <w:rsid w:val="007F4614"/>
    <w:rsid w:val="007F74E6"/>
    <w:rsid w:val="00801142"/>
    <w:rsid w:val="00802427"/>
    <w:rsid w:val="008073B4"/>
    <w:rsid w:val="00812D43"/>
    <w:rsid w:val="008223F8"/>
    <w:rsid w:val="00826DCC"/>
    <w:rsid w:val="00833495"/>
    <w:rsid w:val="008469CB"/>
    <w:rsid w:val="00853446"/>
    <w:rsid w:val="0086298B"/>
    <w:rsid w:val="008671EF"/>
    <w:rsid w:val="00873DF1"/>
    <w:rsid w:val="00882941"/>
    <w:rsid w:val="0088560B"/>
    <w:rsid w:val="0089730B"/>
    <w:rsid w:val="008B2570"/>
    <w:rsid w:val="008B507D"/>
    <w:rsid w:val="008B66C2"/>
    <w:rsid w:val="008E24BB"/>
    <w:rsid w:val="008E5AD1"/>
    <w:rsid w:val="008F4F88"/>
    <w:rsid w:val="00920035"/>
    <w:rsid w:val="009233CC"/>
    <w:rsid w:val="0092785E"/>
    <w:rsid w:val="00931F66"/>
    <w:rsid w:val="00933986"/>
    <w:rsid w:val="00934B2F"/>
    <w:rsid w:val="00957056"/>
    <w:rsid w:val="00967020"/>
    <w:rsid w:val="00980A48"/>
    <w:rsid w:val="009833DA"/>
    <w:rsid w:val="009923CD"/>
    <w:rsid w:val="00994F4C"/>
    <w:rsid w:val="009B0B2E"/>
    <w:rsid w:val="009B42F2"/>
    <w:rsid w:val="009D208A"/>
    <w:rsid w:val="009E0B2C"/>
    <w:rsid w:val="009E14C3"/>
    <w:rsid w:val="009E208D"/>
    <w:rsid w:val="009E4AE9"/>
    <w:rsid w:val="009F4564"/>
    <w:rsid w:val="009F6C9C"/>
    <w:rsid w:val="00A00033"/>
    <w:rsid w:val="00A00122"/>
    <w:rsid w:val="00A17E22"/>
    <w:rsid w:val="00A2590E"/>
    <w:rsid w:val="00A26023"/>
    <w:rsid w:val="00A44DE5"/>
    <w:rsid w:val="00A70E34"/>
    <w:rsid w:val="00A73B40"/>
    <w:rsid w:val="00A867B3"/>
    <w:rsid w:val="00A908C4"/>
    <w:rsid w:val="00A93A6A"/>
    <w:rsid w:val="00A948CA"/>
    <w:rsid w:val="00A95377"/>
    <w:rsid w:val="00AA3CE5"/>
    <w:rsid w:val="00AA4F1A"/>
    <w:rsid w:val="00AB5D73"/>
    <w:rsid w:val="00AC7E9D"/>
    <w:rsid w:val="00AE16DF"/>
    <w:rsid w:val="00AF2590"/>
    <w:rsid w:val="00B00AF3"/>
    <w:rsid w:val="00B13DA2"/>
    <w:rsid w:val="00B1727B"/>
    <w:rsid w:val="00B35071"/>
    <w:rsid w:val="00B36D92"/>
    <w:rsid w:val="00B41EF8"/>
    <w:rsid w:val="00B66A33"/>
    <w:rsid w:val="00B705D9"/>
    <w:rsid w:val="00B74E0A"/>
    <w:rsid w:val="00B806FC"/>
    <w:rsid w:val="00B9142B"/>
    <w:rsid w:val="00B91FBE"/>
    <w:rsid w:val="00BA06D5"/>
    <w:rsid w:val="00BB2672"/>
    <w:rsid w:val="00BB4BAB"/>
    <w:rsid w:val="00BC7350"/>
    <w:rsid w:val="00BD165D"/>
    <w:rsid w:val="00BE0DA3"/>
    <w:rsid w:val="00BE17BF"/>
    <w:rsid w:val="00BE464F"/>
    <w:rsid w:val="00BF7251"/>
    <w:rsid w:val="00C04729"/>
    <w:rsid w:val="00C12C51"/>
    <w:rsid w:val="00C25E79"/>
    <w:rsid w:val="00C33C81"/>
    <w:rsid w:val="00C36283"/>
    <w:rsid w:val="00C45D50"/>
    <w:rsid w:val="00C56DE7"/>
    <w:rsid w:val="00C7120A"/>
    <w:rsid w:val="00C810E4"/>
    <w:rsid w:val="00CA7FE9"/>
    <w:rsid w:val="00CC0EA2"/>
    <w:rsid w:val="00CD6295"/>
    <w:rsid w:val="00CE0B4C"/>
    <w:rsid w:val="00CE2639"/>
    <w:rsid w:val="00CF0413"/>
    <w:rsid w:val="00CF65E2"/>
    <w:rsid w:val="00CF7038"/>
    <w:rsid w:val="00D04812"/>
    <w:rsid w:val="00D06A3D"/>
    <w:rsid w:val="00D079FE"/>
    <w:rsid w:val="00D07E53"/>
    <w:rsid w:val="00D117BD"/>
    <w:rsid w:val="00D2467E"/>
    <w:rsid w:val="00D30C1A"/>
    <w:rsid w:val="00D32BA1"/>
    <w:rsid w:val="00D34969"/>
    <w:rsid w:val="00D41A37"/>
    <w:rsid w:val="00D500FC"/>
    <w:rsid w:val="00D67199"/>
    <w:rsid w:val="00D71F43"/>
    <w:rsid w:val="00D7222D"/>
    <w:rsid w:val="00D75887"/>
    <w:rsid w:val="00D76A21"/>
    <w:rsid w:val="00DA105E"/>
    <w:rsid w:val="00DA178C"/>
    <w:rsid w:val="00DA1876"/>
    <w:rsid w:val="00DA3DE6"/>
    <w:rsid w:val="00DB2306"/>
    <w:rsid w:val="00DC2831"/>
    <w:rsid w:val="00DC4A77"/>
    <w:rsid w:val="00DE5A1D"/>
    <w:rsid w:val="00DF468B"/>
    <w:rsid w:val="00E01768"/>
    <w:rsid w:val="00E079AA"/>
    <w:rsid w:val="00E2083F"/>
    <w:rsid w:val="00E27BE5"/>
    <w:rsid w:val="00E32177"/>
    <w:rsid w:val="00E323B1"/>
    <w:rsid w:val="00E3684C"/>
    <w:rsid w:val="00E45D04"/>
    <w:rsid w:val="00E679EA"/>
    <w:rsid w:val="00E71F5D"/>
    <w:rsid w:val="00E93E70"/>
    <w:rsid w:val="00EC4089"/>
    <w:rsid w:val="00EC761F"/>
    <w:rsid w:val="00EF142E"/>
    <w:rsid w:val="00EF7847"/>
    <w:rsid w:val="00F23FB6"/>
    <w:rsid w:val="00F2487A"/>
    <w:rsid w:val="00F3037A"/>
    <w:rsid w:val="00F32768"/>
    <w:rsid w:val="00F33A31"/>
    <w:rsid w:val="00F40F4F"/>
    <w:rsid w:val="00F4260A"/>
    <w:rsid w:val="00F52333"/>
    <w:rsid w:val="00F53684"/>
    <w:rsid w:val="00F56A4A"/>
    <w:rsid w:val="00F73CB4"/>
    <w:rsid w:val="00F83406"/>
    <w:rsid w:val="00F93AD4"/>
    <w:rsid w:val="00FB29FB"/>
    <w:rsid w:val="00FC14C5"/>
    <w:rsid w:val="00FD1B4A"/>
    <w:rsid w:val="00FF5A29"/>
    <w:rsid w:val="00FF5F8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Body Text Indent 3" w:semiHidden="0" w:uiPriority="0" w:unhideWhenUsed="0"/>
    <w:lsdException w:name="Strong" w:semiHidden="0" w:uiPriority="0" w:unhideWhenUsed="0" w:qFormat="1"/>
    <w:lsdException w:name="Emphasis" w:semiHidden="0" w:uiPriority="0" w:unhideWhenUsed="0" w:qFormat="1"/>
    <w:lsdException w:name="Normal (Web)"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BC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rsid w:val="00181BC7"/>
    <w:pPr>
      <w:tabs>
        <w:tab w:val="center" w:pos="4536"/>
        <w:tab w:val="right" w:pos="9072"/>
      </w:tabs>
      <w:jc w:val="left"/>
    </w:pPr>
    <w:rPr>
      <w:szCs w:val="20"/>
      <w:lang w:val="cs-CZ" w:eastAsia="cs-CZ"/>
    </w:rPr>
  </w:style>
  <w:style w:type="character" w:customStyle="1" w:styleId="FooterChar">
    <w:name w:val="Footer Char"/>
    <w:basedOn w:val="DefaultParagraphFont"/>
    <w:link w:val="Footer"/>
    <w:uiPriority w:val="99"/>
    <w:semiHidden/>
    <w:locked/>
    <w:rsid w:val="005F4886"/>
    <w:rPr>
      <w:rFonts w:cs="Times New Roman"/>
      <w:sz w:val="24"/>
      <w:rtl w:val="0"/>
      <w:cs w:val="0"/>
    </w:rPr>
  </w:style>
  <w:style w:type="character" w:styleId="PageNumber">
    <w:name w:val="page number"/>
    <w:basedOn w:val="DefaultParagraphFont"/>
    <w:uiPriority w:val="99"/>
    <w:rsid w:val="00181BC7"/>
    <w:rPr>
      <w:rFonts w:cs="Times New Roman"/>
      <w:rtl w:val="0"/>
      <w:cs w:val="0"/>
    </w:rPr>
  </w:style>
  <w:style w:type="paragraph" w:customStyle="1" w:styleId="CharCharCharCharChar">
    <w:name w:val="Char Char Char Char Char"/>
    <w:basedOn w:val="Normal"/>
    <w:next w:val="Normal"/>
    <w:uiPriority w:val="99"/>
    <w:rsid w:val="008469CB"/>
    <w:pPr>
      <w:spacing w:after="160" w:line="240" w:lineRule="exact"/>
      <w:jc w:val="left"/>
    </w:pPr>
    <w:rPr>
      <w:rFonts w:ascii="Tahoma" w:hAnsi="Tahoma" w:cs="Tahoma"/>
      <w:lang w:val="en-US" w:eastAsia="en-US"/>
    </w:rPr>
  </w:style>
  <w:style w:type="paragraph" w:styleId="BalloonText">
    <w:name w:val="Balloon Text"/>
    <w:basedOn w:val="Normal"/>
    <w:link w:val="BalloonTextChar"/>
    <w:uiPriority w:val="99"/>
    <w:semiHidden/>
    <w:rsid w:val="00E32177"/>
    <w:pPr>
      <w:jc w:val="left"/>
    </w:pPr>
    <w:rPr>
      <w:rFonts w:ascii="Tahoma" w:hAnsi="Tahoma"/>
      <w:sz w:val="16"/>
      <w:szCs w:val="16"/>
    </w:rPr>
  </w:style>
  <w:style w:type="character" w:customStyle="1" w:styleId="BalloonTextChar">
    <w:name w:val="Balloon Text Char"/>
    <w:basedOn w:val="DefaultParagraphFont"/>
    <w:link w:val="BalloonText"/>
    <w:uiPriority w:val="99"/>
    <w:semiHidden/>
    <w:locked/>
    <w:rsid w:val="00E32177"/>
    <w:rPr>
      <w:rFonts w:ascii="Tahoma" w:hAnsi="Tahoma" w:cs="Times New Roman"/>
      <w:sz w:val="16"/>
      <w:rtl w:val="0"/>
      <w:cs w:val="0"/>
    </w:rPr>
  </w:style>
  <w:style w:type="paragraph" w:customStyle="1" w:styleId="CharChar2">
    <w:name w:val="Char Char2"/>
    <w:basedOn w:val="Normal"/>
    <w:uiPriority w:val="99"/>
    <w:rsid w:val="00E3684C"/>
    <w:pPr>
      <w:jc w:val="left"/>
    </w:pPr>
    <w:rPr>
      <w:lang w:val="pl-PL" w:eastAsia="pl-PL"/>
    </w:rPr>
  </w:style>
  <w:style w:type="paragraph" w:styleId="ListParagraph">
    <w:name w:val="List Paragraph"/>
    <w:basedOn w:val="Normal"/>
    <w:uiPriority w:val="99"/>
    <w:qFormat/>
    <w:rsid w:val="00BD165D"/>
    <w:pPr>
      <w:ind w:left="708"/>
      <w:jc w:val="left"/>
    </w:pPr>
  </w:style>
  <w:style w:type="paragraph" w:styleId="BodyTextIndent">
    <w:name w:val="Body Text Indent"/>
    <w:basedOn w:val="Normal"/>
    <w:link w:val="BodyTextIndentChar"/>
    <w:uiPriority w:val="99"/>
    <w:rsid w:val="000F7E93"/>
    <w:pPr>
      <w:spacing w:after="120"/>
      <w:ind w:left="283"/>
      <w:jc w:val="left"/>
    </w:pPr>
    <w:rPr>
      <w:lang w:eastAsia="cs-CZ"/>
    </w:rPr>
  </w:style>
  <w:style w:type="character" w:customStyle="1" w:styleId="BodyTextIndentChar">
    <w:name w:val="Body Text Indent Char"/>
    <w:basedOn w:val="DefaultParagraphFont"/>
    <w:link w:val="BodyTextIndent"/>
    <w:uiPriority w:val="99"/>
    <w:semiHidden/>
    <w:locked/>
    <w:rsid w:val="005F4886"/>
    <w:rPr>
      <w:rFonts w:cs="Times New Roman"/>
      <w:sz w:val="24"/>
      <w:szCs w:val="24"/>
      <w:rtl w:val="0"/>
      <w:cs w:val="0"/>
    </w:rPr>
  </w:style>
  <w:style w:type="paragraph" w:customStyle="1" w:styleId="CharChar">
    <w:name w:val="Char Char"/>
    <w:basedOn w:val="Normal"/>
    <w:uiPriority w:val="99"/>
    <w:rsid w:val="009B42F2"/>
    <w:pPr>
      <w:jc w:val="left"/>
    </w:pPr>
    <w:rPr>
      <w:lang w:val="pl-PL" w:eastAsia="pl-PL"/>
    </w:rPr>
  </w:style>
  <w:style w:type="paragraph" w:styleId="NormalWeb">
    <w:name w:val="Normal (Web)"/>
    <w:basedOn w:val="Normal"/>
    <w:uiPriority w:val="99"/>
    <w:rsid w:val="009B42F2"/>
    <w:pPr>
      <w:spacing w:before="100" w:beforeAutospacing="1" w:after="100" w:afterAutospacing="1"/>
      <w:jc w:val="left"/>
    </w:pPr>
  </w:style>
  <w:style w:type="character" w:customStyle="1" w:styleId="apple-style-span">
    <w:name w:val="apple-style-span"/>
    <w:basedOn w:val="DefaultParagraphFont"/>
    <w:uiPriority w:val="99"/>
    <w:rsid w:val="006C3565"/>
    <w:rPr>
      <w:rFonts w:cs="Times New Roman"/>
      <w:rtl w:val="0"/>
      <w:cs w:val="0"/>
    </w:rPr>
  </w:style>
  <w:style w:type="paragraph" w:styleId="BodyTextIndent3">
    <w:name w:val="Body Text Indent 3"/>
    <w:basedOn w:val="Normal"/>
    <w:link w:val="BodyTextIndent3Char"/>
    <w:uiPriority w:val="99"/>
    <w:rsid w:val="00184589"/>
    <w:pPr>
      <w:spacing w:after="120"/>
      <w:ind w:left="283"/>
      <w:jc w:val="left"/>
    </w:pPr>
    <w:rPr>
      <w:sz w:val="16"/>
      <w:szCs w:val="16"/>
    </w:rPr>
  </w:style>
  <w:style w:type="character" w:customStyle="1" w:styleId="BodyTextIndent3Char">
    <w:name w:val="Body Text Indent 3 Char"/>
    <w:basedOn w:val="DefaultParagraphFont"/>
    <w:link w:val="BodyTextIndent3"/>
    <w:uiPriority w:val="99"/>
    <w:locked/>
    <w:rsid w:val="00184589"/>
    <w:rPr>
      <w:rFonts w:cs="Times New Roman"/>
      <w:sz w:val="16"/>
      <w:szCs w:val="16"/>
      <w:rtl w:val="0"/>
      <w:cs w:val="0"/>
    </w:rPr>
  </w:style>
  <w:style w:type="character" w:styleId="CommentReference">
    <w:name w:val="annotation reference"/>
    <w:basedOn w:val="DefaultParagraphFont"/>
    <w:uiPriority w:val="99"/>
    <w:semiHidden/>
    <w:rsid w:val="000F21F5"/>
    <w:rPr>
      <w:rFonts w:cs="Times New Roman"/>
      <w:sz w:val="16"/>
      <w:szCs w:val="16"/>
      <w:rtl w:val="0"/>
      <w:cs w:val="0"/>
    </w:rPr>
  </w:style>
  <w:style w:type="paragraph" w:styleId="CommentText">
    <w:name w:val="annotation text"/>
    <w:basedOn w:val="Normal"/>
    <w:link w:val="CommentTextChar"/>
    <w:uiPriority w:val="99"/>
    <w:semiHidden/>
    <w:rsid w:val="000F21F5"/>
    <w:pPr>
      <w:jc w:val="left"/>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tl w:val="0"/>
      <w:cs w:val="0"/>
      <w:lang w:val="sk-SK" w:eastAsia="sk-SK"/>
    </w:rPr>
  </w:style>
  <w:style w:type="paragraph" w:styleId="CommentSubject">
    <w:name w:val="annotation subject"/>
    <w:basedOn w:val="CommentText"/>
    <w:next w:val="CommentText"/>
    <w:link w:val="CommentSubjectChar"/>
    <w:uiPriority w:val="99"/>
    <w:semiHidden/>
    <w:rsid w:val="000F21F5"/>
    <w:pPr>
      <w:jc w:val="left"/>
    </w:pPr>
    <w:rPr>
      <w:b/>
      <w:bCs/>
    </w:rPr>
  </w:style>
  <w:style w:type="character" w:customStyle="1" w:styleId="CommentSubjectChar">
    <w:name w:val="Comment Subject Char"/>
    <w:basedOn w:val="CommentTextChar"/>
    <w:link w:val="CommentSubject"/>
    <w:uiPriority w:val="99"/>
    <w:semiHidden/>
    <w:locked/>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1527</Words>
  <Characters>8708</Characters>
  <Application>Microsoft Office Word</Application>
  <DocSecurity>0</DocSecurity>
  <Lines>0</Lines>
  <Paragraphs>0</Paragraphs>
  <ScaleCrop>false</ScaleCrop>
  <Company>MV SR</Company>
  <LinksUpToDate>false</LinksUpToDate>
  <CharactersWithSpaces>10215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kriska</dc:creator>
  <cp:lastModifiedBy>Gašparíková, Jarmila</cp:lastModifiedBy>
  <cp:revision>2</cp:revision>
  <cp:lastPrinted>2011-04-29T09:56:00Z</cp:lastPrinted>
  <dcterms:created xsi:type="dcterms:W3CDTF">2011-04-29T17:01:00Z</dcterms:created>
  <dcterms:modified xsi:type="dcterms:W3CDTF">2011-04-29T17:01:00Z</dcterms:modified>
</cp:coreProperties>
</file>