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37E6" w:rsidRPr="00DF047D" w:rsidP="004A2559">
      <w:pPr>
        <w:pStyle w:val="Heading4"/>
        <w:bidi w:val="0"/>
        <w:jc w:val="center"/>
        <w:rPr>
          <w:rFonts w:ascii="Arial Narrow" w:hAnsi="Arial Narrow"/>
        </w:rPr>
      </w:pPr>
      <w:r w:rsidRPr="00DF047D">
        <w:rPr>
          <w:rFonts w:ascii="Arial Narrow" w:hAnsi="Arial Narrow"/>
          <w:bCs w:val="0"/>
        </w:rPr>
        <w:t>Doložka vybraných vplyvov</w:t>
      </w:r>
    </w:p>
    <w:p w:rsidR="003237E6" w:rsidRPr="00DF047D" w:rsidP="003237E6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Arial Narrow" w:hAnsi="Arial Narrow"/>
        </w:rPr>
      </w:pPr>
    </w:p>
    <w:p w:rsidR="003237E6" w:rsidRPr="00DF047D" w:rsidP="003237E6">
      <w:pPr>
        <w:bidi w:val="0"/>
        <w:jc w:val="both"/>
        <w:rPr>
          <w:rFonts w:ascii="Arial Narrow" w:hAnsi="Arial Narrow"/>
          <w:b/>
          <w:bCs/>
        </w:rPr>
      </w:pPr>
      <w:r w:rsidRPr="00DF047D">
        <w:rPr>
          <w:rFonts w:ascii="Arial Narrow" w:hAnsi="Arial Narrow"/>
          <w:b/>
          <w:bCs/>
        </w:rPr>
        <w:t xml:space="preserve">A.1. Názov materiálu: </w:t>
      </w:r>
      <w:r w:rsidRPr="00DF047D">
        <w:rPr>
          <w:rFonts w:ascii="Arial Narrow" w:hAnsi="Arial Narrow"/>
          <w:bCs/>
        </w:rPr>
        <w:t xml:space="preserve">Návrh zákona, ktorým sa </w:t>
      </w:r>
      <w:r w:rsidR="00C52B5D">
        <w:rPr>
          <w:rFonts w:ascii="Arial Narrow" w:hAnsi="Arial Narrow"/>
          <w:bCs/>
        </w:rPr>
        <w:t xml:space="preserve">mení a </w:t>
      </w:r>
      <w:r w:rsidRPr="00DF047D">
        <w:rPr>
          <w:rFonts w:ascii="Arial Narrow" w:hAnsi="Arial Narrow"/>
          <w:bCs/>
        </w:rPr>
        <w:t>dopĺňa zákon č. 595/2003 Z. z. o dani z príjmov v znení neskorších predpisov</w:t>
      </w:r>
    </w:p>
    <w:p w:rsidR="003237E6" w:rsidRPr="00DF047D" w:rsidP="003237E6">
      <w:pPr>
        <w:pStyle w:val="NormalWeb"/>
        <w:bidi w:val="0"/>
        <w:spacing w:before="0" w:beforeAutospacing="0" w:after="0" w:afterAutospacing="0"/>
        <w:rPr>
          <w:rFonts w:ascii="Arial Narrow" w:hAnsi="Arial Narrow"/>
        </w:rPr>
      </w:pPr>
    </w:p>
    <w:p w:rsidR="003237E6" w:rsidRPr="00DF047D" w:rsidP="003237E6">
      <w:pPr>
        <w:pStyle w:val="NormalWeb"/>
        <w:bidi w:val="0"/>
        <w:spacing w:before="0" w:beforeAutospacing="0" w:after="0" w:afterAutospacing="0"/>
        <w:rPr>
          <w:rFonts w:ascii="Arial Narrow" w:hAnsi="Arial Narrow"/>
        </w:rPr>
      </w:pPr>
      <w:r w:rsidRPr="00DF047D">
        <w:rPr>
          <w:rFonts w:ascii="Arial Narrow" w:hAnsi="Arial Narrow"/>
          <w:b/>
          <w:bCs/>
        </w:rPr>
        <w:t>A.2. Vplyvy:</w:t>
      </w:r>
    </w:p>
    <w:tbl>
      <w:tblPr>
        <w:tblStyle w:val="TableNormal"/>
        <w:tblW w:w="9180" w:type="dxa"/>
        <w:tblLayout w:type="fixed"/>
        <w:tblCellMar>
          <w:left w:w="0" w:type="dxa"/>
          <w:right w:w="0" w:type="dxa"/>
        </w:tblCellMar>
      </w:tblPr>
      <w:tblGrid>
        <w:gridCol w:w="5211"/>
        <w:gridCol w:w="1276"/>
        <w:gridCol w:w="1276"/>
        <w:gridCol w:w="1417"/>
      </w:tblGrid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237E6" w:rsidRPr="00DF047D" w:rsidP="00773CBC">
            <w:pPr>
              <w:pStyle w:val="NormalWeb"/>
              <w:bidi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DF047D">
              <w:rPr>
                <w:rFonts w:ascii="Arial Narrow" w:hAnsi="Arial Narrow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237E6" w:rsidRPr="00DF047D" w:rsidP="00773CB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F047D">
              <w:rPr>
                <w:rFonts w:ascii="Arial Narrow" w:hAnsi="Arial Narrow"/>
              </w:rPr>
              <w:t>Pozitívne</w:t>
            </w:r>
            <w:r w:rsidRPr="00DF047D">
              <w:rPr>
                <w:rFonts w:ascii="Arial Narrow" w:hAnsi="Arial Narrow"/>
                <w:vertAlign w:val="superscript"/>
              </w:rPr>
              <w:t>*</w:t>
            </w:r>
            <w:r w:rsidRPr="00DF047D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237E6" w:rsidRPr="00DF047D" w:rsidP="00773CB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F047D">
              <w:rPr>
                <w:rFonts w:ascii="Arial Narrow" w:hAnsi="Arial Narrow"/>
              </w:rPr>
              <w:t>Žiadne</w:t>
            </w:r>
            <w:r w:rsidRPr="00DF047D">
              <w:rPr>
                <w:rFonts w:ascii="Arial Narrow" w:hAnsi="Arial Narrow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237E6" w:rsidRPr="00DF047D" w:rsidP="00773CB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F047D">
              <w:rPr>
                <w:rFonts w:ascii="Arial Narrow" w:hAnsi="Arial Narrow"/>
              </w:rPr>
              <w:t>Negatívne</w:t>
            </w:r>
            <w:r w:rsidRPr="00DF047D">
              <w:rPr>
                <w:rFonts w:ascii="Arial Narrow" w:hAnsi="Arial Narrow"/>
                <w:vertAlign w:val="superscript"/>
              </w:rPr>
              <w:t>*</w:t>
            </w: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F423E" w:rsidRPr="00DF047D" w:rsidP="000F423E">
            <w:pPr>
              <w:pStyle w:val="NormalWeb"/>
              <w:bidi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DF047D">
              <w:rPr>
                <w:rFonts w:ascii="Arial Narrow" w:hAnsi="Arial Narrow"/>
              </w:rPr>
              <w:t>1. Vplyvy na štátny rozpočet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F423E" w:rsidRPr="00DF047D" w:rsidP="002641E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F423E" w:rsidRPr="00DF047D" w:rsidP="002641E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F423E" w:rsidRPr="00DF047D" w:rsidP="002641E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F047D">
              <w:rPr>
                <w:rFonts w:ascii="Arial Narrow" w:hAnsi="Arial Narrow"/>
              </w:rPr>
              <w:t>X</w:t>
            </w: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237E6" w:rsidRPr="00DF047D" w:rsidP="000F423E">
            <w:pPr>
              <w:pStyle w:val="NormalWeb"/>
              <w:bidi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DF047D" w:rsidR="000F423E">
              <w:rPr>
                <w:rFonts w:ascii="Arial Narrow" w:hAnsi="Arial Narrow"/>
              </w:rPr>
              <w:t>2</w:t>
            </w:r>
            <w:r w:rsidRPr="00DF047D">
              <w:rPr>
                <w:rFonts w:ascii="Arial Narrow" w:hAnsi="Arial Narrow"/>
              </w:rPr>
              <w:t>. Vplyvy na rozpočt</w:t>
            </w:r>
            <w:r w:rsidRPr="00DF047D" w:rsidR="000F423E">
              <w:rPr>
                <w:rFonts w:ascii="Arial Narrow" w:hAnsi="Arial Narrow"/>
              </w:rPr>
              <w:t>y</w:t>
            </w:r>
            <w:r w:rsidRPr="00DF047D">
              <w:rPr>
                <w:rFonts w:ascii="Arial Narrow" w:hAnsi="Arial Narrow"/>
              </w:rPr>
              <w:t xml:space="preserve"> </w:t>
            </w:r>
            <w:r w:rsidRPr="00DF047D" w:rsidR="000F423E">
              <w:rPr>
                <w:rFonts w:ascii="Arial Narrow" w:hAnsi="Arial Narrow"/>
              </w:rPr>
              <w:t>obcí, miest a vyšších územných celkov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237E6" w:rsidRPr="00DF047D" w:rsidP="003237E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F047D" w:rsidR="000F423E">
              <w:rPr>
                <w:rFonts w:ascii="Arial Narrow" w:hAnsi="Arial Narrow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237E6" w:rsidRPr="00DF047D" w:rsidP="00773CB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237E6" w:rsidRPr="00DF047D" w:rsidP="00773CB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237E6" w:rsidRPr="00DF047D" w:rsidP="00470ACB">
            <w:pPr>
              <w:pStyle w:val="NormalWeb"/>
              <w:bidi w:val="0"/>
              <w:spacing w:before="0" w:beforeAutospacing="0" w:after="0" w:afterAutospacing="0"/>
              <w:rPr>
                <w:rFonts w:ascii="Arial Narrow" w:hAnsi="Arial Narrow"/>
              </w:rPr>
            </w:pPr>
            <w:r w:rsidR="00470ACB">
              <w:rPr>
                <w:rFonts w:ascii="Arial Narrow" w:hAnsi="Arial Narrow"/>
              </w:rPr>
              <w:t>3</w:t>
            </w:r>
            <w:r w:rsidRPr="00DF047D">
              <w:rPr>
                <w:rFonts w:ascii="Arial Narrow" w:hAnsi="Arial Narrow"/>
              </w:rPr>
              <w:t>. Vplyvy na podnikateľské prostredie – dochádza k zvýšeniu regulačného zaťaženia?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237E6" w:rsidRPr="00DF047D" w:rsidP="002005B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F047D" w:rsidR="000F423E">
              <w:rPr>
                <w:rFonts w:ascii="Arial Narrow" w:hAnsi="Arial Narrow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237E6" w:rsidRPr="00DF047D" w:rsidP="002005B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237E6" w:rsidRPr="00DF047D" w:rsidP="002005B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237E6" w:rsidRPr="00DF047D" w:rsidP="00773CBC">
            <w:pPr>
              <w:pStyle w:val="NormalWeb"/>
              <w:bidi w:val="0"/>
              <w:spacing w:before="0" w:beforeAutospacing="0" w:after="0" w:afterAutospacing="0"/>
              <w:rPr>
                <w:rFonts w:ascii="Arial Narrow" w:hAnsi="Arial Narrow"/>
              </w:rPr>
            </w:pPr>
            <w:r w:rsidR="00470ACB">
              <w:rPr>
                <w:rFonts w:ascii="Arial Narrow" w:hAnsi="Arial Narrow"/>
              </w:rPr>
              <w:t>4</w:t>
            </w:r>
            <w:r w:rsidRPr="00DF047D" w:rsidR="00B9600C">
              <w:rPr>
                <w:rFonts w:ascii="Arial Narrow" w:hAnsi="Arial Narrow"/>
              </w:rPr>
              <w:t>.</w:t>
            </w:r>
            <w:r w:rsidRPr="00DF047D">
              <w:rPr>
                <w:rFonts w:ascii="Arial Narrow" w:hAnsi="Arial Narrow"/>
              </w:rPr>
              <w:t xml:space="preserve"> Sociálne vplyvy </w:t>
            </w:r>
          </w:p>
          <w:p w:rsidR="003237E6" w:rsidRPr="00DF047D" w:rsidP="00773CBC">
            <w:pPr>
              <w:pStyle w:val="NormalWeb"/>
              <w:bidi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DF047D">
              <w:rPr>
                <w:rFonts w:ascii="Arial Narrow" w:hAnsi="Arial Narrow"/>
              </w:rPr>
              <w:t>– vplyvy na hospodárenie obyvateľstva,</w:t>
            </w:r>
          </w:p>
          <w:p w:rsidR="003237E6" w:rsidRPr="00DF047D" w:rsidP="00773CBC">
            <w:pPr>
              <w:pStyle w:val="NormalWeb"/>
              <w:bidi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DF047D">
              <w:rPr>
                <w:rFonts w:ascii="Arial Narrow" w:hAnsi="Arial Narrow"/>
              </w:rPr>
              <w:t>– sociálnu exklúziu,</w:t>
            </w:r>
          </w:p>
          <w:p w:rsidR="003237E6" w:rsidRPr="00DF047D" w:rsidP="00773CBC">
            <w:pPr>
              <w:pStyle w:val="NormalWeb"/>
              <w:bidi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DF047D">
              <w:rPr>
                <w:rFonts w:ascii="Arial Narrow" w:hAnsi="Arial Narrow"/>
              </w:rPr>
              <w:t>– rovnosť príležitostí a rodovú rovnosť a vplyvy na zamestnanosť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237E6" w:rsidRPr="00DF047D" w:rsidP="002005B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F047D" w:rsidR="003E4533">
              <w:rPr>
                <w:rFonts w:ascii="Arial Narrow" w:hAnsi="Arial Narrow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237E6" w:rsidRPr="00DF047D" w:rsidP="002005B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237E6" w:rsidRPr="00DF047D" w:rsidP="002005B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237E6" w:rsidRPr="00DF047D" w:rsidP="00470ACB">
            <w:pPr>
              <w:pStyle w:val="NormalWeb"/>
              <w:bidi w:val="0"/>
              <w:spacing w:before="0" w:beforeAutospacing="0" w:after="0" w:afterAutospacing="0"/>
              <w:rPr>
                <w:rFonts w:ascii="Arial Narrow" w:hAnsi="Arial Narrow"/>
              </w:rPr>
            </w:pPr>
            <w:r w:rsidR="00470ACB">
              <w:rPr>
                <w:rFonts w:ascii="Arial Narrow" w:hAnsi="Arial Narrow"/>
              </w:rPr>
              <w:t>5</w:t>
            </w:r>
            <w:r w:rsidRPr="00DF047D">
              <w:rPr>
                <w:rFonts w:ascii="Arial Narrow" w:hAnsi="Arial Narrow"/>
              </w:rPr>
              <w:t>. Vplyvy na životné prostredie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237E6" w:rsidRPr="00DF047D" w:rsidP="00773CB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F047D">
              <w:rPr>
                <w:rFonts w:ascii="Arial Narrow" w:hAnsi="Arial Narrow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237E6" w:rsidRPr="00DF047D" w:rsidP="00773CB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F047D">
              <w:rPr>
                <w:rFonts w:ascii="Arial Narrow" w:hAnsi="Arial Narrow"/>
              </w:rPr>
              <w:t>X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237E6" w:rsidRPr="00DF047D" w:rsidP="00773CB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F047D">
              <w:rPr>
                <w:rFonts w:ascii="Arial Narrow" w:hAnsi="Arial Narrow"/>
              </w:rPr>
              <w:t> </w:t>
            </w: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237E6" w:rsidRPr="00DF047D" w:rsidP="00470ACB">
            <w:pPr>
              <w:pStyle w:val="NormalWeb"/>
              <w:bidi w:val="0"/>
              <w:spacing w:before="0" w:beforeAutospacing="0" w:after="0" w:afterAutospacing="0"/>
              <w:rPr>
                <w:rFonts w:ascii="Arial Narrow" w:hAnsi="Arial Narrow"/>
              </w:rPr>
            </w:pPr>
            <w:r w:rsidR="00470ACB">
              <w:rPr>
                <w:rFonts w:ascii="Arial Narrow" w:hAnsi="Arial Narrow"/>
              </w:rPr>
              <w:t>6</w:t>
            </w:r>
            <w:r w:rsidRPr="00DF047D">
              <w:rPr>
                <w:rFonts w:ascii="Arial Narrow" w:hAnsi="Arial Narrow"/>
              </w:rPr>
              <w:t>. Vplyvy na informatizáciu spoločnosti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237E6" w:rsidRPr="00DF047D" w:rsidP="00773CB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F047D">
              <w:rPr>
                <w:rFonts w:ascii="Arial Narrow" w:hAnsi="Arial Narrow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237E6" w:rsidRPr="00DF047D" w:rsidP="00773CB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F047D">
              <w:rPr>
                <w:rFonts w:ascii="Arial Narrow" w:hAnsi="Arial Narrow"/>
              </w:rPr>
              <w:t>X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237E6" w:rsidRPr="00DF047D" w:rsidP="00773CB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F047D">
              <w:rPr>
                <w:rFonts w:ascii="Arial Narrow" w:hAnsi="Arial Narrow"/>
              </w:rPr>
              <w:t> </w:t>
            </w:r>
          </w:p>
        </w:tc>
      </w:tr>
    </w:tbl>
    <w:p w:rsidR="003237E6" w:rsidRPr="00DF047D" w:rsidP="003237E6">
      <w:pPr>
        <w:pStyle w:val="NormalWeb"/>
        <w:bidi w:val="0"/>
        <w:spacing w:before="0" w:beforeAutospacing="0" w:after="0" w:afterAutospacing="0"/>
        <w:jc w:val="both"/>
        <w:rPr>
          <w:rFonts w:ascii="Arial Narrow" w:hAnsi="Arial Narrow"/>
        </w:rPr>
      </w:pPr>
      <w:r w:rsidRPr="00DF047D">
        <w:rPr>
          <w:rFonts w:ascii="Arial Narrow" w:hAnsi="Arial Narrow"/>
          <w:b/>
          <w:bCs/>
        </w:rPr>
        <w:t>*</w:t>
      </w:r>
      <w:r w:rsidRPr="00DF047D">
        <w:rPr>
          <w:rFonts w:ascii="Arial Narrow" w:hAnsi="Arial Narrow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3237E6" w:rsidRPr="00DF047D" w:rsidP="003237E6">
      <w:pPr>
        <w:pStyle w:val="NormalWeb"/>
        <w:bidi w:val="0"/>
        <w:spacing w:before="0" w:beforeAutospacing="0" w:after="0" w:afterAutospacing="0"/>
        <w:jc w:val="both"/>
        <w:rPr>
          <w:rFonts w:ascii="Arial Narrow" w:hAnsi="Arial Narrow"/>
        </w:rPr>
      </w:pPr>
    </w:p>
    <w:p w:rsidR="003237E6" w:rsidRPr="00DF047D" w:rsidP="003237E6">
      <w:pPr>
        <w:pStyle w:val="NormalWeb"/>
        <w:bidi w:val="0"/>
        <w:spacing w:before="0" w:beforeAutospacing="0" w:after="0" w:afterAutospacing="0"/>
        <w:jc w:val="both"/>
        <w:rPr>
          <w:rFonts w:ascii="Arial Narrow" w:hAnsi="Arial Narrow"/>
        </w:rPr>
      </w:pPr>
      <w:r w:rsidRPr="00DF047D">
        <w:rPr>
          <w:rFonts w:ascii="Arial Narrow" w:hAnsi="Arial Narrow"/>
          <w:b/>
          <w:bCs/>
        </w:rPr>
        <w:t>A.3. Poznámky</w:t>
      </w:r>
    </w:p>
    <w:p w:rsidR="003237E6" w:rsidRPr="00DF047D" w:rsidP="003237E6">
      <w:pPr>
        <w:pStyle w:val="NormalWeb"/>
        <w:bidi w:val="0"/>
        <w:spacing w:before="0" w:beforeAutospacing="0" w:after="0" w:afterAutospacing="0"/>
        <w:jc w:val="both"/>
        <w:rPr>
          <w:rFonts w:ascii="Arial Narrow" w:hAnsi="Arial Narrow"/>
        </w:rPr>
      </w:pPr>
    </w:p>
    <w:p w:rsidR="000F423E" w:rsidRPr="00DF047D" w:rsidP="000F423E">
      <w:pPr>
        <w:pStyle w:val="NormalWeb"/>
        <w:numPr>
          <w:numId w:val="6"/>
        </w:numPr>
        <w:bidi w:val="0"/>
        <w:spacing w:before="0" w:beforeAutospacing="0" w:after="0" w:afterAutospacing="0"/>
        <w:jc w:val="both"/>
        <w:rPr>
          <w:rFonts w:ascii="Arial Narrow" w:hAnsi="Arial Narrow"/>
        </w:rPr>
      </w:pPr>
      <w:r w:rsidRPr="00DF047D">
        <w:rPr>
          <w:rFonts w:ascii="Arial Narrow" w:hAnsi="Arial Narrow"/>
          <w:u w:val="single"/>
        </w:rPr>
        <w:t>Vplyvy na štátny rozpočet</w:t>
      </w:r>
      <w:r w:rsidRPr="00DF047D">
        <w:rPr>
          <w:rFonts w:ascii="Arial Narrow" w:hAnsi="Arial Narrow"/>
        </w:rPr>
        <w:t xml:space="preserve"> - návrh zákona v oblasti dani z príjmov má vplyv na zmenu - zníženie príjmov štátneho rozpočtu.</w:t>
      </w:r>
    </w:p>
    <w:p w:rsidR="000F423E" w:rsidRPr="00DF047D" w:rsidP="000F423E">
      <w:pPr>
        <w:pStyle w:val="NormalWeb"/>
        <w:numPr>
          <w:numId w:val="6"/>
        </w:numPr>
        <w:bidi w:val="0"/>
        <w:spacing w:before="0" w:beforeAutospacing="0" w:after="0" w:afterAutospacing="0"/>
        <w:jc w:val="both"/>
        <w:rPr>
          <w:rFonts w:ascii="Arial Narrow" w:hAnsi="Arial Narrow"/>
        </w:rPr>
      </w:pPr>
      <w:r w:rsidRPr="00DF047D">
        <w:rPr>
          <w:rFonts w:ascii="Arial Narrow" w:hAnsi="Arial Narrow"/>
          <w:u w:val="single"/>
        </w:rPr>
        <w:t>Vplyvy na rozpočty obcí, miest a vyšších územných celkov</w:t>
      </w:r>
      <w:r w:rsidRPr="00DF047D">
        <w:rPr>
          <w:rFonts w:ascii="Arial Narrow" w:hAnsi="Arial Narrow"/>
        </w:rPr>
        <w:t xml:space="preserve"> - návrh zákona má vplyv na zmenu - zvýšenie príjmov rozpočtov obcí, miest a vyšších územných celkov.</w:t>
      </w:r>
    </w:p>
    <w:p w:rsidR="003237E6" w:rsidRPr="00DF047D" w:rsidP="003237E6">
      <w:pPr>
        <w:pStyle w:val="NormalWeb"/>
        <w:numPr>
          <w:numId w:val="6"/>
        </w:numPr>
        <w:bidi w:val="0"/>
        <w:spacing w:before="0" w:beforeAutospacing="0" w:after="0" w:afterAutospacing="0"/>
        <w:jc w:val="both"/>
        <w:rPr>
          <w:rFonts w:ascii="Arial Narrow" w:hAnsi="Arial Narrow"/>
        </w:rPr>
      </w:pPr>
      <w:r w:rsidRPr="00DF047D">
        <w:rPr>
          <w:rFonts w:ascii="Arial Narrow" w:hAnsi="Arial Narrow"/>
          <w:u w:val="single"/>
        </w:rPr>
        <w:t>Vplyvy na podnikateľské prostredie</w:t>
      </w:r>
      <w:r w:rsidRPr="00DF047D">
        <w:rPr>
          <w:rFonts w:ascii="Arial Narrow" w:hAnsi="Arial Narrow"/>
        </w:rPr>
        <w:t xml:space="preserve"> – </w:t>
      </w:r>
      <w:r w:rsidRPr="00DF047D" w:rsidR="00D261FF">
        <w:rPr>
          <w:rFonts w:ascii="Arial Narrow" w:hAnsi="Arial Narrow"/>
        </w:rPr>
        <w:t>vplyv návrhu zákona na podnikateľské prostredie je pozitívny nakoľko obce a mestá nebudú nútené premietnuť výpadok zo zdaňovania príjmov z prenájmu a predaja vlastného majetku do iných daní a poplatkov, napr. do dane z nehnuteľností, čím by došlo k vyššiemu daňovému zaťaženiu podnikateľských subjektov.</w:t>
      </w:r>
    </w:p>
    <w:p w:rsidR="003237E6" w:rsidRPr="00DF047D" w:rsidP="003237E6">
      <w:pPr>
        <w:pStyle w:val="NormalWeb"/>
        <w:numPr>
          <w:numId w:val="6"/>
        </w:numPr>
        <w:bidi w:val="0"/>
        <w:spacing w:before="0" w:beforeAutospacing="0" w:after="0" w:afterAutospacing="0"/>
        <w:jc w:val="both"/>
        <w:rPr>
          <w:rFonts w:ascii="Arial Narrow" w:hAnsi="Arial Narrow"/>
        </w:rPr>
      </w:pPr>
      <w:r w:rsidRPr="00DF047D">
        <w:rPr>
          <w:rFonts w:ascii="Arial Narrow" w:hAnsi="Arial Narrow"/>
          <w:u w:val="single"/>
        </w:rPr>
        <w:t>Sociálne vplyvy</w:t>
      </w:r>
      <w:r w:rsidRPr="00DF047D">
        <w:rPr>
          <w:rFonts w:ascii="Arial Narrow" w:hAnsi="Arial Narrow"/>
        </w:rPr>
        <w:t xml:space="preserve"> – vplyv </w:t>
      </w:r>
      <w:r w:rsidRPr="00DF047D" w:rsidR="003E4533">
        <w:rPr>
          <w:rFonts w:ascii="Arial Narrow" w:hAnsi="Arial Narrow"/>
        </w:rPr>
        <w:t xml:space="preserve">návrhu zákona na </w:t>
      </w:r>
      <w:r w:rsidRPr="00DF047D">
        <w:rPr>
          <w:rFonts w:ascii="Arial Narrow" w:hAnsi="Arial Narrow"/>
        </w:rPr>
        <w:t xml:space="preserve">hospodárenie obyvateľstva je </w:t>
      </w:r>
      <w:r w:rsidRPr="00DF047D" w:rsidR="003E4533">
        <w:rPr>
          <w:rFonts w:ascii="Arial Narrow" w:hAnsi="Arial Narrow"/>
        </w:rPr>
        <w:t xml:space="preserve">pozitívny </w:t>
      </w:r>
      <w:r w:rsidRPr="00DF047D" w:rsidR="000F423E">
        <w:rPr>
          <w:rFonts w:ascii="Arial Narrow" w:hAnsi="Arial Narrow"/>
        </w:rPr>
        <w:t>nakoľko obce a</w:t>
      </w:r>
      <w:r w:rsidR="00470ACB">
        <w:rPr>
          <w:rFonts w:ascii="Arial Narrow" w:hAnsi="Arial Narrow"/>
        </w:rPr>
        <w:t> </w:t>
      </w:r>
      <w:r w:rsidRPr="00DF047D" w:rsidR="000F423E">
        <w:rPr>
          <w:rFonts w:ascii="Arial Narrow" w:hAnsi="Arial Narrow"/>
        </w:rPr>
        <w:t>mestá nebudú nútené premietnuť výpadok zo zdaňovania príjmov z prenájmu a predaja vlastného majetku</w:t>
      </w:r>
      <w:r w:rsidRPr="00DF047D" w:rsidR="00D261FF">
        <w:rPr>
          <w:rFonts w:ascii="Arial Narrow" w:hAnsi="Arial Narrow"/>
        </w:rPr>
        <w:t xml:space="preserve"> do iných daní a poplatkov</w:t>
      </w:r>
      <w:r w:rsidRPr="00DF047D" w:rsidR="000F423E">
        <w:rPr>
          <w:rFonts w:ascii="Arial Narrow" w:hAnsi="Arial Narrow"/>
        </w:rPr>
        <w:t>, napr. do dane z nehnuteľností, čím by došlo k vyššiemu daňovému zaťaženiu obyvateľstva</w:t>
      </w:r>
      <w:r w:rsidRPr="00DF047D">
        <w:rPr>
          <w:rFonts w:ascii="Arial Narrow" w:hAnsi="Arial Narrow"/>
        </w:rPr>
        <w:t>.</w:t>
      </w:r>
    </w:p>
    <w:p w:rsidR="003237E6" w:rsidRPr="00DF047D" w:rsidP="000F423E">
      <w:pPr>
        <w:pStyle w:val="NormalWeb"/>
        <w:bidi w:val="0"/>
        <w:spacing w:before="0" w:beforeAutospacing="0" w:after="0" w:afterAutospacing="0"/>
        <w:jc w:val="both"/>
        <w:rPr>
          <w:rFonts w:ascii="Arial Narrow" w:hAnsi="Arial Narrow"/>
        </w:rPr>
      </w:pPr>
    </w:p>
    <w:p w:rsidR="003237E6" w:rsidRPr="00DF047D" w:rsidP="003237E6">
      <w:pPr>
        <w:pStyle w:val="NormalWeb"/>
        <w:bidi w:val="0"/>
        <w:spacing w:before="0" w:beforeAutospacing="0" w:after="0" w:afterAutospacing="0"/>
        <w:jc w:val="both"/>
        <w:rPr>
          <w:rFonts w:ascii="Arial Narrow" w:hAnsi="Arial Narrow"/>
        </w:rPr>
      </w:pPr>
      <w:r w:rsidRPr="00DF047D">
        <w:rPr>
          <w:rFonts w:ascii="Arial Narrow" w:hAnsi="Arial Narrow"/>
          <w:b/>
          <w:bCs/>
        </w:rPr>
        <w:t>A.4. Alternatívne riešenia</w:t>
      </w:r>
    </w:p>
    <w:p w:rsidR="003237E6" w:rsidRPr="00DF047D" w:rsidP="000F423E">
      <w:pPr>
        <w:pStyle w:val="NormalWeb"/>
        <w:bidi w:val="0"/>
        <w:spacing w:before="0" w:beforeAutospacing="0" w:after="0" w:afterAutospacing="0"/>
        <w:jc w:val="both"/>
        <w:rPr>
          <w:rFonts w:ascii="Arial Narrow" w:hAnsi="Arial Narrow"/>
        </w:rPr>
      </w:pPr>
    </w:p>
    <w:p w:rsidR="003237E6" w:rsidRPr="00DF047D" w:rsidP="003237E6">
      <w:pPr>
        <w:pStyle w:val="NormalWeb"/>
        <w:bidi w:val="0"/>
        <w:spacing w:before="0" w:beforeAutospacing="0" w:after="0" w:afterAutospacing="0"/>
        <w:jc w:val="both"/>
        <w:rPr>
          <w:rFonts w:ascii="Arial Narrow" w:hAnsi="Arial Narrow"/>
        </w:rPr>
      </w:pPr>
      <w:r w:rsidRPr="00DF047D" w:rsidR="003E4533">
        <w:rPr>
          <w:rFonts w:ascii="Arial Narrow" w:hAnsi="Arial Narrow"/>
        </w:rPr>
        <w:t>Vzhľadom na marginálny vplyv na výšku príjmov štátneho rozpočtu predkladatelia návrhu zákona neuvažujú s alternatívnymi riešeniami</w:t>
      </w:r>
      <w:r w:rsidRPr="00DF047D">
        <w:rPr>
          <w:rFonts w:ascii="Arial Narrow" w:hAnsi="Arial Narrow"/>
        </w:rPr>
        <w:t>.</w:t>
      </w:r>
    </w:p>
    <w:p w:rsidR="003237E6" w:rsidRPr="00DF047D" w:rsidP="005E1F10">
      <w:pPr>
        <w:pStyle w:val="BodyTextIndent"/>
        <w:bidi w:val="0"/>
        <w:spacing w:after="0"/>
        <w:ind w:left="0"/>
        <w:jc w:val="both"/>
        <w:rPr>
          <w:rFonts w:ascii="Arial Narrow" w:hAnsi="Arial Narrow"/>
          <w:bCs/>
        </w:rPr>
      </w:pPr>
      <w:r w:rsidRPr="00DF047D" w:rsidR="003E4533">
        <w:rPr>
          <w:rFonts w:ascii="Arial Narrow" w:hAnsi="Arial Narrow"/>
        </w:rPr>
        <w:br w:type="page"/>
      </w:r>
      <w:r w:rsidRPr="00DF047D">
        <w:rPr>
          <w:rFonts w:ascii="Arial Narrow" w:hAnsi="Arial Narrow"/>
          <w:b/>
          <w:bCs/>
        </w:rPr>
        <w:tab/>
        <w:tab/>
        <w:tab/>
        <w:tab/>
        <w:t xml:space="preserve">                                                                                     </w:t>
      </w:r>
      <w:r w:rsidRPr="00DF047D">
        <w:rPr>
          <w:rFonts w:ascii="Arial Narrow" w:hAnsi="Arial Narrow"/>
          <w:bCs/>
        </w:rPr>
        <w:t>Príloha č. 1</w:t>
      </w:r>
    </w:p>
    <w:p w:rsidR="003237E6" w:rsidRPr="00DF047D" w:rsidP="006831E3">
      <w:pPr>
        <w:bidi w:val="0"/>
        <w:jc w:val="center"/>
        <w:rPr>
          <w:rFonts w:ascii="Arial Narrow" w:hAnsi="Arial Narrow"/>
        </w:rPr>
      </w:pPr>
      <w:r w:rsidRPr="00DF047D">
        <w:rPr>
          <w:rFonts w:ascii="Arial Narrow" w:hAnsi="Arial Narrow"/>
          <w:b/>
          <w:bCs/>
        </w:rPr>
        <w:t>Vplyvy na rozpočet verejnej správy</w:t>
      </w:r>
      <w:r w:rsidRPr="00DF047D" w:rsidR="006831E3">
        <w:rPr>
          <w:rFonts w:ascii="Arial Narrow" w:hAnsi="Arial Narrow"/>
          <w:b/>
          <w:bCs/>
        </w:rPr>
        <w:t xml:space="preserve"> </w:t>
      </w:r>
      <w:r w:rsidRPr="00DF047D">
        <w:rPr>
          <w:rFonts w:ascii="Arial Narrow" w:hAnsi="Arial Narrow"/>
          <w:b/>
          <w:bCs/>
        </w:rPr>
        <w:t>a financovanie návrhu</w:t>
      </w:r>
    </w:p>
    <w:p w:rsidR="003237E6" w:rsidRPr="00DF047D" w:rsidP="003237E6">
      <w:pPr>
        <w:bidi w:val="0"/>
        <w:rPr>
          <w:rFonts w:ascii="Arial Narrow" w:hAnsi="Arial Narrow"/>
        </w:rPr>
      </w:pPr>
    </w:p>
    <w:p w:rsidR="003237E6" w:rsidRPr="00DF047D" w:rsidP="003237E6">
      <w:pPr>
        <w:bidi w:val="0"/>
        <w:rPr>
          <w:rFonts w:ascii="Arial Narrow" w:hAnsi="Arial Narrow"/>
        </w:rPr>
      </w:pPr>
      <w:r w:rsidRPr="00DF047D">
        <w:rPr>
          <w:rFonts w:ascii="Arial Narrow" w:hAnsi="Arial Narrow"/>
          <w:b/>
          <w:bCs/>
        </w:rPr>
        <w:t>2.1. Zhrnutie vplyvov na rozpočet verejnej správy v návrhu</w:t>
      </w:r>
    </w:p>
    <w:p w:rsidR="003237E6" w:rsidRPr="00DF047D" w:rsidP="003237E6">
      <w:pPr>
        <w:bidi w:val="0"/>
        <w:jc w:val="right"/>
        <w:rPr>
          <w:rFonts w:ascii="Arial Narrow" w:hAnsi="Arial Narrow"/>
        </w:rPr>
      </w:pPr>
      <w:r w:rsidRPr="00DF047D">
        <w:rPr>
          <w:rFonts w:ascii="Arial Narrow" w:hAnsi="Arial Narrow"/>
        </w:rPr>
        <w:t>Tabuľka č. 1</w:t>
      </w:r>
    </w:p>
    <w:tbl>
      <w:tblPr>
        <w:tblStyle w:val="TableNormal"/>
        <w:tblW w:w="8379" w:type="dxa"/>
        <w:tblInd w:w="5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126"/>
        <w:gridCol w:w="1418"/>
        <w:gridCol w:w="1417"/>
        <w:gridCol w:w="1418"/>
      </w:tblGrid>
      <w:tr>
        <w:tblPrEx>
          <w:tblW w:w="8379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15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nil"/>
            </w:tcBorders>
            <w:shd w:val="clear" w:color="000000" w:fill="000000"/>
            <w:noWrap/>
            <w:textDirection w:val="lrTb"/>
            <w:vAlign w:val="center"/>
          </w:tcPr>
          <w:p w:rsidR="003237E6" w:rsidRPr="00DF047D" w:rsidP="00773CBC">
            <w:pPr>
              <w:bidi w:val="0"/>
              <w:rPr>
                <w:rFonts w:ascii="Arial Narrow" w:hAnsi="Arial Narrow"/>
                <w:b/>
                <w:bCs/>
                <w:color w:val="FFFFFF"/>
              </w:rPr>
            </w:pPr>
            <w:r w:rsidRPr="00DF047D">
              <w:rPr>
                <w:rFonts w:ascii="Arial Narrow" w:hAnsi="Arial Narrow"/>
                <w:b/>
                <w:bCs/>
                <w:color w:val="FFFFFF"/>
              </w:rPr>
              <w:t> </w:t>
            </w:r>
            <w:r w:rsidRPr="00DF047D">
              <w:rPr>
                <w:rFonts w:ascii="Arial Narrow" w:hAnsi="Arial Narrow"/>
                <w:b/>
                <w:bCs/>
                <w:color w:val="FFFFFF"/>
                <w:u w:val="single"/>
              </w:rPr>
              <w:t>Rozpočet verejnej správy (v tis. eur)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</w:tcPr>
          <w:p w:rsidR="003237E6" w:rsidRPr="00DF047D" w:rsidP="00773CBC">
            <w:pPr>
              <w:bidi w:val="0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 w:rsidRPr="00DF047D">
              <w:rPr>
                <w:rFonts w:ascii="Arial Narrow" w:hAnsi="Arial Narrow"/>
                <w:b/>
                <w:bCs/>
                <w:color w:val="FFFFFF"/>
              </w:rPr>
              <w:t>Vplyv na rozpočet verejnej správy (ESA95)</w:t>
            </w:r>
          </w:p>
        </w:tc>
      </w:tr>
      <w:tr>
        <w:tblPrEx>
          <w:tblW w:w="8379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15"/>
        </w:trPr>
        <w:tc>
          <w:tcPr>
            <w:tcW w:w="4126" w:type="dxa"/>
            <w:vMerge/>
            <w:tcBorders>
              <w:top w:val="none" w:sz="0" w:space="0" w:color="auto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</w:tcPr>
          <w:p w:rsidR="003E4533" w:rsidRPr="00DF047D" w:rsidP="00773CBC">
            <w:pPr>
              <w:bidi w:val="0"/>
              <w:rPr>
                <w:rFonts w:ascii="Arial Narrow" w:hAnsi="Arial Narrow"/>
                <w:b/>
                <w:bCs/>
                <w:color w:val="FFFFFF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</w:tcPr>
          <w:p w:rsidR="003E4533" w:rsidRPr="00DF047D" w:rsidP="00773CBC">
            <w:pPr>
              <w:bidi w:val="0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 w:rsidRPr="00DF047D">
              <w:rPr>
                <w:rFonts w:ascii="Arial Narrow" w:hAnsi="Arial Narrow"/>
                <w:b/>
                <w:bCs/>
                <w:color w:val="FFFFFF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</w:tcPr>
          <w:p w:rsidR="003E4533" w:rsidRPr="00DF047D" w:rsidP="00773CBC">
            <w:pPr>
              <w:bidi w:val="0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 w:rsidRPr="00DF047D">
              <w:rPr>
                <w:rFonts w:ascii="Arial Narrow" w:hAnsi="Arial Narrow"/>
                <w:b/>
                <w:bCs/>
                <w:color w:val="FFFFFF"/>
              </w:rPr>
              <w:t>2012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</w:tcPr>
          <w:p w:rsidR="003E4533" w:rsidRPr="00DF047D" w:rsidP="00773CBC">
            <w:pPr>
              <w:bidi w:val="0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 w:rsidRPr="00DF047D">
              <w:rPr>
                <w:rFonts w:ascii="Arial Narrow" w:hAnsi="Arial Narrow"/>
                <w:b/>
                <w:bCs/>
                <w:color w:val="FFFFFF"/>
              </w:rPr>
              <w:t>2013</w:t>
            </w:r>
          </w:p>
        </w:tc>
      </w:tr>
      <w:tr>
        <w:tblPrEx>
          <w:tblW w:w="8379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8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</w:tcPr>
          <w:p w:rsidR="003E4533" w:rsidRPr="00DF047D" w:rsidP="00773CBC">
            <w:pPr>
              <w:bidi w:val="0"/>
              <w:rPr>
                <w:rFonts w:ascii="Arial Narrow" w:hAnsi="Arial Narrow"/>
                <w:b/>
                <w:bCs/>
                <w:color w:val="000000"/>
              </w:rPr>
            </w:pPr>
            <w:r w:rsidRPr="00DF047D">
              <w:rPr>
                <w:rFonts w:ascii="Arial Narrow" w:hAnsi="Arial Narrow"/>
                <w:b/>
                <w:bCs/>
                <w:color w:val="000000"/>
              </w:rPr>
              <w:t>Príjmy verejnej správy celkom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</w:tcPr>
          <w:p w:rsidR="003E4533" w:rsidRPr="00DF047D" w:rsidP="004316B0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DF047D" w:rsidR="004316B0">
              <w:rPr>
                <w:rFonts w:ascii="Arial Narrow" w:hAnsi="Arial Narrow"/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</w:tcPr>
          <w:p w:rsidR="003E4533" w:rsidRPr="00DF047D" w:rsidP="004316B0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DF047D" w:rsidR="004316B0">
              <w:rPr>
                <w:rFonts w:ascii="Arial Narrow" w:hAnsi="Arial Narrow"/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</w:tcPr>
          <w:p w:rsidR="003E4533" w:rsidRPr="00DF047D" w:rsidP="004316B0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DF047D" w:rsidR="004316B0">
              <w:rPr>
                <w:rFonts w:ascii="Arial Narrow" w:hAnsi="Arial Narrow"/>
                <w:b/>
                <w:bCs/>
                <w:color w:val="000000"/>
              </w:rPr>
              <w:t>0</w:t>
            </w:r>
          </w:p>
        </w:tc>
      </w:tr>
      <w:tr>
        <w:tblPrEx>
          <w:tblW w:w="8379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4533" w:rsidRPr="00DF047D" w:rsidP="00773CBC">
            <w:pPr>
              <w:bidi w:val="0"/>
              <w:rPr>
                <w:rFonts w:ascii="Arial Narrow" w:hAnsi="Arial Narrow"/>
                <w:color w:val="000000"/>
              </w:rPr>
            </w:pPr>
            <w:r w:rsidRPr="00DF047D">
              <w:rPr>
                <w:rFonts w:ascii="Arial Narrow" w:hAnsi="Arial Narrow"/>
                <w:color w:val="000000"/>
              </w:rPr>
              <w:t>Štátny rozpočet (VPS)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4316B0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 w:rsidR="005E1F10">
              <w:rPr>
                <w:rFonts w:ascii="Arial Narrow" w:hAnsi="Arial Narrow"/>
                <w:color w:val="000000"/>
              </w:rPr>
              <w:t>-</w:t>
            </w:r>
            <w:r w:rsidRPr="00DF047D" w:rsidR="004316B0">
              <w:rPr>
                <w:rFonts w:ascii="Arial Narrow" w:hAnsi="Arial Narrow"/>
                <w:color w:val="000000"/>
              </w:rPr>
              <w:t>9 000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4316B0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 w:rsidR="005E1F10">
              <w:rPr>
                <w:rFonts w:ascii="Arial Narrow" w:hAnsi="Arial Narrow"/>
                <w:color w:val="000000"/>
              </w:rPr>
              <w:t>-</w:t>
            </w:r>
            <w:r w:rsidRPr="00DF047D" w:rsidR="004316B0">
              <w:rPr>
                <w:rFonts w:ascii="Arial Narrow" w:hAnsi="Arial Narrow"/>
                <w:color w:val="000000"/>
              </w:rPr>
              <w:t>2</w:t>
            </w:r>
            <w:r w:rsidRPr="00DF047D" w:rsidR="005E1F10">
              <w:rPr>
                <w:rFonts w:ascii="Arial Narrow" w:hAnsi="Arial Narrow"/>
                <w:color w:val="000000"/>
              </w:rPr>
              <w:t>1</w:t>
            </w:r>
            <w:r w:rsidRPr="00DF047D" w:rsidR="004316B0">
              <w:rPr>
                <w:rFonts w:ascii="Arial Narrow" w:hAnsi="Arial Narrow"/>
                <w:color w:val="000000"/>
              </w:rPr>
              <w:t> 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4316B0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 w:rsidR="005E1F10">
              <w:rPr>
                <w:rFonts w:ascii="Arial Narrow" w:hAnsi="Arial Narrow"/>
                <w:color w:val="000000"/>
              </w:rPr>
              <w:t>-</w:t>
            </w:r>
            <w:r w:rsidRPr="00DF047D" w:rsidR="004316B0">
              <w:rPr>
                <w:rFonts w:ascii="Arial Narrow" w:hAnsi="Arial Narrow"/>
                <w:color w:val="000000"/>
              </w:rPr>
              <w:t>2</w:t>
            </w:r>
            <w:r w:rsidRPr="00DF047D" w:rsidR="005E1F10">
              <w:rPr>
                <w:rFonts w:ascii="Arial Narrow" w:hAnsi="Arial Narrow"/>
                <w:color w:val="000000"/>
              </w:rPr>
              <w:t>1</w:t>
            </w:r>
            <w:r w:rsidRPr="00DF047D" w:rsidR="004316B0">
              <w:rPr>
                <w:rFonts w:ascii="Arial Narrow" w:hAnsi="Arial Narrow"/>
                <w:color w:val="000000"/>
              </w:rPr>
              <w:t> 600</w:t>
            </w:r>
          </w:p>
        </w:tc>
      </w:tr>
      <w:tr>
        <w:tblPrEx>
          <w:tblW w:w="8379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4533" w:rsidRPr="00DF047D" w:rsidP="00773CBC">
            <w:pPr>
              <w:bidi w:val="0"/>
              <w:rPr>
                <w:rFonts w:ascii="Arial Narrow" w:hAnsi="Arial Narrow"/>
                <w:color w:val="000000"/>
              </w:rPr>
            </w:pPr>
            <w:r w:rsidRPr="00DF047D">
              <w:rPr>
                <w:rFonts w:ascii="Arial Narrow" w:hAnsi="Arial Narrow"/>
                <w:color w:val="000000"/>
              </w:rPr>
              <w:t>Obce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4316B0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 w:rsidR="004316B0">
              <w:rPr>
                <w:rFonts w:ascii="Arial Narrow" w:hAnsi="Arial Narrow"/>
                <w:color w:val="000000"/>
              </w:rPr>
              <w:t>7 500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4316B0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 w:rsidR="004316B0">
              <w:rPr>
                <w:rFonts w:ascii="Arial Narrow" w:hAnsi="Arial Narrow"/>
                <w:color w:val="000000"/>
              </w:rPr>
              <w:t>17 </w:t>
            </w:r>
            <w:r w:rsidRPr="00DF047D" w:rsidR="001419AB">
              <w:rPr>
                <w:rFonts w:ascii="Arial Narrow" w:hAnsi="Arial Narrow"/>
                <w:color w:val="000000"/>
              </w:rPr>
              <w:t>5</w:t>
            </w:r>
            <w:r w:rsidRPr="00DF047D" w:rsidR="004316B0">
              <w:rPr>
                <w:rFonts w:ascii="Arial Narrow" w:hAnsi="Arial Narrow"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4316B0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 w:rsidR="004316B0">
              <w:rPr>
                <w:rFonts w:ascii="Arial Narrow" w:hAnsi="Arial Narrow"/>
                <w:color w:val="000000"/>
              </w:rPr>
              <w:t>18 00</w:t>
            </w:r>
            <w:r w:rsidRPr="00DF047D" w:rsidR="001419AB">
              <w:rPr>
                <w:rFonts w:ascii="Arial Narrow" w:hAnsi="Arial Narrow"/>
                <w:color w:val="000000"/>
              </w:rPr>
              <w:t>0</w:t>
            </w:r>
          </w:p>
        </w:tc>
      </w:tr>
      <w:tr>
        <w:tblPrEx>
          <w:tblW w:w="8379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4533" w:rsidRPr="00DF047D" w:rsidP="00773CBC">
            <w:pPr>
              <w:bidi w:val="0"/>
              <w:rPr>
                <w:rFonts w:ascii="Arial Narrow" w:hAnsi="Arial Narrow"/>
                <w:color w:val="000000"/>
              </w:rPr>
            </w:pPr>
            <w:r w:rsidRPr="00DF047D">
              <w:rPr>
                <w:rFonts w:ascii="Arial Narrow" w:hAnsi="Arial Narrow"/>
                <w:color w:val="000000"/>
              </w:rPr>
              <w:t>VÚC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4316B0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 w:rsidR="004316B0">
              <w:rPr>
                <w:rFonts w:ascii="Arial Narrow" w:hAnsi="Arial Narrow"/>
                <w:color w:val="000000"/>
              </w:rPr>
              <w:t>1 500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4316B0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 w:rsidR="004316B0">
              <w:rPr>
                <w:rFonts w:ascii="Arial Narrow" w:hAnsi="Arial Narrow"/>
                <w:color w:val="000000"/>
              </w:rPr>
              <w:t>3 500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4316B0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 w:rsidR="00DB30C5">
              <w:rPr>
                <w:rFonts w:ascii="Arial Narrow" w:hAnsi="Arial Narrow"/>
                <w:color w:val="000000"/>
              </w:rPr>
              <w:t>3</w:t>
            </w:r>
            <w:r w:rsidRPr="00DF047D" w:rsidR="004316B0">
              <w:rPr>
                <w:rFonts w:ascii="Arial Narrow" w:hAnsi="Arial Narrow"/>
                <w:color w:val="000000"/>
              </w:rPr>
              <w:t> 600</w:t>
            </w:r>
          </w:p>
        </w:tc>
      </w:tr>
      <w:tr>
        <w:tblPrEx>
          <w:tblW w:w="8379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4533" w:rsidRPr="00DF047D" w:rsidP="00773CBC">
            <w:pPr>
              <w:bidi w:val="0"/>
              <w:rPr>
                <w:rFonts w:ascii="Arial Narrow" w:hAnsi="Arial Narrow"/>
                <w:color w:val="000000"/>
              </w:rPr>
            </w:pPr>
            <w:r w:rsidRPr="00DF047D">
              <w:rPr>
                <w:rFonts w:ascii="Arial Narrow" w:hAnsi="Arial Narrow"/>
                <w:color w:val="000000"/>
              </w:rPr>
              <w:t>Sociálna poisťovňa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 w:rsidR="005E1F10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 w:rsidR="005E1F10">
              <w:rPr>
                <w:rFonts w:ascii="Arial Narrow" w:hAnsi="Arial Narrow"/>
                <w:color w:val="000000"/>
              </w:rPr>
              <w:t>0</w:t>
            </w:r>
          </w:p>
        </w:tc>
      </w:tr>
      <w:tr>
        <w:tblPrEx>
          <w:tblW w:w="8379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4533" w:rsidRPr="00DF047D" w:rsidP="00773CBC">
            <w:pPr>
              <w:bidi w:val="0"/>
              <w:rPr>
                <w:rFonts w:ascii="Arial Narrow" w:hAnsi="Arial Narrow"/>
                <w:color w:val="000000"/>
              </w:rPr>
            </w:pPr>
            <w:r w:rsidRPr="00DF047D">
              <w:rPr>
                <w:rFonts w:ascii="Arial Narrow" w:hAnsi="Arial Narrow"/>
                <w:color w:val="000000"/>
              </w:rPr>
              <w:t>Zdravotné poisťovne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 w:rsidR="005E1F10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 w:rsidR="005E1F10">
              <w:rPr>
                <w:rFonts w:ascii="Arial Narrow" w:hAnsi="Arial Narrow"/>
                <w:color w:val="000000"/>
              </w:rPr>
              <w:t>0</w:t>
            </w:r>
          </w:p>
        </w:tc>
      </w:tr>
      <w:tr>
        <w:tblPrEx>
          <w:tblW w:w="8379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4533" w:rsidRPr="00DF047D" w:rsidP="00773CBC">
            <w:pPr>
              <w:bidi w:val="0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 w:rsidRPr="00DF047D">
              <w:rPr>
                <w:rFonts w:ascii="Arial Narrow" w:hAnsi="Arial Narrow"/>
                <w:b/>
                <w:bCs/>
                <w:i/>
                <w:iCs/>
                <w:color w:val="000000"/>
              </w:rPr>
              <w:t>z toho: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rPr>
                <w:rFonts w:ascii="Arial Narrow" w:hAnsi="Arial Narrow"/>
                <w:color w:val="000000"/>
              </w:rPr>
            </w:pPr>
            <w:r w:rsidRPr="00DF047D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rPr>
                <w:rFonts w:ascii="Arial Narrow" w:hAnsi="Arial Narrow"/>
                <w:color w:val="000000"/>
              </w:rPr>
            </w:pPr>
            <w:r w:rsidRPr="00DF047D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rPr>
                <w:rFonts w:ascii="Arial Narrow" w:hAnsi="Arial Narrow"/>
                <w:color w:val="000000"/>
              </w:rPr>
            </w:pPr>
            <w:r w:rsidRPr="00DF047D">
              <w:rPr>
                <w:rFonts w:ascii="Arial Narrow" w:hAnsi="Arial Narrow"/>
                <w:color w:val="000000"/>
              </w:rPr>
              <w:t> </w:t>
            </w:r>
          </w:p>
        </w:tc>
      </w:tr>
      <w:tr>
        <w:tblPrEx>
          <w:tblW w:w="8379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4533" w:rsidRPr="00DF047D" w:rsidP="00773CBC">
            <w:pPr>
              <w:bidi w:val="0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 w:rsidRPr="00DF047D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- vplyv na ŠR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4316B0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 w:rsidRPr="00DF047D" w:rsidR="00FA40E0">
              <w:rPr>
                <w:rFonts w:ascii="Arial Narrow" w:hAnsi="Arial Narrow"/>
                <w:b/>
                <w:bCs/>
                <w:i/>
                <w:iCs/>
                <w:color w:val="000000"/>
              </w:rPr>
              <w:t>-</w:t>
            </w:r>
            <w:r w:rsidRPr="00DF047D" w:rsidR="004316B0">
              <w:rPr>
                <w:rFonts w:ascii="Arial Narrow" w:hAnsi="Arial Narrow"/>
                <w:b/>
                <w:bCs/>
                <w:i/>
                <w:iCs/>
                <w:color w:val="000000"/>
              </w:rPr>
              <w:t>9 000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4316B0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 w:rsidRPr="00DF047D" w:rsidR="004316B0">
              <w:rPr>
                <w:rFonts w:ascii="Arial Narrow" w:hAnsi="Arial Narrow"/>
                <w:b/>
                <w:bCs/>
                <w:i/>
                <w:iCs/>
                <w:color w:val="000000"/>
              </w:rPr>
              <w:t>-21 000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4316B0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 w:rsidRPr="00DF047D" w:rsidR="00DB30C5">
              <w:rPr>
                <w:rFonts w:ascii="Arial Narrow" w:hAnsi="Arial Narrow"/>
                <w:b/>
                <w:bCs/>
                <w:i/>
                <w:iCs/>
                <w:color w:val="000000"/>
              </w:rPr>
              <w:t>-</w:t>
            </w:r>
            <w:r w:rsidRPr="00DF047D" w:rsidR="004316B0">
              <w:rPr>
                <w:rFonts w:ascii="Arial Narrow" w:hAnsi="Arial Narrow"/>
                <w:b/>
                <w:bCs/>
                <w:i/>
                <w:iCs/>
                <w:color w:val="000000"/>
              </w:rPr>
              <w:t>2</w:t>
            </w:r>
            <w:r w:rsidRPr="00DF047D" w:rsidR="00DB30C5">
              <w:rPr>
                <w:rFonts w:ascii="Arial Narrow" w:hAnsi="Arial Narrow"/>
                <w:b/>
                <w:bCs/>
                <w:i/>
                <w:iCs/>
                <w:color w:val="000000"/>
              </w:rPr>
              <w:t>1</w:t>
            </w:r>
            <w:r w:rsidRPr="00DF047D" w:rsidR="004316B0">
              <w:rPr>
                <w:rFonts w:ascii="Arial Narrow" w:hAnsi="Arial Narrow"/>
                <w:b/>
                <w:bCs/>
                <w:i/>
                <w:iCs/>
                <w:color w:val="000000"/>
              </w:rPr>
              <w:t> 600</w:t>
            </w:r>
          </w:p>
        </w:tc>
      </w:tr>
      <w:tr>
        <w:tblPrEx>
          <w:tblW w:w="8379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4533" w:rsidRPr="00DF047D" w:rsidP="00773CBC">
            <w:pPr>
              <w:bidi w:val="0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 w:rsidRPr="00DF047D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- vplyv na územnú samosprávu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 w:rsidRPr="00DF047D" w:rsidR="004316B0">
              <w:rPr>
                <w:rFonts w:ascii="Arial Narrow" w:hAnsi="Arial Narrow"/>
                <w:b/>
                <w:bCs/>
                <w:i/>
                <w:iCs/>
                <w:color w:val="000000"/>
              </w:rPr>
              <w:t>9 000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 w:rsidRPr="00DF047D" w:rsidR="004316B0">
              <w:rPr>
                <w:rFonts w:ascii="Arial Narrow" w:hAnsi="Arial Narrow"/>
                <w:b/>
                <w:bCs/>
                <w:i/>
                <w:iCs/>
                <w:color w:val="000000"/>
              </w:rPr>
              <w:t>21 000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 w:rsidRPr="00DF047D" w:rsidR="004316B0">
              <w:rPr>
                <w:rFonts w:ascii="Arial Narrow" w:hAnsi="Arial Narrow"/>
                <w:b/>
                <w:bCs/>
                <w:i/>
                <w:iCs/>
                <w:color w:val="000000"/>
              </w:rPr>
              <w:t>21 600</w:t>
            </w:r>
          </w:p>
        </w:tc>
      </w:tr>
      <w:tr>
        <w:tblPrEx>
          <w:tblW w:w="8379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</w:tcPr>
          <w:p w:rsidR="003E4533" w:rsidRPr="00DF047D" w:rsidP="00773CBC">
            <w:pPr>
              <w:bidi w:val="0"/>
              <w:rPr>
                <w:rFonts w:ascii="Arial Narrow" w:hAnsi="Arial Narrow"/>
                <w:b/>
                <w:bCs/>
                <w:color w:val="000000"/>
              </w:rPr>
            </w:pPr>
            <w:r w:rsidRPr="00DF047D">
              <w:rPr>
                <w:rFonts w:ascii="Arial Narrow" w:hAnsi="Arial Narrow"/>
                <w:b/>
                <w:bCs/>
                <w:color w:val="000000"/>
              </w:rPr>
              <w:t>Výdavky verejnej správy celkom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DF047D">
              <w:rPr>
                <w:rFonts w:ascii="Arial Narrow" w:hAnsi="Arial Narrow"/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DF047D" w:rsidR="00DB30C5">
              <w:rPr>
                <w:rFonts w:ascii="Arial Narrow" w:hAnsi="Arial Narrow"/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DF047D" w:rsidR="00DB30C5">
              <w:rPr>
                <w:rFonts w:ascii="Arial Narrow" w:hAnsi="Arial Narrow"/>
                <w:b/>
                <w:bCs/>
                <w:color w:val="000000"/>
              </w:rPr>
              <w:t>0</w:t>
            </w:r>
          </w:p>
        </w:tc>
      </w:tr>
      <w:tr>
        <w:tblPrEx>
          <w:tblW w:w="8379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4533" w:rsidRPr="00DF047D" w:rsidP="00773CBC">
            <w:pPr>
              <w:bidi w:val="0"/>
              <w:rPr>
                <w:rFonts w:ascii="Arial Narrow" w:hAnsi="Arial Narrow"/>
                <w:color w:val="000000"/>
              </w:rPr>
            </w:pPr>
            <w:r w:rsidRPr="00DF047D">
              <w:rPr>
                <w:rFonts w:ascii="Arial Narrow" w:hAnsi="Arial Narrow"/>
                <w:color w:val="000000"/>
              </w:rPr>
              <w:t xml:space="preserve">Štátny rozpočet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>
              <w:rPr>
                <w:rFonts w:ascii="Arial Narrow" w:hAnsi="Arial Narrow"/>
                <w:color w:val="000000"/>
              </w:rPr>
              <w:t>0</w:t>
            </w:r>
          </w:p>
        </w:tc>
      </w:tr>
      <w:tr>
        <w:tblPrEx>
          <w:tblW w:w="8379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4533" w:rsidRPr="00DF047D" w:rsidP="00773CBC">
            <w:pPr>
              <w:bidi w:val="0"/>
              <w:rPr>
                <w:rFonts w:ascii="Arial Narrow" w:hAnsi="Arial Narrow"/>
                <w:color w:val="000000"/>
              </w:rPr>
            </w:pPr>
            <w:r w:rsidRPr="00DF047D">
              <w:rPr>
                <w:rFonts w:ascii="Arial Narrow" w:hAnsi="Arial Narrow"/>
                <w:color w:val="000000"/>
              </w:rPr>
              <w:t>Obce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 w:rsidR="00DB30C5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 w:rsidR="00DB30C5">
              <w:rPr>
                <w:rFonts w:ascii="Arial Narrow" w:hAnsi="Arial Narrow"/>
                <w:color w:val="000000"/>
              </w:rPr>
              <w:t>0</w:t>
            </w:r>
          </w:p>
        </w:tc>
      </w:tr>
      <w:tr>
        <w:tblPrEx>
          <w:tblW w:w="8379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4533" w:rsidRPr="00DF047D" w:rsidP="00773CBC">
            <w:pPr>
              <w:bidi w:val="0"/>
              <w:rPr>
                <w:rFonts w:ascii="Arial Narrow" w:hAnsi="Arial Narrow"/>
                <w:color w:val="000000"/>
              </w:rPr>
            </w:pPr>
            <w:r w:rsidRPr="00DF047D">
              <w:rPr>
                <w:rFonts w:ascii="Arial Narrow" w:hAnsi="Arial Narrow"/>
                <w:color w:val="000000"/>
              </w:rPr>
              <w:t>VÚC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 w:rsidR="00DB30C5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 w:rsidR="00DB30C5">
              <w:rPr>
                <w:rFonts w:ascii="Arial Narrow" w:hAnsi="Arial Narrow"/>
                <w:color w:val="000000"/>
              </w:rPr>
              <w:t>0</w:t>
            </w:r>
          </w:p>
        </w:tc>
      </w:tr>
      <w:tr>
        <w:tblPrEx>
          <w:tblW w:w="8379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4533" w:rsidRPr="00DF047D" w:rsidP="00773CBC">
            <w:pPr>
              <w:bidi w:val="0"/>
              <w:rPr>
                <w:rFonts w:ascii="Arial Narrow" w:hAnsi="Arial Narrow"/>
                <w:color w:val="000000"/>
              </w:rPr>
            </w:pPr>
            <w:r w:rsidRPr="00DF047D">
              <w:rPr>
                <w:rFonts w:ascii="Arial Narrow" w:hAnsi="Arial Narrow"/>
                <w:color w:val="000000"/>
              </w:rPr>
              <w:t>Sociálna poisťovňa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 w:rsidR="00DB30C5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 w:rsidR="00DB30C5">
              <w:rPr>
                <w:rFonts w:ascii="Arial Narrow" w:hAnsi="Arial Narrow"/>
                <w:color w:val="000000"/>
              </w:rPr>
              <w:t>0</w:t>
            </w:r>
          </w:p>
        </w:tc>
      </w:tr>
      <w:tr>
        <w:tblPrEx>
          <w:tblW w:w="8379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4533" w:rsidRPr="00DF047D" w:rsidP="00773CBC">
            <w:pPr>
              <w:bidi w:val="0"/>
              <w:rPr>
                <w:rFonts w:ascii="Arial Narrow" w:hAnsi="Arial Narrow"/>
                <w:color w:val="000000"/>
              </w:rPr>
            </w:pPr>
            <w:r w:rsidRPr="00DF047D">
              <w:rPr>
                <w:rFonts w:ascii="Arial Narrow" w:hAnsi="Arial Narrow"/>
                <w:color w:val="000000"/>
              </w:rPr>
              <w:t>Zdravotné poisťovne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DB30C5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 w:rsidR="00DB30C5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DB30C5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 w:rsidR="00DB30C5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DB30C5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 w:rsidR="00DB30C5">
              <w:rPr>
                <w:rFonts w:ascii="Arial Narrow" w:hAnsi="Arial Narrow"/>
                <w:color w:val="000000"/>
              </w:rPr>
              <w:t>0</w:t>
            </w:r>
          </w:p>
        </w:tc>
      </w:tr>
      <w:tr>
        <w:tblPrEx>
          <w:tblW w:w="8379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4533" w:rsidRPr="00DF047D" w:rsidP="00773CBC">
            <w:pPr>
              <w:bidi w:val="0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 w:rsidRPr="00DF047D">
              <w:rPr>
                <w:rFonts w:ascii="Arial Narrow" w:hAnsi="Arial Narrow"/>
                <w:b/>
                <w:bCs/>
                <w:i/>
                <w:iCs/>
                <w:color w:val="000000"/>
              </w:rPr>
              <w:t>z toho: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DB30C5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DB30C5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DB30C5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>
              <w:rPr>
                <w:rFonts w:ascii="Arial Narrow" w:hAnsi="Arial Narrow"/>
                <w:color w:val="000000"/>
              </w:rPr>
              <w:t> </w:t>
            </w:r>
          </w:p>
        </w:tc>
      </w:tr>
      <w:tr>
        <w:tblPrEx>
          <w:tblW w:w="8379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4533" w:rsidRPr="00DF047D" w:rsidP="00773CBC">
            <w:pPr>
              <w:bidi w:val="0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 w:rsidRPr="00DF047D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- vplyv na ŠR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 w:rsidRPr="00DF047D">
              <w:rPr>
                <w:rFonts w:ascii="Arial Narrow" w:hAnsi="Arial Narrow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 w:rsidRPr="00DF047D">
              <w:rPr>
                <w:rFonts w:ascii="Arial Narrow" w:hAnsi="Arial Narrow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 w:rsidRPr="00DF047D">
              <w:rPr>
                <w:rFonts w:ascii="Arial Narrow" w:hAnsi="Arial Narrow"/>
                <w:b/>
                <w:bCs/>
                <w:i/>
                <w:iCs/>
                <w:color w:val="000000"/>
              </w:rPr>
              <w:t>0</w:t>
            </w:r>
          </w:p>
        </w:tc>
      </w:tr>
      <w:tr>
        <w:tblPrEx>
          <w:tblW w:w="8379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4533" w:rsidRPr="00DF047D" w:rsidP="00773CBC">
            <w:pPr>
              <w:bidi w:val="0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 w:rsidRPr="00DF047D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- vplyv na územnú samosprávu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 w:rsidRPr="00DF047D">
              <w:rPr>
                <w:rFonts w:ascii="Arial Narrow" w:hAnsi="Arial Narrow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 w:rsidRPr="00DF047D" w:rsidR="00DB30C5">
              <w:rPr>
                <w:rFonts w:ascii="Arial Narrow" w:hAnsi="Arial Narrow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4533" w:rsidRPr="00DF047D" w:rsidP="00773CBC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 w:rsidRPr="00DF047D" w:rsidR="00DB30C5">
              <w:rPr>
                <w:rFonts w:ascii="Arial Narrow" w:hAnsi="Arial Narrow"/>
                <w:b/>
                <w:bCs/>
                <w:i/>
                <w:iCs/>
                <w:color w:val="000000"/>
              </w:rPr>
              <w:t>0</w:t>
            </w:r>
          </w:p>
        </w:tc>
      </w:tr>
    </w:tbl>
    <w:p w:rsidR="003237E6" w:rsidRPr="00DF047D" w:rsidP="004316B0">
      <w:pPr>
        <w:bidi w:val="0"/>
        <w:rPr>
          <w:rFonts w:ascii="Arial Narrow" w:hAnsi="Arial Narrow"/>
        </w:rPr>
      </w:pPr>
    </w:p>
    <w:p w:rsidR="004316B0" w:rsidRPr="00DF047D" w:rsidP="004316B0">
      <w:pPr>
        <w:bidi w:val="0"/>
        <w:rPr>
          <w:rFonts w:ascii="Arial Narrow" w:hAnsi="Arial Narrow"/>
        </w:rPr>
      </w:pPr>
      <w:r w:rsidRPr="00DF047D" w:rsidR="006831E3">
        <w:rPr>
          <w:rFonts w:ascii="Arial Narrow" w:hAnsi="Arial Narrow"/>
        </w:rPr>
        <w:t>Vplyvy boli kvantifikované na základe dostupných údajov príjmov obcí, miest a vyšších územných celkov z predaja a prenájmu majetku v prechádzajúcich rokoch.</w:t>
      </w:r>
    </w:p>
    <w:p w:rsidR="004316B0" w:rsidRPr="00DF047D" w:rsidP="004316B0">
      <w:pPr>
        <w:bidi w:val="0"/>
        <w:rPr>
          <w:rFonts w:ascii="Arial Narrow" w:hAnsi="Arial Narrow"/>
        </w:rPr>
      </w:pPr>
    </w:p>
    <w:p w:rsidR="003237E6" w:rsidRPr="00DF047D" w:rsidP="003237E6">
      <w:pPr>
        <w:bidi w:val="0"/>
        <w:rPr>
          <w:rFonts w:ascii="Arial Narrow" w:hAnsi="Arial Narrow"/>
        </w:rPr>
      </w:pPr>
      <w:r w:rsidRPr="00DF047D">
        <w:rPr>
          <w:rFonts w:ascii="Arial Narrow" w:hAnsi="Arial Narrow"/>
          <w:b/>
          <w:bCs/>
        </w:rPr>
        <w:t>2.2. Financovanie návrhu</w:t>
      </w:r>
    </w:p>
    <w:p w:rsidR="003237E6" w:rsidRPr="00DF047D" w:rsidP="003237E6">
      <w:pPr>
        <w:bidi w:val="0"/>
        <w:jc w:val="right"/>
        <w:rPr>
          <w:rFonts w:ascii="Arial Narrow" w:hAnsi="Arial Narrow"/>
        </w:rPr>
      </w:pPr>
      <w:r w:rsidRPr="00DF047D">
        <w:rPr>
          <w:rFonts w:ascii="Arial Narrow" w:hAnsi="Arial Narrow"/>
        </w:rPr>
        <w:t>Tabuľka č. 2</w:t>
      </w:r>
    </w:p>
    <w:tbl>
      <w:tblPr>
        <w:tblStyle w:val="TableNormal"/>
        <w:tblW w:w="8379" w:type="dxa"/>
        <w:tblInd w:w="5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126"/>
        <w:gridCol w:w="1418"/>
        <w:gridCol w:w="1417"/>
        <w:gridCol w:w="1418"/>
      </w:tblGrid>
      <w:tr>
        <w:tblPrEx>
          <w:tblW w:w="8379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15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nil"/>
            </w:tcBorders>
            <w:shd w:val="clear" w:color="000000" w:fill="000000"/>
            <w:noWrap/>
            <w:textDirection w:val="lrTb"/>
            <w:vAlign w:val="center"/>
          </w:tcPr>
          <w:p w:rsidR="003237E6" w:rsidRPr="00DF047D" w:rsidP="00773CBC">
            <w:pPr>
              <w:bidi w:val="0"/>
              <w:rPr>
                <w:rFonts w:ascii="Arial Narrow" w:hAnsi="Arial Narrow"/>
                <w:b/>
                <w:bCs/>
                <w:color w:val="FFFFFF"/>
              </w:rPr>
            </w:pPr>
            <w:r w:rsidRPr="00DF047D">
              <w:rPr>
                <w:rFonts w:ascii="Arial Narrow" w:hAnsi="Arial Narrow"/>
                <w:b/>
                <w:bCs/>
                <w:color w:val="FFFFFF"/>
              </w:rPr>
              <w:t> </w:t>
            </w:r>
            <w:r w:rsidRPr="00DF047D">
              <w:rPr>
                <w:rFonts w:ascii="Arial Narrow" w:hAnsi="Arial Narrow"/>
                <w:b/>
                <w:bCs/>
                <w:color w:val="FFFFFF"/>
                <w:u w:val="single"/>
              </w:rPr>
              <w:t>Financovanie (v tis. eur)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textDirection w:val="lrTb"/>
            <w:vAlign w:val="center"/>
          </w:tcPr>
          <w:p w:rsidR="003237E6" w:rsidRPr="00DF047D" w:rsidP="00773CBC">
            <w:pPr>
              <w:bidi w:val="0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 w:rsidRPr="00DF047D">
              <w:rPr>
                <w:rFonts w:ascii="Arial Narrow" w:hAnsi="Arial Narrow"/>
                <w:b/>
                <w:bCs/>
                <w:color w:val="FFFFFF"/>
              </w:rPr>
              <w:t>Vplyv na rozpočet verejnej správy (ESA95)</w:t>
            </w:r>
          </w:p>
        </w:tc>
      </w:tr>
      <w:tr>
        <w:tblPrEx>
          <w:tblW w:w="8379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15"/>
        </w:trPr>
        <w:tc>
          <w:tcPr>
            <w:tcW w:w="4126" w:type="dxa"/>
            <w:vMerge/>
            <w:tcBorders>
              <w:top w:val="none" w:sz="0" w:space="0" w:color="auto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</w:tcPr>
          <w:p w:rsidR="00DB30C5" w:rsidRPr="00DF047D" w:rsidP="00773CBC">
            <w:pPr>
              <w:bidi w:val="0"/>
              <w:rPr>
                <w:rFonts w:ascii="Arial Narrow" w:hAnsi="Arial Narrow"/>
                <w:b/>
                <w:bCs/>
                <w:color w:val="FFFFFF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</w:tcPr>
          <w:p w:rsidR="00DB30C5" w:rsidRPr="00DF047D" w:rsidP="00773CBC">
            <w:pPr>
              <w:bidi w:val="0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 w:rsidRPr="00DF047D">
              <w:rPr>
                <w:rFonts w:ascii="Arial Narrow" w:hAnsi="Arial Narrow"/>
                <w:b/>
                <w:bCs/>
                <w:color w:val="FFFFFF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</w:tcPr>
          <w:p w:rsidR="00DB30C5" w:rsidRPr="00DF047D" w:rsidP="00773CBC">
            <w:pPr>
              <w:bidi w:val="0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 w:rsidRPr="00DF047D">
              <w:rPr>
                <w:rFonts w:ascii="Arial Narrow" w:hAnsi="Arial Narrow"/>
                <w:b/>
                <w:bCs/>
                <w:color w:val="FFFFFF"/>
              </w:rPr>
              <w:t>2012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textDirection w:val="lrTb"/>
            <w:vAlign w:val="center"/>
          </w:tcPr>
          <w:p w:rsidR="00DB30C5" w:rsidRPr="00DF047D" w:rsidP="00773CBC">
            <w:pPr>
              <w:bidi w:val="0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 w:rsidRPr="00DF047D">
              <w:rPr>
                <w:rFonts w:ascii="Arial Narrow" w:hAnsi="Arial Narrow"/>
                <w:b/>
                <w:bCs/>
                <w:color w:val="FFFFFF"/>
              </w:rPr>
              <w:t>2013</w:t>
            </w:r>
          </w:p>
        </w:tc>
      </w:tr>
      <w:tr>
        <w:tblPrEx>
          <w:tblW w:w="8379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63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B30C5" w:rsidRPr="00DF047D" w:rsidP="00773CBC">
            <w:pPr>
              <w:bidi w:val="0"/>
              <w:rPr>
                <w:rFonts w:ascii="Arial Narrow" w:hAnsi="Arial Narrow"/>
                <w:b/>
                <w:bCs/>
                <w:color w:val="000000"/>
              </w:rPr>
            </w:pPr>
            <w:r w:rsidRPr="00DF047D">
              <w:rPr>
                <w:rFonts w:ascii="Arial Narrow" w:hAnsi="Arial Narrow"/>
                <w:b/>
                <w:bCs/>
                <w:color w:val="000000"/>
              </w:rPr>
              <w:t>Celkový vplyv na rozpočet verejnej správy (- príjmy, + výdavky)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B30C5" w:rsidRPr="00DF047D" w:rsidP="00773CBC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DF047D" w:rsidR="004316B0">
              <w:rPr>
                <w:rFonts w:ascii="Arial Narrow" w:hAnsi="Arial Narrow"/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B30C5" w:rsidRPr="00DF047D" w:rsidP="004316B0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DF047D" w:rsidR="004316B0">
              <w:rPr>
                <w:rFonts w:ascii="Arial Narrow" w:hAnsi="Arial Narrow"/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B30C5" w:rsidRPr="00DF047D" w:rsidP="00773CBC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DF047D" w:rsidR="00B9600C">
              <w:rPr>
                <w:rFonts w:ascii="Arial Narrow" w:hAnsi="Arial Narrow"/>
                <w:b/>
                <w:bCs/>
                <w:color w:val="000000"/>
              </w:rPr>
              <w:t>0</w:t>
            </w:r>
          </w:p>
        </w:tc>
      </w:tr>
      <w:tr>
        <w:tblPrEx>
          <w:tblW w:w="8379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B30C5" w:rsidRPr="00DF047D" w:rsidP="00773CBC">
            <w:pPr>
              <w:bidi w:val="0"/>
              <w:ind w:firstLine="480" w:firstLineChars="200"/>
              <w:rPr>
                <w:rFonts w:ascii="Arial Narrow" w:hAnsi="Arial Narrow"/>
                <w:color w:val="000000"/>
              </w:rPr>
            </w:pPr>
            <w:r w:rsidRPr="00DF047D">
              <w:rPr>
                <w:rFonts w:ascii="Arial Narrow" w:hAnsi="Arial Narrow"/>
                <w:color w:val="000000"/>
              </w:rPr>
              <w:t>z toho vplyv na ŠR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B30C5" w:rsidRPr="00DF047D" w:rsidP="00773CBC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 w:rsidR="004316B0">
              <w:rPr>
                <w:rFonts w:ascii="Arial Narrow" w:hAnsi="Arial Narrow"/>
                <w:color w:val="000000"/>
              </w:rPr>
              <w:t>-9 000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B30C5" w:rsidRPr="00DF047D" w:rsidP="00773CBC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 w:rsidR="004316B0">
              <w:rPr>
                <w:rFonts w:ascii="Arial Narrow" w:hAnsi="Arial Narrow"/>
                <w:color w:val="000000"/>
              </w:rPr>
              <w:t>-21 000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B30C5" w:rsidRPr="00DF047D" w:rsidP="00773CBC">
            <w:pPr>
              <w:bidi w:val="0"/>
              <w:jc w:val="right"/>
              <w:rPr>
                <w:rFonts w:ascii="Arial Narrow" w:hAnsi="Arial Narrow"/>
                <w:color w:val="000000"/>
              </w:rPr>
            </w:pPr>
            <w:r w:rsidRPr="00DF047D" w:rsidR="004316B0">
              <w:rPr>
                <w:rFonts w:ascii="Arial Narrow" w:hAnsi="Arial Narrow"/>
                <w:color w:val="000000"/>
              </w:rPr>
              <w:t>-21 600</w:t>
            </w:r>
          </w:p>
        </w:tc>
      </w:tr>
      <w:tr>
        <w:tblPrEx>
          <w:tblW w:w="8379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B30C5" w:rsidRPr="00DF047D" w:rsidP="00773CBC">
            <w:pPr>
              <w:bidi w:val="0"/>
              <w:rPr>
                <w:rFonts w:ascii="Arial Narrow" w:hAnsi="Arial Narrow"/>
                <w:color w:val="000000"/>
              </w:rPr>
            </w:pPr>
            <w:r w:rsidRPr="00DF047D">
              <w:rPr>
                <w:rFonts w:ascii="Arial Narrow" w:hAnsi="Arial Narrow"/>
                <w:color w:val="000000"/>
              </w:rPr>
              <w:t>financovanie zabezpečené v rozpočte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B30C5" w:rsidRPr="00DF047D" w:rsidP="00773CBC">
            <w:pPr>
              <w:bidi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B30C5" w:rsidRPr="00DF047D" w:rsidP="00773CBC">
            <w:pPr>
              <w:bidi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B30C5" w:rsidRPr="00DF047D" w:rsidP="00773CBC">
            <w:pPr>
              <w:bidi w:val="0"/>
              <w:rPr>
                <w:rFonts w:ascii="Arial Narrow" w:hAnsi="Arial Narrow"/>
                <w:color w:val="000000"/>
              </w:rPr>
            </w:pPr>
          </w:p>
        </w:tc>
      </w:tr>
      <w:tr>
        <w:tblPrEx>
          <w:tblW w:w="8379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B30C5" w:rsidRPr="00DF047D" w:rsidP="00773CBC">
            <w:pPr>
              <w:bidi w:val="0"/>
              <w:rPr>
                <w:rFonts w:ascii="Arial Narrow" w:hAnsi="Arial Narrow"/>
                <w:color w:val="000000"/>
              </w:rPr>
            </w:pPr>
            <w:r w:rsidRPr="00DF047D">
              <w:rPr>
                <w:rFonts w:ascii="Arial Narrow" w:hAnsi="Arial Narrow"/>
                <w:color w:val="000000"/>
              </w:rPr>
              <w:t>ostatné zdroje financovania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B30C5" w:rsidRPr="00DF047D" w:rsidP="00773CBC">
            <w:pPr>
              <w:bidi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B30C5" w:rsidRPr="00DF047D" w:rsidP="00773CBC">
            <w:pPr>
              <w:bidi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B30C5" w:rsidRPr="00DF047D" w:rsidP="00773CBC">
            <w:pPr>
              <w:bidi w:val="0"/>
              <w:rPr>
                <w:rFonts w:ascii="Arial Narrow" w:hAnsi="Arial Narrow"/>
                <w:color w:val="000000"/>
              </w:rPr>
            </w:pPr>
          </w:p>
        </w:tc>
      </w:tr>
      <w:tr>
        <w:tblPrEx>
          <w:tblW w:w="8379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B30C5" w:rsidRPr="00DF047D" w:rsidP="00773CBC">
            <w:pPr>
              <w:bidi w:val="0"/>
              <w:rPr>
                <w:rFonts w:ascii="Arial Narrow" w:hAnsi="Arial Narrow"/>
                <w:b/>
                <w:bCs/>
                <w:color w:val="000000"/>
              </w:rPr>
            </w:pPr>
            <w:r w:rsidRPr="00DF047D">
              <w:rPr>
                <w:rFonts w:ascii="Arial Narrow" w:hAnsi="Arial Narrow"/>
                <w:b/>
                <w:bCs/>
                <w:color w:val="000000"/>
              </w:rPr>
              <w:t>Rozpočtovo nekrytý vplyv / úspora 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B30C5" w:rsidRPr="00DF047D" w:rsidP="00773CBC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DF047D" w:rsidR="004316B0">
              <w:rPr>
                <w:rFonts w:ascii="Arial Narrow" w:hAnsi="Arial Narrow"/>
                <w:b/>
                <w:bCs/>
                <w:color w:val="000000"/>
              </w:rPr>
              <w:t>-9 000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B30C5" w:rsidRPr="00DF047D" w:rsidP="004316B0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DF047D" w:rsidR="004316B0">
              <w:rPr>
                <w:rFonts w:ascii="Arial Narrow" w:hAnsi="Arial Narrow"/>
                <w:b/>
                <w:bCs/>
                <w:color w:val="000000"/>
              </w:rPr>
              <w:t>-21 000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B30C5" w:rsidRPr="00DF047D" w:rsidP="00773CBC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DF047D" w:rsidR="004316B0">
              <w:rPr>
                <w:rFonts w:ascii="Arial Narrow" w:hAnsi="Arial Narrow"/>
                <w:b/>
                <w:bCs/>
                <w:color w:val="000000"/>
              </w:rPr>
              <w:t>-21 60</w:t>
            </w:r>
            <w:r w:rsidRPr="00DF047D" w:rsidR="00B9600C">
              <w:rPr>
                <w:rFonts w:ascii="Arial Narrow" w:hAnsi="Arial Narrow"/>
                <w:b/>
                <w:bCs/>
                <w:color w:val="000000"/>
              </w:rPr>
              <w:t>0</w:t>
            </w:r>
          </w:p>
        </w:tc>
      </w:tr>
    </w:tbl>
    <w:p w:rsidR="003237E6" w:rsidRPr="00DF047D" w:rsidP="003237E6">
      <w:pPr>
        <w:bidi w:val="0"/>
        <w:jc w:val="right"/>
        <w:rPr>
          <w:rFonts w:ascii="Arial Narrow" w:hAnsi="Arial Narrow"/>
        </w:rPr>
      </w:pPr>
    </w:p>
    <w:p w:rsidR="003237E6" w:rsidRPr="00DF047D" w:rsidP="003237E6">
      <w:pPr>
        <w:autoSpaceDE w:val="0"/>
        <w:autoSpaceDN w:val="0"/>
        <w:bidi w:val="0"/>
        <w:adjustRightInd w:val="0"/>
        <w:jc w:val="both"/>
        <w:rPr>
          <w:rFonts w:ascii="Arial Narrow" w:hAnsi="Arial Narrow"/>
          <w:b/>
        </w:rPr>
      </w:pPr>
      <w:r w:rsidRPr="00DF047D" w:rsidR="00B9600C">
        <w:rPr>
          <w:rFonts w:ascii="Arial Narrow" w:hAnsi="Arial Narrow"/>
          <w:b/>
        </w:rPr>
        <w:t xml:space="preserve">2.3 </w:t>
      </w:r>
      <w:r w:rsidRPr="00DF047D">
        <w:rPr>
          <w:rFonts w:ascii="Arial Narrow" w:hAnsi="Arial Narrow"/>
          <w:b/>
        </w:rPr>
        <w:t>Kvantifikácia výdavkov</w:t>
      </w:r>
    </w:p>
    <w:p w:rsidR="003237E6" w:rsidRPr="00DF047D" w:rsidP="003237E6">
      <w:pPr>
        <w:autoSpaceDE w:val="0"/>
        <w:autoSpaceDN w:val="0"/>
        <w:bidi w:val="0"/>
        <w:adjustRightInd w:val="0"/>
        <w:ind w:left="360"/>
        <w:jc w:val="both"/>
        <w:rPr>
          <w:rFonts w:ascii="Arial Narrow" w:hAnsi="Arial Narrow"/>
        </w:rPr>
      </w:pPr>
    </w:p>
    <w:p w:rsidR="003237E6" w:rsidRPr="00DF047D" w:rsidP="003237E6">
      <w:pPr>
        <w:autoSpaceDE w:val="0"/>
        <w:autoSpaceDN w:val="0"/>
        <w:bidi w:val="0"/>
        <w:adjustRightInd w:val="0"/>
        <w:jc w:val="both"/>
        <w:rPr>
          <w:rFonts w:ascii="Arial Narrow" w:hAnsi="Arial Narrow"/>
        </w:rPr>
      </w:pPr>
      <w:r w:rsidRPr="00DF047D">
        <w:rPr>
          <w:rFonts w:ascii="Arial Narrow" w:hAnsi="Arial Narrow"/>
        </w:rPr>
        <w:t>Prijatie opatrení v oblasti dani z príjmov nebude mať priamy vplyv na zmenu výdavkov rozpočtu verejnej správy.</w:t>
      </w:r>
      <w:r w:rsidRPr="00DF047D" w:rsidR="004316B0">
        <w:rPr>
          <w:rFonts w:ascii="Arial Narrow" w:hAnsi="Arial Narrow"/>
        </w:rPr>
        <w:t xml:space="preserve"> Bude mať negatívny dopad na štátny rozpočet, ale pozitívny dopad na rozpočty obcí, miest a vyšších </w:t>
      </w:r>
      <w:r w:rsidRPr="00DF047D" w:rsidR="006831E3">
        <w:rPr>
          <w:rFonts w:ascii="Arial Narrow" w:hAnsi="Arial Narrow"/>
        </w:rPr>
        <w:t>územných celkov.</w:t>
      </w:r>
    </w:p>
    <w:p w:rsidR="003237E6" w:rsidRPr="00DF047D" w:rsidP="004A2559">
      <w:pPr>
        <w:autoSpaceDE w:val="0"/>
        <w:autoSpaceDN w:val="0"/>
        <w:bidi w:val="0"/>
        <w:adjustRightInd w:val="0"/>
        <w:jc w:val="right"/>
        <w:rPr>
          <w:rFonts w:ascii="Arial Narrow" w:hAnsi="Arial Narrow"/>
        </w:rPr>
      </w:pPr>
      <w:r w:rsidRPr="00DF047D" w:rsidR="00B9600C">
        <w:rPr>
          <w:rFonts w:ascii="Arial Narrow" w:hAnsi="Arial Narrow"/>
        </w:rPr>
        <w:br w:type="page"/>
      </w:r>
      <w:r w:rsidRPr="00DF047D">
        <w:rPr>
          <w:rFonts w:ascii="Arial Narrow" w:hAnsi="Arial Narrow"/>
        </w:rPr>
        <w:t xml:space="preserve">   Príloha č. </w:t>
      </w:r>
      <w:r w:rsidRPr="00DF047D" w:rsidR="004A2559">
        <w:rPr>
          <w:rFonts w:ascii="Arial Narrow" w:hAnsi="Arial Narrow"/>
        </w:rPr>
        <w:t>2</w:t>
      </w:r>
    </w:p>
    <w:p w:rsidR="003237E6" w:rsidRPr="00DF047D" w:rsidP="003237E6">
      <w:pPr>
        <w:bidi w:val="0"/>
        <w:rPr>
          <w:rFonts w:ascii="Arial Narrow" w:hAnsi="Arial Narrow"/>
        </w:rPr>
      </w:pPr>
    </w:p>
    <w:p w:rsidR="003237E6" w:rsidRPr="00DF047D" w:rsidP="003237E6">
      <w:pPr>
        <w:bidi w:val="0"/>
        <w:rPr>
          <w:rFonts w:ascii="Arial Narrow" w:hAnsi="Arial Narrow"/>
          <w:b/>
          <w:sz w:val="28"/>
          <w:szCs w:val="28"/>
        </w:rPr>
      </w:pPr>
      <w:r w:rsidRPr="00DF047D">
        <w:rPr>
          <w:rFonts w:ascii="Arial Narrow" w:hAnsi="Arial Narrow"/>
          <w:b/>
          <w:sz w:val="28"/>
          <w:szCs w:val="28"/>
        </w:rPr>
        <w:t>Sociálne vplyvy - vplyvy na hospodárenie obyvateľstva, sociálnu exklúziu, rovnosť príležitostí a rodovú rovnosť  a na zamestnanosť</w:t>
      </w:r>
    </w:p>
    <w:p w:rsidR="003237E6" w:rsidRPr="00DF047D" w:rsidP="003237E6">
      <w:pPr>
        <w:bidi w:val="0"/>
        <w:rPr>
          <w:rFonts w:ascii="Arial Narrow" w:hAnsi="Arial Narrow"/>
          <w:b/>
          <w:bCs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225"/>
        <w:gridCol w:w="479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3237E6" w:rsidRPr="00DF047D" w:rsidP="00C52B5D">
            <w:pPr>
              <w:bidi w:val="0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 w:rsidRPr="00DF047D">
              <w:rPr>
                <w:rFonts w:ascii="Arial Narrow" w:hAnsi="Arial Narrow"/>
                <w:b/>
                <w:bCs/>
                <w:color w:val="FFFFFF"/>
              </w:rPr>
              <w:t>Sociálne vplyvy predkladaného materiálu -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237E6" w:rsidRPr="00DF047D" w:rsidP="00773CBC">
            <w:pPr>
              <w:bidi w:val="0"/>
              <w:rPr>
                <w:rFonts w:ascii="Arial Narrow" w:hAnsi="Arial Narrow"/>
              </w:rPr>
            </w:pPr>
            <w:r w:rsidRPr="00DF047D">
              <w:rPr>
                <w:rFonts w:ascii="Arial Narrow" w:hAnsi="Arial Narrow"/>
                <w:b/>
              </w:rPr>
              <w:t>4.1.</w:t>
            </w:r>
            <w:r w:rsidRPr="00DF047D">
              <w:rPr>
                <w:rFonts w:ascii="Arial Narrow" w:hAnsi="Arial Narrow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237E6" w:rsidRPr="00DF047D" w:rsidP="006831E3">
            <w:pPr>
              <w:bidi w:val="0"/>
              <w:rPr>
                <w:rFonts w:ascii="Arial Narrow" w:hAnsi="Arial Narrow"/>
              </w:rPr>
            </w:pPr>
            <w:r w:rsidRPr="00DF047D" w:rsidR="00C403DC">
              <w:rPr>
                <w:rFonts w:ascii="Arial Narrow" w:hAnsi="Arial Narrow"/>
              </w:rPr>
              <w:t xml:space="preserve">Zníženie nákladov domácností, </w:t>
            </w:r>
            <w:r w:rsidRPr="00DF047D" w:rsidR="006831E3">
              <w:rPr>
                <w:rFonts w:ascii="Arial Narrow" w:hAnsi="Arial Narrow"/>
              </w:rPr>
              <w:t>daňami a poplatkami vyrubovanými obcami, mestami a vyššími územnými celkami v roku 2012 a nasledujúcich rokoch</w:t>
            </w:r>
            <w:r w:rsidRPr="00DF047D" w:rsidR="00C403DC">
              <w:rPr>
                <w:rFonts w:ascii="Arial Narrow" w:hAnsi="Arial Narrow"/>
              </w:rPr>
              <w:t>, o</w:t>
            </w:r>
            <w:r w:rsidRPr="00DF047D" w:rsidR="006831E3">
              <w:rPr>
                <w:rFonts w:ascii="Arial Narrow" w:hAnsi="Arial Narrow"/>
              </w:rPr>
              <w:t> cca 11 mil.</w:t>
            </w:r>
            <w:r w:rsidRPr="00DF047D" w:rsidR="00C403DC">
              <w:rPr>
                <w:rFonts w:ascii="Arial Narrow" w:hAnsi="Arial Narrow"/>
              </w:rPr>
              <w:t xml:space="preserve"> EUR</w:t>
            </w:r>
            <w:r w:rsidRPr="00DF047D" w:rsidR="006831E3">
              <w:rPr>
                <w:rFonts w:ascii="Arial Narrow" w:hAnsi="Arial Narrow"/>
              </w:rPr>
              <w:t xml:space="preserve"> ročne</w:t>
            </w:r>
            <w:r w:rsidRPr="00DF047D" w:rsidR="00C403DC">
              <w:rPr>
                <w:rFonts w:ascii="Arial Narrow" w:hAnsi="Arial Narrow"/>
              </w:rPr>
              <w:t>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852A8" w:rsidRPr="00DF047D" w:rsidP="00773CBC">
            <w:pPr>
              <w:bidi w:val="0"/>
              <w:rPr>
                <w:rFonts w:ascii="Arial Narrow" w:hAnsi="Arial Narrow"/>
                <w:i/>
              </w:rPr>
            </w:pPr>
            <w:r w:rsidRPr="00DF047D">
              <w:rPr>
                <w:rFonts w:ascii="Arial Narrow" w:hAnsi="Arial Narrow"/>
                <w:i/>
              </w:rPr>
              <w:t xml:space="preserve">Kvantifikujte: </w:t>
            </w:r>
          </w:p>
        </w:tc>
        <w:tc>
          <w:tcPr>
            <w:tcW w:w="47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2A8" w:rsidRPr="00DF047D" w:rsidP="002641E6">
            <w:pPr>
              <w:numPr>
                <w:numId w:val="16"/>
              </w:numPr>
              <w:tabs>
                <w:tab w:val="left" w:pos="328"/>
              </w:tabs>
              <w:bidi w:val="0"/>
              <w:ind w:left="328"/>
              <w:rPr>
                <w:rFonts w:ascii="Arial Narrow" w:hAnsi="Arial Narrow"/>
                <w:i/>
              </w:rPr>
            </w:pPr>
            <w:r w:rsidRPr="00DF047D">
              <w:rPr>
                <w:rFonts w:ascii="Arial Narrow" w:hAnsi="Arial Narrow"/>
                <w:i/>
              </w:rPr>
              <w:t xml:space="preserve">Rast príjmov na priemerného obyvateľa </w:t>
            </w:r>
            <w:r w:rsidRPr="00DF047D" w:rsidR="00DF047D">
              <w:rPr>
                <w:rFonts w:ascii="Arial Narrow" w:hAnsi="Arial Narrow"/>
                <w:i/>
              </w:rPr>
              <w:t xml:space="preserve">je </w:t>
            </w:r>
            <w:r w:rsidRPr="00DF047D">
              <w:rPr>
                <w:rFonts w:ascii="Arial Narrow" w:hAnsi="Arial Narrow"/>
                <w:i/>
              </w:rPr>
              <w:t>cca 2 EUR ročne.</w:t>
            </w:r>
          </w:p>
          <w:p w:rsidR="00E852A8" w:rsidRPr="00DF047D" w:rsidP="002641E6">
            <w:pPr>
              <w:numPr>
                <w:numId w:val="16"/>
              </w:numPr>
              <w:tabs>
                <w:tab w:val="left" w:pos="328"/>
              </w:tabs>
              <w:bidi w:val="0"/>
              <w:ind w:left="328"/>
              <w:rPr>
                <w:rFonts w:ascii="Arial Narrow" w:hAnsi="Arial Narrow"/>
                <w:i/>
              </w:rPr>
            </w:pPr>
            <w:r w:rsidRPr="00DF047D">
              <w:rPr>
                <w:rFonts w:ascii="Arial Narrow" w:hAnsi="Arial Narrow"/>
                <w:i/>
              </w:rPr>
              <w:t>Rast príjmov sa bude dotý</w:t>
            </w:r>
            <w:r w:rsidRPr="00DF047D" w:rsidR="00DF047D">
              <w:rPr>
                <w:rFonts w:ascii="Arial Narrow" w:hAnsi="Arial Narrow"/>
                <w:i/>
              </w:rPr>
              <w:t>kať všetkých skupín obyvateľstva. P</w:t>
            </w:r>
            <w:r w:rsidRPr="00DF047D">
              <w:rPr>
                <w:rFonts w:ascii="Arial Narrow" w:hAnsi="Arial Narrow"/>
                <w:i/>
              </w:rPr>
              <w:t>redpokladáme pozitívnejší dopad na sociálne slabšie domácnosti (podľa rozhodnutí územnej samosprávy pri stanovovaní daní a poplatkov a príslušných úľav).</w:t>
            </w:r>
          </w:p>
          <w:p w:rsidR="00E852A8" w:rsidRPr="00DF047D" w:rsidP="00E852A8">
            <w:pPr>
              <w:numPr>
                <w:numId w:val="16"/>
              </w:numPr>
              <w:tabs>
                <w:tab w:val="left" w:pos="328"/>
              </w:tabs>
              <w:bidi w:val="0"/>
              <w:ind w:left="328"/>
              <w:rPr>
                <w:rFonts w:ascii="Arial Narrow" w:hAnsi="Arial Narrow"/>
                <w:i/>
              </w:rPr>
            </w:pPr>
            <w:r w:rsidRPr="00DF047D">
              <w:rPr>
                <w:rFonts w:ascii="Arial Narrow" w:hAnsi="Arial Narrow"/>
                <w:i/>
              </w:rPr>
              <w:t>Celkový počet obyvateľov ovplyvnených predkladaným materiálom je cca 5 450 000 a počet domácností domácností je cca 1 910 000.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852A8" w:rsidRPr="00DF047D" w:rsidP="003237E6">
            <w:pPr>
              <w:numPr>
                <w:numId w:val="16"/>
              </w:numPr>
              <w:tabs>
                <w:tab w:val="left" w:pos="328"/>
              </w:tabs>
              <w:bidi w:val="0"/>
              <w:ind w:left="328"/>
              <w:rPr>
                <w:rFonts w:ascii="Arial Narrow" w:hAnsi="Arial Narrow"/>
                <w:i/>
              </w:rPr>
            </w:pPr>
            <w:r w:rsidRPr="00DF047D">
              <w:rPr>
                <w:rFonts w:ascii="Arial Narrow" w:hAnsi="Arial Narrow"/>
                <w:i/>
              </w:rPr>
              <w:t>Rast alebo pokles príjmov/výdavkov            na priemerného obyvateľa</w:t>
            </w:r>
          </w:p>
        </w:tc>
        <w:tc>
          <w:tcPr>
            <w:tcW w:w="4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2A8" w:rsidRPr="00DF047D" w:rsidP="00773CBC">
            <w:pPr>
              <w:bidi w:val="0"/>
              <w:jc w:val="both"/>
              <w:rPr>
                <w:rFonts w:ascii="Arial Narrow" w:hAnsi="Arial Narrow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852A8" w:rsidRPr="00DF047D" w:rsidP="003237E6">
            <w:pPr>
              <w:numPr>
                <w:numId w:val="16"/>
              </w:numPr>
              <w:tabs>
                <w:tab w:val="left" w:pos="328"/>
              </w:tabs>
              <w:bidi w:val="0"/>
              <w:ind w:left="328"/>
              <w:rPr>
                <w:rFonts w:ascii="Arial Narrow" w:hAnsi="Arial Narrow"/>
                <w:i/>
              </w:rPr>
            </w:pPr>
            <w:r w:rsidRPr="00DF047D">
              <w:rPr>
                <w:rFonts w:ascii="Arial Narrow" w:hAnsi="Arial Narrow"/>
                <w:i/>
              </w:rPr>
              <w:t>Rast alebo pokles príjmov/výdavkov                  za jednotlivé ovplyvnené  skupiny domácností</w:t>
            </w:r>
          </w:p>
          <w:p w:rsidR="00E852A8" w:rsidRPr="00DF047D" w:rsidP="003237E6">
            <w:pPr>
              <w:numPr>
                <w:numId w:val="16"/>
              </w:numPr>
              <w:tabs>
                <w:tab w:val="left" w:pos="328"/>
              </w:tabs>
              <w:bidi w:val="0"/>
              <w:ind w:left="328"/>
              <w:rPr>
                <w:rFonts w:ascii="Arial Narrow" w:hAnsi="Arial Narrow"/>
                <w:i/>
              </w:rPr>
            </w:pPr>
            <w:r w:rsidRPr="00DF047D">
              <w:rPr>
                <w:rFonts w:ascii="Arial Narrow" w:hAnsi="Arial Narrow"/>
                <w:i/>
              </w:rPr>
              <w:t>Celkový počet obyvateľstva/domácností ovplyvnených predkladaným materiálom</w:t>
            </w:r>
          </w:p>
        </w:tc>
        <w:tc>
          <w:tcPr>
            <w:tcW w:w="4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2A8" w:rsidRPr="00DF047D" w:rsidP="00773CBC">
            <w:pPr>
              <w:bidi w:val="0"/>
              <w:jc w:val="both"/>
              <w:rPr>
                <w:rFonts w:ascii="Arial Narrow" w:hAnsi="Arial Narrow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852A8" w:rsidRPr="00DF047D" w:rsidP="00773CBC">
            <w:pPr>
              <w:bidi w:val="0"/>
              <w:ind w:firstLine="720" w:firstLineChars="300"/>
              <w:rPr>
                <w:rFonts w:ascii="Arial Narrow" w:hAnsi="Arial Narrow"/>
              </w:rPr>
            </w:pPr>
          </w:p>
        </w:tc>
        <w:tc>
          <w:tcPr>
            <w:tcW w:w="4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2A8" w:rsidRPr="00DF047D" w:rsidP="00773CBC">
            <w:pPr>
              <w:bidi w:val="0"/>
              <w:jc w:val="both"/>
              <w:rPr>
                <w:rFonts w:ascii="Arial Narrow" w:hAnsi="Arial Narrow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2A8" w:rsidRPr="00DF047D" w:rsidP="00773CBC">
            <w:pPr>
              <w:bidi w:val="0"/>
              <w:rPr>
                <w:rFonts w:ascii="Arial Narrow" w:hAnsi="Arial Narrow"/>
              </w:rPr>
            </w:pPr>
            <w:r w:rsidRPr="00DF047D">
              <w:rPr>
                <w:rFonts w:ascii="Arial Narrow" w:hAnsi="Arial Narrow"/>
                <w:b/>
              </w:rPr>
              <w:t>4.2.</w:t>
            </w:r>
            <w:r w:rsidRPr="00DF047D">
              <w:rPr>
                <w:rFonts w:ascii="Arial Narrow" w:hAnsi="Arial Narrow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852A8" w:rsidRPr="00DF047D" w:rsidP="00C403DC">
            <w:pPr>
              <w:bidi w:val="0"/>
              <w:rPr>
                <w:rFonts w:ascii="Arial Narrow" w:hAnsi="Arial Narrow"/>
              </w:rPr>
            </w:pPr>
            <w:r w:rsidRPr="00DF047D">
              <w:rPr>
                <w:rFonts w:ascii="Arial Narrow" w:hAnsi="Arial Narrow"/>
              </w:rPr>
              <w:t xml:space="preserve">Nepredpokladá sa vplyv na prístup k zdrojom, právam, tovarom a službám.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2A8" w:rsidRPr="00DF047D" w:rsidP="00773CBC">
            <w:pPr>
              <w:bidi w:val="0"/>
              <w:rPr>
                <w:rFonts w:ascii="Arial Narrow" w:hAnsi="Arial Narrow"/>
              </w:rPr>
            </w:pPr>
            <w:r w:rsidRPr="00DF047D">
              <w:rPr>
                <w:rFonts w:ascii="Arial Narrow" w:hAnsi="Arial Narrow"/>
                <w:b/>
              </w:rPr>
              <w:t>4.3.</w:t>
            </w:r>
            <w:r w:rsidRPr="00DF047D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DF047D">
              <w:rPr>
                <w:rFonts w:ascii="Arial Narrow" w:hAnsi="Arial Narrow"/>
              </w:rPr>
              <w:t>Zhodnoťte vplyv na rovnosť príležitostí:</w:t>
            </w:r>
          </w:p>
          <w:p w:rsidR="00E852A8" w:rsidRPr="00DF047D" w:rsidP="00773CBC">
            <w:pPr>
              <w:bidi w:val="0"/>
              <w:rPr>
                <w:rFonts w:ascii="Arial Narrow" w:hAnsi="Arial Narrow"/>
              </w:rPr>
            </w:pPr>
          </w:p>
          <w:p w:rsidR="00E852A8" w:rsidRPr="00DF047D" w:rsidP="00773CBC">
            <w:pPr>
              <w:bidi w:val="0"/>
              <w:rPr>
                <w:rFonts w:ascii="Arial Narrow" w:hAnsi="Arial Narrow"/>
              </w:rPr>
            </w:pPr>
            <w:r w:rsidRPr="00DF047D">
              <w:rPr>
                <w:rFonts w:ascii="Arial Narrow" w:hAnsi="Arial Narrow"/>
              </w:rPr>
              <w:t>Zhodnoťte vplyv na rodovú rovnosť.</w:t>
            </w:r>
          </w:p>
          <w:p w:rsidR="00E852A8" w:rsidRPr="00DF047D" w:rsidP="00773CBC">
            <w:pPr>
              <w:bidi w:val="0"/>
              <w:rPr>
                <w:rFonts w:ascii="Arial Narrow" w:hAnsi="Arial Narrow"/>
              </w:rPr>
            </w:pP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852A8" w:rsidRPr="00DF047D" w:rsidP="00C403DC">
            <w:pPr>
              <w:bidi w:val="0"/>
              <w:rPr>
                <w:rFonts w:ascii="Arial Narrow" w:hAnsi="Arial Narrow"/>
              </w:rPr>
            </w:pPr>
            <w:r w:rsidRPr="00DF047D">
              <w:rPr>
                <w:rFonts w:ascii="Arial Narrow" w:hAnsi="Arial Narrow"/>
              </w:rPr>
              <w:t>Nepredpokladá sa vplyv na rodovú rovnosť.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2A8" w:rsidRPr="00DF047D" w:rsidP="00773CBC">
            <w:pPr>
              <w:bidi w:val="0"/>
              <w:rPr>
                <w:rFonts w:ascii="Arial Narrow" w:hAnsi="Arial Narrow"/>
              </w:rPr>
            </w:pPr>
            <w:r w:rsidRPr="00DF047D">
              <w:rPr>
                <w:rFonts w:ascii="Arial Narrow" w:hAnsi="Arial Narrow"/>
                <w:b/>
              </w:rPr>
              <w:t xml:space="preserve">4.4. </w:t>
            </w:r>
            <w:r w:rsidRPr="00DF047D">
              <w:rPr>
                <w:rFonts w:ascii="Arial Narrow" w:hAnsi="Arial Narrow"/>
              </w:rPr>
              <w:t>Zhodnoťte vplyvy na zamestnanosť.</w:t>
            </w:r>
          </w:p>
          <w:p w:rsidR="00E852A8" w:rsidRPr="00DF047D" w:rsidP="00773CBC">
            <w:pPr>
              <w:bidi w:val="0"/>
              <w:rPr>
                <w:rFonts w:ascii="Arial Narrow" w:hAnsi="Arial Narrow"/>
                <w:b/>
              </w:rPr>
            </w:pPr>
          </w:p>
          <w:p w:rsidR="00E852A8" w:rsidRPr="00DF047D" w:rsidP="00773CBC">
            <w:pPr>
              <w:bidi w:val="0"/>
              <w:rPr>
                <w:rFonts w:ascii="Arial Narrow" w:hAnsi="Arial Narrow"/>
                <w:bCs/>
              </w:rPr>
            </w:pPr>
            <w:r w:rsidRPr="00DF047D">
              <w:rPr>
                <w:rFonts w:ascii="Arial Narrow" w:hAnsi="Arial Narrow"/>
                <w:bCs/>
              </w:rPr>
              <w:t>Aké sú  vplyvy na zamestnanosť ?</w:t>
            </w:r>
          </w:p>
          <w:p w:rsidR="00E852A8" w:rsidRPr="00DF047D" w:rsidP="00773CBC">
            <w:pPr>
              <w:bidi w:val="0"/>
              <w:rPr>
                <w:rFonts w:ascii="Arial Narrow" w:hAnsi="Arial Narrow"/>
              </w:rPr>
            </w:pPr>
            <w:r w:rsidRPr="00DF047D">
              <w:rPr>
                <w:rFonts w:ascii="Arial Narrow" w:hAnsi="Arial Narrow"/>
                <w:bCs/>
              </w:rPr>
              <w:t>Ktoré skupiny zamestnancov budú ohrozené schválením predkladaného materiálu ?</w:t>
            </w:r>
          </w:p>
          <w:p w:rsidR="00E852A8" w:rsidRPr="00DF047D" w:rsidP="00773CBC">
            <w:pPr>
              <w:bidi w:val="0"/>
              <w:rPr>
                <w:rFonts w:ascii="Arial Narrow" w:hAnsi="Arial Narrow"/>
                <w:bCs/>
              </w:rPr>
            </w:pPr>
            <w:r w:rsidRPr="00DF047D">
              <w:rPr>
                <w:rFonts w:ascii="Arial Narrow" w:hAnsi="Arial Narrow"/>
                <w:bCs/>
              </w:rPr>
              <w:t>Hrozí v prípade schválenia predkladaného materiálu hromadné prepúšťanie ?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852A8" w:rsidRPr="00DF047D" w:rsidP="00C403DC">
            <w:pPr>
              <w:bidi w:val="0"/>
              <w:rPr>
                <w:rFonts w:ascii="Arial Narrow" w:hAnsi="Arial Narrow"/>
              </w:rPr>
            </w:pPr>
            <w:r w:rsidRPr="00DF047D">
              <w:rPr>
                <w:rFonts w:ascii="Arial Narrow" w:hAnsi="Arial Narrow"/>
              </w:rPr>
              <w:t>Nepredpokladá sa vplyv na zamestnanosť.</w:t>
            </w:r>
          </w:p>
        </w:tc>
      </w:tr>
    </w:tbl>
    <w:p w:rsidR="004A2559" w:rsidRPr="00DF047D" w:rsidP="004A2559">
      <w:pPr>
        <w:bidi w:val="0"/>
        <w:jc w:val="both"/>
        <w:rPr>
          <w:rFonts w:ascii="Arial Narrow" w:hAnsi="Arial Narrow"/>
        </w:rPr>
      </w:pPr>
    </w:p>
    <w:p w:rsidR="006831E3" w:rsidRPr="00DF047D" w:rsidP="004A2559">
      <w:pPr>
        <w:bidi w:val="0"/>
        <w:jc w:val="both"/>
        <w:rPr>
          <w:rFonts w:ascii="Arial Narrow" w:hAnsi="Arial Narrow"/>
          <w:b/>
          <w:i/>
        </w:rPr>
      </w:pPr>
      <w:r w:rsidRPr="00DF047D">
        <w:rPr>
          <w:rFonts w:ascii="Arial Narrow" w:hAnsi="Arial Narrow"/>
          <w:b/>
          <w:i/>
        </w:rPr>
        <w:t>Poznámka:</w:t>
      </w:r>
    </w:p>
    <w:p w:rsidR="006831E3" w:rsidRPr="00DF047D" w:rsidP="004A2559">
      <w:pPr>
        <w:bidi w:val="0"/>
        <w:jc w:val="both"/>
        <w:rPr>
          <w:rFonts w:ascii="Arial Narrow" w:hAnsi="Arial Narrow"/>
          <w:i/>
        </w:rPr>
      </w:pPr>
      <w:r w:rsidRPr="00DF047D">
        <w:rPr>
          <w:rFonts w:ascii="Arial Narrow" w:hAnsi="Arial Narrow"/>
          <w:i/>
        </w:rPr>
        <w:t>Pri zaťažení domácností sa predpokladá približne rovnaký dopad zmeny zákona na domácnosti a podnikateľský sektor.</w:t>
      </w:r>
    </w:p>
    <w:p w:rsidR="004A2559" w:rsidRPr="00DF047D" w:rsidP="004A2559">
      <w:pPr>
        <w:bidi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DF047D">
        <w:rPr>
          <w:rFonts w:ascii="Arial Narrow" w:hAnsi="Arial Narrow"/>
        </w:rPr>
        <w:br w:type="page"/>
      </w:r>
      <w:r w:rsidRPr="00DF047D">
        <w:rPr>
          <w:rFonts w:ascii="Arial Narrow" w:hAnsi="Arial Narrow"/>
          <w:b/>
          <w:bCs/>
          <w:sz w:val="28"/>
          <w:szCs w:val="28"/>
        </w:rPr>
        <w:t>DOLOŽKA ZLUČITEĽNOSTI</w:t>
      </w:r>
    </w:p>
    <w:p w:rsidR="004A2559" w:rsidRPr="00DF047D" w:rsidP="00BC594D">
      <w:pPr>
        <w:bidi w:val="0"/>
        <w:jc w:val="center"/>
        <w:rPr>
          <w:rFonts w:ascii="Arial Narrow" w:hAnsi="Arial Narrow"/>
          <w:b/>
          <w:bCs/>
        </w:rPr>
      </w:pPr>
      <w:r w:rsidRPr="00DF047D">
        <w:rPr>
          <w:rFonts w:ascii="Arial Narrow" w:hAnsi="Arial Narrow"/>
          <w:b/>
          <w:bCs/>
        </w:rPr>
        <w:t xml:space="preserve">návrhu zákona, </w:t>
      </w:r>
      <w:r w:rsidRPr="00DF047D">
        <w:rPr>
          <w:rFonts w:ascii="Arial Narrow" w:hAnsi="Arial Narrow"/>
          <w:b/>
        </w:rPr>
        <w:t>ktorým sa</w:t>
      </w:r>
      <w:r w:rsidR="00C52B5D">
        <w:rPr>
          <w:rFonts w:ascii="Arial Narrow" w:hAnsi="Arial Narrow"/>
          <w:b/>
        </w:rPr>
        <w:t xml:space="preserve"> mení a </w:t>
      </w:r>
      <w:r w:rsidRPr="00DF047D">
        <w:rPr>
          <w:rFonts w:ascii="Arial Narrow" w:hAnsi="Arial Narrow"/>
          <w:b/>
        </w:rPr>
        <w:t>dopĺňa zákon č. 595/2003 Z. z. o dani z príjmov v znení neskorších predpisov</w:t>
      </w:r>
      <w:r w:rsidRPr="00DF047D" w:rsidR="00BC594D">
        <w:rPr>
          <w:rFonts w:ascii="Arial Narrow" w:hAnsi="Arial Narrow"/>
          <w:b/>
        </w:rPr>
        <w:t xml:space="preserve"> </w:t>
      </w:r>
      <w:r w:rsidRPr="00DF047D">
        <w:rPr>
          <w:rFonts w:ascii="Arial Narrow" w:hAnsi="Arial Narrow"/>
          <w:b/>
          <w:bCs/>
        </w:rPr>
        <w:t>s právom Európskej únie</w:t>
      </w:r>
    </w:p>
    <w:p w:rsidR="004A2559" w:rsidRPr="00DF047D" w:rsidP="004A2559">
      <w:pPr>
        <w:bidi w:val="0"/>
        <w:rPr>
          <w:rFonts w:ascii="Arial Narrow" w:hAnsi="Arial Narrow"/>
          <w:b/>
          <w:bCs/>
        </w:rPr>
      </w:pPr>
    </w:p>
    <w:p w:rsidR="003763FD" w:rsidRPr="00DF047D" w:rsidP="004A2559">
      <w:pPr>
        <w:bidi w:val="0"/>
        <w:rPr>
          <w:rFonts w:ascii="Arial Narrow" w:hAnsi="Arial Narrow"/>
          <w:b/>
          <w:bCs/>
        </w:rPr>
      </w:pPr>
    </w:p>
    <w:p w:rsidR="004A2559" w:rsidRPr="00DF047D" w:rsidP="003763FD">
      <w:pPr>
        <w:numPr>
          <w:numId w:val="23"/>
        </w:numPr>
        <w:bidi w:val="0"/>
        <w:spacing w:before="120" w:after="120"/>
        <w:jc w:val="both"/>
        <w:rPr>
          <w:rFonts w:ascii="Arial Narrow" w:hAnsi="Arial Narrow"/>
        </w:rPr>
      </w:pPr>
      <w:r w:rsidRPr="00DF047D">
        <w:rPr>
          <w:rFonts w:ascii="Arial Narrow" w:hAnsi="Arial Narrow"/>
          <w:bCs/>
        </w:rPr>
        <w:t>Predkladateľ zákona:</w:t>
      </w:r>
    </w:p>
    <w:p w:rsidR="00DF047D" w:rsidP="00D261FF">
      <w:pPr>
        <w:tabs>
          <w:tab w:val="left" w:pos="2160"/>
        </w:tabs>
        <w:bidi w:val="0"/>
        <w:ind w:left="425"/>
        <w:jc w:val="both"/>
        <w:rPr>
          <w:rFonts w:ascii="Arial Narrow" w:hAnsi="Arial Narrow"/>
          <w:b/>
        </w:rPr>
      </w:pPr>
      <w:r w:rsidRPr="00DF047D" w:rsidR="00D261FF">
        <w:rPr>
          <w:rFonts w:ascii="Arial Narrow" w:hAnsi="Arial Narrow"/>
          <w:b/>
        </w:rPr>
        <w:t>Skupina p</w:t>
      </w:r>
      <w:r w:rsidRPr="00DF047D" w:rsidR="004A2559">
        <w:rPr>
          <w:rFonts w:ascii="Arial Narrow" w:hAnsi="Arial Narrow"/>
          <w:b/>
        </w:rPr>
        <w:t>oslanc</w:t>
      </w:r>
      <w:r w:rsidRPr="00DF047D" w:rsidR="00D261FF">
        <w:rPr>
          <w:rFonts w:ascii="Arial Narrow" w:hAnsi="Arial Narrow"/>
          <w:b/>
        </w:rPr>
        <w:t>ov</w:t>
      </w:r>
      <w:r w:rsidRPr="00DF047D" w:rsidR="004A2559">
        <w:rPr>
          <w:rFonts w:ascii="Arial Narrow" w:hAnsi="Arial Narrow"/>
          <w:b/>
        </w:rPr>
        <w:t xml:space="preserve"> NR SR Ľubomír Petrák</w:t>
      </w:r>
      <w:r w:rsidRPr="00DF047D" w:rsidR="00D261FF">
        <w:rPr>
          <w:rFonts w:ascii="Arial Narrow" w:hAnsi="Arial Narrow"/>
          <w:b/>
        </w:rPr>
        <w:t>, Igor Choma, Richard Raši, Jana Vaľová,</w:t>
      </w:r>
    </w:p>
    <w:p w:rsidR="00D261FF" w:rsidRPr="00DF047D" w:rsidP="00D261FF">
      <w:pPr>
        <w:tabs>
          <w:tab w:val="left" w:pos="2160"/>
        </w:tabs>
        <w:bidi w:val="0"/>
        <w:ind w:left="425"/>
        <w:jc w:val="both"/>
        <w:rPr>
          <w:rFonts w:ascii="Arial Narrow" w:hAnsi="Arial Narrow"/>
          <w:b/>
        </w:rPr>
      </w:pPr>
      <w:r w:rsidRPr="00DF047D">
        <w:rPr>
          <w:rFonts w:ascii="Arial Narrow" w:hAnsi="Arial Narrow"/>
          <w:b/>
        </w:rPr>
        <w:t>Dušan</w:t>
      </w:r>
      <w:r w:rsidR="00DF047D">
        <w:rPr>
          <w:rFonts w:ascii="Arial Narrow" w:hAnsi="Arial Narrow"/>
          <w:b/>
        </w:rPr>
        <w:t> </w:t>
      </w:r>
      <w:r w:rsidRPr="00DF047D">
        <w:rPr>
          <w:rFonts w:ascii="Arial Narrow" w:hAnsi="Arial Narrow"/>
          <w:b/>
        </w:rPr>
        <w:t>Bublavý a Ján Podmanický.</w:t>
      </w:r>
    </w:p>
    <w:p w:rsidR="004A2559" w:rsidRPr="00DF047D" w:rsidP="004A2559">
      <w:pPr>
        <w:bidi w:val="0"/>
        <w:ind w:firstLine="425"/>
        <w:jc w:val="both"/>
        <w:rPr>
          <w:rFonts w:ascii="Arial Narrow" w:hAnsi="Arial Narrow"/>
          <w:b/>
        </w:rPr>
      </w:pPr>
    </w:p>
    <w:p w:rsidR="004A2559" w:rsidRPr="00DF047D" w:rsidP="003763FD">
      <w:pPr>
        <w:numPr>
          <w:numId w:val="23"/>
        </w:numPr>
        <w:bidi w:val="0"/>
        <w:spacing w:before="120" w:after="120"/>
        <w:jc w:val="both"/>
        <w:rPr>
          <w:rFonts w:ascii="Arial Narrow" w:hAnsi="Arial Narrow"/>
          <w:bCs/>
        </w:rPr>
      </w:pPr>
      <w:r w:rsidRPr="00DF047D">
        <w:rPr>
          <w:rFonts w:ascii="Arial Narrow" w:hAnsi="Arial Narrow"/>
          <w:bCs/>
        </w:rPr>
        <w:t>Názov návrhu zákona:</w:t>
      </w:r>
    </w:p>
    <w:p w:rsidR="004A2559" w:rsidRPr="00DF047D" w:rsidP="004A646E">
      <w:pPr>
        <w:bidi w:val="0"/>
        <w:ind w:left="425"/>
        <w:jc w:val="both"/>
        <w:rPr>
          <w:rFonts w:ascii="Arial Narrow" w:hAnsi="Arial Narrow"/>
          <w:b/>
        </w:rPr>
      </w:pPr>
      <w:r w:rsidRPr="00DF047D">
        <w:rPr>
          <w:rFonts w:ascii="Arial Narrow" w:hAnsi="Arial Narrow"/>
          <w:b/>
        </w:rPr>
        <w:t xml:space="preserve">Návrh zákona, ktorým sa </w:t>
      </w:r>
      <w:r w:rsidR="00C52B5D">
        <w:rPr>
          <w:rFonts w:ascii="Arial Narrow" w:hAnsi="Arial Narrow"/>
          <w:b/>
        </w:rPr>
        <w:t xml:space="preserve">mení a </w:t>
      </w:r>
      <w:r w:rsidRPr="00DF047D">
        <w:rPr>
          <w:rFonts w:ascii="Arial Narrow" w:hAnsi="Arial Narrow"/>
          <w:b/>
        </w:rPr>
        <w:t>dopĺňa zákon č. 595/2003 Z. z. o dani z príjm</w:t>
      </w:r>
      <w:r w:rsidRPr="00DF047D" w:rsidR="004A646E">
        <w:rPr>
          <w:rFonts w:ascii="Arial Narrow" w:hAnsi="Arial Narrow"/>
          <w:b/>
        </w:rPr>
        <w:t>ov v znení neskorších predpisov</w:t>
      </w:r>
    </w:p>
    <w:p w:rsidR="004A2559" w:rsidRPr="00DF047D" w:rsidP="003763FD">
      <w:pPr>
        <w:numPr>
          <w:numId w:val="23"/>
        </w:numPr>
        <w:bidi w:val="0"/>
        <w:spacing w:before="120" w:after="120"/>
        <w:jc w:val="both"/>
        <w:rPr>
          <w:rFonts w:ascii="Arial Narrow" w:hAnsi="Arial Narrow"/>
          <w:bCs/>
        </w:rPr>
      </w:pPr>
      <w:r w:rsidRPr="00DF047D" w:rsidR="004A646E">
        <w:rPr>
          <w:rFonts w:ascii="Arial Narrow" w:hAnsi="Arial Narrow"/>
          <w:bCs/>
        </w:rPr>
        <w:t>Problematika návrhu zákona:</w:t>
      </w:r>
    </w:p>
    <w:p w:rsidR="004A646E" w:rsidRPr="00DF047D" w:rsidP="004A646E">
      <w:pPr>
        <w:widowControl w:val="0"/>
        <w:numPr>
          <w:ilvl w:val="1"/>
          <w:numId w:val="23"/>
        </w:numPr>
        <w:shd w:val="clear" w:color="auto" w:fill="FFFFFF"/>
        <w:autoSpaceDE w:val="0"/>
        <w:autoSpaceDN w:val="0"/>
        <w:bidi w:val="0"/>
        <w:adjustRightInd w:val="0"/>
        <w:jc w:val="both"/>
        <w:rPr>
          <w:rFonts w:ascii="Arial Narrow" w:hAnsi="Arial Narrow"/>
          <w:b/>
          <w:bCs/>
          <w:color w:val="000000"/>
        </w:rPr>
      </w:pPr>
      <w:r w:rsidRPr="00DF047D">
        <w:rPr>
          <w:rFonts w:ascii="Arial Narrow" w:hAnsi="Arial Narrow"/>
          <w:b/>
          <w:bCs/>
          <w:color w:val="000000"/>
          <w:spacing w:val="-3"/>
        </w:rPr>
        <w:t>nie je upravená v práve Európskej únie</w:t>
      </w:r>
    </w:p>
    <w:p w:rsidR="004A646E" w:rsidRPr="00DF047D" w:rsidP="004A646E">
      <w:pPr>
        <w:widowControl w:val="0"/>
        <w:numPr>
          <w:ilvl w:val="1"/>
          <w:numId w:val="23"/>
        </w:numPr>
        <w:shd w:val="clear" w:color="auto" w:fill="FFFFFF"/>
        <w:autoSpaceDE w:val="0"/>
        <w:autoSpaceDN w:val="0"/>
        <w:bidi w:val="0"/>
        <w:adjustRightInd w:val="0"/>
        <w:jc w:val="both"/>
        <w:rPr>
          <w:rFonts w:ascii="Arial Narrow" w:hAnsi="Arial Narrow"/>
          <w:b/>
          <w:bCs/>
          <w:color w:val="000000"/>
        </w:rPr>
      </w:pPr>
      <w:r w:rsidRPr="00DF047D">
        <w:rPr>
          <w:rFonts w:ascii="Arial Narrow" w:hAnsi="Arial Narrow"/>
          <w:b/>
          <w:bCs/>
          <w:color w:val="000000"/>
          <w:spacing w:val="-1"/>
        </w:rPr>
        <w:t>nie je upravená v práve Európskych spoločenstiev</w:t>
      </w:r>
    </w:p>
    <w:p w:rsidR="004A646E" w:rsidRPr="00DF047D" w:rsidP="003763FD">
      <w:pPr>
        <w:numPr>
          <w:numId w:val="23"/>
        </w:numPr>
        <w:bidi w:val="0"/>
        <w:spacing w:before="120" w:after="120"/>
        <w:jc w:val="both"/>
        <w:rPr>
          <w:rFonts w:ascii="Arial Narrow" w:hAnsi="Arial Narrow"/>
          <w:bCs/>
        </w:rPr>
      </w:pPr>
      <w:r w:rsidRPr="00DF047D" w:rsidR="004A2559">
        <w:rPr>
          <w:rFonts w:ascii="Arial Narrow" w:hAnsi="Arial Narrow"/>
          <w:bCs/>
        </w:rPr>
        <w:t>Záväzky Slovenskej republiky vo vzťahu k Európskej únii:</w:t>
      </w:r>
    </w:p>
    <w:p w:rsidR="004A2559" w:rsidRPr="00DF047D" w:rsidP="004A646E">
      <w:pPr>
        <w:bidi w:val="0"/>
        <w:spacing w:after="120"/>
        <w:ind w:left="425"/>
        <w:jc w:val="both"/>
        <w:rPr>
          <w:rFonts w:ascii="Arial Narrow" w:hAnsi="Arial Narrow"/>
          <w:b/>
        </w:rPr>
      </w:pPr>
      <w:r w:rsidRPr="00DF047D" w:rsidR="004A646E">
        <w:rPr>
          <w:rFonts w:ascii="Arial Narrow" w:hAnsi="Arial Narrow"/>
          <w:b/>
        </w:rPr>
        <w:t>bezpredmetné</w:t>
      </w:r>
    </w:p>
    <w:p w:rsidR="004A2559" w:rsidRPr="00DF047D" w:rsidP="003763FD">
      <w:pPr>
        <w:numPr>
          <w:numId w:val="23"/>
        </w:numPr>
        <w:bidi w:val="0"/>
        <w:spacing w:before="120" w:after="120"/>
        <w:jc w:val="both"/>
        <w:rPr>
          <w:rFonts w:ascii="Arial Narrow" w:hAnsi="Arial Narrow"/>
          <w:bCs/>
        </w:rPr>
      </w:pPr>
      <w:r w:rsidRPr="00DF047D">
        <w:rPr>
          <w:rFonts w:ascii="Arial Narrow" w:hAnsi="Arial Narrow"/>
          <w:bCs/>
        </w:rPr>
        <w:t>Stupeň zlučiteľnosti návrhu zákona s právom Európskej únie:</w:t>
      </w:r>
    </w:p>
    <w:p w:rsidR="004A646E" w:rsidRPr="00DF047D" w:rsidP="004A646E">
      <w:pPr>
        <w:bidi w:val="0"/>
        <w:spacing w:after="120"/>
        <w:ind w:left="425"/>
        <w:jc w:val="both"/>
        <w:rPr>
          <w:rFonts w:ascii="Arial Narrow" w:hAnsi="Arial Narrow"/>
          <w:b/>
        </w:rPr>
      </w:pPr>
      <w:r w:rsidRPr="00DF047D">
        <w:rPr>
          <w:rFonts w:ascii="Arial Narrow" w:hAnsi="Arial Narrow"/>
          <w:b/>
        </w:rPr>
        <w:t>bezpredmetné</w:t>
      </w:r>
    </w:p>
    <w:p w:rsidR="004A646E" w:rsidRPr="00DF047D" w:rsidP="003763FD">
      <w:pPr>
        <w:numPr>
          <w:numId w:val="23"/>
        </w:numPr>
        <w:bidi w:val="0"/>
        <w:spacing w:before="120" w:after="120"/>
        <w:jc w:val="both"/>
        <w:rPr>
          <w:rFonts w:ascii="Arial Narrow" w:hAnsi="Arial Narrow"/>
          <w:bCs/>
        </w:rPr>
      </w:pPr>
      <w:r w:rsidRPr="00DF047D">
        <w:rPr>
          <w:rFonts w:ascii="Arial Narrow" w:hAnsi="Arial Narrow"/>
          <w:bCs/>
        </w:rPr>
        <w:t>Gestor:</w:t>
      </w:r>
    </w:p>
    <w:p w:rsidR="004A646E" w:rsidRPr="00DF047D" w:rsidP="004A646E">
      <w:pPr>
        <w:shd w:val="clear" w:color="auto" w:fill="FFFFFF"/>
        <w:tabs>
          <w:tab w:val="num" w:pos="426"/>
        </w:tabs>
        <w:bidi w:val="0"/>
        <w:ind w:left="426"/>
        <w:jc w:val="both"/>
        <w:rPr>
          <w:rFonts w:ascii="Arial Narrow" w:hAnsi="Arial Narrow"/>
        </w:rPr>
      </w:pPr>
      <w:r w:rsidRPr="00DF047D" w:rsidR="003763FD">
        <w:rPr>
          <w:rFonts w:ascii="Arial Narrow" w:hAnsi="Arial Narrow"/>
          <w:b/>
          <w:bCs/>
          <w:color w:val="000000"/>
          <w:spacing w:val="-4"/>
        </w:rPr>
        <w:t>b</w:t>
      </w:r>
      <w:r w:rsidRPr="00DF047D">
        <w:rPr>
          <w:rFonts w:ascii="Arial Narrow" w:hAnsi="Arial Narrow"/>
          <w:b/>
          <w:bCs/>
          <w:color w:val="000000"/>
          <w:spacing w:val="-4"/>
        </w:rPr>
        <w:t>ezpredmetné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2" o:title=""/>
      </v:shape>
    </w:pict>
  </w:numPicBullet>
  <w:abstractNum w:abstractNumId="0">
    <w:nsid w:val="00000001"/>
    <w:multiLevelType w:val="singleLevel"/>
    <w:tmpl w:val="E5C20208"/>
    <w:name w:val="WW8Num1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390"/>
      </w:pPr>
      <w:rPr>
        <w:rFonts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rtl w:val="0"/>
        <w:cs w:val="0"/>
      </w:rPr>
    </w:lvl>
  </w:abstractNum>
  <w:abstractNum w:abstractNumId="2">
    <w:nsid w:val="027F7616"/>
    <w:multiLevelType w:val="hybridMultilevel"/>
    <w:tmpl w:val="F184DAFC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">
    <w:nsid w:val="0A0478F4"/>
    <w:multiLevelType w:val="hybridMultilevel"/>
    <w:tmpl w:val="20BA00A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C762CCF"/>
    <w:multiLevelType w:val="hybridMultilevel"/>
    <w:tmpl w:val="93D6DD58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5">
    <w:nsid w:val="13A83C25"/>
    <w:multiLevelType w:val="hybridMultilevel"/>
    <w:tmpl w:val="A32A2824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168D476F"/>
    <w:multiLevelType w:val="hybridMultilevel"/>
    <w:tmpl w:val="08504DF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9E0DA8"/>
    <w:multiLevelType w:val="hybridMultilevel"/>
    <w:tmpl w:val="39EC8E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43961C3F"/>
    <w:multiLevelType w:val="hybridMultilevel"/>
    <w:tmpl w:val="A056762A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44437644"/>
    <w:multiLevelType w:val="hybridMultilevel"/>
    <w:tmpl w:val="B4BC25C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4A0C7ED4"/>
    <w:multiLevelType w:val="hybridMultilevel"/>
    <w:tmpl w:val="7F88049A"/>
    <w:lvl w:ilvl="0">
      <w:start w:val="1"/>
      <w:numFmt w:val="bullet"/>
      <w:pStyle w:val="Action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>
    <w:nsid w:val="4A196664"/>
    <w:multiLevelType w:val="hybridMultilevel"/>
    <w:tmpl w:val="B63A82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6228DB"/>
    <w:multiLevelType w:val="hybridMultilevel"/>
    <w:tmpl w:val="109C6E88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4F4D70F9"/>
    <w:multiLevelType w:val="hybridMultilevel"/>
    <w:tmpl w:val="C2D4D7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361AF"/>
    <w:multiLevelType w:val="hybridMultilevel"/>
    <w:tmpl w:val="677EE5B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53B0264"/>
    <w:multiLevelType w:val="hybridMultilevel"/>
    <w:tmpl w:val="EBE2DA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E10791"/>
    <w:multiLevelType w:val="singleLevel"/>
    <w:tmpl w:val="E5C20208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390"/>
      </w:pPr>
      <w:rPr>
        <w:rFonts w:cs="Times New Roman"/>
        <w:rtl w:val="0"/>
        <w:cs w:val="0"/>
      </w:rPr>
    </w:lvl>
  </w:abstractNum>
  <w:abstractNum w:abstractNumId="17">
    <w:nsid w:val="592E7D8B"/>
    <w:multiLevelType w:val="hybridMultilevel"/>
    <w:tmpl w:val="29E822D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DE45D2"/>
    <w:multiLevelType w:val="hybridMultilevel"/>
    <w:tmpl w:val="B0789A54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5C9B77D4"/>
    <w:multiLevelType w:val="multilevel"/>
    <w:tmpl w:val="DB88902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 w:val="0"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20">
    <w:nsid w:val="5D0B44FF"/>
    <w:multiLevelType w:val="hybrid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E650D45"/>
    <w:multiLevelType w:val="hybridMultilevel"/>
    <w:tmpl w:val="BE66F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2">
    <w:nsid w:val="63DC34B7"/>
    <w:multiLevelType w:val="hybridMultilevel"/>
    <w:tmpl w:val="2C80850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67381AF0"/>
    <w:multiLevelType w:val="hybridMultilevel"/>
    <w:tmpl w:val="545C9D60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CE7C5A"/>
    <w:multiLevelType w:val="hybridMultilevel"/>
    <w:tmpl w:val="B31CD52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i/>
        <w:rtl w:val="0"/>
        <w:cs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E29576C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6">
    <w:nsid w:val="703452AE"/>
    <w:multiLevelType w:val="hybridMultilevel"/>
    <w:tmpl w:val="E1D6945A"/>
    <w:lvl w:ilvl="0">
      <w:start w:val="0"/>
      <w:numFmt w:val="bullet"/>
      <w:lvlText w:val="-"/>
      <w:lvlJc w:val="left"/>
      <w:pPr>
        <w:ind w:left="405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>
    <w:nsid w:val="71E80EB2"/>
    <w:multiLevelType w:val="hybridMultilevel"/>
    <w:tmpl w:val="D6F057BA"/>
    <w:lvl w:ilvl="0">
      <w:start w:val="1"/>
      <w:numFmt w:val="lowerLetter"/>
      <w:lvlText w:val="%1)"/>
      <w:lvlJc w:val="left"/>
      <w:pPr>
        <w:tabs>
          <w:tab w:val="num" w:pos="619"/>
        </w:tabs>
        <w:ind w:left="619" w:hanging="306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  <w:rPr>
        <w:rFonts w:cs="Times New Roman"/>
        <w:rtl w:val="0"/>
        <w:cs w:val="0"/>
      </w:rPr>
    </w:lvl>
  </w:abstractNum>
  <w:abstractNum w:abstractNumId="28">
    <w:nsid w:val="72654E1F"/>
    <w:multiLevelType w:val="multilevel"/>
    <w:tmpl w:val="6E72830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>
    <w:nsid w:val="77F7039D"/>
    <w:multiLevelType w:val="hybridMultilevel"/>
    <w:tmpl w:val="C684671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0">
    <w:nsid w:val="7E071FF0"/>
    <w:multiLevelType w:val="hybridMultilevel"/>
    <w:tmpl w:val="C684671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1">
    <w:nsid w:val="7FDE315A"/>
    <w:multiLevelType w:val="hybridMultilevel"/>
    <w:tmpl w:val="8CE6F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</w:num>
  <w:num w:numId="9">
    <w:abstractNumId w:val="24"/>
  </w:num>
  <w:num w:numId="10">
    <w:abstractNumId w:val="3"/>
  </w:num>
  <w:num w:numId="11">
    <w:abstractNumId w:val="4"/>
  </w:num>
  <w:num w:numId="12">
    <w:abstractNumId w:val="29"/>
  </w:num>
  <w:num w:numId="13">
    <w:abstractNumId w:val="30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1"/>
  </w:num>
  <w:num w:numId="19">
    <w:abstractNumId w:val="6"/>
  </w:num>
  <w:num w:numId="20">
    <w:abstractNumId w:val="31"/>
  </w:num>
  <w:num w:numId="21">
    <w:abstractNumId w:val="26"/>
  </w:num>
  <w:num w:numId="22">
    <w:abstractNumId w:val="15"/>
  </w:num>
  <w:num w:numId="23">
    <w:abstractNumId w:val="19"/>
  </w:num>
  <w:num w:numId="2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0"/>
  </w:num>
  <w:num w:numId="30">
    <w:abstractNumId w:val="28"/>
  </w:num>
  <w:num w:numId="31">
    <w:abstractNumId w:val="27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FD38B5"/>
    <w:rsid w:val="00077007"/>
    <w:rsid w:val="00094178"/>
    <w:rsid w:val="000D162C"/>
    <w:rsid w:val="000D58F3"/>
    <w:rsid w:val="000E193B"/>
    <w:rsid w:val="000F423E"/>
    <w:rsid w:val="00112BAF"/>
    <w:rsid w:val="00124017"/>
    <w:rsid w:val="001419AB"/>
    <w:rsid w:val="00142809"/>
    <w:rsid w:val="001B4E66"/>
    <w:rsid w:val="002005B0"/>
    <w:rsid w:val="00205759"/>
    <w:rsid w:val="0024045C"/>
    <w:rsid w:val="00251B6B"/>
    <w:rsid w:val="002524A8"/>
    <w:rsid w:val="002641E6"/>
    <w:rsid w:val="003042FA"/>
    <w:rsid w:val="00317932"/>
    <w:rsid w:val="00323053"/>
    <w:rsid w:val="003237E6"/>
    <w:rsid w:val="00347508"/>
    <w:rsid w:val="00362A25"/>
    <w:rsid w:val="003763FD"/>
    <w:rsid w:val="00385B6E"/>
    <w:rsid w:val="0039747E"/>
    <w:rsid w:val="003B071E"/>
    <w:rsid w:val="003B7D4E"/>
    <w:rsid w:val="003D3462"/>
    <w:rsid w:val="003E4533"/>
    <w:rsid w:val="00430D71"/>
    <w:rsid w:val="004316B0"/>
    <w:rsid w:val="0047032D"/>
    <w:rsid w:val="00470ACB"/>
    <w:rsid w:val="00495317"/>
    <w:rsid w:val="004A2559"/>
    <w:rsid w:val="004A4FA3"/>
    <w:rsid w:val="004A646E"/>
    <w:rsid w:val="004D00FA"/>
    <w:rsid w:val="004D79A5"/>
    <w:rsid w:val="00556CB8"/>
    <w:rsid w:val="005E1F10"/>
    <w:rsid w:val="005F76A8"/>
    <w:rsid w:val="006329FB"/>
    <w:rsid w:val="006653D7"/>
    <w:rsid w:val="006831E3"/>
    <w:rsid w:val="006A6203"/>
    <w:rsid w:val="007055FC"/>
    <w:rsid w:val="007264D7"/>
    <w:rsid w:val="00731000"/>
    <w:rsid w:val="00773CBC"/>
    <w:rsid w:val="007940E2"/>
    <w:rsid w:val="00794EC8"/>
    <w:rsid w:val="007A4EA4"/>
    <w:rsid w:val="00800EDD"/>
    <w:rsid w:val="00840BB5"/>
    <w:rsid w:val="008E05CE"/>
    <w:rsid w:val="00911783"/>
    <w:rsid w:val="009218E9"/>
    <w:rsid w:val="00927577"/>
    <w:rsid w:val="009306E9"/>
    <w:rsid w:val="009315E2"/>
    <w:rsid w:val="009C441A"/>
    <w:rsid w:val="009F0E2C"/>
    <w:rsid w:val="00A67124"/>
    <w:rsid w:val="00AA7D12"/>
    <w:rsid w:val="00AC5D6F"/>
    <w:rsid w:val="00B20318"/>
    <w:rsid w:val="00B515FD"/>
    <w:rsid w:val="00B9600C"/>
    <w:rsid w:val="00BC594D"/>
    <w:rsid w:val="00BD101F"/>
    <w:rsid w:val="00BD2F76"/>
    <w:rsid w:val="00BE4BA8"/>
    <w:rsid w:val="00BF6387"/>
    <w:rsid w:val="00C21563"/>
    <w:rsid w:val="00C403DC"/>
    <w:rsid w:val="00C52B5D"/>
    <w:rsid w:val="00C53648"/>
    <w:rsid w:val="00CD19E6"/>
    <w:rsid w:val="00D1535D"/>
    <w:rsid w:val="00D261FF"/>
    <w:rsid w:val="00D6638C"/>
    <w:rsid w:val="00DB30C5"/>
    <w:rsid w:val="00DB4E24"/>
    <w:rsid w:val="00DF047D"/>
    <w:rsid w:val="00DF0A89"/>
    <w:rsid w:val="00DF56FA"/>
    <w:rsid w:val="00E55CCA"/>
    <w:rsid w:val="00E852A8"/>
    <w:rsid w:val="00E922B5"/>
    <w:rsid w:val="00F22DD0"/>
    <w:rsid w:val="00F42ACF"/>
    <w:rsid w:val="00F43583"/>
    <w:rsid w:val="00FA40E0"/>
    <w:rsid w:val="00FD004A"/>
    <w:rsid w:val="00FD38B5"/>
    <w:rsid w:val="00FE69C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8B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37E6"/>
    <w:pPr>
      <w:keepNext/>
      <w:keepLines/>
      <w:spacing w:before="48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37E6"/>
    <w:pPr>
      <w:keepNext/>
      <w:keepLines/>
      <w:widowControl w:val="0"/>
      <w:adjustRightInd w:val="0"/>
      <w:spacing w:before="200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38B5"/>
    <w:pPr>
      <w:keepNext/>
      <w:suppressAutoHyphens/>
      <w:spacing w:before="240" w:after="60"/>
      <w:jc w:val="left"/>
      <w:outlineLvl w:val="3"/>
    </w:pPr>
    <w:rPr>
      <w:b/>
      <w:bCs/>
      <w:sz w:val="28"/>
      <w:szCs w:val="28"/>
      <w:lang w:eastAsia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37E6"/>
    <w:pPr>
      <w:keepNext/>
      <w:keepLines/>
      <w:spacing w:before="200"/>
      <w:jc w:val="left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locked/>
    <w:rsid w:val="003237E6"/>
    <w:rPr>
      <w:rFonts w:ascii="Cambria" w:hAnsi="Cambria" w:cs="Times New Roman"/>
      <w:b/>
      <w:bCs/>
      <w:color w:val="365F91"/>
      <w:sz w:val="28"/>
      <w:szCs w:val="28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237E6"/>
    <w:rPr>
      <w:rFonts w:ascii="Cambria" w:hAnsi="Cambria" w:cs="Times New Roman"/>
      <w:b/>
      <w:bCs/>
      <w:color w:val="4F81BD"/>
      <w:sz w:val="26"/>
      <w:szCs w:val="26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alibri" w:hAnsi="Calibri" w:cs="Times New Roman"/>
      <w:b/>
      <w:bCs/>
      <w:sz w:val="28"/>
      <w:szCs w:val="28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237E6"/>
    <w:rPr>
      <w:rFonts w:ascii="Cambria" w:hAnsi="Cambria" w:cs="Times New Roman"/>
      <w:color w:val="243F60"/>
      <w:sz w:val="24"/>
      <w:szCs w:val="24"/>
      <w:rtl w:val="0"/>
      <w:cs w:val="0"/>
    </w:rPr>
  </w:style>
  <w:style w:type="paragraph" w:customStyle="1" w:styleId="CharChar">
    <w:name w:val="Char Char"/>
    <w:basedOn w:val="Normal"/>
    <w:uiPriority w:val="99"/>
    <w:rsid w:val="003237E6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3237E6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237E6"/>
    <w:rPr>
      <w:rFonts w:cs="Times New Roman"/>
      <w:sz w:val="24"/>
      <w:szCs w:val="24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3237E6"/>
    <w:rPr>
      <w:rFonts w:ascii="Times New Roman" w:hAnsi="Times New Roman" w:cs="Times New Roman"/>
      <w:color w:val="808080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3237E6"/>
    <w:pPr>
      <w:widowControl w:val="0"/>
      <w:adjustRightInd w:val="0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237E6"/>
    <w:rPr>
      <w:rFonts w:cs="Times New Roman"/>
      <w:sz w:val="20"/>
      <w:szCs w:val="20"/>
      <w:rtl w:val="0"/>
      <w:cs w:val="0"/>
    </w:rPr>
  </w:style>
  <w:style w:type="paragraph" w:styleId="ListParagraph">
    <w:name w:val="List Paragraph"/>
    <w:basedOn w:val="Normal"/>
    <w:uiPriority w:val="99"/>
    <w:qFormat/>
    <w:rsid w:val="003237E6"/>
    <w:pPr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237E6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37E6"/>
    <w:rPr>
      <w:rFonts w:ascii="Tahoma" w:hAnsi="Tahoma" w:cs="Tahoma"/>
      <w:sz w:val="16"/>
      <w:szCs w:val="16"/>
      <w:rtl w:val="0"/>
      <w:cs w:val="0"/>
    </w:rPr>
  </w:style>
  <w:style w:type="paragraph" w:styleId="NormalWeb">
    <w:name w:val="Normal (Web)"/>
    <w:aliases w:val="webb"/>
    <w:basedOn w:val="Normal"/>
    <w:uiPriority w:val="99"/>
    <w:rsid w:val="003237E6"/>
    <w:pPr>
      <w:spacing w:before="100" w:beforeAutospacing="1" w:after="100" w:afterAutospacing="1"/>
      <w:jc w:val="left"/>
    </w:pPr>
  </w:style>
  <w:style w:type="paragraph" w:styleId="Footer">
    <w:name w:val="footer"/>
    <w:basedOn w:val="Normal"/>
    <w:link w:val="FooterChar"/>
    <w:uiPriority w:val="99"/>
    <w:rsid w:val="003237E6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237E6"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3237E6"/>
    <w:rPr>
      <w:rFonts w:cs="Times New Roman"/>
      <w:rtl w:val="0"/>
      <w:cs w:val="0"/>
    </w:rPr>
  </w:style>
  <w:style w:type="paragraph" w:styleId="BodyText">
    <w:name w:val="Body Text"/>
    <w:basedOn w:val="Normal"/>
    <w:link w:val="BodyTextChar"/>
    <w:uiPriority w:val="99"/>
    <w:rsid w:val="003237E6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237E6"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TitleChar"/>
    <w:uiPriority w:val="99"/>
    <w:qFormat/>
    <w:rsid w:val="003237E6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3237E6"/>
    <w:rPr>
      <w:rFonts w:cs="Times New Roman"/>
      <w:sz w:val="20"/>
      <w:szCs w:val="20"/>
      <w:rtl w:val="0"/>
      <w:cs w:val="0"/>
    </w:rPr>
  </w:style>
  <w:style w:type="paragraph" w:styleId="BodyTextIndent3">
    <w:name w:val="Body Text Indent 3"/>
    <w:basedOn w:val="Normal"/>
    <w:link w:val="BodyTextIndent3Char"/>
    <w:uiPriority w:val="99"/>
    <w:rsid w:val="003237E6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237E6"/>
    <w:rPr>
      <w:rFonts w:cs="Times New Roman"/>
      <w:sz w:val="16"/>
      <w:szCs w:val="16"/>
      <w:rtl w:val="0"/>
      <w:cs w:val="0"/>
    </w:rPr>
  </w:style>
  <w:style w:type="paragraph" w:customStyle="1" w:styleId="Action">
    <w:name w:val="Action"/>
    <w:basedOn w:val="BodyText"/>
    <w:uiPriority w:val="99"/>
    <w:rsid w:val="003237E6"/>
    <w:pPr>
      <w:numPr>
        <w:numId w:val="7"/>
      </w:numPr>
      <w:tabs>
        <w:tab w:val="num" w:pos="1211"/>
      </w:tabs>
      <w:spacing w:line="240" w:lineRule="atLeast"/>
      <w:ind w:left="1208" w:hanging="357"/>
      <w:jc w:val="both"/>
    </w:pPr>
    <w:rPr>
      <w:rFonts w:ascii="Verdana" w:hAnsi="Verdana" w:cs="Verdana"/>
      <w:i/>
      <w:iCs/>
      <w:sz w:val="22"/>
      <w:szCs w:val="22"/>
      <w:lang w:eastAsia="en-US"/>
    </w:rPr>
  </w:style>
  <w:style w:type="character" w:customStyle="1" w:styleId="StyleHeading4UnderlineChar">
    <w:name w:val="Style Heading 4 + Underline Char"/>
    <w:basedOn w:val="DefaultParagraphFont"/>
    <w:uiPriority w:val="99"/>
    <w:rsid w:val="003237E6"/>
    <w:rPr>
      <w:rFonts w:ascii="Verdana" w:hAnsi="Verdana" w:cs="Verdana"/>
      <w:kern w:val="20"/>
      <w:sz w:val="22"/>
      <w:szCs w:val="22"/>
      <w:u w:val="single"/>
      <w:rtl w:val="0"/>
      <w:cs w:val="0"/>
      <w:lang w:val="en-US" w:eastAsia="en-US"/>
    </w:rPr>
  </w:style>
  <w:style w:type="paragraph" w:styleId="Header">
    <w:name w:val="header"/>
    <w:basedOn w:val="Normal"/>
    <w:link w:val="HeaderChar"/>
    <w:uiPriority w:val="99"/>
    <w:rsid w:val="003237E6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237E6"/>
    <w:rPr>
      <w:rFonts w:cs="Times New Roman"/>
      <w:sz w:val="24"/>
      <w:szCs w:val="24"/>
      <w:rtl w:val="0"/>
      <w:cs w:val="0"/>
    </w:rPr>
  </w:style>
  <w:style w:type="character" w:styleId="Hyperlink">
    <w:name w:val="Hyperlink"/>
    <w:basedOn w:val="DefaultParagraphFont"/>
    <w:uiPriority w:val="99"/>
    <w:rsid w:val="003237E6"/>
    <w:rPr>
      <w:rFonts w:cs="Times New Roman"/>
      <w:color w:val="0000FF"/>
      <w:u w:val="single"/>
      <w:rtl w:val="0"/>
      <w:cs w:val="0"/>
    </w:rPr>
  </w:style>
  <w:style w:type="paragraph" w:styleId="BodyText2">
    <w:name w:val="Body Text 2"/>
    <w:basedOn w:val="Normal"/>
    <w:link w:val="BodyText2Char"/>
    <w:uiPriority w:val="99"/>
    <w:semiHidden/>
    <w:rsid w:val="003237E6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237E6"/>
    <w:rPr>
      <w:rFonts w:cs="Times New Roman"/>
      <w:sz w:val="24"/>
      <w:szCs w:val="24"/>
      <w:rtl w:val="0"/>
      <w:cs w:val="0"/>
    </w:rPr>
  </w:style>
  <w:style w:type="character" w:customStyle="1" w:styleId="terminated">
    <w:name w:val="terminated"/>
    <w:basedOn w:val="DefaultParagraphFont"/>
    <w:rsid w:val="007A4EA4"/>
    <w:rPr>
      <w:rFonts w:cs="Times New Roman"/>
      <w:rtl w:val="0"/>
      <w:cs w:val="0"/>
    </w:rPr>
  </w:style>
  <w:style w:type="character" w:customStyle="1" w:styleId="new">
    <w:name w:val="new"/>
    <w:basedOn w:val="DefaultParagraphFont"/>
    <w:rsid w:val="007A4EA4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979</Words>
  <Characters>5586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milan.budjac</dc:creator>
  <cp:lastModifiedBy>Gašparíková, Jarmila</cp:lastModifiedBy>
  <cp:revision>2</cp:revision>
  <cp:lastPrinted>2011-04-24T18:42:00Z</cp:lastPrinted>
  <dcterms:created xsi:type="dcterms:W3CDTF">2011-04-29T16:45:00Z</dcterms:created>
  <dcterms:modified xsi:type="dcterms:W3CDTF">2011-04-29T16:45:00Z</dcterms:modified>
</cp:coreProperties>
</file>