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5343" w:rsidRPr="00D76C72" w:rsidP="008A5343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</w:rPr>
      </w:pPr>
    </w:p>
    <w:p w:rsidR="008A5343" w:rsidRPr="00D76C72" w:rsidP="008A5343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</w:rPr>
      </w:pPr>
      <w:r w:rsidRPr="00D76C72">
        <w:rPr>
          <w:rFonts w:ascii="Times New Roman" w:hAnsi="Times New Roman"/>
          <w:b/>
          <w:bCs/>
        </w:rPr>
        <w:t>Dôvodová správa</w:t>
      </w:r>
    </w:p>
    <w:p w:rsidR="008A5343" w:rsidRPr="00D76C72" w:rsidP="008A5343">
      <w:pPr>
        <w:pStyle w:val="NormalWeb"/>
        <w:bidi w:val="0"/>
        <w:spacing w:before="0" w:after="0"/>
        <w:rPr>
          <w:rFonts w:ascii="Times New Roman" w:hAnsi="Times New Roman"/>
          <w:b/>
          <w:bCs/>
        </w:rPr>
      </w:pPr>
      <w:r w:rsidRPr="00D76C72">
        <w:rPr>
          <w:rFonts w:ascii="Times New Roman" w:hAnsi="Times New Roman"/>
          <w:b/>
          <w:bCs/>
        </w:rPr>
        <w:t> </w:t>
      </w:r>
    </w:p>
    <w:p w:rsidR="008A5343" w:rsidRPr="00D76C72" w:rsidP="008A5343">
      <w:pPr>
        <w:pStyle w:val="NormalWeb"/>
        <w:numPr>
          <w:numId w:val="1"/>
        </w:numPr>
        <w:bidi w:val="0"/>
        <w:spacing w:before="0" w:after="0"/>
        <w:jc w:val="both"/>
        <w:rPr>
          <w:rFonts w:ascii="Times New Roman" w:hAnsi="Times New Roman"/>
          <w:b/>
          <w:bCs/>
        </w:rPr>
      </w:pPr>
      <w:r w:rsidRPr="00D76C72">
        <w:rPr>
          <w:rFonts w:ascii="Times New Roman" w:hAnsi="Times New Roman"/>
          <w:b/>
          <w:bCs/>
        </w:rPr>
        <w:t>Všeobecná časť</w:t>
      </w:r>
    </w:p>
    <w:p w:rsidR="008A5343" w:rsidP="008A5343">
      <w:pPr>
        <w:pStyle w:val="NormalWeb"/>
        <w:bidi w:val="0"/>
        <w:spacing w:before="120" w:after="0"/>
        <w:ind w:firstLine="709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Smernica Európskeho Parlamentu a Rady 2007/46/ES,</w:t>
      </w:r>
      <w:r w:rsidRPr="00EE77E6">
        <w:rPr>
          <w:rFonts w:ascii="Times New Roman" w:hAnsi="Times New Roman"/>
        </w:rPr>
        <w:t xml:space="preserve"> ktorou sa zriaďuje rámec pre typové schválenie motorových vozidiel a ich prípojných vozidiel, systémov, komponentov a</w:t>
      </w:r>
      <w:r>
        <w:rPr>
          <w:rFonts w:ascii="Times New Roman" w:hAnsi="Times New Roman"/>
        </w:rPr>
        <w:t> </w:t>
      </w:r>
      <w:r w:rsidRPr="00EE77E6">
        <w:rPr>
          <w:rFonts w:ascii="Times New Roman" w:hAnsi="Times New Roman"/>
        </w:rPr>
        <w:t>samostatných</w:t>
      </w:r>
      <w:r>
        <w:rPr>
          <w:rFonts w:ascii="Times New Roman" w:hAnsi="Times New Roman"/>
        </w:rPr>
        <w:t xml:space="preserve"> </w:t>
      </w:r>
      <w:r w:rsidRPr="00EE77E6">
        <w:rPr>
          <w:rFonts w:ascii="Times New Roman" w:hAnsi="Times New Roman"/>
        </w:rPr>
        <w:t>technických jednotiek určených pre tieto vozidlá (Rámcová smernica)</w:t>
      </w:r>
      <w:r>
        <w:rPr>
          <w:rFonts w:ascii="Times New Roman" w:hAnsi="Times New Roman"/>
        </w:rPr>
        <w:t>, ktorá nadobudla účinnosť 29. apríla 2009 umožnila udeľovať typové schválenie ES pre vozidlá kategórie N</w:t>
      </w:r>
      <w:r w:rsidRPr="00EE77E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(nákladné vozidlo) b</w:t>
      </w:r>
      <w:r w:rsidRPr="00EE77E6">
        <w:rPr>
          <w:rFonts w:ascii="Times New Roman" w:hAnsi="Times New Roman"/>
        </w:rPr>
        <w:t xml:space="preserve">ez </w:t>
      </w:r>
      <w:r w:rsidRPr="00EE77E6">
        <w:rPr>
          <w:rFonts w:ascii="Times New Roman" w:hAnsi="Times New Roman"/>
          <w:lang w:eastAsia="sk-SK"/>
        </w:rPr>
        <w:t>priečkového systému na ochranu osôb pred nebezpečenstvom vyplývajúcim z posunu batožiny do priestoru pre vodiča a</w:t>
      </w:r>
      <w:r>
        <w:rPr>
          <w:rFonts w:ascii="Times New Roman" w:hAnsi="Times New Roman"/>
          <w:lang w:eastAsia="sk-SK"/>
        </w:rPr>
        <w:t> </w:t>
      </w:r>
      <w:r w:rsidRPr="00EE77E6">
        <w:rPr>
          <w:rFonts w:ascii="Times New Roman" w:hAnsi="Times New Roman"/>
          <w:lang w:eastAsia="sk-SK"/>
        </w:rPr>
        <w:t>cestujúcich</w:t>
      </w:r>
      <w:r>
        <w:rPr>
          <w:rFonts w:ascii="Times New Roman" w:hAnsi="Times New Roman"/>
          <w:lang w:eastAsia="sk-SK"/>
        </w:rPr>
        <w:t xml:space="preserve"> (tzv. deliaca priečka) bez toho, aby si členské štáty mohli uplatňovať vlastné národné technické požiadavky – v tomto prípade na deliacu priečku. V praxi nastal prípad, že to isté vozidlo mohlo byť schválené aj v kategórii M</w:t>
      </w:r>
      <w:r w:rsidRPr="00EE77E6">
        <w:rPr>
          <w:rFonts w:ascii="Times New Roman" w:hAnsi="Times New Roman"/>
          <w:vertAlign w:val="subscript"/>
          <w:lang w:eastAsia="sk-SK"/>
        </w:rPr>
        <w:t>1</w:t>
      </w:r>
      <w:r>
        <w:rPr>
          <w:rFonts w:ascii="Times New Roman" w:hAnsi="Times New Roman"/>
          <w:lang w:eastAsia="sk-SK"/>
        </w:rPr>
        <w:t xml:space="preserve"> (osobné vozidlo), ale aj v kategórii N</w:t>
      </w:r>
      <w:r w:rsidRPr="00EE77E6">
        <w:rPr>
          <w:rFonts w:ascii="Times New Roman" w:hAnsi="Times New Roman"/>
          <w:vertAlign w:val="subscript"/>
          <w:lang w:eastAsia="sk-SK"/>
        </w:rPr>
        <w:t>1</w:t>
      </w:r>
      <w:r>
        <w:rPr>
          <w:rFonts w:ascii="Times New Roman" w:hAnsi="Times New Roman"/>
          <w:lang w:eastAsia="sk-SK"/>
        </w:rPr>
        <w:t xml:space="preserve"> (nákladné vozidlo).</w:t>
      </w:r>
    </w:p>
    <w:p w:rsidR="008A5343" w:rsidP="008A5343">
      <w:pPr>
        <w:pStyle w:val="NormalWeb"/>
        <w:bidi w:val="0"/>
        <w:spacing w:before="120" w:after="0"/>
        <w:ind w:firstLine="709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Zákon č. 563/2009 Z. z. znovelizoval zákon č. 222/2004 Z. z. o dani z pridanej hodnoty v znení neskorších predpisov, ktorý umožnil odpočet dane z pridanej hodnoty pre všetky kategórie vozidiel, čo znamená, že tie isté vozidlá s deliacou priečkou a bez deliacej priečky stratili význam.</w:t>
      </w:r>
    </w:p>
    <w:p w:rsidR="008A5343" w:rsidRPr="00D76C72" w:rsidP="008A5343">
      <w:pPr>
        <w:pStyle w:val="NormalWeb"/>
        <w:bidi w:val="0"/>
        <w:spacing w:before="12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Vozidlá, ktoré neplnili ešte v tom čase smernicu 2007/46/ES, boli bez typového schválenia ES a plnili iba národné technické požiadavky, boli vybavené deliacou priečkou a musia ju mať naďalej vo vozidle, pretože ju majú uvedenú v dokladoch vozidla (v osvedčení o evidencii alebo v technickom preukaze vozidla). Navrhovanou zmenou zákona sa prevádzkovateľom týchto vozidiel umožní, aby si deliacu priečku mohli z vozidla demontovať bez toho, aby ich vozidlo bolo nespôsobilé na premávku na pozemných komunikáciách. Návrh zákona bol inšpirovaný situáciou v Českej republike, kde sa rovnaká zmena stretla s pozitívnou odozvou u prevádzkovateľov takýchto vozidiel.</w:t>
      </w:r>
    </w:p>
    <w:p w:rsidR="008A5343" w:rsidRPr="00D76C72" w:rsidP="008A5343">
      <w:pPr>
        <w:pStyle w:val="NormalWeb"/>
        <w:bidi w:val="0"/>
        <w:spacing w:before="0" w:after="0"/>
        <w:jc w:val="both"/>
        <w:rPr>
          <w:rStyle w:val="bbtext"/>
          <w:rFonts w:ascii="Times New Roman" w:hAnsi="Times New Roman"/>
          <w:sz w:val="20"/>
          <w:szCs w:val="20"/>
        </w:rPr>
      </w:pPr>
    </w:p>
    <w:p w:rsidR="008A5343" w:rsidRPr="00D76C72" w:rsidP="008A5343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 xml:space="preserve">Predkladaný návrh zákona je v súlade s Ústavou Slovenskej republiky, zákonmi Slovenskej republiky, medzinárodnými zmluvami a inými medzinárodnými dokumentmi, ktorými je Slovenská  republika viazaná. </w:t>
      </w:r>
    </w:p>
    <w:p w:rsidR="008A5343" w:rsidRPr="00D76C72" w:rsidP="008A5343">
      <w:pPr>
        <w:pStyle w:val="NormalWeb"/>
        <w:bidi w:val="0"/>
        <w:spacing w:before="0" w:after="0"/>
        <w:rPr>
          <w:rFonts w:ascii="Times New Roman" w:hAnsi="Times New Roman"/>
          <w:iCs/>
        </w:rPr>
      </w:pPr>
      <w:r w:rsidRPr="00D76C72">
        <w:rPr>
          <w:rFonts w:ascii="Times New Roman" w:hAnsi="Times New Roman"/>
          <w:iCs/>
        </w:rPr>
        <w:t> </w:t>
      </w: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  <w:r w:rsidRPr="00D76C72">
        <w:rPr>
          <w:rFonts w:ascii="Times New Roman" w:hAnsi="Times New Roman"/>
        </w:rPr>
        <w:t> </w:t>
      </w: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P="008A5343">
      <w:pPr>
        <w:bidi w:val="0"/>
        <w:rPr>
          <w:rFonts w:ascii="Times New Roman" w:hAnsi="Times New Roman"/>
          <w:b/>
        </w:rPr>
      </w:pPr>
    </w:p>
    <w:p w:rsidR="008A5343" w:rsidP="008A5343">
      <w:pPr>
        <w:bidi w:val="0"/>
        <w:rPr>
          <w:rFonts w:ascii="Times New Roman" w:hAnsi="Times New Roman"/>
          <w:b/>
        </w:rPr>
      </w:pPr>
    </w:p>
    <w:p w:rsidR="008A5343" w:rsidP="008A5343">
      <w:pPr>
        <w:bidi w:val="0"/>
        <w:rPr>
          <w:rFonts w:ascii="Times New Roman" w:hAnsi="Times New Roman"/>
          <w:b/>
        </w:rPr>
      </w:pPr>
    </w:p>
    <w:p w:rsidR="008A5343" w:rsidP="008A5343">
      <w:pPr>
        <w:bidi w:val="0"/>
        <w:rPr>
          <w:rFonts w:ascii="Times New Roman" w:hAnsi="Times New Roman"/>
          <w:b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bidi w:val="0"/>
        <w:rPr>
          <w:rFonts w:ascii="Times New Roman" w:hAnsi="Times New Roman"/>
          <w:b/>
        </w:rPr>
      </w:pPr>
    </w:p>
    <w:p w:rsidR="008A5343" w:rsidRPr="00D76C72" w:rsidP="008A5343">
      <w:pPr>
        <w:bidi w:val="0"/>
        <w:jc w:val="center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Doložka zlučiteľnosti</w:t>
      </w:r>
    </w:p>
    <w:p w:rsidR="008A5343" w:rsidRPr="00D76C72" w:rsidP="008A5343">
      <w:pPr>
        <w:bidi w:val="0"/>
        <w:jc w:val="center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návrhu zákona s právom Európskej únie</w:t>
      </w:r>
    </w:p>
    <w:p w:rsidR="008A5343" w:rsidRPr="00D76C72" w:rsidP="008A5343">
      <w:pPr>
        <w:bidi w:val="0"/>
        <w:rPr>
          <w:rFonts w:ascii="Times New Roman" w:hAnsi="Times New Roman"/>
        </w:rPr>
      </w:pPr>
    </w:p>
    <w:p w:rsidR="008A5343" w:rsidP="008A5343">
      <w:pPr>
        <w:suppressAutoHyphens w:val="0"/>
        <w:bidi w:val="0"/>
        <w:rPr>
          <w:rFonts w:ascii="Times New Roman" w:hAnsi="Times New Roman"/>
        </w:rPr>
      </w:pPr>
      <w:r w:rsidRPr="00D76C72">
        <w:rPr>
          <w:rFonts w:ascii="Times New Roman" w:hAnsi="Times New Roman"/>
          <w:b/>
        </w:rPr>
        <w:t>1. Navrhovateľ zákona:</w:t>
      </w:r>
      <w:r w:rsidRPr="00D76C72">
        <w:rPr>
          <w:rFonts w:ascii="Times New Roman" w:hAnsi="Times New Roman"/>
        </w:rPr>
        <w:t xml:space="preserve"> poslanec Národnej rady Slovenskej republiky  Ľudovít Jurčík</w:t>
      </w:r>
    </w:p>
    <w:p w:rsidR="008A5343" w:rsidRPr="00D76C72" w:rsidP="008A5343">
      <w:pPr>
        <w:suppressAutoHyphens w:val="0"/>
        <w:bidi w:val="0"/>
        <w:rPr>
          <w:rFonts w:ascii="Times New Roman" w:hAnsi="Times New Roman"/>
        </w:rPr>
      </w:pPr>
    </w:p>
    <w:p w:rsidR="008A5343" w:rsidRPr="00D76C72" w:rsidP="008A5343">
      <w:pPr>
        <w:tabs>
          <w:tab w:val="num" w:pos="360"/>
        </w:tabs>
        <w:suppressAutoHyphens w:val="0"/>
        <w:bidi w:val="0"/>
        <w:ind w:left="360" w:hanging="360"/>
        <w:jc w:val="both"/>
        <w:rPr>
          <w:rFonts w:ascii="Times New Roman" w:hAnsi="Times New Roman"/>
          <w:lang w:eastAsia="sk-SK"/>
        </w:rPr>
      </w:pPr>
      <w:r w:rsidRPr="00D76C72">
        <w:rPr>
          <w:rFonts w:ascii="Times New Roman" w:hAnsi="Times New Roman"/>
          <w:b/>
        </w:rPr>
        <w:t xml:space="preserve">2. Názov návrhu </w:t>
      </w:r>
      <w:r>
        <w:rPr>
          <w:rFonts w:ascii="Times New Roman" w:hAnsi="Times New Roman"/>
          <w:b/>
        </w:rPr>
        <w:t>zákona</w:t>
      </w:r>
      <w:r w:rsidRPr="00D76C72">
        <w:rPr>
          <w:rFonts w:ascii="Times New Roman" w:hAnsi="Times New Roman"/>
          <w:b/>
        </w:rPr>
        <w:t xml:space="preserve">: </w:t>
      </w:r>
      <w:r w:rsidRPr="00D76C72">
        <w:rPr>
          <w:rFonts w:ascii="Times New Roman" w:hAnsi="Times New Roman"/>
        </w:rPr>
        <w:t xml:space="preserve">Návrh zákona, ktorým sa mení a dopĺňa zákon č. 725/2004 Z. z. </w:t>
      </w:r>
      <w:r w:rsidRPr="00D76C72">
        <w:rPr>
          <w:rFonts w:ascii="Times New Roman" w:hAnsi="Times New Roman"/>
          <w:lang w:eastAsia="sk-SK"/>
        </w:rPr>
        <w:t>o podmienkach prevádzky vozidiel v premávke na pozemných komunikáciách a o zmene a doplnení niektorých zákonov</w:t>
      </w:r>
      <w:r>
        <w:rPr>
          <w:rFonts w:ascii="Times New Roman" w:hAnsi="Times New Roman"/>
          <w:lang w:eastAsia="sk-SK"/>
        </w:rPr>
        <w:t xml:space="preserve"> v znení neskorších predpisov</w:t>
      </w:r>
    </w:p>
    <w:p w:rsidR="008A5343" w:rsidRPr="00D76C72" w:rsidP="008A5343">
      <w:pPr>
        <w:tabs>
          <w:tab w:val="num" w:pos="360"/>
        </w:tabs>
        <w:suppressAutoHyphens w:val="0"/>
        <w:bidi w:val="0"/>
        <w:jc w:val="both"/>
        <w:rPr>
          <w:rFonts w:ascii="Times New Roman" w:hAnsi="Times New Roman"/>
        </w:rPr>
      </w:pPr>
    </w:p>
    <w:p w:rsidR="008A5343" w:rsidRPr="00C36283" w:rsidP="008A5343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  <w:b/>
        </w:rPr>
        <w:t>3.</w:t>
      </w:r>
      <w:r w:rsidRPr="00D76C7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Predmet návrhu zákona</w:t>
      </w:r>
      <w:r w:rsidRPr="00C36283">
        <w:rPr>
          <w:rFonts w:ascii="Times New Roman" w:hAnsi="Times New Roman"/>
          <w:b/>
        </w:rPr>
        <w:t>:</w:t>
      </w:r>
    </w:p>
    <w:p w:rsidR="008A5343" w:rsidRPr="00C36283" w:rsidP="008A5343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8A5343" w:rsidP="008A5343">
      <w:pPr>
        <w:widowControl w:val="0"/>
        <w:bidi w:val="0"/>
        <w:ind w:left="680" w:hanging="340"/>
        <w:jc w:val="both"/>
        <w:rPr>
          <w:rFonts w:ascii="Times New Roman" w:hAnsi="Times New Roman"/>
        </w:rPr>
      </w:pPr>
      <w:r w:rsidRPr="00C36283">
        <w:rPr>
          <w:rFonts w:ascii="Times New Roman" w:hAnsi="Times New Roman"/>
        </w:rPr>
        <w:t>b)</w:t>
        <w:tab/>
      </w:r>
      <w:r>
        <w:rPr>
          <w:rFonts w:ascii="Times New Roman" w:hAnsi="Times New Roman"/>
        </w:rPr>
        <w:t>nie je obsiahnutý v judikatúre Súdneho dvora Európskej únie</w:t>
      </w:r>
      <w:r w:rsidRPr="00C36283">
        <w:rPr>
          <w:rFonts w:ascii="Times New Roman" w:hAnsi="Times New Roman"/>
        </w:rPr>
        <w:t>.</w:t>
      </w:r>
    </w:p>
    <w:p w:rsidR="008A5343" w:rsidP="008A5343">
      <w:pPr>
        <w:widowControl w:val="0"/>
        <w:bidi w:val="0"/>
        <w:jc w:val="both"/>
        <w:rPr>
          <w:rFonts w:ascii="Times New Roman" w:hAnsi="Times New Roman"/>
        </w:rPr>
      </w:pPr>
    </w:p>
    <w:p w:rsidR="008A5343" w:rsidP="008A534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 xml:space="preserve">dmetné vyjadrovať sa k bodom </w:t>
      </w:r>
      <w:smartTag w:uri="urn:schemas-microsoft-com:office:smarttags" w:element="metricconverter">
        <w:smartTagPr>
          <w:attr w:name="ProductID" w:val="4. a"/>
        </w:smartTagPr>
        <w:r>
          <w:rPr>
            <w:rFonts w:ascii="Times New Roman" w:hAnsi="Times New Roman"/>
            <w:b/>
            <w:sz w:val="24"/>
            <w:szCs w:val="24"/>
          </w:rPr>
          <w:t>4. a</w:t>
        </w:r>
      </w:smartTag>
      <w:r>
        <w:rPr>
          <w:rFonts w:ascii="Times New Roman" w:hAnsi="Times New Roman"/>
          <w:b/>
          <w:sz w:val="24"/>
          <w:szCs w:val="24"/>
        </w:rPr>
        <w:t xml:space="preserve">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P="008A5343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</w:p>
    <w:p w:rsidR="008A5343" w:rsidRPr="00D76C72" w:rsidP="008A5343">
      <w:pPr>
        <w:pStyle w:val="NormalWeb"/>
        <w:bidi w:val="0"/>
        <w:spacing w:before="0" w:after="120"/>
        <w:rPr>
          <w:rFonts w:ascii="Times New Roman" w:hAnsi="Times New Roman"/>
        </w:rPr>
      </w:pPr>
    </w:p>
    <w:p w:rsidR="008A5343" w:rsidP="008A5343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</w:rPr>
      </w:pPr>
    </w:p>
    <w:p w:rsidR="008A5343" w:rsidRPr="00D76C72" w:rsidP="008A5343">
      <w:pPr>
        <w:bidi w:val="0"/>
        <w:jc w:val="center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Doložka</w:t>
      </w:r>
    </w:p>
    <w:p w:rsidR="008A5343" w:rsidRPr="00D76C72" w:rsidP="008A5343">
      <w:pPr>
        <w:bidi w:val="0"/>
        <w:jc w:val="center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finančných, ekonomických, environmentálnych vplyvov, vplyvov na zamestnanosť a podnikateľské prostredie</w:t>
      </w:r>
    </w:p>
    <w:p w:rsidR="008A5343" w:rsidRPr="00D76C72" w:rsidP="008A5343">
      <w:pPr>
        <w:bidi w:val="0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1. Odhad vplyvov na verejné financie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>Predkladaný návrh zákona nebude mať dopad na verejné financie.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2. Odhad dopadov na obyvateľstvo, hospodárenie podnikateľskej sféry a iných právnických osôb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>Predložený návrh zákona nebude mať dopad na obyvateľstvo.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3. Odhad dopadov na životné prostredie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tabs>
          <w:tab w:val="left" w:pos="6825"/>
        </w:tabs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>Predložený návrh zákona nebude mať dopad na životné prostredie.</w:t>
        <w:tab/>
      </w:r>
    </w:p>
    <w:p w:rsidR="008A5343" w:rsidRPr="00D76C72" w:rsidP="008A5343">
      <w:pPr>
        <w:tabs>
          <w:tab w:val="left" w:pos="6825"/>
        </w:tabs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4. Odhad vplyvov na zamestnanosť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>Predložený návrh zákona nebude mať dopad na zamestnanosť.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5. Vplyv na podnikateľské prostredie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>Predložený návrh zákona bude mať pozitívny dopad na podnikateľské prostredie, nakoľko sa rozšíri predaj ojazdených vozidiel, ktoré majú zabudovanú ochrannú mriežku a nie sú tak pre spotrebiteľov atraktívne.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rPr>
          <w:rFonts w:ascii="Times New Roman" w:hAnsi="Times New Roman"/>
          <w:b/>
          <w:bCs/>
        </w:rPr>
      </w:pPr>
      <w:r w:rsidRPr="00D76C72">
        <w:rPr>
          <w:rFonts w:ascii="Times New Roman" w:hAnsi="Times New Roman"/>
          <w:b/>
          <w:bCs/>
        </w:rPr>
        <w:t xml:space="preserve">B. Osobitná časť </w:t>
      </w:r>
    </w:p>
    <w:p w:rsidR="008A5343" w:rsidRPr="00D76C72" w:rsidP="008A5343">
      <w:pPr>
        <w:bidi w:val="0"/>
        <w:rPr>
          <w:rFonts w:ascii="Times New Roman" w:hAnsi="Times New Roman"/>
          <w:b/>
          <w:bCs/>
        </w:rPr>
      </w:pPr>
    </w:p>
    <w:p w:rsidR="008A5343" w:rsidRPr="00D76C72" w:rsidP="008A5343">
      <w:pPr>
        <w:bidi w:val="0"/>
        <w:rPr>
          <w:rFonts w:ascii="Times New Roman" w:hAnsi="Times New Roman"/>
          <w:b/>
          <w:bCs/>
        </w:rPr>
      </w:pPr>
      <w:r w:rsidRPr="00D76C72">
        <w:rPr>
          <w:rFonts w:ascii="Times New Roman" w:hAnsi="Times New Roman"/>
          <w:b/>
          <w:bCs/>
        </w:rPr>
        <w:t>K čl. I</w:t>
      </w:r>
    </w:p>
    <w:p w:rsidR="008A5343" w:rsidRPr="00D76C72" w:rsidP="008A5343">
      <w:pPr>
        <w:bidi w:val="0"/>
        <w:rPr>
          <w:rFonts w:ascii="Times New Roman" w:hAnsi="Times New Roman"/>
          <w:b/>
          <w:bCs/>
        </w:rPr>
      </w:pPr>
    </w:p>
    <w:p w:rsidR="008A5343" w:rsidP="008A534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bodom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b/>
            <w:bCs/>
          </w:rPr>
          <w:t>1 a</w:t>
        </w:r>
      </w:smartTag>
      <w:r>
        <w:rPr>
          <w:rFonts w:ascii="Times New Roman" w:hAnsi="Times New Roman"/>
          <w:b/>
          <w:bCs/>
        </w:rPr>
        <w:t xml:space="preserve"> 2</w:t>
      </w:r>
    </w:p>
    <w:p w:rsidR="008A5343" w:rsidP="008A5343">
      <w:pPr>
        <w:bidi w:val="0"/>
        <w:jc w:val="both"/>
        <w:rPr>
          <w:rFonts w:ascii="Times New Roman" w:hAnsi="Times New Roman"/>
          <w:b/>
          <w:bCs/>
        </w:rPr>
      </w:pPr>
    </w:p>
    <w:p w:rsidR="008A5343" w:rsidP="008A5343">
      <w:pPr>
        <w:bidi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Návrh zákona zavádza výnimku do absolútneho zákazu prevádzkovať v premávke na pozemných komunikáciách vozidlo, ktoré sa nezhoduje so schváleným typom. Zavedenou výnimkou je možnosť prevádzkovať na pozemných komunikáciách aj vozidlo, z ktorého bola odstránená </w:t>
      </w:r>
      <w:r>
        <w:rPr>
          <w:rFonts w:ascii="Times New Roman" w:hAnsi="Times New Roman"/>
        </w:rPr>
        <w:t>deliaca priečka oddeľujúca priestor pre vodiča a cestujúcich od ložného priestoru. V súčasnosti existuje možnosť odstrániť deliacu priečku len cez možnosť prestavby vozidla zmenou kategórie vozidla (z kategórie M</w:t>
      </w:r>
      <w:r w:rsidRPr="00EF6DCF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na kategóriu N</w:t>
      </w:r>
      <w:r w:rsidRPr="00EF6DCF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), ktorá je prakticky nevyužívaná pre komplikovanosť, zdĺhavosť a nákladovosť tohto procesu. Navrhovanou zmenou sa umožní odstrániť deliacu priečku z vozidla bez nutnosti prestavby vozidla, a teda jednoduchým fyzickým odmontovaním. Týmto postupom vozidlo zostane v pôvodnej kategórii, nakoľko nebude prestavané, len nebude musieť mať nainštalovanú deliacu priečku. </w:t>
      </w:r>
    </w:p>
    <w:p w:rsidR="008A5343" w:rsidP="008A5343">
      <w:pPr>
        <w:bidi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Touto úpravou nie je dotknuté ustanovenie § 3 ods. 6 vyhlášky Ministerstva dopravy, pôšt a telekomunikácií Slovenskej republiky č. 464/2009 Z. z., ktorou sa ustanovujú podrobnosti o prevádzke vozidiel v premávke na pozemných komunikáciách v znení neskorších predpisov, podľa ktorého v</w:t>
      </w:r>
      <w:r w:rsidRPr="00DD26B5">
        <w:rPr>
          <w:rFonts w:ascii="Times New Roman" w:hAnsi="Times New Roman"/>
        </w:rPr>
        <w:t>ozidlo kategórie N s nedelenou skriňovou karosériou pri preprave nákladu, ktorý by počas prevádzky vozidla v premávke</w:t>
      </w:r>
      <w:r>
        <w:rPr>
          <w:rFonts w:ascii="Times New Roman" w:hAnsi="Times New Roman"/>
        </w:rPr>
        <w:t xml:space="preserve"> na pozemných komunikáciách</w:t>
      </w:r>
      <w:r w:rsidRPr="00DD26B5">
        <w:rPr>
          <w:rFonts w:ascii="Times New Roman" w:hAnsi="Times New Roman"/>
        </w:rPr>
        <w:t xml:space="preserve"> mohol ohroziť vodiča alebo prepravovaných cestujúcich, musí byť za posledným radom sedadiel vybavené priečkovým systémom</w:t>
      </w:r>
      <w:r>
        <w:rPr>
          <w:rFonts w:ascii="Times New Roman" w:hAnsi="Times New Roman"/>
        </w:rPr>
        <w:t>. Z uvedeného vyplýva povinnosť mať priečkový systém namontovaný pri preprave nákladu, ktorý by mohol ohroziť vodiča alebo cestujúcich.</w:t>
      </w:r>
    </w:p>
    <w:p w:rsidR="008A5343" w:rsidP="008A5343">
      <w:pPr>
        <w:bidi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Navrhovanou zmenou zákona sa umožní odstrániť priečkový systém najmä tým prevádzkovateľom vozidiel, ktorí neprevážajú náklad potencionálne ohrozujúci vodiča alebo cestujúcich. </w:t>
      </w:r>
    </w:p>
    <w:p w:rsidR="008A5343" w:rsidP="008A5343">
      <w:pPr>
        <w:bidi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Taktiež sa ustanovuje, pri ktorých vozidlách sa deliaca priečka môže z vozidla odstrániť. Ide iba o vozidlá kategórie N</w:t>
      </w:r>
      <w:r w:rsidRPr="003A41CF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(nákladné), ktoré sú odvodené od vozidiel kategórie M</w:t>
      </w:r>
      <w:r w:rsidRPr="003A41CF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(osobné). Pri vozidlách klasických dodávkových určených prevažne na prepravu nákladu (Peugeot Boxer, Citroen Jumper, Mercedes Sprinter a pod.) táto deliaca priečka z vozidla nemôže byť demontovaná, pretože by sa ohrozil všeobecný záujem na bezpečnosti premávky na pozemných komunikáciách pri preprave nákladu.</w:t>
      </w:r>
    </w:p>
    <w:p w:rsidR="008A5343" w:rsidRPr="00A8345B" w:rsidP="008A5343">
      <w:pPr>
        <w:bidi w:val="0"/>
        <w:spacing w:before="12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Návrh zákona reaguje tiež na stav v praxi, keď niektoré vozidlá nemajú </w:t>
      </w:r>
      <w:r w:rsidRPr="00D76C72">
        <w:rPr>
          <w:rFonts w:ascii="Times New Roman" w:hAnsi="Times New Roman"/>
        </w:rPr>
        <w:t>v osvedčení o evidencii alebo v osvedč</w:t>
      </w:r>
      <w:r>
        <w:rPr>
          <w:rFonts w:ascii="Times New Roman" w:hAnsi="Times New Roman"/>
        </w:rPr>
        <w:t xml:space="preserve">ení o evidencii časti II uvedený záznam o priečkovom systéme. Keďže účelom podávania písomnej žiadosti na obvodný úrad dopravy je zosúladenie dokladov od vozidla s realitou, pri vozidlách, kde záznam o priečkovom systéme absentuje, nie je potrebné túto žiadosť podávať, a týmto osobám vznikne priamo zo zákona možnosť odstrániť priečkový systém. 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P="008A534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§ </w:t>
      </w:r>
      <w:smartTag w:uri="urn:schemas-microsoft-com:office:smarttags" w:element="metricconverter">
        <w:smartTagPr>
          <w:attr w:name="ProductID" w:val="112f"/>
        </w:smartTagPr>
        <w:r>
          <w:rPr>
            <w:rFonts w:ascii="Times New Roman" w:hAnsi="Times New Roman"/>
          </w:rPr>
          <w:t>112f</w:t>
        </w:r>
      </w:smartTag>
      <w:r>
        <w:rPr>
          <w:rFonts w:ascii="Times New Roman" w:hAnsi="Times New Roman"/>
        </w:rPr>
        <w:t xml:space="preserve"> ods. 2 návrhu zákona sa odstránenie priečkového systému zakazuje pri vozidlách, ktoré budú mať typové schválenie ES udelené podľa novej kategorizácie vozidiel v zmysle nariadenia Komisie (EÚ), ktorým sa okrem iného nahrádza aj príloha II smernice 2007/46/ES. Nové typy vozidiel kategórie N musia mať priestor, v ktorom sa nachádzajú miesta na sedenie úplne oddelený od nákladného priestoru zabezpečovacím zariadením určeným na ochranu prepravovaných osôb pred pohybom nákladu počas jazdy, čiže v podstate ide o zavedenie deliacej priečky a podobných zariadení na ochranu cestujúcich.</w:t>
      </w: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  <w:b/>
        </w:rPr>
        <w:t>K </w:t>
      </w:r>
      <w:r>
        <w:rPr>
          <w:rFonts w:ascii="Times New Roman" w:hAnsi="Times New Roman"/>
          <w:b/>
        </w:rPr>
        <w:t>č</w:t>
      </w:r>
      <w:r w:rsidRPr="00D76C72">
        <w:rPr>
          <w:rFonts w:ascii="Times New Roman" w:hAnsi="Times New Roman"/>
          <w:b/>
        </w:rPr>
        <w:t>l. II</w:t>
      </w:r>
      <w:r w:rsidRPr="00D76C72">
        <w:rPr>
          <w:rFonts w:ascii="Times New Roman" w:hAnsi="Times New Roman"/>
        </w:rPr>
        <w:t xml:space="preserve"> </w:t>
      </w: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  <w:bCs/>
        </w:rPr>
        <w:t xml:space="preserve">     Navrhuje sa, aby tento zákon nadobudol účinnosť od 1. </w:t>
      </w:r>
      <w:r>
        <w:rPr>
          <w:rFonts w:ascii="Times New Roman" w:hAnsi="Times New Roman"/>
          <w:bCs/>
        </w:rPr>
        <w:t>augusta</w:t>
      </w:r>
      <w:r w:rsidRPr="00D76C72">
        <w:rPr>
          <w:rFonts w:ascii="Times New Roman" w:hAnsi="Times New Roman"/>
          <w:bCs/>
        </w:rPr>
        <w:t xml:space="preserve"> 2011. </w:t>
      </w: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</w:p>
    <w:p w:rsidR="008A5343" w:rsidRPr="00D76C72" w:rsidP="008A5343">
      <w:pPr>
        <w:bidi w:val="0"/>
        <w:jc w:val="both"/>
        <w:rPr>
          <w:rFonts w:ascii="Times New Roman" w:hAnsi="Times New Roman"/>
          <w:b/>
        </w:rPr>
      </w:pPr>
    </w:p>
    <w:p w:rsidR="008A5343" w:rsidRPr="00232BA6" w:rsidP="008A5343">
      <w:pPr>
        <w:bidi w:val="0"/>
        <w:rPr>
          <w:rFonts w:ascii="Times New Roman" w:hAnsi="Times New Roman"/>
        </w:rPr>
      </w:pPr>
    </w:p>
    <w:p w:rsidR="00EA0857">
      <w:pPr>
        <w:bidi w:val="0"/>
        <w:rPr>
          <w:rFonts w:ascii="Times New Roman" w:hAnsi="Times New Roman"/>
        </w:rPr>
      </w:pPr>
    </w:p>
    <w:sectPr w:rsidSect="008A534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43" w:rsidP="008A534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A5343" w:rsidP="008A534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43" w:rsidP="008A534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12E05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8A5343" w:rsidP="008A534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A5343" w:rsidP="008A534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1FB2"/>
    <w:multiLevelType w:val="hybridMultilevel"/>
    <w:tmpl w:val="7DC44D7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5343"/>
    <w:rsid w:val="001A55DA"/>
    <w:rsid w:val="00232BA6"/>
    <w:rsid w:val="003A41CF"/>
    <w:rsid w:val="00612E05"/>
    <w:rsid w:val="00756EB3"/>
    <w:rsid w:val="008A5343"/>
    <w:rsid w:val="00A8345B"/>
    <w:rsid w:val="00C36283"/>
    <w:rsid w:val="00D76C72"/>
    <w:rsid w:val="00DD26B5"/>
    <w:rsid w:val="00EA0857"/>
    <w:rsid w:val="00EE77E6"/>
    <w:rsid w:val="00EF6DC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43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5343"/>
    <w:pPr>
      <w:spacing w:before="280" w:after="280"/>
      <w:jc w:val="left"/>
    </w:pPr>
  </w:style>
  <w:style w:type="paragraph" w:styleId="Footer">
    <w:name w:val="footer"/>
    <w:basedOn w:val="Normal"/>
    <w:link w:val="FooterChar"/>
    <w:rsid w:val="008A534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8A5343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character" w:styleId="PageNumber">
    <w:name w:val="page number"/>
    <w:basedOn w:val="DefaultParagraphFont"/>
    <w:rsid w:val="008A5343"/>
    <w:rPr>
      <w:rFonts w:cs="Times New Roman"/>
      <w:rtl w:val="0"/>
      <w:cs w:val="0"/>
    </w:rPr>
  </w:style>
  <w:style w:type="character" w:customStyle="1" w:styleId="bbtext">
    <w:name w:val="bbtext"/>
    <w:basedOn w:val="DefaultParagraphFont"/>
    <w:rsid w:val="008A5343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rsid w:val="008A5343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8A5343"/>
    <w:rPr>
      <w:rFonts w:ascii="Times New Roman" w:hAnsi="Times New Roman" w:cs="Times New Roman"/>
      <w:sz w:val="16"/>
      <w:szCs w:val="16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1026</Words>
  <Characters>5851</Characters>
  <Application>Microsoft Office Word</Application>
  <DocSecurity>0</DocSecurity>
  <Lines>0</Lines>
  <Paragraphs>0</Paragraphs>
  <ScaleCrop>false</ScaleCrop>
  <Company>Hewlett-Packard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Gašparíková, Jarmila</cp:lastModifiedBy>
  <cp:revision>2</cp:revision>
  <dcterms:created xsi:type="dcterms:W3CDTF">2011-04-29T15:59:00Z</dcterms:created>
  <dcterms:modified xsi:type="dcterms:W3CDTF">2011-04-29T15:59:00Z</dcterms:modified>
</cp:coreProperties>
</file>